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4B5E4C">
      <w:pPr>
        <w:autoSpaceDE w:val="0"/>
        <w:autoSpaceDN w:val="0"/>
        <w:spacing w:line="360" w:lineRule="auto"/>
        <w:textAlignment w:val="bottom"/>
        <w:rPr>
          <w:rFonts w:ascii="宋体" w:hAnsi="宋体" w:cs="Courier New"/>
          <w:b/>
          <w:bCs/>
          <w:spacing w:val="120"/>
          <w:sz w:val="72"/>
          <w:szCs w:val="72"/>
          <w:highlight w:val="none"/>
        </w:rPr>
      </w:pPr>
    </w:p>
    <w:p w14:paraId="2B4DFE25">
      <w:pPr>
        <w:autoSpaceDE w:val="0"/>
        <w:autoSpaceDN w:val="0"/>
        <w:spacing w:line="500" w:lineRule="atLeast"/>
        <w:jc w:val="center"/>
        <w:textAlignment w:val="bottom"/>
        <w:rPr>
          <w:rFonts w:ascii="宋体" w:hAnsi="宋体" w:cs="Courier New"/>
          <w:bCs/>
          <w:sz w:val="72"/>
          <w:szCs w:val="72"/>
          <w:highlight w:val="none"/>
        </w:rPr>
      </w:pPr>
      <w:sdt>
        <w:sdtPr>
          <w:rPr>
            <w:rFonts w:hint="eastAsia" w:ascii="宋体" w:hAnsi="宋体" w:cs="Courier New"/>
            <w:b/>
            <w:bCs/>
            <w:spacing w:val="120"/>
            <w:sz w:val="72"/>
            <w:szCs w:val="72"/>
            <w:highlight w:val="none"/>
          </w:rPr>
          <w:alias w:val="区域选择"/>
          <w:tag w:val="区域选择"/>
          <w:id w:val="1"/>
          <w:placeholder>
            <w:docPart w:val="DefaultPlaceholder_1081868575"/>
          </w:placeholder>
          <w:dropDownList>
            <w:listItem w:value="选择一项。"/>
            <w:listItem w:displayText="温州市" w:value="温州市"/>
            <w:listItem w:displayText="瓯海区" w:value="瓯海区"/>
            <w:listItem w:displayText="鹿城区" w:value="鹿城区"/>
            <w:listItem w:displayText="龙湾区" w:value="龙湾区"/>
          </w:dropDownList>
        </w:sdtPr>
        <w:sdtEndPr>
          <w:rPr>
            <w:rFonts w:hint="eastAsia" w:ascii="宋体" w:hAnsi="宋体" w:cs="Courier New"/>
            <w:b/>
            <w:bCs/>
            <w:spacing w:val="120"/>
            <w:sz w:val="72"/>
            <w:szCs w:val="72"/>
            <w:highlight w:val="none"/>
          </w:rPr>
        </w:sdtEndPr>
        <w:sdtContent>
          <w:r>
            <w:rPr>
              <w:rFonts w:hint="eastAsia" w:ascii="宋体" w:hAnsi="宋体" w:cs="Courier New"/>
              <w:b/>
              <w:bCs/>
              <w:spacing w:val="120"/>
              <w:sz w:val="72"/>
              <w:szCs w:val="72"/>
              <w:highlight w:val="none"/>
            </w:rPr>
            <w:t>瓯海区</w:t>
          </w:r>
        </w:sdtContent>
      </w:sdt>
      <w:r>
        <w:rPr>
          <w:rFonts w:hint="eastAsia" w:ascii="宋体" w:hAnsi="宋体" w:cs="Courier New"/>
          <w:b/>
          <w:bCs/>
          <w:spacing w:val="120"/>
          <w:sz w:val="72"/>
          <w:szCs w:val="72"/>
          <w:highlight w:val="none"/>
          <w:lang w:val="en-US" w:eastAsia="zh-CN"/>
        </w:rPr>
        <w:t>国企</w:t>
      </w:r>
      <w:r>
        <w:rPr>
          <w:rFonts w:ascii="宋体" w:hAnsi="宋体" w:cs="Courier New"/>
          <w:b/>
          <w:bCs/>
          <w:spacing w:val="120"/>
          <w:sz w:val="72"/>
          <w:szCs w:val="72"/>
          <w:highlight w:val="none"/>
        </w:rPr>
        <w:t>采购</w:t>
      </w:r>
    </w:p>
    <w:p w14:paraId="057F6BF3">
      <w:pPr>
        <w:spacing w:line="400" w:lineRule="atLeast"/>
        <w:jc w:val="center"/>
        <w:rPr>
          <w:rFonts w:ascii="宋体" w:hAnsi="宋体" w:cs="Courier New"/>
          <w:b/>
          <w:sz w:val="52"/>
          <w:highlight w:val="none"/>
        </w:rPr>
      </w:pPr>
    </w:p>
    <w:p w14:paraId="4A3DEE70">
      <w:pPr>
        <w:spacing w:line="400" w:lineRule="atLeast"/>
        <w:jc w:val="center"/>
        <w:rPr>
          <w:rFonts w:ascii="宋体" w:hAnsi="宋体" w:cs="Courier New"/>
          <w:b/>
          <w:sz w:val="52"/>
          <w:highlight w:val="none"/>
        </w:rPr>
      </w:pPr>
    </w:p>
    <w:p w14:paraId="3FBA1311">
      <w:pPr>
        <w:spacing w:line="400" w:lineRule="atLeast"/>
        <w:jc w:val="center"/>
        <w:rPr>
          <w:rFonts w:ascii="宋体" w:hAnsi="宋体" w:cs="Courier New"/>
          <w:b/>
          <w:sz w:val="52"/>
          <w:highlight w:val="none"/>
        </w:rPr>
      </w:pPr>
    </w:p>
    <w:p w14:paraId="2AD58060">
      <w:pPr>
        <w:autoSpaceDE w:val="0"/>
        <w:autoSpaceDN w:val="0"/>
        <w:spacing w:line="500" w:lineRule="atLeast"/>
        <w:jc w:val="center"/>
        <w:textAlignment w:val="bottom"/>
        <w:rPr>
          <w:rFonts w:ascii="宋体" w:hAnsi="宋体" w:cs="Courier New"/>
          <w:b/>
          <w:bCs/>
          <w:sz w:val="72"/>
          <w:szCs w:val="72"/>
          <w:highlight w:val="none"/>
        </w:rPr>
      </w:pPr>
      <w:r>
        <w:rPr>
          <w:rFonts w:hint="eastAsia" w:ascii="宋体" w:hAnsi="宋体" w:cs="Courier New"/>
          <w:b/>
          <w:bCs/>
          <w:sz w:val="72"/>
          <w:szCs w:val="72"/>
          <w:highlight w:val="none"/>
        </w:rPr>
        <w:t>招  标  文  件</w:t>
      </w:r>
    </w:p>
    <w:p w14:paraId="050E0D97">
      <w:pPr>
        <w:autoSpaceDE w:val="0"/>
        <w:autoSpaceDN w:val="0"/>
        <w:spacing w:line="500" w:lineRule="atLeast"/>
        <w:jc w:val="center"/>
        <w:textAlignment w:val="bottom"/>
        <w:rPr>
          <w:rFonts w:ascii="宋体" w:hAnsi="宋体" w:cs="Courier New"/>
          <w:sz w:val="42"/>
          <w:szCs w:val="72"/>
          <w:highlight w:val="none"/>
        </w:rPr>
      </w:pPr>
      <w:r>
        <w:rPr>
          <w:rFonts w:ascii="宋体" w:hAnsi="宋体" w:cs="Courier New"/>
          <w:sz w:val="42"/>
          <w:szCs w:val="72"/>
          <w:highlight w:val="none"/>
        </w:rPr>
        <w:t>(</w:t>
      </w:r>
      <w:r>
        <w:rPr>
          <w:rFonts w:hint="eastAsia" w:ascii="宋体" w:hAnsi="宋体" w:cs="Courier New"/>
          <w:sz w:val="42"/>
          <w:szCs w:val="72"/>
          <w:highlight w:val="none"/>
        </w:rPr>
        <w:t>线上电子招投标</w:t>
      </w:r>
      <w:r>
        <w:rPr>
          <w:rFonts w:ascii="宋体" w:hAnsi="宋体" w:cs="Courier New"/>
          <w:sz w:val="42"/>
          <w:szCs w:val="72"/>
          <w:highlight w:val="none"/>
        </w:rPr>
        <w:t>)</w:t>
      </w:r>
    </w:p>
    <w:p w14:paraId="1EB9697A">
      <w:pPr>
        <w:spacing w:line="400" w:lineRule="exact"/>
        <w:jc w:val="center"/>
        <w:rPr>
          <w:rFonts w:ascii="宋体" w:hAnsi="宋体"/>
          <w:b/>
          <w:sz w:val="32"/>
          <w:highlight w:val="none"/>
        </w:rPr>
      </w:pPr>
    </w:p>
    <w:p w14:paraId="328862A9">
      <w:pPr>
        <w:spacing w:line="400" w:lineRule="exact"/>
        <w:jc w:val="center"/>
        <w:rPr>
          <w:rFonts w:ascii="宋体" w:hAnsi="宋体"/>
          <w:b/>
          <w:sz w:val="32"/>
          <w:highlight w:val="none"/>
        </w:rPr>
      </w:pPr>
    </w:p>
    <w:p w14:paraId="6FBEBEC5">
      <w:pPr>
        <w:spacing w:line="400" w:lineRule="exact"/>
        <w:jc w:val="center"/>
        <w:rPr>
          <w:rFonts w:ascii="宋体" w:hAnsi="宋体"/>
          <w:b/>
          <w:sz w:val="32"/>
          <w:highlight w:val="none"/>
        </w:rPr>
      </w:pPr>
    </w:p>
    <w:p w14:paraId="7AEA89F1">
      <w:pPr>
        <w:spacing w:line="400" w:lineRule="exact"/>
        <w:jc w:val="center"/>
        <w:rPr>
          <w:rFonts w:ascii="宋体" w:hAnsi="宋体"/>
          <w:b/>
          <w:sz w:val="32"/>
          <w:highlight w:val="none"/>
        </w:rPr>
      </w:pPr>
    </w:p>
    <w:p w14:paraId="006CC572">
      <w:pPr>
        <w:spacing w:line="400" w:lineRule="exact"/>
        <w:jc w:val="center"/>
        <w:rPr>
          <w:rFonts w:ascii="宋体" w:hAnsi="宋体"/>
          <w:b/>
          <w:sz w:val="32"/>
          <w:highlight w:val="none"/>
        </w:rPr>
      </w:pPr>
    </w:p>
    <w:tbl>
      <w:tblPr>
        <w:tblStyle w:val="33"/>
        <w:tblW w:w="8555" w:type="dxa"/>
        <w:jc w:val="center"/>
        <w:tblLayout w:type="fixed"/>
        <w:tblCellMar>
          <w:top w:w="0" w:type="dxa"/>
          <w:left w:w="108" w:type="dxa"/>
          <w:bottom w:w="0" w:type="dxa"/>
          <w:right w:w="108" w:type="dxa"/>
        </w:tblCellMar>
      </w:tblPr>
      <w:tblGrid>
        <w:gridCol w:w="2340"/>
        <w:gridCol w:w="360"/>
        <w:gridCol w:w="5855"/>
      </w:tblGrid>
      <w:tr w14:paraId="0C858D8A">
        <w:tblPrEx>
          <w:tblCellMar>
            <w:top w:w="0" w:type="dxa"/>
            <w:left w:w="108" w:type="dxa"/>
            <w:bottom w:w="0" w:type="dxa"/>
            <w:right w:w="108" w:type="dxa"/>
          </w:tblCellMar>
        </w:tblPrEx>
        <w:trPr>
          <w:trHeight w:val="659" w:hRule="atLeast"/>
          <w:jc w:val="center"/>
        </w:trPr>
        <w:tc>
          <w:tcPr>
            <w:tcW w:w="2340" w:type="dxa"/>
            <w:vAlign w:val="center"/>
          </w:tcPr>
          <w:p w14:paraId="6F29A089">
            <w:pPr>
              <w:adjustRightInd w:val="0"/>
              <w:snapToGrid w:val="0"/>
              <w:spacing w:line="440" w:lineRule="exact"/>
              <w:jc w:val="distribute"/>
              <w:rPr>
                <w:rFonts w:ascii="宋体" w:hAnsi="宋体"/>
                <w:sz w:val="30"/>
                <w:szCs w:val="30"/>
                <w:highlight w:val="none"/>
              </w:rPr>
            </w:pPr>
            <w:r>
              <w:rPr>
                <w:rFonts w:ascii="宋体" w:hAnsi="宋体"/>
                <w:spacing w:val="40"/>
                <w:sz w:val="30"/>
                <w:szCs w:val="30"/>
                <w:highlight w:val="none"/>
              </w:rPr>
              <w:t>项目编号</w:t>
            </w:r>
          </w:p>
        </w:tc>
        <w:tc>
          <w:tcPr>
            <w:tcW w:w="360" w:type="dxa"/>
            <w:vAlign w:val="center"/>
          </w:tcPr>
          <w:p w14:paraId="2EC5B6EC">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023E122E">
            <w:pPr>
              <w:adjustRightInd w:val="0"/>
              <w:snapToGrid w:val="0"/>
              <w:spacing w:line="440" w:lineRule="exact"/>
              <w:rPr>
                <w:rFonts w:hint="eastAsia" w:ascii="宋体" w:hAnsi="宋体" w:eastAsia="宋体"/>
                <w:spacing w:val="-20"/>
                <w:sz w:val="30"/>
                <w:szCs w:val="30"/>
                <w:highlight w:val="none"/>
                <w:lang w:eastAsia="zh-CN"/>
              </w:rPr>
            </w:pPr>
            <w:r>
              <w:rPr>
                <w:rFonts w:hint="eastAsia" w:ascii="宋体" w:hAnsi="宋体"/>
                <w:sz w:val="30"/>
                <w:szCs w:val="30"/>
                <w:highlight w:val="none"/>
                <w:lang w:eastAsia="zh-CN"/>
              </w:rPr>
              <w:t>ZJLC-2025050201(M)</w:t>
            </w:r>
          </w:p>
        </w:tc>
      </w:tr>
      <w:tr w14:paraId="021A3B6D">
        <w:tblPrEx>
          <w:tblCellMar>
            <w:top w:w="0" w:type="dxa"/>
            <w:left w:w="108" w:type="dxa"/>
            <w:bottom w:w="0" w:type="dxa"/>
            <w:right w:w="108" w:type="dxa"/>
          </w:tblCellMar>
        </w:tblPrEx>
        <w:trPr>
          <w:trHeight w:val="90" w:hRule="atLeast"/>
          <w:jc w:val="center"/>
        </w:trPr>
        <w:tc>
          <w:tcPr>
            <w:tcW w:w="2340" w:type="dxa"/>
            <w:vAlign w:val="center"/>
          </w:tcPr>
          <w:p w14:paraId="599D7361">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项目名称</w:t>
            </w:r>
          </w:p>
        </w:tc>
        <w:tc>
          <w:tcPr>
            <w:tcW w:w="360" w:type="dxa"/>
            <w:vAlign w:val="center"/>
          </w:tcPr>
          <w:p w14:paraId="6580E968">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16CDBCC5">
            <w:pPr>
              <w:adjustRightInd w:val="0"/>
              <w:snapToGrid w:val="0"/>
              <w:spacing w:line="440" w:lineRule="exact"/>
              <w:rPr>
                <w:rFonts w:ascii="宋体" w:hAnsi="宋体"/>
                <w:sz w:val="30"/>
                <w:szCs w:val="30"/>
                <w:highlight w:val="none"/>
              </w:rPr>
            </w:pPr>
            <w:r>
              <w:rPr>
                <w:rFonts w:hint="eastAsia" w:ascii="宋体" w:hAnsi="宋体"/>
                <w:sz w:val="30"/>
                <w:szCs w:val="30"/>
                <w:highlight w:val="none"/>
                <w:lang w:eastAsia="zh-CN"/>
              </w:rPr>
              <w:t>欧湾华庭、臻湾华庭存量房代销项目</w:t>
            </w:r>
          </w:p>
        </w:tc>
      </w:tr>
      <w:tr w14:paraId="0FDFA4B5">
        <w:tblPrEx>
          <w:tblCellMar>
            <w:top w:w="0" w:type="dxa"/>
            <w:left w:w="108" w:type="dxa"/>
            <w:bottom w:w="0" w:type="dxa"/>
            <w:right w:w="108" w:type="dxa"/>
          </w:tblCellMar>
        </w:tblPrEx>
        <w:trPr>
          <w:trHeight w:val="614" w:hRule="atLeast"/>
          <w:jc w:val="center"/>
        </w:trPr>
        <w:tc>
          <w:tcPr>
            <w:tcW w:w="2340" w:type="dxa"/>
            <w:vAlign w:val="center"/>
          </w:tcPr>
          <w:p w14:paraId="4DE58796">
            <w:pPr>
              <w:adjustRightInd w:val="0"/>
              <w:snapToGrid w:val="0"/>
              <w:spacing w:line="440" w:lineRule="exact"/>
              <w:jc w:val="distribute"/>
              <w:rPr>
                <w:rFonts w:ascii="宋体" w:hAnsi="宋体"/>
                <w:sz w:val="30"/>
                <w:szCs w:val="30"/>
                <w:highlight w:val="none"/>
              </w:rPr>
            </w:pPr>
            <w:r>
              <w:rPr>
                <w:rFonts w:ascii="宋体" w:hAnsi="宋体"/>
                <w:spacing w:val="40"/>
                <w:sz w:val="30"/>
                <w:szCs w:val="30"/>
                <w:highlight w:val="none"/>
              </w:rPr>
              <w:t>招标方式</w:t>
            </w:r>
          </w:p>
        </w:tc>
        <w:tc>
          <w:tcPr>
            <w:tcW w:w="360" w:type="dxa"/>
            <w:vAlign w:val="center"/>
          </w:tcPr>
          <w:p w14:paraId="3666ED27">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731639B3">
            <w:pPr>
              <w:adjustRightInd w:val="0"/>
              <w:snapToGrid w:val="0"/>
              <w:spacing w:line="440" w:lineRule="exact"/>
              <w:rPr>
                <w:rFonts w:ascii="宋体" w:hAnsi="宋体"/>
                <w:sz w:val="30"/>
                <w:szCs w:val="30"/>
                <w:highlight w:val="none"/>
              </w:rPr>
            </w:pPr>
            <w:r>
              <w:rPr>
                <w:rFonts w:hint="eastAsia" w:ascii="宋体" w:hAnsi="宋体"/>
                <w:sz w:val="30"/>
                <w:szCs w:val="30"/>
                <w:highlight w:val="none"/>
              </w:rPr>
              <w:t>公开招标</w:t>
            </w:r>
          </w:p>
        </w:tc>
      </w:tr>
    </w:tbl>
    <w:p w14:paraId="7432FD8A">
      <w:pPr>
        <w:jc w:val="center"/>
        <w:rPr>
          <w:rFonts w:ascii="宋体" w:hAnsi="宋体"/>
          <w:b/>
          <w:sz w:val="24"/>
          <w:highlight w:val="none"/>
        </w:rPr>
      </w:pPr>
    </w:p>
    <w:p w14:paraId="7373604B">
      <w:pPr>
        <w:rPr>
          <w:rFonts w:ascii="宋体" w:hAnsi="宋体"/>
          <w:b/>
          <w:sz w:val="24"/>
          <w:highlight w:val="none"/>
        </w:rPr>
      </w:pPr>
    </w:p>
    <w:p w14:paraId="12CA9D9F">
      <w:pPr>
        <w:rPr>
          <w:rFonts w:ascii="宋体" w:hAnsi="宋体"/>
          <w:b/>
          <w:sz w:val="24"/>
          <w:highlight w:val="none"/>
        </w:rPr>
      </w:pPr>
    </w:p>
    <w:p w14:paraId="4D999067">
      <w:pPr>
        <w:jc w:val="center"/>
        <w:rPr>
          <w:rFonts w:ascii="宋体" w:hAnsi="宋体"/>
          <w:b/>
          <w:sz w:val="24"/>
          <w:highlight w:val="none"/>
        </w:rPr>
      </w:pPr>
    </w:p>
    <w:p w14:paraId="13328489">
      <w:pPr>
        <w:jc w:val="center"/>
        <w:rPr>
          <w:rFonts w:ascii="宋体" w:hAnsi="宋体"/>
          <w:b/>
          <w:sz w:val="24"/>
          <w:highlight w:val="none"/>
        </w:rPr>
      </w:pPr>
    </w:p>
    <w:p w14:paraId="19397B47">
      <w:pPr>
        <w:jc w:val="center"/>
        <w:rPr>
          <w:rFonts w:ascii="宋体" w:hAnsi="宋体"/>
          <w:b/>
          <w:sz w:val="24"/>
          <w:highlight w:val="none"/>
        </w:rPr>
      </w:pPr>
    </w:p>
    <w:p w14:paraId="3FBA4F8C">
      <w:pPr>
        <w:jc w:val="center"/>
        <w:rPr>
          <w:rFonts w:ascii="宋体" w:hAnsi="宋体"/>
          <w:b/>
          <w:sz w:val="24"/>
          <w:highlight w:val="none"/>
        </w:rPr>
      </w:pPr>
    </w:p>
    <w:tbl>
      <w:tblPr>
        <w:tblStyle w:val="33"/>
        <w:tblW w:w="8688" w:type="dxa"/>
        <w:jc w:val="center"/>
        <w:tblLayout w:type="fixed"/>
        <w:tblCellMar>
          <w:top w:w="0" w:type="dxa"/>
          <w:left w:w="108" w:type="dxa"/>
          <w:bottom w:w="0" w:type="dxa"/>
          <w:right w:w="108" w:type="dxa"/>
        </w:tblCellMar>
      </w:tblPr>
      <w:tblGrid>
        <w:gridCol w:w="2340"/>
        <w:gridCol w:w="360"/>
        <w:gridCol w:w="5988"/>
      </w:tblGrid>
      <w:tr w14:paraId="2D900142">
        <w:tblPrEx>
          <w:tblCellMar>
            <w:top w:w="0" w:type="dxa"/>
            <w:left w:w="108" w:type="dxa"/>
            <w:bottom w:w="0" w:type="dxa"/>
            <w:right w:w="108" w:type="dxa"/>
          </w:tblCellMar>
        </w:tblPrEx>
        <w:trPr>
          <w:trHeight w:val="614" w:hRule="atLeast"/>
          <w:jc w:val="center"/>
        </w:trPr>
        <w:tc>
          <w:tcPr>
            <w:tcW w:w="2340" w:type="dxa"/>
            <w:vAlign w:val="center"/>
          </w:tcPr>
          <w:p w14:paraId="66822333">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采购人</w:t>
            </w:r>
          </w:p>
        </w:tc>
        <w:tc>
          <w:tcPr>
            <w:tcW w:w="360" w:type="dxa"/>
            <w:tcBorders>
              <w:left w:val="nil"/>
            </w:tcBorders>
            <w:vAlign w:val="center"/>
          </w:tcPr>
          <w:p w14:paraId="1129CFAF">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5CEC9142">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温州市瓯海区瓯发房屋租赁有限公司</w:t>
            </w:r>
          </w:p>
        </w:tc>
      </w:tr>
      <w:tr w14:paraId="0FAE6B66">
        <w:tblPrEx>
          <w:tblCellMar>
            <w:top w:w="0" w:type="dxa"/>
            <w:left w:w="108" w:type="dxa"/>
            <w:bottom w:w="0" w:type="dxa"/>
            <w:right w:w="108" w:type="dxa"/>
          </w:tblCellMar>
        </w:tblPrEx>
        <w:trPr>
          <w:trHeight w:val="614" w:hRule="atLeast"/>
          <w:jc w:val="center"/>
        </w:trPr>
        <w:tc>
          <w:tcPr>
            <w:tcW w:w="2340" w:type="dxa"/>
            <w:vAlign w:val="center"/>
          </w:tcPr>
          <w:p w14:paraId="549B4F35">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采购代理机构</w:t>
            </w:r>
          </w:p>
        </w:tc>
        <w:tc>
          <w:tcPr>
            <w:tcW w:w="360" w:type="dxa"/>
            <w:tcBorders>
              <w:left w:val="nil"/>
            </w:tcBorders>
            <w:vAlign w:val="center"/>
          </w:tcPr>
          <w:p w14:paraId="50117F66">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6D9BC559">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浙江立创项目管理有限公司</w:t>
            </w:r>
          </w:p>
        </w:tc>
      </w:tr>
    </w:tbl>
    <w:p w14:paraId="4596BC42">
      <w:pPr>
        <w:spacing w:before="120" w:beforeLines="50" w:line="360" w:lineRule="auto"/>
        <w:jc w:val="center"/>
        <w:rPr>
          <w:rFonts w:ascii="宋体" w:hAnsi="宋体"/>
          <w:spacing w:val="40"/>
          <w:sz w:val="30"/>
          <w:szCs w:val="30"/>
          <w:highlight w:val="none"/>
        </w:rPr>
      </w:pPr>
      <w:r>
        <w:rPr>
          <w:rFonts w:ascii="宋体" w:hAnsi="宋体"/>
          <w:spacing w:val="40"/>
          <w:sz w:val="30"/>
          <w:szCs w:val="30"/>
          <w:highlight w:val="none"/>
        </w:rPr>
        <w:t>二〇二</w:t>
      </w:r>
      <w:r>
        <w:rPr>
          <w:rFonts w:hint="eastAsia" w:ascii="宋体" w:hAnsi="宋体"/>
          <w:spacing w:val="40"/>
          <w:sz w:val="30"/>
          <w:szCs w:val="30"/>
          <w:highlight w:val="none"/>
          <w:lang w:val="en-US" w:eastAsia="zh-CN"/>
        </w:rPr>
        <w:t>五</w:t>
      </w:r>
      <w:r>
        <w:rPr>
          <w:rFonts w:ascii="宋体" w:hAnsi="宋体"/>
          <w:spacing w:val="40"/>
          <w:sz w:val="30"/>
          <w:szCs w:val="30"/>
          <w:highlight w:val="none"/>
        </w:rPr>
        <w:t>年</w:t>
      </w:r>
    </w:p>
    <w:p w14:paraId="2CBC1BA6">
      <w:pPr>
        <w:jc w:val="center"/>
        <w:rPr>
          <w:rFonts w:ascii="宋体" w:hAnsi="宋体"/>
          <w:b/>
          <w:bCs/>
          <w:sz w:val="32"/>
          <w:szCs w:val="32"/>
          <w:highlight w:val="none"/>
        </w:rPr>
        <w:sectPr>
          <w:footerReference r:id="rId4" w:type="first"/>
          <w:headerReference r:id="rId3" w:type="default"/>
          <w:pgSz w:w="11906" w:h="16838"/>
          <w:pgMar w:top="1134" w:right="1134" w:bottom="1134" w:left="1134" w:header="851" w:footer="851" w:gutter="0"/>
          <w:pgBorders>
            <w:top w:val="none" w:sz="0" w:space="0"/>
            <w:left w:val="none" w:sz="0" w:space="0"/>
            <w:bottom w:val="none" w:sz="0" w:space="0"/>
            <w:right w:val="none" w:sz="0" w:space="0"/>
          </w:pgBorders>
          <w:pgNumType w:start="0"/>
          <w:cols w:space="720" w:num="1"/>
          <w:titlePg/>
          <w:docGrid w:linePitch="312" w:charSpace="0"/>
        </w:sectPr>
      </w:pPr>
    </w:p>
    <w:p w14:paraId="1CC211CE">
      <w:pPr>
        <w:jc w:val="center"/>
        <w:rPr>
          <w:rFonts w:ascii="宋体" w:hAnsi="宋体"/>
          <w:b/>
          <w:bCs/>
          <w:sz w:val="32"/>
          <w:szCs w:val="32"/>
          <w:highlight w:val="none"/>
        </w:rPr>
      </w:pPr>
      <w:r>
        <w:rPr>
          <w:rFonts w:hint="eastAsia" w:ascii="宋体" w:hAnsi="宋体"/>
          <w:b/>
          <w:bCs/>
          <w:sz w:val="32"/>
          <w:szCs w:val="32"/>
          <w:highlight w:val="none"/>
        </w:rPr>
        <w:t xml:space="preserve"> </w:t>
      </w:r>
    </w:p>
    <w:p w14:paraId="170E7B2C">
      <w:pPr>
        <w:jc w:val="center"/>
        <w:rPr>
          <w:rFonts w:ascii="宋体" w:hAnsi="宋体" w:cs="Courier New"/>
          <w:b/>
          <w:bCs/>
          <w:sz w:val="42"/>
          <w:szCs w:val="32"/>
          <w:highlight w:val="none"/>
        </w:rPr>
      </w:pPr>
      <w:r>
        <w:rPr>
          <w:rFonts w:hint="eastAsia" w:ascii="宋体" w:hAnsi="宋体" w:cs="Courier New"/>
          <w:b/>
          <w:bCs/>
          <w:sz w:val="42"/>
          <w:szCs w:val="32"/>
          <w:highlight w:val="none"/>
        </w:rPr>
        <w:t>目    录</w:t>
      </w:r>
    </w:p>
    <w:p w14:paraId="5F2A9382">
      <w:pPr>
        <w:pStyle w:val="24"/>
        <w:tabs>
          <w:tab w:val="right" w:leader="dot" w:pos="9638"/>
          <w:tab w:val="clear" w:pos="9660"/>
        </w:tabs>
        <w:rPr>
          <w:highlight w:val="none"/>
        </w:rPr>
      </w:pPr>
      <w:r>
        <w:rPr>
          <w:rFonts w:hint="eastAsia" w:ascii="宋体" w:hAnsi="宋体"/>
          <w:sz w:val="24"/>
          <w:highlight w:val="none"/>
        </w:rPr>
        <w:fldChar w:fldCharType="begin"/>
      </w:r>
      <w:r>
        <w:rPr>
          <w:rStyle w:val="40"/>
          <w:rFonts w:hint="eastAsia" w:ascii="宋体" w:hAnsi="宋体"/>
          <w:color w:val="auto"/>
          <w:sz w:val="24"/>
          <w:highlight w:val="none"/>
        </w:rPr>
        <w:instrText xml:space="preserve"> TOC \o "1-3" \h \z \u </w:instrText>
      </w:r>
      <w:r>
        <w:rPr>
          <w:rFonts w:hint="eastAsia" w:ascii="宋体" w:hAnsi="宋体"/>
          <w:sz w:val="24"/>
          <w:highlight w:val="none"/>
        </w:rPr>
        <w:fldChar w:fldCharType="separate"/>
      </w:r>
      <w:r>
        <w:rPr>
          <w:highlight w:val="none"/>
        </w:rPr>
        <w:fldChar w:fldCharType="begin"/>
      </w:r>
      <w:r>
        <w:rPr>
          <w:highlight w:val="none"/>
        </w:rPr>
        <w:instrText xml:space="preserve"> HYPERLINK \l "_Toc31588" </w:instrText>
      </w:r>
      <w:r>
        <w:rPr>
          <w:highlight w:val="none"/>
        </w:rPr>
        <w:fldChar w:fldCharType="separate"/>
      </w:r>
      <w:r>
        <w:rPr>
          <w:rFonts w:hint="eastAsia" w:ascii="宋体" w:hAnsi="宋体" w:cs="Courier New"/>
          <w:szCs w:val="36"/>
          <w:highlight w:val="none"/>
        </w:rPr>
        <w:t>关于</w:t>
      </w:r>
      <w:r>
        <w:rPr>
          <w:rFonts w:hint="eastAsia" w:ascii="宋体" w:hAnsi="宋体" w:cs="Courier New"/>
          <w:szCs w:val="36"/>
          <w:highlight w:val="none"/>
          <w:lang w:eastAsia="zh-CN"/>
        </w:rPr>
        <w:t>欧湾华庭、臻湾华庭存量房代销项目</w:t>
      </w:r>
      <w:r>
        <w:rPr>
          <w:rFonts w:hint="eastAsia" w:ascii="宋体" w:hAnsi="宋体" w:cs="Courier New"/>
          <w:szCs w:val="36"/>
          <w:highlight w:val="none"/>
        </w:rPr>
        <w:t>的公开招标公告</w:t>
      </w:r>
      <w:r>
        <w:rPr>
          <w:highlight w:val="none"/>
        </w:rPr>
        <w:tab/>
      </w:r>
      <w:r>
        <w:rPr>
          <w:highlight w:val="none"/>
        </w:rPr>
        <w:fldChar w:fldCharType="begin"/>
      </w:r>
      <w:r>
        <w:rPr>
          <w:highlight w:val="none"/>
        </w:rPr>
        <w:instrText xml:space="preserve"> PAGEREF _Toc31588 \h </w:instrText>
      </w:r>
      <w:r>
        <w:rPr>
          <w:highlight w:val="none"/>
        </w:rPr>
        <w:fldChar w:fldCharType="separate"/>
      </w:r>
      <w:r>
        <w:rPr>
          <w:highlight w:val="none"/>
        </w:rPr>
        <w:t>2</w:t>
      </w:r>
      <w:r>
        <w:rPr>
          <w:highlight w:val="none"/>
        </w:rPr>
        <w:fldChar w:fldCharType="end"/>
      </w:r>
      <w:r>
        <w:rPr>
          <w:highlight w:val="none"/>
        </w:rPr>
        <w:fldChar w:fldCharType="end"/>
      </w:r>
    </w:p>
    <w:p w14:paraId="6189BCF9">
      <w:pPr>
        <w:pStyle w:val="24"/>
        <w:tabs>
          <w:tab w:val="right" w:leader="dot" w:pos="9638"/>
          <w:tab w:val="clear" w:pos="9660"/>
        </w:tabs>
        <w:rPr>
          <w:highlight w:val="none"/>
        </w:rPr>
      </w:pPr>
      <w:r>
        <w:rPr>
          <w:highlight w:val="none"/>
        </w:rPr>
        <w:fldChar w:fldCharType="begin"/>
      </w:r>
      <w:r>
        <w:rPr>
          <w:highlight w:val="none"/>
        </w:rPr>
        <w:instrText xml:space="preserve"> HYPERLINK \l "_Toc5563" </w:instrText>
      </w:r>
      <w:r>
        <w:rPr>
          <w:highlight w:val="none"/>
        </w:rPr>
        <w:fldChar w:fldCharType="separate"/>
      </w:r>
      <w:r>
        <w:rPr>
          <w:rFonts w:hint="eastAsia" w:ascii="宋体" w:hAnsi="宋体" w:cs="Courier New"/>
          <w:szCs w:val="36"/>
          <w:highlight w:val="none"/>
        </w:rPr>
        <w:t>第一部分  投标人须知</w:t>
      </w:r>
      <w:r>
        <w:rPr>
          <w:highlight w:val="none"/>
        </w:rPr>
        <w:tab/>
      </w:r>
      <w:r>
        <w:rPr>
          <w:highlight w:val="none"/>
        </w:rPr>
        <w:fldChar w:fldCharType="begin"/>
      </w:r>
      <w:r>
        <w:rPr>
          <w:highlight w:val="none"/>
        </w:rPr>
        <w:instrText xml:space="preserve"> PAGEREF _Toc5563 \h </w:instrText>
      </w:r>
      <w:r>
        <w:rPr>
          <w:highlight w:val="none"/>
        </w:rPr>
        <w:fldChar w:fldCharType="separate"/>
      </w:r>
      <w:r>
        <w:rPr>
          <w:highlight w:val="none"/>
        </w:rPr>
        <w:t>5</w:t>
      </w:r>
      <w:r>
        <w:rPr>
          <w:highlight w:val="none"/>
        </w:rPr>
        <w:fldChar w:fldCharType="end"/>
      </w:r>
      <w:r>
        <w:rPr>
          <w:highlight w:val="none"/>
        </w:rPr>
        <w:fldChar w:fldCharType="end"/>
      </w:r>
    </w:p>
    <w:p w14:paraId="4A2B0976">
      <w:pPr>
        <w:pStyle w:val="27"/>
        <w:tabs>
          <w:tab w:val="right" w:leader="dot" w:pos="9638"/>
        </w:tabs>
        <w:rPr>
          <w:highlight w:val="none"/>
        </w:rPr>
      </w:pPr>
      <w:r>
        <w:rPr>
          <w:highlight w:val="none"/>
        </w:rPr>
        <w:fldChar w:fldCharType="begin"/>
      </w:r>
      <w:r>
        <w:rPr>
          <w:highlight w:val="none"/>
        </w:rPr>
        <w:instrText xml:space="preserve"> HYPERLINK \l "_Toc26704" </w:instrText>
      </w:r>
      <w:r>
        <w:rPr>
          <w:highlight w:val="none"/>
        </w:rPr>
        <w:fldChar w:fldCharType="separate"/>
      </w:r>
      <w:r>
        <w:rPr>
          <w:rFonts w:hint="eastAsia" w:ascii="宋体" w:hAnsi="宋体" w:cs="Courier New"/>
          <w:highlight w:val="none"/>
        </w:rPr>
        <w:t>投标人须知前附表</w:t>
      </w:r>
      <w:r>
        <w:rPr>
          <w:highlight w:val="none"/>
        </w:rPr>
        <w:tab/>
      </w:r>
      <w:r>
        <w:rPr>
          <w:highlight w:val="none"/>
        </w:rPr>
        <w:fldChar w:fldCharType="begin"/>
      </w:r>
      <w:r>
        <w:rPr>
          <w:highlight w:val="none"/>
        </w:rPr>
        <w:instrText xml:space="preserve"> PAGEREF _Toc26704 \h </w:instrText>
      </w:r>
      <w:r>
        <w:rPr>
          <w:highlight w:val="none"/>
        </w:rPr>
        <w:fldChar w:fldCharType="separate"/>
      </w:r>
      <w:r>
        <w:rPr>
          <w:highlight w:val="none"/>
        </w:rPr>
        <w:t>5</w:t>
      </w:r>
      <w:r>
        <w:rPr>
          <w:highlight w:val="none"/>
        </w:rPr>
        <w:fldChar w:fldCharType="end"/>
      </w:r>
      <w:r>
        <w:rPr>
          <w:highlight w:val="none"/>
        </w:rPr>
        <w:fldChar w:fldCharType="end"/>
      </w:r>
    </w:p>
    <w:p w14:paraId="5174E7F3">
      <w:pPr>
        <w:pStyle w:val="27"/>
        <w:tabs>
          <w:tab w:val="right" w:leader="dot" w:pos="9638"/>
        </w:tabs>
        <w:rPr>
          <w:highlight w:val="none"/>
        </w:rPr>
      </w:pPr>
      <w:r>
        <w:rPr>
          <w:highlight w:val="none"/>
        </w:rPr>
        <w:fldChar w:fldCharType="begin"/>
      </w:r>
      <w:r>
        <w:rPr>
          <w:highlight w:val="none"/>
        </w:rPr>
        <w:instrText xml:space="preserve"> HYPERLINK \l "_Toc11573" </w:instrText>
      </w:r>
      <w:r>
        <w:rPr>
          <w:highlight w:val="none"/>
        </w:rPr>
        <w:fldChar w:fldCharType="separate"/>
      </w:r>
      <w:r>
        <w:rPr>
          <w:rFonts w:hint="eastAsia" w:ascii="宋体" w:hAnsi="宋体" w:cs="Courier New"/>
          <w:highlight w:val="none"/>
        </w:rPr>
        <w:t>一、 说明</w:t>
      </w:r>
      <w:r>
        <w:rPr>
          <w:highlight w:val="none"/>
        </w:rPr>
        <w:tab/>
      </w:r>
      <w:r>
        <w:rPr>
          <w:highlight w:val="none"/>
        </w:rPr>
        <w:fldChar w:fldCharType="begin"/>
      </w:r>
      <w:r>
        <w:rPr>
          <w:highlight w:val="none"/>
        </w:rPr>
        <w:instrText xml:space="preserve"> PAGEREF _Toc11573 \h </w:instrText>
      </w:r>
      <w:r>
        <w:rPr>
          <w:highlight w:val="none"/>
        </w:rPr>
        <w:fldChar w:fldCharType="separate"/>
      </w:r>
      <w:r>
        <w:rPr>
          <w:highlight w:val="none"/>
        </w:rPr>
        <w:t>8</w:t>
      </w:r>
      <w:r>
        <w:rPr>
          <w:highlight w:val="none"/>
        </w:rPr>
        <w:fldChar w:fldCharType="end"/>
      </w:r>
      <w:r>
        <w:rPr>
          <w:highlight w:val="none"/>
        </w:rPr>
        <w:fldChar w:fldCharType="end"/>
      </w:r>
    </w:p>
    <w:p w14:paraId="03E5DCAE">
      <w:pPr>
        <w:pStyle w:val="27"/>
        <w:tabs>
          <w:tab w:val="right" w:leader="dot" w:pos="9638"/>
        </w:tabs>
        <w:rPr>
          <w:highlight w:val="none"/>
        </w:rPr>
      </w:pPr>
      <w:r>
        <w:rPr>
          <w:highlight w:val="none"/>
        </w:rPr>
        <w:fldChar w:fldCharType="begin"/>
      </w:r>
      <w:r>
        <w:rPr>
          <w:highlight w:val="none"/>
        </w:rPr>
        <w:instrText xml:space="preserve"> HYPERLINK \l "_Toc1099" </w:instrText>
      </w:r>
      <w:r>
        <w:rPr>
          <w:highlight w:val="none"/>
        </w:rPr>
        <w:fldChar w:fldCharType="separate"/>
      </w:r>
      <w:r>
        <w:rPr>
          <w:rFonts w:hint="eastAsia" w:ascii="宋体" w:hAnsi="宋体" w:cs="Courier New"/>
          <w:highlight w:val="none"/>
        </w:rPr>
        <w:t>二、 招标文件</w:t>
      </w:r>
      <w:r>
        <w:rPr>
          <w:highlight w:val="none"/>
        </w:rPr>
        <w:tab/>
      </w:r>
      <w:r>
        <w:rPr>
          <w:highlight w:val="none"/>
        </w:rPr>
        <w:fldChar w:fldCharType="begin"/>
      </w:r>
      <w:r>
        <w:rPr>
          <w:highlight w:val="none"/>
        </w:rPr>
        <w:instrText xml:space="preserve"> PAGEREF _Toc1099 \h </w:instrText>
      </w:r>
      <w:r>
        <w:rPr>
          <w:highlight w:val="none"/>
        </w:rPr>
        <w:fldChar w:fldCharType="separate"/>
      </w:r>
      <w:r>
        <w:rPr>
          <w:highlight w:val="none"/>
        </w:rPr>
        <w:t>8</w:t>
      </w:r>
      <w:r>
        <w:rPr>
          <w:highlight w:val="none"/>
        </w:rPr>
        <w:fldChar w:fldCharType="end"/>
      </w:r>
      <w:r>
        <w:rPr>
          <w:highlight w:val="none"/>
        </w:rPr>
        <w:fldChar w:fldCharType="end"/>
      </w:r>
    </w:p>
    <w:p w14:paraId="4FB3E3B1">
      <w:pPr>
        <w:pStyle w:val="27"/>
        <w:tabs>
          <w:tab w:val="right" w:leader="dot" w:pos="9638"/>
        </w:tabs>
        <w:rPr>
          <w:highlight w:val="none"/>
        </w:rPr>
      </w:pPr>
      <w:r>
        <w:rPr>
          <w:highlight w:val="none"/>
        </w:rPr>
        <w:fldChar w:fldCharType="begin"/>
      </w:r>
      <w:r>
        <w:rPr>
          <w:highlight w:val="none"/>
        </w:rPr>
        <w:instrText xml:space="preserve"> HYPERLINK \l "_Toc15013" </w:instrText>
      </w:r>
      <w:r>
        <w:rPr>
          <w:highlight w:val="none"/>
        </w:rPr>
        <w:fldChar w:fldCharType="separate"/>
      </w:r>
      <w:r>
        <w:rPr>
          <w:rFonts w:hint="eastAsia" w:ascii="宋体" w:hAnsi="宋体" w:cs="Courier New"/>
          <w:highlight w:val="none"/>
        </w:rPr>
        <w:t>三、 投标文件</w:t>
      </w:r>
      <w:r>
        <w:rPr>
          <w:highlight w:val="none"/>
        </w:rPr>
        <w:tab/>
      </w:r>
      <w:r>
        <w:rPr>
          <w:highlight w:val="none"/>
        </w:rPr>
        <w:fldChar w:fldCharType="begin"/>
      </w:r>
      <w:r>
        <w:rPr>
          <w:highlight w:val="none"/>
        </w:rPr>
        <w:instrText xml:space="preserve"> PAGEREF _Toc15013 \h </w:instrText>
      </w:r>
      <w:r>
        <w:rPr>
          <w:highlight w:val="none"/>
        </w:rPr>
        <w:fldChar w:fldCharType="separate"/>
      </w:r>
      <w:r>
        <w:rPr>
          <w:highlight w:val="none"/>
        </w:rPr>
        <w:t>9</w:t>
      </w:r>
      <w:r>
        <w:rPr>
          <w:highlight w:val="none"/>
        </w:rPr>
        <w:fldChar w:fldCharType="end"/>
      </w:r>
      <w:r>
        <w:rPr>
          <w:highlight w:val="none"/>
        </w:rPr>
        <w:fldChar w:fldCharType="end"/>
      </w:r>
    </w:p>
    <w:p w14:paraId="3FED154B">
      <w:pPr>
        <w:pStyle w:val="27"/>
        <w:tabs>
          <w:tab w:val="right" w:leader="dot" w:pos="9638"/>
        </w:tabs>
        <w:rPr>
          <w:highlight w:val="none"/>
        </w:rPr>
      </w:pPr>
      <w:r>
        <w:rPr>
          <w:highlight w:val="none"/>
        </w:rPr>
        <w:fldChar w:fldCharType="begin"/>
      </w:r>
      <w:r>
        <w:rPr>
          <w:highlight w:val="none"/>
        </w:rPr>
        <w:instrText xml:space="preserve"> HYPERLINK \l "_Toc7666" </w:instrText>
      </w:r>
      <w:r>
        <w:rPr>
          <w:highlight w:val="none"/>
        </w:rPr>
        <w:fldChar w:fldCharType="separate"/>
      </w:r>
      <w:r>
        <w:rPr>
          <w:rFonts w:hint="eastAsia" w:ascii="宋体" w:hAnsi="宋体" w:cs="Courier New"/>
          <w:highlight w:val="none"/>
        </w:rPr>
        <w:t>四、 投标</w:t>
      </w:r>
      <w:r>
        <w:rPr>
          <w:highlight w:val="none"/>
        </w:rPr>
        <w:tab/>
      </w:r>
      <w:r>
        <w:rPr>
          <w:highlight w:val="none"/>
        </w:rPr>
        <w:fldChar w:fldCharType="begin"/>
      </w:r>
      <w:r>
        <w:rPr>
          <w:highlight w:val="none"/>
        </w:rPr>
        <w:instrText xml:space="preserve"> PAGEREF _Toc7666 \h </w:instrText>
      </w:r>
      <w:r>
        <w:rPr>
          <w:highlight w:val="none"/>
        </w:rPr>
        <w:fldChar w:fldCharType="separate"/>
      </w:r>
      <w:r>
        <w:rPr>
          <w:highlight w:val="none"/>
        </w:rPr>
        <w:t>12</w:t>
      </w:r>
      <w:r>
        <w:rPr>
          <w:highlight w:val="none"/>
        </w:rPr>
        <w:fldChar w:fldCharType="end"/>
      </w:r>
      <w:r>
        <w:rPr>
          <w:highlight w:val="none"/>
        </w:rPr>
        <w:fldChar w:fldCharType="end"/>
      </w:r>
    </w:p>
    <w:p w14:paraId="1753AB56">
      <w:pPr>
        <w:pStyle w:val="27"/>
        <w:tabs>
          <w:tab w:val="right" w:leader="dot" w:pos="9638"/>
        </w:tabs>
        <w:rPr>
          <w:highlight w:val="none"/>
        </w:rPr>
      </w:pPr>
      <w:r>
        <w:rPr>
          <w:highlight w:val="none"/>
        </w:rPr>
        <w:fldChar w:fldCharType="begin"/>
      </w:r>
      <w:r>
        <w:rPr>
          <w:highlight w:val="none"/>
        </w:rPr>
        <w:instrText xml:space="preserve"> HYPERLINK \l "_Toc30060" </w:instrText>
      </w:r>
      <w:r>
        <w:rPr>
          <w:highlight w:val="none"/>
        </w:rPr>
        <w:fldChar w:fldCharType="separate"/>
      </w:r>
      <w:r>
        <w:rPr>
          <w:rFonts w:hint="eastAsia" w:ascii="宋体" w:hAnsi="宋体" w:cs="Courier New"/>
          <w:highlight w:val="none"/>
        </w:rPr>
        <w:t>五、 电子化开标</w:t>
      </w:r>
      <w:r>
        <w:rPr>
          <w:highlight w:val="none"/>
        </w:rPr>
        <w:tab/>
      </w:r>
      <w:r>
        <w:rPr>
          <w:highlight w:val="none"/>
        </w:rPr>
        <w:fldChar w:fldCharType="begin"/>
      </w:r>
      <w:r>
        <w:rPr>
          <w:highlight w:val="none"/>
        </w:rPr>
        <w:instrText xml:space="preserve"> PAGEREF _Toc30060 \h </w:instrText>
      </w:r>
      <w:r>
        <w:rPr>
          <w:highlight w:val="none"/>
        </w:rPr>
        <w:fldChar w:fldCharType="separate"/>
      </w:r>
      <w:r>
        <w:rPr>
          <w:highlight w:val="none"/>
        </w:rPr>
        <w:t>12</w:t>
      </w:r>
      <w:r>
        <w:rPr>
          <w:highlight w:val="none"/>
        </w:rPr>
        <w:fldChar w:fldCharType="end"/>
      </w:r>
      <w:r>
        <w:rPr>
          <w:highlight w:val="none"/>
        </w:rPr>
        <w:fldChar w:fldCharType="end"/>
      </w:r>
    </w:p>
    <w:p w14:paraId="2C4086D9">
      <w:pPr>
        <w:pStyle w:val="27"/>
        <w:tabs>
          <w:tab w:val="right" w:leader="dot" w:pos="9638"/>
        </w:tabs>
        <w:rPr>
          <w:highlight w:val="none"/>
        </w:rPr>
      </w:pPr>
      <w:r>
        <w:rPr>
          <w:highlight w:val="none"/>
        </w:rPr>
        <w:fldChar w:fldCharType="begin"/>
      </w:r>
      <w:r>
        <w:rPr>
          <w:highlight w:val="none"/>
        </w:rPr>
        <w:instrText xml:space="preserve"> HYPERLINK \l "_Toc28045" </w:instrText>
      </w:r>
      <w:r>
        <w:rPr>
          <w:highlight w:val="none"/>
        </w:rPr>
        <w:fldChar w:fldCharType="separate"/>
      </w:r>
      <w:r>
        <w:rPr>
          <w:rFonts w:ascii="宋体" w:hAnsi="宋体"/>
          <w:highlight w:val="none"/>
        </w:rPr>
        <w:t>六</w:t>
      </w:r>
      <w:r>
        <w:rPr>
          <w:rFonts w:hint="eastAsia" w:ascii="宋体" w:hAnsi="宋体"/>
          <w:highlight w:val="none"/>
        </w:rPr>
        <w:t>、 资格审查及评标</w:t>
      </w:r>
      <w:r>
        <w:rPr>
          <w:highlight w:val="none"/>
        </w:rPr>
        <w:tab/>
      </w:r>
      <w:r>
        <w:rPr>
          <w:highlight w:val="none"/>
        </w:rPr>
        <w:fldChar w:fldCharType="begin"/>
      </w:r>
      <w:r>
        <w:rPr>
          <w:highlight w:val="none"/>
        </w:rPr>
        <w:instrText xml:space="preserve"> PAGEREF _Toc28045 \h </w:instrText>
      </w:r>
      <w:r>
        <w:rPr>
          <w:highlight w:val="none"/>
        </w:rPr>
        <w:fldChar w:fldCharType="separate"/>
      </w:r>
      <w:r>
        <w:rPr>
          <w:highlight w:val="none"/>
        </w:rPr>
        <w:t>13</w:t>
      </w:r>
      <w:r>
        <w:rPr>
          <w:highlight w:val="none"/>
        </w:rPr>
        <w:fldChar w:fldCharType="end"/>
      </w:r>
      <w:r>
        <w:rPr>
          <w:highlight w:val="none"/>
        </w:rPr>
        <w:fldChar w:fldCharType="end"/>
      </w:r>
    </w:p>
    <w:p w14:paraId="129D8532">
      <w:pPr>
        <w:pStyle w:val="27"/>
        <w:tabs>
          <w:tab w:val="right" w:leader="dot" w:pos="9638"/>
        </w:tabs>
        <w:rPr>
          <w:highlight w:val="none"/>
        </w:rPr>
      </w:pPr>
      <w:r>
        <w:rPr>
          <w:highlight w:val="none"/>
        </w:rPr>
        <w:fldChar w:fldCharType="begin"/>
      </w:r>
      <w:r>
        <w:rPr>
          <w:highlight w:val="none"/>
        </w:rPr>
        <w:instrText xml:space="preserve"> HYPERLINK \l "_Toc16754" </w:instrText>
      </w:r>
      <w:r>
        <w:rPr>
          <w:highlight w:val="none"/>
        </w:rPr>
        <w:fldChar w:fldCharType="separate"/>
      </w:r>
      <w:r>
        <w:rPr>
          <w:rFonts w:hint="eastAsia" w:ascii="宋体" w:hAnsi="宋体" w:cs="Courier New"/>
          <w:highlight w:val="none"/>
        </w:rPr>
        <w:t xml:space="preserve">七、 </w:t>
      </w:r>
      <w:r>
        <w:rPr>
          <w:rFonts w:ascii="宋体" w:hAnsi="宋体" w:cs="Courier New"/>
          <w:highlight w:val="none"/>
        </w:rPr>
        <w:t>定标及</w:t>
      </w:r>
      <w:r>
        <w:rPr>
          <w:rFonts w:hint="eastAsia" w:ascii="宋体" w:hAnsi="宋体" w:cs="Courier New"/>
          <w:highlight w:val="none"/>
        </w:rPr>
        <w:t>合同授予</w:t>
      </w:r>
      <w:r>
        <w:rPr>
          <w:highlight w:val="none"/>
        </w:rPr>
        <w:tab/>
      </w:r>
      <w:r>
        <w:rPr>
          <w:highlight w:val="none"/>
        </w:rPr>
        <w:fldChar w:fldCharType="begin"/>
      </w:r>
      <w:r>
        <w:rPr>
          <w:highlight w:val="none"/>
        </w:rPr>
        <w:instrText xml:space="preserve"> PAGEREF _Toc16754 \h </w:instrText>
      </w:r>
      <w:r>
        <w:rPr>
          <w:highlight w:val="none"/>
        </w:rPr>
        <w:fldChar w:fldCharType="separate"/>
      </w:r>
      <w:r>
        <w:rPr>
          <w:highlight w:val="none"/>
        </w:rPr>
        <w:t>17</w:t>
      </w:r>
      <w:r>
        <w:rPr>
          <w:highlight w:val="none"/>
        </w:rPr>
        <w:fldChar w:fldCharType="end"/>
      </w:r>
      <w:r>
        <w:rPr>
          <w:highlight w:val="none"/>
        </w:rPr>
        <w:fldChar w:fldCharType="end"/>
      </w:r>
    </w:p>
    <w:p w14:paraId="02011360">
      <w:pPr>
        <w:pStyle w:val="27"/>
        <w:tabs>
          <w:tab w:val="right" w:leader="dot" w:pos="9638"/>
        </w:tabs>
        <w:rPr>
          <w:highlight w:val="none"/>
        </w:rPr>
      </w:pPr>
      <w:r>
        <w:rPr>
          <w:highlight w:val="none"/>
        </w:rPr>
        <w:fldChar w:fldCharType="begin"/>
      </w:r>
      <w:r>
        <w:rPr>
          <w:highlight w:val="none"/>
        </w:rPr>
        <w:instrText xml:space="preserve"> HYPERLINK \l "_Toc10521" </w:instrText>
      </w:r>
      <w:r>
        <w:rPr>
          <w:highlight w:val="none"/>
        </w:rPr>
        <w:fldChar w:fldCharType="separate"/>
      </w:r>
      <w:r>
        <w:rPr>
          <w:rFonts w:hint="eastAsia" w:ascii="宋体" w:hAnsi="宋体" w:cs="Courier New"/>
          <w:highlight w:val="none"/>
        </w:rPr>
        <w:t xml:space="preserve">八、 </w:t>
      </w:r>
      <w:r>
        <w:rPr>
          <w:rFonts w:ascii="宋体" w:hAnsi="宋体" w:cs="Courier New"/>
          <w:highlight w:val="none"/>
        </w:rPr>
        <w:t>其他</w:t>
      </w:r>
      <w:r>
        <w:rPr>
          <w:highlight w:val="none"/>
        </w:rPr>
        <w:tab/>
      </w:r>
      <w:r>
        <w:rPr>
          <w:highlight w:val="none"/>
        </w:rPr>
        <w:fldChar w:fldCharType="begin"/>
      </w:r>
      <w:r>
        <w:rPr>
          <w:highlight w:val="none"/>
        </w:rPr>
        <w:instrText xml:space="preserve"> PAGEREF _Toc10521 \h </w:instrText>
      </w:r>
      <w:r>
        <w:rPr>
          <w:highlight w:val="none"/>
        </w:rPr>
        <w:fldChar w:fldCharType="separate"/>
      </w:r>
      <w:r>
        <w:rPr>
          <w:highlight w:val="none"/>
        </w:rPr>
        <w:t>18</w:t>
      </w:r>
      <w:r>
        <w:rPr>
          <w:highlight w:val="none"/>
        </w:rPr>
        <w:fldChar w:fldCharType="end"/>
      </w:r>
      <w:r>
        <w:rPr>
          <w:highlight w:val="none"/>
        </w:rPr>
        <w:fldChar w:fldCharType="end"/>
      </w:r>
    </w:p>
    <w:p w14:paraId="1BF12ADB">
      <w:pPr>
        <w:pStyle w:val="24"/>
        <w:tabs>
          <w:tab w:val="right" w:leader="dot" w:pos="9638"/>
          <w:tab w:val="clear" w:pos="9660"/>
        </w:tabs>
        <w:rPr>
          <w:highlight w:val="none"/>
        </w:rPr>
      </w:pPr>
      <w:r>
        <w:rPr>
          <w:highlight w:val="none"/>
        </w:rPr>
        <w:fldChar w:fldCharType="begin"/>
      </w:r>
      <w:r>
        <w:rPr>
          <w:highlight w:val="none"/>
        </w:rPr>
        <w:instrText xml:space="preserve"> HYPERLINK \l "_Toc16270" </w:instrText>
      </w:r>
      <w:r>
        <w:rPr>
          <w:highlight w:val="none"/>
        </w:rPr>
        <w:fldChar w:fldCharType="separate"/>
      </w:r>
      <w:r>
        <w:rPr>
          <w:rFonts w:hint="eastAsia" w:ascii="宋体" w:hAnsi="宋体" w:cs="Courier New"/>
          <w:szCs w:val="36"/>
          <w:highlight w:val="none"/>
        </w:rPr>
        <w:t>第二部分   合同条款</w:t>
      </w:r>
      <w:r>
        <w:rPr>
          <w:highlight w:val="none"/>
        </w:rPr>
        <w:tab/>
      </w:r>
      <w:r>
        <w:rPr>
          <w:highlight w:val="none"/>
        </w:rPr>
        <w:fldChar w:fldCharType="begin"/>
      </w:r>
      <w:r>
        <w:rPr>
          <w:highlight w:val="none"/>
        </w:rPr>
        <w:instrText xml:space="preserve"> PAGEREF _Toc16270 \h </w:instrText>
      </w:r>
      <w:r>
        <w:rPr>
          <w:highlight w:val="none"/>
        </w:rPr>
        <w:fldChar w:fldCharType="separate"/>
      </w:r>
      <w:r>
        <w:rPr>
          <w:highlight w:val="none"/>
        </w:rPr>
        <w:t>19</w:t>
      </w:r>
      <w:r>
        <w:rPr>
          <w:highlight w:val="none"/>
        </w:rPr>
        <w:fldChar w:fldCharType="end"/>
      </w:r>
      <w:r>
        <w:rPr>
          <w:highlight w:val="none"/>
        </w:rPr>
        <w:fldChar w:fldCharType="end"/>
      </w:r>
    </w:p>
    <w:p w14:paraId="1546A2A5">
      <w:pPr>
        <w:pStyle w:val="24"/>
        <w:tabs>
          <w:tab w:val="right" w:leader="dot" w:pos="9638"/>
          <w:tab w:val="clear" w:pos="9660"/>
        </w:tabs>
        <w:rPr>
          <w:highlight w:val="none"/>
        </w:rPr>
      </w:pPr>
      <w:r>
        <w:rPr>
          <w:highlight w:val="none"/>
        </w:rPr>
        <w:fldChar w:fldCharType="begin"/>
      </w:r>
      <w:r>
        <w:rPr>
          <w:highlight w:val="none"/>
        </w:rPr>
        <w:instrText xml:space="preserve"> HYPERLINK \l "_Toc28063" </w:instrText>
      </w:r>
      <w:r>
        <w:rPr>
          <w:highlight w:val="none"/>
        </w:rPr>
        <w:fldChar w:fldCharType="separate"/>
      </w:r>
      <w:r>
        <w:rPr>
          <w:rFonts w:hint="eastAsia" w:ascii="宋体" w:hAnsi="宋体" w:cs="宋体"/>
          <w:highlight w:val="none"/>
        </w:rPr>
        <w:t>第一部分</w:t>
      </w:r>
      <w:r>
        <w:rPr>
          <w:rFonts w:ascii="宋体" w:hAnsi="宋体" w:cs="宋体"/>
          <w:highlight w:val="none"/>
        </w:rPr>
        <w:t xml:space="preserve">  </w:t>
      </w:r>
      <w:r>
        <w:rPr>
          <w:rFonts w:hint="eastAsia" w:ascii="宋体" w:hAnsi="宋体" w:cs="宋体"/>
          <w:highlight w:val="none"/>
        </w:rPr>
        <w:t>协议书</w:t>
      </w:r>
      <w:r>
        <w:rPr>
          <w:highlight w:val="none"/>
        </w:rPr>
        <w:tab/>
      </w:r>
      <w:r>
        <w:rPr>
          <w:highlight w:val="none"/>
        </w:rPr>
        <w:fldChar w:fldCharType="begin"/>
      </w:r>
      <w:r>
        <w:rPr>
          <w:highlight w:val="none"/>
        </w:rPr>
        <w:instrText xml:space="preserve"> PAGEREF _Toc28063 \h </w:instrText>
      </w:r>
      <w:r>
        <w:rPr>
          <w:highlight w:val="none"/>
        </w:rPr>
        <w:fldChar w:fldCharType="separate"/>
      </w:r>
      <w:r>
        <w:rPr>
          <w:highlight w:val="none"/>
        </w:rPr>
        <w:t>20</w:t>
      </w:r>
      <w:r>
        <w:rPr>
          <w:highlight w:val="none"/>
        </w:rPr>
        <w:fldChar w:fldCharType="end"/>
      </w:r>
      <w:r>
        <w:rPr>
          <w:highlight w:val="none"/>
        </w:rPr>
        <w:fldChar w:fldCharType="end"/>
      </w:r>
    </w:p>
    <w:p w14:paraId="6D134C57">
      <w:pPr>
        <w:pStyle w:val="24"/>
        <w:tabs>
          <w:tab w:val="right" w:leader="dot" w:pos="9638"/>
          <w:tab w:val="clear" w:pos="9660"/>
        </w:tabs>
        <w:rPr>
          <w:highlight w:val="none"/>
        </w:rPr>
      </w:pPr>
      <w:r>
        <w:rPr>
          <w:highlight w:val="none"/>
        </w:rPr>
        <w:fldChar w:fldCharType="begin"/>
      </w:r>
      <w:r>
        <w:rPr>
          <w:highlight w:val="none"/>
        </w:rPr>
        <w:instrText xml:space="preserve"> HYPERLINK \l "_Toc16910" </w:instrText>
      </w:r>
      <w:r>
        <w:rPr>
          <w:highlight w:val="none"/>
        </w:rPr>
        <w:fldChar w:fldCharType="separate"/>
      </w:r>
      <w:r>
        <w:rPr>
          <w:rFonts w:hint="eastAsia" w:ascii="宋体" w:hAnsi="宋体" w:cs="宋体"/>
          <w:highlight w:val="none"/>
        </w:rPr>
        <w:t>第二部分</w:t>
      </w:r>
      <w:r>
        <w:rPr>
          <w:rFonts w:ascii="宋体" w:hAnsi="宋体" w:cs="宋体"/>
          <w:highlight w:val="none"/>
        </w:rPr>
        <w:t xml:space="preserve">  </w:t>
      </w:r>
      <w:r>
        <w:rPr>
          <w:rFonts w:hint="eastAsia" w:ascii="宋体" w:hAnsi="宋体" w:cs="宋体"/>
          <w:highlight w:val="none"/>
        </w:rPr>
        <w:t>合同条件</w:t>
      </w:r>
      <w:r>
        <w:rPr>
          <w:highlight w:val="none"/>
        </w:rPr>
        <w:tab/>
      </w:r>
      <w:r>
        <w:rPr>
          <w:highlight w:val="none"/>
        </w:rPr>
        <w:fldChar w:fldCharType="begin"/>
      </w:r>
      <w:r>
        <w:rPr>
          <w:highlight w:val="none"/>
        </w:rPr>
        <w:instrText xml:space="preserve"> PAGEREF _Toc16910 \h </w:instrText>
      </w:r>
      <w:r>
        <w:rPr>
          <w:highlight w:val="none"/>
        </w:rPr>
        <w:fldChar w:fldCharType="separate"/>
      </w:r>
      <w:r>
        <w:rPr>
          <w:highlight w:val="none"/>
        </w:rPr>
        <w:t>27</w:t>
      </w:r>
      <w:r>
        <w:rPr>
          <w:highlight w:val="none"/>
        </w:rPr>
        <w:fldChar w:fldCharType="end"/>
      </w:r>
      <w:r>
        <w:rPr>
          <w:highlight w:val="none"/>
        </w:rPr>
        <w:fldChar w:fldCharType="end"/>
      </w:r>
    </w:p>
    <w:p w14:paraId="7824174F">
      <w:pPr>
        <w:pStyle w:val="27"/>
        <w:tabs>
          <w:tab w:val="right" w:leader="dot" w:pos="9638"/>
        </w:tabs>
        <w:rPr>
          <w:highlight w:val="none"/>
        </w:rPr>
      </w:pPr>
      <w:r>
        <w:rPr>
          <w:highlight w:val="none"/>
        </w:rPr>
        <w:fldChar w:fldCharType="begin"/>
      </w:r>
      <w:r>
        <w:rPr>
          <w:highlight w:val="none"/>
        </w:rPr>
        <w:instrText xml:space="preserve"> HYPERLINK \l "_Toc20495" </w:instrText>
      </w:r>
      <w:r>
        <w:rPr>
          <w:highlight w:val="none"/>
        </w:rPr>
        <w:fldChar w:fldCharType="separate"/>
      </w:r>
      <w:r>
        <w:rPr>
          <w:rFonts w:ascii="Arial" w:hAnsi="Arial"/>
          <w:bCs/>
          <w:szCs w:val="21"/>
          <w:highlight w:val="none"/>
        </w:rPr>
        <w:t xml:space="preserve">1) </w:t>
      </w:r>
      <w:r>
        <w:rPr>
          <w:rFonts w:hint="eastAsia" w:ascii="宋体" w:hAnsi="宋体" w:cs="宋体"/>
          <w:bCs/>
          <w:szCs w:val="21"/>
          <w:highlight w:val="none"/>
        </w:rPr>
        <w:t>管理团队和管理原则</w:t>
      </w:r>
      <w:r>
        <w:rPr>
          <w:highlight w:val="none"/>
        </w:rPr>
        <w:tab/>
      </w:r>
      <w:r>
        <w:rPr>
          <w:highlight w:val="none"/>
        </w:rPr>
        <w:fldChar w:fldCharType="begin"/>
      </w:r>
      <w:r>
        <w:rPr>
          <w:highlight w:val="none"/>
        </w:rPr>
        <w:instrText xml:space="preserve"> PAGEREF _Toc20495 \h </w:instrText>
      </w:r>
      <w:r>
        <w:rPr>
          <w:highlight w:val="none"/>
        </w:rPr>
        <w:fldChar w:fldCharType="separate"/>
      </w:r>
      <w:r>
        <w:rPr>
          <w:highlight w:val="none"/>
        </w:rPr>
        <w:t>27</w:t>
      </w:r>
      <w:r>
        <w:rPr>
          <w:highlight w:val="none"/>
        </w:rPr>
        <w:fldChar w:fldCharType="end"/>
      </w:r>
      <w:r>
        <w:rPr>
          <w:highlight w:val="none"/>
        </w:rPr>
        <w:fldChar w:fldCharType="end"/>
      </w:r>
    </w:p>
    <w:p w14:paraId="348F5337">
      <w:pPr>
        <w:pStyle w:val="27"/>
        <w:tabs>
          <w:tab w:val="right" w:leader="dot" w:pos="9638"/>
        </w:tabs>
        <w:rPr>
          <w:highlight w:val="none"/>
        </w:rPr>
      </w:pPr>
      <w:r>
        <w:rPr>
          <w:highlight w:val="none"/>
        </w:rPr>
        <w:fldChar w:fldCharType="begin"/>
      </w:r>
      <w:r>
        <w:rPr>
          <w:highlight w:val="none"/>
        </w:rPr>
        <w:instrText xml:space="preserve"> HYPERLINK \l "_Toc20108" </w:instrText>
      </w:r>
      <w:r>
        <w:rPr>
          <w:highlight w:val="none"/>
        </w:rPr>
        <w:fldChar w:fldCharType="separate"/>
      </w:r>
      <w:r>
        <w:rPr>
          <w:rFonts w:ascii="Arial" w:hAnsi="Arial"/>
          <w:bCs/>
          <w:szCs w:val="21"/>
          <w:highlight w:val="none"/>
        </w:rPr>
        <w:t xml:space="preserve">2) </w:t>
      </w:r>
      <w:r>
        <w:rPr>
          <w:rFonts w:hint="eastAsia" w:ascii="宋体" w:hAnsi="宋体" w:cs="宋体"/>
          <w:bCs/>
          <w:szCs w:val="21"/>
          <w:highlight w:val="none"/>
        </w:rPr>
        <w:t>项目开发委托管理工作内容和开展方式</w:t>
      </w:r>
      <w:r>
        <w:rPr>
          <w:highlight w:val="none"/>
        </w:rPr>
        <w:tab/>
      </w:r>
      <w:r>
        <w:rPr>
          <w:highlight w:val="none"/>
        </w:rPr>
        <w:fldChar w:fldCharType="begin"/>
      </w:r>
      <w:r>
        <w:rPr>
          <w:highlight w:val="none"/>
        </w:rPr>
        <w:instrText xml:space="preserve"> PAGEREF _Toc20108 \h </w:instrText>
      </w:r>
      <w:r>
        <w:rPr>
          <w:highlight w:val="none"/>
        </w:rPr>
        <w:fldChar w:fldCharType="separate"/>
      </w:r>
      <w:r>
        <w:rPr>
          <w:highlight w:val="none"/>
        </w:rPr>
        <w:t>29</w:t>
      </w:r>
      <w:r>
        <w:rPr>
          <w:highlight w:val="none"/>
        </w:rPr>
        <w:fldChar w:fldCharType="end"/>
      </w:r>
      <w:r>
        <w:rPr>
          <w:highlight w:val="none"/>
        </w:rPr>
        <w:fldChar w:fldCharType="end"/>
      </w:r>
    </w:p>
    <w:p w14:paraId="243BBADD">
      <w:pPr>
        <w:pStyle w:val="27"/>
        <w:tabs>
          <w:tab w:val="right" w:leader="dot" w:pos="9638"/>
        </w:tabs>
        <w:rPr>
          <w:highlight w:val="none"/>
        </w:rPr>
      </w:pPr>
      <w:r>
        <w:rPr>
          <w:highlight w:val="none"/>
        </w:rPr>
        <w:fldChar w:fldCharType="begin"/>
      </w:r>
      <w:r>
        <w:rPr>
          <w:highlight w:val="none"/>
        </w:rPr>
        <w:instrText xml:space="preserve"> HYPERLINK \l "_Toc14918" </w:instrText>
      </w:r>
      <w:r>
        <w:rPr>
          <w:highlight w:val="none"/>
        </w:rPr>
        <w:fldChar w:fldCharType="separate"/>
      </w:r>
      <w:r>
        <w:rPr>
          <w:rFonts w:ascii="Arial" w:hAnsi="Arial"/>
          <w:bCs/>
          <w:szCs w:val="21"/>
          <w:highlight w:val="none"/>
        </w:rPr>
        <w:t xml:space="preserve">3) </w:t>
      </w:r>
      <w:r>
        <w:rPr>
          <w:rFonts w:hint="eastAsia" w:ascii="宋体" w:hAnsi="宋体" w:cs="宋体"/>
          <w:bCs/>
          <w:szCs w:val="21"/>
          <w:highlight w:val="none"/>
        </w:rPr>
        <w:t>品牌使用管理和维护</w:t>
      </w:r>
      <w:r>
        <w:rPr>
          <w:rFonts w:hint="eastAsia"/>
          <w:highlight w:val="none"/>
        </w:rPr>
        <w:t>（或按乙方投标承诺执行）</w:t>
      </w:r>
      <w:r>
        <w:rPr>
          <w:highlight w:val="none"/>
        </w:rPr>
        <w:tab/>
      </w:r>
      <w:r>
        <w:rPr>
          <w:highlight w:val="none"/>
        </w:rPr>
        <w:fldChar w:fldCharType="begin"/>
      </w:r>
      <w:r>
        <w:rPr>
          <w:highlight w:val="none"/>
        </w:rPr>
        <w:instrText xml:space="preserve"> PAGEREF _Toc14918 \h </w:instrText>
      </w:r>
      <w:r>
        <w:rPr>
          <w:highlight w:val="none"/>
        </w:rPr>
        <w:fldChar w:fldCharType="separate"/>
      </w:r>
      <w:r>
        <w:rPr>
          <w:highlight w:val="none"/>
        </w:rPr>
        <w:t>33</w:t>
      </w:r>
      <w:r>
        <w:rPr>
          <w:highlight w:val="none"/>
        </w:rPr>
        <w:fldChar w:fldCharType="end"/>
      </w:r>
      <w:r>
        <w:rPr>
          <w:highlight w:val="none"/>
        </w:rPr>
        <w:fldChar w:fldCharType="end"/>
      </w:r>
    </w:p>
    <w:p w14:paraId="7A6BF852">
      <w:pPr>
        <w:pStyle w:val="27"/>
        <w:tabs>
          <w:tab w:val="right" w:leader="dot" w:pos="9638"/>
        </w:tabs>
        <w:rPr>
          <w:highlight w:val="none"/>
        </w:rPr>
      </w:pPr>
      <w:r>
        <w:rPr>
          <w:highlight w:val="none"/>
        </w:rPr>
        <w:fldChar w:fldCharType="begin"/>
      </w:r>
      <w:r>
        <w:rPr>
          <w:highlight w:val="none"/>
        </w:rPr>
        <w:instrText xml:space="preserve"> HYPERLINK \l "_Toc24443" </w:instrText>
      </w:r>
      <w:r>
        <w:rPr>
          <w:highlight w:val="none"/>
        </w:rPr>
        <w:fldChar w:fldCharType="separate"/>
      </w:r>
      <w:r>
        <w:rPr>
          <w:rFonts w:ascii="Arial" w:hAnsi="Arial"/>
          <w:bCs/>
          <w:szCs w:val="21"/>
          <w:highlight w:val="none"/>
        </w:rPr>
        <w:t xml:space="preserve">4) </w:t>
      </w:r>
      <w:r>
        <w:rPr>
          <w:rFonts w:hint="eastAsia" w:ascii="宋体" w:hAnsi="宋体" w:cs="宋体"/>
          <w:bCs/>
          <w:szCs w:val="21"/>
          <w:highlight w:val="none"/>
        </w:rPr>
        <w:t>项目报告</w:t>
      </w:r>
      <w:r>
        <w:rPr>
          <w:highlight w:val="none"/>
        </w:rPr>
        <w:tab/>
      </w:r>
      <w:r>
        <w:rPr>
          <w:highlight w:val="none"/>
        </w:rPr>
        <w:fldChar w:fldCharType="begin"/>
      </w:r>
      <w:r>
        <w:rPr>
          <w:highlight w:val="none"/>
        </w:rPr>
        <w:instrText xml:space="preserve"> PAGEREF _Toc24443 \h </w:instrText>
      </w:r>
      <w:r>
        <w:rPr>
          <w:highlight w:val="none"/>
        </w:rPr>
        <w:fldChar w:fldCharType="separate"/>
      </w:r>
      <w:r>
        <w:rPr>
          <w:highlight w:val="none"/>
        </w:rPr>
        <w:t>35</w:t>
      </w:r>
      <w:r>
        <w:rPr>
          <w:highlight w:val="none"/>
        </w:rPr>
        <w:fldChar w:fldCharType="end"/>
      </w:r>
      <w:r>
        <w:rPr>
          <w:highlight w:val="none"/>
        </w:rPr>
        <w:fldChar w:fldCharType="end"/>
      </w:r>
    </w:p>
    <w:p w14:paraId="4B57E22E">
      <w:pPr>
        <w:pStyle w:val="27"/>
        <w:tabs>
          <w:tab w:val="right" w:leader="dot" w:pos="9638"/>
        </w:tabs>
        <w:rPr>
          <w:highlight w:val="none"/>
        </w:rPr>
      </w:pPr>
      <w:r>
        <w:rPr>
          <w:highlight w:val="none"/>
        </w:rPr>
        <w:fldChar w:fldCharType="begin"/>
      </w:r>
      <w:r>
        <w:rPr>
          <w:highlight w:val="none"/>
        </w:rPr>
        <w:instrText xml:space="preserve"> HYPERLINK \l "_Toc7393" </w:instrText>
      </w:r>
      <w:r>
        <w:rPr>
          <w:highlight w:val="none"/>
        </w:rPr>
        <w:fldChar w:fldCharType="separate"/>
      </w:r>
      <w:r>
        <w:rPr>
          <w:rFonts w:ascii="Arial" w:hAnsi="Arial"/>
          <w:bCs/>
          <w:szCs w:val="21"/>
          <w:highlight w:val="none"/>
        </w:rPr>
        <w:t xml:space="preserve">5) </w:t>
      </w:r>
      <w:r>
        <w:rPr>
          <w:rFonts w:hint="eastAsia" w:ascii="宋体" w:hAnsi="宋体" w:cs="宋体"/>
          <w:bCs/>
          <w:szCs w:val="21"/>
          <w:highlight w:val="none"/>
        </w:rPr>
        <w:t>合作陈述和保证</w:t>
      </w:r>
      <w:r>
        <w:rPr>
          <w:highlight w:val="none"/>
        </w:rPr>
        <w:tab/>
      </w:r>
      <w:r>
        <w:rPr>
          <w:highlight w:val="none"/>
        </w:rPr>
        <w:fldChar w:fldCharType="begin"/>
      </w:r>
      <w:r>
        <w:rPr>
          <w:highlight w:val="none"/>
        </w:rPr>
        <w:instrText xml:space="preserve"> PAGEREF _Toc7393 \h </w:instrText>
      </w:r>
      <w:r>
        <w:rPr>
          <w:highlight w:val="none"/>
        </w:rPr>
        <w:fldChar w:fldCharType="separate"/>
      </w:r>
      <w:r>
        <w:rPr>
          <w:highlight w:val="none"/>
        </w:rPr>
        <w:t>35</w:t>
      </w:r>
      <w:r>
        <w:rPr>
          <w:highlight w:val="none"/>
        </w:rPr>
        <w:fldChar w:fldCharType="end"/>
      </w:r>
      <w:r>
        <w:rPr>
          <w:highlight w:val="none"/>
        </w:rPr>
        <w:fldChar w:fldCharType="end"/>
      </w:r>
    </w:p>
    <w:p w14:paraId="775FBA8F">
      <w:pPr>
        <w:pStyle w:val="27"/>
        <w:tabs>
          <w:tab w:val="right" w:leader="dot" w:pos="9638"/>
        </w:tabs>
        <w:rPr>
          <w:highlight w:val="none"/>
        </w:rPr>
      </w:pPr>
      <w:r>
        <w:rPr>
          <w:highlight w:val="none"/>
        </w:rPr>
        <w:fldChar w:fldCharType="begin"/>
      </w:r>
      <w:r>
        <w:rPr>
          <w:highlight w:val="none"/>
        </w:rPr>
        <w:instrText xml:space="preserve"> HYPERLINK \l "_Toc27409" </w:instrText>
      </w:r>
      <w:r>
        <w:rPr>
          <w:highlight w:val="none"/>
        </w:rPr>
        <w:fldChar w:fldCharType="separate"/>
      </w:r>
      <w:r>
        <w:rPr>
          <w:rFonts w:ascii="Arial" w:hAnsi="Arial"/>
          <w:bCs/>
          <w:szCs w:val="21"/>
          <w:highlight w:val="none"/>
        </w:rPr>
        <w:t xml:space="preserve">6) </w:t>
      </w:r>
      <w:r>
        <w:rPr>
          <w:rFonts w:hint="eastAsia" w:ascii="宋体" w:hAnsi="宋体" w:cs="宋体"/>
          <w:bCs/>
          <w:szCs w:val="21"/>
          <w:highlight w:val="none"/>
        </w:rPr>
        <w:t>合同的变更、解除和终止</w:t>
      </w:r>
      <w:r>
        <w:rPr>
          <w:highlight w:val="none"/>
        </w:rPr>
        <w:tab/>
      </w:r>
      <w:r>
        <w:rPr>
          <w:highlight w:val="none"/>
        </w:rPr>
        <w:fldChar w:fldCharType="begin"/>
      </w:r>
      <w:r>
        <w:rPr>
          <w:highlight w:val="none"/>
        </w:rPr>
        <w:instrText xml:space="preserve"> PAGEREF _Toc27409 \h </w:instrText>
      </w:r>
      <w:r>
        <w:rPr>
          <w:highlight w:val="none"/>
        </w:rPr>
        <w:fldChar w:fldCharType="separate"/>
      </w:r>
      <w:r>
        <w:rPr>
          <w:highlight w:val="none"/>
        </w:rPr>
        <w:t>36</w:t>
      </w:r>
      <w:r>
        <w:rPr>
          <w:highlight w:val="none"/>
        </w:rPr>
        <w:fldChar w:fldCharType="end"/>
      </w:r>
      <w:r>
        <w:rPr>
          <w:highlight w:val="none"/>
        </w:rPr>
        <w:fldChar w:fldCharType="end"/>
      </w:r>
    </w:p>
    <w:p w14:paraId="6E77A9E9">
      <w:pPr>
        <w:pStyle w:val="27"/>
        <w:tabs>
          <w:tab w:val="right" w:leader="dot" w:pos="9638"/>
        </w:tabs>
        <w:rPr>
          <w:highlight w:val="none"/>
        </w:rPr>
      </w:pPr>
      <w:r>
        <w:rPr>
          <w:highlight w:val="none"/>
        </w:rPr>
        <w:fldChar w:fldCharType="begin"/>
      </w:r>
      <w:r>
        <w:rPr>
          <w:highlight w:val="none"/>
        </w:rPr>
        <w:instrText xml:space="preserve"> HYPERLINK \l "_Toc1290" </w:instrText>
      </w:r>
      <w:r>
        <w:rPr>
          <w:highlight w:val="none"/>
        </w:rPr>
        <w:fldChar w:fldCharType="separate"/>
      </w:r>
      <w:r>
        <w:rPr>
          <w:rFonts w:ascii="Arial" w:hAnsi="Arial"/>
          <w:bCs/>
          <w:szCs w:val="21"/>
          <w:highlight w:val="none"/>
        </w:rPr>
        <w:t xml:space="preserve">7) </w:t>
      </w:r>
      <w:r>
        <w:rPr>
          <w:rFonts w:hint="eastAsia" w:ascii="宋体" w:hAnsi="宋体" w:cs="宋体"/>
          <w:bCs/>
          <w:szCs w:val="21"/>
          <w:highlight w:val="none"/>
        </w:rPr>
        <w:t>违约责任</w:t>
      </w:r>
      <w:r>
        <w:rPr>
          <w:highlight w:val="none"/>
        </w:rPr>
        <w:tab/>
      </w:r>
      <w:r>
        <w:rPr>
          <w:highlight w:val="none"/>
        </w:rPr>
        <w:fldChar w:fldCharType="begin"/>
      </w:r>
      <w:r>
        <w:rPr>
          <w:highlight w:val="none"/>
        </w:rPr>
        <w:instrText xml:space="preserve"> PAGEREF _Toc1290 \h </w:instrText>
      </w:r>
      <w:r>
        <w:rPr>
          <w:highlight w:val="none"/>
        </w:rPr>
        <w:fldChar w:fldCharType="separate"/>
      </w:r>
      <w:r>
        <w:rPr>
          <w:highlight w:val="none"/>
        </w:rPr>
        <w:t>37</w:t>
      </w:r>
      <w:r>
        <w:rPr>
          <w:highlight w:val="none"/>
        </w:rPr>
        <w:fldChar w:fldCharType="end"/>
      </w:r>
      <w:r>
        <w:rPr>
          <w:highlight w:val="none"/>
        </w:rPr>
        <w:fldChar w:fldCharType="end"/>
      </w:r>
    </w:p>
    <w:p w14:paraId="70AB06CB">
      <w:pPr>
        <w:pStyle w:val="27"/>
        <w:tabs>
          <w:tab w:val="right" w:leader="dot" w:pos="9638"/>
        </w:tabs>
        <w:rPr>
          <w:highlight w:val="none"/>
        </w:rPr>
      </w:pPr>
      <w:r>
        <w:rPr>
          <w:highlight w:val="none"/>
        </w:rPr>
        <w:fldChar w:fldCharType="begin"/>
      </w:r>
      <w:r>
        <w:rPr>
          <w:highlight w:val="none"/>
        </w:rPr>
        <w:instrText xml:space="preserve"> HYPERLINK \l "_Toc8819" </w:instrText>
      </w:r>
      <w:r>
        <w:rPr>
          <w:highlight w:val="none"/>
        </w:rPr>
        <w:fldChar w:fldCharType="separate"/>
      </w:r>
      <w:r>
        <w:rPr>
          <w:rFonts w:ascii="Arial" w:hAnsi="Arial"/>
          <w:bCs/>
          <w:szCs w:val="21"/>
          <w:highlight w:val="none"/>
        </w:rPr>
        <w:t xml:space="preserve">8) </w:t>
      </w:r>
      <w:r>
        <w:rPr>
          <w:rFonts w:hint="eastAsia" w:ascii="宋体" w:hAnsi="宋体" w:cs="宋体"/>
          <w:bCs/>
          <w:szCs w:val="21"/>
          <w:highlight w:val="none"/>
        </w:rPr>
        <w:t>其他事项</w:t>
      </w:r>
      <w:r>
        <w:rPr>
          <w:highlight w:val="none"/>
        </w:rPr>
        <w:tab/>
      </w:r>
      <w:r>
        <w:rPr>
          <w:highlight w:val="none"/>
        </w:rPr>
        <w:fldChar w:fldCharType="begin"/>
      </w:r>
      <w:r>
        <w:rPr>
          <w:highlight w:val="none"/>
        </w:rPr>
        <w:instrText xml:space="preserve"> PAGEREF _Toc8819 \h </w:instrText>
      </w:r>
      <w:r>
        <w:rPr>
          <w:highlight w:val="none"/>
        </w:rPr>
        <w:fldChar w:fldCharType="separate"/>
      </w:r>
      <w:r>
        <w:rPr>
          <w:highlight w:val="none"/>
        </w:rPr>
        <w:t>39</w:t>
      </w:r>
      <w:r>
        <w:rPr>
          <w:highlight w:val="none"/>
        </w:rPr>
        <w:fldChar w:fldCharType="end"/>
      </w:r>
      <w:r>
        <w:rPr>
          <w:highlight w:val="none"/>
        </w:rPr>
        <w:fldChar w:fldCharType="end"/>
      </w:r>
    </w:p>
    <w:p w14:paraId="33C57333">
      <w:pPr>
        <w:pStyle w:val="24"/>
        <w:tabs>
          <w:tab w:val="right" w:leader="dot" w:pos="9638"/>
          <w:tab w:val="clear" w:pos="9660"/>
        </w:tabs>
        <w:rPr>
          <w:highlight w:val="none"/>
        </w:rPr>
      </w:pPr>
      <w:r>
        <w:rPr>
          <w:highlight w:val="none"/>
        </w:rPr>
        <w:fldChar w:fldCharType="begin"/>
      </w:r>
      <w:r>
        <w:rPr>
          <w:highlight w:val="none"/>
        </w:rPr>
        <w:instrText xml:space="preserve"> HYPERLINK \l "_Toc23917" </w:instrText>
      </w:r>
      <w:r>
        <w:rPr>
          <w:highlight w:val="none"/>
        </w:rPr>
        <w:fldChar w:fldCharType="separate"/>
      </w:r>
      <w:r>
        <w:rPr>
          <w:rFonts w:hint="eastAsia" w:ascii="宋体" w:hAnsi="宋体" w:cs="宋体"/>
          <w:highlight w:val="none"/>
        </w:rPr>
        <w:t>第三部分 合同附件</w:t>
      </w:r>
      <w:r>
        <w:rPr>
          <w:highlight w:val="none"/>
        </w:rPr>
        <w:tab/>
      </w:r>
      <w:r>
        <w:rPr>
          <w:highlight w:val="none"/>
        </w:rPr>
        <w:fldChar w:fldCharType="begin"/>
      </w:r>
      <w:r>
        <w:rPr>
          <w:highlight w:val="none"/>
        </w:rPr>
        <w:instrText xml:space="preserve"> PAGEREF _Toc23917 \h </w:instrText>
      </w:r>
      <w:r>
        <w:rPr>
          <w:highlight w:val="none"/>
        </w:rPr>
        <w:fldChar w:fldCharType="separate"/>
      </w:r>
      <w:r>
        <w:rPr>
          <w:highlight w:val="none"/>
        </w:rPr>
        <w:t>41</w:t>
      </w:r>
      <w:r>
        <w:rPr>
          <w:highlight w:val="none"/>
        </w:rPr>
        <w:fldChar w:fldCharType="end"/>
      </w:r>
      <w:r>
        <w:rPr>
          <w:highlight w:val="none"/>
        </w:rPr>
        <w:fldChar w:fldCharType="end"/>
      </w:r>
    </w:p>
    <w:p w14:paraId="11D47900">
      <w:pPr>
        <w:pStyle w:val="24"/>
        <w:tabs>
          <w:tab w:val="right" w:leader="dot" w:pos="9638"/>
          <w:tab w:val="clear" w:pos="9660"/>
        </w:tabs>
        <w:rPr>
          <w:highlight w:val="none"/>
        </w:rPr>
      </w:pPr>
      <w:r>
        <w:rPr>
          <w:highlight w:val="none"/>
        </w:rPr>
        <w:fldChar w:fldCharType="begin"/>
      </w:r>
      <w:r>
        <w:rPr>
          <w:highlight w:val="none"/>
        </w:rPr>
        <w:instrText xml:space="preserve"> HYPERLINK \l "_Toc13135" </w:instrText>
      </w:r>
      <w:r>
        <w:rPr>
          <w:highlight w:val="none"/>
        </w:rPr>
        <w:fldChar w:fldCharType="separate"/>
      </w:r>
      <w:r>
        <w:rPr>
          <w:rFonts w:hint="eastAsia" w:ascii="宋体" w:hAnsi="宋体" w:cs="Courier New"/>
          <w:szCs w:val="44"/>
          <w:highlight w:val="none"/>
        </w:rPr>
        <w:t>第三部分   应提交的有关格式范例</w:t>
      </w:r>
      <w:r>
        <w:rPr>
          <w:highlight w:val="none"/>
        </w:rPr>
        <w:tab/>
      </w:r>
      <w:r>
        <w:rPr>
          <w:highlight w:val="none"/>
        </w:rPr>
        <w:fldChar w:fldCharType="begin"/>
      </w:r>
      <w:r>
        <w:rPr>
          <w:highlight w:val="none"/>
        </w:rPr>
        <w:instrText xml:space="preserve"> PAGEREF _Toc13135 \h </w:instrText>
      </w:r>
      <w:r>
        <w:rPr>
          <w:highlight w:val="none"/>
        </w:rPr>
        <w:fldChar w:fldCharType="separate"/>
      </w:r>
      <w:r>
        <w:rPr>
          <w:highlight w:val="none"/>
        </w:rPr>
        <w:t>44</w:t>
      </w:r>
      <w:r>
        <w:rPr>
          <w:highlight w:val="none"/>
        </w:rPr>
        <w:fldChar w:fldCharType="end"/>
      </w:r>
      <w:r>
        <w:rPr>
          <w:highlight w:val="none"/>
        </w:rPr>
        <w:fldChar w:fldCharType="end"/>
      </w:r>
    </w:p>
    <w:p w14:paraId="595F9F4F">
      <w:pPr>
        <w:pStyle w:val="16"/>
        <w:tabs>
          <w:tab w:val="right" w:leader="dot" w:pos="9638"/>
        </w:tabs>
        <w:rPr>
          <w:highlight w:val="none"/>
        </w:rPr>
      </w:pPr>
      <w:r>
        <w:rPr>
          <w:highlight w:val="none"/>
        </w:rPr>
        <w:fldChar w:fldCharType="begin"/>
      </w:r>
      <w:r>
        <w:rPr>
          <w:highlight w:val="none"/>
        </w:rPr>
        <w:instrText xml:space="preserve"> HYPERLINK \l "_Toc7144" </w:instrText>
      </w:r>
      <w:r>
        <w:rPr>
          <w:highlight w:val="none"/>
        </w:rPr>
        <w:fldChar w:fldCharType="separate"/>
      </w:r>
      <w:r>
        <w:rPr>
          <w:rFonts w:hint="eastAsia" w:ascii="宋体" w:hAnsi="宋体"/>
          <w:bCs/>
          <w:highlight w:val="none"/>
        </w:rPr>
        <w:t>资格文件</w:t>
      </w:r>
      <w:r>
        <w:rPr>
          <w:highlight w:val="none"/>
        </w:rPr>
        <w:tab/>
      </w:r>
      <w:r>
        <w:rPr>
          <w:highlight w:val="none"/>
        </w:rPr>
        <w:fldChar w:fldCharType="begin"/>
      </w:r>
      <w:r>
        <w:rPr>
          <w:highlight w:val="none"/>
        </w:rPr>
        <w:instrText xml:space="preserve"> PAGEREF _Toc7144 \h </w:instrText>
      </w:r>
      <w:r>
        <w:rPr>
          <w:highlight w:val="none"/>
        </w:rPr>
        <w:fldChar w:fldCharType="separate"/>
      </w:r>
      <w:r>
        <w:rPr>
          <w:highlight w:val="none"/>
        </w:rPr>
        <w:t>45</w:t>
      </w:r>
      <w:r>
        <w:rPr>
          <w:highlight w:val="none"/>
        </w:rPr>
        <w:fldChar w:fldCharType="end"/>
      </w:r>
      <w:r>
        <w:rPr>
          <w:highlight w:val="none"/>
        </w:rPr>
        <w:fldChar w:fldCharType="end"/>
      </w:r>
    </w:p>
    <w:p w14:paraId="3B47E4A4">
      <w:pPr>
        <w:pStyle w:val="16"/>
        <w:tabs>
          <w:tab w:val="right" w:leader="dot" w:pos="9638"/>
        </w:tabs>
        <w:rPr>
          <w:highlight w:val="none"/>
        </w:rPr>
      </w:pPr>
      <w:r>
        <w:rPr>
          <w:highlight w:val="none"/>
        </w:rPr>
        <w:fldChar w:fldCharType="begin"/>
      </w:r>
      <w:r>
        <w:rPr>
          <w:highlight w:val="none"/>
        </w:rPr>
        <w:instrText xml:space="preserve"> HYPERLINK \l "_Toc26447" </w:instrText>
      </w:r>
      <w:r>
        <w:rPr>
          <w:highlight w:val="none"/>
        </w:rPr>
        <w:fldChar w:fldCharType="separate"/>
      </w:r>
      <w:r>
        <w:rPr>
          <w:rFonts w:hint="eastAsia" w:ascii="宋体" w:hAnsi="宋体"/>
          <w:bCs/>
          <w:highlight w:val="none"/>
        </w:rPr>
        <w:t>报价文件</w:t>
      </w:r>
      <w:r>
        <w:rPr>
          <w:highlight w:val="none"/>
        </w:rPr>
        <w:tab/>
      </w:r>
      <w:r>
        <w:rPr>
          <w:highlight w:val="none"/>
        </w:rPr>
        <w:fldChar w:fldCharType="begin"/>
      </w:r>
      <w:r>
        <w:rPr>
          <w:highlight w:val="none"/>
        </w:rPr>
        <w:instrText xml:space="preserve"> PAGEREF _Toc26447 \h </w:instrText>
      </w:r>
      <w:r>
        <w:rPr>
          <w:highlight w:val="none"/>
        </w:rPr>
        <w:fldChar w:fldCharType="separate"/>
      </w:r>
      <w:r>
        <w:rPr>
          <w:highlight w:val="none"/>
        </w:rPr>
        <w:t>51</w:t>
      </w:r>
      <w:r>
        <w:rPr>
          <w:highlight w:val="none"/>
        </w:rPr>
        <w:fldChar w:fldCharType="end"/>
      </w:r>
      <w:r>
        <w:rPr>
          <w:highlight w:val="none"/>
        </w:rPr>
        <w:fldChar w:fldCharType="end"/>
      </w:r>
    </w:p>
    <w:p w14:paraId="2D626EA8">
      <w:pPr>
        <w:pStyle w:val="16"/>
        <w:tabs>
          <w:tab w:val="right" w:leader="dot" w:pos="9638"/>
        </w:tabs>
        <w:rPr>
          <w:highlight w:val="none"/>
        </w:rPr>
      </w:pPr>
      <w:r>
        <w:rPr>
          <w:highlight w:val="none"/>
        </w:rPr>
        <w:fldChar w:fldCharType="begin"/>
      </w:r>
      <w:r>
        <w:rPr>
          <w:highlight w:val="none"/>
        </w:rPr>
        <w:instrText xml:space="preserve"> HYPERLINK \l "_Toc27067" </w:instrText>
      </w:r>
      <w:r>
        <w:rPr>
          <w:highlight w:val="none"/>
        </w:rPr>
        <w:fldChar w:fldCharType="separate"/>
      </w:r>
      <w:r>
        <w:rPr>
          <w:rFonts w:hint="eastAsia" w:ascii="宋体" w:hAnsi="宋体"/>
          <w:bCs/>
          <w:highlight w:val="none"/>
        </w:rPr>
        <w:t>商务技术文件</w:t>
      </w:r>
      <w:r>
        <w:rPr>
          <w:highlight w:val="none"/>
        </w:rPr>
        <w:tab/>
      </w:r>
      <w:r>
        <w:rPr>
          <w:highlight w:val="none"/>
        </w:rPr>
        <w:fldChar w:fldCharType="begin"/>
      </w:r>
      <w:r>
        <w:rPr>
          <w:highlight w:val="none"/>
        </w:rPr>
        <w:instrText xml:space="preserve"> PAGEREF _Toc27067 \h </w:instrText>
      </w:r>
      <w:r>
        <w:rPr>
          <w:highlight w:val="none"/>
        </w:rPr>
        <w:fldChar w:fldCharType="separate"/>
      </w:r>
      <w:r>
        <w:rPr>
          <w:highlight w:val="none"/>
        </w:rPr>
        <w:t>53</w:t>
      </w:r>
      <w:r>
        <w:rPr>
          <w:highlight w:val="none"/>
        </w:rPr>
        <w:fldChar w:fldCharType="end"/>
      </w:r>
      <w:r>
        <w:rPr>
          <w:highlight w:val="none"/>
        </w:rPr>
        <w:fldChar w:fldCharType="end"/>
      </w:r>
    </w:p>
    <w:p w14:paraId="2969FE99">
      <w:pPr>
        <w:pStyle w:val="16"/>
        <w:tabs>
          <w:tab w:val="right" w:leader="dot" w:pos="9638"/>
        </w:tabs>
        <w:rPr>
          <w:highlight w:val="none"/>
        </w:rPr>
      </w:pPr>
      <w:r>
        <w:rPr>
          <w:highlight w:val="none"/>
        </w:rPr>
        <w:fldChar w:fldCharType="begin"/>
      </w:r>
      <w:r>
        <w:rPr>
          <w:highlight w:val="none"/>
        </w:rPr>
        <w:instrText xml:space="preserve"> HYPERLINK \l "_Toc6143" </w:instrText>
      </w:r>
      <w:r>
        <w:rPr>
          <w:highlight w:val="none"/>
        </w:rPr>
        <w:fldChar w:fldCharType="separate"/>
      </w:r>
      <w:r>
        <w:rPr>
          <w:rFonts w:hint="eastAsia" w:ascii="宋体" w:hAnsi="宋体"/>
          <w:bCs/>
          <w:highlight w:val="none"/>
        </w:rPr>
        <w:t>封面</w:t>
      </w:r>
      <w:r>
        <w:rPr>
          <w:highlight w:val="none"/>
        </w:rPr>
        <w:tab/>
      </w:r>
      <w:r>
        <w:rPr>
          <w:highlight w:val="none"/>
        </w:rPr>
        <w:fldChar w:fldCharType="begin"/>
      </w:r>
      <w:r>
        <w:rPr>
          <w:highlight w:val="none"/>
        </w:rPr>
        <w:instrText xml:space="preserve"> PAGEREF _Toc6143 \h </w:instrText>
      </w:r>
      <w:r>
        <w:rPr>
          <w:highlight w:val="none"/>
        </w:rPr>
        <w:fldChar w:fldCharType="separate"/>
      </w:r>
      <w:r>
        <w:rPr>
          <w:highlight w:val="none"/>
        </w:rPr>
        <w:t>61</w:t>
      </w:r>
      <w:r>
        <w:rPr>
          <w:highlight w:val="none"/>
        </w:rPr>
        <w:fldChar w:fldCharType="end"/>
      </w:r>
      <w:r>
        <w:rPr>
          <w:highlight w:val="none"/>
        </w:rPr>
        <w:fldChar w:fldCharType="end"/>
      </w:r>
    </w:p>
    <w:p w14:paraId="321BB1A1">
      <w:pPr>
        <w:pStyle w:val="24"/>
        <w:tabs>
          <w:tab w:val="right" w:leader="dot" w:pos="9638"/>
          <w:tab w:val="clear" w:pos="9660"/>
        </w:tabs>
        <w:rPr>
          <w:highlight w:val="none"/>
        </w:rPr>
      </w:pPr>
      <w:r>
        <w:rPr>
          <w:highlight w:val="none"/>
        </w:rPr>
        <w:fldChar w:fldCharType="begin"/>
      </w:r>
      <w:r>
        <w:rPr>
          <w:highlight w:val="none"/>
        </w:rPr>
        <w:instrText xml:space="preserve"> HYPERLINK \l "_Toc583" </w:instrText>
      </w:r>
      <w:r>
        <w:rPr>
          <w:highlight w:val="none"/>
        </w:rPr>
        <w:fldChar w:fldCharType="separate"/>
      </w:r>
      <w:r>
        <w:rPr>
          <w:rFonts w:hint="eastAsia" w:ascii="宋体" w:hAnsi="宋体"/>
          <w:szCs w:val="36"/>
          <w:highlight w:val="none"/>
        </w:rPr>
        <w:t>第四部分   采购内容及要求</w:t>
      </w:r>
      <w:r>
        <w:rPr>
          <w:highlight w:val="none"/>
        </w:rPr>
        <w:tab/>
      </w:r>
      <w:r>
        <w:rPr>
          <w:highlight w:val="none"/>
        </w:rPr>
        <w:fldChar w:fldCharType="begin"/>
      </w:r>
      <w:r>
        <w:rPr>
          <w:highlight w:val="none"/>
        </w:rPr>
        <w:instrText xml:space="preserve"> PAGEREF _Toc583 \h </w:instrText>
      </w:r>
      <w:r>
        <w:rPr>
          <w:highlight w:val="none"/>
        </w:rPr>
        <w:fldChar w:fldCharType="separate"/>
      </w:r>
      <w:r>
        <w:rPr>
          <w:highlight w:val="none"/>
        </w:rPr>
        <w:t>62</w:t>
      </w:r>
      <w:r>
        <w:rPr>
          <w:highlight w:val="none"/>
        </w:rPr>
        <w:fldChar w:fldCharType="end"/>
      </w:r>
      <w:r>
        <w:rPr>
          <w:highlight w:val="none"/>
        </w:rPr>
        <w:fldChar w:fldCharType="end"/>
      </w:r>
    </w:p>
    <w:p w14:paraId="5EFDC7B5">
      <w:pPr>
        <w:pStyle w:val="24"/>
        <w:tabs>
          <w:tab w:val="right" w:leader="dot" w:pos="9638"/>
          <w:tab w:val="clear" w:pos="9660"/>
        </w:tabs>
        <w:rPr>
          <w:highlight w:val="none"/>
        </w:rPr>
      </w:pPr>
      <w:r>
        <w:rPr>
          <w:highlight w:val="none"/>
        </w:rPr>
        <w:fldChar w:fldCharType="begin"/>
      </w:r>
      <w:r>
        <w:rPr>
          <w:highlight w:val="none"/>
        </w:rPr>
        <w:instrText xml:space="preserve"> HYPERLINK \l "_Toc25383" </w:instrText>
      </w:r>
      <w:r>
        <w:rPr>
          <w:highlight w:val="none"/>
        </w:rPr>
        <w:fldChar w:fldCharType="separate"/>
      </w:r>
      <w:r>
        <w:rPr>
          <w:rFonts w:hint="eastAsia" w:ascii="宋体" w:hAnsi="宋体" w:cs="Arial Unicode MS"/>
          <w:szCs w:val="36"/>
          <w:highlight w:val="none"/>
        </w:rPr>
        <w:t xml:space="preserve">第五部分   </w:t>
      </w:r>
      <w:r>
        <w:rPr>
          <w:rFonts w:hint="eastAsia" w:ascii="宋体" w:hAnsi="宋体"/>
          <w:szCs w:val="36"/>
          <w:highlight w:val="none"/>
        </w:rPr>
        <w:t>评标原则及办法</w:t>
      </w:r>
      <w:r>
        <w:rPr>
          <w:highlight w:val="none"/>
        </w:rPr>
        <w:tab/>
      </w:r>
      <w:r>
        <w:rPr>
          <w:highlight w:val="none"/>
        </w:rPr>
        <w:fldChar w:fldCharType="begin"/>
      </w:r>
      <w:r>
        <w:rPr>
          <w:highlight w:val="none"/>
        </w:rPr>
        <w:instrText xml:space="preserve"> PAGEREF _Toc25383 \h </w:instrText>
      </w:r>
      <w:r>
        <w:rPr>
          <w:highlight w:val="none"/>
        </w:rPr>
        <w:fldChar w:fldCharType="separate"/>
      </w:r>
      <w:r>
        <w:rPr>
          <w:highlight w:val="none"/>
        </w:rPr>
        <w:t>67</w:t>
      </w:r>
      <w:r>
        <w:rPr>
          <w:highlight w:val="none"/>
        </w:rPr>
        <w:fldChar w:fldCharType="end"/>
      </w:r>
      <w:r>
        <w:rPr>
          <w:highlight w:val="none"/>
        </w:rPr>
        <w:fldChar w:fldCharType="end"/>
      </w:r>
    </w:p>
    <w:p w14:paraId="39A1AD84">
      <w:pPr>
        <w:pStyle w:val="24"/>
        <w:spacing w:line="360" w:lineRule="auto"/>
        <w:jc w:val="left"/>
        <w:rPr>
          <w:rFonts w:ascii="宋体" w:hAnsi="宋体" w:cs="Courier New"/>
          <w:b/>
          <w:bCs/>
          <w:sz w:val="21"/>
          <w:szCs w:val="22"/>
          <w:highlight w:val="none"/>
        </w:rPr>
      </w:pPr>
      <w:r>
        <w:rPr>
          <w:rFonts w:hint="eastAsia" w:ascii="宋体" w:hAnsi="宋体"/>
          <w:highlight w:val="none"/>
        </w:rPr>
        <w:fldChar w:fldCharType="end"/>
      </w:r>
      <w:r>
        <w:rPr>
          <w:rFonts w:ascii="宋体" w:hAnsi="宋体" w:cs="Courier New"/>
          <w:b/>
          <w:bCs/>
          <w:sz w:val="21"/>
          <w:szCs w:val="22"/>
          <w:highlight w:val="none"/>
        </w:rPr>
        <w:t>注：</w:t>
      </w:r>
      <w:r>
        <w:rPr>
          <w:rFonts w:hint="eastAsia" w:ascii="宋体" w:hAnsi="宋体" w:cs="Courier New"/>
          <w:b/>
          <w:bCs/>
          <w:sz w:val="21"/>
          <w:szCs w:val="22"/>
          <w:highlight w:val="none"/>
        </w:rPr>
        <w:t>请投标人</w:t>
      </w:r>
      <w:r>
        <w:rPr>
          <w:rFonts w:ascii="宋体" w:hAnsi="宋体" w:cs="Courier New"/>
          <w:b/>
          <w:bCs/>
          <w:sz w:val="21"/>
          <w:szCs w:val="22"/>
          <w:highlight w:val="none"/>
        </w:rPr>
        <w:t>认真查看招标文件中的每一个条款及要求，因误读招标文件而造成的后果，采购人概不负责。</w:t>
      </w:r>
      <w:bookmarkStart w:id="0" w:name="_Toc227056844"/>
      <w:bookmarkStart w:id="1" w:name="_Toc227489885"/>
      <w:bookmarkStart w:id="2" w:name="_Toc227057031"/>
      <w:bookmarkStart w:id="3" w:name="_Toc218041724"/>
      <w:bookmarkStart w:id="4" w:name="_Toc223933219"/>
      <w:bookmarkStart w:id="5" w:name="_Toc215415528"/>
      <w:bookmarkStart w:id="6" w:name="_Toc217460683"/>
      <w:bookmarkStart w:id="7" w:name="_Toc219538611"/>
      <w:bookmarkStart w:id="8" w:name="_Toc223717602"/>
      <w:bookmarkStart w:id="9" w:name="_Toc216667818"/>
    </w:p>
    <w:p w14:paraId="6E4C95BC">
      <w:pPr>
        <w:widowControl/>
        <w:jc w:val="left"/>
        <w:rPr>
          <w:rFonts w:ascii="宋体" w:hAnsi="宋体" w:cs="Courier New"/>
          <w:b/>
          <w:bCs/>
          <w:sz w:val="36"/>
          <w:szCs w:val="36"/>
          <w:highlight w:val="none"/>
          <w:lang w:val="zh-CN"/>
        </w:rPr>
      </w:pPr>
      <w:r>
        <w:rPr>
          <w:rFonts w:ascii="宋体" w:hAnsi="宋体" w:cs="Courier New"/>
          <w:sz w:val="36"/>
          <w:szCs w:val="36"/>
          <w:highlight w:val="none"/>
        </w:rPr>
        <w:br w:type="page"/>
      </w:r>
      <w:bookmarkEnd w:id="0"/>
      <w:bookmarkEnd w:id="1"/>
      <w:bookmarkEnd w:id="2"/>
      <w:bookmarkEnd w:id="3"/>
      <w:bookmarkEnd w:id="4"/>
      <w:bookmarkEnd w:id="5"/>
      <w:bookmarkEnd w:id="6"/>
      <w:bookmarkEnd w:id="7"/>
      <w:bookmarkEnd w:id="8"/>
      <w:bookmarkEnd w:id="9"/>
    </w:p>
    <w:p w14:paraId="0C1C8C53">
      <w:pPr>
        <w:pStyle w:val="2"/>
        <w:spacing w:before="120" w:beforeLines="50"/>
        <w:rPr>
          <w:rFonts w:ascii="宋体" w:hAnsi="宋体" w:eastAsia="宋体" w:cs="Courier New"/>
          <w:sz w:val="36"/>
          <w:szCs w:val="36"/>
          <w:highlight w:val="none"/>
        </w:rPr>
      </w:pPr>
      <w:bookmarkStart w:id="10" w:name="_Toc31588"/>
      <w:r>
        <w:rPr>
          <w:rFonts w:hint="eastAsia" w:ascii="宋体" w:hAnsi="宋体" w:eastAsia="宋体" w:cs="Courier New"/>
          <w:sz w:val="36"/>
          <w:szCs w:val="36"/>
          <w:highlight w:val="none"/>
        </w:rPr>
        <w:t>关于</w:t>
      </w:r>
      <w:r>
        <w:rPr>
          <w:rFonts w:hint="eastAsia" w:ascii="宋体" w:hAnsi="宋体" w:eastAsia="宋体" w:cs="Courier New"/>
          <w:sz w:val="36"/>
          <w:szCs w:val="36"/>
          <w:highlight w:val="none"/>
          <w:lang w:eastAsia="zh-CN"/>
        </w:rPr>
        <w:t>欧湾华庭、臻湾华庭存量房代销项目</w:t>
      </w:r>
      <w:r>
        <w:rPr>
          <w:rFonts w:hint="eastAsia" w:ascii="宋体" w:hAnsi="宋体" w:eastAsia="宋体" w:cs="Courier New"/>
          <w:sz w:val="36"/>
          <w:szCs w:val="36"/>
          <w:highlight w:val="none"/>
        </w:rPr>
        <w:t>的公开招标公告</w:t>
      </w:r>
      <w:bookmarkEnd w:id="10"/>
    </w:p>
    <w:p w14:paraId="45E2BAAB">
      <w:pPr>
        <w:rPr>
          <w:highlight w:val="none"/>
          <w:lang w:val="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004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14:paraId="0B33F5F6">
            <w:pPr>
              <w:widowControl/>
              <w:spacing w:line="440" w:lineRule="exact"/>
              <w:jc w:val="left"/>
              <w:rPr>
                <w:rFonts w:ascii="宋体" w:hAnsi="宋体" w:cs="宋体"/>
                <w:kern w:val="0"/>
                <w:sz w:val="21"/>
                <w:szCs w:val="21"/>
                <w:highlight w:val="none"/>
              </w:rPr>
            </w:pPr>
            <w:r>
              <w:rPr>
                <w:rFonts w:eastAsia="仿宋" w:cs="Calibri"/>
                <w:kern w:val="0"/>
                <w:sz w:val="21"/>
                <w:szCs w:val="21"/>
                <w:highlight w:val="none"/>
              </w:rPr>
              <w:t> </w:t>
            </w:r>
            <w:r>
              <w:rPr>
                <w:rFonts w:hint="eastAsia" w:ascii="宋体" w:hAnsi="宋体" w:cs="宋体"/>
                <w:kern w:val="0"/>
                <w:sz w:val="21"/>
                <w:szCs w:val="21"/>
                <w:highlight w:val="none"/>
              </w:rPr>
              <w:t>项目概况：</w:t>
            </w:r>
            <w:r>
              <w:rPr>
                <w:rFonts w:hint="eastAsia" w:ascii="宋体" w:hAnsi="宋体" w:cs="宋体"/>
                <w:kern w:val="0"/>
                <w:sz w:val="21"/>
                <w:szCs w:val="21"/>
                <w:highlight w:val="none"/>
                <w:lang w:eastAsia="zh-CN"/>
              </w:rPr>
              <w:t>欧湾华庭、臻湾华庭存量房代销项目</w:t>
            </w:r>
            <w:r>
              <w:rPr>
                <w:rFonts w:hint="eastAsia" w:ascii="宋体" w:hAnsi="宋体" w:cs="宋体"/>
                <w:kern w:val="0"/>
                <w:sz w:val="21"/>
                <w:szCs w:val="21"/>
                <w:highlight w:val="none"/>
              </w:rPr>
              <w:t>招标项目的潜在投标人应在</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https://www.lecaiyun.com/</w:t>
            </w:r>
            <w:r>
              <w:rPr>
                <w:rFonts w:hint="eastAsia" w:ascii="宋体" w:hAnsi="宋体" w:cs="宋体"/>
                <w:kern w:val="0"/>
                <w:sz w:val="21"/>
                <w:szCs w:val="21"/>
                <w:highlight w:val="none"/>
              </w:rPr>
              <w:t>）获取（下载）招标文件，并于</w:t>
            </w:r>
            <w:r>
              <w:rPr>
                <w:rFonts w:hint="eastAsia" w:ascii="宋体" w:hAnsi="宋体" w:cs="宋体"/>
                <w:kern w:val="0"/>
                <w:sz w:val="21"/>
                <w:szCs w:val="21"/>
                <w:highlight w:val="none"/>
                <w:lang w:eastAsia="zh-CN"/>
              </w:rPr>
              <w:t>20</w:t>
            </w:r>
            <w:r>
              <w:rPr>
                <w:rFonts w:hint="eastAsia" w:ascii="宋体" w:hAnsi="宋体" w:cs="宋体"/>
                <w:kern w:val="0"/>
                <w:sz w:val="21"/>
                <w:szCs w:val="21"/>
                <w:highlight w:val="none"/>
                <w:lang w:val="en-US" w:eastAsia="zh-CN"/>
              </w:rPr>
              <w:t>25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07</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日 09:30（北京时间）前递交（上传）投标文件。</w:t>
            </w:r>
          </w:p>
        </w:tc>
      </w:tr>
    </w:tbl>
    <w:p w14:paraId="4E93AD68">
      <w:pPr>
        <w:rPr>
          <w:sz w:val="21"/>
          <w:szCs w:val="21"/>
          <w:highlight w:val="none"/>
          <w:lang w:val="zh-CN"/>
        </w:rPr>
      </w:pPr>
    </w:p>
    <w:p w14:paraId="589E0651">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一、项目基本情况</w:t>
      </w:r>
    </w:p>
    <w:p w14:paraId="2FD6C405">
      <w:pPr>
        <w:widowControl/>
        <w:spacing w:line="440" w:lineRule="exact"/>
        <w:ind w:firstLine="525" w:firstLineChars="250"/>
        <w:jc w:val="left"/>
        <w:rPr>
          <w:rFonts w:hint="eastAsia" w:ascii="宋体" w:hAnsi="宋体" w:cs="宋体"/>
          <w:sz w:val="21"/>
          <w:szCs w:val="21"/>
          <w:highlight w:val="none"/>
          <w:lang w:eastAsia="zh-CN"/>
        </w:rPr>
      </w:pPr>
      <w:r>
        <w:rPr>
          <w:rFonts w:hint="eastAsia" w:ascii="宋体" w:hAnsi="宋体" w:cs="宋体"/>
          <w:sz w:val="21"/>
          <w:szCs w:val="21"/>
          <w:highlight w:val="none"/>
        </w:rPr>
        <w:t>项目编号：</w:t>
      </w:r>
      <w:r>
        <w:rPr>
          <w:rFonts w:hint="eastAsia" w:ascii="宋体" w:hAnsi="宋体" w:cs="宋体"/>
          <w:sz w:val="21"/>
          <w:szCs w:val="21"/>
          <w:highlight w:val="none"/>
          <w:lang w:eastAsia="zh-CN"/>
        </w:rPr>
        <w:t>ZJLC-2025050201(M)</w:t>
      </w:r>
    </w:p>
    <w:p w14:paraId="4F2E2681">
      <w:pPr>
        <w:widowControl/>
        <w:spacing w:line="440" w:lineRule="exact"/>
        <w:ind w:firstLine="525" w:firstLineChars="250"/>
        <w:jc w:val="left"/>
        <w:rPr>
          <w:rFonts w:ascii="宋体" w:hAnsi="宋体" w:cs="宋体"/>
          <w:sz w:val="21"/>
          <w:szCs w:val="21"/>
          <w:highlight w:val="none"/>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欧湾华庭、臻湾华庭存量房代销项目</w:t>
      </w:r>
    </w:p>
    <w:p w14:paraId="0E647484">
      <w:pPr>
        <w:widowControl/>
        <w:spacing w:line="440" w:lineRule="exact"/>
        <w:ind w:firstLine="525" w:firstLineChars="25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预算金额（元）：</w:t>
      </w:r>
      <w:r>
        <w:rPr>
          <w:rFonts w:hint="eastAsia" w:ascii="宋体" w:hAnsi="宋体" w:cs="宋体"/>
          <w:b/>
          <w:bCs/>
          <w:sz w:val="21"/>
          <w:szCs w:val="21"/>
          <w:highlight w:val="none"/>
          <w:lang w:val="en-US" w:eastAsia="zh-CN"/>
        </w:rPr>
        <w:t>10509000</w:t>
      </w:r>
      <w:r>
        <w:rPr>
          <w:rFonts w:hint="eastAsia" w:ascii="宋体" w:hAnsi="宋体" w:cs="宋体"/>
          <w:b/>
          <w:bCs/>
          <w:sz w:val="21"/>
          <w:szCs w:val="21"/>
          <w:highlight w:val="none"/>
          <w:lang w:eastAsia="zh-CN"/>
        </w:rPr>
        <w:t>；</w:t>
      </w:r>
    </w:p>
    <w:p w14:paraId="4A20E76E">
      <w:pPr>
        <w:widowControl/>
        <w:spacing w:line="440" w:lineRule="exac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最高限价（元）：</w:t>
      </w:r>
      <w:r>
        <w:rPr>
          <w:rFonts w:hint="eastAsia" w:ascii="宋体" w:hAnsi="宋体" w:cs="宋体"/>
          <w:b/>
          <w:bCs/>
          <w:sz w:val="21"/>
          <w:szCs w:val="21"/>
          <w:highlight w:val="none"/>
          <w:lang w:val="en-US" w:eastAsia="zh-CN"/>
        </w:rPr>
        <w:t>10509000</w:t>
      </w:r>
      <w:r>
        <w:rPr>
          <w:rFonts w:hint="eastAsia" w:ascii="宋体" w:hAnsi="宋体" w:cs="宋体"/>
          <w:b/>
          <w:bCs/>
          <w:sz w:val="21"/>
          <w:szCs w:val="21"/>
          <w:highlight w:val="none"/>
          <w:lang w:eastAsia="zh-CN"/>
        </w:rPr>
        <w:t>；</w:t>
      </w:r>
    </w:p>
    <w:tbl>
      <w:tblPr>
        <w:tblStyle w:val="33"/>
        <w:tblW w:w="4442"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655"/>
        <w:gridCol w:w="1274"/>
        <w:gridCol w:w="1075"/>
        <w:gridCol w:w="976"/>
        <w:gridCol w:w="1288"/>
        <w:gridCol w:w="926"/>
      </w:tblGrid>
      <w:tr w14:paraId="644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20" w:type="pct"/>
            <w:noWrap w:val="0"/>
            <w:vAlign w:val="center"/>
          </w:tcPr>
          <w:p w14:paraId="55514F7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516" w:type="pct"/>
            <w:noWrap w:val="0"/>
            <w:vAlign w:val="center"/>
          </w:tcPr>
          <w:p w14:paraId="28759688">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采购内容</w:t>
            </w:r>
          </w:p>
        </w:tc>
        <w:tc>
          <w:tcPr>
            <w:tcW w:w="727" w:type="pct"/>
            <w:noWrap w:val="0"/>
            <w:vAlign w:val="center"/>
          </w:tcPr>
          <w:p w14:paraId="27C79853">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销售金额</w:t>
            </w:r>
            <w:r>
              <w:rPr>
                <w:rFonts w:hint="eastAsia" w:ascii="宋体" w:hAnsi="宋体" w:eastAsia="宋体" w:cs="宋体"/>
                <w:b/>
                <w:color w:val="auto"/>
                <w:sz w:val="21"/>
                <w:szCs w:val="21"/>
                <w:highlight w:val="none"/>
                <w:lang w:val="en-US" w:eastAsia="zh-CN"/>
              </w:rPr>
              <w:t>（暂定）</w:t>
            </w:r>
          </w:p>
          <w:p w14:paraId="304AA5F9">
            <w:pPr>
              <w:keepNext w:val="0"/>
              <w:keepLines w:val="0"/>
              <w:suppressLineNumbers w:val="0"/>
              <w:spacing w:before="0" w:beforeAutospacing="0" w:after="0" w:afterAutospacing="0"/>
              <w:ind w:left="0" w:leftChars="0" w:right="0" w:rightChars="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（万元）</w:t>
            </w:r>
          </w:p>
        </w:tc>
        <w:tc>
          <w:tcPr>
            <w:tcW w:w="613" w:type="pct"/>
            <w:noWrap w:val="0"/>
            <w:vAlign w:val="center"/>
          </w:tcPr>
          <w:p w14:paraId="1BB40D6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销售</w:t>
            </w:r>
            <w:r>
              <w:rPr>
                <w:rFonts w:hint="eastAsia" w:ascii="宋体" w:hAnsi="宋体" w:eastAsia="宋体" w:cs="宋体"/>
                <w:b/>
                <w:color w:val="auto"/>
                <w:sz w:val="21"/>
                <w:szCs w:val="21"/>
                <w:highlight w:val="none"/>
                <w:lang w:val="en-US" w:eastAsia="zh-CN"/>
              </w:rPr>
              <w:t>数量（暂定）</w:t>
            </w:r>
          </w:p>
          <w:p w14:paraId="00C36FF7">
            <w:pPr>
              <w:keepNext w:val="0"/>
              <w:keepLines w:val="0"/>
              <w:suppressLineNumbers w:val="0"/>
              <w:spacing w:before="0" w:beforeAutospacing="0" w:after="0" w:afterAutospacing="0"/>
              <w:ind w:left="0" w:leftChars="0" w:right="0" w:rightChars="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（套）</w:t>
            </w:r>
          </w:p>
        </w:tc>
        <w:tc>
          <w:tcPr>
            <w:tcW w:w="557" w:type="pct"/>
            <w:noWrap w:val="0"/>
            <w:vAlign w:val="center"/>
          </w:tcPr>
          <w:p w14:paraId="23B382D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面</w:t>
            </w:r>
            <w:r>
              <w:rPr>
                <w:rFonts w:hint="eastAsia" w:ascii="宋体" w:hAnsi="宋体" w:eastAsia="宋体" w:cs="宋体"/>
                <w:b/>
                <w:color w:val="auto"/>
                <w:sz w:val="21"/>
                <w:szCs w:val="21"/>
                <w:highlight w:val="none"/>
                <w:lang w:val="en-US" w:eastAsia="zh-CN"/>
              </w:rPr>
              <w:t>积</w:t>
            </w:r>
          </w:p>
          <w:p w14:paraId="448E0BA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（暂定）</w:t>
            </w:r>
          </w:p>
          <w:p w14:paraId="39A21138">
            <w:pPr>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c>
          <w:tcPr>
            <w:tcW w:w="735" w:type="pct"/>
            <w:noWrap w:val="0"/>
            <w:vAlign w:val="center"/>
          </w:tcPr>
          <w:p w14:paraId="3A0F4353">
            <w:pPr>
              <w:keepNext w:val="0"/>
              <w:keepLines w:val="0"/>
              <w:suppressLineNumbers w:val="0"/>
              <w:spacing w:before="0" w:beforeAutospacing="0" w:after="0" w:afterAutospacing="0"/>
              <w:ind w:left="0" w:right="0"/>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代销服务费最高限价（万元）</w:t>
            </w:r>
          </w:p>
        </w:tc>
        <w:tc>
          <w:tcPr>
            <w:tcW w:w="528" w:type="pct"/>
            <w:noWrap w:val="0"/>
            <w:vAlign w:val="center"/>
          </w:tcPr>
          <w:p w14:paraId="525CB6D6">
            <w:pPr>
              <w:keepNext w:val="0"/>
              <w:keepLines w:val="0"/>
              <w:suppressLineNumbers w:val="0"/>
              <w:spacing w:before="0" w:beforeAutospacing="0" w:after="0" w:afterAutospacing="0"/>
              <w:ind w:left="0" w:right="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043E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0" w:type="pct"/>
            <w:noWrap w:val="0"/>
            <w:vAlign w:val="center"/>
          </w:tcPr>
          <w:p w14:paraId="7F7025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516" w:type="pct"/>
            <w:noWrap w:val="0"/>
            <w:vAlign w:val="center"/>
          </w:tcPr>
          <w:p w14:paraId="7EEEE665">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欧湾华庭代理销售服务费</w:t>
            </w:r>
          </w:p>
        </w:tc>
        <w:tc>
          <w:tcPr>
            <w:tcW w:w="727" w:type="pct"/>
            <w:noWrap w:val="0"/>
            <w:vAlign w:val="center"/>
          </w:tcPr>
          <w:p w14:paraId="108AF65F">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14539</w:t>
            </w:r>
          </w:p>
        </w:tc>
        <w:tc>
          <w:tcPr>
            <w:tcW w:w="613" w:type="pct"/>
            <w:noWrap w:val="0"/>
            <w:vAlign w:val="center"/>
          </w:tcPr>
          <w:p w14:paraId="4E13282F">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557" w:type="pct"/>
            <w:noWrap w:val="0"/>
            <w:vAlign w:val="center"/>
          </w:tcPr>
          <w:p w14:paraId="3454AFA1">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9007</w:t>
            </w:r>
          </w:p>
        </w:tc>
        <w:tc>
          <w:tcPr>
            <w:tcW w:w="735" w:type="pct"/>
            <w:noWrap w:val="0"/>
            <w:vAlign w:val="center"/>
          </w:tcPr>
          <w:p w14:paraId="2CAAEBE9">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726.95</w:t>
            </w:r>
          </w:p>
        </w:tc>
        <w:tc>
          <w:tcPr>
            <w:tcW w:w="528" w:type="pct"/>
            <w:noWrap w:val="0"/>
            <w:vAlign w:val="center"/>
          </w:tcPr>
          <w:p w14:paraId="315A02AC">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p>
        </w:tc>
      </w:tr>
      <w:tr w14:paraId="2BE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0" w:type="pct"/>
            <w:noWrap w:val="0"/>
            <w:vAlign w:val="center"/>
          </w:tcPr>
          <w:p w14:paraId="412182F0">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16" w:type="pct"/>
            <w:noWrap w:val="0"/>
            <w:vAlign w:val="center"/>
          </w:tcPr>
          <w:p w14:paraId="12C72B05">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臻湾华庭代理销售服务费</w:t>
            </w:r>
          </w:p>
        </w:tc>
        <w:tc>
          <w:tcPr>
            <w:tcW w:w="727" w:type="pct"/>
            <w:noWrap w:val="0"/>
            <w:vAlign w:val="center"/>
          </w:tcPr>
          <w:p w14:paraId="7A2E93A1">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6479</w:t>
            </w:r>
          </w:p>
        </w:tc>
        <w:tc>
          <w:tcPr>
            <w:tcW w:w="613" w:type="pct"/>
            <w:noWrap w:val="0"/>
            <w:vAlign w:val="center"/>
          </w:tcPr>
          <w:p w14:paraId="6F3C2E30">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557" w:type="pct"/>
            <w:noWrap w:val="0"/>
            <w:vAlign w:val="center"/>
          </w:tcPr>
          <w:p w14:paraId="4795B62E">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4678</w:t>
            </w:r>
          </w:p>
        </w:tc>
        <w:tc>
          <w:tcPr>
            <w:tcW w:w="735" w:type="pct"/>
            <w:noWrap w:val="0"/>
            <w:vAlign w:val="center"/>
          </w:tcPr>
          <w:p w14:paraId="353EA0D5">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323.95</w:t>
            </w:r>
          </w:p>
        </w:tc>
        <w:tc>
          <w:tcPr>
            <w:tcW w:w="528" w:type="pct"/>
            <w:noWrap w:val="0"/>
            <w:vAlign w:val="center"/>
          </w:tcPr>
          <w:p w14:paraId="02629469">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p>
        </w:tc>
      </w:tr>
    </w:tbl>
    <w:p w14:paraId="04D5072B">
      <w:pPr>
        <w:widowControl/>
        <w:spacing w:line="440" w:lineRule="exact"/>
        <w:ind w:firstLine="525" w:firstLineChars="25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采购需求：包括但不限于负责销售代理服务团队组建；负责市场调查研究分析、提交销售价格建议；负责项目营销策划和销售广告宣传（含媒体宣传、平面宣传与文本图册宣传等）；负责日常销售实施和管理；负责销售合同拟定、备案、签订和管理；负责前期蓄客及客户的退房、投诉处理；负责办理按揭贷款、催收资金回笼；负责房款结算、交房及前期物业的对接等本项目所有营销相关手续办理等工作</w:t>
      </w:r>
      <w:r>
        <w:rPr>
          <w:rFonts w:hint="eastAsia" w:ascii="宋体" w:hAnsi="宋体" w:cs="宋体"/>
          <w:sz w:val="21"/>
          <w:szCs w:val="21"/>
          <w:highlight w:val="none"/>
          <w:lang w:eastAsia="zh-CN"/>
        </w:rPr>
        <w:t>。</w:t>
      </w:r>
    </w:p>
    <w:p w14:paraId="06BBD1F2">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标项名称：</w:t>
      </w:r>
      <w:r>
        <w:rPr>
          <w:rFonts w:hint="eastAsia" w:ascii="宋体" w:hAnsi="宋体" w:cs="宋体"/>
          <w:sz w:val="21"/>
          <w:szCs w:val="21"/>
          <w:highlight w:val="none"/>
          <w:lang w:eastAsia="zh-CN"/>
        </w:rPr>
        <w:t>欧湾华庭、臻湾华庭存量房代销项目</w:t>
      </w:r>
    </w:p>
    <w:p w14:paraId="354415E6">
      <w:pPr>
        <w:widowControl/>
        <w:spacing w:line="440" w:lineRule="exact"/>
        <w:ind w:firstLine="525" w:firstLineChars="25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备注：合同履约期限：</w:t>
      </w:r>
      <w:r>
        <w:rPr>
          <w:rFonts w:hint="eastAsia" w:ascii="宋体" w:hAnsi="宋体" w:cs="宋体"/>
          <w:kern w:val="0"/>
          <w:sz w:val="21"/>
          <w:szCs w:val="21"/>
          <w:highlight w:val="none"/>
          <w:lang w:val="en-US" w:eastAsia="zh-CN"/>
        </w:rPr>
        <w:t>2年</w:t>
      </w:r>
    </w:p>
    <w:p w14:paraId="4C33383E">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本项目</w:t>
      </w:r>
      <w:r>
        <w:rPr>
          <w:rFonts w:hint="eastAsia" w:ascii="宋体" w:hAnsi="宋体" w:cs="宋体"/>
          <w:kern w:val="0"/>
          <w:sz w:val="21"/>
          <w:szCs w:val="21"/>
          <w:highlight w:val="none"/>
          <w:u w:val="single"/>
          <w:lang w:val="en-US" w:eastAsia="zh-CN"/>
        </w:rPr>
        <w:t>不</w:t>
      </w:r>
      <w:r>
        <w:rPr>
          <w:rFonts w:hint="eastAsia" w:ascii="宋体" w:hAnsi="宋体" w:cs="宋体"/>
          <w:kern w:val="0"/>
          <w:sz w:val="21"/>
          <w:szCs w:val="21"/>
          <w:highlight w:val="none"/>
          <w:u w:val="single"/>
        </w:rPr>
        <w:t>接受</w:t>
      </w:r>
      <w:r>
        <w:rPr>
          <w:rFonts w:hint="eastAsia" w:ascii="宋体" w:hAnsi="宋体" w:cs="宋体"/>
          <w:kern w:val="0"/>
          <w:sz w:val="21"/>
          <w:szCs w:val="21"/>
          <w:highlight w:val="none"/>
        </w:rPr>
        <w:t>联合体投标。</w:t>
      </w:r>
    </w:p>
    <w:p w14:paraId="0DBE3B93">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二、申请人的资格要求：</w:t>
      </w:r>
    </w:p>
    <w:p w14:paraId="15BD7C43">
      <w:pPr>
        <w:widowControl/>
        <w:wordWrap w:val="0"/>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1. 满足《</w:t>
      </w:r>
      <w:r>
        <w:rPr>
          <w:rFonts w:hint="eastAsia" w:ascii="宋体" w:hAnsi="宋体" w:cs="宋体"/>
          <w:kern w:val="0"/>
          <w:sz w:val="21"/>
          <w:szCs w:val="21"/>
          <w:highlight w:val="none"/>
          <w:lang w:eastAsia="zh-CN"/>
        </w:rPr>
        <w:t>《温州市瓯海区区属国有企业采购管理办法》温瓯政办发〔2024〕44号“三、采购当事人中第四款”对投标供应商的基本资格条件</w:t>
      </w:r>
      <w:r>
        <w:rPr>
          <w:rFonts w:hint="eastAsia" w:ascii="宋体" w:hAnsi="宋体" w:cs="宋体"/>
          <w:kern w:val="0"/>
          <w:sz w:val="21"/>
          <w:szCs w:val="21"/>
          <w:highlight w:val="none"/>
        </w:rPr>
        <w:t>；未被“信用中国”（www.creditchina.gov.cn)、中国</w:t>
      </w:r>
      <w:r>
        <w:rPr>
          <w:rFonts w:hint="eastAsia" w:ascii="宋体" w:hAnsi="宋体" w:cs="宋体"/>
          <w:kern w:val="0"/>
          <w:sz w:val="21"/>
          <w:szCs w:val="21"/>
          <w:highlight w:val="none"/>
          <w:lang w:val="en-US" w:eastAsia="zh-CN"/>
        </w:rPr>
        <w:t>政府</w:t>
      </w:r>
      <w:r>
        <w:rPr>
          <w:rFonts w:hint="eastAsia" w:ascii="宋体" w:hAnsi="宋体" w:cs="宋体"/>
          <w:kern w:val="0"/>
          <w:sz w:val="21"/>
          <w:szCs w:val="21"/>
          <w:highlight w:val="none"/>
          <w:lang w:eastAsia="zh-CN"/>
        </w:rPr>
        <w:t>采购</w:t>
      </w:r>
      <w:r>
        <w:rPr>
          <w:rFonts w:hint="eastAsia" w:ascii="宋体" w:hAnsi="宋体" w:cs="宋体"/>
          <w:kern w:val="0"/>
          <w:sz w:val="21"/>
          <w:szCs w:val="21"/>
          <w:highlight w:val="none"/>
        </w:rPr>
        <w:t>网（www.ccgp.gov.cn）列入失信被执行人、重大税收违法案件当事人名单、</w:t>
      </w:r>
      <w:r>
        <w:rPr>
          <w:rFonts w:hint="eastAsia" w:ascii="宋体" w:hAnsi="宋体" w:cs="宋体"/>
          <w:kern w:val="0"/>
          <w:sz w:val="21"/>
          <w:szCs w:val="21"/>
          <w:highlight w:val="none"/>
          <w:lang w:eastAsia="zh-CN"/>
        </w:rPr>
        <w:t>采购</w:t>
      </w:r>
      <w:r>
        <w:rPr>
          <w:rFonts w:hint="eastAsia" w:ascii="宋体" w:hAnsi="宋体" w:cs="宋体"/>
          <w:kern w:val="0"/>
          <w:sz w:val="21"/>
          <w:szCs w:val="21"/>
          <w:highlight w:val="none"/>
        </w:rPr>
        <w:t>严重违法失信行为记录名单。</w:t>
      </w:r>
    </w:p>
    <w:p w14:paraId="2427F451">
      <w:pPr>
        <w:widowControl/>
        <w:spacing w:line="440" w:lineRule="exact"/>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2.本项目的特定资格要求：</w:t>
      </w:r>
      <w:r>
        <w:rPr>
          <w:rFonts w:hint="eastAsia" w:ascii="宋体" w:hAnsi="宋体" w:cs="宋体"/>
          <w:kern w:val="0"/>
          <w:sz w:val="21"/>
          <w:szCs w:val="21"/>
          <w:highlight w:val="none"/>
          <w:lang w:val="en-US" w:eastAsia="zh-CN"/>
        </w:rPr>
        <w:t>无</w:t>
      </w:r>
    </w:p>
    <w:p w14:paraId="66C65F18">
      <w:pPr>
        <w:widowControl/>
        <w:spacing w:line="44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三、获取招标文件</w:t>
      </w:r>
    </w:p>
    <w:p w14:paraId="6E78A905">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时间：</w:t>
      </w:r>
      <w:r>
        <w:rPr>
          <w:rFonts w:hint="eastAsia" w:ascii="宋体" w:hAnsi="宋体" w:cs="宋体"/>
          <w:kern w:val="0"/>
          <w:sz w:val="21"/>
          <w:szCs w:val="21"/>
          <w:highlight w:val="none"/>
          <w:lang w:eastAsia="zh-CN"/>
        </w:rPr>
        <w:t>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07</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03</w:t>
      </w:r>
      <w:r>
        <w:rPr>
          <w:rFonts w:hint="eastAsia" w:ascii="宋体" w:hAnsi="宋体" w:cs="宋体"/>
          <w:kern w:val="0"/>
          <w:sz w:val="21"/>
          <w:szCs w:val="21"/>
          <w:highlight w:val="none"/>
        </w:rPr>
        <w:t>日至</w:t>
      </w:r>
      <w:r>
        <w:rPr>
          <w:rFonts w:hint="eastAsia" w:ascii="宋体" w:hAnsi="宋体" w:cs="宋体"/>
          <w:kern w:val="0"/>
          <w:sz w:val="21"/>
          <w:szCs w:val="21"/>
          <w:highlight w:val="none"/>
          <w:lang w:eastAsia="zh-CN"/>
        </w:rPr>
        <w:t>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07</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日，每天上午00:00至12:00，下午12:00至23:59（北京时间，线上获取法定节假日均可，线下获取文件法定节假日除外）</w:t>
      </w:r>
    </w:p>
    <w:p w14:paraId="3DA97ADA">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地点（网址）：</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https://www.lecaiyun.com/</w:t>
      </w:r>
      <w:r>
        <w:rPr>
          <w:rFonts w:hint="eastAsia" w:ascii="宋体" w:hAnsi="宋体" w:cs="宋体"/>
          <w:kern w:val="0"/>
          <w:sz w:val="21"/>
          <w:szCs w:val="21"/>
          <w:highlight w:val="none"/>
        </w:rPr>
        <w:t>）</w:t>
      </w:r>
    </w:p>
    <w:p w14:paraId="66DCD6A9">
      <w:pPr>
        <w:widowControl/>
        <w:spacing w:line="440" w:lineRule="exact"/>
        <w:ind w:firstLine="525" w:firstLineChars="250"/>
        <w:jc w:val="both"/>
        <w:rPr>
          <w:rFonts w:ascii="宋体" w:hAnsi="宋体" w:cs="宋体"/>
          <w:kern w:val="0"/>
          <w:sz w:val="21"/>
          <w:szCs w:val="21"/>
          <w:highlight w:val="none"/>
        </w:rPr>
      </w:pPr>
      <w:r>
        <w:rPr>
          <w:rFonts w:hint="eastAsia" w:ascii="宋体" w:hAnsi="宋体" w:cs="宋体"/>
          <w:kern w:val="0"/>
          <w:sz w:val="21"/>
          <w:szCs w:val="21"/>
          <w:highlight w:val="none"/>
        </w:rPr>
        <w:t>方式：登录“</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”在线登记后获取（1）潜在供应商完成“</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”账号注册后，通过</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公告下方“潜在供应商获取采购文件”跳转登陆或直接登陆“</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”，在线申请获取招标文件（进入“项目采购”应用，在获取采购文件菜单中选择项目，申请获取采购文件）。仅需浏览招标文件的供应商可在</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点击“游客，浏览采购文件”直接下载招标文件浏览。（2）招标公告附件内的招标文件（或采购需求）仅供社会公众查阅使用，供应商只有在“</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完成获取招标文件申请并下载了招标文件后才视作依法获取招标文件（法律法规所指的供应商获取招标文件时间以供应商完成获取招标文件申请后下载招标文件的时间为准）。注：请供应商按上述要求获取招标文件，如未在“</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”系统内完成相关流程，导致的投标无效责任自负。</w:t>
      </w:r>
    </w:p>
    <w:p w14:paraId="5AB88DAF">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四、提交投标文件截止时间、开标时间和地点</w:t>
      </w:r>
    </w:p>
    <w:p w14:paraId="366CFA7E">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提交投标文件截止时间：</w:t>
      </w:r>
      <w:r>
        <w:rPr>
          <w:rFonts w:hint="eastAsia" w:ascii="宋体" w:hAnsi="宋体" w:cs="宋体"/>
          <w:kern w:val="0"/>
          <w:sz w:val="21"/>
          <w:szCs w:val="21"/>
          <w:highlight w:val="none"/>
          <w:lang w:eastAsia="zh-CN"/>
        </w:rPr>
        <w:t>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07</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日 09:30北京时间）</w:t>
      </w:r>
    </w:p>
    <w:p w14:paraId="35C33934">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投标地点（网址）：通过“</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https://www.lecaiyun.com/</w:t>
      </w:r>
      <w:r>
        <w:rPr>
          <w:rFonts w:hint="eastAsia" w:ascii="宋体" w:hAnsi="宋体" w:cs="宋体"/>
          <w:kern w:val="0"/>
          <w:sz w:val="21"/>
          <w:szCs w:val="21"/>
          <w:highlight w:val="none"/>
        </w:rPr>
        <w:t>）”在线递交</w:t>
      </w:r>
    </w:p>
    <w:p w14:paraId="7728031B">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开标时间：</w:t>
      </w:r>
      <w:r>
        <w:rPr>
          <w:rFonts w:hint="eastAsia" w:ascii="宋体" w:hAnsi="宋体" w:cs="宋体"/>
          <w:kern w:val="0"/>
          <w:sz w:val="21"/>
          <w:szCs w:val="21"/>
          <w:highlight w:val="none"/>
          <w:lang w:eastAsia="zh-CN"/>
        </w:rPr>
        <w:t>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07</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日 09:30</w:t>
      </w:r>
    </w:p>
    <w:p w14:paraId="72129F11">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开标地点（网址）：温州市公共资源交易中心瓯海分中心，</w:t>
      </w:r>
      <w:r>
        <w:rPr>
          <w:rFonts w:hint="eastAsia" w:ascii="宋体" w:hAnsi="宋体" w:cs="楷体"/>
          <w:kern w:val="0"/>
          <w:sz w:val="21"/>
          <w:szCs w:val="21"/>
          <w:highlight w:val="none"/>
        </w:rPr>
        <w:t>通过“</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w:t>
      </w:r>
      <w:r>
        <w:rPr>
          <w:rFonts w:hint="eastAsia" w:ascii="宋体" w:hAnsi="宋体" w:cs="楷体"/>
          <w:kern w:val="0"/>
          <w:sz w:val="21"/>
          <w:szCs w:val="21"/>
          <w:highlight w:val="none"/>
          <w:lang w:eastAsia="zh-CN"/>
        </w:rPr>
        <w:t>https://www.lecaiyun.com/</w:t>
      </w:r>
      <w:r>
        <w:rPr>
          <w:rFonts w:hint="eastAsia" w:ascii="宋体" w:hAnsi="宋体" w:cs="楷体"/>
          <w:kern w:val="0"/>
          <w:sz w:val="21"/>
          <w:szCs w:val="21"/>
          <w:highlight w:val="none"/>
        </w:rPr>
        <w:t>）”线上开启。</w:t>
      </w:r>
    </w:p>
    <w:p w14:paraId="6FC9F616">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五、公告期限</w:t>
      </w:r>
    </w:p>
    <w:p w14:paraId="498FF081">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自本公告发布之日起5个工作日。</w:t>
      </w:r>
    </w:p>
    <w:p w14:paraId="60967C00">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六、其他补充事宜</w:t>
      </w:r>
    </w:p>
    <w:p w14:paraId="0E7D6983">
      <w:pPr>
        <w:widowControl/>
        <w:wordWrap w:val="0"/>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A11812">
      <w:pPr>
        <w:widowControl/>
        <w:wordWrap w:val="0"/>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14:paraId="36BCA523">
      <w:pPr>
        <w:widowControl/>
        <w:wordWrap w:val="0"/>
        <w:spacing w:line="440" w:lineRule="exact"/>
        <w:ind w:firstLine="525" w:firstLineChars="250"/>
        <w:jc w:val="left"/>
        <w:rPr>
          <w:rFonts w:ascii="宋体" w:hAnsi="宋体" w:cs="宋体"/>
          <w:kern w:val="0"/>
          <w:sz w:val="21"/>
          <w:szCs w:val="21"/>
          <w:highlight w:val="none"/>
        </w:rPr>
      </w:pPr>
      <w:r>
        <w:rPr>
          <w:rFonts w:ascii="宋体" w:hAnsi="宋体" w:cs="宋体"/>
          <w:kern w:val="0"/>
          <w:sz w:val="21"/>
          <w:szCs w:val="21"/>
          <w:highlight w:val="none"/>
        </w:rPr>
        <w:t>3</w:t>
      </w:r>
      <w:r>
        <w:rPr>
          <w:rFonts w:hint="eastAsia" w:ascii="宋体" w:hAnsi="宋体" w:cs="宋体"/>
          <w:kern w:val="0"/>
          <w:sz w:val="21"/>
          <w:szCs w:val="21"/>
          <w:highlight w:val="none"/>
        </w:rPr>
        <w:t>.其他事项：本项目通过“</w:t>
      </w:r>
      <w:r>
        <w:rPr>
          <w:rFonts w:hint="eastAsia" w:ascii="宋体" w:hAnsi="宋体" w:cs="宋体"/>
          <w:kern w:val="0"/>
          <w:sz w:val="21"/>
          <w:szCs w:val="21"/>
          <w:highlight w:val="none"/>
          <w:lang w:eastAsia="zh-CN"/>
        </w:rPr>
        <w:t>乐采云平台（https://www.lecaiyun.com/）</w:t>
      </w:r>
      <w:r>
        <w:rPr>
          <w:rFonts w:hint="eastAsia" w:ascii="宋体" w:hAnsi="宋体" w:cs="宋体"/>
          <w:kern w:val="0"/>
          <w:sz w:val="21"/>
          <w:szCs w:val="21"/>
          <w:highlight w:val="none"/>
        </w:rPr>
        <w:t>”实行在线投标响应（电子投标）。潜在供应商在参与本项目投标前应当完成“</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”的账号注册、身份认证（CA数字证书申领）、“</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电子交易客户端”下载安装，相关操作流程提示如下：（1）供应商注册（入驻）：https://middle.zcygov.cn/v-settle-front/registry；（2）电子交易客户端下载：前往“浙江政府采购网-下载专区-电子交易客户端”进行下载；（3）CA数字证书申领流程：前往“浙江政府采购网-下载专区-电子交易客户端-CA驱动和申领流程”进行查阅；（4）电子交易具体流程详见操作指南：登录</w:t>
      </w:r>
      <w:r>
        <w:rPr>
          <w:rFonts w:hint="eastAsia" w:ascii="宋体" w:hAnsi="宋体" w:cs="宋体"/>
          <w:kern w:val="0"/>
          <w:sz w:val="21"/>
          <w:szCs w:val="21"/>
          <w:highlight w:val="none"/>
          <w:lang w:eastAsia="zh-CN"/>
        </w:rPr>
        <w:t>乐采云平台</w:t>
      </w:r>
      <w:r>
        <w:rPr>
          <w:rFonts w:hint="eastAsia" w:ascii="宋体" w:hAnsi="宋体" w:cs="宋体"/>
          <w:kern w:val="0"/>
          <w:sz w:val="21"/>
          <w:szCs w:val="21"/>
          <w:highlight w:val="none"/>
        </w:rPr>
        <w:t>，从首页-服务中心-帮助文档-项目采购-电子招投标，查看文档和视频；（5）浙江省“电子交易/不见面开评标”学习专题（https://edu.zcygov.cn/luban/e-biding）。</w:t>
      </w:r>
    </w:p>
    <w:p w14:paraId="2689FDD8">
      <w:pPr>
        <w:widowControl/>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七、对本次采购提出询问、质疑、投诉，请按以下方式联系</w:t>
      </w:r>
    </w:p>
    <w:p w14:paraId="07C4D9A6">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1.采购人信息</w:t>
      </w:r>
    </w:p>
    <w:p w14:paraId="6C4406FB">
      <w:pPr>
        <w:widowControl/>
        <w:spacing w:line="440" w:lineRule="exact"/>
        <w:ind w:firstLine="525" w:firstLineChars="250"/>
        <w:jc w:val="left"/>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名称：</w:t>
      </w:r>
      <w:r>
        <w:rPr>
          <w:rFonts w:hint="eastAsia" w:ascii="宋体" w:hAnsi="宋体" w:cs="宋体"/>
          <w:sz w:val="21"/>
          <w:szCs w:val="21"/>
          <w:highlight w:val="none"/>
          <w:lang w:eastAsia="zh-CN" w:bidi="ar"/>
        </w:rPr>
        <w:t>温州市瓯海区瓯发房屋租赁有限公司</w:t>
      </w:r>
    </w:p>
    <w:p w14:paraId="61D24BC3">
      <w:pPr>
        <w:widowControl/>
        <w:spacing w:line="440" w:lineRule="exact"/>
        <w:ind w:firstLine="525" w:firstLineChars="250"/>
        <w:jc w:val="left"/>
        <w:rPr>
          <w:rFonts w:hint="eastAsia" w:ascii="宋体" w:hAnsi="宋体" w:cs="宋体"/>
          <w:kern w:val="0"/>
          <w:sz w:val="21"/>
          <w:szCs w:val="21"/>
          <w:highlight w:val="none"/>
        </w:rPr>
      </w:pPr>
      <w:r>
        <w:rPr>
          <w:rFonts w:hint="eastAsia" w:ascii="宋体" w:hAnsi="宋体" w:cs="宋体"/>
          <w:kern w:val="0"/>
          <w:sz w:val="21"/>
          <w:szCs w:val="21"/>
          <w:highlight w:val="none"/>
        </w:rPr>
        <w:t>地址：浙江省温州市瓯海区娄桥街道古岸路969号</w:t>
      </w:r>
    </w:p>
    <w:p w14:paraId="145572A7">
      <w:pPr>
        <w:widowControl/>
        <w:spacing w:line="440" w:lineRule="exact"/>
        <w:ind w:firstLine="525" w:firstLineChars="25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联系人：颜工</w:t>
      </w:r>
    </w:p>
    <w:p w14:paraId="71AC4255">
      <w:pPr>
        <w:widowControl/>
        <w:spacing w:line="440" w:lineRule="exact"/>
        <w:ind w:firstLine="525" w:firstLineChars="250"/>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联系方式：0577-56866869</w:t>
      </w:r>
    </w:p>
    <w:p w14:paraId="1153BC88">
      <w:pPr>
        <w:widowControl/>
        <w:spacing w:line="440" w:lineRule="exact"/>
        <w:ind w:firstLine="525" w:firstLineChars="250"/>
        <w:jc w:val="left"/>
        <w:rPr>
          <w:rFonts w:ascii="宋体" w:hAnsi="宋体" w:cs="宋体"/>
          <w:kern w:val="0"/>
          <w:sz w:val="21"/>
          <w:szCs w:val="21"/>
          <w:highlight w:val="none"/>
        </w:rPr>
      </w:pPr>
      <w:r>
        <w:rPr>
          <w:rFonts w:hint="eastAsia" w:ascii="宋体" w:hAnsi="宋体" w:cs="宋体"/>
          <w:kern w:val="0"/>
          <w:sz w:val="21"/>
          <w:szCs w:val="21"/>
          <w:highlight w:val="none"/>
        </w:rPr>
        <w:t>2.采购代理机构信息</w:t>
      </w:r>
    </w:p>
    <w:p w14:paraId="24FD0A48">
      <w:pPr>
        <w:widowControl/>
        <w:spacing w:line="440" w:lineRule="exact"/>
        <w:ind w:firstLine="525" w:firstLineChars="250"/>
        <w:jc w:val="left"/>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名称：</w:t>
      </w:r>
      <w:r>
        <w:rPr>
          <w:rFonts w:hint="eastAsia" w:ascii="宋体" w:hAnsi="宋体" w:cs="宋体"/>
          <w:kern w:val="0"/>
          <w:sz w:val="21"/>
          <w:szCs w:val="21"/>
          <w:highlight w:val="none"/>
          <w:lang w:eastAsia="zh-CN"/>
        </w:rPr>
        <w:t>浙江立创项目管理有限公司</w:t>
      </w:r>
    </w:p>
    <w:p w14:paraId="2D624322">
      <w:pPr>
        <w:widowControl/>
        <w:spacing w:line="440" w:lineRule="exact"/>
        <w:ind w:firstLine="525" w:firstLineChars="250"/>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rPr>
        <w:t>地址：温州市瓯海区娄桥街道建设大厦20层</w:t>
      </w:r>
      <w:r>
        <w:rPr>
          <w:rFonts w:hint="eastAsia" w:ascii="宋体" w:hAnsi="宋体" w:cs="宋体"/>
          <w:kern w:val="0"/>
          <w:sz w:val="21"/>
          <w:szCs w:val="21"/>
          <w:highlight w:val="none"/>
          <w:lang w:val="en-US" w:eastAsia="zh-CN"/>
        </w:rPr>
        <w:t>西首</w:t>
      </w:r>
    </w:p>
    <w:p w14:paraId="39E5D658">
      <w:pPr>
        <w:widowControl/>
        <w:spacing w:line="440" w:lineRule="exact"/>
        <w:ind w:firstLine="525" w:firstLineChars="25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项目联系人（询问）：</w:t>
      </w:r>
      <w:r>
        <w:rPr>
          <w:rFonts w:hint="eastAsia" w:ascii="宋体" w:hAnsi="宋体"/>
          <w:sz w:val="21"/>
          <w:szCs w:val="21"/>
          <w:highlight w:val="none"/>
          <w:lang w:val="en-US" w:eastAsia="zh-CN"/>
        </w:rPr>
        <w:t>麻先生</w:t>
      </w:r>
    </w:p>
    <w:p w14:paraId="66F3DCE2">
      <w:pPr>
        <w:widowControl/>
        <w:spacing w:line="440" w:lineRule="exact"/>
        <w:ind w:firstLine="525" w:firstLineChars="250"/>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项目联系方式（询问）：</w:t>
      </w:r>
      <w:r>
        <w:rPr>
          <w:rFonts w:hint="eastAsia" w:ascii="宋体" w:hAnsi="宋体" w:cs="宋体"/>
          <w:kern w:val="0"/>
          <w:sz w:val="21"/>
          <w:szCs w:val="21"/>
          <w:highlight w:val="none"/>
          <w:lang w:val="en-US" w:eastAsia="zh-CN"/>
        </w:rPr>
        <w:t>0577-88410388、</w:t>
      </w:r>
      <w:r>
        <w:rPr>
          <w:rFonts w:hint="eastAsia" w:ascii="宋体"/>
          <w:kern w:val="0"/>
          <w:sz w:val="21"/>
          <w:szCs w:val="21"/>
          <w:highlight w:val="none"/>
          <w:lang w:val="en-US" w:eastAsia="zh-CN"/>
        </w:rPr>
        <w:t>18058839300</w:t>
      </w:r>
    </w:p>
    <w:p w14:paraId="3B6C330F">
      <w:pPr>
        <w:widowControl/>
        <w:spacing w:line="440" w:lineRule="exact"/>
        <w:ind w:firstLine="525" w:firstLineChars="25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质疑联系方式：</w:t>
      </w:r>
      <w:r>
        <w:rPr>
          <w:rFonts w:hint="eastAsia" w:ascii="宋体" w:hAnsi="宋体" w:eastAsia="宋体" w:cs="宋体"/>
          <w:kern w:val="0"/>
          <w:sz w:val="21"/>
          <w:szCs w:val="21"/>
          <w:highlight w:val="none"/>
          <w:lang w:val="en-US" w:eastAsia="zh-CN"/>
        </w:rPr>
        <w:t>15968793001</w:t>
      </w:r>
    </w:p>
    <w:p w14:paraId="01D90500">
      <w:pPr>
        <w:widowControl/>
        <w:spacing w:line="440" w:lineRule="exact"/>
        <w:ind w:firstLine="525" w:firstLineChars="25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3.监督部门：温州市瓯海新城建设集团有限公司纪委监察室</w:t>
      </w:r>
    </w:p>
    <w:p w14:paraId="31C0DA3E">
      <w:pPr>
        <w:widowControl/>
        <w:spacing w:line="440" w:lineRule="exact"/>
        <w:ind w:firstLine="525" w:firstLineChars="25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联系电话：0577-56858505 邮箱：</w:t>
      </w:r>
      <w:r>
        <w:rPr>
          <w:rFonts w:hint="eastAsia" w:ascii="宋体" w:hAnsi="宋体" w:eastAsia="宋体" w:cs="宋体"/>
          <w:kern w:val="0"/>
          <w:sz w:val="21"/>
          <w:szCs w:val="21"/>
          <w:highlight w:val="none"/>
          <w:lang w:val="en-US" w:eastAsia="zh-CN"/>
        </w:rPr>
        <w:fldChar w:fldCharType="begin"/>
      </w:r>
      <w:r>
        <w:rPr>
          <w:rFonts w:hint="eastAsia" w:ascii="宋体" w:hAnsi="宋体" w:eastAsia="宋体" w:cs="宋体"/>
          <w:kern w:val="0"/>
          <w:sz w:val="21"/>
          <w:szCs w:val="21"/>
          <w:highlight w:val="none"/>
          <w:lang w:val="en-US" w:eastAsia="zh-CN"/>
        </w:rPr>
        <w:instrText xml:space="preserve"> HYPERLINK "mailto:ohxcjsjt@163.com" </w:instrText>
      </w:r>
      <w:r>
        <w:rPr>
          <w:rFonts w:hint="eastAsia" w:ascii="宋体" w:hAnsi="宋体" w:eastAsia="宋体" w:cs="宋体"/>
          <w:kern w:val="0"/>
          <w:sz w:val="21"/>
          <w:szCs w:val="21"/>
          <w:highlight w:val="none"/>
          <w:lang w:val="en-US" w:eastAsia="zh-CN"/>
        </w:rPr>
        <w:fldChar w:fldCharType="separate"/>
      </w:r>
      <w:r>
        <w:rPr>
          <w:rStyle w:val="40"/>
          <w:rFonts w:hint="eastAsia" w:ascii="宋体" w:hAnsi="宋体" w:eastAsia="宋体" w:cs="宋体"/>
          <w:kern w:val="0"/>
          <w:sz w:val="21"/>
          <w:szCs w:val="21"/>
          <w:highlight w:val="none"/>
          <w:lang w:val="en-US" w:eastAsia="zh-CN"/>
        </w:rPr>
        <w:t>ohxcjsjt@163.com</w:t>
      </w:r>
      <w:r>
        <w:rPr>
          <w:rStyle w:val="40"/>
          <w:rFonts w:hint="eastAsia" w:ascii="宋体" w:hAnsi="宋体" w:eastAsia="宋体" w:cs="宋体"/>
          <w:kern w:val="0"/>
          <w:sz w:val="21"/>
          <w:szCs w:val="21"/>
          <w:highlight w:val="none"/>
          <w:lang w:val="en-US" w:eastAsia="zh-CN"/>
        </w:rPr>
        <w:br w:type="page"/>
      </w:r>
      <w:r>
        <w:rPr>
          <w:rFonts w:hint="eastAsia" w:ascii="宋体" w:hAnsi="宋体" w:eastAsia="宋体" w:cs="宋体"/>
          <w:kern w:val="0"/>
          <w:sz w:val="21"/>
          <w:szCs w:val="21"/>
          <w:highlight w:val="none"/>
          <w:lang w:val="en-US" w:eastAsia="zh-CN"/>
        </w:rPr>
        <w:fldChar w:fldCharType="end"/>
      </w:r>
    </w:p>
    <w:p w14:paraId="1CAB5D70">
      <w:pPr>
        <w:widowControl/>
        <w:spacing w:line="440" w:lineRule="exact"/>
        <w:ind w:firstLine="525" w:firstLineChars="250"/>
        <w:jc w:val="left"/>
        <w:rPr>
          <w:rFonts w:hint="eastAsia" w:ascii="宋体" w:hAnsi="宋体" w:eastAsia="宋体" w:cs="宋体"/>
          <w:kern w:val="0"/>
          <w:sz w:val="21"/>
          <w:szCs w:val="21"/>
          <w:highlight w:val="none"/>
          <w:lang w:val="en-US" w:eastAsia="zh-CN"/>
        </w:rPr>
      </w:pPr>
    </w:p>
    <w:p w14:paraId="4093D62F">
      <w:pPr>
        <w:rPr>
          <w:rFonts w:hint="default" w:ascii="宋体" w:hAnsi="宋体" w:eastAsia="宋体" w:cs="宋体"/>
          <w:kern w:val="0"/>
          <w:sz w:val="21"/>
          <w:szCs w:val="21"/>
          <w:highlight w:val="none"/>
          <w:lang w:val="en-US" w:eastAsia="zh-CN"/>
        </w:rPr>
      </w:pPr>
    </w:p>
    <w:p w14:paraId="4E19FC1D">
      <w:pPr>
        <w:pStyle w:val="12"/>
        <w:pageBreakBefore w:val="0"/>
        <w:kinsoku/>
        <w:wordWrap/>
        <w:overflowPunct/>
        <w:topLinePunct w:val="0"/>
        <w:bidi w:val="0"/>
        <w:spacing w:beforeAutospacing="0" w:after="0" w:afterLines="0" w:afterAutospacing="0" w:line="420" w:lineRule="exact"/>
        <w:ind w:firstLine="42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温州市瓯海区瓯发房屋租赁有限公司关于欧湾华庭、臻湾华庭存量房代销项目采购文件征求意见公示</w:t>
      </w:r>
    </w:p>
    <w:p w14:paraId="05C8686F">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p>
    <w:p w14:paraId="726EA539">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浙江立创项目管理有限公司受温州市瓯海区瓯发房屋租赁有限公司委托，就欧湾华庭、臻湾华庭存量房代销项目以公开招标方式进行国企采购。现将采购文件公布如下,并公开征求投标供应商及专家意见。</w:t>
      </w:r>
    </w:p>
    <w:p w14:paraId="44186C61">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一、征求意见范围：</w:t>
      </w:r>
    </w:p>
    <w:p w14:paraId="3E3EAE57">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1、是否出现明显的倾向性意见和特定的性能指标；</w:t>
      </w:r>
    </w:p>
    <w:p w14:paraId="4D299EEF">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2、影响国有企业采购“公开、公平、公正”原则的其他情况。</w:t>
      </w:r>
    </w:p>
    <w:p w14:paraId="70632976">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二、征求意见的回复：</w:t>
      </w:r>
      <w:r>
        <w:rPr>
          <w:rFonts w:hint="eastAsia" w:ascii="宋体" w:hAnsi="宋体" w:eastAsia="宋体" w:cs="宋体"/>
          <w:color w:val="auto"/>
          <w:sz w:val="24"/>
          <w:szCs w:val="24"/>
          <w:highlight w:val="none"/>
          <w:lang w:val="en-US" w:eastAsia="zh-CN"/>
        </w:rPr>
        <w:t xml:space="preserve"> </w:t>
      </w:r>
    </w:p>
    <w:p w14:paraId="3DBE4B6E">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各投标供应商及专家提出修改理由和建议的，请于</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下午17:30前（节假日除外）将书面材料签字（盖章）并密封后送至</w:t>
      </w:r>
      <w:r>
        <w:rPr>
          <w:rFonts w:hint="eastAsia" w:ascii="宋体" w:hAnsi="宋体" w:eastAsia="宋体" w:cs="宋体"/>
          <w:bCs/>
          <w:color w:val="auto"/>
          <w:sz w:val="24"/>
          <w:szCs w:val="24"/>
          <w:highlight w:val="none"/>
          <w:lang w:val="en-US" w:eastAsia="zh-CN"/>
        </w:rPr>
        <w:t>温州市瓯海区娄桥街道仁汇路建设大厦20楼西北首</w:t>
      </w:r>
      <w:r>
        <w:rPr>
          <w:rFonts w:hint="eastAsia" w:ascii="宋体" w:hAnsi="宋体" w:eastAsia="宋体" w:cs="宋体"/>
          <w:color w:val="auto"/>
          <w:sz w:val="24"/>
          <w:szCs w:val="24"/>
          <w:highlight w:val="none"/>
        </w:rPr>
        <w:t>，外地可将文档的盖章扫描件发送至以下信箱：</w:t>
      </w:r>
      <w:r>
        <w:rPr>
          <w:rFonts w:hint="eastAsia" w:ascii="宋体" w:hAnsi="宋体" w:eastAsia="宋体" w:cs="宋体"/>
          <w:color w:val="auto"/>
          <w:sz w:val="24"/>
          <w:szCs w:val="24"/>
          <w:highlight w:val="none"/>
          <w:lang w:val="en-US" w:eastAsia="zh-CN"/>
        </w:rPr>
        <w:t>5499379</w:t>
      </w:r>
      <w:r>
        <w:rPr>
          <w:rFonts w:hint="eastAsia" w:ascii="宋体" w:hAnsi="宋体" w:eastAsia="宋体" w:cs="宋体"/>
          <w:color w:val="auto"/>
          <w:sz w:val="24"/>
          <w:szCs w:val="24"/>
          <w:highlight w:val="none"/>
        </w:rPr>
        <w:t>@qq.com或邮寄至我公司。</w:t>
      </w:r>
    </w:p>
    <w:p w14:paraId="48615D92">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麻先生</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18058839300</w:t>
      </w:r>
      <w:r>
        <w:rPr>
          <w:rFonts w:hint="eastAsia" w:ascii="宋体" w:hAnsi="宋体" w:eastAsia="宋体" w:cs="宋体"/>
          <w:color w:val="auto"/>
          <w:sz w:val="24"/>
          <w:szCs w:val="24"/>
          <w:highlight w:val="none"/>
        </w:rPr>
        <w:t>。对逾期送达的意见、建议书恕不接受。</w:t>
      </w:r>
    </w:p>
    <w:p w14:paraId="71EFD128">
      <w:pPr>
        <w:pStyle w:val="12"/>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p>
    <w:p w14:paraId="716C4030">
      <w:pPr>
        <w:pStyle w:val="1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firstLine="420"/>
        <w:jc w:val="right"/>
        <w:textAlignment w:val="auto"/>
        <w:rPr>
          <w:rFonts w:hint="eastAsia" w:ascii="宋体" w:hAnsi="宋体" w:eastAsia="宋体" w:cs="宋体"/>
          <w:color w:val="auto"/>
          <w:sz w:val="24"/>
          <w:szCs w:val="24"/>
          <w:highlight w:val="none"/>
          <w:lang w:eastAsia="zh-CN"/>
        </w:rPr>
      </w:pPr>
      <w:r>
        <w:rPr>
          <w:rFonts w:hint="eastAsia" w:ascii="宋体" w:hAnsi="宋体" w:cs="宋体"/>
          <w:sz w:val="21"/>
          <w:szCs w:val="21"/>
          <w:highlight w:val="none"/>
          <w:lang w:eastAsia="zh-CN" w:bidi="ar"/>
        </w:rPr>
        <w:t>温州市瓯海区瓯发房屋租赁有限公司</w:t>
      </w:r>
    </w:p>
    <w:p w14:paraId="3F36C99F">
      <w:pPr>
        <w:pStyle w:val="12"/>
        <w:keepNext w:val="0"/>
        <w:keepLines w:val="0"/>
        <w:pageBreakBefore w:val="0"/>
        <w:widowControl w:val="0"/>
        <w:kinsoku/>
        <w:wordWrap/>
        <w:overflowPunct/>
        <w:topLinePunct w:val="0"/>
        <w:autoSpaceDE/>
        <w:autoSpaceDN/>
        <w:bidi w:val="0"/>
        <w:adjustRightInd/>
        <w:snapToGrid/>
        <w:spacing w:beforeAutospacing="0" w:after="0" w:afterLines="0" w:afterAutospacing="0" w:line="360" w:lineRule="auto"/>
        <w:ind w:firstLine="420"/>
        <w:jc w:val="righ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浙江立创项目管理有限公司</w:t>
      </w:r>
    </w:p>
    <w:p w14:paraId="576B1673">
      <w:pPr>
        <w:pStyle w:val="6"/>
        <w:keepNext w:val="0"/>
        <w:keepLines w:val="0"/>
        <w:pageBreakBefore w:val="0"/>
        <w:widowControl w:val="0"/>
        <w:kinsoku/>
        <w:wordWrap/>
        <w:overflowPunct/>
        <w:topLinePunct w:val="0"/>
        <w:autoSpaceDE/>
        <w:autoSpaceDN/>
        <w:bidi w:val="0"/>
        <w:adjustRightInd/>
        <w:snapToGrid/>
        <w:spacing w:line="360" w:lineRule="auto"/>
        <w:ind w:firstLine="480"/>
        <w:jc w:val="right"/>
        <w:textAlignment w:val="auto"/>
        <w:rPr>
          <w:highlight w:val="none"/>
        </w:rPr>
      </w:pP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03</w:t>
      </w:r>
      <w:bookmarkStart w:id="273" w:name="_GoBack"/>
      <w:bookmarkEnd w:id="273"/>
      <w:r>
        <w:rPr>
          <w:rFonts w:hint="eastAsia" w:ascii="宋体" w:hAnsi="宋体" w:eastAsia="宋体" w:cs="宋体"/>
          <w:b w:val="0"/>
          <w:bCs w:val="0"/>
          <w:color w:val="auto"/>
          <w:sz w:val="24"/>
          <w:szCs w:val="24"/>
          <w:highlight w:val="none"/>
        </w:rPr>
        <w:t>日</w:t>
      </w:r>
    </w:p>
    <w:p w14:paraId="795995A0">
      <w:pPr>
        <w:pStyle w:val="2"/>
        <w:spacing w:before="120" w:beforeLines="50"/>
        <w:jc w:val="both"/>
        <w:rPr>
          <w:rFonts w:ascii="宋体" w:hAnsi="宋体" w:eastAsia="宋体" w:cs="Courier New"/>
          <w:sz w:val="36"/>
          <w:szCs w:val="36"/>
          <w:highlight w:val="none"/>
        </w:rPr>
      </w:pPr>
      <w:r>
        <w:rPr>
          <w:rFonts w:hint="eastAsia" w:ascii="宋体" w:hAnsi="宋体" w:eastAsia="宋体"/>
          <w:sz w:val="22"/>
          <w:szCs w:val="22"/>
          <w:highlight w:val="none"/>
        </w:rPr>
        <w:br w:type="page"/>
      </w:r>
      <w:bookmarkStart w:id="11" w:name="_Toc223933220"/>
      <w:bookmarkStart w:id="12" w:name="_Toc215415529"/>
      <w:bookmarkStart w:id="13" w:name="_Toc218041725"/>
      <w:bookmarkStart w:id="14" w:name="_Toc223717603"/>
      <w:bookmarkStart w:id="15" w:name="_Toc219538612"/>
      <w:bookmarkStart w:id="16" w:name="_Toc227056845"/>
      <w:bookmarkStart w:id="17" w:name="_Toc227057032"/>
      <w:bookmarkStart w:id="18" w:name="_Toc216667819"/>
      <w:bookmarkStart w:id="19" w:name="_Toc5563"/>
      <w:bookmarkStart w:id="20" w:name="_Toc217460684"/>
      <w:bookmarkStart w:id="21" w:name="_Toc227489886"/>
      <w:r>
        <w:rPr>
          <w:rFonts w:hint="eastAsia" w:ascii="宋体" w:hAnsi="宋体" w:eastAsia="宋体" w:cs="Courier New"/>
          <w:sz w:val="36"/>
          <w:szCs w:val="36"/>
          <w:highlight w:val="none"/>
        </w:rPr>
        <w:t>第一部分  投标人须知</w:t>
      </w:r>
      <w:bookmarkEnd w:id="11"/>
      <w:bookmarkEnd w:id="12"/>
      <w:bookmarkEnd w:id="13"/>
      <w:bookmarkEnd w:id="14"/>
      <w:bookmarkEnd w:id="15"/>
      <w:bookmarkEnd w:id="16"/>
      <w:bookmarkEnd w:id="17"/>
      <w:bookmarkEnd w:id="18"/>
      <w:bookmarkEnd w:id="19"/>
      <w:bookmarkEnd w:id="20"/>
      <w:bookmarkEnd w:id="21"/>
    </w:p>
    <w:p w14:paraId="3DD740DC">
      <w:pPr>
        <w:pStyle w:val="3"/>
        <w:spacing w:line="400" w:lineRule="exact"/>
        <w:jc w:val="center"/>
        <w:rPr>
          <w:rFonts w:ascii="宋体" w:hAnsi="宋体" w:eastAsia="宋体" w:cs="Courier New"/>
          <w:highlight w:val="none"/>
        </w:rPr>
      </w:pPr>
      <w:bookmarkStart w:id="22" w:name="_Toc401243876"/>
      <w:bookmarkStart w:id="23" w:name="_Toc433729304"/>
      <w:bookmarkStart w:id="24" w:name="_Toc26704"/>
      <w:bookmarkStart w:id="25" w:name="_Toc216667820"/>
      <w:bookmarkStart w:id="26" w:name="_Toc223933221"/>
      <w:bookmarkStart w:id="27" w:name="_Toc217460685"/>
      <w:bookmarkStart w:id="28" w:name="_Toc227057033"/>
      <w:bookmarkStart w:id="29" w:name="_Toc219538613"/>
      <w:bookmarkStart w:id="30" w:name="_Toc215415530"/>
      <w:bookmarkStart w:id="31" w:name="_Toc218041726"/>
      <w:bookmarkStart w:id="32" w:name="_Toc227056846"/>
      <w:bookmarkStart w:id="33" w:name="_Toc223717604"/>
      <w:bookmarkStart w:id="34" w:name="_Toc227489887"/>
      <w:r>
        <w:rPr>
          <w:rFonts w:hint="eastAsia" w:ascii="宋体" w:hAnsi="宋体" w:eastAsia="宋体" w:cs="Courier New"/>
          <w:highlight w:val="none"/>
        </w:rPr>
        <w:t>投标人须知前附表</w:t>
      </w:r>
      <w:bookmarkEnd w:id="22"/>
      <w:bookmarkEnd w:id="23"/>
      <w:bookmarkEnd w:id="24"/>
    </w:p>
    <w:tbl>
      <w:tblPr>
        <w:tblStyle w:val="33"/>
        <w:tblW w:w="10269" w:type="dxa"/>
        <w:jc w:val="center"/>
        <w:tblLayout w:type="fixed"/>
        <w:tblCellMar>
          <w:top w:w="0" w:type="dxa"/>
          <w:left w:w="108" w:type="dxa"/>
          <w:bottom w:w="0" w:type="dxa"/>
          <w:right w:w="108" w:type="dxa"/>
        </w:tblCellMar>
      </w:tblPr>
      <w:tblGrid>
        <w:gridCol w:w="598"/>
        <w:gridCol w:w="1811"/>
        <w:gridCol w:w="7860"/>
      </w:tblGrid>
      <w:tr w14:paraId="4CC97A12">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62348E2">
            <w:pPr>
              <w:spacing w:line="360" w:lineRule="exact"/>
              <w:jc w:val="center"/>
              <w:rPr>
                <w:rFonts w:ascii="宋体" w:hAnsi="宋体" w:cs="楷体"/>
                <w:kern w:val="0"/>
                <w:sz w:val="21"/>
                <w:szCs w:val="21"/>
                <w:highlight w:val="none"/>
              </w:rPr>
            </w:pPr>
            <w:r>
              <w:rPr>
                <w:rFonts w:hint="eastAsia" w:ascii="宋体" w:hAnsi="宋体" w:cs="楷体"/>
                <w:kern w:val="0"/>
                <w:sz w:val="21"/>
                <w:szCs w:val="21"/>
                <w:highlight w:val="none"/>
              </w:rPr>
              <w:t>序号</w:t>
            </w:r>
          </w:p>
        </w:tc>
        <w:tc>
          <w:tcPr>
            <w:tcW w:w="1811" w:type="dxa"/>
            <w:tcBorders>
              <w:top w:val="single" w:color="auto" w:sz="4" w:space="0"/>
              <w:left w:val="single" w:color="auto" w:sz="4" w:space="0"/>
              <w:bottom w:val="single" w:color="auto" w:sz="4" w:space="0"/>
              <w:right w:val="single" w:color="auto" w:sz="4" w:space="0"/>
            </w:tcBorders>
            <w:vAlign w:val="center"/>
          </w:tcPr>
          <w:p w14:paraId="6667968B">
            <w:pPr>
              <w:spacing w:line="360" w:lineRule="exact"/>
              <w:jc w:val="center"/>
              <w:rPr>
                <w:rFonts w:ascii="宋体" w:hAnsi="宋体" w:cs="楷体"/>
                <w:kern w:val="0"/>
                <w:sz w:val="21"/>
                <w:szCs w:val="21"/>
                <w:highlight w:val="none"/>
              </w:rPr>
            </w:pPr>
            <w:r>
              <w:rPr>
                <w:rFonts w:hint="eastAsia" w:ascii="宋体" w:hAnsi="宋体" w:cs="楷体"/>
                <w:kern w:val="0"/>
                <w:sz w:val="21"/>
                <w:szCs w:val="21"/>
                <w:highlight w:val="none"/>
              </w:rPr>
              <w:t>条款名称</w:t>
            </w:r>
          </w:p>
        </w:tc>
        <w:tc>
          <w:tcPr>
            <w:tcW w:w="7860" w:type="dxa"/>
            <w:tcBorders>
              <w:top w:val="single" w:color="auto" w:sz="4" w:space="0"/>
              <w:left w:val="single" w:color="auto" w:sz="4" w:space="0"/>
              <w:bottom w:val="single" w:color="auto" w:sz="4" w:space="0"/>
              <w:right w:val="single" w:color="auto" w:sz="4" w:space="0"/>
            </w:tcBorders>
            <w:vAlign w:val="center"/>
          </w:tcPr>
          <w:p w14:paraId="34906CDF">
            <w:pPr>
              <w:spacing w:line="360" w:lineRule="exact"/>
              <w:jc w:val="center"/>
              <w:rPr>
                <w:rFonts w:ascii="宋体" w:hAnsi="宋体" w:cs="楷体"/>
                <w:kern w:val="0"/>
                <w:sz w:val="21"/>
                <w:szCs w:val="21"/>
                <w:highlight w:val="none"/>
              </w:rPr>
            </w:pPr>
            <w:r>
              <w:rPr>
                <w:rFonts w:hint="eastAsia" w:ascii="宋体" w:hAnsi="宋体" w:cs="楷体"/>
                <w:kern w:val="0"/>
                <w:sz w:val="21"/>
                <w:szCs w:val="21"/>
                <w:highlight w:val="none"/>
              </w:rPr>
              <w:t>编列内容</w:t>
            </w:r>
          </w:p>
        </w:tc>
      </w:tr>
      <w:tr w14:paraId="75EB62A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081F6A1">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DDB775A">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项目名称</w:t>
            </w:r>
          </w:p>
        </w:tc>
        <w:tc>
          <w:tcPr>
            <w:tcW w:w="7860" w:type="dxa"/>
            <w:tcBorders>
              <w:top w:val="single" w:color="auto" w:sz="4" w:space="0"/>
              <w:left w:val="single" w:color="auto" w:sz="4" w:space="0"/>
              <w:bottom w:val="single" w:color="auto" w:sz="4" w:space="0"/>
              <w:right w:val="single" w:color="auto" w:sz="4" w:space="0"/>
            </w:tcBorders>
            <w:vAlign w:val="center"/>
          </w:tcPr>
          <w:p w14:paraId="5CCD0831">
            <w:pPr>
              <w:spacing w:line="360" w:lineRule="exact"/>
              <w:rPr>
                <w:rFonts w:ascii="宋体" w:hAnsi="宋体" w:cs="楷体"/>
                <w:kern w:val="0"/>
                <w:sz w:val="21"/>
                <w:szCs w:val="21"/>
                <w:highlight w:val="none"/>
              </w:rPr>
            </w:pPr>
            <w:r>
              <w:rPr>
                <w:rFonts w:hint="eastAsia" w:ascii="宋体" w:hAnsi="宋体" w:cs="楷体"/>
                <w:kern w:val="0"/>
                <w:sz w:val="21"/>
                <w:szCs w:val="21"/>
                <w:highlight w:val="none"/>
                <w:lang w:eastAsia="zh-CN"/>
              </w:rPr>
              <w:t>欧湾华庭、臻湾华庭存量房代销项目</w:t>
            </w:r>
          </w:p>
        </w:tc>
      </w:tr>
      <w:tr w14:paraId="0F677C4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6D48A13">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9B149E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项目编号</w:t>
            </w:r>
          </w:p>
        </w:tc>
        <w:tc>
          <w:tcPr>
            <w:tcW w:w="7860" w:type="dxa"/>
            <w:tcBorders>
              <w:top w:val="single" w:color="auto" w:sz="4" w:space="0"/>
              <w:left w:val="single" w:color="auto" w:sz="4" w:space="0"/>
              <w:bottom w:val="single" w:color="auto" w:sz="4" w:space="0"/>
              <w:right w:val="single" w:color="auto" w:sz="4" w:space="0"/>
            </w:tcBorders>
            <w:vAlign w:val="center"/>
          </w:tcPr>
          <w:p w14:paraId="6490C606">
            <w:pPr>
              <w:spacing w:line="360" w:lineRule="exact"/>
              <w:rPr>
                <w:rFonts w:hint="eastAsia" w:ascii="宋体" w:hAnsi="宋体" w:eastAsia="宋体" w:cs="楷体"/>
                <w:kern w:val="0"/>
                <w:sz w:val="21"/>
                <w:szCs w:val="21"/>
                <w:highlight w:val="none"/>
                <w:lang w:eastAsia="zh-CN"/>
              </w:rPr>
            </w:pPr>
            <w:r>
              <w:rPr>
                <w:rFonts w:hint="eastAsia" w:ascii="宋体" w:hAnsi="宋体" w:cs="楷体"/>
                <w:sz w:val="21"/>
                <w:szCs w:val="21"/>
                <w:highlight w:val="none"/>
                <w:lang w:eastAsia="zh-CN"/>
              </w:rPr>
              <w:t>ZJLC-2025050201(M)</w:t>
            </w:r>
          </w:p>
        </w:tc>
      </w:tr>
      <w:tr w14:paraId="5AE4D3C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B4BD212">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3F9091C">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项目性质</w:t>
            </w:r>
          </w:p>
        </w:tc>
        <w:tc>
          <w:tcPr>
            <w:tcW w:w="7860" w:type="dxa"/>
            <w:tcBorders>
              <w:top w:val="single" w:color="auto" w:sz="4" w:space="0"/>
              <w:left w:val="single" w:color="auto" w:sz="4" w:space="0"/>
              <w:bottom w:val="single" w:color="auto" w:sz="4" w:space="0"/>
              <w:right w:val="single" w:color="auto" w:sz="4" w:space="0"/>
            </w:tcBorders>
            <w:vAlign w:val="center"/>
          </w:tcPr>
          <w:p w14:paraId="60432C6F">
            <w:pPr>
              <w:spacing w:line="360" w:lineRule="exact"/>
              <w:rPr>
                <w:rFonts w:ascii="宋体" w:hAnsi="宋体" w:cs="楷体"/>
                <w:sz w:val="21"/>
                <w:szCs w:val="21"/>
                <w:highlight w:val="none"/>
              </w:rPr>
            </w:pPr>
            <w:r>
              <w:rPr>
                <w:rFonts w:hint="eastAsia" w:ascii="宋体" w:hAnsi="宋体" w:cs="楷体"/>
                <w:sz w:val="21"/>
                <w:szCs w:val="21"/>
                <w:highlight w:val="none"/>
              </w:rPr>
              <w:t>国企采购（服务类）</w:t>
            </w:r>
          </w:p>
        </w:tc>
      </w:tr>
      <w:tr w14:paraId="100720E9">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A51465F">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02304F5">
            <w:pPr>
              <w:spacing w:line="360" w:lineRule="exact"/>
              <w:rPr>
                <w:rFonts w:ascii="宋体" w:hAnsi="宋体" w:cs="楷体"/>
                <w:kern w:val="0"/>
                <w:sz w:val="21"/>
                <w:szCs w:val="21"/>
                <w:highlight w:val="none"/>
              </w:rPr>
            </w:pPr>
            <w:r>
              <w:rPr>
                <w:rFonts w:hint="eastAsia" w:ascii="宋体" w:hAnsi="宋体" w:cs="宋体"/>
                <w:kern w:val="0"/>
                <w:sz w:val="21"/>
                <w:szCs w:val="21"/>
                <w:highlight w:val="none"/>
              </w:rPr>
              <w:t>采购组织类型</w:t>
            </w:r>
          </w:p>
        </w:tc>
        <w:tc>
          <w:tcPr>
            <w:tcW w:w="7860" w:type="dxa"/>
            <w:tcBorders>
              <w:top w:val="single" w:color="auto" w:sz="4" w:space="0"/>
              <w:left w:val="single" w:color="auto" w:sz="4" w:space="0"/>
              <w:bottom w:val="single" w:color="auto" w:sz="4" w:space="0"/>
              <w:right w:val="single" w:color="auto" w:sz="4" w:space="0"/>
            </w:tcBorders>
            <w:vAlign w:val="center"/>
          </w:tcPr>
          <w:p w14:paraId="426AA220">
            <w:pPr>
              <w:spacing w:line="360" w:lineRule="exact"/>
              <w:rPr>
                <w:rFonts w:ascii="宋体" w:hAnsi="宋体" w:cs="楷体"/>
                <w:sz w:val="21"/>
                <w:szCs w:val="21"/>
                <w:highlight w:val="none"/>
              </w:rPr>
            </w:pPr>
            <w:r>
              <w:rPr>
                <w:rFonts w:hint="eastAsia" w:ascii="宋体" w:hAnsi="宋体" w:cs="宋体"/>
                <w:kern w:val="0"/>
                <w:sz w:val="21"/>
                <w:szCs w:val="21"/>
                <w:highlight w:val="none"/>
              </w:rPr>
              <w:t>分散采购-委托中介</w:t>
            </w:r>
          </w:p>
        </w:tc>
      </w:tr>
      <w:tr w14:paraId="34BBBF27">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C727B2A">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D83F21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采购方式</w:t>
            </w:r>
          </w:p>
        </w:tc>
        <w:tc>
          <w:tcPr>
            <w:tcW w:w="7860" w:type="dxa"/>
            <w:tcBorders>
              <w:top w:val="single" w:color="auto" w:sz="4" w:space="0"/>
              <w:left w:val="single" w:color="auto" w:sz="4" w:space="0"/>
              <w:bottom w:val="single" w:color="auto" w:sz="4" w:space="0"/>
              <w:right w:val="single" w:color="auto" w:sz="4" w:space="0"/>
            </w:tcBorders>
            <w:vAlign w:val="center"/>
          </w:tcPr>
          <w:p w14:paraId="69B17976">
            <w:pPr>
              <w:spacing w:line="360" w:lineRule="exact"/>
              <w:rPr>
                <w:rFonts w:ascii="宋体" w:hAnsi="宋体" w:cs="楷体"/>
                <w:sz w:val="21"/>
                <w:szCs w:val="21"/>
                <w:highlight w:val="none"/>
              </w:rPr>
            </w:pPr>
            <w:r>
              <w:rPr>
                <w:rFonts w:hint="eastAsia" w:ascii="宋体" w:hAnsi="宋体" w:cs="楷体"/>
                <w:sz w:val="21"/>
                <w:szCs w:val="21"/>
                <w:highlight w:val="none"/>
              </w:rPr>
              <w:t>公开招标（以招标公告的方式邀请非特定的供应商参加投标的采购方式）</w:t>
            </w:r>
          </w:p>
        </w:tc>
      </w:tr>
      <w:tr w14:paraId="43390E91">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6BE349B">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6CE0D17">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采购人</w:t>
            </w:r>
          </w:p>
        </w:tc>
        <w:tc>
          <w:tcPr>
            <w:tcW w:w="7860" w:type="dxa"/>
            <w:tcBorders>
              <w:top w:val="single" w:color="auto" w:sz="4" w:space="0"/>
              <w:left w:val="single" w:color="auto" w:sz="4" w:space="0"/>
              <w:bottom w:val="single" w:color="auto" w:sz="4" w:space="0"/>
              <w:right w:val="single" w:color="auto" w:sz="4" w:space="0"/>
            </w:tcBorders>
            <w:vAlign w:val="center"/>
          </w:tcPr>
          <w:p w14:paraId="2B76CB2A">
            <w:pPr>
              <w:spacing w:line="360" w:lineRule="exact"/>
              <w:rPr>
                <w:rFonts w:hint="eastAsia" w:ascii="宋体" w:hAnsi="宋体" w:eastAsia="宋体" w:cs="楷体"/>
                <w:kern w:val="0"/>
                <w:sz w:val="21"/>
                <w:szCs w:val="21"/>
                <w:highlight w:val="none"/>
                <w:lang w:eastAsia="zh-CN"/>
              </w:rPr>
            </w:pPr>
            <w:r>
              <w:rPr>
                <w:rFonts w:hint="eastAsia" w:ascii="宋体" w:hAnsi="宋体" w:cs="楷体"/>
                <w:kern w:val="0"/>
                <w:sz w:val="21"/>
                <w:szCs w:val="21"/>
                <w:highlight w:val="none"/>
              </w:rPr>
              <w:t>采购人名称：</w:t>
            </w:r>
            <w:r>
              <w:rPr>
                <w:rFonts w:hint="eastAsia" w:ascii="宋体" w:hAnsi="宋体" w:cs="楷体"/>
                <w:kern w:val="0"/>
                <w:sz w:val="21"/>
                <w:szCs w:val="21"/>
                <w:highlight w:val="none"/>
                <w:lang w:eastAsia="zh-CN"/>
              </w:rPr>
              <w:t>温州市瓯海区瓯发房屋租赁有限公司</w:t>
            </w:r>
          </w:p>
          <w:p w14:paraId="44F8D3E6">
            <w:pPr>
              <w:spacing w:line="360" w:lineRule="exact"/>
              <w:rPr>
                <w:rFonts w:hint="eastAsia" w:ascii="宋体" w:hAnsi="宋体" w:eastAsia="宋体" w:cs="楷体"/>
                <w:kern w:val="0"/>
                <w:sz w:val="21"/>
                <w:szCs w:val="21"/>
                <w:highlight w:val="none"/>
                <w:lang w:eastAsia="zh-CN"/>
              </w:rPr>
            </w:pPr>
            <w:r>
              <w:rPr>
                <w:rFonts w:hint="eastAsia" w:ascii="宋体" w:hAnsi="宋体" w:cs="楷体"/>
                <w:kern w:val="0"/>
                <w:sz w:val="21"/>
                <w:szCs w:val="21"/>
                <w:highlight w:val="none"/>
              </w:rPr>
              <w:t>采购人地址：</w:t>
            </w:r>
            <w:r>
              <w:rPr>
                <w:rFonts w:hint="eastAsia" w:ascii="宋体" w:hAnsi="宋体" w:cs="楷体"/>
                <w:kern w:val="0"/>
                <w:sz w:val="21"/>
                <w:szCs w:val="21"/>
                <w:highlight w:val="none"/>
                <w:lang w:eastAsia="zh-CN"/>
              </w:rPr>
              <w:t>温州市瓯海区娄桥街道古岸路969号</w:t>
            </w:r>
          </w:p>
        </w:tc>
      </w:tr>
      <w:tr w14:paraId="381B3BE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5574D99">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0D82F7C">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采购代理机构</w:t>
            </w:r>
          </w:p>
        </w:tc>
        <w:tc>
          <w:tcPr>
            <w:tcW w:w="7860" w:type="dxa"/>
            <w:tcBorders>
              <w:top w:val="single" w:color="auto" w:sz="4" w:space="0"/>
              <w:left w:val="single" w:color="auto" w:sz="4" w:space="0"/>
              <w:bottom w:val="single" w:color="auto" w:sz="4" w:space="0"/>
              <w:right w:val="single" w:color="auto" w:sz="4" w:space="0"/>
            </w:tcBorders>
            <w:vAlign w:val="center"/>
          </w:tcPr>
          <w:p w14:paraId="70CCDCEE">
            <w:pPr>
              <w:spacing w:line="360" w:lineRule="exact"/>
              <w:rPr>
                <w:rFonts w:hint="eastAsia" w:ascii="宋体" w:hAnsi="宋体" w:cs="楷体"/>
                <w:kern w:val="0"/>
                <w:sz w:val="21"/>
                <w:szCs w:val="21"/>
                <w:highlight w:val="none"/>
                <w:lang w:val="en-US" w:eastAsia="zh-CN"/>
              </w:rPr>
            </w:pPr>
            <w:r>
              <w:rPr>
                <w:rFonts w:hint="eastAsia" w:ascii="宋体" w:hAnsi="宋体" w:cs="楷体"/>
                <w:kern w:val="0"/>
                <w:sz w:val="21"/>
                <w:szCs w:val="21"/>
                <w:highlight w:val="none"/>
                <w:lang w:val="en-US" w:eastAsia="zh-CN"/>
              </w:rPr>
              <w:t>代理机构名称：浙江立创项目管理有限公司</w:t>
            </w:r>
          </w:p>
          <w:p w14:paraId="3DD5673C">
            <w:pPr>
              <w:spacing w:line="360" w:lineRule="exact"/>
              <w:rPr>
                <w:rFonts w:hint="eastAsia" w:ascii="宋体" w:hAnsi="宋体" w:cs="楷体"/>
                <w:kern w:val="0"/>
                <w:sz w:val="21"/>
                <w:szCs w:val="21"/>
                <w:highlight w:val="none"/>
                <w:lang w:val="en-US" w:eastAsia="zh-CN"/>
              </w:rPr>
            </w:pPr>
            <w:r>
              <w:rPr>
                <w:rFonts w:hint="eastAsia" w:ascii="宋体" w:hAnsi="宋体" w:cs="楷体"/>
                <w:kern w:val="0"/>
                <w:sz w:val="21"/>
                <w:szCs w:val="21"/>
                <w:highlight w:val="none"/>
                <w:lang w:val="en-US" w:eastAsia="zh-CN"/>
              </w:rPr>
              <w:t>代理机构地址：温州市瓯海区娄桥街道建设大厦20层西首</w:t>
            </w:r>
          </w:p>
          <w:p w14:paraId="1DD86890">
            <w:pPr>
              <w:spacing w:line="360" w:lineRule="exact"/>
              <w:rPr>
                <w:rFonts w:hint="default" w:ascii="宋体" w:hAnsi="宋体" w:cs="楷体"/>
                <w:kern w:val="0"/>
                <w:sz w:val="21"/>
                <w:szCs w:val="21"/>
                <w:highlight w:val="none"/>
                <w:lang w:val="en-US" w:eastAsia="zh-CN"/>
              </w:rPr>
            </w:pPr>
            <w:r>
              <w:rPr>
                <w:rFonts w:hint="eastAsia" w:ascii="宋体" w:hAnsi="宋体" w:cs="楷体"/>
                <w:kern w:val="0"/>
                <w:sz w:val="21"/>
                <w:szCs w:val="21"/>
                <w:highlight w:val="none"/>
                <w:lang w:val="en-US" w:eastAsia="zh-CN"/>
              </w:rPr>
              <w:t>联项目联系人（询问）：麻先生</w:t>
            </w:r>
          </w:p>
          <w:p w14:paraId="40083C93">
            <w:pPr>
              <w:spacing w:line="360" w:lineRule="exact"/>
              <w:rPr>
                <w:rFonts w:hint="default" w:ascii="宋体" w:hAnsi="宋体" w:cs="楷体"/>
                <w:kern w:val="0"/>
                <w:sz w:val="21"/>
                <w:szCs w:val="21"/>
                <w:highlight w:val="none"/>
                <w:lang w:val="en-US" w:eastAsia="zh-CN"/>
              </w:rPr>
            </w:pPr>
            <w:r>
              <w:rPr>
                <w:rFonts w:hint="eastAsia" w:ascii="宋体" w:hAnsi="宋体" w:cs="楷体"/>
                <w:kern w:val="0"/>
                <w:sz w:val="21"/>
                <w:szCs w:val="21"/>
                <w:highlight w:val="none"/>
                <w:lang w:val="en-US" w:eastAsia="zh-CN"/>
              </w:rPr>
              <w:t>项目联系方式（询问）：0577-88410388、18058839300</w:t>
            </w:r>
          </w:p>
          <w:p w14:paraId="27976ECE">
            <w:pPr>
              <w:spacing w:line="360" w:lineRule="exact"/>
              <w:rPr>
                <w:rFonts w:hint="default" w:ascii="宋体" w:hAnsi="宋体"/>
                <w:sz w:val="21"/>
                <w:szCs w:val="21"/>
                <w:highlight w:val="none"/>
                <w:lang w:val="en-US"/>
              </w:rPr>
            </w:pPr>
            <w:r>
              <w:rPr>
                <w:rFonts w:hint="eastAsia" w:ascii="宋体" w:hAnsi="宋体" w:cs="楷体"/>
                <w:kern w:val="0"/>
                <w:sz w:val="21"/>
                <w:szCs w:val="21"/>
                <w:highlight w:val="none"/>
                <w:lang w:val="en-US" w:eastAsia="zh-CN"/>
              </w:rPr>
              <w:t>质疑联系方式：15968793001</w:t>
            </w:r>
          </w:p>
        </w:tc>
      </w:tr>
      <w:tr w14:paraId="09C385C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DA0C50F">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234A08BD">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采购内容</w:t>
            </w:r>
          </w:p>
        </w:tc>
        <w:tc>
          <w:tcPr>
            <w:tcW w:w="7860" w:type="dxa"/>
            <w:tcBorders>
              <w:top w:val="single" w:color="auto" w:sz="4" w:space="0"/>
              <w:left w:val="single" w:color="auto" w:sz="4" w:space="0"/>
              <w:bottom w:val="single" w:color="auto" w:sz="4" w:space="0"/>
              <w:right w:val="single" w:color="auto" w:sz="4" w:space="0"/>
            </w:tcBorders>
            <w:vAlign w:val="center"/>
          </w:tcPr>
          <w:p w14:paraId="40B464F4">
            <w:pPr>
              <w:spacing w:line="360" w:lineRule="exact"/>
              <w:rPr>
                <w:rFonts w:ascii="宋体" w:hAnsi="宋体" w:cs="宋体"/>
                <w:kern w:val="0"/>
                <w:sz w:val="21"/>
                <w:szCs w:val="21"/>
                <w:highlight w:val="none"/>
              </w:rPr>
            </w:pPr>
            <w:r>
              <w:rPr>
                <w:rFonts w:hint="eastAsia" w:ascii="宋体" w:hAnsi="宋体" w:cs="楷体"/>
                <w:kern w:val="0"/>
                <w:sz w:val="21"/>
                <w:szCs w:val="21"/>
                <w:highlight w:val="none"/>
              </w:rPr>
              <w:t>具体采购内容及详细技术要求见招标文件相关部分</w:t>
            </w:r>
          </w:p>
        </w:tc>
      </w:tr>
      <w:tr w14:paraId="2B965DDE">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D73B7F4">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D77420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投标人资格要求</w:t>
            </w:r>
          </w:p>
        </w:tc>
        <w:tc>
          <w:tcPr>
            <w:tcW w:w="7860" w:type="dxa"/>
            <w:tcBorders>
              <w:top w:val="single" w:color="auto" w:sz="4" w:space="0"/>
              <w:left w:val="single" w:color="auto" w:sz="4" w:space="0"/>
              <w:bottom w:val="single" w:color="auto" w:sz="4" w:space="0"/>
              <w:right w:val="single" w:color="auto" w:sz="4" w:space="0"/>
            </w:tcBorders>
            <w:vAlign w:val="center"/>
          </w:tcPr>
          <w:p w14:paraId="1880E5A9">
            <w:pPr>
              <w:widowControl/>
              <w:wordWrap w:val="0"/>
              <w:spacing w:line="440" w:lineRule="exact"/>
              <w:jc w:val="left"/>
              <w:rPr>
                <w:rFonts w:ascii="宋体" w:hAnsi="宋体" w:cs="宋体"/>
                <w:kern w:val="0"/>
                <w:sz w:val="21"/>
                <w:szCs w:val="21"/>
                <w:highlight w:val="none"/>
              </w:rPr>
            </w:pPr>
            <w:r>
              <w:rPr>
                <w:rFonts w:hint="eastAsia" w:ascii="宋体" w:hAnsi="宋体" w:cs="宋体"/>
                <w:kern w:val="0"/>
                <w:sz w:val="21"/>
                <w:szCs w:val="21"/>
                <w:highlight w:val="none"/>
              </w:rPr>
              <w:t>1. 满足《</w:t>
            </w:r>
            <w:r>
              <w:rPr>
                <w:rFonts w:hint="eastAsia" w:ascii="宋体" w:hAnsi="宋体" w:cs="宋体"/>
                <w:kern w:val="0"/>
                <w:sz w:val="21"/>
                <w:szCs w:val="21"/>
                <w:highlight w:val="none"/>
                <w:lang w:eastAsia="zh-CN"/>
              </w:rPr>
              <w:t>《温州市瓯海区区属国有企业采购管理办法》温瓯政办发〔2024〕44号“三、采购当事人中第四款”对投标供应商的基本资格条件</w:t>
            </w:r>
            <w:r>
              <w:rPr>
                <w:rFonts w:hint="eastAsia" w:ascii="宋体" w:hAnsi="宋体" w:cs="宋体"/>
                <w:kern w:val="0"/>
                <w:sz w:val="21"/>
                <w:szCs w:val="21"/>
                <w:highlight w:val="none"/>
              </w:rPr>
              <w:t>；未被“信用中国”（www.creditchina.gov.cn)、中国</w:t>
            </w:r>
            <w:r>
              <w:rPr>
                <w:rFonts w:hint="eastAsia" w:ascii="宋体" w:hAnsi="宋体" w:cs="宋体"/>
                <w:kern w:val="0"/>
                <w:sz w:val="21"/>
                <w:szCs w:val="21"/>
                <w:highlight w:val="none"/>
                <w:lang w:val="en-US" w:eastAsia="zh-CN"/>
              </w:rPr>
              <w:t>政府</w:t>
            </w:r>
            <w:r>
              <w:rPr>
                <w:rFonts w:hint="eastAsia" w:ascii="宋体" w:hAnsi="宋体" w:cs="宋体"/>
                <w:kern w:val="0"/>
                <w:sz w:val="21"/>
                <w:szCs w:val="21"/>
                <w:highlight w:val="none"/>
                <w:lang w:eastAsia="zh-CN"/>
              </w:rPr>
              <w:t>采购</w:t>
            </w:r>
            <w:r>
              <w:rPr>
                <w:rFonts w:hint="eastAsia" w:ascii="宋体" w:hAnsi="宋体" w:cs="宋体"/>
                <w:kern w:val="0"/>
                <w:sz w:val="21"/>
                <w:szCs w:val="21"/>
                <w:highlight w:val="none"/>
              </w:rPr>
              <w:t>网（www.ccgp.gov.cn）列入失信被执行人、重大税收违法案件当事人名单、</w:t>
            </w:r>
            <w:r>
              <w:rPr>
                <w:rFonts w:hint="eastAsia" w:ascii="宋体" w:hAnsi="宋体" w:cs="宋体"/>
                <w:kern w:val="0"/>
                <w:sz w:val="21"/>
                <w:szCs w:val="21"/>
                <w:highlight w:val="none"/>
                <w:lang w:eastAsia="zh-CN"/>
              </w:rPr>
              <w:t>采购</w:t>
            </w:r>
            <w:r>
              <w:rPr>
                <w:rFonts w:hint="eastAsia" w:ascii="宋体" w:hAnsi="宋体" w:cs="宋体"/>
                <w:kern w:val="0"/>
                <w:sz w:val="21"/>
                <w:szCs w:val="21"/>
                <w:highlight w:val="none"/>
              </w:rPr>
              <w:t>严重违法失信行为记录名单。</w:t>
            </w:r>
          </w:p>
          <w:p w14:paraId="1C457B26">
            <w:pPr>
              <w:spacing w:line="360" w:lineRule="exact"/>
              <w:rPr>
                <w:rFonts w:hint="eastAsia" w:eastAsia="宋体"/>
                <w:sz w:val="21"/>
                <w:szCs w:val="21"/>
                <w:highlight w:val="none"/>
                <w:lang w:eastAsia="zh-CN"/>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、本项目的特定资格要求：</w:t>
            </w:r>
            <w:r>
              <w:rPr>
                <w:rFonts w:hint="eastAsia" w:ascii="宋体" w:hAnsi="宋体" w:cs="宋体"/>
                <w:kern w:val="0"/>
                <w:sz w:val="21"/>
                <w:szCs w:val="21"/>
                <w:highlight w:val="none"/>
                <w:lang w:val="en-US" w:eastAsia="zh-CN"/>
              </w:rPr>
              <w:t>无</w:t>
            </w:r>
          </w:p>
        </w:tc>
      </w:tr>
      <w:tr w14:paraId="38D170FB">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0044A93">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06E5CAD0">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是否接受联合体投标</w:t>
            </w:r>
          </w:p>
        </w:tc>
        <w:tc>
          <w:tcPr>
            <w:tcW w:w="7860" w:type="dxa"/>
            <w:tcBorders>
              <w:top w:val="single" w:color="auto" w:sz="4" w:space="0"/>
              <w:left w:val="single" w:color="auto" w:sz="4" w:space="0"/>
              <w:bottom w:val="single" w:color="auto" w:sz="4" w:space="0"/>
              <w:right w:val="single" w:color="auto" w:sz="4" w:space="0"/>
            </w:tcBorders>
            <w:vAlign w:val="center"/>
          </w:tcPr>
          <w:p w14:paraId="6120686E">
            <w:pPr>
              <w:spacing w:line="360" w:lineRule="exact"/>
              <w:rPr>
                <w:rFonts w:hint="default" w:ascii="宋体" w:hAnsi="宋体" w:cs="楷体"/>
                <w:kern w:val="0"/>
                <w:sz w:val="21"/>
                <w:szCs w:val="21"/>
                <w:highlight w:val="none"/>
                <w:lang w:val="en-US"/>
              </w:rPr>
            </w:pPr>
            <w:r>
              <w:rPr>
                <w:rFonts w:hint="eastAsia" w:ascii="宋体" w:hAnsi="宋体" w:cs="楷体"/>
                <w:b/>
                <w:kern w:val="0"/>
                <w:sz w:val="21"/>
                <w:szCs w:val="21"/>
                <w:highlight w:val="none"/>
              </w:rPr>
              <w:sym w:font="Wingdings" w:char="00FE"/>
            </w:r>
            <w:r>
              <w:rPr>
                <w:rFonts w:hint="eastAsia" w:ascii="宋体" w:hAnsi="宋体" w:cs="宋体"/>
                <w:kern w:val="0"/>
                <w:sz w:val="21"/>
                <w:szCs w:val="21"/>
                <w:highlight w:val="none"/>
              </w:rPr>
              <w:t>本项目</w:t>
            </w:r>
            <w:r>
              <w:rPr>
                <w:rFonts w:hint="eastAsia" w:ascii="宋体" w:hAnsi="宋体" w:cs="宋体"/>
                <w:kern w:val="0"/>
                <w:sz w:val="21"/>
                <w:szCs w:val="21"/>
                <w:highlight w:val="none"/>
                <w:u w:val="single"/>
                <w:lang w:val="en-US" w:eastAsia="zh-CN"/>
              </w:rPr>
              <w:t>不</w:t>
            </w:r>
            <w:r>
              <w:rPr>
                <w:rFonts w:hint="eastAsia" w:ascii="宋体" w:hAnsi="宋体" w:cs="宋体"/>
                <w:kern w:val="0"/>
                <w:sz w:val="21"/>
                <w:szCs w:val="21"/>
                <w:highlight w:val="none"/>
                <w:u w:val="single"/>
              </w:rPr>
              <w:t>接受</w:t>
            </w:r>
            <w:r>
              <w:rPr>
                <w:rFonts w:hint="eastAsia" w:ascii="宋体" w:hAnsi="宋体" w:cs="宋体"/>
                <w:kern w:val="0"/>
                <w:sz w:val="21"/>
                <w:szCs w:val="21"/>
                <w:highlight w:val="none"/>
              </w:rPr>
              <w:t>联合体投标</w:t>
            </w:r>
          </w:p>
        </w:tc>
      </w:tr>
      <w:tr w14:paraId="6819B48D">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3A3CC6D">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2301797">
            <w:pPr>
              <w:spacing w:line="360" w:lineRule="exact"/>
              <w:rPr>
                <w:rFonts w:ascii="宋体" w:hAnsi="宋体" w:cs="楷体"/>
                <w:kern w:val="0"/>
                <w:sz w:val="21"/>
                <w:szCs w:val="21"/>
                <w:highlight w:val="none"/>
              </w:rPr>
            </w:pPr>
            <w:r>
              <w:rPr>
                <w:rFonts w:hint="eastAsia" w:ascii="宋体" w:hAnsi="宋体" w:cs="Times New Roman"/>
                <w:sz w:val="21"/>
                <w:szCs w:val="21"/>
                <w:highlight w:val="none"/>
                <w:lang w:val="zh-CN"/>
              </w:rPr>
              <w:t>限制</w:t>
            </w:r>
            <w:r>
              <w:rPr>
                <w:rFonts w:hint="eastAsia" w:ascii="宋体" w:hAnsi="宋体"/>
                <w:sz w:val="21"/>
                <w:szCs w:val="21"/>
                <w:highlight w:val="none"/>
                <w:lang w:val="zh-CN"/>
              </w:rPr>
              <w:t>参加</w:t>
            </w:r>
            <w:r>
              <w:rPr>
                <w:rFonts w:hint="eastAsia" w:ascii="宋体" w:hAnsi="宋体" w:cs="Times New Roman"/>
                <w:sz w:val="21"/>
                <w:szCs w:val="21"/>
                <w:highlight w:val="none"/>
                <w:lang w:val="zh-CN"/>
              </w:rPr>
              <w:t>说明</w:t>
            </w:r>
          </w:p>
        </w:tc>
        <w:tc>
          <w:tcPr>
            <w:tcW w:w="7860" w:type="dxa"/>
            <w:tcBorders>
              <w:top w:val="single" w:color="auto" w:sz="4" w:space="0"/>
              <w:left w:val="single" w:color="auto" w:sz="4" w:space="0"/>
              <w:bottom w:val="single" w:color="auto" w:sz="4" w:space="0"/>
              <w:right w:val="single" w:color="auto" w:sz="4" w:space="0"/>
            </w:tcBorders>
            <w:vAlign w:val="center"/>
          </w:tcPr>
          <w:p w14:paraId="61723EE6">
            <w:pPr>
              <w:spacing w:line="360" w:lineRule="exact"/>
              <w:rPr>
                <w:rFonts w:ascii="宋体" w:hAnsi="宋体" w:cs="宋体"/>
                <w:kern w:val="0"/>
                <w:sz w:val="21"/>
                <w:szCs w:val="21"/>
                <w:highlight w:val="none"/>
              </w:rPr>
            </w:pPr>
            <w:r>
              <w:rPr>
                <w:rFonts w:ascii="宋体" w:hAnsi="宋体" w:cs="楷体"/>
                <w:kern w:val="0"/>
                <w:sz w:val="21"/>
                <w:szCs w:val="21"/>
                <w:highlight w:val="none"/>
              </w:rPr>
              <w:t>1</w:t>
            </w:r>
            <w:r>
              <w:rPr>
                <w:rFonts w:hint="eastAsia" w:ascii="宋体" w:hAnsi="宋体" w:cs="楷体"/>
                <w:kern w:val="0"/>
                <w:sz w:val="21"/>
                <w:szCs w:val="21"/>
                <w:highlight w:val="none"/>
              </w:rPr>
              <w:t>、为采购项目提供整体设计、规范编制或者项目管理、监理、检测等服务的供应商，不得再参加该采购项目的其他采购活动。</w:t>
            </w:r>
          </w:p>
          <w:p w14:paraId="63E469F0">
            <w:pPr>
              <w:spacing w:line="360" w:lineRule="exact"/>
              <w:rPr>
                <w:rFonts w:ascii="宋体" w:hAnsi="宋体" w:cs="楷体"/>
                <w:kern w:val="0"/>
                <w:sz w:val="21"/>
                <w:szCs w:val="21"/>
                <w:highlight w:val="none"/>
              </w:rPr>
            </w:pPr>
            <w:r>
              <w:rPr>
                <w:rFonts w:ascii="宋体" w:hAnsi="宋体" w:cs="楷体"/>
                <w:kern w:val="0"/>
                <w:sz w:val="21"/>
                <w:szCs w:val="21"/>
                <w:highlight w:val="none"/>
              </w:rPr>
              <w:t>2</w:t>
            </w:r>
            <w:r>
              <w:rPr>
                <w:rFonts w:hint="eastAsia" w:ascii="宋体" w:hAnsi="宋体" w:cs="楷体"/>
                <w:kern w:val="0"/>
                <w:sz w:val="21"/>
                <w:szCs w:val="21"/>
                <w:highlight w:val="none"/>
              </w:rPr>
              <w:t>、单位负责人为同一人或者存在直接控股、管理关系的不同供应商，不得参加同一合同项下的政府采购活动。</w:t>
            </w:r>
          </w:p>
        </w:tc>
      </w:tr>
      <w:tr w14:paraId="531B7BCC">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5EE6F58">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C7B8F28">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现场踏勘</w:t>
            </w:r>
          </w:p>
        </w:tc>
        <w:tc>
          <w:tcPr>
            <w:tcW w:w="7860" w:type="dxa"/>
            <w:tcBorders>
              <w:top w:val="single" w:color="auto" w:sz="4" w:space="0"/>
              <w:left w:val="single" w:color="auto" w:sz="4" w:space="0"/>
              <w:bottom w:val="single" w:color="auto" w:sz="4" w:space="0"/>
              <w:right w:val="single" w:color="auto" w:sz="4" w:space="0"/>
            </w:tcBorders>
            <w:vAlign w:val="center"/>
          </w:tcPr>
          <w:p w14:paraId="186B9B61">
            <w:pPr>
              <w:spacing w:line="360" w:lineRule="exact"/>
              <w:rPr>
                <w:rFonts w:ascii="宋体" w:hAnsi="宋体" w:cs="楷体"/>
                <w:kern w:val="0"/>
                <w:sz w:val="21"/>
                <w:szCs w:val="21"/>
                <w:highlight w:val="none"/>
              </w:rPr>
            </w:pPr>
            <w:r>
              <w:rPr>
                <w:rFonts w:hint="eastAsia" w:ascii="宋体" w:hAnsi="宋体" w:cs="楷体"/>
                <w:b/>
                <w:snapToGrid w:val="0"/>
                <w:sz w:val="21"/>
                <w:szCs w:val="21"/>
                <w:highlight w:val="none"/>
              </w:rPr>
              <w:sym w:font="Wingdings" w:char="F0FE"/>
            </w:r>
            <w:r>
              <w:rPr>
                <w:rFonts w:hint="eastAsia" w:ascii="宋体" w:hAnsi="宋体" w:cs="楷体"/>
                <w:kern w:val="0"/>
                <w:sz w:val="21"/>
                <w:szCs w:val="21"/>
                <w:highlight w:val="none"/>
              </w:rPr>
              <w:t>不组织，投标人可自行到项目所在地予以踏勘，对项目实施现场及周边环境等进行勘察，以获取编制投标文件和签署合同所需的所有资料，否则，由此所造成的一切后果由投标人自行承担。</w:t>
            </w:r>
          </w:p>
        </w:tc>
      </w:tr>
      <w:tr w14:paraId="7CB62CC9">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B46013F">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1E87F6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投标保证金</w:t>
            </w:r>
          </w:p>
        </w:tc>
        <w:tc>
          <w:tcPr>
            <w:tcW w:w="7860" w:type="dxa"/>
            <w:tcBorders>
              <w:top w:val="single" w:color="auto" w:sz="4" w:space="0"/>
              <w:left w:val="single" w:color="auto" w:sz="4" w:space="0"/>
              <w:bottom w:val="single" w:color="auto" w:sz="4" w:space="0"/>
              <w:right w:val="single" w:color="auto" w:sz="4" w:space="0"/>
            </w:tcBorders>
            <w:vAlign w:val="center"/>
          </w:tcPr>
          <w:p w14:paraId="7F079C06">
            <w:pPr>
              <w:widowControl/>
              <w:spacing w:line="360" w:lineRule="exact"/>
              <w:jc w:val="left"/>
              <w:rPr>
                <w:rFonts w:ascii="宋体" w:hAnsi="宋体" w:cs="宋体"/>
                <w:kern w:val="0"/>
                <w:sz w:val="21"/>
                <w:szCs w:val="21"/>
                <w:highlight w:val="none"/>
              </w:rPr>
            </w:pPr>
            <w:r>
              <w:rPr>
                <w:rFonts w:hint="eastAsia" w:ascii="宋体" w:hAnsi="宋体" w:cs="楷体"/>
                <w:b/>
                <w:kern w:val="0"/>
                <w:sz w:val="21"/>
                <w:szCs w:val="21"/>
                <w:highlight w:val="none"/>
              </w:rPr>
              <w:sym w:font="Wingdings" w:char="F0FE"/>
            </w:r>
            <w:r>
              <w:rPr>
                <w:rFonts w:hint="eastAsia" w:ascii="宋体" w:hAnsi="宋体" w:cs="楷体"/>
                <w:kern w:val="0"/>
                <w:sz w:val="21"/>
                <w:szCs w:val="21"/>
                <w:highlight w:val="none"/>
              </w:rPr>
              <w:t>不收取</w:t>
            </w:r>
          </w:p>
        </w:tc>
      </w:tr>
      <w:tr w14:paraId="2B21D6B5">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0740442">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27DA2BF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开标前答疑会</w:t>
            </w:r>
          </w:p>
        </w:tc>
        <w:tc>
          <w:tcPr>
            <w:tcW w:w="7860" w:type="dxa"/>
            <w:tcBorders>
              <w:top w:val="single" w:color="auto" w:sz="4" w:space="0"/>
              <w:left w:val="single" w:color="auto" w:sz="4" w:space="0"/>
              <w:bottom w:val="single" w:color="auto" w:sz="4" w:space="0"/>
              <w:right w:val="single" w:color="auto" w:sz="4" w:space="0"/>
            </w:tcBorders>
            <w:vAlign w:val="center"/>
          </w:tcPr>
          <w:p w14:paraId="79F95D6B">
            <w:pPr>
              <w:spacing w:line="360" w:lineRule="exact"/>
              <w:rPr>
                <w:rFonts w:ascii="宋体" w:hAnsi="宋体" w:cs="楷体"/>
                <w:kern w:val="0"/>
                <w:sz w:val="21"/>
                <w:szCs w:val="21"/>
                <w:highlight w:val="none"/>
              </w:rPr>
            </w:pPr>
            <w:r>
              <w:rPr>
                <w:rFonts w:hint="eastAsia" w:ascii="宋体" w:hAnsi="宋体" w:cs="楷体"/>
                <w:b/>
                <w:snapToGrid w:val="0"/>
                <w:sz w:val="21"/>
                <w:szCs w:val="21"/>
                <w:highlight w:val="none"/>
              </w:rPr>
              <w:sym w:font="Wingdings" w:char="F0FE"/>
            </w:r>
            <w:r>
              <w:rPr>
                <w:rFonts w:hint="eastAsia" w:ascii="宋体" w:hAnsi="宋体" w:cs="楷体"/>
                <w:kern w:val="0"/>
                <w:sz w:val="21"/>
                <w:szCs w:val="21"/>
                <w:highlight w:val="none"/>
              </w:rPr>
              <w:t>不召开</w:t>
            </w:r>
          </w:p>
        </w:tc>
      </w:tr>
      <w:tr w14:paraId="21237C2E">
        <w:tblPrEx>
          <w:tblCellMar>
            <w:top w:w="0" w:type="dxa"/>
            <w:left w:w="108" w:type="dxa"/>
            <w:bottom w:w="0" w:type="dxa"/>
            <w:right w:w="108" w:type="dxa"/>
          </w:tblCellMar>
        </w:tblPrEx>
        <w:trPr>
          <w:trHeight w:val="41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85CB8F3">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8C532A9">
            <w:pPr>
              <w:spacing w:line="360" w:lineRule="exact"/>
              <w:rPr>
                <w:rFonts w:ascii="宋体" w:hAnsi="宋体" w:cs="楷体"/>
                <w:kern w:val="0"/>
                <w:sz w:val="21"/>
                <w:szCs w:val="21"/>
                <w:highlight w:val="none"/>
              </w:rPr>
            </w:pPr>
            <w:r>
              <w:rPr>
                <w:rFonts w:ascii="宋体" w:hAnsi="宋体" w:cs="楷体"/>
                <w:kern w:val="0"/>
                <w:sz w:val="21"/>
                <w:szCs w:val="21"/>
                <w:highlight w:val="none"/>
              </w:rPr>
              <w:t>是否退还投标文件</w:t>
            </w:r>
          </w:p>
        </w:tc>
        <w:tc>
          <w:tcPr>
            <w:tcW w:w="7860" w:type="dxa"/>
            <w:tcBorders>
              <w:top w:val="single" w:color="auto" w:sz="4" w:space="0"/>
              <w:left w:val="single" w:color="auto" w:sz="4" w:space="0"/>
              <w:bottom w:val="single" w:color="auto" w:sz="4" w:space="0"/>
              <w:right w:val="single" w:color="auto" w:sz="4" w:space="0"/>
            </w:tcBorders>
            <w:vAlign w:val="center"/>
          </w:tcPr>
          <w:p w14:paraId="32CC7215">
            <w:pPr>
              <w:widowControl/>
              <w:adjustRightInd w:val="0"/>
              <w:spacing w:line="360" w:lineRule="exact"/>
              <w:jc w:val="left"/>
              <w:textAlignment w:val="baseline"/>
              <w:rPr>
                <w:rFonts w:ascii="宋体" w:hAnsi="宋体"/>
                <w:kern w:val="0"/>
                <w:sz w:val="21"/>
                <w:szCs w:val="21"/>
                <w:highlight w:val="none"/>
              </w:rPr>
            </w:pPr>
            <w:r>
              <w:rPr>
                <w:rFonts w:hint="eastAsia" w:ascii="宋体" w:hAnsi="宋体" w:cs="楷体"/>
                <w:b/>
                <w:snapToGrid w:val="0"/>
                <w:sz w:val="21"/>
                <w:szCs w:val="21"/>
                <w:highlight w:val="none"/>
              </w:rPr>
              <w:sym w:font="Wingdings" w:char="F0FE"/>
            </w:r>
            <w:r>
              <w:rPr>
                <w:rFonts w:hint="eastAsia" w:ascii="宋体" w:hAnsi="宋体" w:cs="楷体"/>
                <w:kern w:val="0"/>
                <w:sz w:val="21"/>
                <w:szCs w:val="21"/>
                <w:highlight w:val="none"/>
              </w:rPr>
              <w:t>否，证书原件除外</w:t>
            </w:r>
          </w:p>
        </w:tc>
      </w:tr>
      <w:tr w14:paraId="6181F1DD">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5C9D789">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8C9E363">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投标有效期</w:t>
            </w:r>
          </w:p>
        </w:tc>
        <w:tc>
          <w:tcPr>
            <w:tcW w:w="7860" w:type="dxa"/>
            <w:tcBorders>
              <w:top w:val="single" w:color="auto" w:sz="4" w:space="0"/>
              <w:left w:val="single" w:color="auto" w:sz="4" w:space="0"/>
              <w:bottom w:val="single" w:color="auto" w:sz="4" w:space="0"/>
              <w:right w:val="single" w:color="auto" w:sz="4" w:space="0"/>
            </w:tcBorders>
            <w:vAlign w:val="center"/>
          </w:tcPr>
          <w:p w14:paraId="21E0199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投标文件自</w:t>
            </w:r>
            <w:r>
              <w:rPr>
                <w:rFonts w:ascii="宋体" w:hAnsi="宋体" w:cs="楷体"/>
                <w:kern w:val="0"/>
                <w:sz w:val="21"/>
                <w:szCs w:val="21"/>
                <w:highlight w:val="none"/>
              </w:rPr>
              <w:t>投标文件递交截止时间</w:t>
            </w:r>
            <w:r>
              <w:rPr>
                <w:rFonts w:hint="eastAsia" w:ascii="宋体" w:hAnsi="宋体" w:cs="楷体"/>
                <w:kern w:val="0"/>
                <w:sz w:val="21"/>
                <w:szCs w:val="21"/>
                <w:highlight w:val="none"/>
              </w:rPr>
              <w:t>起生效，有效期90天。</w:t>
            </w:r>
          </w:p>
        </w:tc>
      </w:tr>
      <w:tr w14:paraId="3104978F">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448B526">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AEE633D">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投标文件的组成</w:t>
            </w:r>
          </w:p>
        </w:tc>
        <w:tc>
          <w:tcPr>
            <w:tcW w:w="7860" w:type="dxa"/>
            <w:tcBorders>
              <w:top w:val="single" w:color="auto" w:sz="4" w:space="0"/>
              <w:left w:val="single" w:color="auto" w:sz="4" w:space="0"/>
              <w:bottom w:val="single" w:color="auto" w:sz="4" w:space="0"/>
              <w:right w:val="single" w:color="auto" w:sz="4" w:space="0"/>
            </w:tcBorders>
            <w:vAlign w:val="center"/>
          </w:tcPr>
          <w:p w14:paraId="7B0EB662">
            <w:pPr>
              <w:spacing w:line="360" w:lineRule="exact"/>
              <w:rPr>
                <w:rFonts w:ascii="宋体" w:hAnsi="宋体" w:cs="楷体"/>
                <w:kern w:val="0"/>
                <w:sz w:val="21"/>
                <w:szCs w:val="21"/>
                <w:highlight w:val="none"/>
              </w:rPr>
            </w:pPr>
            <w:r>
              <w:rPr>
                <w:rFonts w:ascii="宋体" w:hAnsi="宋体" w:cs="楷体"/>
                <w:kern w:val="0"/>
                <w:sz w:val="21"/>
                <w:szCs w:val="21"/>
                <w:highlight w:val="none"/>
              </w:rPr>
              <w:t>完整的投标文件由</w:t>
            </w:r>
            <w:r>
              <w:rPr>
                <w:rFonts w:hint="eastAsia" w:ascii="宋体" w:hAnsi="宋体" w:cs="楷体"/>
                <w:b/>
                <w:bCs/>
                <w:kern w:val="0"/>
                <w:sz w:val="21"/>
                <w:szCs w:val="21"/>
                <w:highlight w:val="none"/>
              </w:rPr>
              <w:t>“资格文件”、</w:t>
            </w:r>
            <w:r>
              <w:rPr>
                <w:rFonts w:ascii="宋体" w:hAnsi="宋体" w:cs="楷体"/>
                <w:b/>
                <w:bCs/>
                <w:kern w:val="0"/>
                <w:sz w:val="21"/>
                <w:szCs w:val="21"/>
                <w:highlight w:val="none"/>
              </w:rPr>
              <w:t>“报价文件”</w:t>
            </w:r>
            <w:r>
              <w:rPr>
                <w:rFonts w:hint="eastAsia" w:ascii="宋体" w:hAnsi="宋体" w:cs="楷体"/>
                <w:kern w:val="0"/>
                <w:sz w:val="21"/>
                <w:szCs w:val="21"/>
                <w:highlight w:val="none"/>
              </w:rPr>
              <w:t>和</w:t>
            </w:r>
            <w:r>
              <w:rPr>
                <w:rFonts w:ascii="宋体" w:hAnsi="宋体" w:cs="楷体"/>
                <w:b/>
                <w:bCs/>
                <w:kern w:val="0"/>
                <w:sz w:val="21"/>
                <w:szCs w:val="21"/>
                <w:highlight w:val="none"/>
              </w:rPr>
              <w:t>“</w:t>
            </w:r>
            <w:r>
              <w:rPr>
                <w:rFonts w:hint="eastAsia" w:ascii="宋体" w:hAnsi="宋体" w:cs="楷体"/>
                <w:b/>
                <w:bCs/>
                <w:kern w:val="0"/>
                <w:sz w:val="21"/>
                <w:szCs w:val="21"/>
                <w:highlight w:val="none"/>
              </w:rPr>
              <w:t>商务</w:t>
            </w:r>
            <w:r>
              <w:rPr>
                <w:rFonts w:ascii="宋体" w:hAnsi="宋体" w:cs="楷体"/>
                <w:b/>
                <w:bCs/>
                <w:kern w:val="0"/>
                <w:sz w:val="21"/>
                <w:szCs w:val="21"/>
                <w:highlight w:val="none"/>
              </w:rPr>
              <w:t>技术文件”</w:t>
            </w:r>
            <w:r>
              <w:rPr>
                <w:rFonts w:hint="eastAsia" w:ascii="宋体" w:hAnsi="宋体" w:cs="楷体"/>
                <w:kern w:val="0"/>
                <w:sz w:val="21"/>
                <w:szCs w:val="21"/>
                <w:highlight w:val="none"/>
              </w:rPr>
              <w:t>三</w:t>
            </w:r>
            <w:r>
              <w:rPr>
                <w:rFonts w:ascii="宋体" w:hAnsi="宋体" w:cs="楷体"/>
                <w:kern w:val="0"/>
                <w:sz w:val="21"/>
                <w:szCs w:val="21"/>
                <w:highlight w:val="none"/>
              </w:rPr>
              <w:t>个部分组成。</w:t>
            </w:r>
          </w:p>
        </w:tc>
      </w:tr>
      <w:tr w14:paraId="025D9E44">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3D8DE7B">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A1630F5">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投标文件的编制</w:t>
            </w:r>
          </w:p>
        </w:tc>
        <w:tc>
          <w:tcPr>
            <w:tcW w:w="7860" w:type="dxa"/>
            <w:tcBorders>
              <w:top w:val="single" w:color="auto" w:sz="4" w:space="0"/>
              <w:left w:val="single" w:color="auto" w:sz="4" w:space="0"/>
              <w:bottom w:val="single" w:color="auto" w:sz="4" w:space="0"/>
              <w:right w:val="single" w:color="auto" w:sz="4" w:space="0"/>
            </w:tcBorders>
            <w:vAlign w:val="center"/>
          </w:tcPr>
          <w:p w14:paraId="67B1BEB7">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供应商应先安装“政采云电子交易客户端”，并按照本招标文件和“</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”的要求，通过“政采云电子交易客户端”编制并加密投标文件。</w:t>
            </w:r>
            <w:r>
              <w:rPr>
                <w:rFonts w:hint="eastAsia" w:ascii="宋体" w:hAnsi="宋体" w:cs="楷体"/>
                <w:b/>
                <w:bCs/>
                <w:kern w:val="0"/>
                <w:sz w:val="21"/>
                <w:szCs w:val="21"/>
                <w:highlight w:val="none"/>
              </w:rPr>
              <w:t>供应商未按规定加密的投标文件，“</w:t>
            </w:r>
            <w:r>
              <w:rPr>
                <w:rFonts w:hint="eastAsia" w:ascii="宋体" w:hAnsi="宋体" w:cs="楷体"/>
                <w:b/>
                <w:bCs/>
                <w:kern w:val="0"/>
                <w:sz w:val="21"/>
                <w:szCs w:val="21"/>
                <w:highlight w:val="none"/>
                <w:lang w:eastAsia="zh-CN"/>
              </w:rPr>
              <w:t>乐采云平台</w:t>
            </w:r>
            <w:r>
              <w:rPr>
                <w:rFonts w:hint="eastAsia" w:ascii="宋体" w:hAnsi="宋体" w:cs="楷体"/>
                <w:b/>
                <w:bCs/>
                <w:kern w:val="0"/>
                <w:sz w:val="21"/>
                <w:szCs w:val="21"/>
                <w:highlight w:val="none"/>
              </w:rPr>
              <w:t>”将予以拒收。</w:t>
            </w:r>
          </w:p>
        </w:tc>
      </w:tr>
      <w:tr w14:paraId="5C8E054F">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C6CC879">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86B2ACB">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投标文件的签章</w:t>
            </w:r>
          </w:p>
        </w:tc>
        <w:tc>
          <w:tcPr>
            <w:tcW w:w="7860" w:type="dxa"/>
            <w:tcBorders>
              <w:top w:val="single" w:color="auto" w:sz="4" w:space="0"/>
              <w:left w:val="single" w:color="auto" w:sz="4" w:space="0"/>
              <w:bottom w:val="single" w:color="auto" w:sz="4" w:space="0"/>
              <w:right w:val="single" w:color="auto" w:sz="4" w:space="0"/>
            </w:tcBorders>
            <w:vAlign w:val="center"/>
          </w:tcPr>
          <w:p w14:paraId="6CC28AE9">
            <w:pPr>
              <w:spacing w:line="360" w:lineRule="exact"/>
              <w:rPr>
                <w:rFonts w:hint="eastAsia" w:ascii="宋体" w:hAnsi="宋体" w:eastAsia="宋体" w:cs="楷体"/>
                <w:b/>
                <w:bCs/>
                <w:kern w:val="0"/>
                <w:sz w:val="21"/>
                <w:szCs w:val="21"/>
                <w:highlight w:val="none"/>
              </w:rPr>
            </w:pPr>
            <w:r>
              <w:rPr>
                <w:rFonts w:hint="eastAsia" w:ascii="宋体" w:hAnsi="宋体" w:eastAsia="宋体" w:cs="楷体"/>
                <w:kern w:val="0"/>
                <w:sz w:val="21"/>
                <w:szCs w:val="21"/>
                <w:highlight w:val="none"/>
              </w:rPr>
              <w:t>电</w:t>
            </w:r>
            <w:r>
              <w:rPr>
                <w:rFonts w:hint="eastAsia" w:ascii="宋体" w:hAnsi="宋体" w:eastAsia="宋体" w:cs="楷体"/>
                <w:b/>
                <w:bCs/>
                <w:kern w:val="0"/>
                <w:sz w:val="21"/>
                <w:szCs w:val="21"/>
                <w:highlight w:val="none"/>
              </w:rPr>
              <w:t>子签章即可（如无电子签章的单位负责人和授权代表，其签字或盖章可书面签订或盖章后扫描至电子投标文件中上传）。</w:t>
            </w:r>
          </w:p>
          <w:p w14:paraId="3B821D10">
            <w:pPr>
              <w:spacing w:line="360" w:lineRule="exact"/>
              <w:rPr>
                <w:highlight w:val="none"/>
              </w:rPr>
            </w:pPr>
            <w:r>
              <w:rPr>
                <w:rFonts w:hint="eastAsia" w:ascii="宋体" w:hAnsi="宋体" w:eastAsia="宋体" w:cs="楷体"/>
                <w:b/>
                <w:bCs/>
                <w:kern w:val="0"/>
                <w:sz w:val="21"/>
                <w:szCs w:val="21"/>
                <w:highlight w:val="none"/>
                <w:lang w:val="en-US" w:eastAsia="zh-CN"/>
              </w:rPr>
              <w:t>联合体投标的，除联合体协议书格式之外的</w:t>
            </w:r>
            <w:r>
              <w:rPr>
                <w:rFonts w:hint="eastAsia" w:ascii="宋体" w:hAnsi="宋体" w:cs="楷体"/>
                <w:b/>
                <w:bCs/>
                <w:kern w:val="0"/>
                <w:sz w:val="21"/>
                <w:szCs w:val="21"/>
                <w:highlight w:val="none"/>
                <w:lang w:val="en-US" w:eastAsia="zh-CN"/>
              </w:rPr>
              <w:t>，仅</w:t>
            </w:r>
            <w:r>
              <w:rPr>
                <w:rFonts w:hint="eastAsia" w:ascii="宋体" w:hAnsi="宋体" w:eastAsia="宋体" w:cs="楷体"/>
                <w:b/>
                <w:bCs/>
                <w:kern w:val="0"/>
                <w:sz w:val="21"/>
                <w:szCs w:val="21"/>
                <w:highlight w:val="none"/>
                <w:lang w:val="en-US" w:eastAsia="zh-CN"/>
              </w:rPr>
              <w:t>由联合体牵头人加盖单位电子印章、法定代表人个人电子印章即可。</w:t>
            </w:r>
          </w:p>
        </w:tc>
      </w:tr>
      <w:tr w14:paraId="562357D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855D4C6">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394C94C">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投标文件的形式</w:t>
            </w:r>
          </w:p>
        </w:tc>
        <w:tc>
          <w:tcPr>
            <w:tcW w:w="7860" w:type="dxa"/>
            <w:tcBorders>
              <w:top w:val="single" w:color="auto" w:sz="4" w:space="0"/>
              <w:left w:val="single" w:color="auto" w:sz="4" w:space="0"/>
              <w:bottom w:val="single" w:color="auto" w:sz="4" w:space="0"/>
              <w:right w:val="single" w:color="auto" w:sz="4" w:space="0"/>
            </w:tcBorders>
            <w:vAlign w:val="center"/>
          </w:tcPr>
          <w:p w14:paraId="4550FBE1">
            <w:pPr>
              <w:spacing w:line="360" w:lineRule="exact"/>
              <w:rPr>
                <w:rFonts w:ascii="宋体" w:hAnsi="宋体" w:cs="楷体"/>
                <w:kern w:val="0"/>
                <w:sz w:val="21"/>
                <w:szCs w:val="21"/>
                <w:highlight w:val="none"/>
              </w:rPr>
            </w:pPr>
            <w:r>
              <w:rPr>
                <w:rFonts w:hint="eastAsia" w:ascii="宋体" w:hAnsi="宋体" w:cs="楷体"/>
                <w:b/>
                <w:snapToGrid w:val="0"/>
                <w:sz w:val="21"/>
                <w:szCs w:val="21"/>
                <w:highlight w:val="none"/>
              </w:rPr>
              <w:sym w:font="Wingdings" w:char="F0FE"/>
            </w:r>
            <w:r>
              <w:rPr>
                <w:rFonts w:hint="eastAsia" w:ascii="宋体" w:hAnsi="宋体" w:cs="楷体"/>
                <w:kern w:val="0"/>
                <w:sz w:val="21"/>
                <w:szCs w:val="21"/>
                <w:highlight w:val="none"/>
              </w:rPr>
              <w:t>电子投标文件（包括“电子加密投标文件”和“备份投标文件”，在投标文件编制完成后同时生成）；</w:t>
            </w:r>
          </w:p>
          <w:p w14:paraId="26E81D12">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（1）“电子加密投标文件”是指通过“政采云电子交易客户端”完成投标文件编制后生成并加密的数据电文形式的投标文件。</w:t>
            </w:r>
          </w:p>
          <w:p w14:paraId="5705E05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（2）“备份投标文件”是指与“电子加密投标文件”同时生成的数据电文形式的电子文件（备份标书），其他方式编制的备份投标文件视为无效备份投标文件。</w:t>
            </w:r>
          </w:p>
        </w:tc>
      </w:tr>
      <w:tr w14:paraId="5F8B35E1">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5AF9138">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12A1E22">
            <w:pPr>
              <w:spacing w:line="360" w:lineRule="exact"/>
              <w:rPr>
                <w:rFonts w:ascii="宋体" w:hAnsi="宋体" w:cs="楷体"/>
                <w:kern w:val="0"/>
                <w:sz w:val="21"/>
                <w:szCs w:val="21"/>
                <w:highlight w:val="none"/>
              </w:rPr>
            </w:pPr>
            <w:r>
              <w:rPr>
                <w:rFonts w:ascii="宋体" w:hAnsi="宋体" w:cs="楷体"/>
                <w:kern w:val="0"/>
                <w:sz w:val="21"/>
                <w:szCs w:val="21"/>
                <w:highlight w:val="none"/>
              </w:rPr>
              <w:t>投标文件的份数</w:t>
            </w:r>
          </w:p>
        </w:tc>
        <w:tc>
          <w:tcPr>
            <w:tcW w:w="7860" w:type="dxa"/>
            <w:tcBorders>
              <w:top w:val="single" w:color="auto" w:sz="4" w:space="0"/>
              <w:left w:val="single" w:color="auto" w:sz="4" w:space="0"/>
              <w:bottom w:val="single" w:color="auto" w:sz="4" w:space="0"/>
              <w:right w:val="single" w:color="auto" w:sz="4" w:space="0"/>
            </w:tcBorders>
            <w:vAlign w:val="center"/>
          </w:tcPr>
          <w:p w14:paraId="2829458F">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（1）“电子加密投标文件”：在线上传递交、一份。</w:t>
            </w:r>
          </w:p>
          <w:p w14:paraId="29FD837A">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（2）“备份投标文件”：自愿提交、一份。</w:t>
            </w:r>
          </w:p>
          <w:p w14:paraId="01CE036A">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（3）</w:t>
            </w:r>
            <w:r>
              <w:rPr>
                <w:rFonts w:hint="eastAsia" w:ascii="宋体" w:hAnsi="宋体" w:cs="楷体"/>
                <w:bCs/>
                <w:kern w:val="0"/>
                <w:sz w:val="21"/>
                <w:szCs w:val="21"/>
                <w:highlight w:val="none"/>
              </w:rPr>
              <w:t>投标人中标后提供四份完整的纸质投标文件和电子投标文件与纸质投标文件内容一致的承诺书给采购代理机构留底以作项目验收存档使用。</w:t>
            </w:r>
          </w:p>
        </w:tc>
      </w:tr>
      <w:tr w14:paraId="0C3E9FAC">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E727F1F">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06E2802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投标文件的上传和递交</w:t>
            </w:r>
          </w:p>
        </w:tc>
        <w:tc>
          <w:tcPr>
            <w:tcW w:w="7860" w:type="dxa"/>
            <w:tcBorders>
              <w:top w:val="single" w:color="auto" w:sz="4" w:space="0"/>
              <w:left w:val="single" w:color="auto" w:sz="4" w:space="0"/>
              <w:bottom w:val="single" w:color="auto" w:sz="4" w:space="0"/>
              <w:right w:val="single" w:color="auto" w:sz="4" w:space="0"/>
            </w:tcBorders>
            <w:vAlign w:val="center"/>
          </w:tcPr>
          <w:p w14:paraId="34033D1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（1）“电子加密投标文件”的上传、递交：</w:t>
            </w:r>
          </w:p>
          <w:p w14:paraId="7014D6B2">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a.投标人应在投标截止时间前将“电子加密投标文件”成功上传递交至“</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”，否则</w:t>
            </w:r>
            <w:r>
              <w:rPr>
                <w:rFonts w:hint="eastAsia" w:ascii="宋体" w:hAnsi="宋体" w:cs="Courier New"/>
                <w:sz w:val="21"/>
                <w:szCs w:val="21"/>
                <w:highlight w:val="none"/>
              </w:rPr>
              <w:t>视为撤回投标文件</w:t>
            </w:r>
            <w:r>
              <w:rPr>
                <w:rFonts w:hint="eastAsia" w:ascii="宋体" w:hAnsi="宋体" w:cs="楷体"/>
                <w:kern w:val="0"/>
                <w:sz w:val="21"/>
                <w:szCs w:val="21"/>
                <w:highlight w:val="none"/>
              </w:rPr>
              <w:t>。</w:t>
            </w:r>
          </w:p>
          <w:p w14:paraId="4D3268B4">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b.“电子加密投标文件”成功上传递交后，投标人可自行打印投标文件接收回执。</w:t>
            </w:r>
          </w:p>
          <w:p w14:paraId="22F91CFB">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（2）“备份投标文件”的密封包装、递交：</w:t>
            </w:r>
          </w:p>
          <w:p w14:paraId="7D93A450">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a.投标人在“</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”完成“电子加密投标文件”的上传递交后，还可以（建议EMS或顺丰邮寄形式）在投标截止时间前递交以介质（U盘）存储的 “备份投标文件”（一份）；递交至采购代理机构地址（地址详见招标文件，防疫期间不建议投标人现场递交）；</w:t>
            </w:r>
            <w:r>
              <w:rPr>
                <w:rFonts w:hint="eastAsia" w:ascii="宋体" w:hAnsi="宋体" w:cs="楷体"/>
                <w:b/>
                <w:bCs/>
                <w:kern w:val="0"/>
                <w:sz w:val="21"/>
                <w:szCs w:val="21"/>
                <w:highlight w:val="none"/>
              </w:rPr>
              <w:t>“备份投标文件”由投标人自愿提交，招标文件不作强制性要求，但投标人仅递交了“备份投标文件”的，投标无效。</w:t>
            </w:r>
          </w:p>
          <w:p w14:paraId="3A312F9B">
            <w:pPr>
              <w:spacing w:line="360" w:lineRule="exact"/>
              <w:rPr>
                <w:rFonts w:ascii="宋体" w:hAnsi="宋体" w:cs="楷体"/>
                <w:b/>
                <w:bCs/>
                <w:kern w:val="0"/>
                <w:sz w:val="21"/>
                <w:szCs w:val="21"/>
                <w:highlight w:val="none"/>
              </w:rPr>
            </w:pPr>
            <w:r>
              <w:rPr>
                <w:rFonts w:hint="eastAsia" w:ascii="宋体" w:hAnsi="宋体" w:cs="楷体"/>
                <w:kern w:val="0"/>
                <w:sz w:val="21"/>
                <w:szCs w:val="21"/>
                <w:highlight w:val="none"/>
              </w:rPr>
              <w:t>b.“备份投标文件”应当密封包装，并在包装上标注投标项目名称、投标单位名称并加盖公章。</w:t>
            </w:r>
            <w:r>
              <w:rPr>
                <w:rFonts w:hint="eastAsia" w:ascii="宋体" w:hAnsi="宋体" w:cs="楷体"/>
                <w:b/>
                <w:bCs/>
                <w:kern w:val="0"/>
                <w:sz w:val="21"/>
                <w:szCs w:val="21"/>
                <w:highlight w:val="none"/>
              </w:rPr>
              <w:t>没有密封包装或者逾期递交的“备份投标文件”将不予接收，邮寄的以收到时间为准；</w:t>
            </w:r>
          </w:p>
          <w:p w14:paraId="753677EF">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c.通过“</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”成功上传递交的“电子加密投标文件”已按时解密的，“备份投标文件”自动失效。</w:t>
            </w:r>
          </w:p>
        </w:tc>
      </w:tr>
      <w:tr w14:paraId="092B9EA0">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5AF5A88">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B4A0142">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电子加密投标文件的解密和异常情况处理</w:t>
            </w:r>
          </w:p>
        </w:tc>
        <w:tc>
          <w:tcPr>
            <w:tcW w:w="7860" w:type="dxa"/>
            <w:tcBorders>
              <w:top w:val="single" w:color="auto" w:sz="4" w:space="0"/>
              <w:left w:val="single" w:color="auto" w:sz="4" w:space="0"/>
              <w:bottom w:val="single" w:color="auto" w:sz="4" w:space="0"/>
              <w:right w:val="single" w:color="auto" w:sz="4" w:space="0"/>
            </w:tcBorders>
            <w:vAlign w:val="center"/>
          </w:tcPr>
          <w:p w14:paraId="5150C20E">
            <w:pPr>
              <w:spacing w:line="360" w:lineRule="exact"/>
              <w:rPr>
                <w:rFonts w:ascii="宋体" w:hAnsi="宋体" w:cs="楷体"/>
                <w:b/>
                <w:kern w:val="0"/>
                <w:sz w:val="21"/>
                <w:szCs w:val="21"/>
                <w:highlight w:val="none"/>
              </w:rPr>
            </w:pPr>
            <w:r>
              <w:rPr>
                <w:rFonts w:hint="eastAsia" w:ascii="宋体" w:hAnsi="宋体" w:cs="楷体"/>
                <w:kern w:val="0"/>
                <w:sz w:val="21"/>
                <w:szCs w:val="21"/>
                <w:highlight w:val="none"/>
              </w:rPr>
              <w:t>（1）开标后，采购代理机构将向各投标人发出“电子加密投标文件”的解密通知，</w:t>
            </w:r>
            <w:r>
              <w:rPr>
                <w:rFonts w:hint="eastAsia" w:ascii="宋体" w:hAnsi="宋体" w:cs="楷体"/>
                <w:b/>
                <w:kern w:val="0"/>
                <w:sz w:val="21"/>
                <w:szCs w:val="21"/>
                <w:highlight w:val="none"/>
              </w:rPr>
              <w:t>各投标人代表应当在接到解密通知后30分钟内自行完成“电子加密投标文件”的在线解密（解密电子投标文件必须插入CA，</w:t>
            </w:r>
            <w:r>
              <w:rPr>
                <w:rFonts w:hint="eastAsia" w:ascii="宋体" w:hAnsi="宋体" w:cs="楷体"/>
                <w:b/>
                <w:bCs/>
                <w:kern w:val="0"/>
                <w:sz w:val="21"/>
                <w:szCs w:val="21"/>
                <w:highlight w:val="none"/>
              </w:rPr>
              <w:t>解密CA必须是上传并制作电子投标文件CA锁</w:t>
            </w:r>
            <w:r>
              <w:rPr>
                <w:rFonts w:hint="eastAsia" w:ascii="宋体" w:hAnsi="宋体" w:cs="楷体"/>
                <w:b/>
                <w:kern w:val="0"/>
                <w:sz w:val="21"/>
                <w:szCs w:val="21"/>
                <w:highlight w:val="none"/>
              </w:rPr>
              <w:t>），如“</w:t>
            </w:r>
            <w:r>
              <w:rPr>
                <w:rFonts w:hint="eastAsia" w:ascii="宋体" w:hAnsi="宋体" w:cs="楷体"/>
                <w:b/>
                <w:kern w:val="0"/>
                <w:sz w:val="21"/>
                <w:szCs w:val="21"/>
                <w:highlight w:val="none"/>
                <w:lang w:eastAsia="zh-CN"/>
              </w:rPr>
              <w:t>乐采云平台</w:t>
            </w:r>
            <w:r>
              <w:rPr>
                <w:rFonts w:hint="eastAsia" w:ascii="宋体" w:hAnsi="宋体" w:cs="楷体"/>
                <w:b/>
                <w:kern w:val="0"/>
                <w:sz w:val="21"/>
                <w:szCs w:val="21"/>
                <w:highlight w:val="none"/>
              </w:rPr>
              <w:t>”中调整解密时间，按调整后的解密时间。</w:t>
            </w:r>
          </w:p>
          <w:p w14:paraId="2AF36257">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（2）通过“</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”成功上传递交的“电子加密投标文件”无法按时解密，投标人如按规定递交了“备份投标文件”的，以“备份投标文件”为依据（由采购代理机构按“</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”操作规范将“备份投标文件”上传至“</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”，上传成功后，“电子加密投标文件”自动失效），否则视为投标文件撤回。</w:t>
            </w:r>
          </w:p>
          <w:p w14:paraId="3A68FE02">
            <w:pPr>
              <w:spacing w:line="360" w:lineRule="exact"/>
              <w:rPr>
                <w:rFonts w:ascii="宋体" w:hAnsi="宋体" w:cs="楷体"/>
                <w:b/>
                <w:kern w:val="0"/>
                <w:sz w:val="21"/>
                <w:szCs w:val="21"/>
                <w:highlight w:val="none"/>
              </w:rPr>
            </w:pPr>
            <w:r>
              <w:rPr>
                <w:rFonts w:hint="eastAsia" w:ascii="宋体" w:hAnsi="宋体" w:cs="楷体"/>
                <w:b/>
                <w:kern w:val="0"/>
                <w:sz w:val="21"/>
                <w:szCs w:val="21"/>
                <w:highlight w:val="none"/>
              </w:rPr>
              <w:t>（3）未按规定递交合格“备份投标文件”的或递交的“备份投标文件”无法成功上传的，视为投标文件撤回。</w:t>
            </w:r>
          </w:p>
          <w:p w14:paraId="63D69925">
            <w:pPr>
              <w:spacing w:line="360" w:lineRule="exact"/>
              <w:rPr>
                <w:rFonts w:ascii="宋体" w:hAnsi="宋体" w:cs="楷体"/>
                <w:kern w:val="0"/>
                <w:sz w:val="21"/>
                <w:szCs w:val="21"/>
                <w:highlight w:val="none"/>
              </w:rPr>
            </w:pPr>
            <w:r>
              <w:rPr>
                <w:rFonts w:hint="eastAsia" w:ascii="宋体" w:hAnsi="宋体" w:cs="楷体"/>
                <w:b/>
                <w:kern w:val="0"/>
                <w:sz w:val="21"/>
                <w:szCs w:val="21"/>
                <w:highlight w:val="none"/>
              </w:rPr>
              <w:t>（4）在解密期限内投标人电子投标文件解密失败，且经异常处理后政采云电子交易系统仍未能解决的，政采云系统会默认投标人自动放弃，视为撤回投标文件。</w:t>
            </w:r>
          </w:p>
        </w:tc>
      </w:tr>
      <w:tr w14:paraId="3B59557A">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1BBB8EE">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02240805">
            <w:pPr>
              <w:spacing w:line="360" w:lineRule="exact"/>
              <w:rPr>
                <w:rFonts w:ascii="宋体" w:hAnsi="宋体" w:cs="楷体"/>
                <w:kern w:val="0"/>
                <w:sz w:val="21"/>
                <w:szCs w:val="21"/>
                <w:highlight w:val="none"/>
              </w:rPr>
            </w:pPr>
            <w:r>
              <w:rPr>
                <w:rFonts w:ascii="宋体" w:hAnsi="宋体" w:cs="楷体"/>
                <w:kern w:val="0"/>
                <w:sz w:val="21"/>
                <w:szCs w:val="21"/>
                <w:highlight w:val="none"/>
              </w:rPr>
              <w:t>投标文件递交截止时间及地点</w:t>
            </w:r>
          </w:p>
        </w:tc>
        <w:tc>
          <w:tcPr>
            <w:tcW w:w="7860" w:type="dxa"/>
            <w:tcBorders>
              <w:top w:val="single" w:color="auto" w:sz="4" w:space="0"/>
              <w:left w:val="single" w:color="auto" w:sz="4" w:space="0"/>
              <w:bottom w:val="single" w:color="auto" w:sz="4" w:space="0"/>
              <w:right w:val="single" w:color="auto" w:sz="4" w:space="0"/>
            </w:tcBorders>
            <w:vAlign w:val="center"/>
          </w:tcPr>
          <w:p w14:paraId="4E7C1145">
            <w:pPr>
              <w:spacing w:line="360" w:lineRule="exact"/>
              <w:rPr>
                <w:rFonts w:hint="default" w:ascii="宋体" w:hAnsi="宋体" w:cs="楷体"/>
                <w:kern w:val="0"/>
                <w:sz w:val="21"/>
                <w:szCs w:val="21"/>
                <w:highlight w:val="none"/>
                <w:lang w:val="en-US"/>
              </w:rPr>
            </w:pPr>
            <w:r>
              <w:rPr>
                <w:rFonts w:hint="eastAsia" w:ascii="宋体" w:hAnsi="宋体" w:cs="楷体"/>
                <w:kern w:val="0"/>
                <w:sz w:val="21"/>
                <w:szCs w:val="21"/>
                <w:highlight w:val="none"/>
              </w:rPr>
              <w:t>投标文件递交截止时间</w:t>
            </w:r>
            <w:r>
              <w:rPr>
                <w:rFonts w:ascii="宋体" w:hAnsi="宋体" w:cs="楷体"/>
                <w:kern w:val="0"/>
                <w:sz w:val="21"/>
                <w:szCs w:val="21"/>
                <w:highlight w:val="none"/>
              </w:rPr>
              <w:t>：</w:t>
            </w:r>
            <w:r>
              <w:rPr>
                <w:rFonts w:hint="eastAsia" w:ascii="宋体" w:hAnsi="宋体" w:cs="宋体"/>
                <w:kern w:val="0"/>
                <w:sz w:val="21"/>
                <w:szCs w:val="21"/>
                <w:highlight w:val="none"/>
                <w:lang w:val="en-US" w:eastAsia="zh-CN"/>
              </w:rPr>
              <w:t>详见招标公告</w:t>
            </w:r>
          </w:p>
          <w:p w14:paraId="2ECBDCE3">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递交地点：</w:t>
            </w:r>
            <w:bookmarkStart w:id="35" w:name="_Hlk35002636"/>
            <w:r>
              <w:rPr>
                <w:rFonts w:hint="eastAsia" w:ascii="宋体" w:hAnsi="宋体"/>
                <w:sz w:val="21"/>
                <w:szCs w:val="21"/>
                <w:highlight w:val="none"/>
              </w:rPr>
              <w:t>通过“</w:t>
            </w:r>
            <w:r>
              <w:rPr>
                <w:rFonts w:hint="eastAsia" w:ascii="宋体" w:hAnsi="宋体"/>
                <w:sz w:val="21"/>
                <w:szCs w:val="21"/>
                <w:highlight w:val="none"/>
                <w:lang w:eastAsia="zh-CN"/>
              </w:rPr>
              <w:t>乐采云平台</w:t>
            </w:r>
            <w:r>
              <w:rPr>
                <w:rFonts w:hint="eastAsia" w:ascii="宋体" w:hAnsi="宋体"/>
                <w:sz w:val="21"/>
                <w:szCs w:val="21"/>
                <w:highlight w:val="none"/>
              </w:rPr>
              <w:t>（</w:t>
            </w:r>
            <w:r>
              <w:rPr>
                <w:rFonts w:hint="eastAsia" w:ascii="宋体" w:hAnsi="宋体"/>
                <w:sz w:val="21"/>
                <w:szCs w:val="21"/>
                <w:highlight w:val="none"/>
                <w:lang w:eastAsia="zh-CN"/>
              </w:rPr>
              <w:t>https://www.lecaiyun.com/</w:t>
            </w:r>
            <w:r>
              <w:rPr>
                <w:rFonts w:hint="eastAsia" w:ascii="宋体" w:hAnsi="宋体"/>
                <w:sz w:val="21"/>
                <w:szCs w:val="21"/>
                <w:highlight w:val="none"/>
              </w:rPr>
              <w:t>）”在线递交。</w:t>
            </w:r>
            <w:bookmarkEnd w:id="35"/>
          </w:p>
        </w:tc>
      </w:tr>
      <w:tr w14:paraId="2FCABAC7">
        <w:tblPrEx>
          <w:tblCellMar>
            <w:top w:w="0" w:type="dxa"/>
            <w:left w:w="108" w:type="dxa"/>
            <w:bottom w:w="0" w:type="dxa"/>
            <w:right w:w="108" w:type="dxa"/>
          </w:tblCellMar>
        </w:tblPrEx>
        <w:trPr>
          <w:trHeight w:val="9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E77EDAD">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A029C03">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开标时间和地点</w:t>
            </w:r>
          </w:p>
        </w:tc>
        <w:tc>
          <w:tcPr>
            <w:tcW w:w="7860" w:type="dxa"/>
            <w:tcBorders>
              <w:top w:val="single" w:color="auto" w:sz="4" w:space="0"/>
              <w:left w:val="single" w:color="auto" w:sz="4" w:space="0"/>
              <w:bottom w:val="single" w:color="auto" w:sz="4" w:space="0"/>
              <w:right w:val="single" w:color="auto" w:sz="4" w:space="0"/>
            </w:tcBorders>
            <w:vAlign w:val="center"/>
          </w:tcPr>
          <w:p w14:paraId="1F813C6D">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开标时间：同投标文件递交截止时间</w:t>
            </w:r>
          </w:p>
          <w:p w14:paraId="4C2F5267">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开标地点：</w:t>
            </w:r>
            <w:r>
              <w:rPr>
                <w:rFonts w:hint="eastAsia" w:ascii="宋体" w:hAnsi="宋体" w:cs="宋体"/>
                <w:kern w:val="0"/>
                <w:sz w:val="21"/>
                <w:szCs w:val="21"/>
                <w:highlight w:val="none"/>
              </w:rPr>
              <w:t>温州市公共资源交易中心瓯海分中心，</w:t>
            </w:r>
            <w:r>
              <w:rPr>
                <w:rFonts w:hint="eastAsia" w:ascii="宋体" w:hAnsi="宋体" w:cs="楷体"/>
                <w:kern w:val="0"/>
                <w:sz w:val="21"/>
                <w:szCs w:val="21"/>
                <w:highlight w:val="none"/>
              </w:rPr>
              <w:t>通过“</w:t>
            </w:r>
            <w:r>
              <w:rPr>
                <w:rFonts w:hint="eastAsia" w:ascii="宋体" w:hAnsi="宋体" w:cs="楷体"/>
                <w:kern w:val="0"/>
                <w:sz w:val="21"/>
                <w:szCs w:val="21"/>
                <w:highlight w:val="none"/>
                <w:lang w:eastAsia="zh-CN"/>
              </w:rPr>
              <w:t>乐采云平台</w:t>
            </w:r>
            <w:r>
              <w:rPr>
                <w:rFonts w:hint="eastAsia" w:ascii="宋体" w:hAnsi="宋体" w:cs="楷体"/>
                <w:kern w:val="0"/>
                <w:sz w:val="21"/>
                <w:szCs w:val="21"/>
                <w:highlight w:val="none"/>
              </w:rPr>
              <w:t>（</w:t>
            </w:r>
            <w:r>
              <w:rPr>
                <w:rFonts w:hint="eastAsia" w:ascii="宋体" w:hAnsi="宋体" w:cs="楷体"/>
                <w:kern w:val="0"/>
                <w:sz w:val="21"/>
                <w:szCs w:val="21"/>
                <w:highlight w:val="none"/>
                <w:lang w:eastAsia="zh-CN"/>
              </w:rPr>
              <w:t>https://www.lecaiyun.com/</w:t>
            </w:r>
            <w:r>
              <w:rPr>
                <w:rFonts w:hint="eastAsia" w:ascii="宋体" w:hAnsi="宋体" w:cs="楷体"/>
                <w:kern w:val="0"/>
                <w:sz w:val="21"/>
                <w:szCs w:val="21"/>
                <w:highlight w:val="none"/>
              </w:rPr>
              <w:t>）”线上开启。</w:t>
            </w:r>
          </w:p>
        </w:tc>
      </w:tr>
      <w:tr w14:paraId="0139C3E6">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BE6FBF4">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362EE73">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评标委员会</w:t>
            </w:r>
          </w:p>
          <w:p w14:paraId="0A0576EC">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的组建</w:t>
            </w:r>
          </w:p>
        </w:tc>
        <w:tc>
          <w:tcPr>
            <w:tcW w:w="7860" w:type="dxa"/>
            <w:tcBorders>
              <w:top w:val="single" w:color="auto" w:sz="4" w:space="0"/>
              <w:left w:val="single" w:color="auto" w:sz="4" w:space="0"/>
              <w:bottom w:val="single" w:color="auto" w:sz="4" w:space="0"/>
              <w:right w:val="single" w:color="auto" w:sz="4" w:space="0"/>
            </w:tcBorders>
            <w:vAlign w:val="center"/>
          </w:tcPr>
          <w:p w14:paraId="027A1194">
            <w:pPr>
              <w:spacing w:line="360" w:lineRule="exact"/>
              <w:rPr>
                <w:rFonts w:ascii="宋体" w:hAnsi="宋体" w:cs="楷体"/>
                <w:kern w:val="0"/>
                <w:sz w:val="21"/>
                <w:szCs w:val="21"/>
                <w:highlight w:val="none"/>
              </w:rPr>
            </w:pPr>
            <w:r>
              <w:rPr>
                <w:rFonts w:ascii="宋体" w:hAnsi="宋体" w:cs="楷体"/>
                <w:kern w:val="0"/>
                <w:sz w:val="21"/>
                <w:szCs w:val="21"/>
                <w:highlight w:val="none"/>
              </w:rPr>
              <w:t>评标委员会</w:t>
            </w:r>
            <w:r>
              <w:rPr>
                <w:rFonts w:hint="eastAsia" w:ascii="宋体" w:hAnsi="宋体" w:cs="楷体"/>
                <w:kern w:val="0"/>
                <w:sz w:val="21"/>
                <w:szCs w:val="21"/>
                <w:highlight w:val="none"/>
              </w:rPr>
              <w:t>构成：5人及5人以上单数。</w:t>
            </w:r>
          </w:p>
          <w:p w14:paraId="6789708A">
            <w:pPr>
              <w:spacing w:line="360" w:lineRule="exact"/>
              <w:rPr>
                <w:rFonts w:ascii="宋体" w:hAnsi="宋体" w:cs="楷体"/>
                <w:kern w:val="0"/>
                <w:sz w:val="21"/>
                <w:szCs w:val="21"/>
                <w:highlight w:val="none"/>
              </w:rPr>
            </w:pPr>
            <w:r>
              <w:rPr>
                <w:rFonts w:ascii="宋体" w:hAnsi="宋体" w:cs="楷体"/>
                <w:kern w:val="0"/>
                <w:sz w:val="21"/>
                <w:szCs w:val="21"/>
                <w:highlight w:val="none"/>
              </w:rPr>
              <w:t>评标专家确定方式</w:t>
            </w:r>
            <w:r>
              <w:rPr>
                <w:rFonts w:hint="eastAsia" w:ascii="宋体" w:hAnsi="宋体" w:cs="楷体"/>
                <w:kern w:val="0"/>
                <w:sz w:val="21"/>
                <w:szCs w:val="21"/>
                <w:highlight w:val="none"/>
              </w:rPr>
              <w:t>：按规定组建。</w:t>
            </w:r>
          </w:p>
        </w:tc>
      </w:tr>
      <w:tr w14:paraId="38FC7C5D">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08EF252">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D34E72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采购信息发布媒体（以下简称为：“指定媒体”）</w:t>
            </w:r>
          </w:p>
        </w:tc>
        <w:tc>
          <w:tcPr>
            <w:tcW w:w="7860" w:type="dxa"/>
            <w:tcBorders>
              <w:top w:val="single" w:color="auto" w:sz="4" w:space="0"/>
              <w:left w:val="single" w:color="auto" w:sz="4" w:space="0"/>
              <w:bottom w:val="single" w:color="auto" w:sz="4" w:space="0"/>
              <w:right w:val="single" w:color="auto" w:sz="4" w:space="0"/>
            </w:tcBorders>
            <w:vAlign w:val="center"/>
          </w:tcPr>
          <w:p w14:paraId="7861BBA7">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本项目的有关信息，包括但不限于：招标公告、澄清（更正）公告（若有）、招标文件、招标文件的修改（若有）、中标公告、终止公告（若有）、废标公告（若有）等都将在招标文件载明的指定媒体发布。</w:t>
            </w:r>
          </w:p>
          <w:p w14:paraId="55DBAE19">
            <w:pPr>
              <w:spacing w:line="360" w:lineRule="exact"/>
              <w:rPr>
                <w:rFonts w:ascii="宋体" w:hAnsi="宋体" w:cs="楷体"/>
                <w:kern w:val="0"/>
                <w:sz w:val="21"/>
                <w:szCs w:val="21"/>
                <w:highlight w:val="none"/>
              </w:rPr>
            </w:pPr>
            <w:r>
              <w:rPr>
                <w:rFonts w:ascii="宋体" w:hAnsi="宋体" w:cs="楷体"/>
                <w:kern w:val="0"/>
                <w:sz w:val="21"/>
                <w:szCs w:val="21"/>
                <w:highlight w:val="none"/>
              </w:rPr>
              <w:t>2</w:t>
            </w:r>
            <w:r>
              <w:rPr>
                <w:rFonts w:hint="eastAsia" w:ascii="宋体" w:hAnsi="宋体" w:cs="楷体"/>
                <w:kern w:val="0"/>
                <w:sz w:val="21"/>
                <w:szCs w:val="21"/>
                <w:highlight w:val="none"/>
              </w:rPr>
              <w:t>、指定媒体：</w:t>
            </w:r>
            <w:r>
              <w:rPr>
                <w:rFonts w:hint="eastAsia" w:ascii="宋体" w:hAnsi="宋体" w:cs="楷体"/>
                <w:kern w:val="0"/>
                <w:sz w:val="21"/>
                <w:szCs w:val="21"/>
                <w:highlight w:val="none"/>
                <w:lang w:eastAsia="zh-CN"/>
              </w:rPr>
              <w:t>乐采云</w:t>
            </w:r>
            <w:r>
              <w:rPr>
                <w:rFonts w:hint="eastAsia" w:ascii="宋体" w:hAnsi="宋体" w:cs="楷体"/>
                <w:kern w:val="0"/>
                <w:sz w:val="21"/>
                <w:szCs w:val="21"/>
                <w:highlight w:val="none"/>
              </w:rPr>
              <w:t>，网址</w:t>
            </w:r>
            <w:r>
              <w:rPr>
                <w:rFonts w:hint="eastAsia" w:ascii="宋体" w:hAnsi="宋体" w:cs="楷体"/>
                <w:kern w:val="0"/>
                <w:sz w:val="21"/>
                <w:szCs w:val="21"/>
                <w:highlight w:val="none"/>
                <w:lang w:eastAsia="zh-CN"/>
              </w:rPr>
              <w:t>https://www.lecaiyun.com/</w:t>
            </w:r>
            <w:r>
              <w:rPr>
                <w:rFonts w:hint="eastAsia" w:ascii="宋体" w:hAnsi="宋体" w:cs="楷体"/>
                <w:kern w:val="0"/>
                <w:sz w:val="21"/>
                <w:szCs w:val="21"/>
                <w:highlight w:val="none"/>
              </w:rPr>
              <w:t>。</w:t>
            </w:r>
          </w:p>
        </w:tc>
      </w:tr>
      <w:tr w14:paraId="119A860D">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DBAA951">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6E15269D">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注意事项</w:t>
            </w:r>
          </w:p>
        </w:tc>
        <w:tc>
          <w:tcPr>
            <w:tcW w:w="7860" w:type="dxa"/>
            <w:tcBorders>
              <w:top w:val="single" w:color="auto" w:sz="4" w:space="0"/>
              <w:left w:val="single" w:color="auto" w:sz="4" w:space="0"/>
              <w:bottom w:val="single" w:color="auto" w:sz="4" w:space="0"/>
              <w:right w:val="single" w:color="auto" w:sz="4" w:space="0"/>
            </w:tcBorders>
            <w:vAlign w:val="center"/>
          </w:tcPr>
          <w:p w14:paraId="354970F9">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1、招标文件、招标公告中如有前后不一致的，一律以本“投标人须知前附表”为准。</w:t>
            </w:r>
          </w:p>
          <w:p w14:paraId="78FFE90D">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2、本招标文件涉及的时间为“北京时间”。</w:t>
            </w:r>
          </w:p>
          <w:p w14:paraId="5F1A996E">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3、本招标文件涉及的货币为“人民币”。</w:t>
            </w:r>
          </w:p>
          <w:p w14:paraId="2053F442">
            <w:pPr>
              <w:spacing w:line="360" w:lineRule="exact"/>
              <w:rPr>
                <w:rFonts w:ascii="宋体" w:hAnsi="宋体" w:cs="楷体"/>
                <w:kern w:val="0"/>
                <w:sz w:val="21"/>
                <w:szCs w:val="21"/>
                <w:highlight w:val="none"/>
              </w:rPr>
            </w:pPr>
            <w:r>
              <w:rPr>
                <w:rFonts w:hint="eastAsia" w:ascii="宋体" w:hAnsi="宋体" w:cs="楷体"/>
                <w:kern w:val="0"/>
                <w:sz w:val="21"/>
                <w:szCs w:val="21"/>
                <w:highlight w:val="none"/>
              </w:rPr>
              <w:t>4、本招标文件的解释权属于采购人。</w:t>
            </w:r>
          </w:p>
          <w:p w14:paraId="229AAAEA">
            <w:pPr>
              <w:rPr>
                <w:rFonts w:ascii="宋体" w:hAnsi="宋体"/>
                <w:b/>
                <w:sz w:val="21"/>
                <w:szCs w:val="21"/>
                <w:highlight w:val="none"/>
              </w:rPr>
            </w:pPr>
            <w:r>
              <w:rPr>
                <w:rFonts w:hint="eastAsia" w:ascii="宋体" w:hAnsi="宋体" w:cs="楷体"/>
                <w:kern w:val="0"/>
                <w:sz w:val="21"/>
                <w:szCs w:val="21"/>
                <w:highlight w:val="none"/>
              </w:rPr>
              <w:t>5、</w:t>
            </w:r>
            <w:r>
              <w:rPr>
                <w:rFonts w:ascii="宋体" w:hAnsi="宋体"/>
                <w:b/>
                <w:sz w:val="21"/>
                <w:szCs w:val="21"/>
                <w:highlight w:val="none"/>
              </w:rPr>
              <w:t>中标</w:t>
            </w:r>
            <w:r>
              <w:rPr>
                <w:rFonts w:hint="eastAsia" w:ascii="宋体" w:hAnsi="宋体"/>
                <w:b/>
                <w:sz w:val="21"/>
                <w:szCs w:val="21"/>
                <w:highlight w:val="none"/>
              </w:rPr>
              <w:t>（</w:t>
            </w:r>
            <w:r>
              <w:rPr>
                <w:rFonts w:ascii="宋体" w:hAnsi="宋体"/>
                <w:b/>
                <w:sz w:val="21"/>
                <w:szCs w:val="21"/>
                <w:highlight w:val="none"/>
              </w:rPr>
              <w:t>成交</w:t>
            </w:r>
            <w:r>
              <w:rPr>
                <w:rFonts w:hint="eastAsia" w:ascii="宋体" w:hAnsi="宋体"/>
                <w:b/>
                <w:sz w:val="21"/>
                <w:szCs w:val="21"/>
                <w:highlight w:val="none"/>
              </w:rPr>
              <w:t>）</w:t>
            </w:r>
            <w:r>
              <w:rPr>
                <w:rFonts w:ascii="宋体" w:hAnsi="宋体"/>
                <w:b/>
                <w:sz w:val="21"/>
                <w:szCs w:val="21"/>
                <w:highlight w:val="none"/>
              </w:rPr>
              <w:t>供应商</w:t>
            </w:r>
            <w:r>
              <w:rPr>
                <w:rFonts w:hint="eastAsia" w:ascii="宋体" w:hAnsi="宋体"/>
                <w:b/>
                <w:sz w:val="21"/>
                <w:szCs w:val="21"/>
                <w:highlight w:val="none"/>
              </w:rPr>
              <w:t>须在合同签订后两个工作日内将合同扫描件电子版发给采购代理机构备案（邮箱：</w:t>
            </w:r>
            <w:r>
              <w:rPr>
                <w:rFonts w:hint="eastAsia" w:ascii="宋体" w:hAnsi="宋体"/>
                <w:b/>
                <w:sz w:val="21"/>
                <w:szCs w:val="21"/>
                <w:highlight w:val="none"/>
                <w:lang w:eastAsia="zh-CN"/>
              </w:rPr>
              <w:t>5499379@qq.com</w:t>
            </w:r>
            <w:r>
              <w:rPr>
                <w:rFonts w:hint="eastAsia" w:ascii="宋体" w:hAnsi="宋体"/>
                <w:b/>
                <w:sz w:val="21"/>
                <w:szCs w:val="21"/>
                <w:highlight w:val="none"/>
              </w:rPr>
              <w:t>），否则会影响合同款的支付。</w:t>
            </w:r>
          </w:p>
          <w:p w14:paraId="1B2E6CE9">
            <w:pPr>
              <w:adjustRightInd w:val="0"/>
              <w:snapToGrid w:val="0"/>
              <w:spacing w:line="360" w:lineRule="exact"/>
              <w:rPr>
                <w:rFonts w:ascii="宋体" w:hAnsi="宋体"/>
                <w:b/>
                <w:sz w:val="21"/>
                <w:szCs w:val="21"/>
                <w:highlight w:val="none"/>
              </w:rPr>
            </w:pPr>
            <w:r>
              <w:rPr>
                <w:rFonts w:hint="eastAsia" w:ascii="宋体" w:hAnsi="宋体"/>
                <w:sz w:val="21"/>
                <w:szCs w:val="21"/>
                <w:highlight w:val="none"/>
              </w:rPr>
              <w:t>6、</w:t>
            </w:r>
            <w:r>
              <w:rPr>
                <w:rFonts w:hint="eastAsia" w:ascii="宋体" w:hAnsi="宋体"/>
                <w:b/>
                <w:sz w:val="21"/>
                <w:szCs w:val="21"/>
                <w:highlight w:val="none"/>
              </w:rPr>
              <w:t>政采云公司如对“政府采购项目电子交易管理操作”有调整的，按调整后的说明操作。</w:t>
            </w:r>
          </w:p>
          <w:p w14:paraId="48171F10">
            <w:pPr>
              <w:adjustRightInd w:val="0"/>
              <w:snapToGrid w:val="0"/>
              <w:spacing w:line="360" w:lineRule="exact"/>
              <w:rPr>
                <w:rFonts w:ascii="宋体" w:hAnsi="宋体"/>
                <w:sz w:val="21"/>
                <w:szCs w:val="21"/>
                <w:highlight w:val="none"/>
              </w:rPr>
            </w:pPr>
            <w:r>
              <w:rPr>
                <w:rFonts w:hint="eastAsia" w:ascii="宋体" w:hAnsi="宋体"/>
                <w:b/>
                <w:sz w:val="21"/>
                <w:szCs w:val="21"/>
                <w:highlight w:val="none"/>
              </w:rPr>
              <w:t>7、本项目仅提供电子版招标文件，电子版招标</w:t>
            </w:r>
            <w:r>
              <w:rPr>
                <w:rFonts w:ascii="宋体" w:hAnsi="宋体"/>
                <w:b/>
                <w:sz w:val="21"/>
                <w:szCs w:val="21"/>
                <w:highlight w:val="none"/>
              </w:rPr>
              <w:t>文件与纸质版</w:t>
            </w:r>
            <w:r>
              <w:rPr>
                <w:rFonts w:hint="eastAsia" w:ascii="宋体" w:hAnsi="宋体"/>
                <w:b/>
                <w:sz w:val="21"/>
                <w:szCs w:val="21"/>
                <w:highlight w:val="none"/>
              </w:rPr>
              <w:t>招标文件</w:t>
            </w:r>
            <w:r>
              <w:rPr>
                <w:rFonts w:ascii="宋体" w:hAnsi="宋体"/>
                <w:b/>
                <w:sz w:val="21"/>
                <w:szCs w:val="21"/>
                <w:highlight w:val="none"/>
              </w:rPr>
              <w:t>具有同等效力</w:t>
            </w:r>
            <w:r>
              <w:rPr>
                <w:rFonts w:hint="eastAsia" w:ascii="宋体" w:hAnsi="宋体"/>
                <w:b/>
                <w:sz w:val="21"/>
                <w:szCs w:val="21"/>
                <w:highlight w:val="none"/>
              </w:rPr>
              <w:t>。</w:t>
            </w:r>
          </w:p>
        </w:tc>
      </w:tr>
      <w:tr w14:paraId="05B9A2D7">
        <w:tblPrEx>
          <w:tblCellMar>
            <w:top w:w="0" w:type="dxa"/>
            <w:left w:w="108" w:type="dxa"/>
            <w:bottom w:w="0" w:type="dxa"/>
            <w:right w:w="108" w:type="dxa"/>
          </w:tblCellMar>
        </w:tblPrEx>
        <w:trPr>
          <w:trHeight w:val="54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7DA370D">
            <w:pPr>
              <w:numPr>
                <w:ilvl w:val="0"/>
                <w:numId w:val="1"/>
              </w:numPr>
              <w:spacing w:line="360" w:lineRule="exact"/>
              <w:jc w:val="center"/>
              <w:rPr>
                <w:rFonts w:ascii="宋体" w:hAnsi="宋体" w:cs="楷体"/>
                <w:kern w:val="0"/>
                <w:sz w:val="21"/>
                <w:szCs w:val="21"/>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541CC48">
            <w:pPr>
              <w:spacing w:line="360" w:lineRule="exact"/>
              <w:rPr>
                <w:rFonts w:ascii="宋体" w:hAnsi="宋体" w:cs="楷体"/>
                <w:kern w:val="0"/>
                <w:sz w:val="21"/>
                <w:szCs w:val="21"/>
                <w:highlight w:val="none"/>
              </w:rPr>
            </w:pPr>
            <w:r>
              <w:rPr>
                <w:rFonts w:hint="eastAsia" w:ascii="Arial" w:hAnsi="Arial"/>
                <w:sz w:val="21"/>
                <w:szCs w:val="21"/>
                <w:highlight w:val="none"/>
              </w:rPr>
              <w:t>其他</w:t>
            </w:r>
          </w:p>
        </w:tc>
        <w:tc>
          <w:tcPr>
            <w:tcW w:w="7860" w:type="dxa"/>
            <w:tcBorders>
              <w:top w:val="single" w:color="auto" w:sz="4" w:space="0"/>
              <w:left w:val="single" w:color="auto" w:sz="4" w:space="0"/>
              <w:bottom w:val="single" w:color="auto" w:sz="4" w:space="0"/>
              <w:right w:val="single" w:color="auto" w:sz="4" w:space="0"/>
            </w:tcBorders>
            <w:vAlign w:val="center"/>
          </w:tcPr>
          <w:p w14:paraId="7BA357E2">
            <w:pPr>
              <w:adjustRightInd w:val="0"/>
              <w:snapToGrid w:val="0"/>
              <w:spacing w:line="360" w:lineRule="exact"/>
              <w:rPr>
                <w:rFonts w:ascii="宋体" w:hAnsi="宋体"/>
                <w:b/>
                <w:sz w:val="21"/>
                <w:szCs w:val="21"/>
                <w:highlight w:val="none"/>
              </w:rPr>
            </w:pPr>
            <w:r>
              <w:rPr>
                <w:rFonts w:hint="eastAsia" w:ascii="宋体" w:hAnsi="宋体" w:cs="Arial Unicode MS"/>
                <w:sz w:val="21"/>
                <w:szCs w:val="21"/>
                <w:highlight w:val="none"/>
                <w:lang w:val="en-US" w:eastAsia="zh-CN"/>
              </w:rPr>
              <w:t>1</w:t>
            </w:r>
            <w:r>
              <w:rPr>
                <w:rFonts w:hint="eastAsia" w:ascii="宋体" w:hAnsi="宋体" w:cs="Arial Unicode MS"/>
                <w:sz w:val="21"/>
                <w:szCs w:val="21"/>
                <w:highlight w:val="none"/>
              </w:rPr>
              <w:t>、</w:t>
            </w:r>
            <w:r>
              <w:rPr>
                <w:rFonts w:hint="eastAsia"/>
                <w:bCs/>
                <w:sz w:val="21"/>
                <w:szCs w:val="21"/>
                <w:highlight w:val="none"/>
              </w:rPr>
              <w:t>不同投标供应商提供的品牌应不同。如品牌相同，按一家投标供应商计算，通过资格审查、符合性审查，评审后得分最高的同品牌投标供应商获得候选人推荐资格；评审得分相同的，商务技术部分得分最高的投标供应商获得候选人推荐资格，其他同品牌投标供应商不作为候选人。</w:t>
            </w:r>
          </w:p>
        </w:tc>
      </w:tr>
    </w:tbl>
    <w:p w14:paraId="1FEF9247">
      <w:pPr>
        <w:pStyle w:val="3"/>
        <w:spacing w:line="400" w:lineRule="exact"/>
        <w:jc w:val="center"/>
        <w:rPr>
          <w:rFonts w:ascii="宋体" w:hAnsi="宋体" w:eastAsia="宋体" w:cs="Courier New"/>
          <w:highlight w:val="none"/>
        </w:rPr>
      </w:pPr>
      <w:r>
        <w:rPr>
          <w:rFonts w:ascii="宋体" w:hAnsi="宋体" w:eastAsia="宋体" w:cs="Courier New"/>
          <w:highlight w:val="none"/>
          <w:lang w:val="en-US"/>
        </w:rPr>
        <w:br w:type="page"/>
      </w:r>
      <w:bookmarkStart w:id="36" w:name="_Toc11573"/>
      <w:r>
        <w:rPr>
          <w:rFonts w:hint="eastAsia" w:ascii="宋体" w:hAnsi="宋体" w:eastAsia="宋体" w:cs="Courier New"/>
          <w:highlight w:val="none"/>
        </w:rPr>
        <w:t>一、 说明</w:t>
      </w:r>
      <w:bookmarkEnd w:id="25"/>
      <w:bookmarkEnd w:id="26"/>
      <w:bookmarkEnd w:id="27"/>
      <w:bookmarkEnd w:id="28"/>
      <w:bookmarkEnd w:id="29"/>
      <w:bookmarkEnd w:id="30"/>
      <w:bookmarkEnd w:id="31"/>
      <w:bookmarkEnd w:id="32"/>
      <w:bookmarkEnd w:id="33"/>
      <w:bookmarkEnd w:id="34"/>
      <w:bookmarkEnd w:id="36"/>
    </w:p>
    <w:p w14:paraId="20076C82">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sz w:val="22"/>
          <w:szCs w:val="22"/>
          <w:highlight w:val="none"/>
        </w:rPr>
        <w:t>适用范围：适用于招标文件载明项目的政府采购活动（以下简称：“本次采购活动”）。</w:t>
      </w:r>
    </w:p>
    <w:p w14:paraId="0643082C">
      <w:pPr>
        <w:numPr>
          <w:ilvl w:val="0"/>
          <w:numId w:val="2"/>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采购人和采购代理机构：见投标人须知前附表。</w:t>
      </w:r>
    </w:p>
    <w:p w14:paraId="316F9D0A">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w:t>
      </w:r>
      <w:r>
        <w:rPr>
          <w:rFonts w:ascii="宋体" w:hAnsi="宋体" w:cs="Courier New"/>
          <w:sz w:val="22"/>
          <w:szCs w:val="22"/>
          <w:highlight w:val="none"/>
        </w:rPr>
        <w:t>是响应招标、参加投标竞争的</w:t>
      </w:r>
      <w:r>
        <w:rPr>
          <w:rFonts w:hint="eastAsia" w:ascii="宋体" w:hAnsi="宋体" w:cs="Courier New"/>
          <w:sz w:val="22"/>
          <w:szCs w:val="22"/>
          <w:highlight w:val="none"/>
        </w:rPr>
        <w:t>供应商。</w:t>
      </w:r>
    </w:p>
    <w:p w14:paraId="22009927">
      <w:pPr>
        <w:numPr>
          <w:ilvl w:val="0"/>
          <w:numId w:val="2"/>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潜在供应商：有意向参加本项目投标的供应商。</w:t>
      </w:r>
    </w:p>
    <w:p w14:paraId="6ED39609">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投标人代表</w:t>
      </w:r>
    </w:p>
    <w:p w14:paraId="7CA95FBA">
      <w:pPr>
        <w:numPr>
          <w:ilvl w:val="1"/>
          <w:numId w:val="2"/>
        </w:numPr>
        <w:spacing w:line="360" w:lineRule="auto"/>
        <w:rPr>
          <w:rFonts w:ascii="宋体" w:hAnsi="宋体"/>
          <w:sz w:val="22"/>
          <w:szCs w:val="22"/>
          <w:highlight w:val="none"/>
        </w:rPr>
      </w:pPr>
      <w:r>
        <w:rPr>
          <w:rFonts w:hint="eastAsia" w:ascii="宋体" w:hAnsi="宋体"/>
          <w:sz w:val="22"/>
          <w:szCs w:val="22"/>
          <w:highlight w:val="none"/>
        </w:rPr>
        <w:t>指全权代表投标人参加投标活动并签署投标文件的人。如果投标人代表不是单位负责人，须持有《单位负责人授权书》。</w:t>
      </w:r>
    </w:p>
    <w:p w14:paraId="5A65AE67">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“单位负责人”指单位</w:t>
      </w:r>
      <w:r>
        <w:rPr>
          <w:rFonts w:hint="eastAsia" w:ascii="宋体" w:hAnsi="宋体"/>
          <w:sz w:val="22"/>
          <w:szCs w:val="22"/>
          <w:highlight w:val="none"/>
        </w:rPr>
        <w:t>法定代表人</w:t>
      </w:r>
      <w:r>
        <w:rPr>
          <w:rFonts w:ascii="宋体" w:hAnsi="宋体" w:cs="Courier New"/>
          <w:sz w:val="22"/>
          <w:szCs w:val="22"/>
          <w:highlight w:val="none"/>
        </w:rPr>
        <w:t>或法律、法规规定代表单位行使职权的主要负责人。</w:t>
      </w:r>
    </w:p>
    <w:p w14:paraId="2560DE99">
      <w:pPr>
        <w:pStyle w:val="221"/>
        <w:spacing w:line="360" w:lineRule="auto"/>
        <w:ind w:left="567" w:firstLine="0" w:firstLineChars="0"/>
        <w:rPr>
          <w:rFonts w:ascii="宋体" w:hAnsi="宋体"/>
          <w:sz w:val="22"/>
          <w:szCs w:val="22"/>
          <w:highlight w:val="none"/>
        </w:rPr>
      </w:pPr>
      <w:r>
        <w:rPr>
          <w:rFonts w:hint="eastAsia" w:ascii="宋体" w:hAnsi="宋体"/>
          <w:sz w:val="22"/>
          <w:szCs w:val="22"/>
          <w:highlight w:val="none"/>
        </w:rPr>
        <w:t>①</w:t>
      </w:r>
      <w:r>
        <w:rPr>
          <w:rFonts w:ascii="宋体" w:hAnsi="宋体"/>
          <w:sz w:val="22"/>
          <w:szCs w:val="22"/>
          <w:highlight w:val="none"/>
          <w:u w:val="single"/>
        </w:rPr>
        <w:t>企业（银行、保险、石油石化、电力、电信等行业除外）、事业单位和社会团体法人的“单位负责人”指法定代表人</w:t>
      </w:r>
      <w:r>
        <w:rPr>
          <w:rFonts w:ascii="宋体" w:hAnsi="宋体"/>
          <w:sz w:val="22"/>
          <w:szCs w:val="22"/>
          <w:highlight w:val="none"/>
        </w:rPr>
        <w:t xml:space="preserve">，即与实际提交的“营业执照等证明文件”载明的一致。 </w:t>
      </w:r>
    </w:p>
    <w:p w14:paraId="7ADA77DF">
      <w:pPr>
        <w:pStyle w:val="221"/>
        <w:spacing w:line="360" w:lineRule="auto"/>
        <w:ind w:left="567" w:firstLine="0" w:firstLineChars="0"/>
        <w:rPr>
          <w:rFonts w:ascii="宋体" w:hAnsi="宋体"/>
          <w:sz w:val="22"/>
          <w:szCs w:val="22"/>
          <w:highlight w:val="none"/>
        </w:rPr>
      </w:pPr>
      <w:r>
        <w:rPr>
          <w:rFonts w:hint="eastAsia" w:ascii="宋体" w:hAnsi="宋体"/>
          <w:sz w:val="22"/>
          <w:szCs w:val="22"/>
          <w:highlight w:val="none"/>
        </w:rPr>
        <w:t>②</w:t>
      </w:r>
      <w:r>
        <w:rPr>
          <w:rFonts w:ascii="宋体" w:hAnsi="宋体"/>
          <w:sz w:val="22"/>
          <w:szCs w:val="22"/>
          <w:highlight w:val="none"/>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CFBA1A9">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投标费用</w:t>
      </w:r>
    </w:p>
    <w:p w14:paraId="268958F9">
      <w:pPr>
        <w:numPr>
          <w:ilvl w:val="1"/>
          <w:numId w:val="2"/>
        </w:numPr>
        <w:spacing w:line="360" w:lineRule="auto"/>
        <w:rPr>
          <w:rFonts w:ascii="宋体" w:hAnsi="宋体"/>
          <w:sz w:val="22"/>
          <w:szCs w:val="22"/>
          <w:highlight w:val="none"/>
        </w:rPr>
      </w:pPr>
      <w:r>
        <w:rPr>
          <w:rFonts w:hint="eastAsia" w:ascii="宋体" w:hAnsi="宋体"/>
          <w:sz w:val="22"/>
          <w:szCs w:val="22"/>
          <w:highlight w:val="none"/>
        </w:rPr>
        <w:t>投标人应承担所有与准备和参加投标有关费用，不论投标的结果如何，采购人和采购代理机构（以下统称“招标采购单位”）均无义务和责任承担这些费用。</w:t>
      </w:r>
    </w:p>
    <w:p w14:paraId="76722C88">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Courier New"/>
          <w:sz w:val="22"/>
          <w:szCs w:val="22"/>
          <w:highlight w:val="none"/>
        </w:rPr>
        <w:t>现场</w:t>
      </w:r>
      <w:r>
        <w:rPr>
          <w:rFonts w:hint="eastAsia" w:ascii="宋体" w:hAnsi="宋体" w:cs="楷体"/>
          <w:kern w:val="0"/>
          <w:sz w:val="22"/>
          <w:szCs w:val="22"/>
          <w:highlight w:val="none"/>
        </w:rPr>
        <w:t>踏勘或开标前答疑会</w:t>
      </w:r>
    </w:p>
    <w:p w14:paraId="453C31AD">
      <w:pPr>
        <w:numPr>
          <w:ilvl w:val="1"/>
          <w:numId w:val="2"/>
        </w:numPr>
        <w:tabs>
          <w:tab w:val="left" w:pos="525"/>
          <w:tab w:val="left" w:pos="635"/>
          <w:tab w:val="left" w:pos="900"/>
        </w:tabs>
        <w:spacing w:line="360" w:lineRule="auto"/>
        <w:rPr>
          <w:rFonts w:ascii="宋体" w:hAnsi="宋体" w:cs="楷体"/>
          <w:kern w:val="0"/>
          <w:sz w:val="22"/>
          <w:szCs w:val="22"/>
          <w:highlight w:val="none"/>
        </w:rPr>
      </w:pPr>
      <w:r>
        <w:rPr>
          <w:rFonts w:ascii="宋体" w:hAnsi="宋体" w:cs="楷体"/>
          <w:kern w:val="0"/>
          <w:sz w:val="22"/>
          <w:szCs w:val="22"/>
          <w:highlight w:val="none"/>
        </w:rPr>
        <w:t>是否组织</w:t>
      </w:r>
      <w:r>
        <w:rPr>
          <w:rFonts w:hint="eastAsia" w:ascii="宋体" w:hAnsi="宋体" w:cs="Courier New"/>
          <w:sz w:val="22"/>
          <w:szCs w:val="22"/>
          <w:highlight w:val="none"/>
        </w:rPr>
        <w:t>现场</w:t>
      </w:r>
      <w:r>
        <w:rPr>
          <w:rFonts w:hint="eastAsia" w:ascii="宋体" w:hAnsi="宋体" w:cs="楷体"/>
          <w:kern w:val="0"/>
          <w:sz w:val="22"/>
          <w:szCs w:val="22"/>
          <w:highlight w:val="none"/>
        </w:rPr>
        <w:t>踏勘或召开开标前答疑会：</w:t>
      </w:r>
      <w:r>
        <w:rPr>
          <w:rFonts w:hint="eastAsia" w:ascii="宋体" w:hAnsi="宋体" w:cs="Courier New"/>
          <w:sz w:val="22"/>
          <w:szCs w:val="22"/>
          <w:highlight w:val="none"/>
        </w:rPr>
        <w:t>见投标人须知前附表。</w:t>
      </w:r>
    </w:p>
    <w:p w14:paraId="3BF794A0">
      <w:pPr>
        <w:pStyle w:val="3"/>
        <w:spacing w:line="400" w:lineRule="exact"/>
        <w:jc w:val="center"/>
        <w:rPr>
          <w:rFonts w:ascii="宋体" w:hAnsi="宋体" w:eastAsia="宋体" w:cs="Courier New"/>
          <w:highlight w:val="none"/>
        </w:rPr>
      </w:pPr>
      <w:bookmarkStart w:id="37" w:name="_Toc216667821"/>
      <w:bookmarkStart w:id="38" w:name="_Toc204578576"/>
      <w:bookmarkStart w:id="39" w:name="_Toc205004969"/>
      <w:bookmarkStart w:id="40" w:name="_Toc204491318"/>
      <w:bookmarkStart w:id="41" w:name="_Toc215415531"/>
      <w:bookmarkStart w:id="42" w:name="_Toc209251128"/>
      <w:bookmarkStart w:id="43" w:name="_Toc205877453"/>
      <w:bookmarkStart w:id="44" w:name="_Toc223717605"/>
      <w:bookmarkStart w:id="45" w:name="_Toc214365791"/>
      <w:bookmarkStart w:id="46" w:name="_Toc227056847"/>
      <w:bookmarkStart w:id="47" w:name="_Toc219538614"/>
      <w:bookmarkStart w:id="48" w:name="_Toc205877558"/>
      <w:bookmarkStart w:id="49" w:name="_Toc217460686"/>
      <w:bookmarkStart w:id="50" w:name="_Toc209261366"/>
      <w:bookmarkStart w:id="51" w:name="_Toc205005287"/>
      <w:bookmarkStart w:id="52" w:name="_Toc209250720"/>
      <w:bookmarkStart w:id="53" w:name="_Toc207609182"/>
      <w:bookmarkStart w:id="54" w:name="_Toc223933222"/>
      <w:bookmarkStart w:id="55" w:name="_Toc210879709"/>
      <w:bookmarkStart w:id="56" w:name="_Toc205703103"/>
      <w:bookmarkStart w:id="57" w:name="_Toc218041727"/>
      <w:bookmarkStart w:id="58" w:name="_Toc227057034"/>
      <w:bookmarkStart w:id="59" w:name="_Toc209332634"/>
      <w:bookmarkStart w:id="60" w:name="_Toc209261433"/>
      <w:bookmarkStart w:id="61" w:name="_Toc227489888"/>
      <w:bookmarkStart w:id="62" w:name="_Toc1099"/>
      <w:r>
        <w:rPr>
          <w:rFonts w:hint="eastAsia" w:ascii="宋体" w:hAnsi="宋体" w:eastAsia="宋体" w:cs="Courier New"/>
          <w:highlight w:val="none"/>
        </w:rPr>
        <w:t>二、 招标</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Courier New"/>
          <w:highlight w:val="none"/>
        </w:rPr>
        <w:t>文件</w:t>
      </w:r>
      <w:bookmarkEnd w:id="62"/>
    </w:p>
    <w:p w14:paraId="1DA5FB8E">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招标文件由招标文件目录所列内容及相关资料组成。</w:t>
      </w:r>
    </w:p>
    <w:p w14:paraId="475A6C44">
      <w:pPr>
        <w:numPr>
          <w:ilvl w:val="0"/>
          <w:numId w:val="2"/>
        </w:numPr>
        <w:tabs>
          <w:tab w:val="left" w:pos="525"/>
          <w:tab w:val="left" w:pos="900"/>
        </w:tabs>
        <w:spacing w:line="360" w:lineRule="auto"/>
        <w:rPr>
          <w:rFonts w:ascii="宋体" w:hAnsi="宋体" w:cs="楷体"/>
          <w:kern w:val="0"/>
          <w:sz w:val="22"/>
          <w:szCs w:val="22"/>
          <w:highlight w:val="none"/>
        </w:rPr>
      </w:pPr>
      <w:r>
        <w:rPr>
          <w:rFonts w:ascii="宋体" w:hAnsi="宋体" w:cs="楷体"/>
          <w:kern w:val="0"/>
          <w:sz w:val="22"/>
          <w:szCs w:val="22"/>
          <w:highlight w:val="none"/>
        </w:rPr>
        <w:t>询问</w:t>
      </w:r>
    </w:p>
    <w:p w14:paraId="553D24DA">
      <w:pPr>
        <w:numPr>
          <w:ilvl w:val="1"/>
          <w:numId w:val="2"/>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潜在供应商或投标人对本次采购活动的有关事项若有疑问，可以书面方式向采购代理机构提出询问，采购代理机构将按照政府采购法及实施条例的有关规定进行答复。</w:t>
      </w:r>
    </w:p>
    <w:p w14:paraId="07EDD264">
      <w:pPr>
        <w:numPr>
          <w:ilvl w:val="1"/>
          <w:numId w:val="2"/>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供应商一旦参与本次采购活动，即被视为接受了本招标文件的所有内容，如有任何异议，均已在</w:t>
      </w:r>
      <w:r>
        <w:rPr>
          <w:rFonts w:hint="eastAsia" w:ascii="宋体" w:hAnsi="宋体"/>
          <w:sz w:val="22"/>
          <w:szCs w:val="22"/>
          <w:highlight w:val="none"/>
        </w:rPr>
        <w:t>投标截止时间</w:t>
      </w:r>
      <w:r>
        <w:rPr>
          <w:rFonts w:hint="eastAsia" w:ascii="宋体" w:hAnsi="宋体" w:cs="楷体"/>
          <w:kern w:val="0"/>
          <w:sz w:val="22"/>
          <w:szCs w:val="22"/>
          <w:highlight w:val="none"/>
        </w:rPr>
        <w:t>前提出。</w:t>
      </w:r>
    </w:p>
    <w:p w14:paraId="449988CB">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招标文件的澄清或修改</w:t>
      </w:r>
    </w:p>
    <w:p w14:paraId="0F5E217F">
      <w:pPr>
        <w:numPr>
          <w:ilvl w:val="1"/>
          <w:numId w:val="2"/>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在投标截止前的任何时候，招标采购单位需要对招标文件进行澄清或修改的，将会</w:t>
      </w:r>
      <w:r>
        <w:rPr>
          <w:rFonts w:ascii="宋体" w:hAnsi="宋体"/>
          <w:sz w:val="22"/>
          <w:szCs w:val="22"/>
          <w:highlight w:val="none"/>
        </w:rPr>
        <w:t>在招标文件载明的指定媒体</w:t>
      </w:r>
      <w:r>
        <w:rPr>
          <w:rFonts w:hint="eastAsia" w:ascii="宋体" w:hAnsi="宋体"/>
          <w:sz w:val="22"/>
          <w:szCs w:val="22"/>
          <w:highlight w:val="none"/>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328BA10A">
      <w:pPr>
        <w:numPr>
          <w:ilvl w:val="1"/>
          <w:numId w:val="2"/>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澄清或修改的内容作为招标文件的组成部分。当招标文件与澄清或更正公告就同一内容的表述不一致时，以最后发出的文件内容为准。任何口头答复均不属于招标文件的组成部分。</w:t>
      </w:r>
    </w:p>
    <w:p w14:paraId="55A9BD64">
      <w:pPr>
        <w:numPr>
          <w:ilvl w:val="1"/>
          <w:numId w:val="2"/>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澄清（更正）公告作为招标采购单位通知所有潜在供应商的书面形式。潜在供应商或投标人在参与本项目</w:t>
      </w:r>
      <w:r>
        <w:rPr>
          <w:rFonts w:hint="eastAsia" w:ascii="宋体" w:hAnsi="宋体" w:cs="Courier New"/>
          <w:sz w:val="22"/>
          <w:szCs w:val="22"/>
          <w:highlight w:val="none"/>
        </w:rPr>
        <w:t>招标采购活动过程中</w:t>
      </w:r>
      <w:r>
        <w:rPr>
          <w:rFonts w:hint="eastAsia" w:ascii="宋体" w:hAnsi="宋体"/>
          <w:sz w:val="22"/>
          <w:szCs w:val="22"/>
          <w:highlight w:val="none"/>
        </w:rPr>
        <w:t>，应及时关注招标文件载明的指定媒体上的相关信息，否则产生不利由其自行承担。</w:t>
      </w:r>
    </w:p>
    <w:p w14:paraId="52BE4759">
      <w:pPr>
        <w:pStyle w:val="3"/>
        <w:spacing w:line="400" w:lineRule="exact"/>
        <w:jc w:val="center"/>
        <w:rPr>
          <w:rFonts w:ascii="宋体" w:hAnsi="宋体" w:eastAsia="宋体" w:cs="Courier New"/>
          <w:highlight w:val="none"/>
        </w:rPr>
      </w:pPr>
      <w:bookmarkStart w:id="63" w:name="_Toc205877559"/>
      <w:bookmarkStart w:id="64" w:name="_Toc205703104"/>
      <w:bookmarkStart w:id="65" w:name="_Toc205005288"/>
      <w:bookmarkStart w:id="66" w:name="_Toc204491319"/>
      <w:bookmarkStart w:id="67" w:name="_Toc215415532"/>
      <w:bookmarkStart w:id="68" w:name="_Toc15013"/>
      <w:bookmarkStart w:id="69" w:name="_Toc205877454"/>
      <w:bookmarkStart w:id="70" w:name="_Toc217460687"/>
      <w:bookmarkStart w:id="71" w:name="_Toc205004970"/>
      <w:bookmarkStart w:id="72" w:name="_Toc209261367"/>
      <w:bookmarkStart w:id="73" w:name="_Toc218041728"/>
      <w:bookmarkStart w:id="74" w:name="_Toc209250721"/>
      <w:bookmarkStart w:id="75" w:name="_Toc204578577"/>
      <w:bookmarkStart w:id="76" w:name="_Toc227489889"/>
      <w:bookmarkStart w:id="77" w:name="_Toc214365792"/>
      <w:bookmarkStart w:id="78" w:name="_Toc223717606"/>
      <w:bookmarkStart w:id="79" w:name="_Toc216667822"/>
      <w:bookmarkStart w:id="80" w:name="_Toc219538615"/>
      <w:bookmarkStart w:id="81" w:name="_Toc209261434"/>
      <w:bookmarkStart w:id="82" w:name="_Toc223933223"/>
      <w:bookmarkStart w:id="83" w:name="_Toc227056848"/>
      <w:bookmarkStart w:id="84" w:name="_Toc207609183"/>
      <w:bookmarkStart w:id="85" w:name="_Toc227057035"/>
      <w:bookmarkStart w:id="86" w:name="_Toc209251129"/>
      <w:bookmarkStart w:id="87" w:name="_Toc209332635"/>
      <w:bookmarkStart w:id="88" w:name="_Toc210879710"/>
      <w:r>
        <w:rPr>
          <w:rFonts w:hint="eastAsia" w:ascii="宋体" w:hAnsi="宋体" w:eastAsia="宋体" w:cs="Courier New"/>
          <w:highlight w:val="none"/>
        </w:rPr>
        <w:t>三、 投标文件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731E104">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 xml:space="preserve">投标人应仔细阅读招标文件的所有内容，并按照招标文件的要求提交投标文件。如果投标人没有按照招标文件要求提交全部资料，或者投标文件没有对招标文件在各方面作出实质性响应，则投标有可能被认定为无效标，其风险由投标人自行承担。 </w:t>
      </w:r>
      <w:r>
        <w:rPr>
          <w:rFonts w:ascii="宋体" w:hAnsi="宋体" w:cs="楷体"/>
          <w:kern w:val="0"/>
          <w:sz w:val="22"/>
          <w:szCs w:val="22"/>
          <w:highlight w:val="none"/>
        </w:rPr>
        <w:t xml:space="preserve">                                              </w:t>
      </w:r>
    </w:p>
    <w:p w14:paraId="66C4543C">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投标人应保证所提供文件资料的真实性，所有文件资料必须是针对本次采购的。如发现投标人提供了虚假文件资料，其投标将被认定为无效，并自行承担相应的法律责任。</w:t>
      </w:r>
    </w:p>
    <w:p w14:paraId="3754CBC4">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w:t>
      </w:r>
      <w:bookmarkStart w:id="89" w:name="_Hlk38295237"/>
      <w:r>
        <w:rPr>
          <w:rFonts w:hint="eastAsia" w:ascii="宋体" w:hAnsi="宋体" w:cs="楷体"/>
          <w:kern w:val="0"/>
          <w:sz w:val="22"/>
          <w:szCs w:val="22"/>
          <w:highlight w:val="none"/>
        </w:rPr>
        <w:t>的组成</w:t>
      </w:r>
      <w:bookmarkEnd w:id="89"/>
      <w:r>
        <w:rPr>
          <w:rFonts w:hint="eastAsia" w:ascii="宋体" w:hAnsi="宋体" w:cs="楷体"/>
          <w:kern w:val="0"/>
          <w:sz w:val="22"/>
          <w:szCs w:val="22"/>
          <w:highlight w:val="none"/>
        </w:rPr>
        <w:t>：</w:t>
      </w:r>
    </w:p>
    <w:p w14:paraId="6E7FF1FE">
      <w:pPr>
        <w:numPr>
          <w:ilvl w:val="1"/>
          <w:numId w:val="2"/>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投标</w:t>
      </w:r>
      <w:r>
        <w:rPr>
          <w:rFonts w:hint="eastAsia" w:ascii="宋体" w:hAnsi="宋体"/>
          <w:sz w:val="22"/>
          <w:highlight w:val="none"/>
        </w:rPr>
        <w:t>文件</w:t>
      </w:r>
      <w:r>
        <w:rPr>
          <w:rFonts w:hint="eastAsia" w:ascii="宋体" w:hAnsi="宋体" w:cs="Courier New"/>
          <w:sz w:val="22"/>
          <w:szCs w:val="22"/>
          <w:highlight w:val="none"/>
        </w:rPr>
        <w:t>应当包括以下主要内容：资格文件、报价文件、商务技术文件。部分格式详见“第三部分 应提交的有关格式范例”，未提供参考格式的由投标人根据相关要求自行编制。）</w:t>
      </w:r>
    </w:p>
    <w:p w14:paraId="36BD89C8">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 xml:space="preserve">（1）投标人的资格文件包括以下内容： </w:t>
      </w:r>
    </w:p>
    <w:tbl>
      <w:tblPr>
        <w:tblStyle w:val="3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408"/>
        <w:gridCol w:w="1278"/>
      </w:tblGrid>
      <w:tr w14:paraId="4B8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13" w:type="dxa"/>
            <w:vAlign w:val="center"/>
          </w:tcPr>
          <w:p w14:paraId="1421E801">
            <w:pPr>
              <w:jc w:val="center"/>
              <w:rPr>
                <w:rFonts w:ascii="宋体" w:hAnsi="宋体"/>
                <w:sz w:val="22"/>
                <w:szCs w:val="22"/>
                <w:highlight w:val="none"/>
              </w:rPr>
            </w:pPr>
            <w:bookmarkStart w:id="90" w:name="_Toc500208478"/>
            <w:r>
              <w:rPr>
                <w:rFonts w:hint="eastAsia" w:ascii="宋体" w:hAnsi="宋体"/>
                <w:sz w:val="22"/>
                <w:szCs w:val="22"/>
                <w:highlight w:val="none"/>
              </w:rPr>
              <w:t>序号</w:t>
            </w:r>
          </w:p>
        </w:tc>
        <w:tc>
          <w:tcPr>
            <w:tcW w:w="7408" w:type="dxa"/>
            <w:vAlign w:val="center"/>
          </w:tcPr>
          <w:p w14:paraId="1309E16A">
            <w:pPr>
              <w:jc w:val="center"/>
              <w:rPr>
                <w:rFonts w:ascii="宋体" w:hAnsi="宋体"/>
                <w:sz w:val="22"/>
                <w:szCs w:val="22"/>
                <w:highlight w:val="none"/>
              </w:rPr>
            </w:pPr>
            <w:r>
              <w:rPr>
                <w:rFonts w:hint="eastAsia" w:ascii="宋体" w:hAnsi="宋体"/>
                <w:sz w:val="22"/>
                <w:szCs w:val="22"/>
                <w:highlight w:val="none"/>
              </w:rPr>
              <w:t>内容</w:t>
            </w:r>
          </w:p>
        </w:tc>
        <w:tc>
          <w:tcPr>
            <w:tcW w:w="1278" w:type="dxa"/>
            <w:vAlign w:val="center"/>
          </w:tcPr>
          <w:p w14:paraId="2512D58F">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4E74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13" w:type="dxa"/>
            <w:vAlign w:val="center"/>
          </w:tcPr>
          <w:p w14:paraId="57918036">
            <w:pPr>
              <w:jc w:val="center"/>
              <w:rPr>
                <w:rFonts w:ascii="宋体" w:hAnsi="宋体"/>
                <w:sz w:val="22"/>
                <w:szCs w:val="22"/>
                <w:highlight w:val="none"/>
              </w:rPr>
            </w:pPr>
            <w:r>
              <w:rPr>
                <w:rFonts w:ascii="宋体" w:hAnsi="宋体"/>
                <w:sz w:val="22"/>
                <w:szCs w:val="22"/>
                <w:highlight w:val="none"/>
              </w:rPr>
              <w:t>1</w:t>
            </w:r>
          </w:p>
        </w:tc>
        <w:tc>
          <w:tcPr>
            <w:tcW w:w="7408" w:type="dxa"/>
            <w:vAlign w:val="center"/>
          </w:tcPr>
          <w:p w14:paraId="2F0DA4B7">
            <w:pPr>
              <w:rPr>
                <w:rFonts w:ascii="宋体" w:hAnsi="宋体" w:cs="楷体"/>
                <w:kern w:val="0"/>
                <w:sz w:val="22"/>
                <w:szCs w:val="22"/>
                <w:highlight w:val="none"/>
              </w:rPr>
            </w:pPr>
            <w:r>
              <w:rPr>
                <w:rFonts w:hint="eastAsia" w:ascii="宋体" w:hAnsi="宋体" w:cs="楷体"/>
                <w:kern w:val="0"/>
                <w:sz w:val="22"/>
                <w:szCs w:val="22"/>
                <w:highlight w:val="none"/>
              </w:rPr>
              <w:t>资格声明书</w:t>
            </w:r>
          </w:p>
        </w:tc>
        <w:tc>
          <w:tcPr>
            <w:tcW w:w="1278" w:type="dxa"/>
            <w:vAlign w:val="center"/>
          </w:tcPr>
          <w:p w14:paraId="050C465B">
            <w:pPr>
              <w:spacing w:line="276" w:lineRule="auto"/>
              <w:jc w:val="center"/>
              <w:rPr>
                <w:rFonts w:ascii="宋体" w:hAnsi="宋体"/>
                <w:b/>
                <w:sz w:val="22"/>
                <w:szCs w:val="22"/>
                <w:highlight w:val="none"/>
              </w:rPr>
            </w:pPr>
          </w:p>
        </w:tc>
      </w:tr>
      <w:tr w14:paraId="1DA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13" w:type="dxa"/>
            <w:vAlign w:val="center"/>
          </w:tcPr>
          <w:p w14:paraId="5A93E275">
            <w:pPr>
              <w:jc w:val="center"/>
              <w:rPr>
                <w:rFonts w:ascii="宋体" w:hAnsi="宋体"/>
                <w:sz w:val="22"/>
                <w:szCs w:val="22"/>
                <w:highlight w:val="none"/>
              </w:rPr>
            </w:pPr>
            <w:r>
              <w:rPr>
                <w:rFonts w:ascii="宋体" w:hAnsi="宋体"/>
                <w:sz w:val="22"/>
                <w:szCs w:val="22"/>
                <w:highlight w:val="none"/>
              </w:rPr>
              <w:t>2</w:t>
            </w:r>
          </w:p>
        </w:tc>
        <w:tc>
          <w:tcPr>
            <w:tcW w:w="7408" w:type="dxa"/>
            <w:vAlign w:val="center"/>
          </w:tcPr>
          <w:p w14:paraId="1CF57F0E">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1278" w:type="dxa"/>
            <w:vAlign w:val="center"/>
          </w:tcPr>
          <w:p w14:paraId="1CBA309B">
            <w:pPr>
              <w:spacing w:line="276" w:lineRule="auto"/>
              <w:jc w:val="center"/>
              <w:rPr>
                <w:rFonts w:ascii="宋体" w:hAnsi="宋体"/>
                <w:sz w:val="22"/>
                <w:szCs w:val="22"/>
                <w:highlight w:val="none"/>
              </w:rPr>
            </w:pPr>
          </w:p>
        </w:tc>
      </w:tr>
      <w:tr w14:paraId="0EF5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13" w:type="dxa"/>
            <w:vAlign w:val="center"/>
          </w:tcPr>
          <w:p w14:paraId="1A06E2FA">
            <w:pPr>
              <w:jc w:val="center"/>
              <w:rPr>
                <w:rFonts w:ascii="宋体" w:hAnsi="宋体"/>
                <w:sz w:val="22"/>
                <w:szCs w:val="22"/>
                <w:highlight w:val="none"/>
              </w:rPr>
            </w:pPr>
            <w:r>
              <w:rPr>
                <w:rFonts w:hint="eastAsia" w:ascii="宋体" w:hAnsi="宋体"/>
                <w:sz w:val="22"/>
                <w:szCs w:val="22"/>
                <w:highlight w:val="none"/>
              </w:rPr>
              <w:t>3</w:t>
            </w:r>
          </w:p>
        </w:tc>
        <w:tc>
          <w:tcPr>
            <w:tcW w:w="7408" w:type="dxa"/>
            <w:vAlign w:val="center"/>
          </w:tcPr>
          <w:p w14:paraId="100DA2B1">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1278" w:type="dxa"/>
            <w:vAlign w:val="center"/>
          </w:tcPr>
          <w:p w14:paraId="2ACB907F">
            <w:pPr>
              <w:jc w:val="center"/>
              <w:rPr>
                <w:rFonts w:ascii="宋体" w:hAnsi="宋体"/>
                <w:sz w:val="22"/>
                <w:szCs w:val="22"/>
                <w:highlight w:val="none"/>
              </w:rPr>
            </w:pPr>
            <w:r>
              <w:rPr>
                <w:rFonts w:hint="eastAsia" w:ascii="宋体" w:hAnsi="宋体" w:cs="楷体"/>
                <w:kern w:val="0"/>
                <w:sz w:val="22"/>
                <w:szCs w:val="22"/>
                <w:highlight w:val="none"/>
              </w:rPr>
              <w:t>未要求</w:t>
            </w:r>
          </w:p>
        </w:tc>
      </w:tr>
    </w:tbl>
    <w:p w14:paraId="126229FC">
      <w:pPr>
        <w:rPr>
          <w:rFonts w:ascii="宋体" w:hAnsi="宋体"/>
          <w:b/>
          <w:sz w:val="22"/>
          <w:szCs w:val="22"/>
          <w:highlight w:val="none"/>
        </w:rPr>
      </w:pPr>
      <w:r>
        <w:rPr>
          <w:rFonts w:hint="eastAsia" w:ascii="宋体" w:hAnsi="宋体"/>
          <w:b/>
          <w:sz w:val="22"/>
          <w:szCs w:val="22"/>
          <w:highlight w:val="none"/>
        </w:rPr>
        <w:br w:type="page"/>
      </w:r>
    </w:p>
    <w:p w14:paraId="4F68B9C1">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 xml:space="preserve">）投标人的报价文件包括以下内容： </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1"/>
        <w:gridCol w:w="1285"/>
      </w:tblGrid>
      <w:tr w14:paraId="6F6C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6876B6C">
            <w:pPr>
              <w:spacing w:line="430" w:lineRule="exact"/>
              <w:jc w:val="center"/>
              <w:rPr>
                <w:rFonts w:ascii="宋体" w:hAnsi="宋体"/>
                <w:sz w:val="22"/>
                <w:szCs w:val="22"/>
                <w:highlight w:val="none"/>
              </w:rPr>
            </w:pPr>
            <w:r>
              <w:rPr>
                <w:rFonts w:hint="eastAsia" w:ascii="宋体" w:hAnsi="宋体"/>
                <w:sz w:val="22"/>
                <w:szCs w:val="22"/>
                <w:highlight w:val="none"/>
              </w:rPr>
              <w:t>序号</w:t>
            </w:r>
          </w:p>
        </w:tc>
        <w:tc>
          <w:tcPr>
            <w:tcW w:w="7741" w:type="dxa"/>
            <w:vAlign w:val="center"/>
          </w:tcPr>
          <w:p w14:paraId="1061BE0B">
            <w:pPr>
              <w:spacing w:line="430" w:lineRule="exact"/>
              <w:jc w:val="center"/>
              <w:rPr>
                <w:rFonts w:ascii="宋体" w:hAnsi="宋体"/>
                <w:sz w:val="22"/>
                <w:szCs w:val="22"/>
                <w:highlight w:val="none"/>
              </w:rPr>
            </w:pPr>
            <w:r>
              <w:rPr>
                <w:rFonts w:hint="eastAsia" w:ascii="宋体" w:hAnsi="宋体"/>
                <w:sz w:val="22"/>
                <w:szCs w:val="22"/>
                <w:highlight w:val="none"/>
              </w:rPr>
              <w:t>内容</w:t>
            </w:r>
          </w:p>
        </w:tc>
        <w:tc>
          <w:tcPr>
            <w:tcW w:w="1285" w:type="dxa"/>
            <w:vAlign w:val="center"/>
          </w:tcPr>
          <w:p w14:paraId="791E49ED">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59CC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3915665">
            <w:pPr>
              <w:spacing w:line="430" w:lineRule="exact"/>
              <w:jc w:val="center"/>
              <w:rPr>
                <w:rFonts w:ascii="宋体" w:hAnsi="宋体"/>
                <w:sz w:val="22"/>
                <w:szCs w:val="22"/>
                <w:highlight w:val="none"/>
              </w:rPr>
            </w:pPr>
            <w:r>
              <w:rPr>
                <w:rFonts w:hint="eastAsia" w:ascii="宋体" w:hAnsi="宋体"/>
                <w:sz w:val="22"/>
                <w:szCs w:val="22"/>
                <w:highlight w:val="none"/>
              </w:rPr>
              <w:t>1)</w:t>
            </w:r>
          </w:p>
        </w:tc>
        <w:tc>
          <w:tcPr>
            <w:tcW w:w="7741" w:type="dxa"/>
            <w:vAlign w:val="center"/>
          </w:tcPr>
          <w:p w14:paraId="4F063D34">
            <w:pPr>
              <w:spacing w:line="430" w:lineRule="exact"/>
              <w:rPr>
                <w:rFonts w:hint="eastAsia" w:ascii="宋体" w:hAnsi="宋体"/>
                <w:sz w:val="22"/>
                <w:szCs w:val="22"/>
                <w:highlight w:val="none"/>
              </w:rPr>
            </w:pPr>
            <w:r>
              <w:rPr>
                <w:rFonts w:hint="eastAsia" w:ascii="宋体" w:hAnsi="宋体"/>
                <w:sz w:val="22"/>
                <w:szCs w:val="22"/>
                <w:highlight w:val="none"/>
              </w:rPr>
              <w:t>开标一览表</w:t>
            </w:r>
          </w:p>
        </w:tc>
        <w:tc>
          <w:tcPr>
            <w:tcW w:w="1285" w:type="dxa"/>
            <w:vAlign w:val="center"/>
          </w:tcPr>
          <w:p w14:paraId="28579ED1">
            <w:pPr>
              <w:spacing w:line="430" w:lineRule="exact"/>
              <w:jc w:val="center"/>
              <w:rPr>
                <w:rFonts w:ascii="宋体" w:hAnsi="宋体"/>
                <w:sz w:val="22"/>
                <w:szCs w:val="22"/>
                <w:highlight w:val="none"/>
              </w:rPr>
            </w:pPr>
          </w:p>
        </w:tc>
      </w:tr>
      <w:tr w14:paraId="6F64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7A57C31">
            <w:pPr>
              <w:spacing w:line="430" w:lineRule="exact"/>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w:t>
            </w:r>
          </w:p>
        </w:tc>
        <w:tc>
          <w:tcPr>
            <w:tcW w:w="7741" w:type="dxa"/>
            <w:vAlign w:val="center"/>
          </w:tcPr>
          <w:p w14:paraId="681F3FC8">
            <w:pPr>
              <w:spacing w:line="430" w:lineRule="exact"/>
              <w:rPr>
                <w:rFonts w:hint="eastAsia" w:ascii="宋体" w:hAnsi="宋体"/>
                <w:sz w:val="22"/>
                <w:szCs w:val="22"/>
                <w:highlight w:val="none"/>
              </w:rPr>
            </w:pPr>
            <w:r>
              <w:rPr>
                <w:rFonts w:hint="eastAsia" w:ascii="宋体" w:hAnsi="宋体"/>
                <w:sz w:val="22"/>
                <w:szCs w:val="22"/>
                <w:highlight w:val="none"/>
              </w:rPr>
              <w:t>投标分项报价表</w:t>
            </w:r>
          </w:p>
        </w:tc>
        <w:tc>
          <w:tcPr>
            <w:tcW w:w="1285" w:type="dxa"/>
            <w:vAlign w:val="center"/>
          </w:tcPr>
          <w:p w14:paraId="052AD6F0">
            <w:pPr>
              <w:spacing w:line="430" w:lineRule="exact"/>
              <w:jc w:val="center"/>
              <w:rPr>
                <w:rFonts w:ascii="宋体" w:hAnsi="宋体"/>
                <w:sz w:val="22"/>
                <w:szCs w:val="22"/>
                <w:highlight w:val="none"/>
              </w:rPr>
            </w:pPr>
          </w:p>
        </w:tc>
      </w:tr>
    </w:tbl>
    <w:p w14:paraId="5E7140AC">
      <w:pPr>
        <w:spacing w:line="360" w:lineRule="auto"/>
        <w:ind w:left="187" w:leftChars="85" w:hanging="9" w:hangingChars="4"/>
        <w:jc w:val="left"/>
        <w:rPr>
          <w:rFonts w:ascii="宋体" w:hAnsi="宋体"/>
          <w:b/>
          <w:sz w:val="22"/>
          <w:szCs w:val="22"/>
          <w:highlight w:val="none"/>
        </w:rPr>
      </w:pPr>
    </w:p>
    <w:p w14:paraId="38456311">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3</w:t>
      </w:r>
      <w:r>
        <w:rPr>
          <w:rFonts w:hint="eastAsia" w:ascii="宋体" w:hAnsi="宋体"/>
          <w:b/>
          <w:sz w:val="22"/>
          <w:szCs w:val="22"/>
          <w:highlight w:val="none"/>
        </w:rPr>
        <w:t xml:space="preserve">）投标人的商务技术文件包括以下内容： </w:t>
      </w:r>
      <w:bookmarkEnd w:id="90"/>
    </w:p>
    <w:tbl>
      <w:tblPr>
        <w:tblStyle w:val="3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36"/>
        <w:gridCol w:w="1134"/>
      </w:tblGrid>
      <w:tr w14:paraId="1DFB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33731F72">
            <w:pPr>
              <w:jc w:val="center"/>
              <w:rPr>
                <w:rFonts w:ascii="宋体" w:hAnsi="宋体"/>
                <w:b/>
                <w:sz w:val="22"/>
                <w:szCs w:val="22"/>
                <w:highlight w:val="none"/>
              </w:rPr>
            </w:pPr>
            <w:r>
              <w:rPr>
                <w:rFonts w:hint="eastAsia" w:ascii="宋体" w:hAnsi="宋体"/>
                <w:b/>
                <w:sz w:val="22"/>
                <w:szCs w:val="22"/>
                <w:highlight w:val="none"/>
              </w:rPr>
              <w:t>序号</w:t>
            </w:r>
          </w:p>
        </w:tc>
        <w:tc>
          <w:tcPr>
            <w:tcW w:w="8136" w:type="dxa"/>
            <w:vAlign w:val="center"/>
          </w:tcPr>
          <w:p w14:paraId="105B15EE">
            <w:pPr>
              <w:jc w:val="center"/>
              <w:rPr>
                <w:rFonts w:ascii="宋体" w:hAnsi="宋体"/>
                <w:b/>
                <w:sz w:val="22"/>
                <w:szCs w:val="22"/>
                <w:highlight w:val="none"/>
              </w:rPr>
            </w:pPr>
            <w:r>
              <w:rPr>
                <w:rFonts w:hint="eastAsia" w:ascii="宋体" w:hAnsi="宋体"/>
                <w:b/>
                <w:sz w:val="22"/>
                <w:szCs w:val="22"/>
                <w:highlight w:val="none"/>
              </w:rPr>
              <w:t>内容</w:t>
            </w:r>
          </w:p>
        </w:tc>
        <w:tc>
          <w:tcPr>
            <w:tcW w:w="1134" w:type="dxa"/>
            <w:vAlign w:val="center"/>
          </w:tcPr>
          <w:p w14:paraId="16BF43ED">
            <w:pPr>
              <w:jc w:val="center"/>
              <w:rPr>
                <w:rFonts w:ascii="宋体" w:hAnsi="宋体"/>
                <w:sz w:val="22"/>
                <w:szCs w:val="22"/>
                <w:highlight w:val="none"/>
              </w:rPr>
            </w:pPr>
            <w:r>
              <w:rPr>
                <w:rFonts w:hint="eastAsia" w:ascii="宋体" w:hAnsi="宋体"/>
                <w:sz w:val="22"/>
                <w:szCs w:val="22"/>
                <w:highlight w:val="none"/>
              </w:rPr>
              <w:t>备注</w:t>
            </w:r>
          </w:p>
        </w:tc>
      </w:tr>
      <w:tr w14:paraId="506E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8" w:type="dxa"/>
            <w:vAlign w:val="center"/>
          </w:tcPr>
          <w:p w14:paraId="53418225">
            <w:pPr>
              <w:jc w:val="center"/>
              <w:rPr>
                <w:rFonts w:ascii="宋体" w:hAnsi="宋体"/>
                <w:sz w:val="22"/>
                <w:szCs w:val="22"/>
                <w:highlight w:val="none"/>
              </w:rPr>
            </w:pPr>
            <w:r>
              <w:rPr>
                <w:rFonts w:hint="eastAsia" w:ascii="宋体" w:hAnsi="宋体"/>
                <w:sz w:val="22"/>
                <w:szCs w:val="22"/>
                <w:highlight w:val="none"/>
              </w:rPr>
              <w:t>1）</w:t>
            </w:r>
          </w:p>
        </w:tc>
        <w:tc>
          <w:tcPr>
            <w:tcW w:w="8136" w:type="dxa"/>
            <w:vAlign w:val="center"/>
          </w:tcPr>
          <w:p w14:paraId="2F55FADA">
            <w:pPr>
              <w:rPr>
                <w:rFonts w:ascii="宋体" w:hAnsi="宋体"/>
                <w:sz w:val="22"/>
                <w:szCs w:val="22"/>
                <w:highlight w:val="none"/>
              </w:rPr>
            </w:pPr>
            <w:r>
              <w:rPr>
                <w:rFonts w:hint="eastAsia" w:ascii="宋体" w:hAnsi="宋体"/>
                <w:sz w:val="22"/>
                <w:szCs w:val="22"/>
                <w:highlight w:val="none"/>
              </w:rPr>
              <w:t>投标函</w:t>
            </w:r>
          </w:p>
        </w:tc>
        <w:tc>
          <w:tcPr>
            <w:tcW w:w="1134" w:type="dxa"/>
            <w:vAlign w:val="center"/>
          </w:tcPr>
          <w:p w14:paraId="2B2FB432">
            <w:pPr>
              <w:spacing w:line="430" w:lineRule="exact"/>
              <w:jc w:val="center"/>
              <w:rPr>
                <w:rFonts w:ascii="宋体" w:hAnsi="宋体"/>
                <w:sz w:val="22"/>
                <w:szCs w:val="22"/>
                <w:highlight w:val="none"/>
              </w:rPr>
            </w:pPr>
          </w:p>
        </w:tc>
      </w:tr>
      <w:tr w14:paraId="2F86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16BD7950">
            <w:pPr>
              <w:jc w:val="center"/>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w:t>
            </w:r>
          </w:p>
        </w:tc>
        <w:tc>
          <w:tcPr>
            <w:tcW w:w="8136" w:type="dxa"/>
            <w:vAlign w:val="center"/>
          </w:tcPr>
          <w:p w14:paraId="5AED6D67">
            <w:pPr>
              <w:rPr>
                <w:rFonts w:ascii="宋体" w:hAnsi="宋体"/>
                <w:sz w:val="22"/>
                <w:szCs w:val="22"/>
                <w:highlight w:val="none"/>
              </w:rPr>
            </w:pPr>
            <w:r>
              <w:rPr>
                <w:rFonts w:hint="eastAsia" w:ascii="宋体" w:hAnsi="宋体"/>
                <w:sz w:val="22"/>
                <w:szCs w:val="22"/>
                <w:highlight w:val="none"/>
              </w:rPr>
              <w:t>单位负责人授权书</w:t>
            </w:r>
          </w:p>
        </w:tc>
        <w:tc>
          <w:tcPr>
            <w:tcW w:w="1134" w:type="dxa"/>
            <w:vAlign w:val="center"/>
          </w:tcPr>
          <w:p w14:paraId="025CA201">
            <w:pPr>
              <w:pStyle w:val="8"/>
              <w:keepNext/>
              <w:jc w:val="center"/>
              <w:rPr>
                <w:rFonts w:ascii="宋体" w:hAnsi="宋体" w:eastAsia="宋体"/>
                <w:sz w:val="22"/>
                <w:szCs w:val="22"/>
                <w:highlight w:val="none"/>
              </w:rPr>
            </w:pPr>
          </w:p>
        </w:tc>
      </w:tr>
      <w:tr w14:paraId="7F22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126C3B5C">
            <w:pPr>
              <w:jc w:val="center"/>
              <w:rPr>
                <w:rFonts w:ascii="宋体" w:hAnsi="宋体"/>
                <w:sz w:val="22"/>
                <w:szCs w:val="22"/>
                <w:highlight w:val="none"/>
              </w:rPr>
            </w:pPr>
            <w:r>
              <w:rPr>
                <w:rFonts w:hint="eastAsia" w:ascii="宋体" w:hAnsi="宋体"/>
                <w:sz w:val="22"/>
                <w:szCs w:val="22"/>
                <w:highlight w:val="none"/>
              </w:rPr>
              <w:t>3）</w:t>
            </w:r>
          </w:p>
        </w:tc>
        <w:tc>
          <w:tcPr>
            <w:tcW w:w="8136" w:type="dxa"/>
            <w:vAlign w:val="center"/>
          </w:tcPr>
          <w:p w14:paraId="1F475768">
            <w:pPr>
              <w:rPr>
                <w:rFonts w:ascii="宋体" w:hAnsi="宋体"/>
                <w:sz w:val="22"/>
                <w:szCs w:val="22"/>
                <w:highlight w:val="none"/>
              </w:rPr>
            </w:pPr>
            <w:r>
              <w:rPr>
                <w:rFonts w:hint="eastAsia" w:ascii="宋体" w:hAnsi="宋体"/>
                <w:sz w:val="22"/>
                <w:szCs w:val="22"/>
                <w:highlight w:val="none"/>
              </w:rPr>
              <w:t>投标人联系表</w:t>
            </w:r>
          </w:p>
        </w:tc>
        <w:tc>
          <w:tcPr>
            <w:tcW w:w="1134" w:type="dxa"/>
            <w:vAlign w:val="center"/>
          </w:tcPr>
          <w:p w14:paraId="0D2390F5">
            <w:pPr>
              <w:pStyle w:val="8"/>
              <w:keepNext/>
              <w:jc w:val="center"/>
              <w:rPr>
                <w:rFonts w:ascii="宋体" w:hAnsi="宋体" w:eastAsia="宋体"/>
                <w:sz w:val="22"/>
                <w:szCs w:val="22"/>
                <w:highlight w:val="none"/>
              </w:rPr>
            </w:pPr>
          </w:p>
        </w:tc>
      </w:tr>
      <w:tr w14:paraId="4E38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513E6FC">
            <w:pPr>
              <w:jc w:val="center"/>
              <w:rPr>
                <w:rFonts w:ascii="宋体" w:hAnsi="宋体"/>
                <w:sz w:val="22"/>
                <w:szCs w:val="22"/>
                <w:highlight w:val="none"/>
              </w:rPr>
            </w:pPr>
            <w:r>
              <w:rPr>
                <w:rFonts w:ascii="宋体" w:hAnsi="宋体"/>
                <w:sz w:val="22"/>
                <w:szCs w:val="22"/>
                <w:highlight w:val="none"/>
              </w:rPr>
              <w:t>4</w:t>
            </w:r>
            <w:r>
              <w:rPr>
                <w:rFonts w:hint="eastAsia" w:ascii="宋体" w:hAnsi="宋体"/>
                <w:sz w:val="22"/>
                <w:szCs w:val="22"/>
                <w:highlight w:val="none"/>
              </w:rPr>
              <w:t>）</w:t>
            </w:r>
          </w:p>
        </w:tc>
        <w:tc>
          <w:tcPr>
            <w:tcW w:w="8136" w:type="dxa"/>
            <w:vAlign w:val="center"/>
          </w:tcPr>
          <w:p w14:paraId="6C3B128D">
            <w:pPr>
              <w:rPr>
                <w:rFonts w:ascii="宋体" w:hAnsi="宋体"/>
                <w:sz w:val="22"/>
                <w:highlight w:val="none"/>
              </w:rPr>
            </w:pPr>
            <w:r>
              <w:rPr>
                <w:rFonts w:hint="eastAsia" w:ascii="宋体" w:hAnsi="宋体"/>
                <w:sz w:val="22"/>
                <w:highlight w:val="none"/>
              </w:rPr>
              <w:t>采购需求偏离表</w:t>
            </w:r>
          </w:p>
        </w:tc>
        <w:tc>
          <w:tcPr>
            <w:tcW w:w="1134" w:type="dxa"/>
            <w:vAlign w:val="center"/>
          </w:tcPr>
          <w:p w14:paraId="21536032">
            <w:pPr>
              <w:spacing w:line="430" w:lineRule="exact"/>
              <w:jc w:val="center"/>
              <w:rPr>
                <w:rFonts w:ascii="宋体" w:hAnsi="宋体"/>
                <w:sz w:val="22"/>
                <w:szCs w:val="22"/>
                <w:highlight w:val="none"/>
              </w:rPr>
            </w:pPr>
          </w:p>
        </w:tc>
      </w:tr>
      <w:tr w14:paraId="7D26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EFDC944">
            <w:pPr>
              <w:jc w:val="center"/>
              <w:rPr>
                <w:rFonts w:ascii="宋体" w:hAnsi="宋体"/>
                <w:sz w:val="22"/>
                <w:szCs w:val="22"/>
                <w:highlight w:val="none"/>
              </w:rPr>
            </w:pPr>
            <w:r>
              <w:rPr>
                <w:rFonts w:ascii="宋体" w:hAnsi="宋体"/>
                <w:sz w:val="22"/>
                <w:szCs w:val="22"/>
                <w:highlight w:val="none"/>
              </w:rPr>
              <w:t>5</w:t>
            </w:r>
            <w:r>
              <w:rPr>
                <w:rFonts w:hint="eastAsia" w:ascii="宋体" w:hAnsi="宋体"/>
                <w:sz w:val="22"/>
                <w:szCs w:val="22"/>
                <w:highlight w:val="none"/>
              </w:rPr>
              <w:t>）</w:t>
            </w:r>
          </w:p>
        </w:tc>
        <w:tc>
          <w:tcPr>
            <w:tcW w:w="8136" w:type="dxa"/>
            <w:vAlign w:val="center"/>
          </w:tcPr>
          <w:p w14:paraId="647DBA2E">
            <w:pPr>
              <w:rPr>
                <w:rFonts w:ascii="宋体" w:hAnsi="宋体"/>
                <w:sz w:val="22"/>
                <w:szCs w:val="22"/>
                <w:highlight w:val="none"/>
              </w:rPr>
            </w:pPr>
            <w:r>
              <w:rPr>
                <w:rFonts w:hint="eastAsia" w:ascii="宋体" w:hAnsi="宋体"/>
                <w:sz w:val="22"/>
                <w:szCs w:val="22"/>
                <w:highlight w:val="none"/>
              </w:rPr>
              <w:t>根据本项目采购内容及要求以及商务技术评分项目，需要提供的文件和资料</w:t>
            </w:r>
          </w:p>
        </w:tc>
        <w:tc>
          <w:tcPr>
            <w:tcW w:w="1134" w:type="dxa"/>
            <w:vAlign w:val="center"/>
          </w:tcPr>
          <w:p w14:paraId="09755574">
            <w:pPr>
              <w:spacing w:line="430" w:lineRule="exact"/>
              <w:jc w:val="center"/>
              <w:rPr>
                <w:rFonts w:ascii="宋体" w:hAnsi="宋体"/>
                <w:sz w:val="22"/>
                <w:szCs w:val="22"/>
                <w:highlight w:val="none"/>
              </w:rPr>
            </w:pPr>
          </w:p>
        </w:tc>
      </w:tr>
      <w:tr w14:paraId="2E36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351414E6">
            <w:pPr>
              <w:jc w:val="center"/>
              <w:rPr>
                <w:rFonts w:ascii="宋体" w:hAnsi="宋体"/>
                <w:sz w:val="22"/>
                <w:szCs w:val="22"/>
                <w:highlight w:val="none"/>
              </w:rPr>
            </w:pPr>
            <w:r>
              <w:rPr>
                <w:rFonts w:ascii="宋体" w:hAnsi="宋体"/>
                <w:sz w:val="22"/>
                <w:szCs w:val="22"/>
                <w:highlight w:val="none"/>
              </w:rPr>
              <w:t>6</w:t>
            </w:r>
            <w:r>
              <w:rPr>
                <w:rFonts w:hint="eastAsia" w:ascii="宋体" w:hAnsi="宋体"/>
                <w:sz w:val="22"/>
                <w:szCs w:val="22"/>
                <w:highlight w:val="none"/>
              </w:rPr>
              <w:t>）</w:t>
            </w:r>
          </w:p>
        </w:tc>
        <w:tc>
          <w:tcPr>
            <w:tcW w:w="8136" w:type="dxa"/>
            <w:vAlign w:val="center"/>
          </w:tcPr>
          <w:p w14:paraId="7C30870B">
            <w:pPr>
              <w:rPr>
                <w:rFonts w:ascii="宋体" w:hAnsi="宋体"/>
                <w:sz w:val="22"/>
                <w:highlight w:val="none"/>
              </w:rPr>
            </w:pPr>
            <w:r>
              <w:rPr>
                <w:rFonts w:hint="eastAsia" w:ascii="宋体" w:hAnsi="宋体"/>
                <w:sz w:val="22"/>
                <w:szCs w:val="22"/>
                <w:highlight w:val="none"/>
              </w:rPr>
              <w:t>投标人需要说明的其他文件和说明</w:t>
            </w:r>
          </w:p>
        </w:tc>
        <w:tc>
          <w:tcPr>
            <w:tcW w:w="1134" w:type="dxa"/>
            <w:vAlign w:val="center"/>
          </w:tcPr>
          <w:p w14:paraId="3DA6EBD1">
            <w:pPr>
              <w:jc w:val="center"/>
              <w:rPr>
                <w:rFonts w:ascii="宋体" w:hAnsi="宋体"/>
                <w:sz w:val="22"/>
                <w:szCs w:val="22"/>
                <w:highlight w:val="none"/>
              </w:rPr>
            </w:pPr>
          </w:p>
        </w:tc>
      </w:tr>
    </w:tbl>
    <w:p w14:paraId="21B34DA9">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投标文件的语言及度量衡单位</w:t>
      </w:r>
    </w:p>
    <w:p w14:paraId="65127C6F">
      <w:pPr>
        <w:numPr>
          <w:ilvl w:val="0"/>
          <w:numId w:val="3"/>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w:t>
      </w:r>
      <w:r>
        <w:rPr>
          <w:rFonts w:hint="eastAsia" w:ascii="宋体" w:hAnsi="宋体" w:cs="Courier New"/>
          <w:sz w:val="22"/>
          <w:szCs w:val="22"/>
          <w:highlight w:val="none"/>
        </w:rPr>
        <w:t>使用的度量衡单位，均采用中华人民共和国法定计量单位。</w:t>
      </w:r>
    </w:p>
    <w:p w14:paraId="68CF6411">
      <w:pPr>
        <w:numPr>
          <w:ilvl w:val="0"/>
          <w:numId w:val="3"/>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除招标文件另有规定外，投标文件应使用中文文本，若有不同文本，以中文文本为准。</w:t>
      </w:r>
    </w:p>
    <w:p w14:paraId="29E34891">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投标报价</w:t>
      </w:r>
    </w:p>
    <w:p w14:paraId="6BECE617">
      <w:pPr>
        <w:numPr>
          <w:ilvl w:val="1"/>
          <w:numId w:val="2"/>
        </w:numPr>
        <w:tabs>
          <w:tab w:val="left" w:pos="540"/>
        </w:tabs>
        <w:spacing w:line="360" w:lineRule="auto"/>
        <w:rPr>
          <w:rFonts w:ascii="宋体" w:hAnsi="宋体"/>
          <w:sz w:val="22"/>
          <w:highlight w:val="none"/>
        </w:rPr>
      </w:pPr>
      <w:bookmarkStart w:id="91" w:name="_Hlk58529002"/>
      <w:r>
        <w:rPr>
          <w:rFonts w:hint="eastAsia" w:ascii="宋体" w:hAnsi="宋体"/>
          <w:sz w:val="22"/>
          <w:highlight w:val="none"/>
        </w:rPr>
        <w:t>投标人的报价为含税报价，</w:t>
      </w:r>
      <w:r>
        <w:rPr>
          <w:rFonts w:hint="eastAsia" w:ascii="宋体" w:hAnsi="宋体"/>
          <w:sz w:val="22"/>
          <w:szCs w:val="22"/>
          <w:highlight w:val="none"/>
        </w:rPr>
        <w:t>包括承担本项目</w:t>
      </w:r>
      <w:r>
        <w:rPr>
          <w:rFonts w:hint="eastAsia" w:ascii="宋体" w:hAnsi="宋体"/>
          <w:sz w:val="22"/>
          <w:szCs w:val="22"/>
          <w:highlight w:val="none"/>
          <w:lang w:val="en-US" w:eastAsia="zh-CN"/>
        </w:rPr>
        <w:t>服务</w:t>
      </w:r>
      <w:r>
        <w:rPr>
          <w:rFonts w:hint="eastAsia" w:ascii="宋体" w:hAnsi="宋体"/>
          <w:sz w:val="22"/>
          <w:szCs w:val="22"/>
          <w:highlight w:val="none"/>
        </w:rPr>
        <w:t>所需的一切人员工资、奖金、各种加班费、夜餐费、高温补贴费、训练费、社会保险、食宿与交通、队员服装、安全管理费用、税费、利润、</w:t>
      </w:r>
      <w:r>
        <w:rPr>
          <w:rFonts w:hint="eastAsia" w:ascii="宋体" w:hAnsi="宋体"/>
          <w:sz w:val="22"/>
          <w:szCs w:val="22"/>
          <w:highlight w:val="none"/>
          <w:lang w:val="en-US" w:eastAsia="zh-CN"/>
        </w:rPr>
        <w:t>招标代理脬务费等</w:t>
      </w:r>
      <w:r>
        <w:rPr>
          <w:rFonts w:hint="eastAsia" w:ascii="宋体" w:hAnsi="宋体"/>
          <w:sz w:val="22"/>
          <w:szCs w:val="22"/>
          <w:highlight w:val="none"/>
        </w:rPr>
        <w:t>完成合同所需的一切本身和不可或缺的所有工作开支、政策性文件规定及合同包含的所有风险、责任等各项全部费用并承担一切风险责任。投标人应根据上述因素自行考虑含入报价。</w:t>
      </w:r>
      <w:bookmarkEnd w:id="91"/>
    </w:p>
    <w:p w14:paraId="434915D5">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所有报价均以人民币报价。</w:t>
      </w:r>
    </w:p>
    <w:p w14:paraId="6F5FCDDF">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采购人要求分类报价是为了方便评审，但在任何情况下不限制采购人以其认为最合适的条款、条件签订合同的权利。</w:t>
      </w:r>
    </w:p>
    <w:p w14:paraId="79199A48">
      <w:pPr>
        <w:numPr>
          <w:ilvl w:val="1"/>
          <w:numId w:val="2"/>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sz w:val="22"/>
          <w:szCs w:val="22"/>
          <w:highlight w:val="none"/>
        </w:rPr>
        <w:t>除招标文件另有规定外，投标文件不能出现任何选择性的投标报价，即每一个合同包和品目号的采购标的都只能有一个投标报价，否则</w:t>
      </w:r>
      <w:r>
        <w:rPr>
          <w:rFonts w:hint="eastAsia" w:ascii="宋体" w:hAnsi="宋体" w:cs="Courier New"/>
          <w:b/>
          <w:bCs/>
          <w:sz w:val="22"/>
          <w:szCs w:val="22"/>
          <w:highlight w:val="none"/>
        </w:rPr>
        <w:t>投标无效</w:t>
      </w:r>
      <w:r>
        <w:rPr>
          <w:rFonts w:hint="eastAsia" w:ascii="宋体" w:hAnsi="宋体" w:cs="Courier New"/>
          <w:bCs/>
          <w:sz w:val="22"/>
          <w:szCs w:val="22"/>
          <w:highlight w:val="none"/>
        </w:rPr>
        <w:t>。</w:t>
      </w:r>
    </w:p>
    <w:p w14:paraId="309D2F21">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投标人对在合同执行中，除上述费用及招标文件规定的由中标人负责的工作范围以外需要采购人协调或提供便利的工作应当在投标文件中说明。</w:t>
      </w:r>
    </w:p>
    <w:p w14:paraId="7A21B856">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楷体"/>
          <w:kern w:val="0"/>
          <w:sz w:val="22"/>
          <w:szCs w:val="22"/>
          <w:highlight w:val="none"/>
        </w:rPr>
        <w:t>投标保证金及赔偿损失金</w:t>
      </w:r>
    </w:p>
    <w:p w14:paraId="012E319A">
      <w:pPr>
        <w:numPr>
          <w:ilvl w:val="1"/>
          <w:numId w:val="2"/>
        </w:numPr>
        <w:tabs>
          <w:tab w:val="left" w:pos="525"/>
          <w:tab w:val="left" w:pos="635"/>
          <w:tab w:val="left" w:pos="900"/>
        </w:tabs>
        <w:spacing w:line="360" w:lineRule="auto"/>
        <w:rPr>
          <w:rFonts w:ascii="宋体" w:hAnsi="宋体" w:cs="楷体"/>
          <w:kern w:val="0"/>
          <w:sz w:val="22"/>
          <w:szCs w:val="22"/>
          <w:highlight w:val="none"/>
        </w:rPr>
      </w:pPr>
      <w:bookmarkStart w:id="92" w:name="_Hlk9965658"/>
      <w:r>
        <w:rPr>
          <w:rFonts w:hint="eastAsia" w:ascii="宋体" w:hAnsi="宋体" w:cs="楷体"/>
          <w:kern w:val="0"/>
          <w:sz w:val="22"/>
          <w:szCs w:val="22"/>
          <w:highlight w:val="none"/>
        </w:rPr>
        <w:t>本项目不收取投标保证金，但不免除投标人相应的赔偿责任。</w:t>
      </w:r>
      <w:bookmarkEnd w:id="92"/>
    </w:p>
    <w:p w14:paraId="6EA534C3">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楷体"/>
          <w:kern w:val="0"/>
          <w:sz w:val="22"/>
          <w:szCs w:val="22"/>
          <w:highlight w:val="none"/>
        </w:rPr>
        <w:t>赔偿损失金为人民币拾万元整</w:t>
      </w:r>
      <w:r>
        <w:rPr>
          <w:rFonts w:hint="eastAsia" w:ascii="宋体" w:hAnsi="宋体" w:cs="Courier New"/>
          <w:sz w:val="22"/>
          <w:szCs w:val="22"/>
          <w:highlight w:val="none"/>
        </w:rPr>
        <w:t>。</w:t>
      </w:r>
    </w:p>
    <w:p w14:paraId="03B66A73">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如发生下列情况之一，将向其收取赔偿损失金：</w:t>
      </w:r>
    </w:p>
    <w:p w14:paraId="33509420">
      <w:pPr>
        <w:numPr>
          <w:ilvl w:val="0"/>
          <w:numId w:val="4"/>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投标人在招标文件规定的投标有效期内撤回投标；</w:t>
      </w:r>
    </w:p>
    <w:p w14:paraId="25E952C5">
      <w:pPr>
        <w:numPr>
          <w:ilvl w:val="0"/>
          <w:numId w:val="4"/>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中标人未按中标通知书中规定的时间与采购人签订合同；</w:t>
      </w:r>
    </w:p>
    <w:p w14:paraId="43A399C6">
      <w:pPr>
        <w:numPr>
          <w:ilvl w:val="0"/>
          <w:numId w:val="4"/>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中标人在规定期限内未能根据招标文件要求提供履约保证金；</w:t>
      </w:r>
    </w:p>
    <w:p w14:paraId="0CE70325">
      <w:pPr>
        <w:numPr>
          <w:ilvl w:val="0"/>
          <w:numId w:val="4"/>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投标人在投标文件中提供提供虚假材料或通过虚假响应、虚假陈述、虚假承诺，经评标委员会确认属实的；</w:t>
      </w:r>
    </w:p>
    <w:p w14:paraId="514877EC">
      <w:pPr>
        <w:numPr>
          <w:ilvl w:val="0"/>
          <w:numId w:val="4"/>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经监督部门审查认定投标人有违反</w:t>
      </w:r>
      <w:r>
        <w:rPr>
          <w:rFonts w:ascii="宋体" w:hAnsi="宋体"/>
          <w:sz w:val="22"/>
          <w:szCs w:val="22"/>
          <w:highlight w:val="none"/>
        </w:rPr>
        <w:t>《中华人民共和国政府采购法》等有关</w:t>
      </w:r>
      <w:r>
        <w:rPr>
          <w:rFonts w:hint="eastAsia" w:ascii="宋体" w:hAnsi="宋体" w:cs="Courier New"/>
          <w:sz w:val="22"/>
          <w:szCs w:val="22"/>
          <w:highlight w:val="none"/>
        </w:rPr>
        <w:t>法律、法规的行为。</w:t>
      </w:r>
    </w:p>
    <w:p w14:paraId="71ADE836">
      <w:pPr>
        <w:tabs>
          <w:tab w:val="left" w:pos="525"/>
        </w:tabs>
        <w:spacing w:line="360" w:lineRule="auto"/>
        <w:ind w:firstLine="221" w:firstLineChars="100"/>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上述</w:t>
      </w:r>
      <w:r>
        <w:rPr>
          <w:rFonts w:hint="eastAsia" w:ascii="宋体" w:hAnsi="宋体"/>
          <w:b/>
          <w:sz w:val="22"/>
          <w:szCs w:val="22"/>
          <w:highlight w:val="none"/>
        </w:rPr>
        <w:t>赔偿损失金</w:t>
      </w:r>
      <w:r>
        <w:rPr>
          <w:rFonts w:ascii="宋体" w:hAnsi="宋体"/>
          <w:b/>
          <w:sz w:val="22"/>
          <w:szCs w:val="22"/>
          <w:highlight w:val="none"/>
        </w:rPr>
        <w:t>不能抵偿给采购人或采购代理机构造成损失的，</w:t>
      </w:r>
      <w:r>
        <w:rPr>
          <w:rFonts w:hint="eastAsia" w:ascii="宋体" w:hAnsi="宋体"/>
          <w:b/>
          <w:sz w:val="22"/>
          <w:szCs w:val="22"/>
          <w:highlight w:val="none"/>
        </w:rPr>
        <w:t>投标人</w:t>
      </w:r>
      <w:r>
        <w:rPr>
          <w:rFonts w:ascii="宋体" w:hAnsi="宋体"/>
          <w:b/>
          <w:sz w:val="22"/>
          <w:szCs w:val="22"/>
          <w:highlight w:val="none"/>
        </w:rPr>
        <w:t>还要承担赔偿责任。</w:t>
      </w:r>
    </w:p>
    <w:p w14:paraId="5DEF59A6">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w:t>
      </w:r>
      <w:r>
        <w:rPr>
          <w:rFonts w:hint="eastAsia" w:ascii="宋体" w:hAnsi="宋体" w:cs="楷体"/>
          <w:kern w:val="0"/>
          <w:sz w:val="22"/>
          <w:szCs w:val="22"/>
          <w:highlight w:val="none"/>
        </w:rPr>
        <w:t>有效期</w:t>
      </w:r>
    </w:p>
    <w:p w14:paraId="016C1EF5">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投标有效期见投标人</w:t>
      </w:r>
      <w:r>
        <w:rPr>
          <w:rFonts w:ascii="宋体" w:hAnsi="宋体" w:cs="Courier New"/>
          <w:sz w:val="22"/>
          <w:szCs w:val="22"/>
          <w:highlight w:val="none"/>
        </w:rPr>
        <w:t>须知前附表</w:t>
      </w:r>
      <w:r>
        <w:rPr>
          <w:rFonts w:hint="eastAsia" w:ascii="宋体" w:hAnsi="宋体" w:cs="Courier New"/>
          <w:sz w:val="22"/>
          <w:szCs w:val="22"/>
          <w:highlight w:val="none"/>
        </w:rPr>
        <w:t>，投标文件有效期短于这个规定期限的将被拒绝，其</w:t>
      </w:r>
      <w:r>
        <w:rPr>
          <w:rFonts w:hint="eastAsia" w:ascii="宋体" w:hAnsi="宋体" w:cs="Courier New"/>
          <w:b/>
          <w:bCs/>
          <w:sz w:val="22"/>
          <w:szCs w:val="22"/>
          <w:highlight w:val="none"/>
        </w:rPr>
        <w:t>投标无效</w:t>
      </w:r>
      <w:r>
        <w:rPr>
          <w:rFonts w:hint="eastAsia" w:ascii="宋体" w:hAnsi="宋体" w:cs="Courier New"/>
          <w:sz w:val="22"/>
          <w:szCs w:val="22"/>
          <w:highlight w:val="none"/>
        </w:rPr>
        <w:t>。</w:t>
      </w:r>
    </w:p>
    <w:p w14:paraId="6B0F4148">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在投标人须知前附表规定的投标有效期内，投标人不得要求撤销或修改其投标文件。</w:t>
      </w:r>
    </w:p>
    <w:p w14:paraId="7F3EAD7F">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特殊情况下，在原投标有效期截止前，采购人可与投标人协商延长投标有效期，这种要求和答复均以书面形式进行。同意延长投标有效期的投标人不得修改投标文件。</w:t>
      </w:r>
    </w:p>
    <w:p w14:paraId="6A6B3CFD">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投标文件编制</w:t>
      </w:r>
    </w:p>
    <w:p w14:paraId="1869C524">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本项目通过“</w:t>
      </w:r>
      <w:r>
        <w:rPr>
          <w:rFonts w:hint="eastAsia" w:ascii="宋体" w:hAnsi="宋体" w:cs="Courier New"/>
          <w:sz w:val="22"/>
          <w:szCs w:val="22"/>
          <w:highlight w:val="none"/>
          <w:lang w:eastAsia="zh-CN"/>
        </w:rPr>
        <w:t>乐采云平台</w:t>
      </w:r>
      <w:r>
        <w:rPr>
          <w:rFonts w:hint="eastAsia" w:ascii="宋体" w:hAnsi="宋体" w:cs="Courier New"/>
          <w:sz w:val="22"/>
          <w:szCs w:val="22"/>
          <w:highlight w:val="none"/>
        </w:rPr>
        <w:t>（</w:t>
      </w:r>
      <w:r>
        <w:rPr>
          <w:rFonts w:hint="eastAsia" w:ascii="宋体" w:hAnsi="宋体" w:cs="Courier New"/>
          <w:sz w:val="22"/>
          <w:szCs w:val="22"/>
          <w:highlight w:val="none"/>
          <w:lang w:eastAsia="zh-CN"/>
        </w:rPr>
        <w:t>https://www.lecaiyun.com/</w:t>
      </w:r>
      <w:r>
        <w:rPr>
          <w:rFonts w:hint="eastAsia" w:ascii="宋体" w:hAnsi="宋体" w:cs="Courier New"/>
          <w:sz w:val="22"/>
          <w:szCs w:val="22"/>
          <w:highlight w:val="none"/>
        </w:rPr>
        <w:t>）”实行在线投标响应（电子投标）。供应商应通过“政采云电子交易客户端”，并按照本招标文件和“</w:t>
      </w:r>
      <w:r>
        <w:rPr>
          <w:rFonts w:hint="eastAsia" w:ascii="宋体" w:hAnsi="宋体" w:cs="Courier New"/>
          <w:sz w:val="22"/>
          <w:szCs w:val="22"/>
          <w:highlight w:val="none"/>
          <w:lang w:eastAsia="zh-CN"/>
        </w:rPr>
        <w:t>乐采云平台</w:t>
      </w:r>
      <w:r>
        <w:rPr>
          <w:rFonts w:hint="eastAsia" w:ascii="宋体" w:hAnsi="宋体" w:cs="Courier New"/>
          <w:sz w:val="22"/>
          <w:szCs w:val="22"/>
          <w:highlight w:val="none"/>
        </w:rPr>
        <w:t>”的要求编制并加密投标文件。</w:t>
      </w:r>
    </w:p>
    <w:p w14:paraId="4D6BDB42">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投标人应当按照本章节“投标文件组成”规定的内容及顺序在“政采云电子交易客户端”编制投标文件。</w:t>
      </w:r>
      <w:r>
        <w:rPr>
          <w:rFonts w:hint="eastAsia" w:ascii="宋体" w:hAnsi="宋体" w:cs="Courier New"/>
          <w:b/>
          <w:sz w:val="22"/>
          <w:szCs w:val="22"/>
          <w:highlight w:val="none"/>
        </w:rPr>
        <w:t>其中《资格文件》和《商务技术文件》中不得出现本项目投标报价，如因投标人原因提前泄露投标报价，是投标人的责任。</w:t>
      </w:r>
    </w:p>
    <w:p w14:paraId="081321F2">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本文件《第三部分 应提交的有关格式范例》中有提供格式的，投标人须参照格式进行编制（格式中要求提供相关证明材料的还需后附相关证明材料），</w:t>
      </w:r>
      <w:r>
        <w:rPr>
          <w:rFonts w:hint="eastAsia" w:ascii="宋体" w:hAnsi="宋体" w:cs="Courier New"/>
          <w:b/>
          <w:sz w:val="22"/>
          <w:szCs w:val="22"/>
          <w:highlight w:val="none"/>
        </w:rPr>
        <w:t>并按格式要求在指定位置根据要求进行签章，否则视为未提供</w:t>
      </w:r>
      <w:r>
        <w:rPr>
          <w:rFonts w:hint="eastAsia" w:ascii="宋体" w:hAnsi="宋体" w:cs="Courier New"/>
          <w:sz w:val="22"/>
          <w:szCs w:val="22"/>
          <w:highlight w:val="none"/>
        </w:rPr>
        <w:t>；本文件《第三部分 应提交的有关格式范例》未提供格式的，请各投标单位自行拟定格式。</w:t>
      </w:r>
    </w:p>
    <w:p w14:paraId="62DB333F">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投标文件内容不完整、编排混乱</w:t>
      </w:r>
      <w:bookmarkStart w:id="93" w:name="_Hlk36488250"/>
      <w:r>
        <w:rPr>
          <w:rFonts w:hint="eastAsia" w:ascii="宋体" w:hAnsi="宋体" w:cs="Courier New"/>
          <w:sz w:val="22"/>
          <w:szCs w:val="22"/>
          <w:highlight w:val="none"/>
        </w:rPr>
        <w:t>或未关联定位</w:t>
      </w:r>
      <w:bookmarkEnd w:id="93"/>
      <w:r>
        <w:rPr>
          <w:rFonts w:hint="eastAsia" w:ascii="宋体" w:hAnsi="宋体" w:cs="Courier New"/>
          <w:sz w:val="22"/>
          <w:szCs w:val="22"/>
          <w:highlight w:val="none"/>
        </w:rPr>
        <w:t>导致投标文件被误读、漏读或者查找不到相关内容的，是投标人的责任。</w:t>
      </w:r>
    </w:p>
    <w:p w14:paraId="386E6316">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投标文件因字迹潦草或表达不清所引起的后果由投标人负责。</w:t>
      </w:r>
    </w:p>
    <w:p w14:paraId="122C25E7">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投标文件的签章</w:t>
      </w:r>
    </w:p>
    <w:p w14:paraId="69039280">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投标文件的签章：见投标人须知前附表；</w:t>
      </w:r>
    </w:p>
    <w:p w14:paraId="2E41D30E">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电子签章操作指南详见</w:t>
      </w:r>
      <w:r>
        <w:rPr>
          <w:rFonts w:hint="eastAsia" w:ascii="宋体" w:hAnsi="宋体"/>
          <w:sz w:val="22"/>
          <w:szCs w:val="22"/>
          <w:highlight w:val="none"/>
        </w:rPr>
        <w:t>“</w:t>
      </w:r>
      <w:r>
        <w:rPr>
          <w:rFonts w:hint="eastAsia" w:ascii="宋体" w:hAnsi="宋体"/>
          <w:sz w:val="22"/>
          <w:szCs w:val="22"/>
          <w:highlight w:val="none"/>
          <w:lang w:eastAsia="zh-CN"/>
        </w:rPr>
        <w:t>乐采云平台</w:t>
      </w:r>
      <w:r>
        <w:rPr>
          <w:rFonts w:hint="eastAsia" w:ascii="宋体" w:hAnsi="宋体"/>
          <w:sz w:val="22"/>
          <w:szCs w:val="22"/>
          <w:highlight w:val="none"/>
        </w:rPr>
        <w:t>（</w:t>
      </w:r>
      <w:r>
        <w:rPr>
          <w:rFonts w:hint="eastAsia" w:ascii="宋体" w:hAnsi="宋体"/>
          <w:sz w:val="22"/>
          <w:szCs w:val="22"/>
          <w:highlight w:val="none"/>
          <w:lang w:eastAsia="zh-CN"/>
        </w:rPr>
        <w:t>https://www.lecaiyun.com/</w:t>
      </w:r>
      <w:r>
        <w:rPr>
          <w:rFonts w:hint="eastAsia" w:ascii="宋体" w:hAnsi="宋体"/>
          <w:sz w:val="22"/>
          <w:szCs w:val="22"/>
          <w:highlight w:val="none"/>
        </w:rPr>
        <w:t>）”中供应商项目采购-电子招投标操作指南。</w:t>
      </w:r>
    </w:p>
    <w:p w14:paraId="70E9C9B6">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投标文件如有修改和增删必须由投标人代表在修改和增删处旁签署或加盖投标人的单位公章，方才有效。</w:t>
      </w:r>
    </w:p>
    <w:p w14:paraId="0613799D">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投标文件的形式</w:t>
      </w:r>
    </w:p>
    <w:p w14:paraId="4F01E002">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投标文件的形式：见投标人须知前附表。</w:t>
      </w:r>
    </w:p>
    <w:p w14:paraId="65FD1357">
      <w:pPr>
        <w:numPr>
          <w:ilvl w:val="0"/>
          <w:numId w:val="2"/>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投标文件的份数</w:t>
      </w:r>
    </w:p>
    <w:p w14:paraId="0983FB39">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投标文件的份数：见投标人须知前附表。</w:t>
      </w:r>
    </w:p>
    <w:p w14:paraId="3BC6A554">
      <w:pPr>
        <w:pStyle w:val="3"/>
        <w:spacing w:line="400" w:lineRule="exact"/>
        <w:jc w:val="center"/>
        <w:rPr>
          <w:rFonts w:ascii="宋体" w:hAnsi="宋体" w:eastAsia="宋体" w:cs="Courier New"/>
          <w:highlight w:val="none"/>
        </w:rPr>
      </w:pPr>
      <w:bookmarkStart w:id="94" w:name="_Toc204491320"/>
      <w:bookmarkStart w:id="95" w:name="_Toc205877455"/>
      <w:bookmarkStart w:id="96" w:name="_Toc205703105"/>
      <w:bookmarkStart w:id="97" w:name="_Toc227057036"/>
      <w:bookmarkStart w:id="98" w:name="_Toc207609184"/>
      <w:bookmarkStart w:id="99" w:name="_Toc227489890"/>
      <w:bookmarkStart w:id="100" w:name="_Toc209251130"/>
      <w:bookmarkStart w:id="101" w:name="_Toc204578578"/>
      <w:bookmarkStart w:id="102" w:name="_Toc210879711"/>
      <w:bookmarkStart w:id="103" w:name="_Toc7666"/>
      <w:bookmarkStart w:id="104" w:name="_Toc209250722"/>
      <w:bookmarkStart w:id="105" w:name="_Toc209332636"/>
      <w:bookmarkStart w:id="106" w:name="_Toc215415533"/>
      <w:bookmarkStart w:id="107" w:name="_Toc217460688"/>
      <w:bookmarkStart w:id="108" w:name="_Toc223717607"/>
      <w:bookmarkStart w:id="109" w:name="_Toc205005289"/>
      <w:bookmarkStart w:id="110" w:name="_Toc219538616"/>
      <w:bookmarkStart w:id="111" w:name="_Toc209261368"/>
      <w:bookmarkStart w:id="112" w:name="_Toc205004971"/>
      <w:bookmarkStart w:id="113" w:name="_Toc227056849"/>
      <w:bookmarkStart w:id="114" w:name="_Toc205877560"/>
      <w:bookmarkStart w:id="115" w:name="_Toc218041729"/>
      <w:bookmarkStart w:id="116" w:name="_Toc209261435"/>
      <w:bookmarkStart w:id="117" w:name="_Toc216667823"/>
      <w:bookmarkStart w:id="118" w:name="_Toc214365793"/>
      <w:bookmarkStart w:id="119" w:name="_Toc223933224"/>
      <w:r>
        <w:rPr>
          <w:rFonts w:hint="eastAsia" w:ascii="宋体" w:hAnsi="宋体" w:eastAsia="宋体" w:cs="Courier New"/>
          <w:highlight w:val="none"/>
        </w:rPr>
        <w:t>四、 投标</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4AC4F2B">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投标文件的上传和递交</w:t>
      </w:r>
    </w:p>
    <w:p w14:paraId="34D5A24C">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bCs/>
          <w:sz w:val="22"/>
          <w:szCs w:val="22"/>
          <w:highlight w:val="none"/>
        </w:rPr>
        <w:t>“投标文件”</w:t>
      </w:r>
      <w:r>
        <w:rPr>
          <w:rFonts w:hint="eastAsia" w:ascii="宋体" w:hAnsi="宋体" w:cs="Courier New"/>
          <w:sz w:val="22"/>
          <w:szCs w:val="22"/>
          <w:highlight w:val="none"/>
        </w:rPr>
        <w:t>的上传、递交：见投标人须知前附表。</w:t>
      </w:r>
    </w:p>
    <w:p w14:paraId="0752EFFC">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“电子加密投标文件”解密和异常情况处理</w:t>
      </w:r>
    </w:p>
    <w:p w14:paraId="10508DD3">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“电子加密投标文件”解密：见投标人须知前附表。</w:t>
      </w:r>
    </w:p>
    <w:p w14:paraId="568CB6BE">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投标文件的补充、修改或撤回</w:t>
      </w:r>
    </w:p>
    <w:p w14:paraId="7D234E5E">
      <w:pPr>
        <w:numPr>
          <w:ilvl w:val="1"/>
          <w:numId w:val="2"/>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1591B892">
      <w:pPr>
        <w:numPr>
          <w:ilvl w:val="1"/>
          <w:numId w:val="2"/>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b/>
          <w:bCs/>
          <w:sz w:val="22"/>
          <w:szCs w:val="22"/>
          <w:highlight w:val="none"/>
        </w:rPr>
        <w:t>投标截止时间后递交的投标文件，“</w:t>
      </w:r>
      <w:r>
        <w:rPr>
          <w:rFonts w:hint="eastAsia" w:ascii="宋体" w:hAnsi="宋体" w:cs="Courier New"/>
          <w:b/>
          <w:bCs/>
          <w:sz w:val="22"/>
          <w:szCs w:val="22"/>
          <w:highlight w:val="none"/>
          <w:lang w:eastAsia="zh-CN"/>
        </w:rPr>
        <w:t>乐采云平台</w:t>
      </w:r>
      <w:r>
        <w:rPr>
          <w:rFonts w:hint="eastAsia" w:ascii="宋体" w:hAnsi="宋体" w:cs="Courier New"/>
          <w:b/>
          <w:bCs/>
          <w:sz w:val="22"/>
          <w:szCs w:val="22"/>
          <w:highlight w:val="none"/>
        </w:rPr>
        <w:t>”将予以拒收。</w:t>
      </w:r>
    </w:p>
    <w:p w14:paraId="5B5FF6CE">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投标截止时间后，投标人不得撤回、修改投标文件。</w:t>
      </w:r>
    </w:p>
    <w:p w14:paraId="7AC24057">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投标文件的备选方案</w:t>
      </w:r>
    </w:p>
    <w:p w14:paraId="297BA4DE">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投标人不得递交任何的投标备选（替代）方案，否则其投标文件将作无效标处理。与“电子加密投标文件”同时生成的“备份投标文件”不是投标备选（替代）方案。</w:t>
      </w:r>
    </w:p>
    <w:p w14:paraId="1991220C">
      <w:pPr>
        <w:pStyle w:val="3"/>
        <w:spacing w:line="400" w:lineRule="exact"/>
        <w:jc w:val="center"/>
        <w:rPr>
          <w:rFonts w:ascii="宋体" w:hAnsi="宋体" w:eastAsia="宋体" w:cs="Courier New"/>
          <w:highlight w:val="none"/>
        </w:rPr>
      </w:pPr>
      <w:bookmarkStart w:id="120" w:name="_Toc205005290"/>
      <w:bookmarkStart w:id="121" w:name="_Toc217460689"/>
      <w:bookmarkStart w:id="122" w:name="_Toc209250723"/>
      <w:bookmarkStart w:id="123" w:name="_Toc204491321"/>
      <w:bookmarkStart w:id="124" w:name="_Toc209332637"/>
      <w:bookmarkStart w:id="125" w:name="_Toc219538617"/>
      <w:bookmarkStart w:id="126" w:name="_Toc214365794"/>
      <w:bookmarkStart w:id="127" w:name="_Toc207609185"/>
      <w:bookmarkStart w:id="128" w:name="_Toc205877456"/>
      <w:bookmarkStart w:id="129" w:name="_Toc205004972"/>
      <w:bookmarkStart w:id="130" w:name="_Toc215415534"/>
      <w:bookmarkStart w:id="131" w:name="_Toc210879712"/>
      <w:bookmarkStart w:id="132" w:name="_Toc223933225"/>
      <w:bookmarkStart w:id="133" w:name="_Toc209261369"/>
      <w:bookmarkStart w:id="134" w:name="_Toc30060"/>
      <w:bookmarkStart w:id="135" w:name="_Toc223717608"/>
      <w:bookmarkStart w:id="136" w:name="_Toc227489891"/>
      <w:bookmarkStart w:id="137" w:name="_Toc216667824"/>
      <w:bookmarkStart w:id="138" w:name="_Toc204578579"/>
      <w:bookmarkStart w:id="139" w:name="_Toc227056850"/>
      <w:bookmarkStart w:id="140" w:name="_Toc209251131"/>
      <w:bookmarkStart w:id="141" w:name="_Toc209261436"/>
      <w:bookmarkStart w:id="142" w:name="_Toc205703106"/>
      <w:bookmarkStart w:id="143" w:name="_Toc227057037"/>
      <w:bookmarkStart w:id="144" w:name="_Toc218041730"/>
      <w:bookmarkStart w:id="145" w:name="_Toc205877561"/>
      <w:r>
        <w:rPr>
          <w:rFonts w:hint="eastAsia" w:ascii="宋体" w:hAnsi="宋体" w:eastAsia="宋体" w:cs="Courier New"/>
          <w:highlight w:val="none"/>
        </w:rPr>
        <w:t>五、 电子化开标</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77E9B68">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开标</w:t>
      </w:r>
    </w:p>
    <w:p w14:paraId="3E7F6598">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投标人不足3家的，不</w:t>
      </w:r>
      <w:r>
        <w:rPr>
          <w:rFonts w:hint="eastAsia" w:ascii="宋体" w:hAnsi="宋体" w:cs="Courier New"/>
          <w:sz w:val="22"/>
          <w:szCs w:val="22"/>
          <w:highlight w:val="none"/>
        </w:rPr>
        <w:t>进行</w:t>
      </w:r>
      <w:r>
        <w:rPr>
          <w:rFonts w:ascii="宋体" w:hAnsi="宋体" w:cs="Courier New"/>
          <w:sz w:val="22"/>
          <w:szCs w:val="22"/>
          <w:highlight w:val="none"/>
        </w:rPr>
        <w:t>开标。</w:t>
      </w:r>
    </w:p>
    <w:p w14:paraId="5680B6C0">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电子招投标开标及评审程序</w:t>
      </w:r>
    </w:p>
    <w:p w14:paraId="73D82F75">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招标采购单位将按照招标文件规定的时间通过“</w:t>
      </w:r>
      <w:r>
        <w:rPr>
          <w:rFonts w:hint="eastAsia" w:ascii="宋体" w:hAnsi="宋体"/>
          <w:sz w:val="22"/>
          <w:szCs w:val="22"/>
          <w:highlight w:val="none"/>
          <w:lang w:eastAsia="zh-CN"/>
        </w:rPr>
        <w:t>乐采云平台</w:t>
      </w:r>
      <w:r>
        <w:rPr>
          <w:rFonts w:hint="eastAsia" w:ascii="宋体" w:hAnsi="宋体"/>
          <w:sz w:val="22"/>
          <w:szCs w:val="22"/>
          <w:highlight w:val="none"/>
        </w:rPr>
        <w:t>”组织开标、开启投标文件，投标人需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3D9E4B09">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w:t>
      </w:r>
      <w:r>
        <w:rPr>
          <w:rFonts w:hint="eastAsia" w:ascii="宋体" w:hAnsi="宋体"/>
          <w:sz w:val="22"/>
          <w:szCs w:val="22"/>
          <w:highlight w:val="none"/>
          <w:lang w:eastAsia="zh-CN"/>
        </w:rPr>
        <w:t>乐采云平台</w:t>
      </w:r>
      <w:r>
        <w:rPr>
          <w:rFonts w:hint="eastAsia" w:ascii="宋体" w:hAnsi="宋体"/>
          <w:sz w:val="22"/>
          <w:szCs w:val="22"/>
          <w:highlight w:val="none"/>
        </w:rPr>
        <w:t>”操作规范将备份投标文件上传至“</w:t>
      </w:r>
      <w:r>
        <w:rPr>
          <w:rFonts w:hint="eastAsia" w:ascii="宋体" w:hAnsi="宋体"/>
          <w:sz w:val="22"/>
          <w:szCs w:val="22"/>
          <w:highlight w:val="none"/>
          <w:lang w:eastAsia="zh-CN"/>
        </w:rPr>
        <w:t>乐采云平台</w:t>
      </w:r>
      <w:r>
        <w:rPr>
          <w:rFonts w:hint="eastAsia" w:ascii="宋体" w:hAnsi="宋体"/>
          <w:sz w:val="22"/>
          <w:szCs w:val="22"/>
          <w:highlight w:val="none"/>
        </w:rPr>
        <w:t>”，上传成功后，“电子加密投标文件”自动失效。</w:t>
      </w:r>
      <w:r>
        <w:rPr>
          <w:rFonts w:ascii="宋体" w:hAnsi="宋体"/>
          <w:sz w:val="22"/>
          <w:szCs w:val="22"/>
          <w:highlight w:val="none"/>
        </w:rPr>
        <w:t xml:space="preserve"> </w:t>
      </w:r>
    </w:p>
    <w:p w14:paraId="7BEC5599">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cs="Courier New"/>
          <w:sz w:val="22"/>
          <w:szCs w:val="22"/>
          <w:highlight w:val="none"/>
        </w:rPr>
        <w:t>对投标人的资格进行审查</w:t>
      </w:r>
      <w:r>
        <w:rPr>
          <w:rFonts w:hint="eastAsia" w:ascii="宋体" w:hAnsi="宋体"/>
          <w:sz w:val="22"/>
          <w:szCs w:val="22"/>
          <w:highlight w:val="none"/>
        </w:rPr>
        <w:t>。</w:t>
      </w:r>
    </w:p>
    <w:p w14:paraId="5C8EED13">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评标委员会对商务技术文件进行评审。</w:t>
      </w:r>
    </w:p>
    <w:p w14:paraId="30947F16">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评标委员会对报价情况进行评审。</w:t>
      </w:r>
    </w:p>
    <w:p w14:paraId="0AB6F50A">
      <w:pPr>
        <w:numPr>
          <w:ilvl w:val="0"/>
          <w:numId w:val="5"/>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在系统上公布评标结果。</w:t>
      </w:r>
    </w:p>
    <w:p w14:paraId="4ADA7229">
      <w:pPr>
        <w:tabs>
          <w:tab w:val="left" w:pos="525"/>
        </w:tabs>
        <w:spacing w:line="360" w:lineRule="auto"/>
        <w:rPr>
          <w:rFonts w:ascii="宋体" w:hAnsi="宋体"/>
          <w:b/>
          <w:sz w:val="22"/>
          <w:szCs w:val="22"/>
          <w:highlight w:val="none"/>
        </w:rPr>
      </w:pPr>
      <w:r>
        <w:rPr>
          <w:rFonts w:hint="eastAsia" w:ascii="宋体" w:hAnsi="宋体"/>
          <w:b/>
          <w:sz w:val="22"/>
          <w:szCs w:val="22"/>
          <w:highlight w:val="none"/>
        </w:rPr>
        <w:t>※政采云公司如对电子化开标及评审程序有调整的，按调整后的程序操作。</w:t>
      </w:r>
    </w:p>
    <w:p w14:paraId="5714CE6B">
      <w:pPr>
        <w:pStyle w:val="3"/>
        <w:spacing w:line="400" w:lineRule="exact"/>
        <w:jc w:val="center"/>
        <w:rPr>
          <w:rFonts w:ascii="宋体" w:hAnsi="宋体" w:eastAsia="宋体"/>
          <w:highlight w:val="none"/>
        </w:rPr>
      </w:pPr>
      <w:bookmarkStart w:id="146" w:name="_Toc28045"/>
      <w:r>
        <w:rPr>
          <w:rFonts w:ascii="宋体" w:hAnsi="宋体" w:eastAsia="宋体"/>
          <w:highlight w:val="none"/>
        </w:rPr>
        <w:t>六</w:t>
      </w:r>
      <w:r>
        <w:rPr>
          <w:rFonts w:hint="eastAsia" w:ascii="宋体" w:hAnsi="宋体" w:eastAsia="宋体"/>
          <w:highlight w:val="none"/>
        </w:rPr>
        <w:t>、 资格审查及评标</w:t>
      </w:r>
      <w:bookmarkEnd w:id="146"/>
    </w:p>
    <w:p w14:paraId="1A5DA9AE">
      <w:pPr>
        <w:numPr>
          <w:ilvl w:val="0"/>
          <w:numId w:val="2"/>
        </w:numPr>
        <w:tabs>
          <w:tab w:val="left" w:pos="525"/>
          <w:tab w:val="left" w:pos="900"/>
        </w:tabs>
        <w:spacing w:line="360" w:lineRule="auto"/>
        <w:rPr>
          <w:rFonts w:ascii="宋体" w:hAnsi="宋体"/>
          <w:highlight w:val="none"/>
          <w:lang w:val="zh-CN"/>
        </w:rPr>
      </w:pPr>
      <w:r>
        <w:rPr>
          <w:rFonts w:ascii="宋体" w:hAnsi="宋体" w:cs="Courier New"/>
          <w:sz w:val="22"/>
          <w:szCs w:val="22"/>
          <w:highlight w:val="none"/>
        </w:rPr>
        <w:t>资格审查</w:t>
      </w:r>
    </w:p>
    <w:p w14:paraId="4ED2B3C2">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采购人或者采购代理机构依法对投标人的资格进行审查。</w:t>
      </w:r>
    </w:p>
    <w:p w14:paraId="599FBC26">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资格审查的依据是招标文件和投标文件。</w:t>
      </w:r>
    </w:p>
    <w:p w14:paraId="18CDEE9A">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资格审查内容：</w:t>
      </w:r>
    </w:p>
    <w:tbl>
      <w:tblPr>
        <w:tblStyle w:val="3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631"/>
        <w:gridCol w:w="5659"/>
      </w:tblGrid>
      <w:tr w14:paraId="77BF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8" w:type="dxa"/>
            <w:shd w:val="clear" w:color="auto" w:fill="auto"/>
            <w:vAlign w:val="center"/>
          </w:tcPr>
          <w:p w14:paraId="380E7277">
            <w:pPr>
              <w:jc w:val="center"/>
              <w:rPr>
                <w:rFonts w:ascii="宋体" w:hAnsi="宋体"/>
                <w:sz w:val="22"/>
                <w:szCs w:val="22"/>
                <w:highlight w:val="none"/>
              </w:rPr>
            </w:pPr>
            <w:r>
              <w:rPr>
                <w:rFonts w:ascii="宋体" w:hAnsi="宋体"/>
                <w:sz w:val="22"/>
                <w:szCs w:val="22"/>
                <w:highlight w:val="none"/>
              </w:rPr>
              <w:t>序号</w:t>
            </w:r>
          </w:p>
        </w:tc>
        <w:tc>
          <w:tcPr>
            <w:tcW w:w="3631" w:type="dxa"/>
            <w:shd w:val="clear" w:color="auto" w:fill="auto"/>
            <w:vAlign w:val="center"/>
          </w:tcPr>
          <w:p w14:paraId="1EABF48B">
            <w:pPr>
              <w:jc w:val="center"/>
              <w:rPr>
                <w:rFonts w:ascii="宋体" w:hAnsi="宋体"/>
                <w:sz w:val="22"/>
                <w:szCs w:val="22"/>
                <w:highlight w:val="none"/>
              </w:rPr>
            </w:pPr>
            <w:r>
              <w:rPr>
                <w:rFonts w:hint="eastAsia" w:ascii="宋体" w:hAnsi="宋体"/>
                <w:sz w:val="22"/>
                <w:szCs w:val="22"/>
                <w:highlight w:val="none"/>
              </w:rPr>
              <w:t>明细</w:t>
            </w:r>
          </w:p>
        </w:tc>
        <w:tc>
          <w:tcPr>
            <w:tcW w:w="5659" w:type="dxa"/>
            <w:shd w:val="clear" w:color="auto" w:fill="auto"/>
            <w:vAlign w:val="center"/>
          </w:tcPr>
          <w:p w14:paraId="77CB91B4">
            <w:pPr>
              <w:jc w:val="center"/>
              <w:rPr>
                <w:rFonts w:ascii="宋体" w:hAnsi="宋体"/>
                <w:sz w:val="22"/>
                <w:szCs w:val="22"/>
                <w:highlight w:val="none"/>
              </w:rPr>
            </w:pPr>
            <w:r>
              <w:rPr>
                <w:rFonts w:hint="eastAsia" w:ascii="宋体" w:hAnsi="宋体"/>
                <w:sz w:val="22"/>
                <w:szCs w:val="22"/>
                <w:highlight w:val="none"/>
              </w:rPr>
              <w:t>说明</w:t>
            </w:r>
          </w:p>
        </w:tc>
      </w:tr>
      <w:tr w14:paraId="3AD2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8" w:type="dxa"/>
            <w:shd w:val="clear" w:color="auto" w:fill="auto"/>
            <w:vAlign w:val="center"/>
          </w:tcPr>
          <w:p w14:paraId="3EF58755">
            <w:pPr>
              <w:numPr>
                <w:ilvl w:val="0"/>
                <w:numId w:val="6"/>
              </w:numPr>
              <w:rPr>
                <w:rFonts w:ascii="宋体" w:hAnsi="宋体"/>
                <w:sz w:val="22"/>
                <w:szCs w:val="22"/>
                <w:highlight w:val="none"/>
              </w:rPr>
            </w:pPr>
          </w:p>
        </w:tc>
        <w:tc>
          <w:tcPr>
            <w:tcW w:w="3631" w:type="dxa"/>
            <w:shd w:val="clear" w:color="auto" w:fill="auto"/>
            <w:vAlign w:val="center"/>
          </w:tcPr>
          <w:p w14:paraId="598AA335">
            <w:pPr>
              <w:rPr>
                <w:rFonts w:hint="default" w:ascii="宋体" w:hAnsi="宋体" w:eastAsia="宋体"/>
                <w:sz w:val="22"/>
                <w:szCs w:val="22"/>
                <w:highlight w:val="none"/>
                <w:lang w:val="en-US" w:eastAsia="zh-CN"/>
              </w:rPr>
            </w:pPr>
            <w:r>
              <w:rPr>
                <w:rFonts w:hint="eastAsia" w:ascii="宋体" w:hAnsi="宋体" w:cs="楷体"/>
                <w:kern w:val="0"/>
                <w:sz w:val="22"/>
                <w:szCs w:val="22"/>
                <w:highlight w:val="none"/>
              </w:rPr>
              <w:t>资格声明书</w:t>
            </w:r>
          </w:p>
        </w:tc>
        <w:tc>
          <w:tcPr>
            <w:tcW w:w="5659" w:type="dxa"/>
            <w:shd w:val="clear" w:color="auto" w:fill="auto"/>
            <w:vAlign w:val="center"/>
          </w:tcPr>
          <w:p w14:paraId="7E20A8F4">
            <w:pPr>
              <w:rPr>
                <w:rFonts w:ascii="宋体" w:hAnsi="宋体"/>
                <w:highlight w:val="none"/>
              </w:rPr>
            </w:pPr>
            <w:r>
              <w:rPr>
                <w:rFonts w:ascii="宋体" w:hAnsi="宋体"/>
                <w:sz w:val="22"/>
                <w:szCs w:val="22"/>
                <w:highlight w:val="none"/>
              </w:rPr>
              <w:t>投标人应按照招标文件规定格式及内容提供。</w:t>
            </w:r>
          </w:p>
        </w:tc>
      </w:tr>
      <w:tr w14:paraId="627E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8" w:type="dxa"/>
            <w:shd w:val="clear" w:color="auto" w:fill="auto"/>
            <w:vAlign w:val="center"/>
          </w:tcPr>
          <w:p w14:paraId="3DD3E56F">
            <w:pPr>
              <w:numPr>
                <w:ilvl w:val="0"/>
                <w:numId w:val="6"/>
              </w:numPr>
              <w:rPr>
                <w:rFonts w:ascii="宋体" w:hAnsi="宋体"/>
                <w:sz w:val="22"/>
                <w:szCs w:val="22"/>
                <w:highlight w:val="none"/>
              </w:rPr>
            </w:pPr>
          </w:p>
        </w:tc>
        <w:tc>
          <w:tcPr>
            <w:tcW w:w="3631" w:type="dxa"/>
            <w:shd w:val="clear" w:color="auto" w:fill="auto"/>
            <w:vAlign w:val="center"/>
          </w:tcPr>
          <w:p w14:paraId="7BAE1B7F">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5659" w:type="dxa"/>
            <w:shd w:val="clear" w:color="auto" w:fill="auto"/>
            <w:vAlign w:val="center"/>
          </w:tcPr>
          <w:p w14:paraId="35047998">
            <w:pPr>
              <w:rPr>
                <w:rFonts w:ascii="宋体" w:hAnsi="宋体"/>
                <w:highlight w:val="none"/>
              </w:rPr>
            </w:pPr>
            <w:r>
              <w:rPr>
                <w:rFonts w:ascii="宋体" w:hAnsi="宋体"/>
                <w:sz w:val="22"/>
                <w:szCs w:val="22"/>
                <w:highlight w:val="none"/>
              </w:rPr>
              <w:t>投标人应按照招标文件规定及</w:t>
            </w:r>
            <w:r>
              <w:rPr>
                <w:rFonts w:hint="eastAsia" w:ascii="宋体" w:hAnsi="宋体"/>
                <w:sz w:val="22"/>
                <w:szCs w:val="22"/>
                <w:highlight w:val="none"/>
              </w:rPr>
              <w:t>要求</w:t>
            </w:r>
            <w:r>
              <w:rPr>
                <w:rFonts w:ascii="宋体" w:hAnsi="宋体"/>
                <w:sz w:val="22"/>
                <w:szCs w:val="22"/>
                <w:highlight w:val="none"/>
              </w:rPr>
              <w:t>提供。</w:t>
            </w:r>
          </w:p>
        </w:tc>
      </w:tr>
      <w:tr w14:paraId="1170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8" w:type="dxa"/>
            <w:shd w:val="clear" w:color="auto" w:fill="auto"/>
            <w:vAlign w:val="center"/>
          </w:tcPr>
          <w:p w14:paraId="36C2E2E3">
            <w:pPr>
              <w:numPr>
                <w:ilvl w:val="0"/>
                <w:numId w:val="6"/>
              </w:numPr>
              <w:rPr>
                <w:rFonts w:ascii="宋体" w:hAnsi="宋体"/>
                <w:sz w:val="22"/>
                <w:szCs w:val="22"/>
                <w:highlight w:val="none"/>
              </w:rPr>
            </w:pPr>
          </w:p>
        </w:tc>
        <w:tc>
          <w:tcPr>
            <w:tcW w:w="3631" w:type="dxa"/>
            <w:shd w:val="clear" w:color="auto" w:fill="auto"/>
            <w:vAlign w:val="center"/>
          </w:tcPr>
          <w:p w14:paraId="690A654F">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5659" w:type="dxa"/>
            <w:shd w:val="clear" w:color="auto" w:fill="auto"/>
            <w:vAlign w:val="center"/>
          </w:tcPr>
          <w:p w14:paraId="3EB83086">
            <w:pPr>
              <w:widowControl/>
              <w:wordWrap w:val="0"/>
              <w:rPr>
                <w:rFonts w:ascii="宋体" w:hAnsi="宋体"/>
                <w:highlight w:val="none"/>
              </w:rPr>
            </w:pPr>
            <w:r>
              <w:rPr>
                <w:rFonts w:hint="eastAsia" w:ascii="宋体" w:hAnsi="宋体" w:cs="宋体"/>
                <w:spacing w:val="6"/>
                <w:sz w:val="22"/>
                <w:szCs w:val="22"/>
                <w:highlight w:val="none"/>
              </w:rPr>
              <w:t>无。</w:t>
            </w:r>
          </w:p>
        </w:tc>
      </w:tr>
      <w:tr w14:paraId="6868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8" w:type="dxa"/>
            <w:shd w:val="clear" w:color="auto" w:fill="auto"/>
            <w:vAlign w:val="center"/>
          </w:tcPr>
          <w:p w14:paraId="792AF39D">
            <w:pPr>
              <w:numPr>
                <w:ilvl w:val="0"/>
                <w:numId w:val="6"/>
              </w:numPr>
              <w:rPr>
                <w:rFonts w:ascii="宋体" w:hAnsi="宋体"/>
                <w:sz w:val="22"/>
                <w:szCs w:val="22"/>
                <w:highlight w:val="none"/>
              </w:rPr>
            </w:pPr>
          </w:p>
        </w:tc>
        <w:tc>
          <w:tcPr>
            <w:tcW w:w="3631" w:type="dxa"/>
            <w:shd w:val="clear" w:color="auto" w:fill="auto"/>
            <w:vAlign w:val="center"/>
          </w:tcPr>
          <w:p w14:paraId="7BDFB6F5">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5659" w:type="dxa"/>
            <w:shd w:val="clear" w:color="auto" w:fill="auto"/>
            <w:vAlign w:val="center"/>
          </w:tcPr>
          <w:p w14:paraId="59D33B3D">
            <w:pPr>
              <w:widowControl/>
              <w:wordWrap w:val="0"/>
              <w:rPr>
                <w:rFonts w:ascii="宋体" w:hAnsi="宋体"/>
                <w:sz w:val="22"/>
                <w:szCs w:val="22"/>
                <w:highlight w:val="none"/>
              </w:rPr>
            </w:pPr>
            <w:r>
              <w:rPr>
                <w:rFonts w:hint="eastAsia" w:ascii="宋体" w:hAnsi="宋体" w:cs="宋体"/>
                <w:spacing w:val="6"/>
                <w:sz w:val="22"/>
                <w:szCs w:val="22"/>
                <w:highlight w:val="none"/>
              </w:rPr>
              <w:t>无。</w:t>
            </w:r>
          </w:p>
        </w:tc>
      </w:tr>
      <w:tr w14:paraId="5798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608" w:type="dxa"/>
            <w:shd w:val="clear" w:color="auto" w:fill="auto"/>
            <w:vAlign w:val="center"/>
          </w:tcPr>
          <w:p w14:paraId="74D6A995">
            <w:pPr>
              <w:numPr>
                <w:ilvl w:val="0"/>
                <w:numId w:val="6"/>
              </w:numPr>
              <w:rPr>
                <w:rFonts w:ascii="宋体" w:hAnsi="宋体"/>
                <w:sz w:val="22"/>
                <w:szCs w:val="22"/>
                <w:highlight w:val="none"/>
              </w:rPr>
            </w:pPr>
          </w:p>
        </w:tc>
        <w:tc>
          <w:tcPr>
            <w:tcW w:w="3631" w:type="dxa"/>
            <w:shd w:val="clear" w:color="auto" w:fill="auto"/>
            <w:vAlign w:val="center"/>
          </w:tcPr>
          <w:p w14:paraId="72E63A17">
            <w:pPr>
              <w:rPr>
                <w:rFonts w:ascii="宋体" w:hAnsi="宋体" w:cs="楷体"/>
                <w:kern w:val="0"/>
                <w:sz w:val="22"/>
                <w:szCs w:val="22"/>
                <w:highlight w:val="none"/>
              </w:rPr>
            </w:pPr>
            <w:r>
              <w:rPr>
                <w:rFonts w:hint="eastAsia" w:ascii="宋体" w:hAnsi="宋体" w:cs="楷体"/>
                <w:kern w:val="0"/>
                <w:sz w:val="22"/>
                <w:szCs w:val="22"/>
                <w:highlight w:val="none"/>
              </w:rPr>
              <w:t>投标人信用记录</w:t>
            </w:r>
          </w:p>
        </w:tc>
        <w:tc>
          <w:tcPr>
            <w:tcW w:w="5659" w:type="dxa"/>
            <w:shd w:val="clear" w:color="auto" w:fill="auto"/>
            <w:vAlign w:val="center"/>
          </w:tcPr>
          <w:p w14:paraId="194ED1A2">
            <w:pPr>
              <w:widowControl/>
              <w:wordWrap w:val="0"/>
              <w:rPr>
                <w:rFonts w:ascii="宋体" w:hAnsi="宋体"/>
                <w:sz w:val="22"/>
                <w:szCs w:val="22"/>
                <w:highlight w:val="none"/>
              </w:rPr>
            </w:pPr>
            <w:r>
              <w:rPr>
                <w:rFonts w:hint="eastAsia" w:ascii="宋体" w:hAnsi="宋体" w:cs="宋体"/>
                <w:b/>
                <w:bCs/>
                <w:spacing w:val="6"/>
                <w:sz w:val="22"/>
                <w:szCs w:val="22"/>
                <w:highlight w:val="none"/>
              </w:rPr>
              <w:t>根据财库[2016]125号《</w:t>
            </w:r>
            <w:r>
              <w:rPr>
                <w:rFonts w:hint="eastAsia" w:ascii="宋体" w:hAnsi="宋体" w:cs="宋体"/>
                <w:b/>
                <w:bCs/>
                <w:spacing w:val="6"/>
                <w:sz w:val="22"/>
                <w:highlight w:val="none"/>
              </w:rPr>
              <w:t>关于在政府采购活动中查询及使用信用记录有关问题的通知》要求，在资格审查时对投标人信用记录进行查询并甄别。</w:t>
            </w:r>
          </w:p>
          <w:p w14:paraId="22450139">
            <w:pPr>
              <w:widowControl/>
              <w:wordWrap w:val="0"/>
              <w:rPr>
                <w:rFonts w:ascii="宋体" w:hAnsi="宋体"/>
                <w:sz w:val="22"/>
                <w:szCs w:val="22"/>
                <w:highlight w:val="none"/>
              </w:rPr>
            </w:pPr>
            <w:r>
              <w:rPr>
                <w:rFonts w:hint="eastAsia" w:ascii="宋体" w:hAnsi="宋体"/>
                <w:sz w:val="22"/>
                <w:szCs w:val="22"/>
                <w:highlight w:val="none"/>
              </w:rPr>
              <w:t>1、投标人信用信息查询的查询渠道：“信用中国”(www.creditchina.gov.cn)；“中国政府采购网”（www.ccgp.gov.cn）。</w:t>
            </w:r>
          </w:p>
          <w:p w14:paraId="6378AFB1">
            <w:pPr>
              <w:widowControl/>
              <w:wordWrap w:val="0"/>
              <w:rPr>
                <w:rFonts w:ascii="宋体" w:hAnsi="宋体" w:cs="宋体"/>
                <w:kern w:val="0"/>
                <w:sz w:val="22"/>
                <w:szCs w:val="22"/>
                <w:highlight w:val="none"/>
              </w:rPr>
            </w:pPr>
            <w:r>
              <w:rPr>
                <w:rFonts w:hint="eastAsia" w:ascii="宋体" w:hAnsi="宋体"/>
                <w:sz w:val="22"/>
                <w:szCs w:val="22"/>
                <w:highlight w:val="none"/>
              </w:rPr>
              <w:t>2、投标人信用信息查询</w:t>
            </w:r>
            <w:r>
              <w:rPr>
                <w:rFonts w:ascii="宋体" w:hAnsi="宋体"/>
                <w:sz w:val="22"/>
                <w:szCs w:val="22"/>
                <w:highlight w:val="none"/>
              </w:rPr>
              <w:t>截止时点</w:t>
            </w:r>
            <w:r>
              <w:rPr>
                <w:rFonts w:hint="eastAsia" w:ascii="宋体" w:hAnsi="宋体"/>
                <w:sz w:val="22"/>
                <w:szCs w:val="22"/>
                <w:highlight w:val="none"/>
              </w:rPr>
              <w:t>：投标截止时间。</w:t>
            </w:r>
          </w:p>
          <w:p w14:paraId="4998B161">
            <w:pPr>
              <w:widowControl/>
              <w:wordWrap w:val="0"/>
              <w:rPr>
                <w:rFonts w:ascii="宋体" w:hAnsi="宋体"/>
                <w:sz w:val="22"/>
                <w:szCs w:val="22"/>
                <w:highlight w:val="none"/>
              </w:rPr>
            </w:pPr>
            <w:r>
              <w:rPr>
                <w:rFonts w:hint="eastAsia" w:ascii="宋体" w:hAnsi="宋体"/>
                <w:sz w:val="22"/>
                <w:szCs w:val="22"/>
                <w:highlight w:val="none"/>
              </w:rPr>
              <w:t>3、投标人信用信息查询记录和证据留存的具体方式：</w:t>
            </w:r>
            <w:r>
              <w:rPr>
                <w:rFonts w:hint="eastAsia" w:ascii="宋体" w:hAnsi="宋体"/>
                <w:b/>
                <w:sz w:val="22"/>
                <w:szCs w:val="22"/>
                <w:highlight w:val="none"/>
              </w:rPr>
              <w:t>网页截图打印</w:t>
            </w:r>
            <w:r>
              <w:rPr>
                <w:rFonts w:hint="eastAsia" w:ascii="宋体" w:hAnsi="宋体"/>
                <w:sz w:val="22"/>
                <w:szCs w:val="22"/>
                <w:highlight w:val="none"/>
              </w:rPr>
              <w:t>；</w:t>
            </w:r>
          </w:p>
          <w:p w14:paraId="00E10290">
            <w:pPr>
              <w:widowControl/>
              <w:wordWrap w:val="0"/>
              <w:rPr>
                <w:rFonts w:ascii="宋体" w:hAnsi="宋体" w:cs="楷体"/>
                <w:b/>
                <w:kern w:val="0"/>
                <w:sz w:val="22"/>
                <w:szCs w:val="22"/>
                <w:highlight w:val="none"/>
              </w:rPr>
            </w:pPr>
            <w:r>
              <w:rPr>
                <w:rFonts w:hint="eastAsia" w:ascii="宋体" w:hAnsi="宋体"/>
                <w:sz w:val="22"/>
                <w:szCs w:val="22"/>
                <w:highlight w:val="none"/>
              </w:rPr>
              <w:t>4、信用信息的使用规则：</w:t>
            </w:r>
            <w:r>
              <w:rPr>
                <w:rFonts w:hint="eastAsia" w:ascii="宋体" w:hAnsi="宋体" w:cs="Courier New"/>
                <w:sz w:val="22"/>
                <w:szCs w:val="22"/>
                <w:highlight w:val="none"/>
              </w:rPr>
              <w:t>被“信用中国”网站列入失信被执行人、重大税收违法案件当事人名单，或被“中国政府采购网”列入政府采购严重违法失信行为记录名单中</w:t>
            </w:r>
            <w:r>
              <w:rPr>
                <w:rFonts w:hint="eastAsia" w:ascii="宋体" w:hAnsi="宋体" w:cs="宋体"/>
                <w:kern w:val="0"/>
                <w:sz w:val="22"/>
                <w:szCs w:val="22"/>
                <w:highlight w:val="none"/>
              </w:rPr>
              <w:t>禁止参加政府采购活动期间的</w:t>
            </w:r>
            <w:r>
              <w:rPr>
                <w:rFonts w:hint="eastAsia" w:ascii="宋体" w:hAnsi="宋体" w:cs="Courier New"/>
                <w:sz w:val="22"/>
                <w:szCs w:val="22"/>
                <w:highlight w:val="none"/>
              </w:rPr>
              <w:t>，</w:t>
            </w:r>
            <w:r>
              <w:rPr>
                <w:rFonts w:hint="eastAsia" w:ascii="宋体" w:hAnsi="宋体" w:cs="Courier New"/>
                <w:b/>
                <w:sz w:val="22"/>
                <w:szCs w:val="22"/>
                <w:highlight w:val="none"/>
              </w:rPr>
              <w:t>其资格审查不合格。</w:t>
            </w:r>
            <w:r>
              <w:rPr>
                <w:rFonts w:hint="eastAsia" w:ascii="宋体" w:hAnsi="宋体" w:cs="楷体"/>
                <w:b/>
                <w:kern w:val="0"/>
                <w:sz w:val="22"/>
                <w:szCs w:val="22"/>
                <w:highlight w:val="none"/>
              </w:rPr>
              <w:t>如相关失信记录已失效，投标人须提供相关证明资料。</w:t>
            </w:r>
          </w:p>
        </w:tc>
      </w:tr>
    </w:tbl>
    <w:p w14:paraId="0888CD99">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有下列情形之一的，资格审查不合格</w:t>
      </w:r>
      <w:r>
        <w:rPr>
          <w:rFonts w:hint="eastAsia" w:ascii="宋体" w:hAnsi="宋体" w:cs="Courier New"/>
          <w:sz w:val="22"/>
          <w:szCs w:val="22"/>
          <w:highlight w:val="none"/>
        </w:rPr>
        <w:t>，其</w:t>
      </w:r>
      <w:r>
        <w:rPr>
          <w:rFonts w:hint="eastAsia" w:ascii="宋体" w:hAnsi="宋体" w:cs="Courier New"/>
          <w:b/>
          <w:bCs/>
          <w:sz w:val="22"/>
          <w:szCs w:val="22"/>
          <w:highlight w:val="none"/>
        </w:rPr>
        <w:t>投标无效</w:t>
      </w:r>
      <w:r>
        <w:rPr>
          <w:rFonts w:hint="eastAsia" w:ascii="宋体" w:hAnsi="宋体" w:cs="Courier New"/>
          <w:sz w:val="22"/>
          <w:szCs w:val="22"/>
          <w:highlight w:val="none"/>
        </w:rPr>
        <w:t>不再进入评审</w:t>
      </w:r>
      <w:r>
        <w:rPr>
          <w:rFonts w:ascii="宋体" w:hAnsi="宋体" w:cs="Courier New"/>
          <w:sz w:val="22"/>
          <w:szCs w:val="22"/>
          <w:highlight w:val="none"/>
        </w:rPr>
        <w:t>：</w:t>
      </w:r>
    </w:p>
    <w:p w14:paraId="147A2317">
      <w:pPr>
        <w:numPr>
          <w:ilvl w:val="0"/>
          <w:numId w:val="7"/>
        </w:numPr>
        <w:tabs>
          <w:tab w:val="left" w:pos="735"/>
          <w:tab w:val="clear" w:pos="420"/>
        </w:tabs>
        <w:spacing w:line="360" w:lineRule="auto"/>
        <w:ind w:left="734" w:leftChars="200" w:hanging="314" w:hangingChars="143"/>
        <w:rPr>
          <w:rFonts w:ascii="宋体" w:hAnsi="宋体"/>
          <w:sz w:val="22"/>
          <w:szCs w:val="22"/>
          <w:highlight w:val="none"/>
        </w:rPr>
      </w:pPr>
      <w:r>
        <w:rPr>
          <w:rFonts w:ascii="宋体" w:hAnsi="宋体"/>
          <w:sz w:val="22"/>
          <w:szCs w:val="22"/>
          <w:highlight w:val="none"/>
        </w:rPr>
        <w:t>不具备招标文件中规定的资格要求；</w:t>
      </w:r>
    </w:p>
    <w:p w14:paraId="2E292D1E">
      <w:pPr>
        <w:numPr>
          <w:ilvl w:val="0"/>
          <w:numId w:val="7"/>
        </w:numPr>
        <w:tabs>
          <w:tab w:val="left" w:pos="735"/>
          <w:tab w:val="clear" w:pos="420"/>
        </w:tabs>
        <w:spacing w:line="360" w:lineRule="auto"/>
        <w:ind w:left="734" w:leftChars="200" w:hanging="314" w:hangingChars="143"/>
        <w:rPr>
          <w:rFonts w:ascii="宋体" w:hAnsi="宋体"/>
          <w:sz w:val="22"/>
          <w:szCs w:val="22"/>
          <w:highlight w:val="none"/>
        </w:rPr>
      </w:pPr>
      <w:bookmarkStart w:id="147" w:name="_Hlk533611759"/>
      <w:r>
        <w:rPr>
          <w:rFonts w:hint="eastAsia" w:ascii="宋体" w:hAnsi="宋体"/>
          <w:sz w:val="22"/>
          <w:szCs w:val="22"/>
          <w:highlight w:val="none"/>
        </w:rPr>
        <w:t>未按照招标文件规定提交投标人的资格文件或提供的资格文件不全的</w:t>
      </w:r>
      <w:bookmarkEnd w:id="147"/>
      <w:r>
        <w:rPr>
          <w:rFonts w:hint="eastAsia" w:ascii="宋体" w:hAnsi="宋体"/>
          <w:sz w:val="22"/>
          <w:szCs w:val="22"/>
          <w:highlight w:val="none"/>
        </w:rPr>
        <w:t>。</w:t>
      </w:r>
    </w:p>
    <w:p w14:paraId="5E70A0EB">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资格审查合格的投标人不足三家的，不进行评标。</w:t>
      </w:r>
    </w:p>
    <w:p w14:paraId="061DF1F6">
      <w:pPr>
        <w:numPr>
          <w:ilvl w:val="0"/>
          <w:numId w:val="2"/>
        </w:numPr>
        <w:tabs>
          <w:tab w:val="left" w:pos="525"/>
          <w:tab w:val="left" w:pos="900"/>
        </w:tabs>
        <w:spacing w:line="360" w:lineRule="auto"/>
        <w:rPr>
          <w:rFonts w:ascii="宋体" w:hAnsi="宋体" w:cs="Courier New"/>
          <w:sz w:val="22"/>
          <w:szCs w:val="22"/>
          <w:highlight w:val="none"/>
        </w:rPr>
      </w:pPr>
      <w:bookmarkStart w:id="148" w:name="_Toc205703107"/>
      <w:bookmarkStart w:id="149" w:name="_Toc209261370"/>
      <w:bookmarkStart w:id="150" w:name="_Toc207609186"/>
      <w:bookmarkStart w:id="151" w:name="_Toc214365795"/>
      <w:bookmarkStart w:id="152" w:name="_Toc223717609"/>
      <w:bookmarkStart w:id="153" w:name="_Toc219538618"/>
      <w:bookmarkStart w:id="154" w:name="_Toc205877457"/>
      <w:bookmarkStart w:id="155" w:name="_Toc209250724"/>
      <w:bookmarkStart w:id="156" w:name="_Toc204578580"/>
      <w:bookmarkStart w:id="157" w:name="_Toc223933226"/>
      <w:bookmarkStart w:id="158" w:name="_Toc209251132"/>
      <w:bookmarkStart w:id="159" w:name="_Toc205877562"/>
      <w:bookmarkStart w:id="160" w:name="_Toc227489892"/>
      <w:bookmarkStart w:id="161" w:name="_Toc209332638"/>
      <w:bookmarkStart w:id="162" w:name="_Toc227057038"/>
      <w:bookmarkStart w:id="163" w:name="_Toc217460690"/>
      <w:bookmarkStart w:id="164" w:name="_Toc205004973"/>
      <w:bookmarkStart w:id="165" w:name="_Toc227056851"/>
      <w:bookmarkStart w:id="166" w:name="_Toc216667825"/>
      <w:bookmarkStart w:id="167" w:name="_Toc209261437"/>
      <w:bookmarkStart w:id="168" w:name="_Toc210879713"/>
      <w:bookmarkStart w:id="169" w:name="_Toc218041731"/>
      <w:bookmarkStart w:id="170" w:name="_Toc204491322"/>
      <w:bookmarkStart w:id="171" w:name="_Toc215415535"/>
      <w:bookmarkStart w:id="172" w:name="_Toc205005291"/>
      <w:r>
        <w:rPr>
          <w:rFonts w:ascii="宋体" w:hAnsi="宋体" w:cs="Courier New"/>
          <w:sz w:val="22"/>
          <w:szCs w:val="22"/>
          <w:highlight w:val="none"/>
        </w:rPr>
        <w:t>评标</w:t>
      </w:r>
    </w:p>
    <w:p w14:paraId="63D7B8F7">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评标委员会</w:t>
      </w:r>
    </w:p>
    <w:p w14:paraId="1092E19B">
      <w:pPr>
        <w:pStyle w:val="221"/>
        <w:numPr>
          <w:ilvl w:val="0"/>
          <w:numId w:val="8"/>
        </w:numPr>
        <w:tabs>
          <w:tab w:val="left" w:pos="525"/>
        </w:tabs>
        <w:spacing w:line="360" w:lineRule="auto"/>
        <w:ind w:firstLineChars="0"/>
        <w:rPr>
          <w:rFonts w:ascii="宋体" w:hAnsi="宋体"/>
          <w:bCs/>
          <w:sz w:val="22"/>
          <w:szCs w:val="22"/>
          <w:highlight w:val="none"/>
        </w:rPr>
      </w:pPr>
      <w:r>
        <w:rPr>
          <w:rFonts w:hint="eastAsia" w:ascii="宋体" w:hAnsi="宋体"/>
          <w:bCs/>
          <w:sz w:val="22"/>
          <w:szCs w:val="22"/>
          <w:highlight w:val="none"/>
        </w:rPr>
        <w:t>采购人依法组建评标委员会，评标委员会的成员在评标过程中必须严格遵守相关法律、法规的规定。</w:t>
      </w:r>
    </w:p>
    <w:p w14:paraId="119AFB40">
      <w:pPr>
        <w:pStyle w:val="221"/>
        <w:numPr>
          <w:ilvl w:val="0"/>
          <w:numId w:val="8"/>
        </w:numPr>
        <w:tabs>
          <w:tab w:val="left" w:pos="525"/>
        </w:tabs>
        <w:spacing w:line="360" w:lineRule="auto"/>
        <w:ind w:firstLineChars="0"/>
        <w:rPr>
          <w:rFonts w:ascii="宋体" w:hAnsi="宋体" w:cs="Courier New"/>
          <w:bCs/>
          <w:sz w:val="22"/>
          <w:szCs w:val="22"/>
          <w:highlight w:val="none"/>
        </w:rPr>
      </w:pPr>
      <w:r>
        <w:rPr>
          <w:rFonts w:hint="eastAsia" w:ascii="宋体" w:hAnsi="宋体" w:cs="Courier New"/>
          <w:bCs/>
          <w:sz w:val="22"/>
          <w:szCs w:val="22"/>
          <w:highlight w:val="none"/>
        </w:rPr>
        <w:t>评标委员会负责具体评标事务，评标应遵守下列评标纪律：</w:t>
      </w:r>
    </w:p>
    <w:p w14:paraId="59DE67FA">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①评标情况不得私自外泄，有关信息由招标采购单位统一对外发布。</w:t>
      </w:r>
    </w:p>
    <w:p w14:paraId="0D805B82">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②对招标采购单位或投标人提供的要求保密的资料，不得摘记翻印和外传。</w:t>
      </w:r>
    </w:p>
    <w:p w14:paraId="15E54DDE">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③不得收受投标人或有关人员的任何礼物，不得串联鼓动其他人袒护某投标人。若与投标人存在利害关系，则应主动声明并回避。</w:t>
      </w:r>
    </w:p>
    <w:p w14:paraId="5E5387DB">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④全体评委应按照招标文件规定进行评标，一切认定事项应查有实据且不得弄虚作假。</w:t>
      </w:r>
    </w:p>
    <w:p w14:paraId="78798F07">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⑤评标中应充分发扬民主，推荐中标候选人或确定中标人后要服从评标报告。</w:t>
      </w:r>
    </w:p>
    <w:p w14:paraId="726A8438">
      <w:pPr>
        <w:tabs>
          <w:tab w:val="left" w:pos="525"/>
        </w:tabs>
        <w:spacing w:line="360" w:lineRule="auto"/>
        <w:ind w:firstLine="221" w:firstLineChars="100"/>
        <w:rPr>
          <w:rFonts w:ascii="宋体" w:hAnsi="宋体"/>
          <w:b/>
          <w:sz w:val="22"/>
          <w:szCs w:val="22"/>
          <w:highlight w:val="none"/>
        </w:rPr>
      </w:pPr>
      <w:r>
        <w:rPr>
          <w:rFonts w:hint="eastAsia" w:ascii="宋体" w:hAnsi="宋体"/>
          <w:b/>
          <w:sz w:val="22"/>
          <w:szCs w:val="22"/>
          <w:highlight w:val="none"/>
        </w:rPr>
        <w:t>※对违反评标纪律的评委，将上报监督部门，情节严重的将取消其评委资格，对评标工作造成严重损失者将予以通报批评乃至追究法律责任。</w:t>
      </w:r>
    </w:p>
    <w:p w14:paraId="6756879B">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评标过程的保密性</w:t>
      </w:r>
    </w:p>
    <w:p w14:paraId="34007505">
      <w:pPr>
        <w:tabs>
          <w:tab w:val="left" w:pos="525"/>
        </w:tabs>
        <w:spacing w:line="360" w:lineRule="auto"/>
        <w:ind w:left="527"/>
        <w:rPr>
          <w:rFonts w:ascii="宋体" w:hAnsi="宋体" w:cs="Courier New"/>
          <w:bCs/>
          <w:sz w:val="22"/>
          <w:szCs w:val="22"/>
          <w:highlight w:val="none"/>
        </w:rPr>
      </w:pPr>
      <w:r>
        <w:rPr>
          <w:rFonts w:hint="eastAsia" w:ascii="宋体" w:hAnsi="宋体"/>
          <w:bCs/>
          <w:sz w:val="22"/>
          <w:szCs w:val="22"/>
          <w:highlight w:val="none"/>
        </w:rPr>
        <w:t>开标后直至向中标人授予合同时止，凡与评审有关的资料均不得向投标人及与评标无关人员透露。如果投标人在评标过程中试图向</w:t>
      </w:r>
      <w:bookmarkStart w:id="173" w:name="_Hlk36488786"/>
      <w:r>
        <w:rPr>
          <w:rFonts w:hint="eastAsia" w:ascii="宋体" w:hAnsi="宋体"/>
          <w:bCs/>
          <w:sz w:val="22"/>
          <w:szCs w:val="22"/>
          <w:highlight w:val="none"/>
        </w:rPr>
        <w:t>采购人、采购代理机构或</w:t>
      </w:r>
      <w:bookmarkEnd w:id="173"/>
      <w:bookmarkStart w:id="174" w:name="_Hlk36488792"/>
      <w:r>
        <w:rPr>
          <w:rFonts w:hint="eastAsia" w:ascii="宋体" w:hAnsi="宋体"/>
          <w:sz w:val="22"/>
          <w:szCs w:val="22"/>
          <w:highlight w:val="none"/>
        </w:rPr>
        <w:t>评标委员会</w:t>
      </w:r>
      <w:bookmarkEnd w:id="174"/>
      <w:r>
        <w:rPr>
          <w:rFonts w:hint="eastAsia" w:ascii="宋体" w:hAnsi="宋体"/>
          <w:bCs/>
          <w:sz w:val="22"/>
          <w:szCs w:val="22"/>
          <w:highlight w:val="none"/>
        </w:rPr>
        <w:t>施加影响，其投标将被拒绝。</w:t>
      </w:r>
    </w:p>
    <w:p w14:paraId="4752E69B">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符合性审查</w:t>
      </w:r>
    </w:p>
    <w:p w14:paraId="7A910C59">
      <w:pPr>
        <w:numPr>
          <w:ilvl w:val="0"/>
          <w:numId w:val="9"/>
        </w:numPr>
        <w:spacing w:line="360" w:lineRule="auto"/>
        <w:ind w:firstLine="0"/>
        <w:rPr>
          <w:rFonts w:ascii="宋体" w:hAnsi="宋体"/>
          <w:sz w:val="22"/>
          <w:szCs w:val="22"/>
          <w:highlight w:val="none"/>
        </w:rPr>
      </w:pPr>
      <w:r>
        <w:rPr>
          <w:rFonts w:hint="eastAsia" w:ascii="宋体" w:hAnsi="宋体"/>
          <w:sz w:val="22"/>
          <w:szCs w:val="22"/>
          <w:highlight w:val="none"/>
        </w:rPr>
        <w:t>评标委员会依据招标文件的实质性要求，对通过资格审查的投标文件进行符合性审查，以确定其是否满足招标文件的实质性要求。</w:t>
      </w:r>
    </w:p>
    <w:p w14:paraId="6BEED04F">
      <w:pPr>
        <w:numPr>
          <w:ilvl w:val="0"/>
          <w:numId w:val="9"/>
        </w:numPr>
        <w:spacing w:line="360" w:lineRule="auto"/>
        <w:ind w:firstLine="0"/>
        <w:rPr>
          <w:rFonts w:ascii="宋体" w:hAnsi="宋体"/>
          <w:sz w:val="22"/>
          <w:szCs w:val="22"/>
          <w:highlight w:val="none"/>
        </w:rPr>
      </w:pPr>
      <w:r>
        <w:rPr>
          <w:rFonts w:hint="eastAsia" w:ascii="宋体" w:hAnsi="宋体"/>
          <w:sz w:val="22"/>
          <w:szCs w:val="22"/>
          <w:highlight w:val="none"/>
        </w:rPr>
        <w:t>满足招标文件的实质性要求指投标文件对招标文件实质性要求的响应不存在重大偏差或保留。</w:t>
      </w:r>
      <w:r>
        <w:rPr>
          <w:rFonts w:ascii="宋体" w:hAnsi="宋体"/>
          <w:sz w:val="22"/>
          <w:szCs w:val="22"/>
          <w:highlight w:val="none"/>
        </w:rPr>
        <w:t>重大偏差或保留指影响到招标文件规定的合同范围、合同履行及影响关键质量和性能，或限制了</w:t>
      </w:r>
      <w:r>
        <w:rPr>
          <w:rFonts w:hint="eastAsia" w:ascii="宋体" w:hAnsi="宋体"/>
          <w:sz w:val="22"/>
          <w:szCs w:val="22"/>
          <w:highlight w:val="none"/>
        </w:rPr>
        <w:t>采购人</w:t>
      </w:r>
      <w:r>
        <w:rPr>
          <w:rFonts w:ascii="宋体" w:hAnsi="宋体"/>
          <w:sz w:val="22"/>
          <w:szCs w:val="22"/>
          <w:highlight w:val="none"/>
        </w:rPr>
        <w:t>的权利，或反对、减少投标人的义务，而纠正这些重大偏差或保留将影响到其他提交实质性响应投标的投标人的公平竞争地位。</w:t>
      </w:r>
    </w:p>
    <w:p w14:paraId="1CA93294">
      <w:pPr>
        <w:numPr>
          <w:ilvl w:val="0"/>
          <w:numId w:val="9"/>
        </w:numPr>
        <w:spacing w:line="360" w:lineRule="auto"/>
        <w:ind w:firstLine="0"/>
        <w:rPr>
          <w:rFonts w:ascii="宋体" w:hAnsi="宋体"/>
          <w:sz w:val="22"/>
          <w:szCs w:val="22"/>
          <w:highlight w:val="none"/>
        </w:rPr>
      </w:pPr>
      <w:r>
        <w:rPr>
          <w:rFonts w:hint="eastAsia" w:ascii="宋体" w:hAnsi="宋体"/>
          <w:b/>
          <w:sz w:val="22"/>
          <w:szCs w:val="22"/>
          <w:highlight w:val="none"/>
        </w:rPr>
        <w:t>评标委员会审查判断投标文件是否满足招标文件的实质性要求仅基于投标文件本身（通过“</w:t>
      </w:r>
      <w:r>
        <w:rPr>
          <w:rFonts w:hint="eastAsia" w:ascii="宋体" w:hAnsi="宋体"/>
          <w:b/>
          <w:sz w:val="22"/>
          <w:szCs w:val="22"/>
          <w:highlight w:val="none"/>
          <w:lang w:eastAsia="zh-CN"/>
        </w:rPr>
        <w:t>乐采云平台</w:t>
      </w:r>
      <w:r>
        <w:rPr>
          <w:rFonts w:hint="eastAsia" w:ascii="宋体" w:hAnsi="宋体"/>
          <w:b/>
          <w:sz w:val="22"/>
          <w:szCs w:val="22"/>
          <w:highlight w:val="none"/>
        </w:rPr>
        <w:t>”下载的投标文件）而不寻求其他的外部证据。</w:t>
      </w:r>
      <w:r>
        <w:rPr>
          <w:rFonts w:hint="eastAsia" w:ascii="宋体" w:hAnsi="宋体"/>
          <w:sz w:val="22"/>
          <w:szCs w:val="22"/>
          <w:highlight w:val="none"/>
        </w:rPr>
        <w:t>未满足招标文件实质性要求的投标文件将被评标委员会否决（即符合性审查不合格），被否决的投标文件不能通过补充、修改（澄清、说明或补正）等方式重新成为满足招标文件实质性要求的投标文件。</w:t>
      </w:r>
    </w:p>
    <w:p w14:paraId="7F7E5FCA">
      <w:pPr>
        <w:numPr>
          <w:ilvl w:val="0"/>
          <w:numId w:val="9"/>
        </w:numPr>
        <w:spacing w:line="360" w:lineRule="auto"/>
        <w:ind w:firstLine="0"/>
        <w:rPr>
          <w:rFonts w:ascii="宋体" w:hAnsi="宋体"/>
          <w:sz w:val="22"/>
          <w:szCs w:val="22"/>
          <w:highlight w:val="none"/>
        </w:rPr>
      </w:pPr>
      <w:r>
        <w:rPr>
          <w:rFonts w:hint="eastAsia" w:ascii="宋体" w:hAnsi="宋体"/>
          <w:sz w:val="22"/>
          <w:szCs w:val="22"/>
          <w:highlight w:val="none"/>
        </w:rPr>
        <w:t>评标委员会对所有投标人都执行相同的程序和标准。</w:t>
      </w:r>
    </w:p>
    <w:p w14:paraId="1BBF66EB">
      <w:pPr>
        <w:numPr>
          <w:ilvl w:val="0"/>
          <w:numId w:val="9"/>
        </w:numPr>
        <w:spacing w:line="360" w:lineRule="auto"/>
        <w:ind w:firstLine="0"/>
        <w:rPr>
          <w:rFonts w:ascii="宋体" w:hAnsi="宋体"/>
          <w:b/>
          <w:sz w:val="22"/>
          <w:szCs w:val="22"/>
          <w:highlight w:val="none"/>
        </w:rPr>
      </w:pPr>
      <w:r>
        <w:rPr>
          <w:rFonts w:hint="eastAsia" w:ascii="宋体" w:hAnsi="宋体"/>
          <w:b/>
          <w:sz w:val="22"/>
          <w:szCs w:val="22"/>
          <w:highlight w:val="none"/>
        </w:rPr>
        <w:t>有下列情形之一的，符合性审查不合格，对其作无效标处理：</w:t>
      </w:r>
    </w:p>
    <w:p w14:paraId="57EAED54">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违反招标文件中载明“</w:t>
      </w:r>
      <w:r>
        <w:rPr>
          <w:rFonts w:hint="eastAsia" w:ascii="宋体" w:hAnsi="宋体"/>
          <w:b/>
          <w:bCs/>
          <w:sz w:val="22"/>
          <w:szCs w:val="22"/>
          <w:highlight w:val="none"/>
        </w:rPr>
        <w:t>投标无效</w:t>
      </w:r>
      <w:r>
        <w:rPr>
          <w:rFonts w:hint="eastAsia" w:ascii="宋体" w:hAnsi="宋体"/>
          <w:bCs/>
          <w:sz w:val="22"/>
          <w:szCs w:val="22"/>
          <w:highlight w:val="none"/>
        </w:rPr>
        <w:t>”条款的规定；</w:t>
      </w:r>
    </w:p>
    <w:p w14:paraId="40987A3F">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w:t>
      </w:r>
      <w:r>
        <w:rPr>
          <w:rFonts w:ascii="宋体" w:hAnsi="宋体"/>
          <w:sz w:val="22"/>
          <w:szCs w:val="22"/>
          <w:highlight w:val="none"/>
        </w:rPr>
        <w:t>未按招标文件要求签署、盖章的</w:t>
      </w:r>
      <w:r>
        <w:rPr>
          <w:rFonts w:hint="eastAsia" w:ascii="宋体" w:hAnsi="宋体"/>
          <w:sz w:val="22"/>
          <w:szCs w:val="22"/>
          <w:highlight w:val="none"/>
        </w:rPr>
        <w:t>；</w:t>
      </w:r>
    </w:p>
    <w:p w14:paraId="4B293FDD">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明显不符合招标文件中主要采购内容、采购标准、采购要求的；</w:t>
      </w:r>
    </w:p>
    <w:p w14:paraId="04282CAE">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投标文件内容不全或关键字迹模糊无法辨认的；</w:t>
      </w:r>
    </w:p>
    <w:p w14:paraId="085C953D">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在资格文件或商务技术文件中出现投标报价的；</w:t>
      </w:r>
    </w:p>
    <w:p w14:paraId="1FDA0A86">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投标报价超过采购预算或最高限价</w:t>
      </w:r>
      <w:r>
        <w:rPr>
          <w:rFonts w:hint="eastAsia" w:ascii="宋体" w:hAnsi="宋体"/>
          <w:bCs/>
          <w:sz w:val="22"/>
          <w:szCs w:val="22"/>
          <w:highlight w:val="none"/>
          <w:lang w:val="en-US" w:eastAsia="zh-CN"/>
        </w:rPr>
        <w:t>或最高分项限价或费率要求</w:t>
      </w:r>
      <w:r>
        <w:rPr>
          <w:rFonts w:hint="eastAsia" w:ascii="宋体" w:hAnsi="宋体"/>
          <w:bCs/>
          <w:sz w:val="22"/>
          <w:szCs w:val="22"/>
          <w:highlight w:val="none"/>
        </w:rPr>
        <w:t>的；</w:t>
      </w:r>
    </w:p>
    <w:p w14:paraId="65AB7229">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投标文件附有采购人不能接受的条件；</w:t>
      </w:r>
    </w:p>
    <w:p w14:paraId="13FE74BD">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授权代表没有单位负责人合法、有效委托的；</w:t>
      </w:r>
    </w:p>
    <w:p w14:paraId="2782281B">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电子投标文件解密失败或未按时解密的，且未在规定时间内提交备份投标文件的；</w:t>
      </w:r>
    </w:p>
    <w:p w14:paraId="25D80599">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投标人提交的投标文件相关证书、材料经评标委员会认定有弄虚作假情况的；</w:t>
      </w:r>
    </w:p>
    <w:p w14:paraId="75D74DF0">
      <w:pPr>
        <w:numPr>
          <w:ilvl w:val="0"/>
          <w:numId w:val="1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评标委员会认定不符合法律、法规和招标文件中规定的其他实质性要求的。</w:t>
      </w:r>
    </w:p>
    <w:p w14:paraId="3DB063F5">
      <w:pPr>
        <w:numPr>
          <w:ilvl w:val="1"/>
          <w:numId w:val="2"/>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b/>
          <w:sz w:val="22"/>
          <w:szCs w:val="22"/>
          <w:highlight w:val="none"/>
        </w:rPr>
        <w:t>有下列情形之一的，视为投标人串通投标，其</w:t>
      </w:r>
      <w:r>
        <w:rPr>
          <w:rFonts w:hint="eastAsia" w:ascii="宋体" w:hAnsi="宋体" w:cs="Courier New"/>
          <w:b/>
          <w:bCs/>
          <w:sz w:val="22"/>
          <w:szCs w:val="22"/>
          <w:highlight w:val="none"/>
        </w:rPr>
        <w:t>投标无效</w:t>
      </w:r>
      <w:r>
        <w:rPr>
          <w:rFonts w:hint="eastAsia" w:ascii="宋体" w:hAnsi="宋体" w:cs="Courier New"/>
          <w:b/>
          <w:sz w:val="22"/>
          <w:szCs w:val="22"/>
          <w:highlight w:val="none"/>
        </w:rPr>
        <w:t>：</w:t>
      </w:r>
    </w:p>
    <w:p w14:paraId="5E3B9B38">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不同投标人的投标文件由同一单位或个人编制；</w:t>
      </w:r>
    </w:p>
    <w:p w14:paraId="512C3ABD">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不同投标人委托同一单位或个人办理投标事宜；</w:t>
      </w:r>
    </w:p>
    <w:p w14:paraId="065B212A">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不同投标人的投标文件载明的项目管理成员或联系人员为同一人；</w:t>
      </w:r>
    </w:p>
    <w:p w14:paraId="7650D919">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不同投标人的投标文件异常一致或投标报价呈规律性差异；</w:t>
      </w:r>
    </w:p>
    <w:p w14:paraId="45CA28B5">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不同投标人的投标文件相互混装；</w:t>
      </w:r>
    </w:p>
    <w:p w14:paraId="7824C053">
      <w:pPr>
        <w:numPr>
          <w:ilvl w:val="0"/>
          <w:numId w:val="1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有关法律、法规和规章及招标文件规定的其他串通投标情形。</w:t>
      </w:r>
    </w:p>
    <w:p w14:paraId="1680A5E5">
      <w:pPr>
        <w:numPr>
          <w:ilvl w:val="1"/>
          <w:numId w:val="2"/>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b/>
          <w:sz w:val="22"/>
          <w:szCs w:val="22"/>
          <w:highlight w:val="none"/>
        </w:rPr>
        <w:t>不同投标人之间存在以下利害关系并且存在影响政府采购公平竞争行为的，不得参加同一合同项下的政府采购活动，相关投标人的投标均作无效处理：</w:t>
      </w:r>
    </w:p>
    <w:p w14:paraId="6AD8358A">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法定代表人或负责人或实际控制人是夫妻关系；</w:t>
      </w:r>
    </w:p>
    <w:p w14:paraId="2552D480">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法定代表人或负责人或实际控制人是直系血亲关系；</w:t>
      </w:r>
    </w:p>
    <w:p w14:paraId="5FF5743B">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法定代表人或负责人或实际控制人存在三代以内旁系血亲关系；</w:t>
      </w:r>
    </w:p>
    <w:p w14:paraId="1D548E19">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法定代表人或负责人或实际控制人存在近姻亲关系；</w:t>
      </w:r>
    </w:p>
    <w:p w14:paraId="3B7407E8">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法定代表人或负责人或实际控制人存在股份控制或实际控制关系；</w:t>
      </w:r>
    </w:p>
    <w:p w14:paraId="089DB659">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存在共同直接或间接投资设立子公司、联营企业和合营企业情况；</w:t>
      </w:r>
    </w:p>
    <w:p w14:paraId="405A6DD7">
      <w:pPr>
        <w:numPr>
          <w:ilvl w:val="0"/>
          <w:numId w:val="12"/>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存在分级代理或代销关系、同一生产制造商关系、管理关系、重要业务（占主营业务收入50%以上）或重要财务往来关系（如融资）等其他实质性控制关系。</w:t>
      </w:r>
    </w:p>
    <w:p w14:paraId="1D88C869">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澄清有关问题</w:t>
      </w:r>
    </w:p>
    <w:p w14:paraId="1B83C35E">
      <w:pPr>
        <w:numPr>
          <w:ilvl w:val="0"/>
          <w:numId w:val="13"/>
        </w:numPr>
        <w:spacing w:line="360" w:lineRule="auto"/>
        <w:ind w:firstLine="0"/>
        <w:rPr>
          <w:rFonts w:ascii="宋体" w:hAnsi="宋体"/>
          <w:sz w:val="22"/>
          <w:szCs w:val="22"/>
          <w:highlight w:val="none"/>
        </w:rPr>
      </w:pPr>
      <w:r>
        <w:rPr>
          <w:rFonts w:hint="eastAsia" w:ascii="宋体" w:hAnsi="宋体"/>
          <w:sz w:val="22"/>
          <w:szCs w:val="22"/>
          <w:highlight w:val="none"/>
        </w:rPr>
        <w:t>投标文件中有含义不明确、同类问题表述不一致或有明显文字和计算错误的内容，评标委员会将以书面形式（或通过“</w:t>
      </w:r>
      <w:r>
        <w:rPr>
          <w:rFonts w:hint="eastAsia" w:ascii="宋体" w:hAnsi="宋体"/>
          <w:sz w:val="22"/>
          <w:szCs w:val="22"/>
          <w:highlight w:val="none"/>
          <w:lang w:eastAsia="zh-CN"/>
        </w:rPr>
        <w:t>乐采云平台</w:t>
      </w:r>
      <w:r>
        <w:rPr>
          <w:rFonts w:hint="eastAsia" w:ascii="宋体" w:hAnsi="宋体"/>
          <w:sz w:val="22"/>
          <w:szCs w:val="22"/>
          <w:highlight w:val="none"/>
        </w:rPr>
        <w:t>”在线询标）要求投标人作出必要的澄清、说明或补正。</w:t>
      </w:r>
    </w:p>
    <w:p w14:paraId="1406087A">
      <w:pPr>
        <w:numPr>
          <w:ilvl w:val="0"/>
          <w:numId w:val="13"/>
        </w:numPr>
        <w:spacing w:line="360" w:lineRule="auto"/>
        <w:ind w:firstLine="0"/>
        <w:rPr>
          <w:rFonts w:ascii="宋体" w:hAnsi="宋体"/>
          <w:sz w:val="22"/>
          <w:szCs w:val="22"/>
          <w:highlight w:val="none"/>
        </w:rPr>
      </w:pPr>
      <w:r>
        <w:rPr>
          <w:rFonts w:hint="eastAsia" w:ascii="宋体" w:hAnsi="宋体"/>
          <w:sz w:val="22"/>
          <w:szCs w:val="22"/>
          <w:highlight w:val="none"/>
        </w:rPr>
        <w:t>投标人的澄清、说明或补正应由投标人代表在评标委员会规定的时间内（一般在半个小时左右，具体要求将根据实际情况约定）以书面形式（或通过“</w:t>
      </w:r>
      <w:r>
        <w:rPr>
          <w:rFonts w:hint="eastAsia" w:ascii="宋体" w:hAnsi="宋体"/>
          <w:sz w:val="22"/>
          <w:szCs w:val="22"/>
          <w:highlight w:val="none"/>
          <w:lang w:eastAsia="zh-CN"/>
        </w:rPr>
        <w:t>乐采云平台</w:t>
      </w:r>
      <w:r>
        <w:rPr>
          <w:rFonts w:hint="eastAsia" w:ascii="宋体" w:hAnsi="宋体"/>
          <w:sz w:val="22"/>
          <w:szCs w:val="22"/>
          <w:highlight w:val="none"/>
        </w:rPr>
        <w:t>”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29F093E7">
      <w:pPr>
        <w:numPr>
          <w:ilvl w:val="0"/>
          <w:numId w:val="13"/>
        </w:numPr>
        <w:spacing w:line="360" w:lineRule="auto"/>
        <w:ind w:firstLine="0"/>
        <w:rPr>
          <w:rFonts w:ascii="宋体" w:hAnsi="宋体"/>
          <w:sz w:val="22"/>
          <w:szCs w:val="22"/>
          <w:highlight w:val="none"/>
        </w:rPr>
      </w:pPr>
      <w:r>
        <w:rPr>
          <w:rFonts w:hint="eastAsia" w:ascii="宋体" w:hAnsi="宋体"/>
          <w:sz w:val="22"/>
          <w:szCs w:val="22"/>
          <w:highlight w:val="none"/>
        </w:rPr>
        <w:t>投标文件报价出现前后不一致的，按照下列规定修正：</w:t>
      </w:r>
    </w:p>
    <w:p w14:paraId="38233CE8">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开标一览表内容与投标文件中相应内容不一致的，以开标一览表为准；</w:t>
      </w:r>
    </w:p>
    <w:p w14:paraId="2A25D636">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大写金额和小写金额不一致的，以大写金额为准；</w:t>
      </w:r>
    </w:p>
    <w:p w14:paraId="77E0018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单价金额小数点或百分比有明显错位的，以开标一览表的总价为准，并修改单价；</w:t>
      </w:r>
    </w:p>
    <w:p w14:paraId="77FF5BD7">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总价金额与按照单价汇总金额不一致的，以单价金额计算结果为准。</w:t>
      </w:r>
    </w:p>
    <w:p w14:paraId="4DA6EC72">
      <w:pPr>
        <w:tabs>
          <w:tab w:val="left" w:pos="525"/>
        </w:tabs>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※同时出现两种以上不一致的，按照本款规定的顺序修正。修正后的报价应按照本条中第1）、2）款规定经投标人确认后产生约束力，投标人不确认的，其投标无效。</w:t>
      </w:r>
    </w:p>
    <w:p w14:paraId="53D79AFA">
      <w:pPr>
        <w:numPr>
          <w:ilvl w:val="0"/>
          <w:numId w:val="13"/>
        </w:numPr>
        <w:spacing w:line="360" w:lineRule="auto"/>
        <w:ind w:firstLine="0"/>
        <w:rPr>
          <w:rFonts w:ascii="宋体" w:hAnsi="宋体"/>
          <w:b/>
          <w:bCs/>
          <w:sz w:val="22"/>
          <w:szCs w:val="22"/>
          <w:highlight w:val="none"/>
        </w:rPr>
      </w:pPr>
      <w:r>
        <w:rPr>
          <w:rFonts w:hint="eastAsia" w:ascii="宋体" w:hAnsi="宋体"/>
          <w:b/>
          <w:bCs/>
          <w:sz w:val="22"/>
          <w:szCs w:val="22"/>
          <w:highlight w:val="none"/>
        </w:rPr>
        <w:t>投标人在“</w:t>
      </w:r>
      <w:r>
        <w:rPr>
          <w:rFonts w:hint="eastAsia" w:ascii="宋体" w:hAnsi="宋体"/>
          <w:b/>
          <w:bCs/>
          <w:sz w:val="22"/>
          <w:szCs w:val="22"/>
          <w:highlight w:val="none"/>
          <w:lang w:eastAsia="zh-CN"/>
        </w:rPr>
        <w:t>乐采云平台</w:t>
      </w:r>
      <w:r>
        <w:rPr>
          <w:rFonts w:hint="eastAsia" w:ascii="宋体" w:hAnsi="宋体"/>
          <w:b/>
          <w:bCs/>
          <w:sz w:val="22"/>
          <w:szCs w:val="22"/>
          <w:highlight w:val="none"/>
        </w:rPr>
        <w:t>”进行标书关联时单独填报的投标报价与加密的报价文件中所列的投标报价不一致时以加密的报价文件中的金额为准进行修正。</w:t>
      </w:r>
    </w:p>
    <w:p w14:paraId="1A8D8CD6">
      <w:pPr>
        <w:numPr>
          <w:ilvl w:val="0"/>
          <w:numId w:val="13"/>
        </w:numPr>
        <w:spacing w:line="360" w:lineRule="auto"/>
        <w:ind w:firstLine="0"/>
        <w:rPr>
          <w:rFonts w:ascii="宋体" w:hAnsi="宋体"/>
          <w:bCs/>
          <w:sz w:val="22"/>
          <w:szCs w:val="22"/>
          <w:highlight w:val="none"/>
        </w:rPr>
      </w:pPr>
      <w:r>
        <w:rPr>
          <w:rFonts w:ascii="宋体" w:hAnsi="宋体"/>
          <w:bCs/>
          <w:sz w:val="22"/>
          <w:szCs w:val="22"/>
          <w:highlight w:val="none"/>
        </w:rPr>
        <w:t>若中标人的投标描述</w:t>
      </w:r>
      <w:r>
        <w:rPr>
          <w:rFonts w:ascii="宋体" w:hAnsi="宋体"/>
          <w:sz w:val="22"/>
          <w:szCs w:val="22"/>
          <w:highlight w:val="none"/>
        </w:rPr>
        <w:t>（即投标文件中描述的内容）</w:t>
      </w:r>
      <w:r>
        <w:rPr>
          <w:rFonts w:ascii="宋体" w:hAnsi="宋体"/>
          <w:bCs/>
          <w:sz w:val="22"/>
          <w:szCs w:val="22"/>
          <w:highlight w:val="none"/>
        </w:rPr>
        <w:t>存在前后不一致、与证明材料不一致或多份证明材料之间不一致情形之一</w:t>
      </w:r>
      <w:r>
        <w:rPr>
          <w:rFonts w:hint="eastAsia" w:ascii="宋体" w:hAnsi="宋体"/>
          <w:bCs/>
          <w:sz w:val="22"/>
          <w:szCs w:val="22"/>
          <w:highlight w:val="none"/>
        </w:rPr>
        <w:t>，</w:t>
      </w:r>
      <w:r>
        <w:rPr>
          <w:rFonts w:ascii="宋体" w:hAnsi="宋体"/>
          <w:bCs/>
          <w:sz w:val="22"/>
          <w:szCs w:val="22"/>
          <w:highlight w:val="none"/>
        </w:rPr>
        <w:t>但在评标中未能发现，则采购人将以投标描述或证明材料中有利于采购人的内容进行验收，中标人应自行承担由此产生的风险及费用。</w:t>
      </w:r>
    </w:p>
    <w:p w14:paraId="6671CF3E">
      <w:pPr>
        <w:numPr>
          <w:ilvl w:val="1"/>
          <w:numId w:val="2"/>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比较与评价</w:t>
      </w:r>
    </w:p>
    <w:p w14:paraId="6044FDCB">
      <w:pPr>
        <w:numPr>
          <w:ilvl w:val="0"/>
          <w:numId w:val="15"/>
        </w:numPr>
        <w:spacing w:line="360" w:lineRule="auto"/>
        <w:ind w:firstLine="0"/>
        <w:rPr>
          <w:rFonts w:ascii="宋体" w:hAnsi="宋体"/>
          <w:bCs/>
          <w:sz w:val="22"/>
          <w:szCs w:val="22"/>
          <w:highlight w:val="none"/>
        </w:rPr>
      </w:pPr>
      <w:r>
        <w:rPr>
          <w:rFonts w:hint="eastAsia" w:ascii="宋体" w:hAnsi="宋体"/>
          <w:bCs/>
          <w:sz w:val="22"/>
          <w:szCs w:val="22"/>
          <w:highlight w:val="none"/>
        </w:rPr>
        <w:t>评标委员会按照招标文件中规定的</w:t>
      </w:r>
      <w:r>
        <w:rPr>
          <w:rFonts w:hint="eastAsia" w:ascii="宋体" w:hAnsi="宋体"/>
          <w:sz w:val="22"/>
          <w:szCs w:val="22"/>
          <w:highlight w:val="none"/>
        </w:rPr>
        <w:t>评标原则及办法</w:t>
      </w:r>
      <w:r>
        <w:rPr>
          <w:rFonts w:hint="eastAsia" w:ascii="宋体" w:hAnsi="宋体"/>
          <w:bCs/>
          <w:sz w:val="22"/>
          <w:szCs w:val="22"/>
          <w:highlight w:val="none"/>
        </w:rPr>
        <w:t>进行综合评定打分。</w:t>
      </w:r>
    </w:p>
    <w:p w14:paraId="3E043E74">
      <w:pPr>
        <w:numPr>
          <w:ilvl w:val="0"/>
          <w:numId w:val="15"/>
        </w:numPr>
        <w:spacing w:line="360" w:lineRule="auto"/>
        <w:ind w:firstLine="0"/>
        <w:rPr>
          <w:rFonts w:ascii="宋体" w:hAnsi="宋体"/>
          <w:bCs/>
          <w:sz w:val="22"/>
          <w:szCs w:val="22"/>
          <w:highlight w:val="none"/>
        </w:rPr>
      </w:pPr>
      <w:r>
        <w:rPr>
          <w:rFonts w:hint="eastAsia" w:ascii="宋体" w:hAnsi="宋体"/>
          <w:bCs/>
          <w:sz w:val="22"/>
          <w:szCs w:val="22"/>
          <w:highlight w:val="none"/>
        </w:rPr>
        <w:t>漏（缺）项</w:t>
      </w:r>
    </w:p>
    <w:p w14:paraId="62CBBC47">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招标文件中要求列入报价的费用，漏（缺）项的报价视为已经包括在投标报价中。</w:t>
      </w:r>
    </w:p>
    <w:p w14:paraId="51156ED0">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对多报项及赠送项的价格评标时不予核减，全部进入投标报价评议。</w:t>
      </w:r>
    </w:p>
    <w:p w14:paraId="40F33008">
      <w:pPr>
        <w:numPr>
          <w:ilvl w:val="1"/>
          <w:numId w:val="2"/>
        </w:numPr>
        <w:tabs>
          <w:tab w:val="left" w:pos="525"/>
          <w:tab w:val="left" w:pos="635"/>
          <w:tab w:val="left" w:pos="900"/>
        </w:tabs>
        <w:spacing w:line="360" w:lineRule="auto"/>
        <w:rPr>
          <w:rFonts w:ascii="宋体" w:hAnsi="宋体"/>
          <w:bCs/>
          <w:sz w:val="22"/>
          <w:szCs w:val="22"/>
          <w:highlight w:val="none"/>
        </w:rPr>
      </w:pPr>
      <w:bookmarkStart w:id="175" w:name="_Hlk36726155"/>
      <w:r>
        <w:rPr>
          <w:rFonts w:hint="eastAsia" w:ascii="宋体" w:hAnsi="宋体" w:cs="Courier New"/>
          <w:sz w:val="22"/>
          <w:szCs w:val="22"/>
          <w:highlight w:val="none"/>
        </w:rPr>
        <w:t>评标</w:t>
      </w:r>
      <w:r>
        <w:rPr>
          <w:rFonts w:hint="eastAsia" w:ascii="宋体" w:hAnsi="宋体"/>
          <w:bCs/>
          <w:sz w:val="22"/>
          <w:szCs w:val="22"/>
          <w:highlight w:val="none"/>
        </w:rPr>
        <w:t>委员会认为投标人的报价明显低于其他有效投标人的报价，有可能影响产品质量或不能诚信履约的，应要求其在评标现场合理的时间内提供书面说明</w:t>
      </w:r>
      <w:r>
        <w:rPr>
          <w:rFonts w:hint="eastAsia" w:ascii="宋体" w:hAnsi="宋体"/>
          <w:sz w:val="22"/>
          <w:szCs w:val="22"/>
          <w:highlight w:val="none"/>
        </w:rPr>
        <w:t>（或通过“</w:t>
      </w:r>
      <w:r>
        <w:rPr>
          <w:rFonts w:hint="eastAsia" w:ascii="宋体" w:hAnsi="宋体"/>
          <w:sz w:val="22"/>
          <w:szCs w:val="22"/>
          <w:highlight w:val="none"/>
          <w:lang w:eastAsia="zh-CN"/>
        </w:rPr>
        <w:t>乐采云平台</w:t>
      </w:r>
      <w:r>
        <w:rPr>
          <w:rFonts w:hint="eastAsia" w:ascii="宋体" w:hAnsi="宋体"/>
          <w:sz w:val="22"/>
          <w:szCs w:val="22"/>
          <w:highlight w:val="none"/>
        </w:rPr>
        <w:t>”提供线上说明）</w:t>
      </w:r>
      <w:r>
        <w:rPr>
          <w:rFonts w:hint="eastAsia" w:ascii="宋体" w:hAnsi="宋体"/>
          <w:bCs/>
          <w:sz w:val="22"/>
          <w:szCs w:val="22"/>
          <w:highlight w:val="none"/>
        </w:rPr>
        <w:t>，必要时还应要求其一并提交有关证明材料；投标人代表不能在规定的合理时间内证明其报价合理性的，评标委员会将其作为</w:t>
      </w:r>
      <w:r>
        <w:rPr>
          <w:rFonts w:hint="eastAsia" w:ascii="宋体" w:hAnsi="宋体"/>
          <w:b/>
          <w:bCs/>
          <w:sz w:val="22"/>
          <w:szCs w:val="22"/>
          <w:highlight w:val="none"/>
        </w:rPr>
        <w:t>投标无效</w:t>
      </w:r>
      <w:r>
        <w:rPr>
          <w:rFonts w:hint="eastAsia" w:ascii="宋体" w:hAnsi="宋体"/>
          <w:bCs/>
          <w:sz w:val="22"/>
          <w:szCs w:val="22"/>
          <w:highlight w:val="none"/>
        </w:rPr>
        <w:t>处理。</w:t>
      </w:r>
      <w:bookmarkEnd w:id="175"/>
    </w:p>
    <w:p w14:paraId="197BFD34">
      <w:pPr>
        <w:numPr>
          <w:ilvl w:val="1"/>
          <w:numId w:val="2"/>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评委对需要共同认定的事项存在争议的，应按照少数服从多数的原则进行认定。持不同意见的评委应在评标报告上签署不同意见及理由，否则视为同意评标报告。</w:t>
      </w:r>
    </w:p>
    <w:p w14:paraId="14195AD1">
      <w:pPr>
        <w:numPr>
          <w:ilvl w:val="1"/>
          <w:numId w:val="2"/>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评标原则和评标办法详见本招标文件《评标原则及办法》。</w:t>
      </w:r>
    </w:p>
    <w:p w14:paraId="106E3FDC">
      <w:pPr>
        <w:numPr>
          <w:ilvl w:val="1"/>
          <w:numId w:val="2"/>
        </w:numPr>
        <w:tabs>
          <w:tab w:val="left" w:pos="525"/>
          <w:tab w:val="left" w:pos="635"/>
          <w:tab w:val="left" w:pos="900"/>
        </w:tabs>
        <w:spacing w:line="360" w:lineRule="auto"/>
        <w:rPr>
          <w:rFonts w:ascii="宋体" w:hAnsi="宋体"/>
          <w:bCs/>
          <w:sz w:val="22"/>
          <w:szCs w:val="22"/>
          <w:highlight w:val="none"/>
        </w:rPr>
      </w:pPr>
      <w:r>
        <w:rPr>
          <w:rFonts w:ascii="宋体" w:hAnsi="宋体"/>
          <w:bCs/>
          <w:sz w:val="22"/>
          <w:szCs w:val="22"/>
          <w:highlight w:val="none"/>
        </w:rPr>
        <w:t>评标</w:t>
      </w:r>
      <w:r>
        <w:rPr>
          <w:rFonts w:ascii="宋体" w:hAnsi="宋体" w:cs="Courier New"/>
          <w:sz w:val="22"/>
          <w:szCs w:val="22"/>
          <w:highlight w:val="none"/>
        </w:rPr>
        <w:t>过程</w:t>
      </w:r>
      <w:r>
        <w:rPr>
          <w:rFonts w:ascii="宋体" w:hAnsi="宋体"/>
          <w:bCs/>
          <w:sz w:val="22"/>
          <w:szCs w:val="22"/>
          <w:highlight w:val="none"/>
        </w:rPr>
        <w:t>中，有下列情形之一的，应予废标：</w:t>
      </w:r>
    </w:p>
    <w:p w14:paraId="5E11B7DC">
      <w:pPr>
        <w:numPr>
          <w:ilvl w:val="0"/>
          <w:numId w:val="17"/>
        </w:numPr>
        <w:tabs>
          <w:tab w:val="left" w:pos="525"/>
        </w:tabs>
        <w:spacing w:line="360" w:lineRule="auto"/>
        <w:rPr>
          <w:rFonts w:ascii="宋体" w:hAnsi="宋体"/>
          <w:bCs/>
          <w:sz w:val="22"/>
          <w:szCs w:val="22"/>
          <w:highlight w:val="none"/>
        </w:rPr>
      </w:pPr>
      <w:r>
        <w:rPr>
          <w:rFonts w:ascii="宋体" w:hAnsi="宋体"/>
          <w:bCs/>
          <w:sz w:val="22"/>
          <w:szCs w:val="22"/>
          <w:highlight w:val="none"/>
        </w:rPr>
        <w:t>符合性审查合格的投标人不足三家的；</w:t>
      </w:r>
    </w:p>
    <w:p w14:paraId="52AE33A4">
      <w:pPr>
        <w:numPr>
          <w:ilvl w:val="0"/>
          <w:numId w:val="17"/>
        </w:numPr>
        <w:tabs>
          <w:tab w:val="left" w:pos="525"/>
        </w:tabs>
        <w:spacing w:line="360" w:lineRule="auto"/>
        <w:rPr>
          <w:rFonts w:ascii="宋体" w:hAnsi="宋体"/>
          <w:bCs/>
          <w:sz w:val="22"/>
          <w:szCs w:val="22"/>
          <w:highlight w:val="none"/>
        </w:rPr>
      </w:pPr>
      <w:r>
        <w:rPr>
          <w:rFonts w:ascii="宋体" w:hAnsi="宋体"/>
          <w:bCs/>
          <w:sz w:val="22"/>
          <w:szCs w:val="22"/>
          <w:highlight w:val="none"/>
        </w:rPr>
        <w:t>对招标文件作实质响应的</w:t>
      </w:r>
      <w:r>
        <w:rPr>
          <w:rFonts w:hint="eastAsia" w:ascii="宋体" w:hAnsi="宋体"/>
          <w:bCs/>
          <w:sz w:val="22"/>
          <w:szCs w:val="22"/>
          <w:highlight w:val="none"/>
        </w:rPr>
        <w:t>投标人</w:t>
      </w:r>
      <w:r>
        <w:rPr>
          <w:rFonts w:ascii="宋体" w:hAnsi="宋体"/>
          <w:bCs/>
          <w:sz w:val="22"/>
          <w:szCs w:val="22"/>
          <w:highlight w:val="none"/>
        </w:rPr>
        <w:t>不足三家的；</w:t>
      </w:r>
    </w:p>
    <w:p w14:paraId="1D18525D">
      <w:pPr>
        <w:numPr>
          <w:ilvl w:val="0"/>
          <w:numId w:val="17"/>
        </w:numPr>
        <w:tabs>
          <w:tab w:val="left" w:pos="525"/>
        </w:tabs>
        <w:spacing w:line="360" w:lineRule="auto"/>
        <w:rPr>
          <w:rFonts w:ascii="宋体" w:hAnsi="宋体"/>
          <w:bCs/>
          <w:sz w:val="22"/>
          <w:szCs w:val="22"/>
          <w:highlight w:val="none"/>
        </w:rPr>
      </w:pPr>
      <w:r>
        <w:rPr>
          <w:rFonts w:ascii="宋体" w:hAnsi="宋体"/>
          <w:bCs/>
          <w:sz w:val="22"/>
          <w:szCs w:val="22"/>
          <w:highlight w:val="none"/>
        </w:rPr>
        <w:t>有关法律、法规和规章规定废标的情形。</w:t>
      </w:r>
    </w:p>
    <w:p w14:paraId="381BE99C">
      <w:pPr>
        <w:numPr>
          <w:ilvl w:val="1"/>
          <w:numId w:val="2"/>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采购过程中出现以下情形，导致电子交易平台无法正常运行，或者无法保证电子交易的公平、公正和安全时，招标采购单位可中止电子交易活动：</w:t>
      </w:r>
    </w:p>
    <w:p w14:paraId="6EE0AE49">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电子交易平台发生故障而无法登录访问的；</w:t>
      </w:r>
    </w:p>
    <w:p w14:paraId="02D3142E">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电子交易平台应用或数据库出现错误，不能进行正常操作的；</w:t>
      </w:r>
    </w:p>
    <w:p w14:paraId="67625851">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电子交易平台发现严重安全漏洞，有潜在泄密危险的；</w:t>
      </w:r>
    </w:p>
    <w:p w14:paraId="07B03B46">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病毒发作导致不能进行正常操作的；</w:t>
      </w:r>
    </w:p>
    <w:p w14:paraId="6562C61A">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其他无法保证电子交易的公平、公正和安全的情况。</w:t>
      </w:r>
    </w:p>
    <w:p w14:paraId="07788E40">
      <w:pPr>
        <w:tabs>
          <w:tab w:val="left" w:pos="525"/>
        </w:tabs>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※出现前款规定情形，不影响采购公平、公正性的，招标采购单位可以待上述情形消除后继续组织电子交易活动；影响或可能影响采购公平、公正性的，应当重新采购。</w:t>
      </w:r>
    </w:p>
    <w:p w14:paraId="2768A559">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确定中标</w:t>
      </w:r>
      <w:r>
        <w:rPr>
          <w:rFonts w:hint="eastAsia" w:ascii="宋体" w:hAnsi="宋体"/>
          <w:sz w:val="22"/>
          <w:szCs w:val="22"/>
          <w:highlight w:val="none"/>
        </w:rPr>
        <w:t>候选</w:t>
      </w:r>
      <w:r>
        <w:rPr>
          <w:rFonts w:hint="eastAsia" w:ascii="宋体" w:hAnsi="宋体" w:cs="Courier New"/>
          <w:sz w:val="22"/>
          <w:szCs w:val="22"/>
          <w:highlight w:val="none"/>
        </w:rPr>
        <w:t>人</w:t>
      </w:r>
    </w:p>
    <w:p w14:paraId="78945A89">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本次采购由评标委员会推荐中标候选人，采购人根据评标委员会的推荐结果进行最终确认。</w:t>
      </w:r>
    </w:p>
    <w:p w14:paraId="01AF296E">
      <w:pPr>
        <w:numPr>
          <w:ilvl w:val="1"/>
          <w:numId w:val="2"/>
        </w:numPr>
        <w:tabs>
          <w:tab w:val="left" w:pos="540"/>
          <w:tab w:val="left" w:pos="635"/>
          <w:tab w:val="left" w:pos="900"/>
        </w:tabs>
        <w:spacing w:line="360" w:lineRule="auto"/>
        <w:rPr>
          <w:rFonts w:ascii="宋体" w:hAnsi="宋体"/>
          <w:sz w:val="22"/>
          <w:szCs w:val="22"/>
          <w:highlight w:val="none"/>
        </w:rPr>
      </w:pPr>
      <w:r>
        <w:rPr>
          <w:rFonts w:ascii="宋体" w:hAnsi="宋体"/>
          <w:bCs/>
          <w:sz w:val="22"/>
          <w:szCs w:val="22"/>
          <w:highlight w:val="none"/>
        </w:rPr>
        <w:t>中标公告同时作为</w:t>
      </w:r>
      <w:r>
        <w:rPr>
          <w:rFonts w:hint="eastAsia" w:ascii="宋体" w:hAnsi="宋体"/>
          <w:bCs/>
          <w:sz w:val="22"/>
          <w:szCs w:val="22"/>
          <w:highlight w:val="none"/>
        </w:rPr>
        <w:t>招标采购单位</w:t>
      </w:r>
      <w:r>
        <w:rPr>
          <w:rFonts w:ascii="宋体" w:hAnsi="宋体"/>
          <w:bCs/>
          <w:sz w:val="22"/>
          <w:szCs w:val="22"/>
          <w:highlight w:val="none"/>
        </w:rPr>
        <w:t>通知除中标人外的其他投标人没有中标的书面形式。</w:t>
      </w:r>
    </w:p>
    <w:p w14:paraId="31CD0EF4">
      <w:pPr>
        <w:numPr>
          <w:ilvl w:val="0"/>
          <w:numId w:val="2"/>
        </w:numPr>
        <w:tabs>
          <w:tab w:val="left" w:pos="540"/>
          <w:tab w:val="left" w:pos="900"/>
        </w:tabs>
        <w:spacing w:line="360" w:lineRule="auto"/>
        <w:rPr>
          <w:rFonts w:ascii="宋体" w:hAnsi="宋体"/>
          <w:sz w:val="22"/>
          <w:szCs w:val="22"/>
          <w:highlight w:val="none"/>
        </w:rPr>
      </w:pPr>
      <w:r>
        <w:rPr>
          <w:rFonts w:hint="eastAsia" w:ascii="宋体" w:hAnsi="宋体"/>
          <w:sz w:val="22"/>
          <w:szCs w:val="22"/>
          <w:highlight w:val="none"/>
        </w:rPr>
        <w:t>采购人或采购代理机构对决标结果不做任何解释。</w:t>
      </w:r>
    </w:p>
    <w:p w14:paraId="191A27C3">
      <w:pPr>
        <w:numPr>
          <w:ilvl w:val="0"/>
          <w:numId w:val="2"/>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未尽事宜遵循相关法律法规及规范性文件执行。</w:t>
      </w:r>
    </w:p>
    <w:p w14:paraId="1AFD5C5B">
      <w:pPr>
        <w:pStyle w:val="3"/>
        <w:spacing w:line="400" w:lineRule="exact"/>
        <w:jc w:val="center"/>
        <w:rPr>
          <w:rFonts w:ascii="宋体" w:hAnsi="宋体" w:eastAsia="宋体" w:cs="Courier New"/>
          <w:highlight w:val="none"/>
        </w:rPr>
      </w:pPr>
      <w:bookmarkStart w:id="176" w:name="_Toc16754"/>
      <w:r>
        <w:rPr>
          <w:rFonts w:hint="eastAsia" w:ascii="宋体" w:hAnsi="宋体" w:eastAsia="宋体" w:cs="Courier New"/>
          <w:highlight w:val="none"/>
        </w:rPr>
        <w:t xml:space="preserve">七、 </w:t>
      </w:r>
      <w:r>
        <w:rPr>
          <w:rFonts w:ascii="宋体" w:hAnsi="宋体" w:eastAsia="宋体" w:cs="Courier New"/>
          <w:highlight w:val="none"/>
        </w:rPr>
        <w:t>定标及</w:t>
      </w:r>
      <w:r>
        <w:rPr>
          <w:rFonts w:hint="eastAsia" w:ascii="宋体" w:hAnsi="宋体" w:eastAsia="宋体" w:cs="Courier New"/>
          <w:highlight w:val="none"/>
        </w:rPr>
        <w:t>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ascii="宋体" w:hAnsi="宋体" w:eastAsia="宋体" w:cs="Courier New"/>
          <w:highlight w:val="none"/>
        </w:rPr>
        <w:t>授予</w:t>
      </w:r>
      <w:bookmarkEnd w:id="176"/>
    </w:p>
    <w:p w14:paraId="73587E27">
      <w:pPr>
        <w:numPr>
          <w:ilvl w:val="0"/>
          <w:numId w:val="2"/>
        </w:numPr>
        <w:tabs>
          <w:tab w:val="left" w:pos="540"/>
          <w:tab w:val="left" w:pos="900"/>
        </w:tabs>
        <w:spacing w:line="360" w:lineRule="auto"/>
        <w:rPr>
          <w:rFonts w:ascii="宋体" w:hAnsi="宋体"/>
          <w:bCs/>
          <w:sz w:val="22"/>
          <w:szCs w:val="22"/>
          <w:highlight w:val="none"/>
        </w:rPr>
      </w:pPr>
      <w:r>
        <w:rPr>
          <w:rFonts w:hint="eastAsia" w:ascii="宋体" w:hAnsi="宋体"/>
          <w:bCs/>
          <w:sz w:val="22"/>
          <w:szCs w:val="22"/>
          <w:highlight w:val="none"/>
        </w:rPr>
        <w:t>确认中标人</w:t>
      </w:r>
    </w:p>
    <w:p w14:paraId="0D661A80">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采购人自收到评标报告之日起5个工作日内，在评标报告确定的中标候选人名单中按</w:t>
      </w:r>
      <w:r>
        <w:rPr>
          <w:rFonts w:hint="eastAsia" w:ascii="宋体" w:hAnsi="宋体"/>
          <w:b/>
          <w:sz w:val="22"/>
          <w:szCs w:val="22"/>
          <w:highlight w:val="none"/>
        </w:rPr>
        <w:t>顺序</w:t>
      </w:r>
      <w:r>
        <w:rPr>
          <w:rFonts w:hint="eastAsia" w:ascii="宋体" w:hAnsi="宋体"/>
          <w:sz w:val="22"/>
          <w:szCs w:val="22"/>
          <w:highlight w:val="none"/>
        </w:rPr>
        <w:t>确定中标人。</w:t>
      </w:r>
    </w:p>
    <w:p w14:paraId="71AB899E">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中标人确定之日起2个工作日内，在招标文件载明的指定媒体上公示中标结果，中标公告期限为1个工作日。</w:t>
      </w:r>
    </w:p>
    <w:p w14:paraId="6171F080">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 </w:t>
      </w:r>
      <w:r>
        <w:rPr>
          <w:rFonts w:hint="eastAsia" w:ascii="宋体" w:hAnsi="宋体"/>
          <w:sz w:val="22"/>
          <w:szCs w:val="22"/>
          <w:highlight w:val="none"/>
        </w:rPr>
        <w:t>中标通知书</w:t>
      </w:r>
    </w:p>
    <w:p w14:paraId="32BC7E43">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 xml:space="preserve">中标人确定后，采购人将向中标人发出中标通知书。 </w:t>
      </w:r>
    </w:p>
    <w:p w14:paraId="509911FC">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中标通知书是合同的一个组成部分,对采购人和中标人均具有同等法律效力。</w:t>
      </w:r>
    </w:p>
    <w:p w14:paraId="46AA2E49">
      <w:pPr>
        <w:numPr>
          <w:ilvl w:val="0"/>
          <w:numId w:val="2"/>
        </w:numPr>
        <w:tabs>
          <w:tab w:val="left" w:pos="525"/>
          <w:tab w:val="left" w:pos="900"/>
        </w:tabs>
        <w:spacing w:line="360" w:lineRule="auto"/>
        <w:rPr>
          <w:rFonts w:ascii="宋体" w:hAnsi="宋体" w:cs="Courier New"/>
          <w:b/>
          <w:sz w:val="22"/>
          <w:szCs w:val="22"/>
          <w:highlight w:val="none"/>
        </w:rPr>
      </w:pPr>
      <w:r>
        <w:rPr>
          <w:rFonts w:hint="eastAsia" w:ascii="宋体" w:hAnsi="宋体" w:cs="Courier New"/>
          <w:sz w:val="22"/>
          <w:szCs w:val="22"/>
          <w:highlight w:val="none"/>
        </w:rPr>
        <w:t xml:space="preserve"> </w:t>
      </w:r>
      <w:r>
        <w:rPr>
          <w:rFonts w:hint="eastAsia" w:ascii="宋体" w:hAnsi="宋体" w:cs="Courier New"/>
          <w:b/>
          <w:sz w:val="22"/>
          <w:szCs w:val="22"/>
          <w:highlight w:val="none"/>
        </w:rPr>
        <w:t>授标时更改采购内容数量的权力</w:t>
      </w:r>
    </w:p>
    <w:p w14:paraId="5CA2536B">
      <w:pPr>
        <w:numPr>
          <w:ilvl w:val="1"/>
          <w:numId w:val="2"/>
        </w:numPr>
        <w:tabs>
          <w:tab w:val="left" w:pos="525"/>
          <w:tab w:val="left" w:pos="635"/>
          <w:tab w:val="left" w:pos="900"/>
        </w:tabs>
        <w:spacing w:line="360" w:lineRule="auto"/>
        <w:rPr>
          <w:rFonts w:ascii="宋体" w:hAnsi="宋体"/>
          <w:b/>
          <w:sz w:val="22"/>
          <w:szCs w:val="22"/>
          <w:highlight w:val="none"/>
        </w:rPr>
      </w:pPr>
      <w:r>
        <w:rPr>
          <w:rFonts w:hint="eastAsia" w:ascii="宋体" w:hAnsi="宋体"/>
          <w:b/>
          <w:sz w:val="22"/>
          <w:szCs w:val="22"/>
          <w:highlight w:val="none"/>
        </w:rPr>
        <w:t>甲方在授予合同时有权对采购内容的数量和服务在一定幅度范围内予以增加或减少,但不得对单价和其他实质性的条款和条件作任何改变。</w:t>
      </w:r>
    </w:p>
    <w:p w14:paraId="526F11DD">
      <w:pPr>
        <w:numPr>
          <w:ilvl w:val="0"/>
          <w:numId w:val="2"/>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 签订</w:t>
      </w:r>
      <w:r>
        <w:rPr>
          <w:rFonts w:hint="eastAsia" w:ascii="宋体" w:hAnsi="宋体"/>
          <w:sz w:val="22"/>
          <w:szCs w:val="22"/>
          <w:highlight w:val="none"/>
        </w:rPr>
        <w:t>合同</w:t>
      </w:r>
    </w:p>
    <w:p w14:paraId="1E9D321E">
      <w:pPr>
        <w:numPr>
          <w:ilvl w:val="1"/>
          <w:numId w:val="2"/>
        </w:numPr>
        <w:tabs>
          <w:tab w:val="left" w:pos="540"/>
          <w:tab w:val="left" w:pos="635"/>
          <w:tab w:val="left" w:pos="900"/>
        </w:tabs>
        <w:spacing w:line="360" w:lineRule="auto"/>
        <w:rPr>
          <w:rFonts w:ascii="宋体" w:hAnsi="宋体"/>
          <w:sz w:val="22"/>
          <w:szCs w:val="22"/>
          <w:highlight w:val="none"/>
        </w:rPr>
      </w:pPr>
      <w:bookmarkStart w:id="177" w:name="_Hlk6999962"/>
      <w:r>
        <w:rPr>
          <w:rFonts w:ascii="宋体" w:hAnsi="宋体"/>
          <w:sz w:val="22"/>
          <w:szCs w:val="22"/>
          <w:highlight w:val="none"/>
        </w:rPr>
        <w:t>签订政府采购合同应遵守政府采购法及实施条例的规定，不得对招标文件确定的事项和中标人的投标文件作实质性修改。</w:t>
      </w:r>
    </w:p>
    <w:p w14:paraId="0B5DEBDD">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签订时限：自中标通知书发出之日起30个日历日内。</w:t>
      </w:r>
      <w:bookmarkEnd w:id="177"/>
    </w:p>
    <w:p w14:paraId="6EB52930">
      <w:pPr>
        <w:numPr>
          <w:ilvl w:val="1"/>
          <w:numId w:val="2"/>
        </w:numPr>
        <w:tabs>
          <w:tab w:val="left" w:pos="540"/>
          <w:tab w:val="left" w:pos="635"/>
          <w:tab w:val="left" w:pos="900"/>
        </w:tabs>
        <w:spacing w:line="360" w:lineRule="auto"/>
        <w:rPr>
          <w:rFonts w:ascii="宋体" w:hAnsi="宋体"/>
          <w:sz w:val="22"/>
          <w:szCs w:val="22"/>
          <w:highlight w:val="none"/>
        </w:rPr>
      </w:pPr>
      <w:r>
        <w:rPr>
          <w:rFonts w:ascii="宋体" w:hAnsi="宋体"/>
          <w:spacing w:val="6"/>
          <w:sz w:val="22"/>
          <w:szCs w:val="22"/>
          <w:highlight w:val="none"/>
        </w:rPr>
        <w:t>中标人因不可抗力或自身原因不能履行合同的，采购人可以与排位在中标人之后的第一位的中标候选人签订合同。</w:t>
      </w:r>
    </w:p>
    <w:p w14:paraId="1341D3F5">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招标文件、中标人的投标文件、投标修改文件、评标过程中有关澄清文件及经投标人和评委双方签字的询标纪要和中标通知书均作为合同附件。</w:t>
      </w:r>
    </w:p>
    <w:p w14:paraId="4765D2CF">
      <w:pPr>
        <w:numPr>
          <w:ilvl w:val="0"/>
          <w:numId w:val="2"/>
        </w:numPr>
        <w:tabs>
          <w:tab w:val="left" w:pos="540"/>
          <w:tab w:val="left" w:pos="900"/>
        </w:tabs>
        <w:spacing w:line="360" w:lineRule="auto"/>
        <w:rPr>
          <w:rFonts w:ascii="宋体" w:hAnsi="宋体" w:cs="Courier New"/>
          <w:sz w:val="22"/>
          <w:szCs w:val="22"/>
          <w:highlight w:val="none"/>
        </w:rPr>
      </w:pPr>
      <w:r>
        <w:rPr>
          <w:rFonts w:ascii="宋体" w:hAnsi="宋体" w:cs="Courier New"/>
          <w:sz w:val="22"/>
          <w:szCs w:val="22"/>
          <w:highlight w:val="none"/>
        </w:rPr>
        <w:t>履约保证金</w:t>
      </w:r>
    </w:p>
    <w:p w14:paraId="54125F83">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履约保证金用于补偿采购人因中标人不能完成其合同义务而蒙受的损失。</w:t>
      </w:r>
    </w:p>
    <w:p w14:paraId="3C3E2223">
      <w:pPr>
        <w:pStyle w:val="3"/>
        <w:spacing w:line="400" w:lineRule="exact"/>
        <w:jc w:val="center"/>
        <w:rPr>
          <w:rFonts w:ascii="宋体" w:hAnsi="宋体" w:eastAsia="宋体" w:cs="Courier New"/>
          <w:highlight w:val="none"/>
        </w:rPr>
      </w:pPr>
      <w:bookmarkStart w:id="178" w:name="_Toc10521"/>
      <w:r>
        <w:rPr>
          <w:rFonts w:hint="eastAsia" w:ascii="宋体" w:hAnsi="宋体" w:eastAsia="宋体" w:cs="Courier New"/>
          <w:highlight w:val="none"/>
          <w:lang w:val="en-US"/>
        </w:rPr>
        <w:t>八</w:t>
      </w:r>
      <w:r>
        <w:rPr>
          <w:rFonts w:hint="eastAsia" w:ascii="宋体" w:hAnsi="宋体" w:eastAsia="宋体" w:cs="Courier New"/>
          <w:highlight w:val="none"/>
        </w:rPr>
        <w:t xml:space="preserve">、 </w:t>
      </w:r>
      <w:r>
        <w:rPr>
          <w:rFonts w:ascii="宋体" w:hAnsi="宋体" w:eastAsia="宋体" w:cs="Courier New"/>
          <w:highlight w:val="none"/>
        </w:rPr>
        <w:t>其他</w:t>
      </w:r>
      <w:bookmarkEnd w:id="178"/>
    </w:p>
    <w:p w14:paraId="4F95E142">
      <w:pPr>
        <w:numPr>
          <w:ilvl w:val="0"/>
          <w:numId w:val="2"/>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质疑与投诉</w:t>
      </w:r>
    </w:p>
    <w:p w14:paraId="2371060C">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投标人认为招标文件、采购过程、中标和成交结果使自己的合法权益受到损害的，可以在知道或应知道其权益受到损害之日起七个工作日内以书面形式向采购人或采购代理机构提出质疑。</w:t>
      </w:r>
    </w:p>
    <w:p w14:paraId="71749541">
      <w:pPr>
        <w:tabs>
          <w:tab w:val="left" w:pos="540"/>
        </w:tabs>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※质疑供应商必须在法定质疑期内一次性提出针对同一采购程序（包括招标文件、采购过程、中标结果）环节的质疑。</w:t>
      </w:r>
    </w:p>
    <w:p w14:paraId="6DDEFE2A">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20DB200D">
      <w:pPr>
        <w:tabs>
          <w:tab w:val="left" w:pos="540"/>
        </w:tabs>
        <w:spacing w:line="360" w:lineRule="auto"/>
        <w:ind w:left="540"/>
        <w:rPr>
          <w:rFonts w:ascii="宋体" w:hAnsi="宋体"/>
          <w:sz w:val="22"/>
          <w:szCs w:val="22"/>
          <w:highlight w:val="none"/>
        </w:rPr>
      </w:pPr>
      <w:r>
        <w:rPr>
          <w:rFonts w:hint="eastAsia" w:ascii="宋体" w:hAnsi="宋体"/>
          <w:sz w:val="22"/>
          <w:szCs w:val="22"/>
          <w:highlight w:val="none"/>
        </w:rPr>
        <w:t>投诉人投诉时，应提交投诉书，投诉书应当由本人并由单位负责人（或其授权人）签字盖公章，投诉书应说明具体的</w:t>
      </w:r>
      <w:r>
        <w:rPr>
          <w:rFonts w:hint="eastAsia" w:ascii="宋体" w:hAnsi="宋体"/>
          <w:b/>
          <w:sz w:val="22"/>
          <w:szCs w:val="22"/>
          <w:highlight w:val="none"/>
        </w:rPr>
        <w:t>投诉事项及事实依据</w:t>
      </w:r>
      <w:r>
        <w:rPr>
          <w:rFonts w:hint="eastAsia" w:ascii="宋体" w:hAnsi="宋体"/>
          <w:sz w:val="22"/>
          <w:szCs w:val="22"/>
          <w:highlight w:val="none"/>
        </w:rPr>
        <w:t>。投诉人对投诉书的真实性负责，恶意投诉将承当相应的法律和民事责任。</w:t>
      </w:r>
    </w:p>
    <w:p w14:paraId="5A068817">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pacing w:val="6"/>
          <w:sz w:val="22"/>
          <w:szCs w:val="22"/>
          <w:highlight w:val="none"/>
        </w:rPr>
        <w:t>质疑函</w:t>
      </w:r>
      <w:r>
        <w:rPr>
          <w:rFonts w:hint="eastAsia" w:ascii="宋体" w:hAnsi="宋体"/>
          <w:sz w:val="22"/>
          <w:szCs w:val="22"/>
          <w:highlight w:val="none"/>
        </w:rPr>
        <w:t>范本</w:t>
      </w:r>
      <w:r>
        <w:rPr>
          <w:rFonts w:hint="eastAsia" w:ascii="宋体" w:hAnsi="宋体"/>
          <w:spacing w:val="6"/>
          <w:sz w:val="22"/>
          <w:szCs w:val="22"/>
          <w:highlight w:val="none"/>
        </w:rPr>
        <w:t>、投诉书范本请到浙江政府采购网下载专区下载。</w:t>
      </w:r>
    </w:p>
    <w:p w14:paraId="36C06EBB">
      <w:pPr>
        <w:numPr>
          <w:ilvl w:val="0"/>
          <w:numId w:val="2"/>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采购代理服务费</w:t>
      </w:r>
    </w:p>
    <w:p w14:paraId="1799870A">
      <w:pPr>
        <w:tabs>
          <w:tab w:val="left" w:pos="540"/>
          <w:tab w:val="left" w:pos="635"/>
          <w:tab w:val="left" w:pos="900"/>
        </w:tabs>
        <w:spacing w:line="360" w:lineRule="auto"/>
        <w:ind w:left="567"/>
        <w:rPr>
          <w:rFonts w:ascii="Arial" w:hAnsi="宋体"/>
          <w:highlight w:val="none"/>
        </w:rPr>
      </w:pPr>
      <w:bookmarkStart w:id="179" w:name="_Hlk36489029"/>
      <w:bookmarkStart w:id="180" w:name="_Toc216667826"/>
      <w:bookmarkStart w:id="181" w:name="_Toc227056852"/>
      <w:bookmarkStart w:id="182" w:name="_Toc227489893"/>
      <w:bookmarkStart w:id="183" w:name="_Toc215415536"/>
      <w:bookmarkStart w:id="184" w:name="_Toc217460691"/>
      <w:bookmarkStart w:id="185" w:name="_Toc223717610"/>
      <w:bookmarkStart w:id="186" w:name="_Toc218041732"/>
      <w:bookmarkStart w:id="187" w:name="_Toc223933227"/>
      <w:bookmarkStart w:id="188" w:name="_Toc219538619"/>
      <w:bookmarkStart w:id="189" w:name="_Toc227057039"/>
      <w:r>
        <w:rPr>
          <w:rFonts w:hint="eastAsia" w:ascii="Arial" w:hAnsi="宋体"/>
          <w:highlight w:val="none"/>
        </w:rPr>
        <w:t>本次采购招标代理服务费按《中华人民</w:t>
      </w:r>
      <w:r>
        <w:rPr>
          <w:rFonts w:hint="eastAsia" w:ascii="宋体" w:hAnsi="宋体"/>
          <w:sz w:val="22"/>
          <w:szCs w:val="22"/>
          <w:highlight w:val="none"/>
        </w:rPr>
        <w:t>共和国国家计划委员会[计价格 ［2002］1980号]招标代理服务收费管理暂行办法》标准，</w:t>
      </w:r>
      <w:r>
        <w:rPr>
          <w:rFonts w:hint="eastAsia" w:ascii="宋体" w:hAnsi="宋体"/>
          <w:sz w:val="22"/>
          <w:szCs w:val="22"/>
          <w:highlight w:val="none"/>
          <w:lang w:val="en-US" w:eastAsia="zh-CN"/>
        </w:rPr>
        <w:t>以采购预算为</w:t>
      </w:r>
      <w:r>
        <w:rPr>
          <w:rFonts w:hint="eastAsia" w:ascii="宋体" w:hAnsi="宋体" w:eastAsia="宋体"/>
          <w:sz w:val="22"/>
          <w:szCs w:val="22"/>
          <w:highlight w:val="none"/>
          <w:lang w:val="en-US" w:eastAsia="zh-CN"/>
        </w:rPr>
        <w:t>基准按服务费标准计取+招标公告费收取，由中标人在领取中标通知书之后10日内将该代理服务费用支付给浙江立创项目管理有限公司。招标代理服务费由浙江立创项目管理有限公司收取。</w:t>
      </w:r>
    </w:p>
    <w:p w14:paraId="08FC3BC3">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采购代理服务费可以是现金、转账。</w:t>
      </w:r>
    </w:p>
    <w:p w14:paraId="280BC233">
      <w:pPr>
        <w:numPr>
          <w:ilvl w:val="1"/>
          <w:numId w:val="2"/>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账号信息</w:t>
      </w:r>
    </w:p>
    <w:bookmarkEnd w:id="179"/>
    <w:p w14:paraId="74FB753D">
      <w:pPr>
        <w:spacing w:line="460" w:lineRule="exact"/>
        <w:ind w:firstLine="440" w:firstLineChars="200"/>
        <w:rPr>
          <w:rFonts w:hint="eastAsia" w:ascii="宋体" w:hAnsi="宋体"/>
          <w:sz w:val="22"/>
          <w:szCs w:val="22"/>
          <w:highlight w:val="none"/>
        </w:rPr>
      </w:pPr>
      <w:r>
        <w:rPr>
          <w:rFonts w:hint="eastAsia" w:ascii="宋体" w:hAnsi="宋体"/>
          <w:sz w:val="22"/>
          <w:szCs w:val="22"/>
          <w:highlight w:val="none"/>
        </w:rPr>
        <w:t>公司名：浙江立创项目管理有限公司</w:t>
      </w:r>
    </w:p>
    <w:p w14:paraId="4C9E9763">
      <w:pPr>
        <w:spacing w:line="460" w:lineRule="exact"/>
        <w:ind w:firstLine="440" w:firstLineChars="200"/>
        <w:rPr>
          <w:rFonts w:hint="eastAsia" w:ascii="宋体" w:hAnsi="宋体"/>
          <w:sz w:val="22"/>
          <w:szCs w:val="22"/>
          <w:highlight w:val="none"/>
        </w:rPr>
      </w:pPr>
      <w:r>
        <w:rPr>
          <w:rFonts w:hint="eastAsia" w:ascii="宋体" w:hAnsi="宋体"/>
          <w:sz w:val="22"/>
          <w:szCs w:val="22"/>
          <w:highlight w:val="none"/>
        </w:rPr>
        <w:t>开户银行：浙江温州瓯海农村商业银行股份有限公司区府支行</w:t>
      </w:r>
    </w:p>
    <w:p w14:paraId="4E10FD4D">
      <w:pPr>
        <w:spacing w:line="460" w:lineRule="exact"/>
        <w:ind w:firstLine="440" w:firstLineChars="200"/>
        <w:rPr>
          <w:rFonts w:ascii="宋体" w:hAnsi="宋体"/>
          <w:sz w:val="22"/>
          <w:szCs w:val="22"/>
          <w:highlight w:val="none"/>
        </w:rPr>
      </w:pPr>
      <w:r>
        <w:rPr>
          <w:rFonts w:hint="eastAsia" w:ascii="宋体" w:hAnsi="宋体"/>
          <w:sz w:val="22"/>
          <w:szCs w:val="22"/>
          <w:highlight w:val="none"/>
        </w:rPr>
        <w:t>账号：2010 0018 4403 091</w:t>
      </w:r>
    </w:p>
    <w:p w14:paraId="2CB3EC9C">
      <w:pPr>
        <w:pStyle w:val="2"/>
        <w:spacing w:before="240" w:beforeLines="100"/>
        <w:rPr>
          <w:rFonts w:ascii="宋体" w:hAnsi="宋体" w:eastAsia="宋体" w:cs="Courier New"/>
          <w:sz w:val="36"/>
          <w:szCs w:val="36"/>
          <w:highlight w:val="none"/>
        </w:rPr>
      </w:pPr>
      <w:r>
        <w:rPr>
          <w:rFonts w:ascii="宋体" w:hAnsi="宋体" w:eastAsia="宋体" w:cs="Courier New"/>
          <w:sz w:val="36"/>
          <w:szCs w:val="36"/>
          <w:highlight w:val="none"/>
        </w:rPr>
        <w:br w:type="page"/>
      </w:r>
      <w:bookmarkStart w:id="190" w:name="_Toc16270"/>
      <w:r>
        <w:rPr>
          <w:rFonts w:hint="eastAsia" w:ascii="宋体" w:hAnsi="宋体" w:eastAsia="宋体" w:cs="Courier New"/>
          <w:sz w:val="36"/>
          <w:szCs w:val="36"/>
          <w:highlight w:val="none"/>
        </w:rPr>
        <w:t>第二部分   合同条款</w:t>
      </w:r>
      <w:bookmarkEnd w:id="180"/>
      <w:bookmarkEnd w:id="181"/>
      <w:bookmarkEnd w:id="182"/>
      <w:bookmarkEnd w:id="183"/>
      <w:bookmarkEnd w:id="184"/>
      <w:bookmarkEnd w:id="185"/>
      <w:bookmarkEnd w:id="186"/>
      <w:bookmarkEnd w:id="187"/>
      <w:bookmarkEnd w:id="188"/>
      <w:bookmarkEnd w:id="189"/>
      <w:bookmarkEnd w:id="190"/>
    </w:p>
    <w:p w14:paraId="143FAD21">
      <w:pPr>
        <w:tabs>
          <w:tab w:val="left" w:pos="2592"/>
          <w:tab w:val="center" w:pos="4465"/>
        </w:tabs>
        <w:spacing w:line="360" w:lineRule="auto"/>
        <w:jc w:val="right"/>
        <w:rPr>
          <w:rFonts w:ascii="宋体" w:hAnsi="宋体" w:cs="宋体"/>
          <w:b/>
          <w:color w:val="auto"/>
          <w:kern w:val="0"/>
          <w:sz w:val="22"/>
          <w:szCs w:val="22"/>
          <w:highlight w:val="none"/>
        </w:rPr>
      </w:pPr>
      <w:bookmarkStart w:id="191" w:name="_Toc216667828"/>
      <w:bookmarkStart w:id="192" w:name="_Toc218041734"/>
      <w:bookmarkStart w:id="193" w:name="_Toc215415538"/>
      <w:bookmarkStart w:id="194" w:name="_Toc223717612"/>
      <w:bookmarkStart w:id="195" w:name="_Toc227057041"/>
      <w:bookmarkStart w:id="196" w:name="_Toc223933229"/>
      <w:bookmarkStart w:id="197" w:name="_Toc219538621"/>
      <w:bookmarkStart w:id="198" w:name="_Toc227489895"/>
      <w:bookmarkStart w:id="199" w:name="_Toc227056854"/>
      <w:bookmarkStart w:id="200" w:name="_Toc217460693"/>
      <w:r>
        <w:rPr>
          <w:rFonts w:hint="eastAsia" w:ascii="宋体" w:hAnsi="宋体" w:cs="宋体"/>
          <w:kern w:val="0"/>
          <w:szCs w:val="21"/>
          <w:highlight w:val="none"/>
          <w:lang w:eastAsia="zh-TW" w:bidi="ar"/>
        </w:rPr>
        <w:tab/>
      </w:r>
      <w:r>
        <w:rPr>
          <w:rFonts w:hint="eastAsia" w:ascii="宋体" w:hAnsi="宋体" w:cs="宋体"/>
          <w:b/>
          <w:color w:val="auto"/>
          <w:sz w:val="24"/>
          <w:highlight w:val="none"/>
        </w:rPr>
        <w:t xml:space="preserve"> </w:t>
      </w:r>
      <w:r>
        <w:rPr>
          <w:rFonts w:hint="eastAsia" w:ascii="宋体" w:hAnsi="宋体" w:cs="宋体"/>
          <w:b/>
          <w:color w:val="auto"/>
          <w:kern w:val="0"/>
          <w:sz w:val="24"/>
          <w:szCs w:val="22"/>
          <w:highlight w:val="none"/>
        </w:rPr>
        <w:t>（合同编号：</w:t>
      </w:r>
      <w:r>
        <w:rPr>
          <w:rFonts w:hint="eastAsia" w:ascii="宋体" w:hAnsi="宋体" w:cs="宋体"/>
          <w:b/>
          <w:color w:val="auto"/>
          <w:kern w:val="0"/>
          <w:sz w:val="24"/>
          <w:szCs w:val="22"/>
          <w:highlight w:val="none"/>
          <w:u w:val="single"/>
        </w:rPr>
        <w:t xml:space="preserve">           </w:t>
      </w:r>
      <w:r>
        <w:rPr>
          <w:rFonts w:hint="eastAsia" w:ascii="宋体" w:hAnsi="宋体" w:cs="宋体"/>
          <w:b/>
          <w:color w:val="auto"/>
          <w:kern w:val="0"/>
          <w:sz w:val="24"/>
          <w:szCs w:val="22"/>
          <w:highlight w:val="none"/>
        </w:rPr>
        <w:t>）</w:t>
      </w:r>
    </w:p>
    <w:p w14:paraId="50E28CCB">
      <w:pPr>
        <w:rPr>
          <w:rFonts w:ascii="宋体" w:hAnsi="宋体" w:cs="宋体"/>
          <w:color w:val="auto"/>
          <w:sz w:val="24"/>
          <w:szCs w:val="21"/>
          <w:highlight w:val="none"/>
        </w:rPr>
      </w:pPr>
      <w:r>
        <w:rPr>
          <w:rFonts w:hint="eastAsia" w:ascii="宋体" w:hAnsi="宋体" w:cs="宋体"/>
          <w:b/>
          <w:color w:val="auto"/>
          <w:sz w:val="24"/>
          <w:szCs w:val="21"/>
          <w:highlight w:val="none"/>
        </w:rPr>
        <w:t xml:space="preserve">                   </w:t>
      </w:r>
    </w:p>
    <w:p w14:paraId="4594BAAE">
      <w:pPr>
        <w:spacing w:line="600" w:lineRule="exact"/>
        <w:ind w:firstLine="720" w:firstLineChars="300"/>
        <w:rPr>
          <w:rFonts w:ascii="宋体" w:hAnsi="宋体" w:cs="宋体"/>
          <w:color w:val="auto"/>
          <w:sz w:val="24"/>
          <w:szCs w:val="21"/>
          <w:highlight w:val="none"/>
          <w:u w:val="single"/>
        </w:rPr>
      </w:pPr>
      <w:r>
        <w:rPr>
          <w:rFonts w:hint="eastAsia" w:ascii="宋体" w:hAnsi="宋体" w:cs="宋体"/>
          <w:color w:val="auto"/>
          <w:sz w:val="24"/>
          <w:szCs w:val="21"/>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rFonts w:hint="eastAsia" w:ascii="宋体" w:hAnsi="宋体" w:cs="宋体"/>
          <w:color w:val="auto"/>
          <w:sz w:val="24"/>
          <w:szCs w:val="21"/>
          <w:highlight w:val="none"/>
          <w:u w:val="single"/>
          <w:lang w:eastAsia="zh-CN"/>
        </w:rPr>
        <w:t>欧湾华庭、臻湾华庭存量房代销项目</w:t>
      </w:r>
      <w:r>
        <w:rPr>
          <w:rFonts w:hint="eastAsia" w:ascii="宋体" w:hAnsi="宋体" w:cs="宋体"/>
          <w:color w:val="auto"/>
          <w:sz w:val="24"/>
          <w:szCs w:val="21"/>
          <w:highlight w:val="none"/>
          <w:u w:val="single"/>
        </w:rPr>
        <w:fldChar w:fldCharType="end"/>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 xml:space="preserve">     </w:t>
      </w:r>
    </w:p>
    <w:p w14:paraId="212E2549">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75811DB0">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甲　　方：</w:t>
      </w:r>
      <w:r>
        <w:rPr>
          <w:rFonts w:hint="eastAsia" w:ascii="宋体" w:hAnsi="宋体" w:cs="宋体"/>
          <w:color w:val="auto"/>
          <w:sz w:val="24"/>
          <w:szCs w:val="21"/>
          <w:highlight w:val="none"/>
          <w:u w:val="single"/>
        </w:rPr>
        <w:t xml:space="preserve">                                              </w:t>
      </w:r>
    </w:p>
    <w:p w14:paraId="2BD9F3B0">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09DC9587">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乙　　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w:t>
      </w:r>
    </w:p>
    <w:p w14:paraId="65EC42A6">
      <w:pPr>
        <w:snapToGrid w:val="0"/>
        <w:spacing w:before="119" w:line="600" w:lineRule="exact"/>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8030FA0">
      <w:pPr>
        <w:snapToGrid w:val="0"/>
        <w:spacing w:before="119" w:line="600" w:lineRule="exact"/>
        <w:ind w:left="958"/>
        <w:jc w:val="center"/>
        <w:rPr>
          <w:rFonts w:ascii="宋体" w:hAnsi="宋体" w:cs="宋体"/>
          <w:color w:val="auto"/>
          <w:sz w:val="24"/>
          <w:szCs w:val="21"/>
          <w:highlight w:val="none"/>
        </w:rPr>
      </w:pPr>
    </w:p>
    <w:p w14:paraId="1D426514">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46512164">
      <w:pPr>
        <w:snapToGrid w:val="0"/>
        <w:spacing w:before="119" w:line="600" w:lineRule="exact"/>
        <w:ind w:left="958"/>
        <w:rPr>
          <w:rFonts w:ascii="宋体" w:hAnsi="宋体" w:cs="宋体"/>
          <w:color w:val="auto"/>
          <w:sz w:val="24"/>
          <w:szCs w:val="21"/>
          <w:highlight w:val="none"/>
        </w:rPr>
      </w:pPr>
    </w:p>
    <w:p w14:paraId="5CAC46CB">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0E85BDCC">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1429D191">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7974D86">
      <w:pPr>
        <w:pStyle w:val="13"/>
        <w:tabs>
          <w:tab w:val="left" w:pos="208"/>
        </w:tabs>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注：本合同仅作示范文本，具体以双方</w:t>
      </w:r>
      <w:r>
        <w:rPr>
          <w:rFonts w:hint="eastAsia" w:ascii="宋体" w:hAnsi="宋体" w:eastAsia="宋体" w:cs="宋体"/>
          <w:b/>
          <w:color w:val="auto"/>
          <w:sz w:val="21"/>
          <w:szCs w:val="21"/>
          <w:highlight w:val="none"/>
          <w:lang w:val="en-US" w:eastAsia="zh-CN"/>
        </w:rPr>
        <w:t>签订</w:t>
      </w:r>
      <w:r>
        <w:rPr>
          <w:rFonts w:hint="eastAsia" w:ascii="宋体" w:hAnsi="宋体" w:eastAsia="宋体" w:cs="宋体"/>
          <w:b/>
          <w:color w:val="auto"/>
          <w:sz w:val="21"/>
          <w:szCs w:val="21"/>
          <w:highlight w:val="none"/>
        </w:rPr>
        <w:t>的正式合同为准，合同内容不得违背</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val="en-US" w:eastAsia="zh-CN"/>
        </w:rPr>
        <w:t>投标人投标</w:t>
      </w:r>
      <w:r>
        <w:rPr>
          <w:rFonts w:hint="eastAsia" w:ascii="宋体" w:hAnsi="宋体" w:eastAsia="宋体" w:cs="宋体"/>
          <w:b/>
          <w:color w:val="auto"/>
          <w:sz w:val="21"/>
          <w:szCs w:val="21"/>
          <w:highlight w:val="none"/>
        </w:rPr>
        <w:t>文件等实质性要求</w:t>
      </w:r>
      <w:r>
        <w:rPr>
          <w:rFonts w:hint="eastAsia" w:ascii="宋体" w:hAnsi="宋体" w:eastAsia="宋体" w:cs="宋体"/>
          <w:b/>
          <w:color w:val="auto"/>
          <w:sz w:val="21"/>
          <w:szCs w:val="21"/>
          <w:highlight w:val="none"/>
          <w:lang w:eastAsia="zh-CN"/>
        </w:rPr>
        <w:t>。</w:t>
      </w:r>
    </w:p>
    <w:p w14:paraId="7DD45863">
      <w:pPr>
        <w:pStyle w:val="15"/>
        <w:rPr>
          <w:color w:val="auto"/>
          <w:highlight w:val="none"/>
        </w:rPr>
      </w:pPr>
    </w:p>
    <w:p w14:paraId="757E5AD9">
      <w:pPr>
        <w:snapToGrid w:val="0"/>
        <w:spacing w:before="119" w:line="272" w:lineRule="atLeas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565623BD">
      <w:pPr>
        <w:snapToGrid w:val="0"/>
        <w:spacing w:before="119" w:line="272" w:lineRule="atLeast"/>
        <w:ind w:left="958"/>
        <w:rPr>
          <w:rFonts w:hint="eastAsia" w:ascii="宋体" w:hAnsi="宋体" w:cs="宋体"/>
          <w:color w:val="auto"/>
          <w:sz w:val="24"/>
          <w:szCs w:val="21"/>
          <w:highlight w:val="none"/>
        </w:rPr>
      </w:pPr>
    </w:p>
    <w:p w14:paraId="315A2FDC">
      <w:pPr>
        <w:rPr>
          <w:rFonts w:ascii="Tahoma" w:hAnsi="Tahoma" w:eastAsia="仿宋_GB2312"/>
          <w:b/>
          <w:color w:val="auto"/>
          <w:sz w:val="28"/>
          <w:szCs w:val="32"/>
          <w:highlight w:val="none"/>
        </w:rPr>
      </w:pPr>
    </w:p>
    <w:p w14:paraId="14823968">
      <w:pPr>
        <w:rPr>
          <w:rFonts w:ascii="Tahoma" w:hAnsi="Tahoma" w:eastAsia="仿宋_GB2312"/>
          <w:b/>
          <w:color w:val="auto"/>
          <w:sz w:val="28"/>
          <w:szCs w:val="32"/>
          <w:highlight w:val="none"/>
        </w:rPr>
      </w:pPr>
    </w:p>
    <w:p w14:paraId="6AD12B2A">
      <w:pPr>
        <w:rPr>
          <w:rFonts w:ascii="Tahoma" w:hAnsi="Tahoma" w:eastAsia="仿宋_GB2312"/>
          <w:b/>
          <w:color w:val="auto"/>
          <w:sz w:val="28"/>
          <w:szCs w:val="32"/>
          <w:highlight w:val="none"/>
        </w:rPr>
      </w:pPr>
    </w:p>
    <w:p w14:paraId="2B0661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DA3D61F">
      <w:pPr>
        <w:pStyle w:val="30"/>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采购人：（以下称甲方）</w:t>
      </w:r>
      <w:r>
        <w:rPr>
          <w:rFonts w:hint="eastAsia" w:ascii="宋体" w:hAnsi="宋体" w:cs="宋体"/>
          <w:color w:val="auto"/>
          <w:sz w:val="21"/>
          <w:szCs w:val="21"/>
          <w:highlight w:val="none"/>
          <w:u w:val="single"/>
          <w:lang w:eastAsia="zh-CN"/>
        </w:rPr>
        <w:t>温州市瓯海区瓯发房屋租赁有限公司</w:t>
      </w:r>
    </w:p>
    <w:p w14:paraId="04B78F0C">
      <w:pPr>
        <w:pStyle w:val="3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成交人：（以下称乙方）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B26A9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eastAsia="宋体" w:cs="宋体"/>
          <w:color w:val="auto"/>
          <w:sz w:val="21"/>
          <w:szCs w:val="21"/>
          <w:highlight w:val="none"/>
        </w:rPr>
      </w:pPr>
      <w:r>
        <w:rPr>
          <w:rFonts w:hint="eastAsia" w:ascii="宋体" w:hAnsi="宋体" w:cs="宋体"/>
          <w:color w:val="auto"/>
          <w:sz w:val="21"/>
          <w:szCs w:val="21"/>
          <w:highlight w:val="none"/>
          <w:u w:val="single"/>
          <w:lang w:eastAsia="zh-CN"/>
        </w:rPr>
        <w:t>欧湾华庭、臻湾华庭存量房代销项目</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浙江立创项目管理有限公司</w:t>
      </w:r>
      <w:r>
        <w:rPr>
          <w:rFonts w:hint="eastAsia" w:ascii="宋体" w:hAnsi="宋体" w:eastAsia="宋体" w:cs="宋体"/>
          <w:color w:val="auto"/>
          <w:sz w:val="21"/>
          <w:szCs w:val="21"/>
          <w:highlight w:val="none"/>
          <w:u w:val="single"/>
        </w:rPr>
        <w:t>(采购代理机构)</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文件在</w:t>
      </w:r>
      <w:r>
        <w:rPr>
          <w:rFonts w:hint="eastAsia" w:ascii="宋体" w:hAnsi="宋体" w:eastAsia="宋体" w:cs="宋体"/>
          <w:color w:val="auto"/>
          <w:sz w:val="21"/>
          <w:szCs w:val="21"/>
          <w:highlight w:val="none"/>
          <w:u w:val="single"/>
        </w:rPr>
        <w:t xml:space="preserve">    年   月   日</w:t>
      </w:r>
      <w:r>
        <w:rPr>
          <w:rFonts w:hint="eastAsia" w:ascii="宋体" w:hAnsi="宋体" w:eastAsia="宋体" w:cs="宋体"/>
          <w:color w:val="auto"/>
          <w:sz w:val="21"/>
          <w:szCs w:val="21"/>
          <w:highlight w:val="none"/>
        </w:rPr>
        <w:t>进行采购。确定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人。甲乙双方依据《中华人民共和国民法典》，在平等自愿的基础上，同意按照下面的条款和条件，签署本合同。</w:t>
      </w:r>
    </w:p>
    <w:p w14:paraId="6EB698D0">
      <w:pPr>
        <w:keepLines w:val="0"/>
        <w:pageBreakBefore w:val="0"/>
        <w:widowControl w:val="0"/>
        <w:tabs>
          <w:tab w:val="left" w:pos="795"/>
        </w:tabs>
        <w:kinsoku/>
        <w:wordWrap/>
        <w:overflowPunct/>
        <w:topLinePunct w:val="0"/>
        <w:autoSpaceDE/>
        <w:autoSpaceDN/>
        <w:bidi w:val="0"/>
        <w:adjustRightInd/>
        <w:snapToGrid w:val="0"/>
        <w:spacing w:before="238" w:line="360" w:lineRule="auto"/>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 xml:space="preserve">  合同文件</w:t>
      </w:r>
    </w:p>
    <w:p w14:paraId="42BAE39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下列文件构成本合同的组成部分，应该认为是一个整体，彼此相互解释，相互补充。组成合同的多个文件的优先支配地位的次序如下：</w:t>
      </w:r>
    </w:p>
    <w:p w14:paraId="232CA5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a.本合同书　</w:t>
      </w:r>
    </w:p>
    <w:p w14:paraId="25B52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b.</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通知书</w:t>
      </w:r>
      <w:r>
        <w:rPr>
          <w:rFonts w:hint="eastAsia" w:ascii="宋体" w:hAnsi="宋体" w:eastAsia="宋体"/>
          <w:color w:val="auto"/>
          <w:sz w:val="21"/>
          <w:szCs w:val="21"/>
          <w:highlight w:val="none"/>
        </w:rPr>
        <w:tab/>
      </w:r>
    </w:p>
    <w:p w14:paraId="7B6E0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c.</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人</w:t>
      </w:r>
      <w:r>
        <w:rPr>
          <w:rFonts w:hint="eastAsia" w:ascii="宋体" w:hAnsi="宋体" w:eastAsia="宋体"/>
          <w:color w:val="auto"/>
          <w:sz w:val="21"/>
          <w:szCs w:val="21"/>
          <w:highlight w:val="none"/>
          <w:lang w:val="en-US" w:eastAsia="zh-CN"/>
        </w:rPr>
        <w:t>投标</w:t>
      </w:r>
      <w:r>
        <w:rPr>
          <w:rFonts w:hint="eastAsia" w:ascii="宋体" w:hAnsi="宋体" w:eastAsia="宋体"/>
          <w:color w:val="auto"/>
          <w:sz w:val="21"/>
          <w:szCs w:val="21"/>
          <w:highlight w:val="none"/>
        </w:rPr>
        <w:t>文件(含澄清内容)</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p>
    <w:p w14:paraId="52F18B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d.</w:t>
      </w:r>
      <w:r>
        <w:rPr>
          <w:rFonts w:hint="eastAsia" w:ascii="宋体" w:hAnsi="宋体" w:eastAsia="宋体"/>
          <w:color w:val="auto"/>
          <w:sz w:val="21"/>
          <w:szCs w:val="21"/>
          <w:highlight w:val="none"/>
          <w:lang w:val="en-US" w:eastAsia="zh-CN"/>
        </w:rPr>
        <w:t>双</w:t>
      </w:r>
      <w:r>
        <w:rPr>
          <w:rFonts w:hint="eastAsia" w:ascii="宋体" w:hAnsi="宋体" w:eastAsia="宋体"/>
          <w:color w:val="auto"/>
          <w:sz w:val="21"/>
          <w:szCs w:val="21"/>
          <w:highlight w:val="none"/>
        </w:rPr>
        <w:t>方认可的变更、洽商等书面文件或协议修正文件</w:t>
      </w:r>
    </w:p>
    <w:p w14:paraId="6E6280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e.</w:t>
      </w: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文件(含澄清修改文件)</w:t>
      </w:r>
    </w:p>
    <w:p w14:paraId="4F350D4A">
      <w:pPr>
        <w:pStyle w:val="2"/>
        <w:keepLines w:val="0"/>
        <w:pageBreakBefore w:val="0"/>
        <w:widowControl w:val="0"/>
        <w:kinsoku/>
        <w:wordWrap/>
        <w:overflowPunct/>
        <w:topLinePunct w:val="0"/>
        <w:autoSpaceDE/>
        <w:autoSpaceDN/>
        <w:bidi w:val="0"/>
        <w:adjustRightInd/>
        <w:snapToGrid/>
        <w:spacing w:line="360" w:lineRule="auto"/>
        <w:jc w:val="left"/>
        <w:textAlignment w:val="auto"/>
        <w:rPr>
          <w:rFonts w:hint="default"/>
          <w:highlight w:val="none"/>
          <w:lang w:val="en-US" w:eastAsia="zh-CN"/>
        </w:rPr>
      </w:pPr>
      <w:r>
        <w:rPr>
          <w:rFonts w:hint="eastAsia" w:ascii="宋体" w:hAnsi="宋体" w:eastAsia="宋体"/>
          <w:color w:val="auto"/>
          <w:sz w:val="21"/>
          <w:szCs w:val="21"/>
          <w:highlight w:val="none"/>
          <w:lang w:val="en-US" w:eastAsia="zh-CN"/>
        </w:rPr>
        <w:t>二、服务期限：</w:t>
      </w:r>
      <w:r>
        <w:rPr>
          <w:rFonts w:hint="eastAsia" w:ascii="宋体" w:hAnsi="宋体" w:cs="宋体"/>
          <w:color w:val="auto"/>
          <w:szCs w:val="21"/>
          <w:highlight w:val="none"/>
          <w:lang w:val="en-US" w:eastAsia="zh-CN"/>
        </w:rPr>
        <w:t>本项目服务期2年，</w:t>
      </w:r>
      <w:r>
        <w:rPr>
          <w:rFonts w:hint="eastAsia" w:ascii="宋体" w:hAnsi="宋体" w:eastAsia="宋体" w:cs="宋体"/>
          <w:color w:val="auto"/>
          <w:szCs w:val="21"/>
          <w:highlight w:val="none"/>
          <w:lang w:val="en-US" w:eastAsia="zh-CN"/>
        </w:rPr>
        <w:t>采用1+1模式，即根据中标供应商的实施过程质量及相关服务考核情况，由采购人决定是否续签下一年度继续服务的合同。在合同期内各节点考核时如无法达成考核最低指标，采购人视情况有权单方面终止合同。</w:t>
      </w:r>
    </w:p>
    <w:p w14:paraId="5B58C7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b/>
          <w:color w:val="auto"/>
          <w:sz w:val="21"/>
          <w:szCs w:val="21"/>
          <w:highlight w:val="none"/>
        </w:rPr>
      </w:pPr>
      <w:r>
        <w:rPr>
          <w:rFonts w:hint="eastAsia" w:ascii="宋体"/>
          <w:b/>
          <w:color w:val="auto"/>
          <w:sz w:val="21"/>
          <w:szCs w:val="21"/>
          <w:highlight w:val="none"/>
          <w:lang w:val="en-US" w:eastAsia="zh-CN"/>
        </w:rPr>
        <w:t>三、合同</w:t>
      </w:r>
      <w:r>
        <w:rPr>
          <w:rFonts w:hint="eastAsia" w:ascii="宋体" w:eastAsia="宋体"/>
          <w:b/>
          <w:color w:val="auto"/>
          <w:sz w:val="21"/>
          <w:szCs w:val="21"/>
          <w:highlight w:val="none"/>
        </w:rPr>
        <w:t>范围及</w:t>
      </w:r>
      <w:r>
        <w:rPr>
          <w:rFonts w:hint="eastAsia" w:ascii="宋体"/>
          <w:b/>
          <w:color w:val="auto"/>
          <w:sz w:val="21"/>
          <w:szCs w:val="21"/>
          <w:highlight w:val="none"/>
          <w:lang w:val="en-US" w:eastAsia="zh-CN"/>
        </w:rPr>
        <w:t>服务</w:t>
      </w:r>
      <w:r>
        <w:rPr>
          <w:rFonts w:hint="eastAsia" w:ascii="宋体" w:eastAsia="宋体"/>
          <w:b/>
          <w:color w:val="auto"/>
          <w:sz w:val="21"/>
          <w:szCs w:val="21"/>
          <w:highlight w:val="none"/>
        </w:rPr>
        <w:t>内容</w:t>
      </w:r>
    </w:p>
    <w:p w14:paraId="18909A9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hAnsi="宋体" w:cs="宋体"/>
          <w:color w:val="auto"/>
          <w:szCs w:val="21"/>
          <w:highlight w:val="none"/>
          <w:lang w:val="en-US" w:eastAsia="zh-CN"/>
        </w:rPr>
        <w:t>欧湾华庭、臻湾华庭存量房代销项目（全案代理）</w:t>
      </w:r>
      <w:r>
        <w:rPr>
          <w:rFonts w:hint="eastAsia" w:ascii="宋体" w:hAnsi="宋体" w:eastAsia="宋体" w:cs="宋体"/>
          <w:color w:val="auto"/>
          <w:szCs w:val="21"/>
          <w:highlight w:val="none"/>
          <w:lang w:val="en-US" w:eastAsia="zh-CN"/>
        </w:rPr>
        <w:t>:</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rPr>
        <w:t>负责销售代理服务团队组建；负责市场调查研究分析、提交销售价格建议；负责项目营销策划和销售广告宣传（含媒体宣传、平面宣传与文本图册宣传等）；负责日常销售实施和管理；负责销售合同拟定、备案、签订和管理；负责前期蓄客及客户的退房、投诉处理；负责办理按揭贷款、催收资金回笼；负责销售价格备案；负责房款结算、交房及前期物业的对接等</w:t>
      </w:r>
      <w:r>
        <w:rPr>
          <w:rFonts w:hint="eastAsia" w:ascii="宋体" w:hAnsi="宋体"/>
          <w:color w:val="auto"/>
          <w:sz w:val="21"/>
          <w:szCs w:val="21"/>
          <w:highlight w:val="none"/>
          <w:lang w:val="en-US" w:eastAsia="zh-CN"/>
        </w:rPr>
        <w:t>本项目</w:t>
      </w:r>
      <w:r>
        <w:rPr>
          <w:rFonts w:hint="eastAsia" w:ascii="宋体" w:hAnsi="宋体" w:eastAsia="宋体"/>
          <w:color w:val="auto"/>
          <w:sz w:val="21"/>
          <w:szCs w:val="21"/>
          <w:highlight w:val="none"/>
        </w:rPr>
        <w:t>所有营销</w:t>
      </w:r>
      <w:r>
        <w:rPr>
          <w:rFonts w:hint="eastAsia" w:ascii="宋体" w:hAnsi="宋体"/>
          <w:color w:val="auto"/>
          <w:sz w:val="21"/>
          <w:szCs w:val="21"/>
          <w:highlight w:val="none"/>
          <w:lang w:val="en-US" w:eastAsia="zh-CN"/>
        </w:rPr>
        <w:t>及房票的相关手续办理</w:t>
      </w:r>
      <w:r>
        <w:rPr>
          <w:rFonts w:hint="eastAsia" w:ascii="宋体" w:hAnsi="宋体" w:eastAsia="宋体"/>
          <w:color w:val="auto"/>
          <w:sz w:val="21"/>
          <w:szCs w:val="21"/>
          <w:highlight w:val="none"/>
        </w:rPr>
        <w:t>工作</w:t>
      </w:r>
      <w:r>
        <w:rPr>
          <w:rFonts w:hint="eastAsia" w:ascii="宋体" w:eastAsia="宋体"/>
          <w:color w:val="auto"/>
          <w:sz w:val="21"/>
          <w:szCs w:val="21"/>
          <w:highlight w:val="none"/>
          <w:shd w:val="clear" w:color="auto" w:fill="FFFFFF"/>
        </w:rPr>
        <w:t>。</w:t>
      </w:r>
    </w:p>
    <w:p w14:paraId="14B7145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1</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市场调研与分析：①整体市场综合研判；②区域市场研判；③资源研判；④竞争调研与分析；</w:t>
      </w:r>
    </w:p>
    <w:p w14:paraId="0707B5C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2</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 xml:space="preserve">市场定位：①目标市场定位策略建议；②目标客群消费及需求分析；③产品定位策略建议；④营销要点测评； </w:t>
      </w:r>
    </w:p>
    <w:p w14:paraId="5AC0BCF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3</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营销策划</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 xml:space="preserve"> ①营销策略拟定；②营销战术策划；③整体包装策划；④活动营销策划；⑤公共关系策划；⑥销售价格方案，向甲方申报两个预售价格；价格一：达到本项目盈亏平衡点的预售均价和一房一价。价格二：在盈亏平衡点之上认为可销售的预售均价和一房一价。乙方申报价格时不得违背市场常规定价规律，最终以书面形式报甲方同意后实施；</w:t>
      </w:r>
    </w:p>
    <w:p w14:paraId="45CAF52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4</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广告宣传：①广告定位确定；②媒体策略拟定；③广告内容设计；④销售资料和道具制作；⑤营销广告宣传；⑥传播效果考评；</w:t>
      </w:r>
    </w:p>
    <w:p w14:paraId="5A84E74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5</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销售日常管理：①销售人员培训和管理；②活动方案拟定及执行；③销售方案拟定及执行；④销售合同的拟定、备案、签订和管理；⑤销售案场管理；⑥ 办理按揭贷款及时催收资金回笼；</w:t>
      </w:r>
    </w:p>
    <w:p w14:paraId="3D537C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6</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负责房款结算、交房及前期物业的对接配合物业管理服务单位组织前期的物业管理服务工作；</w:t>
      </w:r>
    </w:p>
    <w:p w14:paraId="16B4C504">
      <w:pPr>
        <w:keepNext w:val="0"/>
        <w:keepLines w:val="0"/>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Times New Roman" w:eastAsia="宋体" w:cs="Times New Roman"/>
          <w:color w:val="auto"/>
          <w:sz w:val="21"/>
          <w:szCs w:val="21"/>
          <w:highlight w:val="none"/>
          <w:shd w:val="clear" w:color="auto" w:fill="FFFFFF"/>
        </w:rPr>
      </w:pPr>
      <w:r>
        <w:rPr>
          <w:rFonts w:hint="eastAsia" w:ascii="宋体" w:cs="Times New Roman"/>
          <w:color w:val="auto"/>
          <w:sz w:val="21"/>
          <w:szCs w:val="21"/>
          <w:highlight w:val="none"/>
          <w:shd w:val="clear" w:color="auto" w:fill="FFFFFF"/>
          <w:lang w:eastAsia="zh-CN"/>
        </w:rPr>
        <w:t>（</w:t>
      </w:r>
      <w:r>
        <w:rPr>
          <w:rFonts w:hint="eastAsia" w:ascii="宋体" w:cs="Times New Roman"/>
          <w:color w:val="auto"/>
          <w:sz w:val="21"/>
          <w:szCs w:val="21"/>
          <w:highlight w:val="none"/>
          <w:shd w:val="clear" w:color="auto" w:fill="FFFFFF"/>
          <w:lang w:val="en-US" w:eastAsia="zh-CN"/>
        </w:rPr>
        <w:t>7）</w:t>
      </w:r>
      <w:r>
        <w:rPr>
          <w:rFonts w:hint="eastAsia" w:ascii="宋体" w:hAnsi="Times New Roman" w:eastAsia="宋体" w:cs="Times New Roman"/>
          <w:color w:val="auto"/>
          <w:sz w:val="21"/>
          <w:szCs w:val="21"/>
          <w:highlight w:val="none"/>
          <w:shd w:val="clear" w:color="auto" w:fill="FFFFFF"/>
        </w:rPr>
        <w:t>其他营销</w:t>
      </w:r>
      <w:r>
        <w:rPr>
          <w:rFonts w:hint="eastAsia" w:ascii="宋体" w:hAnsi="宋体"/>
          <w:color w:val="auto"/>
          <w:sz w:val="21"/>
          <w:szCs w:val="21"/>
          <w:highlight w:val="none"/>
          <w:lang w:val="en-US" w:eastAsia="zh-CN"/>
        </w:rPr>
        <w:t>的相关手续办理</w:t>
      </w:r>
      <w:r>
        <w:rPr>
          <w:rFonts w:hint="eastAsia" w:ascii="宋体" w:hAnsi="Times New Roman" w:eastAsia="宋体" w:cs="Times New Roman"/>
          <w:color w:val="auto"/>
          <w:sz w:val="21"/>
          <w:szCs w:val="21"/>
          <w:highlight w:val="none"/>
          <w:shd w:val="clear" w:color="auto" w:fill="FFFFFF"/>
        </w:rPr>
        <w:t>的相关工作。</w:t>
      </w:r>
    </w:p>
    <w:p w14:paraId="5D67200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eastAsia="宋体"/>
          <w:b/>
          <w:color w:val="auto"/>
          <w:sz w:val="21"/>
          <w:szCs w:val="21"/>
          <w:highlight w:val="none"/>
          <w:shd w:val="clear" w:color="auto" w:fill="FFFFFF"/>
          <w:lang w:val="en-US" w:eastAsia="zh-CN"/>
        </w:rPr>
      </w:pPr>
      <w:r>
        <w:rPr>
          <w:rFonts w:hint="eastAsia" w:ascii="宋体"/>
          <w:b/>
          <w:color w:val="auto"/>
          <w:sz w:val="21"/>
          <w:szCs w:val="21"/>
          <w:highlight w:val="none"/>
          <w:lang w:val="en-US" w:eastAsia="zh-CN"/>
        </w:rPr>
        <w:t xml:space="preserve">四、 </w:t>
      </w:r>
      <w:r>
        <w:rPr>
          <w:rFonts w:hint="eastAsia" w:ascii="宋体" w:hAnsi="宋体" w:eastAsia="宋体" w:cs="宋体"/>
          <w:b/>
          <w:bCs/>
          <w:color w:val="auto"/>
          <w:sz w:val="21"/>
          <w:szCs w:val="21"/>
          <w:highlight w:val="none"/>
          <w:u w:val="none" w:color="000000"/>
          <w:lang w:val="zh-TW" w:eastAsia="zh-TW"/>
        </w:rPr>
        <w:t>服务费用及其他约定</w:t>
      </w:r>
    </w:p>
    <w:p w14:paraId="2DF34FA3">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color w:val="auto"/>
          <w:sz w:val="21"/>
          <w:szCs w:val="21"/>
          <w:highlight w:val="none"/>
          <w:u w:val="none"/>
          <w:lang w:val="en-US" w:eastAsia="zh-CN"/>
        </w:rPr>
      </w:pPr>
      <w:r>
        <w:rPr>
          <w:rFonts w:hint="eastAsia" w:ascii="宋体" w:eastAsia="宋体"/>
          <w:color w:val="auto"/>
          <w:sz w:val="21"/>
          <w:szCs w:val="21"/>
          <w:highlight w:val="none"/>
        </w:rPr>
        <w:t>（一）签约合同价</w:t>
      </w:r>
      <w:r>
        <w:rPr>
          <w:rFonts w:hint="eastAsia" w:ascii="宋体" w:eastAsia="宋体"/>
          <w:color w:val="auto"/>
          <w:sz w:val="21"/>
          <w:szCs w:val="21"/>
          <w:highlight w:val="none"/>
          <w:lang w:eastAsia="zh-CN"/>
        </w:rPr>
        <w:t>（</w:t>
      </w:r>
      <w:r>
        <w:rPr>
          <w:rFonts w:hint="eastAsia" w:ascii="宋体" w:hAnsi="宋体" w:cs="宋体"/>
          <w:color w:val="auto"/>
          <w:szCs w:val="21"/>
          <w:highlight w:val="none"/>
          <w:lang w:val="en-US" w:eastAsia="zh-CN"/>
        </w:rPr>
        <w:t>暂定）</w:t>
      </w:r>
      <w:r>
        <w:rPr>
          <w:rFonts w:hint="eastAsia" w:ascii="宋体" w:eastAsia="宋体"/>
          <w:color w:val="auto"/>
          <w:sz w:val="21"/>
          <w:szCs w:val="21"/>
          <w:highlight w:val="none"/>
        </w:rPr>
        <w:t>为：</w:t>
      </w:r>
      <w:r>
        <w:rPr>
          <w:rFonts w:hint="eastAsia" w:ascii="宋体" w:eastAsia="宋体"/>
          <w:color w:val="auto"/>
          <w:sz w:val="21"/>
          <w:szCs w:val="21"/>
          <w:highlight w:val="none"/>
          <w:u w:val="none"/>
        </w:rPr>
        <w:t>人民币（大写）</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val="en-US" w:eastAsia="zh-CN"/>
        </w:rPr>
        <w:t xml:space="preserve">    </w:t>
      </w:r>
      <w:r>
        <w:rPr>
          <w:rFonts w:hint="eastAsia" w:ascii="宋体"/>
          <w:color w:val="auto"/>
          <w:sz w:val="21"/>
          <w:szCs w:val="21"/>
          <w:highlight w:val="none"/>
          <w:u w:val="single"/>
          <w:lang w:val="en-US" w:eastAsia="zh-CN"/>
        </w:rPr>
        <w:t xml:space="preserve">  </w:t>
      </w:r>
      <w:r>
        <w:rPr>
          <w:rFonts w:hint="eastAsia" w:ascii="宋体" w:eastAsia="宋体"/>
          <w:color w:val="auto"/>
          <w:sz w:val="21"/>
          <w:szCs w:val="21"/>
          <w:highlight w:val="none"/>
          <w:u w:val="single"/>
          <w:lang w:val="en-US" w:eastAsia="zh-CN"/>
        </w:rPr>
        <w:t xml:space="preserve"> </w:t>
      </w:r>
      <w:r>
        <w:rPr>
          <w:rFonts w:hint="eastAsia" w:ascii="宋体" w:eastAsia="宋体"/>
          <w:color w:val="auto"/>
          <w:sz w:val="21"/>
          <w:szCs w:val="21"/>
          <w:highlight w:val="none"/>
          <w:u w:val="single"/>
        </w:rPr>
        <w:t xml:space="preserve"> (¥         </w:t>
      </w:r>
      <w:r>
        <w:rPr>
          <w:rFonts w:hint="eastAsia" w:ascii="宋体"/>
          <w:color w:val="auto"/>
          <w:sz w:val="21"/>
          <w:szCs w:val="21"/>
          <w:highlight w:val="none"/>
          <w:u w:val="single"/>
          <w:lang w:val="en-US" w:eastAsia="zh-CN"/>
        </w:rPr>
        <w:t xml:space="preserve">  </w:t>
      </w:r>
      <w:r>
        <w:rPr>
          <w:rFonts w:hint="eastAsia" w:ascii="宋体" w:eastAsia="宋体"/>
          <w:color w:val="auto"/>
          <w:sz w:val="21"/>
          <w:szCs w:val="21"/>
          <w:highlight w:val="none"/>
          <w:u w:val="single"/>
        </w:rPr>
        <w:t>元)</w:t>
      </w:r>
      <w:r>
        <w:rPr>
          <w:rFonts w:hint="eastAsia" w:ascii="宋体" w:eastAsia="宋体"/>
          <w:color w:val="auto"/>
          <w:sz w:val="21"/>
          <w:szCs w:val="21"/>
          <w:highlight w:val="none"/>
          <w:u w:val="single"/>
          <w:lang w:eastAsia="zh-CN"/>
        </w:rPr>
        <w:t>。</w:t>
      </w:r>
      <w:r>
        <w:rPr>
          <w:rFonts w:hint="eastAsia" w:ascii="宋体"/>
          <w:color w:val="auto"/>
          <w:sz w:val="21"/>
          <w:szCs w:val="21"/>
          <w:highlight w:val="none"/>
          <w:u w:val="none"/>
          <w:lang w:val="en-US" w:eastAsia="zh-CN"/>
        </w:rPr>
        <w:t>其中：</w:t>
      </w:r>
    </w:p>
    <w:p w14:paraId="23AD84DB">
      <w:pPr>
        <w:keepNext w:val="0"/>
        <w:keepLines w:val="0"/>
        <w:pageBreakBefore w:val="0"/>
        <w:widowControl w:val="0"/>
        <w:kinsoku/>
        <w:wordWrap/>
        <w:overflowPunct/>
        <w:topLinePunct w:val="0"/>
        <w:autoSpaceDE/>
        <w:autoSpaceDN/>
        <w:bidi w:val="0"/>
        <w:adjustRightInd/>
        <w:spacing w:line="440" w:lineRule="exact"/>
        <w:ind w:firstLine="630" w:firstLineChars="300"/>
        <w:jc w:val="both"/>
        <w:textAlignment w:val="auto"/>
        <w:rPr>
          <w:rFonts w:hint="eastAsia" w:ascii="宋体" w:hAnsi="宋体" w:cs="宋体"/>
          <w:b/>
          <w:bCs/>
          <w:color w:val="auto"/>
          <w:sz w:val="21"/>
          <w:szCs w:val="21"/>
          <w:highlight w:val="none"/>
          <w:u w:val="single"/>
          <w:lang w:val="en-US" w:eastAsia="zh-CN"/>
        </w:rPr>
      </w:pPr>
      <w:r>
        <w:rPr>
          <w:rFonts w:hint="eastAsia" w:ascii="宋体"/>
          <w:color w:val="auto"/>
          <w:sz w:val="21"/>
          <w:szCs w:val="21"/>
          <w:highlight w:val="none"/>
          <w:u w:val="none"/>
          <w:lang w:val="en-US" w:eastAsia="zh-CN"/>
        </w:rPr>
        <w:t>（1）</w:t>
      </w:r>
      <w:r>
        <w:rPr>
          <w:rFonts w:hint="eastAsia" w:ascii="宋体" w:hAnsi="宋体" w:eastAsia="宋体" w:cs="宋体"/>
          <w:b/>
          <w:bCs/>
          <w:color w:val="auto"/>
          <w:sz w:val="21"/>
          <w:szCs w:val="21"/>
          <w:highlight w:val="none"/>
          <w:lang w:val="en-US" w:eastAsia="zh-CN"/>
        </w:rPr>
        <w:t>欧湾华庭住宅代理销售服务费</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none"/>
          <w:lang w:val="en-US" w:eastAsia="zh-CN"/>
        </w:rPr>
        <w:t>元，服务费中标费率</w:t>
      </w:r>
      <w:r>
        <w:rPr>
          <w:rFonts w:hint="eastAsia" w:ascii="宋体" w:hAnsi="宋体" w:cs="宋体"/>
          <w:b/>
          <w:bCs/>
          <w:color w:val="auto"/>
          <w:sz w:val="21"/>
          <w:szCs w:val="21"/>
          <w:highlight w:val="none"/>
          <w:u w:val="single"/>
          <w:lang w:val="en-US" w:eastAsia="zh-CN"/>
        </w:rPr>
        <w:t xml:space="preserve">    %</w:t>
      </w:r>
    </w:p>
    <w:p w14:paraId="01159560">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hAnsi="宋体" w:cs="宋体"/>
          <w:b/>
          <w:bCs/>
          <w:color w:val="auto"/>
          <w:sz w:val="21"/>
          <w:szCs w:val="21"/>
          <w:highlight w:val="none"/>
          <w:u w:val="single"/>
          <w:lang w:val="en-US" w:eastAsia="zh-CN"/>
        </w:rPr>
      </w:pPr>
      <w:r>
        <w:rPr>
          <w:rFonts w:hint="eastAsia" w:ascii="宋体" w:hAnsi="宋体" w:cs="宋体"/>
          <w:b/>
          <w:bCs/>
          <w:color w:val="auto"/>
          <w:sz w:val="21"/>
          <w:szCs w:val="21"/>
          <w:highlight w:val="none"/>
          <w:u w:val="none"/>
          <w:lang w:val="en-US" w:eastAsia="zh-CN"/>
        </w:rPr>
        <w:t xml:space="preserve">      </w:t>
      </w:r>
      <w:r>
        <w:rPr>
          <w:rFonts w:hint="eastAsia" w:ascii="宋体" w:hAnsi="宋体" w:cs="宋体"/>
          <w:b w:val="0"/>
          <w:bCs w:val="0"/>
          <w:color w:val="auto"/>
          <w:sz w:val="21"/>
          <w:szCs w:val="21"/>
          <w:highlight w:val="none"/>
          <w:u w:val="none"/>
          <w:lang w:val="en-US" w:eastAsia="zh-CN"/>
        </w:rPr>
        <w:t>（2）</w:t>
      </w:r>
      <w:r>
        <w:rPr>
          <w:rFonts w:hint="eastAsia" w:ascii="宋体" w:hAnsi="宋体" w:eastAsia="宋体" w:cs="宋体"/>
          <w:b/>
          <w:bCs/>
          <w:color w:val="auto"/>
          <w:sz w:val="21"/>
          <w:szCs w:val="21"/>
          <w:highlight w:val="none"/>
          <w:lang w:val="en-US" w:eastAsia="zh-CN"/>
        </w:rPr>
        <w:t>臻湾华庭住宅代理销售服务费</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none"/>
          <w:lang w:val="en-US" w:eastAsia="zh-CN"/>
        </w:rPr>
        <w:t>元，服务费中标费率</w:t>
      </w:r>
      <w:r>
        <w:rPr>
          <w:rFonts w:hint="eastAsia" w:ascii="宋体" w:hAnsi="宋体" w:cs="宋体"/>
          <w:b/>
          <w:bCs/>
          <w:color w:val="auto"/>
          <w:sz w:val="21"/>
          <w:szCs w:val="21"/>
          <w:highlight w:val="none"/>
          <w:u w:val="single"/>
          <w:lang w:val="en-US" w:eastAsia="zh-CN"/>
        </w:rPr>
        <w:t xml:space="preserve">    %</w:t>
      </w:r>
    </w:p>
    <w:p w14:paraId="13033E46">
      <w:pPr>
        <w:keepNext w:val="0"/>
        <w:keepLines w:val="0"/>
        <w:pageBreakBefore w:val="0"/>
        <w:widowControl w:val="0"/>
        <w:kinsoku/>
        <w:wordWrap/>
        <w:overflowPunct/>
        <w:topLinePunct w:val="0"/>
        <w:autoSpaceDE/>
        <w:autoSpaceDN/>
        <w:bidi w:val="0"/>
        <w:adjustRightInd/>
        <w:spacing w:line="440" w:lineRule="exact"/>
        <w:jc w:val="both"/>
        <w:textAlignment w:val="auto"/>
        <w:rPr>
          <w:rFonts w:hint="default"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 xml:space="preserve">       中标费率=中标价/本项目销售数量暂定金额*100%</w:t>
      </w:r>
    </w:p>
    <w:p w14:paraId="1575E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代理销售服务费已包含包括承担本项目服务所需的一切人员工资、奖金、各种加班费、夜餐费、高温补贴费、训练费、社会保险、食宿与交通、队员服装、安全管理费用、税费、利润、招标代理脬务费等完成合同所需的一切本身和不可或缺的所有工作开支、政策性文件规定及合同包含的所有风险、责任等各项全部费用并承担一切风险责任。</w:t>
      </w:r>
    </w:p>
    <w:p w14:paraId="030397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eastAsia="宋体"/>
          <w:color w:val="auto"/>
          <w:sz w:val="21"/>
          <w:szCs w:val="21"/>
          <w:highlight w:val="none"/>
        </w:rPr>
      </w:pPr>
      <w:r>
        <w:rPr>
          <w:rFonts w:hint="eastAsia" w:ascii="宋体" w:eastAsia="宋体"/>
          <w:color w:val="auto"/>
          <w:sz w:val="21"/>
          <w:szCs w:val="21"/>
          <w:highlight w:val="none"/>
        </w:rPr>
        <w:t>（</w:t>
      </w:r>
      <w:r>
        <w:rPr>
          <w:rFonts w:hint="eastAsia" w:ascii="宋体" w:eastAsia="宋体"/>
          <w:color w:val="auto"/>
          <w:sz w:val="21"/>
          <w:szCs w:val="21"/>
          <w:highlight w:val="none"/>
          <w:lang w:val="en-US" w:eastAsia="zh-CN"/>
        </w:rPr>
        <w:t>二</w:t>
      </w:r>
      <w:r>
        <w:rPr>
          <w:rFonts w:hint="eastAsia" w:ascii="宋体" w:eastAsia="宋体"/>
          <w:color w:val="auto"/>
          <w:sz w:val="21"/>
          <w:szCs w:val="21"/>
          <w:highlight w:val="none"/>
        </w:rPr>
        <w:t>）</w:t>
      </w:r>
      <w:r>
        <w:rPr>
          <w:rFonts w:hint="eastAsia" w:ascii="宋体" w:eastAsia="宋体"/>
          <w:color w:val="auto"/>
          <w:sz w:val="21"/>
          <w:szCs w:val="21"/>
          <w:highlight w:val="none"/>
          <w:lang w:val="en-US" w:eastAsia="zh-CN"/>
        </w:rPr>
        <w:t>考核</w:t>
      </w:r>
      <w:r>
        <w:rPr>
          <w:rFonts w:hint="eastAsia" w:ascii="宋体" w:eastAsia="宋体"/>
          <w:color w:val="auto"/>
          <w:sz w:val="21"/>
          <w:szCs w:val="21"/>
          <w:highlight w:val="none"/>
        </w:rPr>
        <w:t>范围</w:t>
      </w:r>
    </w:p>
    <w:p w14:paraId="76639F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本项目</w:t>
      </w:r>
      <w:r>
        <w:rPr>
          <w:rFonts w:hint="eastAsia" w:ascii="宋体" w:hAnsi="宋体" w:eastAsia="宋体" w:cs="宋体"/>
          <w:b w:val="0"/>
          <w:bCs w:val="0"/>
          <w:color w:val="auto"/>
          <w:szCs w:val="21"/>
          <w:highlight w:val="none"/>
          <w:lang w:val="en-US" w:eastAsia="zh-CN"/>
        </w:rPr>
        <w:t>所有可售产品，均纳入销售考核。</w:t>
      </w:r>
    </w:p>
    <w:p w14:paraId="24D14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2.本项目按以下表格进行考核：</w:t>
      </w:r>
    </w:p>
    <w:tbl>
      <w:tblPr>
        <w:tblStyle w:val="33"/>
        <w:tblW w:w="1056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78"/>
        <w:gridCol w:w="3517"/>
        <w:gridCol w:w="1334"/>
        <w:gridCol w:w="2761"/>
        <w:gridCol w:w="1270"/>
      </w:tblGrid>
      <w:tr w14:paraId="5007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5" w:hRule="atLeast"/>
          <w:tblCellSpacing w:w="0" w:type="dxa"/>
          <w:jc w:val="center"/>
        </w:trPr>
        <w:tc>
          <w:tcPr>
            <w:tcW w:w="10560"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9AC5A6">
            <w:pPr>
              <w:pStyle w:val="30"/>
              <w:keepNext w:val="0"/>
              <w:keepLines w:val="0"/>
              <w:widowControl/>
              <w:suppressLineNumbers w:val="0"/>
              <w:spacing w:before="0" w:beforeAutospacing="0" w:after="0" w:afterAutospacing="0"/>
              <w:ind w:left="0" w:right="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考 核 表</w:t>
            </w:r>
          </w:p>
        </w:tc>
      </w:tr>
      <w:tr w14:paraId="5218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tblCellSpacing w:w="0" w:type="dxa"/>
          <w:jc w:val="center"/>
        </w:trPr>
        <w:tc>
          <w:tcPr>
            <w:tcW w:w="1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D157FB9">
            <w:pPr>
              <w:pStyle w:val="30"/>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销售节点</w:t>
            </w:r>
          </w:p>
        </w:tc>
        <w:tc>
          <w:tcPr>
            <w:tcW w:w="35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04FA2B">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销售目标</w:t>
            </w:r>
          </w:p>
        </w:tc>
        <w:tc>
          <w:tcPr>
            <w:tcW w:w="13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95DD28">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考核结果</w:t>
            </w:r>
          </w:p>
        </w:tc>
        <w:tc>
          <w:tcPr>
            <w:tcW w:w="276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AA2AE0">
            <w:pPr>
              <w:pStyle w:val="30"/>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甲方权义</w:t>
            </w:r>
          </w:p>
        </w:tc>
        <w:tc>
          <w:tcPr>
            <w:tcW w:w="12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85299A0">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结算系数</w:t>
            </w:r>
          </w:p>
        </w:tc>
      </w:tr>
      <w:tr w14:paraId="627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7" w:hRule="atLeast"/>
          <w:tblCellSpacing w:w="0" w:type="dxa"/>
          <w:jc w:val="center"/>
        </w:trPr>
        <w:tc>
          <w:tcPr>
            <w:tcW w:w="10560"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919C032">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本项目分2年期实施，总计销售目标为144套，第一年销售目标为100套，第二年销售目标为44套。</w:t>
            </w:r>
          </w:p>
        </w:tc>
      </w:tr>
      <w:tr w14:paraId="048C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blCellSpacing w:w="0" w:type="dxa"/>
          <w:jc w:val="center"/>
        </w:trPr>
        <w:tc>
          <w:tcPr>
            <w:tcW w:w="1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63471F8">
            <w:pPr>
              <w:pStyle w:val="3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项目进度满6个月</w:t>
            </w:r>
          </w:p>
        </w:tc>
        <w:tc>
          <w:tcPr>
            <w:tcW w:w="3517"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26BD6DA7">
            <w:pPr>
              <w:pStyle w:val="3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销售目标＜第一年销售目标30%</w:t>
            </w:r>
          </w:p>
        </w:tc>
        <w:tc>
          <w:tcPr>
            <w:tcW w:w="1334"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343B20EB">
            <w:pPr>
              <w:pStyle w:val="30"/>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不合格</w:t>
            </w:r>
          </w:p>
        </w:tc>
        <w:tc>
          <w:tcPr>
            <w:tcW w:w="2761"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058D2492">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1.甲方有权终止合同</w:t>
            </w:r>
          </w:p>
          <w:p w14:paraId="10A36E69">
            <w:pPr>
              <w:pStyle w:val="30"/>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2.如乙方在项目前期已倾注大量人力、物力资源，专门组建营销团队推进项目推广，且已积累优质潜在客户资源，其后续转化具备较高可能性；基于 “前期投入需匹配后期成果” 的合作理念，甲方经综合评估后，可不予终止本合同。</w:t>
            </w:r>
          </w:p>
        </w:tc>
        <w:tc>
          <w:tcPr>
            <w:tcW w:w="1270"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70E3EBA1">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r>
      <w:tr w14:paraId="50D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52" w:hRule="atLeast"/>
          <w:tblCellSpacing w:w="0" w:type="dxa"/>
          <w:jc w:val="center"/>
        </w:trPr>
        <w:tc>
          <w:tcPr>
            <w:tcW w:w="16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6F93F7">
            <w:pPr>
              <w:pStyle w:val="3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项目进度满12个月</w:t>
            </w:r>
          </w:p>
        </w:tc>
        <w:tc>
          <w:tcPr>
            <w:tcW w:w="3517"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3E8192DE">
            <w:pPr>
              <w:pStyle w:val="3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销售目标≥第一年销售目标70%</w:t>
            </w:r>
          </w:p>
        </w:tc>
        <w:tc>
          <w:tcPr>
            <w:tcW w:w="1334" w:type="dxa"/>
            <w:tcBorders>
              <w:top w:val="single" w:color="auto" w:sz="4" w:space="0"/>
              <w:left w:val="single" w:color="auto" w:sz="4" w:space="0"/>
              <w:right w:val="single" w:color="auto" w:sz="4" w:space="0"/>
            </w:tcBorders>
            <w:shd w:val="clear" w:color="auto" w:fill="auto"/>
            <w:tcMar>
              <w:left w:w="108" w:type="dxa"/>
              <w:right w:w="108" w:type="dxa"/>
            </w:tcMar>
            <w:vAlign w:val="center"/>
          </w:tcPr>
          <w:p w14:paraId="7B5A74F5">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合格</w:t>
            </w:r>
          </w:p>
        </w:tc>
        <w:tc>
          <w:tcPr>
            <w:tcW w:w="276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C4D470">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由甲方按年销售目标并结合乙方销售期间整体服务质量等因素，决定是否与乙方续签下一年度代销合同</w:t>
            </w:r>
          </w:p>
        </w:tc>
        <w:tc>
          <w:tcPr>
            <w:tcW w:w="12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2A4BF4">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r>
      <w:tr w14:paraId="22C5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7" w:hRule="atLeast"/>
          <w:tblCellSpacing w:w="0" w:type="dxa"/>
          <w:jc w:val="center"/>
        </w:trPr>
        <w:tc>
          <w:tcPr>
            <w:tcW w:w="1678" w:type="dxa"/>
            <w:vMerge w:val="restart"/>
            <w:shd w:val="clear" w:color="auto" w:fill="auto"/>
            <w:tcMar>
              <w:left w:w="108" w:type="dxa"/>
              <w:right w:w="108" w:type="dxa"/>
            </w:tcMar>
            <w:vAlign w:val="center"/>
          </w:tcPr>
          <w:p w14:paraId="313D45F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项目进度满24个月</w:t>
            </w:r>
          </w:p>
        </w:tc>
        <w:tc>
          <w:tcPr>
            <w:tcW w:w="3517"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left w:w="108" w:type="dxa"/>
              <w:right w:w="108" w:type="dxa"/>
            </w:tcMar>
            <w:vAlign w:val="center"/>
          </w:tcPr>
          <w:p w14:paraId="6EEBFCF7">
            <w:pPr>
              <w:pStyle w:val="30"/>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整体销售目标＜80%</w:t>
            </w:r>
          </w:p>
        </w:tc>
        <w:tc>
          <w:tcPr>
            <w:tcW w:w="1334" w:type="dxa"/>
            <w:tcBorders>
              <w:top w:val="single" w:color="000000" w:themeColor="text1" w:sz="4" w:space="0"/>
              <w:left w:val="single" w:color="000000" w:themeColor="text1" w:sz="4" w:space="0"/>
              <w:bottom w:val="single" w:color="auto" w:sz="4" w:space="0"/>
              <w:right w:val="single" w:color="auto" w:sz="4" w:space="0"/>
            </w:tcBorders>
            <w:shd w:val="clear" w:color="auto" w:fill="auto"/>
            <w:tcMar>
              <w:left w:w="108" w:type="dxa"/>
              <w:right w:w="108" w:type="dxa"/>
            </w:tcMar>
            <w:vAlign w:val="center"/>
          </w:tcPr>
          <w:p w14:paraId="107653D1">
            <w:pPr>
              <w:pStyle w:val="30"/>
              <w:keepNext w:val="0"/>
              <w:keepLines w:val="0"/>
              <w:widowControl/>
              <w:suppressLineNumbers w:val="0"/>
              <w:spacing w:before="0" w:beforeAutospacing="0" w:after="0" w:afterAutospacing="0"/>
              <w:ind w:right="0" w:righ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不合格</w:t>
            </w:r>
          </w:p>
        </w:tc>
        <w:tc>
          <w:tcPr>
            <w:tcW w:w="2761" w:type="dxa"/>
            <w:tcBorders>
              <w:top w:val="single" w:color="000000" w:themeColor="text1" w:sz="4" w:space="0"/>
              <w:left w:val="single" w:color="auto" w:sz="4" w:space="0"/>
              <w:bottom w:val="single" w:color="000000" w:themeColor="text1" w:sz="4" w:space="0"/>
              <w:right w:val="single" w:color="auto" w:sz="4" w:space="0"/>
            </w:tcBorders>
            <w:shd w:val="clear" w:color="auto" w:fill="auto"/>
            <w:tcMar>
              <w:left w:w="108" w:type="dxa"/>
              <w:right w:w="108" w:type="dxa"/>
            </w:tcMar>
            <w:vAlign w:val="center"/>
          </w:tcPr>
          <w:p w14:paraId="7109EC28">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p>
        </w:tc>
        <w:tc>
          <w:tcPr>
            <w:tcW w:w="12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left w:w="108" w:type="dxa"/>
              <w:right w:w="108" w:type="dxa"/>
            </w:tcMar>
            <w:vAlign w:val="center"/>
          </w:tcPr>
          <w:p w14:paraId="6DD3B3D8">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r>
      <w:tr w14:paraId="14B6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tblCellSpacing w:w="0" w:type="dxa"/>
          <w:jc w:val="center"/>
        </w:trPr>
        <w:tc>
          <w:tcPr>
            <w:tcW w:w="1678" w:type="dxa"/>
            <w:vMerge w:val="continue"/>
            <w:shd w:val="clear" w:color="auto" w:fill="auto"/>
            <w:tcMar>
              <w:left w:w="108" w:type="dxa"/>
              <w:right w:w="108" w:type="dxa"/>
            </w:tcMar>
            <w:vAlign w:val="center"/>
          </w:tcPr>
          <w:p w14:paraId="01F6E3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517" w:type="dxa"/>
            <w:tcBorders>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1034F8FF">
            <w:pPr>
              <w:pStyle w:val="30"/>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整体销售目标≥80%</w:t>
            </w:r>
          </w:p>
        </w:tc>
        <w:tc>
          <w:tcPr>
            <w:tcW w:w="133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left w:w="108" w:type="dxa"/>
              <w:right w:w="108" w:type="dxa"/>
            </w:tcMar>
            <w:vAlign w:val="center"/>
          </w:tcPr>
          <w:p w14:paraId="60C24E63">
            <w:pPr>
              <w:pStyle w:val="30"/>
              <w:keepNext w:val="0"/>
              <w:keepLines w:val="0"/>
              <w:widowControl/>
              <w:suppressLineNumbers w:val="0"/>
              <w:spacing w:before="0" w:beforeAutospacing="0" w:after="0" w:afterAutospacing="0"/>
              <w:ind w:right="0" w:righ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合格</w:t>
            </w:r>
          </w:p>
        </w:tc>
        <w:tc>
          <w:tcPr>
            <w:tcW w:w="2761" w:type="dxa"/>
            <w:tcBorders>
              <w:top w:val="single" w:color="000000" w:themeColor="text1" w:sz="4" w:space="0"/>
              <w:left w:val="single" w:color="auto" w:sz="4" w:space="0"/>
              <w:bottom w:val="single" w:color="000000" w:themeColor="text1" w:sz="4" w:space="0"/>
              <w:right w:val="single" w:color="auto" w:sz="4" w:space="0"/>
            </w:tcBorders>
            <w:shd w:val="clear" w:color="auto" w:fill="auto"/>
            <w:tcMar>
              <w:left w:w="108" w:type="dxa"/>
              <w:right w:w="108" w:type="dxa"/>
            </w:tcMar>
            <w:vAlign w:val="center"/>
          </w:tcPr>
          <w:p w14:paraId="0F052AEC">
            <w:pPr>
              <w:pStyle w:val="30"/>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p>
        </w:tc>
        <w:tc>
          <w:tcPr>
            <w:tcW w:w="127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left w:w="108" w:type="dxa"/>
              <w:right w:w="108" w:type="dxa"/>
            </w:tcMar>
            <w:vAlign w:val="center"/>
          </w:tcPr>
          <w:p w14:paraId="7E01F541">
            <w:pPr>
              <w:pStyle w:val="3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r>
    </w:tbl>
    <w:p w14:paraId="3021FBB6">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五、付款方式及结算：</w:t>
      </w:r>
    </w:p>
    <w:p w14:paraId="5884974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lang w:val="en-US" w:eastAsia="zh-CN"/>
        </w:rPr>
        <w:t>代理销售服务费支付方式</w:t>
      </w:r>
      <w:r>
        <w:rPr>
          <w:rFonts w:hint="eastAsia" w:ascii="宋体" w:hAnsi="宋体" w:cs="宋体"/>
          <w:b/>
          <w:bCs/>
          <w:color w:val="auto"/>
          <w:szCs w:val="21"/>
          <w:highlight w:val="none"/>
          <w:lang w:val="en-US" w:eastAsia="zh-CN"/>
        </w:rPr>
        <w:t>[每季度</w:t>
      </w:r>
      <w:r>
        <w:rPr>
          <w:rFonts w:hint="eastAsia" w:ascii="宋体" w:hAnsi="宋体" w:eastAsia="宋体" w:cs="宋体"/>
          <w:b/>
          <w:bCs/>
          <w:color w:val="auto"/>
          <w:szCs w:val="21"/>
          <w:highlight w:val="none"/>
          <w:lang w:val="en-US" w:eastAsia="zh-CN"/>
        </w:rPr>
        <w:t>代理销售服务费按</w:t>
      </w:r>
      <w:r>
        <w:rPr>
          <w:rFonts w:hint="eastAsia" w:ascii="宋体" w:hAnsi="宋体" w:cs="宋体"/>
          <w:b/>
          <w:bCs/>
          <w:color w:val="auto"/>
          <w:szCs w:val="21"/>
          <w:highlight w:val="none"/>
          <w:lang w:val="en-US" w:eastAsia="zh-CN"/>
        </w:rPr>
        <w:t>该</w:t>
      </w:r>
      <w:r>
        <w:rPr>
          <w:rFonts w:hint="eastAsia" w:ascii="宋体" w:hAnsi="宋体" w:eastAsia="宋体" w:cs="宋体"/>
          <w:b/>
          <w:bCs/>
          <w:color w:val="auto"/>
          <w:szCs w:val="21"/>
          <w:highlight w:val="none"/>
          <w:lang w:val="en-US" w:eastAsia="zh-CN"/>
        </w:rPr>
        <w:t>季度实际</w:t>
      </w:r>
      <w:r>
        <w:rPr>
          <w:rFonts w:hint="eastAsia" w:ascii="宋体" w:hAnsi="宋体" w:cs="宋体"/>
          <w:b/>
          <w:bCs/>
          <w:color w:val="auto"/>
          <w:szCs w:val="21"/>
          <w:highlight w:val="none"/>
          <w:lang w:val="en-US" w:eastAsia="zh-CN"/>
        </w:rPr>
        <w:t>销售产品</w:t>
      </w:r>
      <w:r>
        <w:rPr>
          <w:rFonts w:hint="eastAsia" w:ascii="宋体" w:hAnsi="宋体" w:eastAsia="宋体" w:cs="宋体"/>
          <w:b/>
          <w:bCs/>
          <w:color w:val="auto"/>
          <w:szCs w:val="21"/>
          <w:highlight w:val="none"/>
          <w:lang w:val="en-US" w:eastAsia="zh-CN"/>
        </w:rPr>
        <w:t>的销售金额×</w:t>
      </w:r>
      <w:r>
        <w:rPr>
          <w:rFonts w:hint="eastAsia" w:ascii="宋体" w:hAnsi="宋体" w:cs="宋体"/>
          <w:b/>
          <w:bCs/>
          <w:color w:val="auto"/>
          <w:szCs w:val="21"/>
          <w:highlight w:val="none"/>
          <w:lang w:val="en-US" w:eastAsia="zh-CN"/>
        </w:rPr>
        <w:t>对应销售产品的</w:t>
      </w:r>
      <w:r>
        <w:rPr>
          <w:rFonts w:hint="eastAsia" w:ascii="宋体" w:hAnsi="宋体" w:eastAsia="宋体" w:cs="宋体"/>
          <w:b/>
          <w:bCs/>
          <w:color w:val="auto"/>
          <w:szCs w:val="21"/>
          <w:highlight w:val="none"/>
          <w:lang w:val="en-US" w:eastAsia="zh-CN"/>
        </w:rPr>
        <w:t>中标费率</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w:t>
      </w:r>
    </w:p>
    <w:p w14:paraId="22F9371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①合同签订</w:t>
      </w:r>
      <w:r>
        <w:rPr>
          <w:rFonts w:hint="eastAsia" w:ascii="宋体" w:hAnsi="宋体" w:cs="宋体"/>
          <w:color w:val="auto"/>
          <w:szCs w:val="21"/>
          <w:highlight w:val="none"/>
          <w:lang w:val="en-US" w:eastAsia="zh-CN"/>
        </w:rPr>
        <w:t>，乙方提交</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总价的15%等额预付款担保后（担保形式应符合相关文件规定及甲方要求），甲方支付</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val="en-US" w:eastAsia="zh-CN"/>
        </w:rPr>
        <w:t>价</w:t>
      </w:r>
      <w:r>
        <w:rPr>
          <w:rFonts w:hint="eastAsia" w:ascii="宋体" w:hAnsi="宋体" w:cs="宋体"/>
          <w:color w:val="auto"/>
          <w:szCs w:val="21"/>
          <w:highlight w:val="none"/>
          <w:lang w:val="en-US" w:eastAsia="zh-CN"/>
        </w:rPr>
        <w:t>的15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作为预付款；</w:t>
      </w:r>
    </w:p>
    <w:p w14:paraId="3FA069C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预付款分四期等额扣回，当期进度款支付金额不足以扣回预付款金额的，进度款不予支付且不扣预付款，累计至下期支付进度款足额并同时扣回该期工程预付款。</w:t>
      </w:r>
    </w:p>
    <w:p w14:paraId="7CB08DF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②乙方在上季度结束后按相关销售数据（经甲方审核确认）向甲方申请支付上一季度的代理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（销售数据截止到上季度月最后一个日历天北京时间24：00点整），甲方</w:t>
      </w:r>
      <w:r>
        <w:rPr>
          <w:rFonts w:hint="eastAsia" w:ascii="宋体" w:hAnsi="宋体" w:cs="宋体"/>
          <w:color w:val="auto"/>
          <w:szCs w:val="21"/>
          <w:highlight w:val="none"/>
          <w:lang w:eastAsia="zh-CN"/>
        </w:rPr>
        <w:t>按照</w:t>
      </w:r>
      <w:r>
        <w:rPr>
          <w:rFonts w:hint="eastAsia" w:ascii="宋体" w:hAnsi="宋体" w:cs="宋体"/>
          <w:color w:val="auto"/>
          <w:szCs w:val="21"/>
          <w:highlight w:val="none"/>
          <w:lang w:val="en-US" w:eastAsia="zh-CN"/>
        </w:rPr>
        <w:t>审核后的上季度代理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的80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进行支付；</w:t>
      </w:r>
    </w:p>
    <w:p w14:paraId="1133DFB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③剩余代理销售服务费待合同实施满两年后根据“考核表”考核标准进行结算支付</w:t>
      </w:r>
      <w:r>
        <w:rPr>
          <w:rFonts w:hint="eastAsia" w:ascii="宋体" w:hAnsi="宋体" w:eastAsia="宋体" w:cs="宋体"/>
          <w:color w:val="auto"/>
          <w:szCs w:val="21"/>
          <w:highlight w:val="none"/>
          <w:lang w:val="en-US" w:eastAsia="zh-CN"/>
        </w:rPr>
        <w:t>（非</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原因导致交付工作未完成时可由双方另行协商）。</w:t>
      </w:r>
    </w:p>
    <w:p w14:paraId="547D2A8F">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注：（1）</w:t>
      </w:r>
      <w:r>
        <w:rPr>
          <w:rFonts w:hint="eastAsia" w:ascii="宋体" w:hAnsi="宋体" w:eastAsia="宋体"/>
          <w:b/>
          <w:bCs/>
          <w:color w:val="auto"/>
          <w:sz w:val="21"/>
          <w:szCs w:val="21"/>
          <w:highlight w:val="none"/>
        </w:rPr>
        <w:t>上述销售金额是指已到甲方财务实际账户金额。</w:t>
      </w:r>
    </w:p>
    <w:p w14:paraId="5705FF7C">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每期付款前，</w:t>
      </w:r>
      <w:r>
        <w:rPr>
          <w:rFonts w:hint="eastAsia" w:ascii="宋体" w:hAnsi="宋体"/>
          <w:b/>
          <w:bCs/>
          <w:color w:val="auto"/>
          <w:sz w:val="21"/>
          <w:szCs w:val="21"/>
          <w:highlight w:val="none"/>
          <w:lang w:val="en-US" w:eastAsia="zh-CN"/>
        </w:rPr>
        <w:t>乙方</w:t>
      </w:r>
      <w:r>
        <w:rPr>
          <w:rFonts w:hint="eastAsia" w:ascii="宋体" w:hAnsi="宋体"/>
          <w:b/>
          <w:bCs/>
          <w:color w:val="auto"/>
          <w:sz w:val="21"/>
          <w:szCs w:val="21"/>
          <w:highlight w:val="none"/>
          <w:lang w:eastAsia="zh-CN"/>
        </w:rPr>
        <w:t>应提供</w:t>
      </w:r>
      <w:r>
        <w:rPr>
          <w:rFonts w:hint="eastAsia" w:ascii="宋体" w:hAnsi="宋体"/>
          <w:b/>
          <w:bCs/>
          <w:color w:val="auto"/>
          <w:sz w:val="21"/>
          <w:szCs w:val="21"/>
          <w:highlight w:val="none"/>
          <w:lang w:val="en-US" w:eastAsia="zh-CN"/>
        </w:rPr>
        <w:t>经甲方</w:t>
      </w:r>
      <w:r>
        <w:rPr>
          <w:rFonts w:hint="eastAsia" w:ascii="宋体" w:hAnsi="宋体"/>
          <w:b/>
          <w:bCs/>
          <w:color w:val="auto"/>
          <w:sz w:val="21"/>
          <w:szCs w:val="21"/>
          <w:highlight w:val="none"/>
          <w:lang w:eastAsia="zh-CN"/>
        </w:rPr>
        <w:t>审核确认的增值税专用发票金额，税金由</w:t>
      </w:r>
      <w:r>
        <w:rPr>
          <w:rFonts w:hint="eastAsia" w:ascii="宋体" w:hAnsi="宋体"/>
          <w:b/>
          <w:bCs/>
          <w:color w:val="auto"/>
          <w:sz w:val="21"/>
          <w:szCs w:val="21"/>
          <w:highlight w:val="none"/>
          <w:lang w:val="en-US" w:eastAsia="zh-CN"/>
        </w:rPr>
        <w:t>乙方</w:t>
      </w:r>
      <w:r>
        <w:rPr>
          <w:rFonts w:hint="eastAsia" w:ascii="宋体" w:hAnsi="宋体"/>
          <w:b/>
          <w:bCs/>
          <w:color w:val="auto"/>
          <w:sz w:val="21"/>
          <w:szCs w:val="21"/>
          <w:highlight w:val="none"/>
          <w:lang w:eastAsia="zh-CN"/>
        </w:rPr>
        <w:t>承担。</w:t>
      </w:r>
    </w:p>
    <w:p w14:paraId="12E8B0C9">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所有款项乙方在每次申请支付后10个工作日</w:t>
      </w:r>
      <w:r>
        <w:rPr>
          <w:rFonts w:hint="eastAsia" w:ascii="宋体" w:hAnsi="宋体"/>
          <w:b/>
          <w:bCs/>
          <w:color w:val="auto"/>
          <w:sz w:val="21"/>
          <w:szCs w:val="21"/>
          <w:highlight w:val="none"/>
          <w:lang w:val="en-US" w:eastAsia="zh-CN"/>
        </w:rPr>
        <w:t>内</w:t>
      </w:r>
      <w:r>
        <w:rPr>
          <w:rFonts w:hint="eastAsia" w:ascii="宋体" w:hAnsi="宋体" w:eastAsia="宋体"/>
          <w:b/>
          <w:bCs/>
          <w:color w:val="auto"/>
          <w:sz w:val="21"/>
          <w:szCs w:val="21"/>
          <w:highlight w:val="none"/>
        </w:rPr>
        <w:t>，由甲方以转账方式支付给乙方</w:t>
      </w:r>
      <w:r>
        <w:rPr>
          <w:rFonts w:hint="eastAsia" w:ascii="宋体" w:hAnsi="宋体" w:eastAsia="宋体"/>
          <w:color w:val="auto"/>
          <w:sz w:val="21"/>
          <w:szCs w:val="21"/>
          <w:highlight w:val="none"/>
        </w:rPr>
        <w:t>，</w:t>
      </w:r>
      <w:r>
        <w:rPr>
          <w:rFonts w:hint="eastAsia" w:ascii="宋体" w:hAnsi="宋体" w:eastAsia="宋体"/>
          <w:b/>
          <w:bCs/>
          <w:color w:val="auto"/>
          <w:sz w:val="21"/>
          <w:szCs w:val="21"/>
          <w:highlight w:val="none"/>
        </w:rPr>
        <w:t>须向甲方提供有效的增值税专用发票。此项目发生的与本合同执行有关的一切税费均由乙方负担。</w:t>
      </w:r>
    </w:p>
    <w:p w14:paraId="416BB82D">
      <w:pPr>
        <w:keepNext w:val="0"/>
        <w:keepLines w:val="0"/>
        <w:pageBreakBefore w:val="0"/>
        <w:widowControl w:val="0"/>
        <w:kinsoku/>
        <w:wordWrap/>
        <w:overflowPunct/>
        <w:topLinePunct w:val="0"/>
        <w:autoSpaceDE/>
        <w:autoSpaceDN/>
        <w:bidi w:val="0"/>
        <w:adjustRightInd w:val="0"/>
        <w:spacing w:line="440" w:lineRule="exact"/>
        <w:ind w:firstLine="630" w:firstLineChars="300"/>
        <w:jc w:val="both"/>
        <w:textAlignment w:val="auto"/>
        <w:rPr>
          <w:rFonts w:hint="eastAsia" w:ascii="宋体" w:eastAsia="宋体"/>
          <w:color w:val="auto"/>
          <w:sz w:val="21"/>
          <w:szCs w:val="21"/>
          <w:highlight w:val="none"/>
          <w:u w:val="single"/>
          <w:lang w:eastAsia="zh-CN"/>
        </w:rPr>
      </w:pPr>
      <w:r>
        <w:rPr>
          <w:rFonts w:hint="eastAsia" w:ascii="宋体" w:eastAsia="宋体"/>
          <w:color w:val="auto"/>
          <w:sz w:val="21"/>
          <w:szCs w:val="21"/>
          <w:highlight w:val="none"/>
        </w:rPr>
        <w:t>乙方户名：</w:t>
      </w:r>
      <w:r>
        <w:rPr>
          <w:rFonts w:ascii="宋体" w:eastAsia="宋体"/>
          <w:color w:val="auto"/>
          <w:sz w:val="21"/>
          <w:szCs w:val="21"/>
          <w:highlight w:val="none"/>
          <w:u w:val="single"/>
        </w:rPr>
        <w:t xml:space="preserve">                                   </w:t>
      </w:r>
      <w:r>
        <w:rPr>
          <w:rFonts w:hint="eastAsia" w:ascii="宋体"/>
          <w:color w:val="auto"/>
          <w:sz w:val="21"/>
          <w:szCs w:val="21"/>
          <w:highlight w:val="none"/>
          <w:u w:val="single"/>
          <w:lang w:val="en-US" w:eastAsia="zh-CN"/>
        </w:rPr>
        <w:t xml:space="preserve"> </w:t>
      </w:r>
    </w:p>
    <w:p w14:paraId="680AFB13">
      <w:pPr>
        <w:keepNext w:val="0"/>
        <w:keepLines w:val="0"/>
        <w:pageBreakBefore w:val="0"/>
        <w:widowControl w:val="0"/>
        <w:kinsoku/>
        <w:wordWrap/>
        <w:overflowPunct/>
        <w:topLinePunct w:val="0"/>
        <w:autoSpaceDE/>
        <w:autoSpaceDN/>
        <w:bidi w:val="0"/>
        <w:spacing w:line="440" w:lineRule="exact"/>
        <w:ind w:firstLine="630" w:firstLineChars="300"/>
        <w:textAlignment w:val="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乙方开户银行：</w:t>
      </w:r>
      <w:r>
        <w:rPr>
          <w:rFonts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14:paraId="51750AD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30" w:firstLineChars="300"/>
        <w:textAlignment w:val="auto"/>
        <w:rPr>
          <w:rFonts w:hint="eastAsia" w:ascii="宋体" w:hAnsi="宋体" w:cs="宋体"/>
          <w:color w:val="auto"/>
          <w:szCs w:val="21"/>
          <w:highlight w:val="none"/>
          <w:lang w:val="en-US" w:eastAsia="zh-CN"/>
        </w:rPr>
      </w:pPr>
      <w:r>
        <w:rPr>
          <w:rFonts w:hint="eastAsia" w:ascii="宋体" w:hAnsi="宋体" w:eastAsia="宋体"/>
          <w:color w:val="auto"/>
          <w:sz w:val="21"/>
          <w:szCs w:val="21"/>
          <w:highlight w:val="none"/>
        </w:rPr>
        <w:t>乙方账号：</w:t>
      </w:r>
      <w:r>
        <w:rPr>
          <w:rFonts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14:paraId="50A2C92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（二）结算</w:t>
      </w:r>
    </w:p>
    <w:p w14:paraId="20EAEBC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1.甲方根据“考核表”考核结果及结算比例对代理销售服务费进行结算，结算价=实际销售金额*中标费率*结算系数+溢价奖励金额 + 销售数量超额奖励金。</w:t>
      </w:r>
    </w:p>
    <w:p w14:paraId="729A6BA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cs="宋体"/>
          <w:b/>
          <w:bCs/>
          <w:color w:val="auto"/>
          <w:szCs w:val="21"/>
          <w:highlight w:val="none"/>
          <w:lang w:val="en-US" w:eastAsia="zh-CN"/>
        </w:rPr>
        <w:t>中标费率</w:t>
      </w:r>
      <w:r>
        <w:rPr>
          <w:rFonts w:hint="eastAsia" w:ascii="宋体" w:hAnsi="宋体" w:cs="宋体"/>
          <w:color w:val="auto"/>
          <w:szCs w:val="21"/>
          <w:highlight w:val="none"/>
          <w:lang w:val="en-US" w:eastAsia="zh-CN"/>
        </w:rPr>
        <w:t>=中标价/本项目销售数量暂定金额*100%</w:t>
      </w:r>
    </w:p>
    <w:p w14:paraId="12BD9FB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cs="宋体"/>
          <w:b/>
          <w:bCs/>
          <w:color w:val="auto"/>
          <w:szCs w:val="21"/>
          <w:highlight w:val="none"/>
          <w:lang w:val="en-US" w:eastAsia="zh-CN"/>
        </w:rPr>
        <w:t>结算系数：</w:t>
      </w:r>
      <w:r>
        <w:rPr>
          <w:rFonts w:hint="eastAsia" w:ascii="宋体" w:hAnsi="宋体" w:cs="宋体"/>
          <w:color w:val="auto"/>
          <w:szCs w:val="21"/>
          <w:highlight w:val="none"/>
          <w:lang w:val="en-US" w:eastAsia="zh-CN"/>
        </w:rPr>
        <w:t>详见考核表。</w:t>
      </w:r>
    </w:p>
    <w:p w14:paraId="7CE4F1C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r>
        <w:rPr>
          <w:rFonts w:hint="eastAsia" w:ascii="宋体" w:hAnsi="宋体" w:cs="宋体"/>
          <w:b/>
          <w:bCs/>
          <w:color w:val="auto"/>
          <w:szCs w:val="21"/>
          <w:highlight w:val="none"/>
          <w:lang w:val="en-US" w:eastAsia="zh-CN"/>
        </w:rPr>
        <w:t>溢价奖励：</w:t>
      </w:r>
    </w:p>
    <w:p w14:paraId="276D026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Y=实际销售均价，X为销售单价基准值均价（销售单价基准值由采购人按月调整，每月10日为价格调整日）。</w:t>
      </w:r>
    </w:p>
    <w:p w14:paraId="4ACA6A3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30" w:firstLineChars="3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Y≥X时，产生的超额收入【超额收入=（Y-X）*销售面积】，按超额收入的【30%】作为奖励金支付给</w:t>
      </w:r>
      <w:r>
        <w:rPr>
          <w:rFonts w:hint="eastAsia" w:ascii="宋体" w:hAnsi="宋体" w:cs="宋体"/>
          <w:color w:val="auto"/>
          <w:szCs w:val="21"/>
          <w:highlight w:val="none"/>
          <w:lang w:val="en-US" w:eastAsia="zh-Hans"/>
        </w:rPr>
        <w:t>乙方</w:t>
      </w:r>
      <w:r>
        <w:rPr>
          <w:rFonts w:hint="eastAsia" w:ascii="宋体" w:hAnsi="宋体" w:cs="宋体"/>
          <w:color w:val="auto"/>
          <w:szCs w:val="21"/>
          <w:highlight w:val="none"/>
          <w:lang w:val="en-US" w:eastAsia="zh-CN"/>
        </w:rPr>
        <w:t>；</w:t>
      </w:r>
    </w:p>
    <w:p w14:paraId="26E7017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cs="宋体"/>
          <w:b/>
          <w:bCs/>
          <w:color w:val="auto"/>
          <w:szCs w:val="21"/>
          <w:highlight w:val="none"/>
          <w:lang w:val="en-US" w:eastAsia="zh-CN"/>
        </w:rPr>
        <w:t>销售数量超额奖励金：</w:t>
      </w:r>
      <w:r>
        <w:rPr>
          <w:rFonts w:hint="eastAsia" w:ascii="宋体" w:hAnsi="宋体" w:cs="宋体"/>
          <w:color w:val="auto"/>
          <w:szCs w:val="21"/>
          <w:highlight w:val="none"/>
          <w:lang w:val="en-US" w:eastAsia="zh-CN"/>
        </w:rPr>
        <w:t>第一年销售数量超出第一年销售目标10%时，销售数量超额奖励金=（第一年销售数量对应总金额 - 第一年销售目标对应金额）*1%。</w:t>
      </w:r>
    </w:p>
    <w:p w14:paraId="5C53817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注：每期付款前，</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应提供</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审核确认的增值税专用发票金额，税金由乙方承担</w:t>
      </w:r>
      <w:r>
        <w:rPr>
          <w:rFonts w:hint="eastAsia" w:ascii="宋体" w:hAnsi="宋体" w:cs="宋体"/>
          <w:color w:val="auto"/>
          <w:szCs w:val="21"/>
          <w:highlight w:val="none"/>
          <w:lang w:eastAsia="zh-CN"/>
        </w:rPr>
        <w:t>。</w:t>
      </w:r>
    </w:p>
    <w:p w14:paraId="20D3B4B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p>
    <w:p w14:paraId="6F320E47">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）其他约定</w:t>
      </w:r>
    </w:p>
    <w:p w14:paraId="7769492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1、本项目所有房源的出售价格均以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审定且书面通知的价格为准，</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不得擅自定价，不得擅自改变销售价格。</w:t>
      </w:r>
    </w:p>
    <w:p w14:paraId="76E23A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b/>
          <w:bCs/>
          <w:color w:val="auto"/>
          <w:sz w:val="21"/>
          <w:szCs w:val="21"/>
          <w:highlight w:val="none"/>
          <w:lang w:val="zh-TW" w:eastAsia="zh-TW"/>
        </w:rPr>
      </w:pPr>
      <w:bookmarkStart w:id="201" w:name="_Hlk75631824"/>
      <w:bookmarkEnd w:id="201"/>
      <w:bookmarkStart w:id="202" w:name="_Hlk76370667"/>
    </w:p>
    <w:p w14:paraId="3AAEF49C">
      <w:pPr>
        <w:keepNext w:val="0"/>
        <w:keepLines w:val="0"/>
        <w:pageBreakBefore w:val="0"/>
        <w:widowControl w:val="0"/>
        <w:kinsoku/>
        <w:wordWrap/>
        <w:overflowPunct/>
        <w:topLinePunct w:val="0"/>
        <w:autoSpaceDE/>
        <w:autoSpaceDN/>
        <w:bidi w:val="0"/>
        <w:spacing w:line="440" w:lineRule="exact"/>
        <w:textAlignment w:val="auto"/>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六、</w:t>
      </w:r>
      <w:r>
        <w:rPr>
          <w:rFonts w:hint="eastAsia" w:ascii="宋体" w:hAnsi="宋体" w:eastAsia="宋体"/>
          <w:b/>
          <w:bCs/>
          <w:color w:val="auto"/>
          <w:sz w:val="21"/>
          <w:szCs w:val="21"/>
          <w:highlight w:val="none"/>
          <w:lang w:val="zh-TW"/>
        </w:rPr>
        <w:t xml:space="preserve"> </w:t>
      </w:r>
      <w:r>
        <w:rPr>
          <w:rFonts w:hint="eastAsia" w:ascii="宋体" w:hAnsi="宋体" w:eastAsia="宋体"/>
          <w:b/>
          <w:bCs/>
          <w:color w:val="auto"/>
          <w:sz w:val="21"/>
          <w:szCs w:val="21"/>
          <w:highlight w:val="none"/>
          <w:lang w:val="zh-TW" w:eastAsia="zh-TW"/>
        </w:rPr>
        <w:t>履约</w:t>
      </w:r>
      <w:r>
        <w:rPr>
          <w:rFonts w:hint="eastAsia" w:ascii="宋体" w:hAnsi="宋体"/>
          <w:b/>
          <w:bCs/>
          <w:color w:val="auto"/>
          <w:sz w:val="21"/>
          <w:szCs w:val="21"/>
          <w:highlight w:val="none"/>
          <w:lang w:val="en-US" w:eastAsia="zh-CN"/>
        </w:rPr>
        <w:t>担保</w:t>
      </w:r>
    </w:p>
    <w:p w14:paraId="4040261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rPr>
        <w:t>金额：签约合同价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暂定）的2%</w:t>
      </w:r>
      <w:r>
        <w:rPr>
          <w:rFonts w:hint="eastAsia" w:ascii="宋体" w:hAnsi="宋体"/>
          <w:color w:val="auto"/>
          <w:szCs w:val="21"/>
          <w:highlight w:val="none"/>
        </w:rPr>
        <w:t>；</w:t>
      </w:r>
    </w:p>
    <w:p w14:paraId="56181DE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缴纳方式：</w:t>
      </w:r>
      <w:r>
        <w:rPr>
          <w:rFonts w:hint="eastAsia" w:ascii="宋体" w:hAnsi="宋体" w:cs="宋体"/>
          <w:color w:val="auto"/>
          <w:szCs w:val="21"/>
          <w:highlight w:val="none"/>
          <w:lang w:val="en-US" w:eastAsia="zh-CN"/>
        </w:rPr>
        <w:t>现金或</w:t>
      </w:r>
      <w:r>
        <w:rPr>
          <w:rFonts w:hint="eastAsia" w:ascii="宋体" w:hAnsi="宋体"/>
          <w:color w:val="auto"/>
          <w:szCs w:val="21"/>
          <w:highlight w:val="none"/>
          <w:lang w:val="en-US" w:eastAsia="zh-CN"/>
        </w:rPr>
        <w:t>银行保函或</w:t>
      </w:r>
      <w:r>
        <w:rPr>
          <w:rFonts w:hint="eastAsia" w:ascii="宋体" w:hAnsi="宋体" w:eastAsia="宋体" w:cs="宋体"/>
          <w:color w:val="auto"/>
          <w:sz w:val="21"/>
          <w:szCs w:val="21"/>
          <w:highlight w:val="none"/>
          <w:lang w:bidi="ar-SA"/>
        </w:rPr>
        <w:t>保证保险</w:t>
      </w:r>
      <w:r>
        <w:rPr>
          <w:rFonts w:hint="eastAsia" w:ascii="宋体" w:hAnsi="宋体"/>
          <w:color w:val="auto"/>
          <w:szCs w:val="21"/>
          <w:highlight w:val="none"/>
          <w:lang w:val="en-US" w:eastAsia="zh-CN"/>
        </w:rPr>
        <w:t>或担保保函（由政策融资担保有限公司出具，格式按担保公司规定执行）</w:t>
      </w:r>
      <w:r>
        <w:rPr>
          <w:rFonts w:hint="eastAsia" w:ascii="宋体" w:hAnsi="宋体"/>
          <w:color w:val="auto"/>
          <w:szCs w:val="21"/>
          <w:highlight w:val="none"/>
        </w:rPr>
        <w:t>；</w:t>
      </w:r>
    </w:p>
    <w:p w14:paraId="525F9D4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缴纳时间：合同签订后一个月以内；</w:t>
      </w:r>
    </w:p>
    <w:p w14:paraId="0122DDF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lang w:val="en-US" w:eastAsia="zh-CN"/>
        </w:rPr>
        <w:t>的</w:t>
      </w:r>
      <w:r>
        <w:rPr>
          <w:rFonts w:hint="eastAsia" w:ascii="宋体" w:hAnsi="宋体"/>
          <w:color w:val="auto"/>
          <w:szCs w:val="21"/>
          <w:highlight w:val="none"/>
        </w:rPr>
        <w:t>退还：服务期结束后15天内一次性无息退还。</w:t>
      </w:r>
    </w:p>
    <w:p w14:paraId="671D55E2">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七、</w:t>
      </w:r>
      <w:r>
        <w:rPr>
          <w:rFonts w:hint="eastAsia" w:ascii="宋体" w:hAnsi="宋体" w:eastAsia="宋体"/>
          <w:b/>
          <w:bCs/>
          <w:color w:val="auto"/>
          <w:sz w:val="21"/>
          <w:szCs w:val="21"/>
          <w:highlight w:val="none"/>
        </w:rPr>
        <w:t xml:space="preserve"> 双方</w:t>
      </w:r>
      <w:bookmarkStart w:id="203" w:name="_Hlk76322215"/>
      <w:r>
        <w:rPr>
          <w:rFonts w:hint="eastAsia" w:ascii="宋体" w:hAnsi="宋体" w:eastAsia="宋体"/>
          <w:b/>
          <w:bCs/>
          <w:color w:val="auto"/>
          <w:sz w:val="21"/>
          <w:szCs w:val="21"/>
          <w:highlight w:val="none"/>
        </w:rPr>
        <w:t>责任</w:t>
      </w:r>
      <w:bookmarkEnd w:id="203"/>
      <w:r>
        <w:rPr>
          <w:rFonts w:hint="eastAsia" w:ascii="宋体" w:hAnsi="宋体" w:eastAsia="宋体"/>
          <w:b/>
          <w:bCs/>
          <w:color w:val="auto"/>
          <w:sz w:val="21"/>
          <w:szCs w:val="21"/>
          <w:highlight w:val="none"/>
        </w:rPr>
        <w:t>和义务</w:t>
      </w:r>
    </w:p>
    <w:p w14:paraId="15FCCEC3">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1、</w:t>
      </w:r>
      <w:r>
        <w:rPr>
          <w:rFonts w:hint="eastAsia" w:ascii="宋体" w:hAnsi="宋体" w:eastAsia="宋体"/>
          <w:b/>
          <w:bCs/>
          <w:color w:val="auto"/>
          <w:sz w:val="21"/>
          <w:szCs w:val="21"/>
          <w:highlight w:val="none"/>
        </w:rPr>
        <w:t>甲方的</w:t>
      </w:r>
      <w:bookmarkStart w:id="204" w:name="_Hlk76324558"/>
      <w:r>
        <w:rPr>
          <w:rFonts w:hint="eastAsia" w:ascii="宋体" w:hAnsi="宋体" w:eastAsia="宋体"/>
          <w:b/>
          <w:bCs/>
          <w:color w:val="auto"/>
          <w:sz w:val="21"/>
          <w:szCs w:val="21"/>
          <w:highlight w:val="none"/>
        </w:rPr>
        <w:t>责任</w:t>
      </w:r>
      <w:bookmarkEnd w:id="204"/>
      <w:r>
        <w:rPr>
          <w:rFonts w:hint="eastAsia" w:ascii="宋体" w:hAnsi="宋体" w:eastAsia="宋体"/>
          <w:b/>
          <w:bCs/>
          <w:color w:val="auto"/>
          <w:sz w:val="21"/>
          <w:szCs w:val="21"/>
          <w:highlight w:val="none"/>
        </w:rPr>
        <w:t>和义务</w:t>
      </w:r>
      <w:bookmarkStart w:id="205" w:name="_Hlk75612700"/>
    </w:p>
    <w:p w14:paraId="7124AA9A">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206" w:name="_Hlk76583540"/>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确保</w:t>
      </w:r>
      <w:bookmarkStart w:id="207" w:name="_Hlk76295623"/>
      <w:bookmarkStart w:id="208" w:name="_Hlk76321090"/>
      <w:r>
        <w:rPr>
          <w:rFonts w:hint="eastAsia" w:ascii="宋体" w:hAnsi="宋体" w:eastAsia="宋体"/>
          <w:color w:val="auto"/>
          <w:sz w:val="21"/>
          <w:szCs w:val="21"/>
          <w:highlight w:val="none"/>
        </w:rPr>
        <w:t>本项目</w:t>
      </w:r>
      <w:bookmarkEnd w:id="207"/>
      <w:r>
        <w:rPr>
          <w:rFonts w:hint="eastAsia" w:ascii="宋体" w:hAnsi="宋体" w:eastAsia="宋体"/>
          <w:color w:val="auto"/>
          <w:sz w:val="21"/>
          <w:szCs w:val="21"/>
          <w:highlight w:val="none"/>
        </w:rPr>
        <w:t>的</w:t>
      </w:r>
      <w:bookmarkEnd w:id="208"/>
      <w:r>
        <w:rPr>
          <w:rFonts w:hint="eastAsia" w:ascii="宋体" w:hAnsi="宋体" w:eastAsia="宋体"/>
          <w:color w:val="auto"/>
          <w:sz w:val="21"/>
          <w:szCs w:val="21"/>
          <w:highlight w:val="none"/>
        </w:rPr>
        <w:t>合法开发，并向乙方提供本项目相关有效资料的复印件，并及时通报施工计划、施工进度、房屋交付期、合同承诺等与本项目有关的重要事项与相关资料；</w:t>
      </w:r>
    </w:p>
    <w:p w14:paraId="12B5E19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对乙方提交的相关报告进行签收确认，并须在5个工作日内给予确认或提出修改意见，否则视为甲方认可；</w:t>
      </w:r>
    </w:p>
    <w:p w14:paraId="2A8AEF7F">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按合同约定向乙方支付代理销售服务费。</w:t>
      </w:r>
    </w:p>
    <w:bookmarkEnd w:id="205"/>
    <w:p w14:paraId="26F69EB8">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2、</w:t>
      </w:r>
      <w:r>
        <w:rPr>
          <w:rFonts w:hint="eastAsia" w:ascii="宋体" w:hAnsi="宋体" w:eastAsia="宋体"/>
          <w:b/>
          <w:bCs/>
          <w:color w:val="auto"/>
          <w:sz w:val="21"/>
          <w:szCs w:val="21"/>
          <w:highlight w:val="none"/>
        </w:rPr>
        <w:t>乙方的责任和义务</w:t>
      </w:r>
    </w:p>
    <w:p w14:paraId="4DCC8082">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乙方开展的所有营销工作，应符合甲方的相关工作规范与要求，相关规定与要求在乙方签署后视为乙方知晓并同意遵照执行；</w:t>
      </w:r>
    </w:p>
    <w:p w14:paraId="358093FF">
      <w:pPr>
        <w:keepNext w:val="0"/>
        <w:keepLines w:val="0"/>
        <w:pageBreakBefore w:val="0"/>
        <w:widowControl w:val="0"/>
        <w:kinsoku/>
        <w:wordWrap/>
        <w:overflowPunct/>
        <w:topLinePunct w:val="0"/>
        <w:autoSpaceDE/>
        <w:autoSpaceDN/>
        <w:bidi w:val="0"/>
        <w:spacing w:line="440" w:lineRule="exact"/>
        <w:ind w:firstLine="412" w:firstLineChars="200"/>
        <w:jc w:val="both"/>
        <w:textAlignment w:val="auto"/>
        <w:rPr>
          <w:rFonts w:ascii="宋体" w:hAnsi="宋体" w:eastAsia="宋体"/>
          <w:color w:val="auto"/>
          <w:sz w:val="21"/>
          <w:szCs w:val="21"/>
          <w:highlight w:val="none"/>
        </w:rPr>
      </w:pPr>
      <w:r>
        <w:rPr>
          <w:rFonts w:hint="eastAsia" w:ascii="宋体" w:hAnsi="宋体"/>
          <w:color w:val="auto"/>
          <w:spacing w:val="-2"/>
          <w:sz w:val="21"/>
          <w:szCs w:val="21"/>
          <w:highlight w:val="none"/>
          <w:lang w:val="en-US" w:eastAsia="zh-CN"/>
        </w:rPr>
        <w:t>②</w:t>
      </w:r>
      <w:r>
        <w:rPr>
          <w:rFonts w:hint="eastAsia" w:ascii="宋体" w:hAnsi="宋体" w:eastAsia="宋体"/>
          <w:color w:val="auto"/>
          <w:spacing w:val="-2"/>
          <w:sz w:val="21"/>
          <w:szCs w:val="21"/>
          <w:highlight w:val="none"/>
        </w:rPr>
        <w:t>乙方需认真、负责、高效地完成合同所约定的工作。根据甲方要求及时汇报工作的完成情况，</w:t>
      </w:r>
      <w:r>
        <w:rPr>
          <w:rFonts w:hint="eastAsia" w:ascii="宋体" w:hAnsi="宋体" w:eastAsia="宋体"/>
          <w:color w:val="auto"/>
          <w:sz w:val="21"/>
          <w:szCs w:val="21"/>
          <w:highlight w:val="none"/>
        </w:rPr>
        <w:t>确保各项工作顺利推进，工作计划、工作成果按双方约定的时间提交；</w:t>
      </w:r>
    </w:p>
    <w:p w14:paraId="0D69106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乙方负责</w:t>
      </w:r>
      <w:bookmarkStart w:id="209" w:name="_Hlk76323466"/>
      <w:r>
        <w:rPr>
          <w:rFonts w:hint="eastAsia" w:ascii="宋体" w:hAnsi="宋体" w:eastAsia="宋体"/>
          <w:color w:val="auto"/>
          <w:sz w:val="21"/>
          <w:szCs w:val="21"/>
          <w:highlight w:val="none"/>
        </w:rPr>
        <w:t>派出</w:t>
      </w:r>
      <w:bookmarkEnd w:id="209"/>
      <w:r>
        <w:rPr>
          <w:rFonts w:hint="eastAsia" w:ascii="宋体" w:hAnsi="宋体" w:eastAsia="宋体"/>
          <w:color w:val="auto"/>
          <w:sz w:val="21"/>
          <w:szCs w:val="21"/>
          <w:highlight w:val="none"/>
        </w:rPr>
        <w:t>本项目的驻场销售团队，包括但不仅限于：</w:t>
      </w:r>
      <w:bookmarkStart w:id="210" w:name="_Hlk76323391"/>
      <w:r>
        <w:rPr>
          <w:rFonts w:hint="eastAsia" w:ascii="宋体" w:hAnsi="宋体" w:eastAsia="宋体"/>
          <w:color w:val="auto"/>
          <w:sz w:val="21"/>
          <w:szCs w:val="21"/>
          <w:highlight w:val="none"/>
        </w:rPr>
        <w:t>专案</w:t>
      </w:r>
      <w:bookmarkEnd w:id="210"/>
      <w:r>
        <w:rPr>
          <w:rFonts w:hint="eastAsia" w:ascii="宋体" w:hAnsi="宋体" w:eastAsia="宋体"/>
          <w:color w:val="auto"/>
          <w:sz w:val="21"/>
          <w:szCs w:val="21"/>
          <w:highlight w:val="none"/>
        </w:rPr>
        <w:t>经理、专案主管、专案内勤、置业顾问，派出后台广告策划工作组、市场研究工作组；</w:t>
      </w:r>
    </w:p>
    <w:p w14:paraId="49D3D4AC">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④</w:t>
      </w:r>
      <w:r>
        <w:rPr>
          <w:rFonts w:hint="eastAsia" w:ascii="宋体" w:hAnsi="宋体" w:eastAsia="宋体"/>
          <w:color w:val="auto"/>
          <w:sz w:val="21"/>
          <w:szCs w:val="21"/>
          <w:highlight w:val="none"/>
        </w:rPr>
        <w:t>乙方团队成员若因能力或工作态度不适应，甲方有权要求更换，在甲方提出更换要求后经双方协商确实需要更换的，乙方须在1</w:t>
      </w:r>
      <w:r>
        <w:rPr>
          <w:rFonts w:ascii="宋体" w:hAnsi="宋体" w:eastAsia="宋体"/>
          <w:color w:val="auto"/>
          <w:sz w:val="21"/>
          <w:szCs w:val="21"/>
          <w:highlight w:val="none"/>
        </w:rPr>
        <w:t>5</w:t>
      </w:r>
      <w:r>
        <w:rPr>
          <w:rFonts w:hint="eastAsia" w:ascii="宋体" w:hAnsi="宋体" w:eastAsia="宋体"/>
          <w:color w:val="auto"/>
          <w:sz w:val="21"/>
          <w:szCs w:val="21"/>
          <w:highlight w:val="none"/>
        </w:rPr>
        <w:t>个工作日内完成人员更换工作；</w:t>
      </w:r>
    </w:p>
    <w:p w14:paraId="7842333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⑤</w:t>
      </w:r>
      <w:r>
        <w:rPr>
          <w:rFonts w:hint="eastAsia" w:ascii="宋体" w:hAnsi="宋体" w:eastAsia="宋体"/>
          <w:color w:val="auto"/>
          <w:sz w:val="21"/>
          <w:szCs w:val="21"/>
          <w:highlight w:val="none"/>
        </w:rPr>
        <w:t>派出专职人员负责客户房款收取、处理客户投诉、与房管与银行的对接工作</w:t>
      </w:r>
      <w:r>
        <w:rPr>
          <w:rFonts w:hint="eastAsia" w:ascii="宋体" w:hAnsi="宋体"/>
          <w:color w:val="auto"/>
          <w:sz w:val="21"/>
          <w:szCs w:val="21"/>
          <w:highlight w:val="none"/>
          <w:lang w:eastAsia="zh-CN"/>
        </w:rPr>
        <w:t>；</w:t>
      </w:r>
    </w:p>
    <w:p w14:paraId="53CB3DF4">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⑥</w:t>
      </w:r>
      <w:r>
        <w:rPr>
          <w:rFonts w:hint="eastAsia" w:ascii="宋体" w:hAnsi="宋体" w:eastAsia="宋体"/>
          <w:color w:val="auto"/>
          <w:sz w:val="21"/>
          <w:szCs w:val="21"/>
          <w:highlight w:val="none"/>
        </w:rPr>
        <w:t>乙方需根据市场情况，按照双方约定的</w:t>
      </w:r>
      <w:bookmarkStart w:id="211" w:name="_Hlk76324385"/>
      <w:r>
        <w:rPr>
          <w:rFonts w:hint="eastAsia" w:ascii="宋体" w:hAnsi="宋体" w:eastAsia="宋体"/>
          <w:color w:val="auto"/>
          <w:sz w:val="21"/>
          <w:szCs w:val="21"/>
          <w:highlight w:val="none"/>
        </w:rPr>
        <w:t>销售</w:t>
      </w:r>
      <w:bookmarkEnd w:id="211"/>
      <w:r>
        <w:rPr>
          <w:rFonts w:hint="eastAsia" w:ascii="宋体" w:hAnsi="宋体" w:eastAsia="宋体"/>
          <w:color w:val="auto"/>
          <w:sz w:val="21"/>
          <w:szCs w:val="21"/>
          <w:highlight w:val="none"/>
        </w:rPr>
        <w:t>计划认真完成销售任务；</w:t>
      </w:r>
    </w:p>
    <w:p w14:paraId="70954737">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color w:val="auto"/>
          <w:sz w:val="21"/>
          <w:szCs w:val="21"/>
          <w:highlight w:val="none"/>
          <w:lang w:val="en-US" w:eastAsia="zh-CN"/>
        </w:rPr>
        <w:t>⑦</w:t>
      </w:r>
      <w:r>
        <w:rPr>
          <w:rFonts w:hint="eastAsia" w:ascii="宋体" w:hAnsi="宋体" w:eastAsia="宋体" w:cs="Times New Roman"/>
          <w:color w:val="auto"/>
          <w:sz w:val="21"/>
          <w:szCs w:val="21"/>
          <w:highlight w:val="none"/>
        </w:rPr>
        <w:t>本项目所有房源的出售价格均以</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审定且书面通知的价格为准，</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不得擅自定价，不得擅自改变销售价格。</w:t>
      </w:r>
    </w:p>
    <w:p w14:paraId="69BF0EC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color w:val="auto"/>
          <w:sz w:val="21"/>
          <w:szCs w:val="21"/>
          <w:highlight w:val="none"/>
          <w:shd w:val="clear" w:color="auto" w:fill="FFFFFF"/>
          <w:lang w:val="en-US" w:eastAsia="zh-CN"/>
        </w:rPr>
        <w:t>⑧</w:t>
      </w:r>
      <w:r>
        <w:rPr>
          <w:rFonts w:hint="eastAsia" w:ascii="宋体" w:hAnsi="宋体" w:eastAsia="宋体" w:cs="Times New Roman"/>
          <w:color w:val="auto"/>
          <w:sz w:val="21"/>
          <w:szCs w:val="21"/>
          <w:highlight w:val="none"/>
        </w:rPr>
        <w:t>营销方案须经</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确认</w:t>
      </w:r>
      <w:r>
        <w:rPr>
          <w:rFonts w:hint="eastAsia" w:ascii="宋体" w:hAnsi="宋体" w:eastAsia="宋体" w:cs="Times New Roman"/>
          <w:color w:val="auto"/>
          <w:sz w:val="21"/>
          <w:szCs w:val="21"/>
          <w:highlight w:val="none"/>
          <w:lang w:val="en-US" w:eastAsia="zh-CN"/>
        </w:rPr>
        <w:t>后实施，甲方对销售计划、销售活动等具有最终确认权</w:t>
      </w:r>
      <w:r>
        <w:rPr>
          <w:rFonts w:hint="eastAsia" w:ascii="宋体" w:hAnsi="宋体" w:eastAsia="宋体" w:cs="Times New Roman"/>
          <w:color w:val="auto"/>
          <w:sz w:val="21"/>
          <w:szCs w:val="21"/>
          <w:highlight w:val="none"/>
        </w:rPr>
        <w:t>。</w:t>
      </w:r>
    </w:p>
    <w:p w14:paraId="7F88028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cs="Times New Roman"/>
          <w:color w:val="auto"/>
          <w:sz w:val="21"/>
          <w:szCs w:val="21"/>
          <w:highlight w:val="none"/>
          <w:shd w:val="clear" w:color="auto" w:fill="FFFFFF"/>
          <w:lang w:val="en-US" w:eastAsia="zh-CN"/>
        </w:rPr>
        <w:t>⑨</w:t>
      </w:r>
      <w:r>
        <w:rPr>
          <w:rFonts w:hint="eastAsia" w:ascii="宋体" w:hAnsi="宋体" w:eastAsia="宋体" w:cs="Times New Roman"/>
          <w:color w:val="auto"/>
          <w:sz w:val="21"/>
          <w:szCs w:val="21"/>
          <w:highlight w:val="none"/>
        </w:rPr>
        <w:t>如遇</w:t>
      </w:r>
      <w:r>
        <w:rPr>
          <w:rFonts w:hint="eastAsia" w:ascii="宋体" w:hAnsi="宋体" w:cs="Times New Roman"/>
          <w:color w:val="auto"/>
          <w:sz w:val="21"/>
          <w:szCs w:val="21"/>
          <w:highlight w:val="none"/>
          <w:lang w:val="en-US" w:eastAsia="zh-CN"/>
        </w:rPr>
        <w:t>购房客户</w:t>
      </w:r>
      <w:r>
        <w:rPr>
          <w:rFonts w:hint="eastAsia" w:ascii="宋体" w:hAnsi="宋体" w:eastAsia="宋体" w:cs="Times New Roman"/>
          <w:color w:val="auto"/>
          <w:sz w:val="21"/>
          <w:szCs w:val="21"/>
          <w:highlight w:val="none"/>
        </w:rPr>
        <w:t>签署</w:t>
      </w:r>
      <w:r>
        <w:rPr>
          <w:rFonts w:hint="eastAsia" w:ascii="宋体" w:hAnsi="宋体" w:cs="Times New Roman"/>
          <w:color w:val="auto"/>
          <w:sz w:val="21"/>
          <w:szCs w:val="21"/>
          <w:highlight w:val="none"/>
          <w:lang w:val="en-US" w:eastAsia="zh-CN"/>
        </w:rPr>
        <w:t>购房合同</w:t>
      </w:r>
      <w:r>
        <w:rPr>
          <w:rFonts w:hint="eastAsia" w:ascii="宋体" w:hAnsi="宋体" w:eastAsia="宋体" w:cs="Times New Roman"/>
          <w:color w:val="auto"/>
          <w:sz w:val="21"/>
          <w:szCs w:val="21"/>
          <w:highlight w:val="none"/>
        </w:rPr>
        <w:t>后违约，</w:t>
      </w:r>
      <w:r>
        <w:rPr>
          <w:rFonts w:hint="eastAsia" w:ascii="宋体" w:hAnsi="宋体" w:cs="Times New Roman"/>
          <w:color w:val="auto"/>
          <w:sz w:val="21"/>
          <w:szCs w:val="21"/>
          <w:highlight w:val="none"/>
          <w:lang w:val="en-US" w:eastAsia="zh-CN"/>
        </w:rPr>
        <w:t>购房客户</w:t>
      </w:r>
      <w:r>
        <w:rPr>
          <w:rFonts w:hint="eastAsia" w:ascii="宋体" w:hAnsi="宋体" w:eastAsia="宋体" w:cs="Times New Roman"/>
          <w:color w:val="auto"/>
          <w:sz w:val="21"/>
          <w:szCs w:val="21"/>
          <w:highlight w:val="none"/>
        </w:rPr>
        <w:t>所付定金</w:t>
      </w:r>
      <w:r>
        <w:rPr>
          <w:rFonts w:hint="eastAsia" w:ascii="宋体" w:hAnsi="宋体" w:eastAsia="宋体" w:cs="Times New Roman"/>
          <w:color w:val="auto"/>
          <w:sz w:val="21"/>
          <w:szCs w:val="21"/>
          <w:highlight w:val="none"/>
          <w:lang w:val="en-US" w:eastAsia="zh-CN"/>
        </w:rPr>
        <w:t>归</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所有。</w:t>
      </w:r>
    </w:p>
    <w:bookmarkEnd w:id="206"/>
    <w:p w14:paraId="20BBA87B">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eastAsia="宋体"/>
          <w:b/>
          <w:bCs/>
          <w:color w:val="auto"/>
          <w:sz w:val="21"/>
          <w:szCs w:val="21"/>
          <w:highlight w:val="none"/>
        </w:rPr>
        <w:t>保密条款</w:t>
      </w:r>
    </w:p>
    <w:p w14:paraId="4A96E717">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乙方对甲方提供的资料负有保密义务，未经甲方同意，不得向项目无关单位和个人提供有关资料。如发生以上情况，甲方有权索赔。</w:t>
      </w:r>
    </w:p>
    <w:p w14:paraId="0307ECEC">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甲方有义务保护乙方的知识产权，未经乙方同意，甲方对乙方单位交付的成果文件、资料不得向第三方转让或用于本合同以外的项目。如发生以上情况，乙方有权索赔。</w:t>
      </w:r>
    </w:p>
    <w:p w14:paraId="39BA7FA9">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eastAsia="宋体"/>
          <w:b/>
          <w:bCs/>
          <w:color w:val="auto"/>
          <w:sz w:val="21"/>
          <w:szCs w:val="21"/>
          <w:highlight w:val="none"/>
        </w:rPr>
        <w:t xml:space="preserve"> 违约责任</w:t>
      </w:r>
    </w:p>
    <w:p w14:paraId="453481E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color w:val="auto"/>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项目</w:t>
      </w:r>
      <w:r>
        <w:rPr>
          <w:rFonts w:hint="eastAsia" w:ascii="宋体" w:hAnsi="宋体"/>
          <w:color w:val="auto"/>
          <w:sz w:val="21"/>
          <w:szCs w:val="21"/>
          <w:highlight w:val="none"/>
          <w:lang w:val="en-US" w:eastAsia="zh-CN"/>
        </w:rPr>
        <w:t>签订合同</w:t>
      </w:r>
      <w:r>
        <w:rPr>
          <w:rFonts w:hint="eastAsia" w:ascii="宋体" w:hAnsi="宋体"/>
          <w:color w:val="auto"/>
          <w:sz w:val="21"/>
          <w:szCs w:val="21"/>
          <w:highlight w:val="none"/>
          <w:lang w:eastAsia="zh-CN"/>
        </w:rPr>
        <w:t>起至</w:t>
      </w:r>
      <w:r>
        <w:rPr>
          <w:rFonts w:hint="eastAsia" w:ascii="宋体" w:hAnsi="宋体"/>
          <w:color w:val="auto"/>
          <w:sz w:val="21"/>
          <w:szCs w:val="21"/>
          <w:highlight w:val="none"/>
          <w:lang w:val="en-US" w:eastAsia="zh-CN"/>
        </w:rPr>
        <w:t>满6</w:t>
      </w:r>
      <w:r>
        <w:rPr>
          <w:rFonts w:hint="eastAsia" w:ascii="宋体" w:hAnsi="宋体"/>
          <w:color w:val="auto"/>
          <w:sz w:val="21"/>
          <w:szCs w:val="21"/>
          <w:highlight w:val="none"/>
          <w:lang w:eastAsia="zh-CN"/>
        </w:rPr>
        <w:t>个月止，</w:t>
      </w:r>
      <w:r>
        <w:rPr>
          <w:rFonts w:hint="eastAsia" w:ascii="宋体" w:hAnsi="宋体"/>
          <w:color w:val="auto"/>
          <w:sz w:val="21"/>
          <w:szCs w:val="21"/>
          <w:highlight w:val="none"/>
          <w:lang w:val="en-US" w:eastAsia="zh-CN"/>
        </w:rPr>
        <w:t>如未达到第一年销售目标的30%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则甲方</w:t>
      </w:r>
      <w:r>
        <w:rPr>
          <w:rFonts w:hint="eastAsia" w:ascii="宋体" w:hAnsi="宋体"/>
          <w:color w:val="auto"/>
          <w:szCs w:val="21"/>
          <w:highlight w:val="none"/>
        </w:rPr>
        <w:t>扣除履约</w:t>
      </w:r>
      <w:r>
        <w:rPr>
          <w:rFonts w:hint="eastAsia" w:ascii="宋体" w:hAnsi="宋体"/>
          <w:color w:val="auto"/>
          <w:szCs w:val="21"/>
          <w:highlight w:val="none"/>
          <w:lang w:eastAsia="zh-CN"/>
        </w:rPr>
        <w:t>保证金</w:t>
      </w:r>
      <w:r>
        <w:rPr>
          <w:rFonts w:hint="eastAsia" w:ascii="宋体" w:hAnsi="宋体"/>
          <w:color w:val="auto"/>
          <w:szCs w:val="21"/>
          <w:highlight w:val="none"/>
        </w:rPr>
        <w:t>作为</w:t>
      </w:r>
      <w:r>
        <w:rPr>
          <w:rFonts w:hint="eastAsia" w:ascii="宋体" w:hAnsi="宋体"/>
          <w:color w:val="auto"/>
          <w:szCs w:val="21"/>
          <w:highlight w:val="none"/>
          <w:lang w:eastAsia="zh-CN"/>
        </w:rPr>
        <w:t>违约金</w:t>
      </w:r>
      <w:r>
        <w:rPr>
          <w:rFonts w:hint="eastAsia" w:ascii="宋体" w:hAnsi="宋体"/>
          <w:color w:val="auto"/>
          <w:szCs w:val="21"/>
          <w:highlight w:val="none"/>
        </w:rPr>
        <w:t>，且根据情况有权单方面解除合同。若</w:t>
      </w:r>
      <w:r>
        <w:rPr>
          <w:rFonts w:hint="eastAsia" w:ascii="宋体" w:hAnsi="宋体"/>
          <w:color w:val="auto"/>
          <w:szCs w:val="21"/>
          <w:highlight w:val="none"/>
          <w:lang w:val="en-US" w:eastAsia="zh-CN"/>
        </w:rPr>
        <w:t>甲方</w:t>
      </w:r>
      <w:r>
        <w:rPr>
          <w:rFonts w:hint="eastAsia" w:ascii="宋体" w:hAnsi="宋体"/>
          <w:color w:val="auto"/>
          <w:szCs w:val="21"/>
          <w:highlight w:val="none"/>
        </w:rPr>
        <w:t>解除合同，</w:t>
      </w:r>
      <w:r>
        <w:rPr>
          <w:rFonts w:hint="eastAsia" w:ascii="宋体" w:hAnsi="宋体"/>
          <w:color w:val="auto"/>
          <w:szCs w:val="21"/>
          <w:highlight w:val="none"/>
          <w:lang w:val="en-US" w:eastAsia="zh-CN"/>
        </w:rPr>
        <w:t>此前考核后剩余的服务费予以结清</w:t>
      </w:r>
      <w:r>
        <w:rPr>
          <w:rFonts w:hint="eastAsia" w:ascii="宋体" w:hAnsi="宋体"/>
          <w:color w:val="auto"/>
          <w:szCs w:val="21"/>
          <w:highlight w:val="none"/>
        </w:rPr>
        <w:t>，</w:t>
      </w:r>
      <w:r>
        <w:rPr>
          <w:rFonts w:hint="eastAsia" w:ascii="宋体" w:hAnsi="宋体"/>
          <w:color w:val="auto"/>
          <w:szCs w:val="21"/>
          <w:highlight w:val="none"/>
          <w:lang w:val="en-US" w:eastAsia="zh-CN"/>
        </w:rPr>
        <w:t>乙方</w:t>
      </w:r>
      <w:r>
        <w:rPr>
          <w:rFonts w:hint="eastAsia" w:ascii="宋体" w:hAnsi="宋体"/>
          <w:color w:val="auto"/>
          <w:szCs w:val="21"/>
          <w:highlight w:val="none"/>
        </w:rPr>
        <w:t>须延续服务至下一销售团队进场为止，在此期间</w:t>
      </w:r>
      <w:r>
        <w:rPr>
          <w:rFonts w:hint="eastAsia" w:ascii="宋体" w:hAnsi="宋体"/>
          <w:color w:val="auto"/>
          <w:szCs w:val="21"/>
          <w:highlight w:val="none"/>
          <w:lang w:val="en-US" w:eastAsia="zh-CN"/>
        </w:rPr>
        <w:t>乙方</w:t>
      </w:r>
      <w:r>
        <w:rPr>
          <w:rFonts w:hint="eastAsia" w:ascii="宋体" w:hAnsi="宋体"/>
          <w:color w:val="auto"/>
          <w:szCs w:val="21"/>
          <w:highlight w:val="none"/>
        </w:rPr>
        <w:t>产生的服务费按合同约定予以支付。</w:t>
      </w:r>
    </w:p>
    <w:p w14:paraId="330F9171">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color w:val="auto"/>
          <w:sz w:val="21"/>
          <w:szCs w:val="21"/>
          <w:highlight w:val="none"/>
          <w:lang w:eastAsia="zh-CN"/>
        </w:rPr>
      </w:pPr>
      <w:r>
        <w:rPr>
          <w:rFonts w:hint="eastAsia" w:ascii="宋体" w:hAnsi="宋体" w:cs="宋体"/>
          <w:color w:val="auto"/>
          <w:sz w:val="21"/>
          <w:szCs w:val="21"/>
          <w:highlight w:val="none"/>
          <w:lang w:val="en-US" w:eastAsia="zh-CN"/>
        </w:rPr>
        <w:t>如乙方在项目前期已倾注大量人力、物力资源，专门组建营销团队推进项目推广，且已积累优质潜在客户资源，其后续转化具备较高可能性；基于 “前期投入需匹配后期成果” 的合作理念，甲方经综合评估后，可不予终止本合同。</w:t>
      </w:r>
    </w:p>
    <w:p w14:paraId="2AED2A1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乙方未能按本合同规定的服务时间（以甲方书面通知时间为准）提供服务，从逾期之日起每日按</w:t>
      </w:r>
      <w:r>
        <w:rPr>
          <w:rFonts w:ascii="宋体" w:hAnsi="宋体" w:eastAsia="宋体"/>
          <w:color w:val="auto"/>
          <w:sz w:val="21"/>
          <w:szCs w:val="21"/>
          <w:highlight w:val="none"/>
        </w:rPr>
        <w:t>10000</w:t>
      </w:r>
      <w:r>
        <w:rPr>
          <w:rFonts w:hint="eastAsia" w:ascii="宋体" w:hAnsi="宋体" w:eastAsia="宋体"/>
          <w:color w:val="auto"/>
          <w:sz w:val="21"/>
          <w:szCs w:val="21"/>
          <w:highlight w:val="none"/>
        </w:rPr>
        <w:t>元向甲方支付违约金；逾期3</w:t>
      </w:r>
      <w:r>
        <w:rPr>
          <w:rFonts w:ascii="宋体" w:hAnsi="宋体" w:eastAsia="宋体"/>
          <w:color w:val="auto"/>
          <w:sz w:val="21"/>
          <w:szCs w:val="21"/>
          <w:highlight w:val="none"/>
        </w:rPr>
        <w:t>0</w:t>
      </w:r>
      <w:r>
        <w:rPr>
          <w:rFonts w:hint="eastAsia" w:ascii="宋体" w:hAnsi="宋体" w:eastAsia="宋体"/>
          <w:color w:val="auto"/>
          <w:sz w:val="21"/>
          <w:szCs w:val="21"/>
          <w:highlight w:val="none"/>
        </w:rPr>
        <w:t>日以上的，</w:t>
      </w:r>
      <w:bookmarkStart w:id="212" w:name="_Hlk76671926"/>
      <w:r>
        <w:rPr>
          <w:rFonts w:hint="eastAsia" w:ascii="宋体" w:hAnsi="宋体" w:eastAsia="宋体"/>
          <w:color w:val="auto"/>
          <w:sz w:val="21"/>
          <w:szCs w:val="21"/>
          <w:highlight w:val="none"/>
        </w:rPr>
        <w:t>甲方有权终止合同，</w:t>
      </w:r>
      <w:bookmarkEnd w:id="212"/>
      <w:bookmarkStart w:id="213" w:name="_Hlk76672232"/>
      <w:r>
        <w:rPr>
          <w:rFonts w:hint="eastAsia" w:ascii="宋体" w:hAnsi="宋体" w:eastAsia="宋体"/>
          <w:color w:val="auto"/>
          <w:sz w:val="21"/>
          <w:szCs w:val="21"/>
          <w:highlight w:val="none"/>
        </w:rPr>
        <w:t>由此造成的甲方经济</w:t>
      </w:r>
      <w:bookmarkStart w:id="214" w:name="_Hlk76672486"/>
      <w:r>
        <w:rPr>
          <w:rFonts w:hint="eastAsia" w:ascii="宋体" w:hAnsi="宋体" w:eastAsia="宋体"/>
          <w:color w:val="auto"/>
          <w:sz w:val="21"/>
          <w:szCs w:val="21"/>
          <w:highlight w:val="none"/>
        </w:rPr>
        <w:t>损失</w:t>
      </w:r>
      <w:bookmarkEnd w:id="213"/>
      <w:bookmarkEnd w:id="214"/>
      <w:r>
        <w:rPr>
          <w:rFonts w:hint="eastAsia" w:ascii="宋体" w:hAnsi="宋体" w:eastAsia="宋体"/>
          <w:color w:val="auto"/>
          <w:sz w:val="21"/>
          <w:szCs w:val="21"/>
          <w:highlight w:val="none"/>
        </w:rPr>
        <w:t>由乙方承担。</w:t>
      </w:r>
    </w:p>
    <w:p w14:paraId="51805DA9">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未经甲方同意乙方不得私自将该服务转包第三方完成。如私自转包，则处本合同总价</w:t>
      </w:r>
      <w:r>
        <w:rPr>
          <w:rFonts w:ascii="宋体" w:hAnsi="宋体" w:eastAsia="宋体"/>
          <w:color w:val="auto"/>
          <w:sz w:val="21"/>
          <w:szCs w:val="21"/>
          <w:highlight w:val="none"/>
          <w:u w:val="single"/>
        </w:rPr>
        <w:t xml:space="preserve"> 5 </w:t>
      </w:r>
      <w:r>
        <w:rPr>
          <w:rFonts w:hint="eastAsia" w:ascii="宋体" w:hAnsi="宋体" w:eastAsia="宋体"/>
          <w:color w:val="auto"/>
          <w:sz w:val="21"/>
          <w:szCs w:val="21"/>
          <w:highlight w:val="none"/>
        </w:rPr>
        <w:t>%的违约金。且甲方有权</w:t>
      </w:r>
      <w:bookmarkStart w:id="215" w:name="_Hlk76672873"/>
      <w:r>
        <w:rPr>
          <w:rFonts w:hint="eastAsia" w:ascii="宋体" w:hAnsi="宋体" w:eastAsia="宋体"/>
          <w:color w:val="auto"/>
          <w:sz w:val="21"/>
          <w:szCs w:val="21"/>
          <w:highlight w:val="none"/>
        </w:rPr>
        <w:t>单方</w:t>
      </w:r>
      <w:bookmarkEnd w:id="215"/>
      <w:r>
        <w:rPr>
          <w:rFonts w:hint="eastAsia" w:ascii="宋体" w:hAnsi="宋体" w:eastAsia="宋体"/>
          <w:color w:val="auto"/>
          <w:sz w:val="21"/>
          <w:szCs w:val="21"/>
          <w:highlight w:val="none"/>
        </w:rPr>
        <w:t>面</w:t>
      </w:r>
      <w:bookmarkStart w:id="216" w:name="_Hlk76672533"/>
      <w:r>
        <w:rPr>
          <w:rFonts w:hint="eastAsia" w:ascii="宋体" w:hAnsi="宋体" w:eastAsia="宋体"/>
          <w:color w:val="auto"/>
          <w:sz w:val="21"/>
          <w:szCs w:val="21"/>
          <w:highlight w:val="none"/>
        </w:rPr>
        <w:t>终止</w:t>
      </w:r>
      <w:bookmarkEnd w:id="216"/>
      <w:r>
        <w:rPr>
          <w:rFonts w:hint="eastAsia" w:ascii="宋体" w:hAnsi="宋体" w:eastAsia="宋体"/>
          <w:color w:val="auto"/>
          <w:sz w:val="21"/>
          <w:szCs w:val="21"/>
          <w:highlight w:val="none"/>
        </w:rPr>
        <w:t>合同，由此造成甲方损失的全部由乙方承担。</w:t>
      </w:r>
    </w:p>
    <w:p w14:paraId="5131816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217" w:name="_Hlk76673163"/>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eastAsia="宋体"/>
          <w:bCs/>
          <w:color w:val="auto"/>
          <w:sz w:val="21"/>
          <w:szCs w:val="21"/>
          <w:highlight w:val="none"/>
        </w:rPr>
        <w:t>因乙方不具备服务条件或丧失服务能力原因造成合同无法继续履行</w:t>
      </w:r>
      <w:bookmarkStart w:id="218" w:name="_Hlk76671792"/>
      <w:r>
        <w:rPr>
          <w:rFonts w:hint="eastAsia" w:ascii="宋体" w:hAnsi="宋体" w:eastAsia="宋体"/>
          <w:bCs/>
          <w:color w:val="auto"/>
          <w:sz w:val="21"/>
          <w:szCs w:val="21"/>
          <w:highlight w:val="none"/>
        </w:rPr>
        <w:t>的，</w:t>
      </w:r>
      <w:bookmarkEnd w:id="218"/>
      <w:r>
        <w:rPr>
          <w:rFonts w:hint="eastAsia" w:ascii="宋体" w:hAnsi="宋体" w:eastAsia="宋体"/>
          <w:color w:val="auto"/>
          <w:sz w:val="21"/>
          <w:szCs w:val="21"/>
          <w:highlight w:val="none"/>
        </w:rPr>
        <w:t>甲方有权单方终止合同。甲方除不退还</w:t>
      </w:r>
      <w:bookmarkStart w:id="219" w:name="_Hlk76672284"/>
      <w:r>
        <w:rPr>
          <w:rFonts w:hint="eastAsia" w:ascii="宋体" w:hAnsi="宋体" w:eastAsia="宋体"/>
          <w:color w:val="auto"/>
          <w:sz w:val="21"/>
          <w:szCs w:val="21"/>
          <w:highlight w:val="none"/>
        </w:rPr>
        <w:t>乙方履约保证金</w:t>
      </w:r>
      <w:bookmarkEnd w:id="219"/>
      <w:r>
        <w:rPr>
          <w:rFonts w:hint="eastAsia" w:ascii="宋体" w:hAnsi="宋体" w:eastAsia="宋体"/>
          <w:color w:val="auto"/>
          <w:sz w:val="21"/>
          <w:szCs w:val="21"/>
          <w:highlight w:val="none"/>
        </w:rPr>
        <w:t>，不再支付后续</w:t>
      </w:r>
      <w:r>
        <w:rPr>
          <w:rFonts w:hint="eastAsia" w:ascii="宋体" w:hAnsi="宋体" w:eastAsia="宋体"/>
          <w:bCs/>
          <w:color w:val="auto"/>
          <w:sz w:val="21"/>
          <w:szCs w:val="21"/>
          <w:highlight w:val="none"/>
        </w:rPr>
        <w:t>代理销售服务费外，甲方损失</w:t>
      </w:r>
      <w:bookmarkStart w:id="220" w:name="_Hlk76673015"/>
      <w:r>
        <w:rPr>
          <w:rFonts w:hint="eastAsia" w:ascii="宋体" w:hAnsi="宋体" w:eastAsia="宋体"/>
          <w:bCs/>
          <w:color w:val="auto"/>
          <w:sz w:val="21"/>
          <w:szCs w:val="21"/>
          <w:highlight w:val="none"/>
        </w:rPr>
        <w:t>超过履约保证金</w:t>
      </w:r>
      <w:bookmarkEnd w:id="220"/>
      <w:bookmarkStart w:id="221" w:name="_Hlk76672925"/>
      <w:r>
        <w:rPr>
          <w:rFonts w:hint="eastAsia" w:ascii="宋体" w:hAnsi="宋体" w:eastAsia="宋体"/>
          <w:bCs/>
          <w:color w:val="auto"/>
          <w:sz w:val="21"/>
          <w:szCs w:val="21"/>
          <w:highlight w:val="none"/>
        </w:rPr>
        <w:t>的，乙方还应继续承担超过部分的甲方损失</w:t>
      </w:r>
      <w:bookmarkEnd w:id="221"/>
      <w:r>
        <w:rPr>
          <w:rFonts w:hint="eastAsia" w:ascii="宋体" w:hAnsi="宋体" w:eastAsia="宋体"/>
          <w:bCs/>
          <w:color w:val="auto"/>
          <w:sz w:val="21"/>
          <w:szCs w:val="21"/>
          <w:highlight w:val="none"/>
        </w:rPr>
        <w:t>。</w:t>
      </w:r>
    </w:p>
    <w:p w14:paraId="0F3ED293">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eastAsia="宋体"/>
          <w:bCs/>
          <w:color w:val="auto"/>
          <w:sz w:val="21"/>
          <w:szCs w:val="21"/>
          <w:highlight w:val="none"/>
        </w:rPr>
        <w:t>因乙方超越甲方确定的营销方案和说辞、虚假宣传或承诺而引起的相关赔偿责任和相关赔偿费用由乙方承担，乙方须在相应范围内消除影响，并承担因此给甲方造成的损失。</w:t>
      </w:r>
    </w:p>
    <w:p w14:paraId="6AB5604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乙方的工作成果如侵犯他人任何权利，由此引起的法律责任由乙方自行承担，与甲方无关，如造成甲方损失的，由乙方负责赔偿。</w:t>
      </w:r>
    </w:p>
    <w:p w14:paraId="0F43BB4A">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lang w:val="en-US" w:eastAsia="zh-CN"/>
        </w:rPr>
        <w:t>乙方如在收到甲方书面整改意见后3个工作日内仍未实施整改或未按要求整改到位的，每次处以1万元/次违约金。</w:t>
      </w:r>
    </w:p>
    <w:p w14:paraId="75C295A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其它违约责任按《中华人民共和国民法典》处理。</w:t>
      </w:r>
    </w:p>
    <w:p w14:paraId="6D82F3BE">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注：违约金从履约保证金中进行扣除，扣除后乙方须在15日内补足履约保证金，否则甲方</w:t>
      </w:r>
      <w:r>
        <w:rPr>
          <w:rFonts w:hint="eastAsia" w:ascii="宋体" w:hAnsi="宋体"/>
          <w:color w:val="auto"/>
          <w:sz w:val="21"/>
          <w:szCs w:val="21"/>
          <w:highlight w:val="none"/>
          <w:lang w:eastAsia="zh-CN"/>
        </w:rPr>
        <w:t>有权单方面解除合同，</w:t>
      </w:r>
      <w:r>
        <w:rPr>
          <w:rFonts w:hint="eastAsia" w:ascii="宋体" w:hAnsi="宋体"/>
          <w:color w:val="auto"/>
          <w:sz w:val="21"/>
          <w:szCs w:val="21"/>
          <w:highlight w:val="none"/>
          <w:lang w:val="en-US" w:eastAsia="zh-CN"/>
        </w:rPr>
        <w:t>由此造成的责任及损失由乙方承担</w:t>
      </w:r>
      <w:r>
        <w:rPr>
          <w:rFonts w:hint="eastAsia" w:ascii="宋体" w:hAnsi="宋体" w:eastAsia="宋体"/>
          <w:color w:val="auto"/>
          <w:sz w:val="21"/>
          <w:szCs w:val="21"/>
          <w:highlight w:val="none"/>
          <w:lang w:val="en-US" w:eastAsia="zh-CN"/>
        </w:rPr>
        <w:t>。</w:t>
      </w:r>
    </w:p>
    <w:bookmarkEnd w:id="217"/>
    <w:p w14:paraId="7B414E05">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九、</w:t>
      </w:r>
      <w:r>
        <w:rPr>
          <w:rFonts w:hint="eastAsia" w:ascii="宋体" w:hAnsi="宋体" w:eastAsia="宋体"/>
          <w:b/>
          <w:bCs/>
          <w:color w:val="auto"/>
          <w:sz w:val="21"/>
          <w:szCs w:val="21"/>
          <w:highlight w:val="none"/>
        </w:rPr>
        <w:t>补充条款</w:t>
      </w:r>
    </w:p>
    <w:p w14:paraId="1D45105E">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知识产权归属</w:t>
      </w:r>
    </w:p>
    <w:p w14:paraId="2516A09D">
      <w:pPr>
        <w:keepNext w:val="0"/>
        <w:keepLines w:val="0"/>
        <w:pageBreakBefore w:val="0"/>
        <w:widowControl w:val="0"/>
        <w:kinsoku/>
        <w:wordWrap/>
        <w:overflowPunct/>
        <w:topLinePunct w:val="0"/>
        <w:autoSpaceDE/>
        <w:autoSpaceDN/>
        <w:bidi w:val="0"/>
        <w:adjustRightInd w:val="0"/>
        <w:spacing w:line="440" w:lineRule="exact"/>
        <w:ind w:firstLine="420" w:firstLineChars="200"/>
        <w:jc w:val="both"/>
        <w:textAlignment w:val="auto"/>
        <w:rPr>
          <w:rFonts w:ascii="宋体" w:eastAsia="宋体"/>
          <w:color w:val="auto"/>
          <w:sz w:val="21"/>
          <w:szCs w:val="21"/>
          <w:highlight w:val="none"/>
        </w:rPr>
      </w:pPr>
      <w:r>
        <w:rPr>
          <w:rFonts w:hint="eastAsia" w:ascii="宋体" w:eastAsia="宋体" w:cs="宋体"/>
          <w:color w:val="auto"/>
          <w:sz w:val="21"/>
          <w:szCs w:val="21"/>
          <w:highlight w:val="none"/>
        </w:rPr>
        <w:t>所有方案、建议等相关资料、成果的知识产权归甲方所有</w:t>
      </w:r>
      <w:r>
        <w:rPr>
          <w:rFonts w:hint="eastAsia" w:ascii="宋体" w:eastAsia="宋体"/>
          <w:color w:val="auto"/>
          <w:sz w:val="21"/>
          <w:szCs w:val="21"/>
          <w:highlight w:val="none"/>
        </w:rPr>
        <w:t>。</w:t>
      </w:r>
    </w:p>
    <w:p w14:paraId="1DAD0F8D">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不可抗力</w:t>
      </w:r>
    </w:p>
    <w:p w14:paraId="151E82F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5A501E2">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合同的终止</w:t>
      </w:r>
    </w:p>
    <w:p w14:paraId="6A85EB7E">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合同期满，双方未续签的；</w:t>
      </w:r>
    </w:p>
    <w:p w14:paraId="40EDBE70">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222" w:name="_Hlk76671581"/>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乙方服务能力</w:t>
      </w:r>
      <w:bookmarkStart w:id="223" w:name="_Hlk76672857"/>
      <w:r>
        <w:rPr>
          <w:rFonts w:hint="eastAsia" w:ascii="宋体" w:hAnsi="宋体" w:eastAsia="宋体"/>
          <w:color w:val="auto"/>
          <w:sz w:val="21"/>
          <w:szCs w:val="21"/>
          <w:highlight w:val="none"/>
        </w:rPr>
        <w:t>丧失</w:t>
      </w:r>
      <w:bookmarkEnd w:id="223"/>
      <w:r>
        <w:rPr>
          <w:rFonts w:hint="eastAsia" w:ascii="宋体" w:hAnsi="宋体" w:eastAsia="宋体"/>
          <w:color w:val="auto"/>
          <w:sz w:val="21"/>
          <w:szCs w:val="21"/>
          <w:highlight w:val="none"/>
        </w:rPr>
        <w:t>，致使服务无法正常进行的；</w:t>
      </w:r>
      <w:bookmarkEnd w:id="222"/>
    </w:p>
    <w:p w14:paraId="2E50924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在履行合同过程中，发现乙方已无承接代理销售服务</w:t>
      </w:r>
      <w:bookmarkStart w:id="224" w:name="_Hlk76671847"/>
      <w:r>
        <w:rPr>
          <w:rFonts w:hint="eastAsia" w:ascii="宋体" w:hAnsi="宋体" w:eastAsia="宋体"/>
          <w:color w:val="auto"/>
          <w:sz w:val="21"/>
          <w:szCs w:val="21"/>
          <w:highlight w:val="none"/>
        </w:rPr>
        <w:t>应具备的条件</w:t>
      </w:r>
      <w:bookmarkEnd w:id="224"/>
      <w:r>
        <w:rPr>
          <w:rFonts w:hint="eastAsia" w:ascii="宋体" w:hAnsi="宋体" w:eastAsia="宋体"/>
          <w:color w:val="auto"/>
          <w:sz w:val="21"/>
          <w:szCs w:val="21"/>
          <w:highlight w:val="none"/>
        </w:rPr>
        <w:t>、能力，</w:t>
      </w:r>
      <w:bookmarkStart w:id="225" w:name="_Hlk76671732"/>
      <w:r>
        <w:rPr>
          <w:rFonts w:hint="eastAsia" w:ascii="宋体" w:hAnsi="宋体" w:eastAsia="宋体"/>
          <w:color w:val="auto"/>
          <w:sz w:val="21"/>
          <w:szCs w:val="21"/>
          <w:highlight w:val="none"/>
        </w:rPr>
        <w:t>造成合同无法继续履行的</w:t>
      </w:r>
      <w:bookmarkEnd w:id="225"/>
      <w:r>
        <w:rPr>
          <w:rFonts w:hint="eastAsia" w:ascii="宋体" w:hAnsi="宋体" w:eastAsia="宋体"/>
          <w:color w:val="auto"/>
          <w:sz w:val="21"/>
          <w:szCs w:val="21"/>
          <w:highlight w:val="none"/>
        </w:rPr>
        <w:t>。</w:t>
      </w:r>
    </w:p>
    <w:p w14:paraId="76E49D43">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其他</w:t>
      </w:r>
    </w:p>
    <w:p w14:paraId="3387E526">
      <w:pPr>
        <w:keepNext w:val="0"/>
        <w:keepLines w:val="0"/>
        <w:pageBreakBefore w:val="0"/>
        <w:widowControl w:val="0"/>
        <w:kinsoku/>
        <w:wordWrap/>
        <w:overflowPunct/>
        <w:topLinePunct w:val="0"/>
        <w:autoSpaceDE/>
        <w:autoSpaceDN/>
        <w:bidi w:val="0"/>
        <w:spacing w:line="440" w:lineRule="exact"/>
        <w:ind w:firstLine="404" w:firstLineChars="200"/>
        <w:jc w:val="both"/>
        <w:textAlignment w:val="auto"/>
        <w:rPr>
          <w:rFonts w:ascii="宋体" w:hAnsi="宋体" w:eastAsia="宋体"/>
          <w:color w:val="auto"/>
          <w:spacing w:val="-2"/>
          <w:sz w:val="21"/>
          <w:szCs w:val="21"/>
          <w:highlight w:val="none"/>
        </w:rPr>
      </w:pPr>
      <w:r>
        <w:rPr>
          <w:rFonts w:hint="eastAsia" w:ascii="宋体" w:hAnsi="宋体"/>
          <w:color w:val="auto"/>
          <w:spacing w:val="-4"/>
          <w:sz w:val="21"/>
          <w:szCs w:val="21"/>
          <w:highlight w:val="none"/>
          <w:lang w:val="en-US" w:eastAsia="zh-CN"/>
        </w:rPr>
        <w:t>①</w:t>
      </w:r>
      <w:r>
        <w:rPr>
          <w:rFonts w:hint="eastAsia" w:ascii="宋体" w:hAnsi="宋体" w:eastAsia="宋体"/>
          <w:color w:val="auto"/>
          <w:spacing w:val="-4"/>
          <w:sz w:val="21"/>
          <w:szCs w:val="21"/>
          <w:highlight w:val="none"/>
        </w:rPr>
        <w:t>在执行本合同的过程中，所有经双方签署确认的文件（包括会议纪要、补充协议、往来信</w:t>
      </w:r>
      <w:r>
        <w:rPr>
          <w:rFonts w:hint="eastAsia" w:ascii="宋体" w:hAnsi="宋体" w:eastAsia="宋体"/>
          <w:color w:val="auto"/>
          <w:spacing w:val="-2"/>
          <w:sz w:val="21"/>
          <w:szCs w:val="21"/>
          <w:highlight w:val="none"/>
        </w:rPr>
        <w:t>函）即成为本合同的有效组成部分。</w:t>
      </w:r>
    </w:p>
    <w:p w14:paraId="77C206F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如一方地址、电话、传真号码发生变更，应在变更当日内书面通知对方，否则，应承担相应责任。</w:t>
      </w:r>
      <w:r>
        <w:rPr>
          <w:rFonts w:hint="eastAsia" w:ascii="宋体" w:hAnsi="宋体" w:eastAsia="宋体"/>
          <w:b/>
          <w:bCs/>
          <w:color w:val="auto"/>
          <w:sz w:val="21"/>
          <w:szCs w:val="21"/>
          <w:highlight w:val="none"/>
          <w:lang w:val="en-US" w:eastAsia="zh-CN"/>
        </w:rPr>
        <w:t xml:space="preserve">十、合同份数 </w:t>
      </w:r>
      <w:r>
        <w:rPr>
          <w:rFonts w:ascii="宋体" w:hAnsi="宋体" w:eastAsia="宋体"/>
          <w:color w:val="auto"/>
          <w:kern w:val="2"/>
          <w:sz w:val="21"/>
          <w:szCs w:val="21"/>
          <w:highlight w:val="none"/>
        </w:rPr>
        <w:t>本合同一式</w:t>
      </w:r>
      <w:r>
        <w:rPr>
          <w:rFonts w:ascii="宋体" w:hAnsi="宋体" w:eastAsia="宋体"/>
          <w:b/>
          <w:color w:val="auto"/>
          <w:kern w:val="2"/>
          <w:sz w:val="21"/>
          <w:szCs w:val="21"/>
          <w:highlight w:val="none"/>
          <w:u w:val="single"/>
        </w:rPr>
        <w:t>  </w:t>
      </w:r>
      <w:r>
        <w:rPr>
          <w:rFonts w:ascii="宋体" w:hAnsi="宋体" w:eastAsia="宋体"/>
          <w:color w:val="auto"/>
          <w:kern w:val="2"/>
          <w:sz w:val="21"/>
          <w:szCs w:val="21"/>
          <w:highlight w:val="none"/>
        </w:rPr>
        <w:t>份，甲</w:t>
      </w:r>
      <w:r>
        <w:rPr>
          <w:rFonts w:hint="eastAsia" w:ascii="宋体" w:hAnsi="宋体" w:eastAsia="宋体"/>
          <w:color w:val="auto"/>
          <w:kern w:val="2"/>
          <w:sz w:val="21"/>
          <w:szCs w:val="21"/>
          <w:highlight w:val="none"/>
        </w:rPr>
        <w:t>方</w:t>
      </w:r>
      <w:r>
        <w:rPr>
          <w:rFonts w:hint="eastAsia" w:ascii="宋体" w:hAnsi="宋体"/>
          <w:color w:val="auto"/>
          <w:kern w:val="2"/>
          <w:sz w:val="21"/>
          <w:szCs w:val="21"/>
          <w:highlight w:val="none"/>
          <w:u w:val="single"/>
          <w:lang w:val="en-US" w:eastAsia="zh-CN"/>
        </w:rPr>
        <w:t xml:space="preserve">    </w:t>
      </w:r>
      <w:r>
        <w:rPr>
          <w:rFonts w:hint="eastAsia" w:ascii="宋体" w:hAnsi="宋体" w:eastAsia="宋体"/>
          <w:color w:val="auto"/>
          <w:kern w:val="2"/>
          <w:sz w:val="21"/>
          <w:szCs w:val="21"/>
          <w:highlight w:val="none"/>
        </w:rPr>
        <w:t>份</w:t>
      </w:r>
      <w:r>
        <w:rPr>
          <w:rFonts w:ascii="宋体" w:hAnsi="宋体" w:eastAsia="宋体"/>
          <w:color w:val="auto"/>
          <w:kern w:val="2"/>
          <w:sz w:val="21"/>
          <w:szCs w:val="21"/>
          <w:highlight w:val="none"/>
        </w:rPr>
        <w:t>、乙方执</w:t>
      </w:r>
      <w:r>
        <w:rPr>
          <w:rFonts w:ascii="宋体" w:hAnsi="宋体" w:eastAsia="宋体"/>
          <w:b/>
          <w:color w:val="auto"/>
          <w:kern w:val="2"/>
          <w:sz w:val="21"/>
          <w:szCs w:val="21"/>
          <w:highlight w:val="none"/>
          <w:u w:val="single"/>
        </w:rPr>
        <w:t>  </w:t>
      </w:r>
      <w:r>
        <w:rPr>
          <w:rFonts w:ascii="宋体" w:hAnsi="宋体" w:eastAsia="宋体"/>
          <w:color w:val="auto"/>
          <w:kern w:val="2"/>
          <w:sz w:val="21"/>
          <w:szCs w:val="21"/>
          <w:highlight w:val="none"/>
        </w:rPr>
        <w:t>份</w:t>
      </w:r>
      <w:r>
        <w:rPr>
          <w:rFonts w:hint="eastAsia" w:ascii="宋体" w:hAnsi="宋体" w:eastAsia="宋体"/>
          <w:color w:val="auto"/>
          <w:kern w:val="2"/>
          <w:sz w:val="21"/>
          <w:szCs w:val="21"/>
          <w:highlight w:val="none"/>
        </w:rPr>
        <w:t>。</w:t>
      </w:r>
      <w:r>
        <w:rPr>
          <w:rFonts w:hint="eastAsia" w:ascii="宋体" w:hAnsi="宋体" w:eastAsia="宋体"/>
          <w:color w:val="auto"/>
          <w:sz w:val="21"/>
          <w:szCs w:val="21"/>
          <w:highlight w:val="none"/>
        </w:rPr>
        <w:t>本合同执行过程中发生的任何争议，如双方不能通过友好协商解决，由合同签订地人民法院处理。</w:t>
      </w:r>
    </w:p>
    <w:p w14:paraId="5E507285">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十一、合同签署</w:t>
      </w:r>
    </w:p>
    <w:p w14:paraId="062268EA">
      <w:pPr>
        <w:pStyle w:val="2"/>
        <w:rPr>
          <w:rFonts w:hint="eastAsia"/>
          <w:highlight w:val="none"/>
        </w:rPr>
      </w:pPr>
    </w:p>
    <w:bookmarkEnd w:id="202"/>
    <w:tbl>
      <w:tblPr>
        <w:tblStyle w:val="33"/>
        <w:tblW w:w="9491" w:type="dxa"/>
        <w:tblInd w:w="122" w:type="dxa"/>
        <w:tblLayout w:type="fixed"/>
        <w:tblCellMar>
          <w:top w:w="0" w:type="dxa"/>
          <w:left w:w="108" w:type="dxa"/>
          <w:bottom w:w="0" w:type="dxa"/>
          <w:right w:w="108" w:type="dxa"/>
        </w:tblCellMar>
      </w:tblPr>
      <w:tblGrid>
        <w:gridCol w:w="4745"/>
        <w:gridCol w:w="4746"/>
      </w:tblGrid>
      <w:tr w14:paraId="34CF34C9">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41EB5A93">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甲方（签章）：</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2E34BDE">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乙方（签章）：</w:t>
            </w:r>
          </w:p>
        </w:tc>
      </w:tr>
      <w:tr w14:paraId="16A49C2C">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B81B1F1">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法定代表人（签章）：</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3EDF5DC6">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法定代表人：（签章）</w:t>
            </w:r>
          </w:p>
        </w:tc>
      </w:tr>
      <w:tr w14:paraId="0025BD47">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5888207">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传真:</w:t>
            </w:r>
          </w:p>
        </w:tc>
        <w:tc>
          <w:tcPr>
            <w:tcW w:w="4746" w:type="dxa"/>
            <w:tcBorders>
              <w:top w:val="nil"/>
              <w:left w:val="nil"/>
              <w:bottom w:val="nil"/>
              <w:right w:val="nil"/>
            </w:tcBorders>
            <w:noWrap w:val="0"/>
            <w:vAlign w:val="center"/>
          </w:tcPr>
          <w:p w14:paraId="6C89E061">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传真:</w:t>
            </w:r>
          </w:p>
        </w:tc>
      </w:tr>
      <w:tr w14:paraId="28B7B41D">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35B7117">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开户银行:</w:t>
            </w:r>
          </w:p>
        </w:tc>
        <w:tc>
          <w:tcPr>
            <w:tcW w:w="4746" w:type="dxa"/>
            <w:tcBorders>
              <w:top w:val="nil"/>
              <w:left w:val="nil"/>
              <w:bottom w:val="nil"/>
              <w:right w:val="nil"/>
            </w:tcBorders>
            <w:noWrap w:val="0"/>
            <w:vAlign w:val="center"/>
          </w:tcPr>
          <w:p w14:paraId="44E1BC90">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开户银行:</w:t>
            </w:r>
          </w:p>
        </w:tc>
      </w:tr>
      <w:tr w14:paraId="68A1887F">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6B6400F0">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账号:</w:t>
            </w:r>
          </w:p>
        </w:tc>
        <w:tc>
          <w:tcPr>
            <w:tcW w:w="4746" w:type="dxa"/>
            <w:tcBorders>
              <w:top w:val="nil"/>
              <w:left w:val="nil"/>
              <w:bottom w:val="nil"/>
              <w:right w:val="nil"/>
            </w:tcBorders>
            <w:noWrap w:val="0"/>
            <w:vAlign w:val="center"/>
          </w:tcPr>
          <w:p w14:paraId="45E462CB">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账号:</w:t>
            </w:r>
          </w:p>
        </w:tc>
      </w:tr>
      <w:tr w14:paraId="14578EAB">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4E6045A0">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地址：</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216FC14">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地址：</w:t>
            </w:r>
          </w:p>
        </w:tc>
      </w:tr>
      <w:tr w14:paraId="3DDB2F8B">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32529FE1">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邮编：</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64C73081">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邮编：</w:t>
            </w:r>
          </w:p>
        </w:tc>
      </w:tr>
      <w:tr w14:paraId="3287DF64">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3F6A034A">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电话：</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4D7CAB0">
            <w:pPr>
              <w:keepNext w:val="0"/>
              <w:keepLines w:val="0"/>
              <w:widowControl w:val="0"/>
              <w:suppressLineNumbers w:val="0"/>
              <w:spacing w:before="0" w:beforeAutospacing="0" w:after="0" w:afterAutospacing="0"/>
              <w:ind w:left="0" w:right="0"/>
              <w:jc w:val="both"/>
              <w:rPr>
                <w:rFonts w:hint="default" w:ascii="宋体" w:eastAsia="宋体"/>
                <w:color w:val="auto"/>
                <w:sz w:val="21"/>
                <w:szCs w:val="21"/>
                <w:highlight w:val="none"/>
              </w:rPr>
            </w:pPr>
            <w:r>
              <w:rPr>
                <w:rFonts w:hint="eastAsia" w:ascii="宋体" w:eastAsia="宋体"/>
                <w:color w:val="auto"/>
                <w:sz w:val="21"/>
                <w:szCs w:val="21"/>
                <w:highlight w:val="none"/>
              </w:rPr>
              <w:t>电话：</w:t>
            </w:r>
          </w:p>
          <w:p w14:paraId="5F1D1F10">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p>
        </w:tc>
      </w:tr>
    </w:tbl>
    <w:p w14:paraId="7A2F7CEF">
      <w:pPr>
        <w:snapToGrid w:val="0"/>
        <w:spacing w:line="360" w:lineRule="auto"/>
        <w:ind w:firstLine="420" w:firstLineChars="200"/>
        <w:rPr>
          <w:rFonts w:ascii="宋体" w:hAnsi="宋体" w:cs="宋体"/>
          <w:szCs w:val="21"/>
          <w:highlight w:val="none"/>
        </w:rPr>
      </w:pPr>
    </w:p>
    <w:p w14:paraId="10152792">
      <w:pPr>
        <w:snapToGrid w:val="0"/>
        <w:spacing w:line="360" w:lineRule="exact"/>
        <w:jc w:val="center"/>
        <w:outlineLvl w:val="0"/>
        <w:rPr>
          <w:rFonts w:ascii="宋体" w:hAnsi="宋体" w:cs="宋体"/>
          <w:b/>
          <w:sz w:val="24"/>
          <w:highlight w:val="none"/>
        </w:rPr>
      </w:pPr>
      <w:r>
        <w:rPr>
          <w:rFonts w:hint="eastAsia" w:ascii="宋体" w:hAnsi="宋体"/>
          <w:b/>
          <w:highlight w:val="none"/>
        </w:rPr>
        <w:br w:type="page"/>
      </w:r>
      <w:bookmarkStart w:id="226" w:name="_Toc23917"/>
      <w:bookmarkStart w:id="227" w:name="_Toc18779"/>
      <w:bookmarkStart w:id="228" w:name="_Toc14663"/>
      <w:r>
        <w:rPr>
          <w:rFonts w:hint="eastAsia" w:ascii="宋体" w:hAnsi="宋体" w:cs="宋体"/>
          <w:b/>
          <w:sz w:val="24"/>
          <w:highlight w:val="none"/>
        </w:rPr>
        <w:t>第三部分 合同附件</w:t>
      </w:r>
      <w:bookmarkEnd w:id="226"/>
      <w:bookmarkEnd w:id="227"/>
      <w:bookmarkEnd w:id="228"/>
    </w:p>
    <w:p w14:paraId="39FCB53E">
      <w:pPr>
        <w:snapToGrid w:val="0"/>
        <w:spacing w:line="360" w:lineRule="exact"/>
        <w:rPr>
          <w:rFonts w:ascii="宋体" w:hAnsi="宋体"/>
          <w:b/>
          <w:highlight w:val="none"/>
        </w:rPr>
      </w:pPr>
    </w:p>
    <w:p w14:paraId="11626922">
      <w:pPr>
        <w:snapToGrid w:val="0"/>
        <w:spacing w:line="360" w:lineRule="exact"/>
        <w:rPr>
          <w:rFonts w:ascii="宋体" w:hAnsi="宋体"/>
          <w:b/>
          <w:highlight w:val="none"/>
        </w:rPr>
      </w:pPr>
    </w:p>
    <w:p w14:paraId="7EC1C978">
      <w:pPr>
        <w:snapToGrid w:val="0"/>
        <w:spacing w:line="360" w:lineRule="exact"/>
        <w:rPr>
          <w:rFonts w:ascii="宋体" w:hAnsi="宋体"/>
          <w:b/>
          <w:highlight w:val="none"/>
        </w:rPr>
      </w:pPr>
      <w:r>
        <w:rPr>
          <w:rFonts w:hint="eastAsia" w:ascii="宋体" w:hAnsi="宋体"/>
          <w:b/>
          <w:highlight w:val="none"/>
        </w:rPr>
        <w:t>附件1 廉政责任合同</w:t>
      </w:r>
    </w:p>
    <w:p w14:paraId="73760D03">
      <w:pPr>
        <w:spacing w:line="400" w:lineRule="exact"/>
        <w:rPr>
          <w:rFonts w:ascii="宋体" w:hAnsi="宋体" w:cs="宋体"/>
          <w:sz w:val="30"/>
          <w:szCs w:val="30"/>
          <w:highlight w:val="none"/>
        </w:rPr>
      </w:pPr>
      <w:r>
        <w:rPr>
          <w:rFonts w:hint="eastAsia" w:ascii="宋体" w:hAnsi="宋体"/>
          <w:b/>
          <w:highlight w:val="none"/>
        </w:rPr>
        <w:br w:type="page"/>
      </w:r>
      <w:r>
        <w:rPr>
          <w:rFonts w:hint="eastAsia" w:ascii="宋体" w:hAnsi="宋体" w:cs="宋体"/>
          <w:szCs w:val="21"/>
          <w:highlight w:val="none"/>
        </w:rPr>
        <w:t>附件1</w:t>
      </w:r>
    </w:p>
    <w:p w14:paraId="553C0D9E">
      <w:pPr>
        <w:widowControl/>
        <w:topLinePunct/>
        <w:snapToGrid w:val="0"/>
        <w:spacing w:line="288" w:lineRule="auto"/>
        <w:ind w:firstLine="420"/>
        <w:jc w:val="center"/>
        <w:rPr>
          <w:rFonts w:ascii="宋体" w:hAnsi="宋体" w:cs="宋体"/>
          <w:b/>
          <w:bCs/>
          <w:kern w:val="0"/>
          <w:sz w:val="32"/>
          <w:szCs w:val="32"/>
          <w:highlight w:val="none"/>
        </w:rPr>
      </w:pPr>
      <w:r>
        <w:rPr>
          <w:rFonts w:hint="eastAsia" w:ascii="宋体" w:hAnsi="宋体" w:cs="宋体"/>
          <w:b/>
          <w:bCs/>
          <w:kern w:val="0"/>
          <w:sz w:val="32"/>
          <w:szCs w:val="32"/>
          <w:highlight w:val="none"/>
        </w:rPr>
        <w:t>廉政责任合同</w:t>
      </w:r>
    </w:p>
    <w:p w14:paraId="71E483D8">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甲方： </w:t>
      </w:r>
    </w:p>
    <w:p w14:paraId="044F765C">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乙方：</w:t>
      </w:r>
    </w:p>
    <w:p w14:paraId="33EAD545">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为进一步规范工程建设中的经济活动管理，依据国家和浙江省、地方有关建设工程承发包和廉政建设的各项规定，结合工程建设的特点，特订立本协议如下：</w:t>
      </w:r>
    </w:p>
    <w:p w14:paraId="32D3DB1A">
      <w:pPr>
        <w:widowControl/>
        <w:topLinePunct/>
        <w:snapToGrid w:val="0"/>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 xml:space="preserve">一、基本守则 </w:t>
      </w:r>
    </w:p>
    <w:p w14:paraId="48FAEFF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1.甲乙双方应严格遵守中国关于廉政建设及反不正当竞争方面的法律法规。 </w:t>
      </w:r>
    </w:p>
    <w:p w14:paraId="0510916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2.甲乙双方严格履行所签订的经济合同的各项条款，自觉按合同办事，严禁因违法违纪、违反工程建设管理的各项规章制度而损害国家和集体利益。 </w:t>
      </w:r>
    </w:p>
    <w:p w14:paraId="7979FFB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3.甲乙双方人员洽谈业务时，必须选择在办公场所或甲方确定的其它公共场所，甲方需二人以上共同参加，严禁私下商谈串通。</w:t>
      </w:r>
    </w:p>
    <w:p w14:paraId="26B474F1">
      <w:pPr>
        <w:widowControl/>
        <w:topLinePunct/>
        <w:snapToGrid w:val="0"/>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二、甲方的权利和义务</w:t>
      </w:r>
    </w:p>
    <w:p w14:paraId="0548B7E0">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1.甲方严禁本公司员工有任何违反商业道德的不廉洁行为，禁止本公司员工索要或接受乙方及其相关单位和人员提供给个人的佣金、回扣、礼金、有价证券、支付凭证、贵重物品等，不得在乙方报销任何应由个人支付的费用。</w:t>
      </w:r>
    </w:p>
    <w:p w14:paraId="09AAB2F2">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2.甲方工作人员不得参加乙方及其相关单位安排的可能影响业务公正执行的宴请及健身、娱乐、旅游等活动。</w:t>
      </w:r>
    </w:p>
    <w:p w14:paraId="4C92DBA8">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3.甲方工作人员不得要求或者接受乙方为其住房装修、婚丧嫁娶、家属和子女的工作安排以及出国等提供方便。</w:t>
      </w:r>
    </w:p>
    <w:p w14:paraId="1AA855EB">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4.甲方工作人员不得向乙方介绍家属或者亲友从事与甲方工程有关的材料设备供应、工程分包等经济活动。</w:t>
      </w:r>
    </w:p>
    <w:p w14:paraId="2460E814">
      <w:pPr>
        <w:widowControl/>
        <w:topLinePunct/>
        <w:snapToGrid w:val="0"/>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三、乙方的权利及义务</w:t>
      </w:r>
    </w:p>
    <w:p w14:paraId="2E93ACFD">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1.乙方应当通过正常途径开展相关业务工作，不得为获取某些不正当利益而向甲方工作人员提供佣金、回扣、礼金、有价证券、支付凭证、贵重物品等。</w:t>
      </w:r>
    </w:p>
    <w:p w14:paraId="6F4D67B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2.乙方不得为谋取私利擅自与甲方工作人员就工程承包、工程费用、材料设备供应、工程量变动、工程验收、工程质量问题处理等进行私下商谈或者达成默契。</w:t>
      </w:r>
    </w:p>
    <w:p w14:paraId="3A978D1E">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3.乙方不得以洽谈业务、签订经济合同为借口，邀请甲方工作人员外出旅游和进入营业性高档娱乐场所。</w:t>
      </w:r>
    </w:p>
    <w:p w14:paraId="3F8C21EB">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4.乙方不得为甲方单位和个人购置或者提供通讯工具、交通工具、家电、高档办公用品等物品。</w:t>
      </w:r>
    </w:p>
    <w:p w14:paraId="321804C5">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5.乙方应严禁本公司及其代理机构的员工以任何形式、任何理由向甲方员工个人提供佣金、回扣、礼金、有价证券、支付凭证、贵重物品等；不得为甲方员工安排有可能影响业务公正执行的宴请、健身、娱乐、旅游等活动。</w:t>
      </w:r>
    </w:p>
    <w:p w14:paraId="4D0B717F">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6.若乙方发现甲方员工在商务活动中存在以不正当手段试图直接或间接从乙方获取个人利益的行为时，应予拒绝并及时向甲方监察部门或司法机关举报。甲方不得找任何借口对乙方进行报复。</w:t>
      </w:r>
    </w:p>
    <w:p w14:paraId="32F83068">
      <w:pPr>
        <w:widowControl/>
        <w:topLinePunct/>
        <w:snapToGrid w:val="0"/>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四、违约责任</w:t>
      </w:r>
    </w:p>
    <w:p w14:paraId="75026167">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1.乙方有违反本协议或者采用不正当的手段行贿甲方工作人员，一经发现，则甲方有权要求乙方按照合同金额 3％支付违约金，乙方用不正当手段获取的非法所得由甲方单位予以追缴。</w:t>
      </w:r>
    </w:p>
    <w:p w14:paraId="090D5840">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甲方人员若违反本合同，其主管部门将对违法、违纪、违规人员严肃查处。 </w:t>
      </w:r>
    </w:p>
    <w:p w14:paraId="7C961252">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2.甲方或甲方主管部门如发现乙方人员违反本合同规定，有权终止其经济合同，由此而造成的损失由乙方负责赔偿，并将乙方列入不良行为名单登记入册，取消其在甲方的任何经济项目的投标活动资格。同时，有权向政府主管部门提供其不良记录情况。 </w:t>
      </w:r>
    </w:p>
    <w:p w14:paraId="6448AC2C">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3.乙方人员若违反本合同，乙方应对违法违纪人员严肃查处，因此而给甲方造成的损失，乙方按有关规定予以赔偿。</w:t>
      </w:r>
    </w:p>
    <w:p w14:paraId="4E8AEC38">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五、合同附则</w:t>
      </w:r>
    </w:p>
    <w:p w14:paraId="09CA408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1.本廉洁协议作为</w:t>
      </w:r>
      <w:r>
        <w:rPr>
          <w:rFonts w:hint="eastAsia" w:ascii="宋体" w:hAnsi="宋体" w:cs="宋体"/>
          <w:kern w:val="0"/>
          <w:highlight w:val="none"/>
          <w:u w:val="single"/>
        </w:rPr>
        <w:t xml:space="preserve">                  </w:t>
      </w:r>
      <w:r>
        <w:rPr>
          <w:rFonts w:hint="eastAsia" w:ascii="宋体" w:hAnsi="宋体" w:cs="宋体"/>
          <w:kern w:val="0"/>
          <w:highlight w:val="none"/>
        </w:rPr>
        <w:t xml:space="preserve">合同的附件，与工程承发包合同具有同等法律效力。经协议双方签署后立即生效。 </w:t>
      </w:r>
    </w:p>
    <w:p w14:paraId="512884CA">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2.本协议一式三份，甲、乙双方各执一份，送交见证部门一份，具有相同的法律效力，甲方纪检监察部门负责履行本合同的监督管理工作。</w:t>
      </w:r>
    </w:p>
    <w:p w14:paraId="1AC568A7">
      <w:pPr>
        <w:widowControl/>
        <w:topLinePunct/>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3.本合同未尽之事宜或在本合同发生纠纷，应当首先协商解决，协商不成，可诉至工程所在地人民法院。</w:t>
      </w:r>
    </w:p>
    <w:p w14:paraId="30483B59">
      <w:pPr>
        <w:widowControl/>
        <w:topLinePunct/>
        <w:snapToGrid w:val="0"/>
        <w:spacing w:line="400" w:lineRule="exact"/>
        <w:ind w:firstLine="420" w:firstLineChars="200"/>
        <w:jc w:val="left"/>
        <w:rPr>
          <w:rFonts w:ascii="宋体" w:hAnsi="宋体" w:cs="宋体"/>
          <w:kern w:val="0"/>
          <w:highlight w:val="none"/>
        </w:rPr>
      </w:pPr>
    </w:p>
    <w:p w14:paraId="6638A91C">
      <w:pPr>
        <w:widowControl/>
        <w:topLinePunct/>
        <w:snapToGrid w:val="0"/>
        <w:spacing w:line="400" w:lineRule="exact"/>
        <w:ind w:firstLine="420" w:firstLineChars="200"/>
        <w:jc w:val="left"/>
        <w:rPr>
          <w:rFonts w:ascii="宋体" w:hAnsi="宋体" w:cs="宋体"/>
          <w:kern w:val="0"/>
          <w:highlight w:val="none"/>
        </w:rPr>
      </w:pPr>
    </w:p>
    <w:p w14:paraId="62CF6B3F">
      <w:pPr>
        <w:widowControl/>
        <w:topLinePunct/>
        <w:snapToGrid w:val="0"/>
        <w:spacing w:line="400" w:lineRule="atLeast"/>
        <w:ind w:firstLine="420"/>
        <w:rPr>
          <w:rFonts w:ascii="宋体" w:hAnsi="宋体" w:cs="宋体"/>
          <w:kern w:val="0"/>
          <w:highlight w:val="none"/>
        </w:rPr>
      </w:pPr>
    </w:p>
    <w:p w14:paraId="2DDF3A58">
      <w:pPr>
        <w:widowControl/>
        <w:topLinePunct/>
        <w:snapToGrid w:val="0"/>
        <w:spacing w:line="400" w:lineRule="atLeast"/>
        <w:ind w:firstLine="420"/>
        <w:rPr>
          <w:rFonts w:ascii="宋体" w:hAnsi="宋体" w:cs="宋体"/>
          <w:kern w:val="0"/>
          <w:highlight w:val="none"/>
        </w:rPr>
      </w:pPr>
      <w:r>
        <w:rPr>
          <w:rFonts w:hint="eastAsia" w:ascii="宋体" w:hAnsi="宋体" w:cs="宋体"/>
          <w:kern w:val="0"/>
          <w:highlight w:val="none"/>
        </w:rPr>
        <w:t>甲方：（盖章）                             乙方：（盖章）</w:t>
      </w:r>
    </w:p>
    <w:p w14:paraId="762A2604">
      <w:pPr>
        <w:widowControl/>
        <w:topLinePunct/>
        <w:snapToGrid w:val="0"/>
        <w:spacing w:line="400" w:lineRule="atLeast"/>
        <w:ind w:firstLine="420"/>
        <w:rPr>
          <w:rFonts w:ascii="宋体" w:hAnsi="宋体" w:cs="宋体"/>
          <w:kern w:val="0"/>
          <w:highlight w:val="none"/>
        </w:rPr>
      </w:pPr>
    </w:p>
    <w:p w14:paraId="0BBD2B3E">
      <w:pPr>
        <w:widowControl/>
        <w:topLinePunct/>
        <w:snapToGrid w:val="0"/>
        <w:spacing w:line="400" w:lineRule="atLeast"/>
        <w:ind w:firstLine="420"/>
        <w:rPr>
          <w:rFonts w:ascii="宋体" w:hAnsi="宋体" w:cs="宋体"/>
          <w:kern w:val="0"/>
          <w:highlight w:val="none"/>
        </w:rPr>
      </w:pPr>
      <w:r>
        <w:rPr>
          <w:rFonts w:hint="eastAsia" w:ascii="宋体" w:hAnsi="宋体" w:cs="宋体"/>
          <w:kern w:val="0"/>
          <w:highlight w:val="none"/>
        </w:rPr>
        <w:t>法定代表人 ：                             法定代表人：</w:t>
      </w:r>
    </w:p>
    <w:p w14:paraId="5A7FAAA8">
      <w:pPr>
        <w:widowControl/>
        <w:topLinePunct/>
        <w:snapToGrid w:val="0"/>
        <w:spacing w:line="400" w:lineRule="atLeast"/>
        <w:rPr>
          <w:rFonts w:ascii="宋体" w:hAnsi="宋体" w:cs="宋体"/>
          <w:kern w:val="0"/>
          <w:highlight w:val="none"/>
        </w:rPr>
      </w:pPr>
    </w:p>
    <w:p w14:paraId="11F5E0D0">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或托代理人：                              或委托代理人：</w:t>
      </w:r>
    </w:p>
    <w:p w14:paraId="7DAD5CB1">
      <w:pPr>
        <w:widowControl/>
        <w:topLinePunct/>
        <w:snapToGrid w:val="0"/>
        <w:spacing w:line="400" w:lineRule="atLeast"/>
        <w:ind w:firstLine="420" w:firstLineChars="200"/>
        <w:rPr>
          <w:rFonts w:ascii="宋体" w:hAnsi="宋体" w:cs="宋体"/>
          <w:kern w:val="0"/>
          <w:highlight w:val="none"/>
        </w:rPr>
      </w:pPr>
    </w:p>
    <w:p w14:paraId="01D55776">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地址：                                    地址：</w:t>
      </w:r>
    </w:p>
    <w:p w14:paraId="3B3C35A5">
      <w:pPr>
        <w:widowControl/>
        <w:topLinePunct/>
        <w:snapToGrid w:val="0"/>
        <w:spacing w:line="400" w:lineRule="atLeast"/>
        <w:ind w:firstLine="420" w:firstLineChars="200"/>
        <w:rPr>
          <w:rFonts w:ascii="宋体" w:hAnsi="宋体" w:cs="宋体"/>
          <w:kern w:val="0"/>
          <w:highlight w:val="none"/>
        </w:rPr>
      </w:pPr>
    </w:p>
    <w:p w14:paraId="7AD6B62E">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电话：                                    电话：</w:t>
      </w:r>
    </w:p>
    <w:p w14:paraId="60B197DA">
      <w:pPr>
        <w:widowControl/>
        <w:topLinePunct/>
        <w:snapToGrid w:val="0"/>
        <w:spacing w:line="400" w:lineRule="atLeast"/>
        <w:ind w:firstLine="420" w:firstLineChars="200"/>
        <w:rPr>
          <w:rFonts w:ascii="宋体" w:hAnsi="宋体" w:cs="宋体"/>
          <w:kern w:val="0"/>
          <w:highlight w:val="none"/>
        </w:rPr>
      </w:pPr>
    </w:p>
    <w:p w14:paraId="35B27531">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 xml:space="preserve">签约日期：        年       月       日 </w:t>
      </w:r>
    </w:p>
    <w:p w14:paraId="10230C1A">
      <w:pPr>
        <w:widowControl/>
        <w:topLinePunct/>
        <w:snapToGrid w:val="0"/>
        <w:spacing w:line="400" w:lineRule="atLeast"/>
        <w:ind w:firstLine="420" w:firstLineChars="200"/>
        <w:rPr>
          <w:rFonts w:ascii="宋体" w:hAnsi="宋体" w:cs="宋体"/>
          <w:kern w:val="0"/>
          <w:highlight w:val="none"/>
        </w:rPr>
      </w:pPr>
    </w:p>
    <w:p w14:paraId="3EC34114">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见证部门：（盖章）</w:t>
      </w:r>
    </w:p>
    <w:p w14:paraId="23B346DB">
      <w:pPr>
        <w:widowControl/>
        <w:topLinePunct/>
        <w:snapToGrid w:val="0"/>
        <w:spacing w:line="400" w:lineRule="atLeast"/>
        <w:ind w:firstLine="420" w:firstLineChars="200"/>
        <w:rPr>
          <w:rFonts w:ascii="宋体" w:hAnsi="宋体" w:cs="宋体"/>
          <w:kern w:val="0"/>
          <w:highlight w:val="none"/>
        </w:rPr>
      </w:pPr>
    </w:p>
    <w:p w14:paraId="77094118">
      <w:pPr>
        <w:widowControl/>
        <w:topLinePunct/>
        <w:snapToGrid w:val="0"/>
        <w:spacing w:line="400" w:lineRule="atLeast"/>
        <w:ind w:firstLine="420" w:firstLineChars="200"/>
        <w:rPr>
          <w:rFonts w:ascii="宋体" w:hAnsi="宋体" w:cs="宋体"/>
          <w:kern w:val="0"/>
          <w:highlight w:val="none"/>
        </w:rPr>
      </w:pPr>
      <w:r>
        <w:rPr>
          <w:rFonts w:hint="eastAsia" w:ascii="宋体" w:hAnsi="宋体" w:cs="宋体"/>
          <w:kern w:val="0"/>
          <w:highlight w:val="none"/>
        </w:rPr>
        <w:t>见证日期：        年       月       日</w:t>
      </w:r>
    </w:p>
    <w:p w14:paraId="3E834DBD">
      <w:pPr>
        <w:tabs>
          <w:tab w:val="left" w:pos="540"/>
        </w:tabs>
        <w:spacing w:line="440" w:lineRule="exact"/>
        <w:rPr>
          <w:rFonts w:ascii="仿宋" w:hAnsi="仿宋" w:eastAsia="仿宋" w:cs="仿宋"/>
          <w:bCs/>
          <w:sz w:val="22"/>
          <w:szCs w:val="22"/>
          <w:highlight w:val="none"/>
        </w:rPr>
      </w:pPr>
    </w:p>
    <w:p w14:paraId="040C893D">
      <w:pPr>
        <w:pStyle w:val="2"/>
        <w:spacing w:before="240" w:beforeLines="100"/>
        <w:ind w:right="1280"/>
        <w:jc w:val="right"/>
        <w:rPr>
          <w:rFonts w:ascii="宋体" w:hAnsi="宋体" w:eastAsia="宋体" w:cs="Courier New"/>
          <w:sz w:val="44"/>
          <w:szCs w:val="44"/>
          <w:highlight w:val="none"/>
        </w:rPr>
      </w:pPr>
      <w:r>
        <w:rPr>
          <w:rFonts w:hint="eastAsia" w:ascii="宋体" w:hAnsi="宋体" w:eastAsia="宋体"/>
          <w:b w:val="0"/>
          <w:sz w:val="32"/>
          <w:highlight w:val="none"/>
          <w:lang w:val="en-US"/>
        </w:rPr>
        <w:br w:type="page"/>
      </w:r>
      <w:bookmarkStart w:id="229" w:name="_Toc13135"/>
      <w:r>
        <w:rPr>
          <w:rFonts w:hint="eastAsia" w:ascii="宋体" w:hAnsi="宋体" w:eastAsia="宋体" w:cs="Courier New"/>
          <w:sz w:val="44"/>
          <w:szCs w:val="44"/>
          <w:highlight w:val="none"/>
        </w:rPr>
        <w:t xml:space="preserve">第三部分   </w:t>
      </w:r>
      <w:bookmarkEnd w:id="191"/>
      <w:bookmarkEnd w:id="192"/>
      <w:bookmarkEnd w:id="193"/>
      <w:bookmarkEnd w:id="194"/>
      <w:bookmarkEnd w:id="195"/>
      <w:bookmarkEnd w:id="196"/>
      <w:bookmarkEnd w:id="197"/>
      <w:bookmarkEnd w:id="198"/>
      <w:bookmarkEnd w:id="199"/>
      <w:bookmarkEnd w:id="200"/>
      <w:r>
        <w:rPr>
          <w:rFonts w:hint="eastAsia" w:ascii="宋体" w:hAnsi="宋体" w:eastAsia="宋体" w:cs="Courier New"/>
          <w:sz w:val="44"/>
          <w:szCs w:val="44"/>
          <w:highlight w:val="none"/>
        </w:rPr>
        <w:t>应提交的有关格式范例</w:t>
      </w:r>
      <w:bookmarkEnd w:id="229"/>
    </w:p>
    <w:p w14:paraId="1E6D8DBB">
      <w:pPr>
        <w:rPr>
          <w:rFonts w:ascii="宋体" w:hAnsi="宋体"/>
          <w:highlight w:val="none"/>
        </w:rPr>
      </w:pPr>
    </w:p>
    <w:p w14:paraId="452A866B">
      <w:pPr>
        <w:snapToGrid w:val="0"/>
        <w:spacing w:line="360" w:lineRule="auto"/>
        <w:rPr>
          <w:rFonts w:ascii="宋体" w:hAnsi="宋体" w:cs="宋体"/>
          <w:b/>
          <w:sz w:val="24"/>
          <w:highlight w:val="none"/>
        </w:rPr>
      </w:pPr>
      <w:r>
        <w:rPr>
          <w:rFonts w:hint="eastAsia" w:ascii="宋体" w:hAnsi="宋体" w:cs="宋体"/>
          <w:b/>
          <w:sz w:val="24"/>
          <w:highlight w:val="none"/>
        </w:rPr>
        <w:t>投标人提交投标文件须知：</w:t>
      </w:r>
    </w:p>
    <w:p w14:paraId="5965E2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1、投标人应严格按照以下顺序填写和提交下述规定的全部格式文件以及其他有关资料，混乱的编排</w:t>
      </w:r>
      <w:bookmarkStart w:id="230" w:name="_Hlk36726443"/>
      <w:r>
        <w:rPr>
          <w:rFonts w:hint="eastAsia" w:ascii="宋体" w:hAnsi="宋体" w:cs="宋体"/>
          <w:sz w:val="24"/>
          <w:highlight w:val="none"/>
        </w:rPr>
        <w:t>或未关联</w:t>
      </w:r>
      <w:bookmarkEnd w:id="230"/>
      <w:r>
        <w:rPr>
          <w:rFonts w:hint="eastAsia" w:ascii="宋体" w:hAnsi="宋体" w:cs="宋体"/>
          <w:sz w:val="24"/>
          <w:highlight w:val="none"/>
        </w:rPr>
        <w:t>定位导致投标文件被误读或评标委员会查找不到有效文件是投标人的风险。</w:t>
      </w:r>
    </w:p>
    <w:p w14:paraId="13F243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2、所附表格中要求回答的全部问题或信息都必须正面回答。</w:t>
      </w:r>
    </w:p>
    <w:p w14:paraId="0944EE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3、签字人应保证全部声明和问题的回答是真实的和准确的。</w:t>
      </w:r>
    </w:p>
    <w:p w14:paraId="2F2F6A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4、评标委员会将应用投标人提交的资料作出自己的判断。</w:t>
      </w:r>
    </w:p>
    <w:p w14:paraId="32AD24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5、投标人提交的材料将在一定期限内被保密保存，但不退还。</w:t>
      </w:r>
    </w:p>
    <w:p w14:paraId="3975BC24">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w:t>
      </w:r>
      <w:r>
        <w:rPr>
          <w:rFonts w:hint="eastAsia" w:ascii="宋体" w:hAnsi="宋体" w:cs="宋体"/>
          <w:b/>
          <w:bCs/>
          <w:sz w:val="24"/>
          <w:highlight w:val="none"/>
        </w:rPr>
        <w:t>投标无效</w:t>
      </w:r>
      <w:r>
        <w:rPr>
          <w:rFonts w:hint="eastAsia" w:ascii="宋体" w:hAnsi="宋体" w:cs="宋体"/>
          <w:b/>
          <w:sz w:val="24"/>
          <w:highlight w:val="none"/>
        </w:rPr>
        <w:t>。</w:t>
      </w:r>
    </w:p>
    <w:p w14:paraId="5712C194">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7、要求中涉及提供证明（或材料）复印件的，也可提供扫描件制作进投标文件内。</w:t>
      </w:r>
    </w:p>
    <w:p w14:paraId="15910C5D">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8、电子签章，其中单位负责人和授权代表签字或盖章可书面签订或盖章后扫描至电子投标文件中上传。</w:t>
      </w:r>
    </w:p>
    <w:p w14:paraId="5E34F868">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9、投标人可在投标文件中对采购内容的技术条款选用替代标准，但这些替代标准必须相当于或优于招标文件中提出的相应要求，并使采购人满意，同时在偏离表中作出详细说明。</w:t>
      </w:r>
    </w:p>
    <w:p w14:paraId="7B173BC2">
      <w:pPr>
        <w:rPr>
          <w:rFonts w:ascii="宋体" w:hAnsi="宋体"/>
          <w:highlight w:val="none"/>
        </w:rPr>
      </w:pPr>
    </w:p>
    <w:p w14:paraId="518829E4">
      <w:pPr>
        <w:rPr>
          <w:rFonts w:ascii="宋体" w:hAnsi="宋体"/>
          <w:highlight w:val="none"/>
        </w:rPr>
      </w:pPr>
    </w:p>
    <w:p w14:paraId="3E3AA3EC">
      <w:pPr>
        <w:rPr>
          <w:rFonts w:ascii="宋体" w:hAnsi="宋体"/>
          <w:highlight w:val="none"/>
        </w:rPr>
      </w:pPr>
    </w:p>
    <w:p w14:paraId="0E447AB7">
      <w:pPr>
        <w:pStyle w:val="4"/>
        <w:spacing w:before="0" w:after="120" w:line="700" w:lineRule="exact"/>
        <w:jc w:val="center"/>
        <w:rPr>
          <w:rFonts w:ascii="宋体" w:hAnsi="宋体" w:eastAsia="宋体"/>
          <w:bCs/>
          <w:highlight w:val="none"/>
        </w:rPr>
      </w:pPr>
      <w:bookmarkStart w:id="231" w:name="_Toc33194403"/>
      <w:r>
        <w:rPr>
          <w:rFonts w:ascii="宋体" w:hAnsi="宋体" w:eastAsia="宋体"/>
          <w:bCs/>
          <w:highlight w:val="none"/>
        </w:rPr>
        <w:br w:type="page"/>
      </w:r>
      <w:bookmarkStart w:id="232" w:name="_Toc34761242"/>
      <w:bookmarkStart w:id="233" w:name="_Toc7144"/>
      <w:r>
        <w:rPr>
          <w:rFonts w:hint="eastAsia" w:ascii="宋体" w:hAnsi="宋体" w:eastAsia="宋体"/>
          <w:bCs/>
          <w:sz w:val="38"/>
          <w:highlight w:val="none"/>
        </w:rPr>
        <w:t>资格文件</w:t>
      </w:r>
      <w:bookmarkEnd w:id="231"/>
      <w:bookmarkEnd w:id="232"/>
      <w:bookmarkEnd w:id="233"/>
    </w:p>
    <w:p w14:paraId="6F0ED368">
      <w:pPr>
        <w:shd w:val="clear" w:color="auto" w:fill="FFFFFF"/>
        <w:snapToGrid w:val="0"/>
        <w:spacing w:line="360" w:lineRule="auto"/>
        <w:jc w:val="center"/>
        <w:rPr>
          <w:rFonts w:ascii="宋体" w:hAnsi="宋体" w:cs="宋体"/>
          <w:b/>
          <w:bCs/>
          <w:kern w:val="0"/>
          <w:sz w:val="24"/>
          <w:highlight w:val="none"/>
        </w:rPr>
      </w:pPr>
    </w:p>
    <w:p w14:paraId="24AB8C8B">
      <w:pPr>
        <w:shd w:val="clear" w:color="auto" w:fill="FFFFFF"/>
        <w:snapToGrid w:val="0"/>
        <w:spacing w:line="360" w:lineRule="auto"/>
        <w:jc w:val="center"/>
        <w:rPr>
          <w:rFonts w:ascii="宋体" w:hAnsi="宋体" w:cs="宋体"/>
          <w:b/>
          <w:bCs/>
          <w:kern w:val="0"/>
          <w:sz w:val="40"/>
          <w:szCs w:val="32"/>
          <w:highlight w:val="none"/>
        </w:rPr>
      </w:pPr>
      <w:r>
        <w:rPr>
          <w:rFonts w:hint="eastAsia" w:ascii="宋体" w:hAnsi="宋体" w:cs="宋体"/>
          <w:b/>
          <w:bCs/>
          <w:kern w:val="0"/>
          <w:sz w:val="40"/>
          <w:szCs w:val="32"/>
          <w:highlight w:val="none"/>
        </w:rPr>
        <w:t xml:space="preserve"> </w:t>
      </w:r>
      <w:r>
        <w:rPr>
          <w:rFonts w:hint="eastAsia" w:ascii="宋体" w:hAnsi="宋体" w:cs="宋体"/>
          <w:b/>
          <w:bCs/>
          <w:kern w:val="0"/>
          <w:sz w:val="32"/>
          <w:szCs w:val="32"/>
          <w:highlight w:val="none"/>
        </w:rPr>
        <w:t>目  录</w:t>
      </w:r>
    </w:p>
    <w:p w14:paraId="04E90969">
      <w:pPr>
        <w:rPr>
          <w:rFonts w:ascii="宋体" w:hAnsi="宋体"/>
          <w:highlight w:val="none"/>
        </w:rPr>
      </w:pPr>
    </w:p>
    <w:p w14:paraId="1D9F59F3">
      <w:pPr>
        <w:shd w:val="clear" w:color="auto" w:fill="FFFFFF"/>
        <w:tabs>
          <w:tab w:val="right" w:leader="middleDot" w:pos="9356"/>
        </w:tabs>
        <w:snapToGrid w:val="0"/>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rPr>
        <w:t>（1）</w:t>
      </w:r>
      <w:r>
        <w:rPr>
          <w:rFonts w:hint="eastAsia" w:ascii="宋体" w:hAnsi="宋体" w:cs="宋体"/>
          <w:kern w:val="0"/>
          <w:sz w:val="24"/>
          <w:highlight w:val="none"/>
          <w:lang w:val="en-US" w:eastAsia="zh-CN"/>
        </w:rPr>
        <w:t>资格声明书</w:t>
      </w:r>
      <w:r>
        <w:rPr>
          <w:rFonts w:hint="eastAsia" w:ascii="宋体" w:hAnsi="宋体" w:cs="宋体"/>
          <w:kern w:val="0"/>
          <w:sz w:val="24"/>
          <w:highlight w:val="none"/>
          <w:lang w:val="en-US" w:eastAsia="zh-CN"/>
        </w:rPr>
        <w:tab/>
      </w:r>
      <w:r>
        <w:rPr>
          <w:rFonts w:hint="eastAsia" w:ascii="宋体" w:hAnsi="宋体" w:cs="宋体"/>
          <w:kern w:val="0"/>
          <w:sz w:val="24"/>
          <w:highlight w:val="none"/>
          <w:lang w:val="en-US" w:eastAsia="zh-CN"/>
        </w:rPr>
        <w:t>（页码）</w:t>
      </w:r>
    </w:p>
    <w:p w14:paraId="49D4B880">
      <w:pPr>
        <w:shd w:val="clear" w:color="auto" w:fill="FFFFFF"/>
        <w:tabs>
          <w:tab w:val="right" w:leader="middleDot" w:pos="9356"/>
        </w:tabs>
        <w:snapToGrid w:val="0"/>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（2）投标人有效的营业执照等证明文件</w:t>
      </w:r>
      <w:r>
        <w:rPr>
          <w:rFonts w:hint="eastAsia" w:ascii="宋体" w:hAnsi="宋体" w:cs="宋体"/>
          <w:kern w:val="0"/>
          <w:sz w:val="24"/>
          <w:highlight w:val="none"/>
          <w:lang w:val="en-US" w:eastAsia="zh-CN"/>
        </w:rPr>
        <w:tab/>
      </w:r>
      <w:r>
        <w:rPr>
          <w:rFonts w:hint="eastAsia" w:ascii="宋体" w:hAnsi="宋体" w:cs="宋体"/>
          <w:kern w:val="0"/>
          <w:sz w:val="24"/>
          <w:highlight w:val="none"/>
          <w:lang w:val="en-US" w:eastAsia="zh-CN"/>
        </w:rPr>
        <w:t>（页码）</w:t>
      </w:r>
    </w:p>
    <w:p w14:paraId="00328A54">
      <w:pPr>
        <w:shd w:val="clear" w:color="auto" w:fill="FFFFFF"/>
        <w:tabs>
          <w:tab w:val="right" w:leader="middleDot" w:pos="9356"/>
        </w:tabs>
        <w:snapToGrid w:val="0"/>
        <w:spacing w:line="360" w:lineRule="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（3）</w:t>
      </w:r>
      <w:r>
        <w:rPr>
          <w:rFonts w:hint="default" w:ascii="宋体" w:hAnsi="宋体" w:cs="宋体"/>
          <w:kern w:val="0"/>
          <w:sz w:val="24"/>
          <w:highlight w:val="none"/>
          <w:lang w:val="en-US" w:eastAsia="zh-CN"/>
        </w:rPr>
        <w:t>落实政府采购政策需满足的资格要求</w:t>
      </w:r>
      <w:r>
        <w:rPr>
          <w:rFonts w:hint="eastAsia" w:ascii="宋体" w:hAnsi="宋体" w:cs="宋体"/>
          <w:kern w:val="0"/>
          <w:sz w:val="24"/>
          <w:highlight w:val="none"/>
          <w:lang w:val="en-US" w:eastAsia="zh-CN"/>
        </w:rPr>
        <w:tab/>
      </w:r>
      <w:r>
        <w:rPr>
          <w:rFonts w:hint="eastAsia" w:ascii="宋体" w:hAnsi="宋体" w:cs="宋体"/>
          <w:kern w:val="0"/>
          <w:sz w:val="24"/>
          <w:highlight w:val="none"/>
          <w:lang w:val="en-US" w:eastAsia="zh-CN"/>
        </w:rPr>
        <w:t>（页码）</w:t>
      </w:r>
    </w:p>
    <w:p w14:paraId="693024E9">
      <w:pPr>
        <w:shd w:val="clear" w:color="auto" w:fill="FFFFFF"/>
        <w:tabs>
          <w:tab w:val="right" w:leader="middleDot" w:pos="9356"/>
        </w:tabs>
        <w:snapToGrid w:val="0"/>
        <w:spacing w:line="360" w:lineRule="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（4）</w:t>
      </w:r>
      <w:r>
        <w:rPr>
          <w:rFonts w:hint="default" w:ascii="宋体" w:hAnsi="宋体" w:cs="宋体"/>
          <w:kern w:val="0"/>
          <w:sz w:val="24"/>
          <w:highlight w:val="none"/>
          <w:lang w:val="en-US" w:eastAsia="zh-CN"/>
        </w:rPr>
        <w:t>本项目的特定资格要求</w:t>
      </w:r>
      <w:r>
        <w:rPr>
          <w:rFonts w:hint="eastAsia" w:ascii="宋体" w:hAnsi="宋体" w:cs="宋体"/>
          <w:kern w:val="0"/>
          <w:sz w:val="24"/>
          <w:highlight w:val="none"/>
          <w:lang w:val="en-US" w:eastAsia="zh-CN"/>
        </w:rPr>
        <w:tab/>
      </w:r>
      <w:r>
        <w:rPr>
          <w:rFonts w:hint="eastAsia" w:ascii="宋体" w:hAnsi="宋体" w:cs="宋体"/>
          <w:kern w:val="0"/>
          <w:sz w:val="24"/>
          <w:highlight w:val="none"/>
          <w:lang w:val="en-US" w:eastAsia="zh-CN"/>
        </w:rPr>
        <w:t>（页码）</w:t>
      </w:r>
    </w:p>
    <w:p w14:paraId="5A905394">
      <w:p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lang w:val="en-US" w:eastAsia="zh-CN"/>
        </w:rPr>
        <w:t>（5）投标人信用记录查询结果</w:t>
      </w:r>
      <w:r>
        <w:rPr>
          <w:rFonts w:hint="eastAsia" w:ascii="宋体" w:hAnsi="宋体" w:cs="宋体"/>
          <w:kern w:val="0"/>
          <w:sz w:val="24"/>
          <w:highlight w:val="none"/>
          <w:lang w:val="en-US" w:eastAsia="zh-CN"/>
        </w:rPr>
        <w:tab/>
      </w:r>
      <w:r>
        <w:rPr>
          <w:rFonts w:hint="eastAsia" w:ascii="宋体" w:hAnsi="宋体" w:cs="宋体"/>
          <w:kern w:val="0"/>
          <w:sz w:val="24"/>
          <w:highlight w:val="none"/>
        </w:rPr>
        <w:t>（页码）</w:t>
      </w:r>
    </w:p>
    <w:p w14:paraId="49AA658D">
      <w:pPr>
        <w:tabs>
          <w:tab w:val="left" w:pos="0"/>
          <w:tab w:val="left" w:pos="600"/>
        </w:tabs>
        <w:spacing w:line="400" w:lineRule="exact"/>
        <w:jc w:val="center"/>
        <w:rPr>
          <w:rFonts w:hint="eastAsia" w:ascii="宋体" w:hAnsi="宋体" w:cs="Times New Roman"/>
          <w:b/>
          <w:bCs/>
          <w:sz w:val="28"/>
          <w:szCs w:val="28"/>
          <w:highlight w:val="none"/>
        </w:rPr>
      </w:pPr>
      <w:r>
        <w:rPr>
          <w:rFonts w:ascii="宋体" w:hAnsi="宋体" w:cs="宋体"/>
          <w:kern w:val="0"/>
          <w:sz w:val="24"/>
          <w:highlight w:val="none"/>
        </w:rPr>
        <w:br w:type="page"/>
      </w:r>
      <w:r>
        <w:rPr>
          <w:rFonts w:ascii="宋体" w:hAnsi="宋体" w:cs="Times New Roman"/>
          <w:b/>
          <w:bCs/>
          <w:sz w:val="28"/>
          <w:szCs w:val="28"/>
          <w:highlight w:val="none"/>
        </w:rPr>
        <w:t>一、</w:t>
      </w:r>
      <w:r>
        <w:rPr>
          <w:rFonts w:hint="eastAsia" w:ascii="宋体" w:hAnsi="宋体" w:cs="Times New Roman"/>
          <w:b/>
          <w:bCs/>
          <w:sz w:val="28"/>
          <w:szCs w:val="28"/>
          <w:highlight w:val="none"/>
        </w:rPr>
        <w:t>资格声明书</w:t>
      </w:r>
    </w:p>
    <w:p w14:paraId="3473148D">
      <w:pPr>
        <w:pStyle w:val="17"/>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温州市瓯海区瓯发房屋租赁有限公司</w:t>
      </w:r>
      <w:r>
        <w:rPr>
          <w:rFonts w:hint="eastAsia" w:ascii="宋体" w:hAnsi="宋体" w:eastAsia="宋体" w:cs="Courier New"/>
          <w:sz w:val="22"/>
          <w:szCs w:val="22"/>
          <w:highlight w:val="none"/>
        </w:rPr>
        <w:t>：</w:t>
      </w:r>
    </w:p>
    <w:p w14:paraId="7024C262">
      <w:pPr>
        <w:pStyle w:val="17"/>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rPr>
        <w:t>浙江立创项目管理有限公司：</w:t>
      </w:r>
    </w:p>
    <w:p w14:paraId="14B63939">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我方此次参加本项目采购活动，郑重承诺：</w:t>
      </w:r>
    </w:p>
    <w:p w14:paraId="2DE5D7B2">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（一）满足《温州市瓯海区人民政府办公室关于印发温州市瓯海区区属国有企业采购管理办法的通知》温瓯政办发〔2024〕44 号的条件：</w:t>
      </w:r>
    </w:p>
    <w:p w14:paraId="2B5CE159">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1.具有独立承担民事责任的能力；</w:t>
      </w:r>
    </w:p>
    <w:p w14:paraId="435AD123">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2.具有良好的商业信誉和健全的财务会计制度；</w:t>
      </w:r>
    </w:p>
    <w:p w14:paraId="0BA715EB">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3.具有履行合同所必需的设备和专业技术、售后保障等能力；</w:t>
      </w:r>
    </w:p>
    <w:p w14:paraId="1A67DF30">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4.有依法缴纳税收和社会保障资金的良好记录；</w:t>
      </w:r>
    </w:p>
    <w:p w14:paraId="0EE92463">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5.参加采购、招投标等活动前三年内，在经营活动中没有重大违法记录，以及没有向采购人、采购代理机构行贿或者提供其他不正当利益的记录；</w:t>
      </w:r>
    </w:p>
    <w:p w14:paraId="5601B080">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6.法律法规规定的其他条件。</w:t>
      </w:r>
    </w:p>
    <w:p w14:paraId="72C33447">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（二）未被信用中国（</w:t>
      </w:r>
      <w:r>
        <w:rPr>
          <w:rFonts w:ascii="宋体" w:hAnsi="宋体" w:eastAsia="宋体" w:cs="Courier New"/>
          <w:sz w:val="22"/>
          <w:szCs w:val="22"/>
          <w:highlight w:val="none"/>
        </w:rPr>
        <w:t>www.creditchina.gov.cn)、中国政府采购网（www.ccgp.gov.cn）列入失信被执行人、重大税收违法案件当事人名单、政府采购严重违法失信行为记录名单。</w:t>
      </w:r>
    </w:p>
    <w:p w14:paraId="4BDE9D71">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（三）不存在以下情况：</w:t>
      </w:r>
    </w:p>
    <w:p w14:paraId="38B91C5D">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单位负责人为同一人或者存在直接控股、管理关系的不同供应商参加同一合同项下的政府采购活动的；</w:t>
      </w:r>
    </w:p>
    <w:p w14:paraId="0420A21B">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为采购项目提供整体设计、规范编制或者项目管理、监理、检测等服务后再参加该采购项目的其他采购活动的</w:t>
      </w:r>
      <w:r>
        <w:rPr>
          <w:rFonts w:hint="eastAsia" w:ascii="宋体" w:hAnsi="宋体" w:eastAsia="宋体" w:cs="Courier New"/>
          <w:sz w:val="22"/>
          <w:szCs w:val="22"/>
          <w:highlight w:val="none"/>
        </w:rPr>
        <w:t>；</w:t>
      </w:r>
    </w:p>
    <w:p w14:paraId="376F478E">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3、公益一类事业单位、使用事业编制且由财政拨款保障的群团组织，作为政府购买服务的购买主体和承接主体</w:t>
      </w:r>
      <w:r>
        <w:rPr>
          <w:rFonts w:ascii="宋体" w:hAnsi="宋体" w:eastAsia="宋体" w:cs="Courier New"/>
          <w:sz w:val="22"/>
          <w:szCs w:val="22"/>
          <w:highlight w:val="none"/>
        </w:rPr>
        <w:t>（仅适用于政府购买服务项目）</w:t>
      </w:r>
      <w:r>
        <w:rPr>
          <w:rFonts w:hint="eastAsia" w:ascii="宋体" w:hAnsi="宋体" w:eastAsia="宋体" w:cs="Courier New"/>
          <w:sz w:val="22"/>
          <w:szCs w:val="22"/>
          <w:highlight w:val="none"/>
        </w:rPr>
        <w:t>；</w:t>
      </w:r>
    </w:p>
    <w:p w14:paraId="13C70611">
      <w:pPr>
        <w:pStyle w:val="17"/>
        <w:spacing w:line="360" w:lineRule="auto"/>
        <w:ind w:firstLine="440" w:firstLineChars="200"/>
        <w:rPr>
          <w:rFonts w:hint="eastAsia" w:ascii="宋体" w:hAnsi="宋体" w:eastAsia="宋体" w:cs="Courier New"/>
          <w:sz w:val="22"/>
          <w:szCs w:val="22"/>
          <w:highlight w:val="none"/>
        </w:rPr>
      </w:pPr>
      <w:r>
        <w:rPr>
          <w:rFonts w:hint="eastAsia" w:ascii="宋体" w:hAnsi="宋体"/>
          <w:bCs/>
          <w:sz w:val="22"/>
          <w:szCs w:val="22"/>
          <w:highlight w:val="none"/>
        </w:rPr>
        <w:t>4、恶意串通、妨碍其他投标人的竞争行为、损害采购人或者其他投标人的合法权益情形的；</w:t>
      </w:r>
    </w:p>
    <w:p w14:paraId="54BB4590">
      <w:pPr>
        <w:pStyle w:val="17"/>
        <w:spacing w:line="360" w:lineRule="auto"/>
        <w:ind w:firstLine="440" w:firstLineChars="200"/>
        <w:rPr>
          <w:rFonts w:hint="eastAsia" w:ascii="宋体" w:hAnsi="宋体" w:eastAsia="宋体" w:cs="Courier New"/>
          <w:sz w:val="22"/>
          <w:szCs w:val="22"/>
          <w:highlight w:val="none"/>
        </w:rPr>
      </w:pPr>
      <w:r>
        <w:rPr>
          <w:rFonts w:ascii="宋体" w:hAnsi="宋体" w:eastAsia="宋体" w:cs="Courier New"/>
          <w:sz w:val="22"/>
          <w:szCs w:val="22"/>
          <w:highlight w:val="none"/>
        </w:rPr>
        <w:t>5</w:t>
      </w:r>
      <w:r>
        <w:rPr>
          <w:rFonts w:hint="eastAsia" w:ascii="宋体" w:hAnsi="宋体" w:eastAsia="宋体" w:cs="Courier New"/>
          <w:sz w:val="22"/>
          <w:szCs w:val="22"/>
          <w:highlight w:val="none"/>
        </w:rPr>
        <w:t>、招标文件第一部分投标人须知2</w:t>
      </w:r>
      <w:r>
        <w:rPr>
          <w:rFonts w:hint="eastAsia" w:ascii="宋体" w:hAnsi="宋体" w:eastAsia="宋体" w:cs="Courier New"/>
          <w:sz w:val="22"/>
          <w:szCs w:val="22"/>
          <w:highlight w:val="none"/>
          <w:lang w:val="en-US" w:eastAsia="zh-CN"/>
        </w:rPr>
        <w:t>8</w:t>
      </w:r>
      <w:r>
        <w:rPr>
          <w:rFonts w:hint="eastAsia" w:ascii="宋体" w:hAnsi="宋体" w:eastAsia="宋体" w:cs="Courier New"/>
          <w:sz w:val="22"/>
          <w:szCs w:val="22"/>
          <w:highlight w:val="none"/>
        </w:rPr>
        <w:t>.4款 “投标人串通投标”中任意情形之一。</w:t>
      </w:r>
    </w:p>
    <w:p w14:paraId="4E2E061B">
      <w:pPr>
        <w:spacing w:line="360" w:lineRule="auto"/>
        <w:rPr>
          <w:rFonts w:hint="eastAsia" w:ascii="宋体" w:hAnsi="宋体" w:cs="Courier New"/>
          <w:b/>
          <w:sz w:val="22"/>
          <w:szCs w:val="22"/>
          <w:highlight w:val="none"/>
        </w:rPr>
      </w:pPr>
      <w:r>
        <w:rPr>
          <w:rFonts w:hint="eastAsia" w:ascii="宋体" w:hAnsi="宋体" w:cs="Courier New"/>
          <w:b/>
          <w:sz w:val="22"/>
          <w:szCs w:val="22"/>
          <w:highlight w:val="none"/>
        </w:rPr>
        <w:t>说明：</w:t>
      </w:r>
    </w:p>
    <w:p w14:paraId="6210321A">
      <w:pPr>
        <w:spacing w:line="360" w:lineRule="auto"/>
        <w:rPr>
          <w:rFonts w:hint="eastAsia"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Courier New"/>
          <w:b/>
          <w:sz w:val="22"/>
          <w:szCs w:val="22"/>
          <w:highlight w:val="none"/>
        </w:rPr>
        <w:t>。</w:t>
      </w:r>
    </w:p>
    <w:p w14:paraId="42D56EDD">
      <w:pPr>
        <w:spacing w:line="360" w:lineRule="auto"/>
        <w:rPr>
          <w:rFonts w:hint="eastAsia" w:ascii="宋体" w:hAnsi="宋体" w:cs="Courier New"/>
          <w:b/>
          <w:sz w:val="22"/>
          <w:szCs w:val="22"/>
          <w:highlight w:val="none"/>
        </w:rPr>
      </w:pPr>
      <w:r>
        <w:rPr>
          <w:rFonts w:hint="eastAsia" w:ascii="宋体" w:hAnsi="宋体" w:cs="Courier New"/>
          <w:b/>
          <w:sz w:val="22"/>
          <w:szCs w:val="22"/>
          <w:highlight w:val="none"/>
        </w:rPr>
        <w:t>2、投标人承诺不实的，依据《政府采购法》第七十七条“提供虚假材料谋取中标、成交的”有关规定予以处理</w:t>
      </w:r>
      <w:r>
        <w:rPr>
          <w:rFonts w:ascii="宋体" w:hAnsi="宋体" w:cs="Courier New"/>
          <w:b/>
          <w:sz w:val="22"/>
          <w:szCs w:val="22"/>
          <w:highlight w:val="none"/>
        </w:rPr>
        <w:t>。</w:t>
      </w:r>
    </w:p>
    <w:p w14:paraId="632F4A12">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cs="Courier New"/>
          <w:bCs/>
          <w:sz w:val="22"/>
          <w:szCs w:val="22"/>
          <w:highlight w:val="none"/>
        </w:rPr>
        <w:t>投标人全称（盖章）：</w:t>
      </w:r>
    </w:p>
    <w:p w14:paraId="0B11CE1F">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日          期：  年  月  日</w:t>
      </w:r>
    </w:p>
    <w:p w14:paraId="19B83736">
      <w:pPr>
        <w:widowControl/>
        <w:jc w:val="left"/>
        <w:rPr>
          <w:rFonts w:eastAsia="宋体,Verdana,Arial"/>
          <w:highlight w:val="none"/>
        </w:rPr>
      </w:pPr>
      <w:r>
        <w:rPr>
          <w:highlight w:val="none"/>
        </w:rPr>
        <w:br w:type="page"/>
      </w:r>
    </w:p>
    <w:p w14:paraId="5A1B847D">
      <w:pPr>
        <w:pStyle w:val="12"/>
        <w:rPr>
          <w:highlight w:val="none"/>
        </w:rPr>
      </w:pPr>
    </w:p>
    <w:p w14:paraId="3E4B6DC6">
      <w:pPr>
        <w:shd w:val="clear" w:color="auto" w:fill="FFFFFF"/>
        <w:tabs>
          <w:tab w:val="right" w:leader="middleDot" w:pos="9356"/>
        </w:tabs>
        <w:snapToGrid w:val="0"/>
        <w:spacing w:line="360" w:lineRule="auto"/>
        <w:jc w:val="center"/>
        <w:rPr>
          <w:rFonts w:hint="eastAsia" w:ascii="宋体" w:hAnsi="宋体"/>
          <w:b/>
          <w:sz w:val="26"/>
          <w:szCs w:val="28"/>
          <w:highlight w:val="none"/>
        </w:rPr>
      </w:pPr>
      <w:r>
        <w:rPr>
          <w:rFonts w:hint="eastAsia" w:ascii="宋体" w:hAnsi="宋体" w:cs="Times New Roman"/>
          <w:b/>
          <w:sz w:val="28"/>
          <w:szCs w:val="28"/>
          <w:highlight w:val="none"/>
        </w:rPr>
        <w:t>二、</w:t>
      </w:r>
      <w:r>
        <w:rPr>
          <w:rFonts w:hint="eastAsia" w:ascii="宋体" w:hAnsi="宋体"/>
          <w:b/>
          <w:sz w:val="28"/>
          <w:szCs w:val="28"/>
          <w:highlight w:val="none"/>
        </w:rPr>
        <w:t>投标人有效的</w:t>
      </w:r>
      <w:r>
        <w:rPr>
          <w:rFonts w:ascii="宋体" w:hAnsi="宋体"/>
          <w:b/>
          <w:sz w:val="28"/>
          <w:szCs w:val="28"/>
          <w:highlight w:val="none"/>
        </w:rPr>
        <w:t>营业执照等证明文件</w:t>
      </w:r>
    </w:p>
    <w:p w14:paraId="2AF3AAEE">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说明：</w:t>
      </w:r>
    </w:p>
    <w:p w14:paraId="631D516A">
      <w:pPr>
        <w:spacing w:line="460" w:lineRule="exact"/>
        <w:rPr>
          <w:rFonts w:hint="eastAsia"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67FFCAE">
      <w:pPr>
        <w:spacing w:line="460" w:lineRule="exact"/>
        <w:rPr>
          <w:rFonts w:hint="eastAsia" w:ascii="宋体" w:hAnsi="宋体" w:cs="Courier New"/>
          <w:b/>
          <w:sz w:val="22"/>
          <w:szCs w:val="22"/>
          <w:highlight w:val="none"/>
        </w:rPr>
      </w:pPr>
      <w:r>
        <w:rPr>
          <w:rFonts w:ascii="宋体" w:hAnsi="宋体" w:cs="Courier New"/>
          <w:b/>
          <w:sz w:val="22"/>
          <w:szCs w:val="22"/>
          <w:highlight w:val="none"/>
        </w:rPr>
        <w:t>2、投标人提供的相应证明材料复印件均应符合：内容完整、清晰、整洁。</w:t>
      </w:r>
    </w:p>
    <w:p w14:paraId="2DEF0A29">
      <w:pPr>
        <w:pStyle w:val="218"/>
        <w:ind w:firstLine="419" w:firstLineChars="149"/>
        <w:rPr>
          <w:rFonts w:hint="eastAsia" w:ascii="宋体" w:hAnsi="宋体"/>
          <w:b/>
          <w:sz w:val="28"/>
          <w:szCs w:val="28"/>
          <w:highlight w:val="none"/>
        </w:rPr>
      </w:pPr>
    </w:p>
    <w:p w14:paraId="03903A32">
      <w:pPr>
        <w:pStyle w:val="218"/>
        <w:ind w:firstLine="419" w:firstLineChars="149"/>
        <w:rPr>
          <w:rFonts w:hint="eastAsia" w:ascii="宋体" w:hAnsi="宋体"/>
          <w:b/>
          <w:sz w:val="28"/>
          <w:szCs w:val="28"/>
          <w:highlight w:val="none"/>
        </w:rPr>
      </w:pPr>
    </w:p>
    <w:p w14:paraId="60287EF2">
      <w:pPr>
        <w:pStyle w:val="218"/>
        <w:ind w:firstLine="419" w:firstLineChars="149"/>
        <w:rPr>
          <w:rFonts w:hint="eastAsia" w:ascii="宋体" w:hAnsi="宋体"/>
          <w:b/>
          <w:sz w:val="28"/>
          <w:szCs w:val="28"/>
          <w:highlight w:val="none"/>
        </w:rPr>
      </w:pPr>
    </w:p>
    <w:p w14:paraId="520ABA23">
      <w:pPr>
        <w:pStyle w:val="218"/>
        <w:ind w:firstLine="419" w:firstLineChars="149"/>
        <w:rPr>
          <w:rFonts w:hint="eastAsia" w:ascii="宋体" w:hAnsi="宋体"/>
          <w:b/>
          <w:sz w:val="28"/>
          <w:szCs w:val="28"/>
          <w:highlight w:val="none"/>
        </w:rPr>
      </w:pPr>
    </w:p>
    <w:p w14:paraId="4FA4E29B">
      <w:pPr>
        <w:tabs>
          <w:tab w:val="left" w:pos="0"/>
          <w:tab w:val="left" w:pos="600"/>
        </w:tabs>
        <w:spacing w:line="400" w:lineRule="exact"/>
        <w:jc w:val="center"/>
        <w:rPr>
          <w:rFonts w:hint="eastAsia" w:ascii="宋体" w:hAnsi="宋体"/>
          <w:b/>
          <w:bCs/>
          <w:sz w:val="28"/>
          <w:szCs w:val="28"/>
          <w:highlight w:val="none"/>
        </w:rPr>
      </w:pPr>
      <w:r>
        <w:rPr>
          <w:rFonts w:ascii="宋体" w:hAnsi="宋体"/>
          <w:b/>
          <w:sz w:val="28"/>
          <w:szCs w:val="28"/>
          <w:highlight w:val="none"/>
        </w:rPr>
        <w:br w:type="page"/>
      </w:r>
    </w:p>
    <w:p w14:paraId="64E9123A">
      <w:pPr>
        <w:tabs>
          <w:tab w:val="left" w:pos="0"/>
          <w:tab w:val="left" w:pos="600"/>
        </w:tabs>
        <w:spacing w:line="400" w:lineRule="exact"/>
        <w:jc w:val="center"/>
        <w:rPr>
          <w:rFonts w:hint="eastAsia" w:ascii="宋体" w:hAnsi="宋体"/>
          <w:sz w:val="28"/>
          <w:szCs w:val="28"/>
          <w:highlight w:val="none"/>
        </w:rPr>
      </w:pPr>
    </w:p>
    <w:p w14:paraId="025B8F50">
      <w:pPr>
        <w:tabs>
          <w:tab w:val="left" w:pos="0"/>
          <w:tab w:val="left" w:pos="600"/>
        </w:tabs>
        <w:spacing w:line="400" w:lineRule="exact"/>
        <w:jc w:val="center"/>
        <w:rPr>
          <w:rFonts w:hint="eastAsia" w:ascii="宋体" w:hAnsi="宋体"/>
          <w:b/>
          <w:bCs/>
          <w:sz w:val="28"/>
          <w:szCs w:val="28"/>
          <w:highlight w:val="none"/>
        </w:rPr>
      </w:pPr>
    </w:p>
    <w:p w14:paraId="13F9A979">
      <w:pPr>
        <w:tabs>
          <w:tab w:val="left" w:pos="0"/>
          <w:tab w:val="left" w:pos="600"/>
        </w:tabs>
        <w:spacing w:line="400" w:lineRule="exact"/>
        <w:jc w:val="center"/>
        <w:rPr>
          <w:rFonts w:hint="eastAsia" w:ascii="宋体" w:hAnsi="宋体"/>
          <w:b/>
          <w:bCs/>
          <w:sz w:val="28"/>
          <w:szCs w:val="28"/>
          <w:highlight w:val="none"/>
        </w:rPr>
      </w:pPr>
      <w:r>
        <w:rPr>
          <w:rFonts w:hint="eastAsia" w:ascii="宋体" w:hAnsi="宋体"/>
          <w:b/>
          <w:bCs/>
          <w:sz w:val="28"/>
          <w:szCs w:val="28"/>
          <w:highlight w:val="none"/>
        </w:rPr>
        <w:t>三、落实政府采购政策需满足的资格要求</w:t>
      </w:r>
    </w:p>
    <w:p w14:paraId="36343F4D">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说明：</w:t>
      </w:r>
    </w:p>
    <w:p w14:paraId="04320855">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根据本项目落实政府采购政策需满足的资格要求选择提供相应的材料；未要求的，无需提供。</w:t>
      </w:r>
    </w:p>
    <w:p w14:paraId="537DF444">
      <w:pPr>
        <w:pStyle w:val="12"/>
        <w:rPr>
          <w:highlight w:val="none"/>
        </w:rPr>
      </w:pPr>
    </w:p>
    <w:p w14:paraId="648A6D8F">
      <w:pPr>
        <w:pStyle w:val="13"/>
        <w:ind w:firstLine="210"/>
        <w:rPr>
          <w:highlight w:val="none"/>
        </w:rPr>
      </w:pPr>
    </w:p>
    <w:p w14:paraId="3295EFC8">
      <w:pPr>
        <w:tabs>
          <w:tab w:val="left" w:pos="0"/>
          <w:tab w:val="left" w:pos="600"/>
        </w:tabs>
        <w:spacing w:line="400" w:lineRule="exact"/>
        <w:jc w:val="center"/>
        <w:rPr>
          <w:rFonts w:hint="eastAsia" w:ascii="宋体" w:hAnsi="宋体"/>
          <w:b/>
          <w:bCs/>
          <w:sz w:val="28"/>
          <w:szCs w:val="28"/>
          <w:highlight w:val="none"/>
        </w:rPr>
      </w:pPr>
      <w:r>
        <w:rPr>
          <w:rFonts w:hint="eastAsia" w:ascii="宋体" w:hAnsi="宋体"/>
          <w:b/>
          <w:bCs/>
          <w:sz w:val="28"/>
          <w:szCs w:val="28"/>
          <w:highlight w:val="none"/>
        </w:rPr>
        <w:t>四、本项目的特定资格要求</w:t>
      </w:r>
    </w:p>
    <w:p w14:paraId="3E9A5B76">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说明：</w:t>
      </w:r>
    </w:p>
    <w:p w14:paraId="4B0B5C5F">
      <w:pPr>
        <w:pStyle w:val="3"/>
        <w:rPr>
          <w:rFonts w:hint="eastAsia" w:ascii="宋体" w:hAnsi="宋体" w:cs="Courier New"/>
          <w:b/>
          <w:sz w:val="22"/>
          <w:szCs w:val="22"/>
          <w:highlight w:val="none"/>
          <w:lang w:val="en-US" w:eastAsia="zh-CN"/>
        </w:rPr>
      </w:pPr>
      <w:r>
        <w:rPr>
          <w:rFonts w:hint="eastAsia" w:ascii="宋体" w:hAnsi="宋体" w:cs="Courier New"/>
          <w:b/>
          <w:sz w:val="22"/>
          <w:szCs w:val="22"/>
          <w:highlight w:val="none"/>
        </w:rPr>
        <w:t>根据本项目的特定资格要求提供相应的材料；未要求的，无需提供。</w:t>
      </w:r>
    </w:p>
    <w:p w14:paraId="03FC1655">
      <w:pPr>
        <w:rPr>
          <w:rFonts w:hint="eastAsia" w:ascii="宋体" w:hAnsi="宋体" w:cs="Courier New"/>
          <w:b/>
          <w:sz w:val="22"/>
          <w:szCs w:val="22"/>
          <w:highlight w:val="none"/>
          <w:lang w:val="en-US" w:eastAsia="zh-CN"/>
        </w:rPr>
      </w:pPr>
      <w:r>
        <w:rPr>
          <w:rFonts w:hint="eastAsia" w:ascii="宋体" w:hAnsi="宋体" w:cs="Courier New"/>
          <w:b/>
          <w:sz w:val="22"/>
          <w:szCs w:val="22"/>
          <w:highlight w:val="none"/>
          <w:lang w:val="en-US" w:eastAsia="zh-CN"/>
        </w:rPr>
        <w:br w:type="page"/>
      </w:r>
    </w:p>
    <w:p w14:paraId="663C840B">
      <w:pPr>
        <w:pStyle w:val="3"/>
        <w:jc w:val="center"/>
        <w:rPr>
          <w:rFonts w:hint="eastAsia" w:ascii="宋体" w:hAnsi="宋体" w:cs="宋体"/>
          <w:color w:val="auto"/>
          <w:szCs w:val="24"/>
          <w:highlight w:val="none"/>
        </w:rPr>
      </w:pPr>
      <w:r>
        <w:rPr>
          <w:rFonts w:hint="eastAsia" w:ascii="宋体" w:hAnsi="宋体" w:cs="宋体"/>
          <w:color w:val="auto"/>
          <w:highlight w:val="none"/>
        </w:rPr>
        <w:t>联合</w:t>
      </w:r>
      <w:r>
        <w:rPr>
          <w:rFonts w:hint="eastAsia" w:ascii="宋体" w:hAnsi="宋体" w:cs="宋体"/>
          <w:color w:val="auto"/>
          <w:szCs w:val="24"/>
          <w:highlight w:val="none"/>
        </w:rPr>
        <w:t>体协议书</w:t>
      </w:r>
    </w:p>
    <w:p w14:paraId="23E3311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（所有成员单位名称）</w:t>
      </w:r>
      <w:r>
        <w:rPr>
          <w:rFonts w:hint="eastAsia" w:ascii="宋体" w:hAnsi="宋体" w:cs="宋体"/>
          <w:color w:val="auto"/>
          <w:sz w:val="24"/>
          <w:highlight w:val="none"/>
        </w:rPr>
        <w:t>自愿组成</w:t>
      </w:r>
      <w:r>
        <w:rPr>
          <w:rFonts w:hint="eastAsia" w:ascii="宋体" w:hAnsi="宋体" w:cs="宋体"/>
          <w:color w:val="auto"/>
          <w:sz w:val="24"/>
          <w:highlight w:val="none"/>
          <w:u w:val="single"/>
        </w:rPr>
        <w:t xml:space="preserve">    （联合体名称）</w:t>
      </w:r>
      <w:r>
        <w:rPr>
          <w:rFonts w:hint="eastAsia" w:ascii="宋体" w:hAnsi="宋体" w:cs="宋体"/>
          <w:color w:val="auto"/>
          <w:sz w:val="24"/>
          <w:highlight w:val="none"/>
        </w:rPr>
        <w:t>联合体，共同参加</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监理招标项目投标。现就联合体投标事宜订立如下协议。</w:t>
      </w:r>
    </w:p>
    <w:p w14:paraId="4E68367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（某成员单位名称）</w:t>
      </w:r>
      <w:r>
        <w:rPr>
          <w:rFonts w:hint="eastAsia" w:ascii="宋体" w:hAnsi="宋体" w:cs="宋体"/>
          <w:color w:val="auto"/>
          <w:sz w:val="24"/>
          <w:highlight w:val="none"/>
        </w:rPr>
        <w:t xml:space="preserve">为 </w:t>
      </w:r>
      <w:r>
        <w:rPr>
          <w:rFonts w:hint="eastAsia" w:ascii="宋体" w:hAnsi="宋体" w:cs="宋体"/>
          <w:color w:val="auto"/>
          <w:sz w:val="24"/>
          <w:highlight w:val="none"/>
          <w:u w:val="single"/>
        </w:rPr>
        <w:t xml:space="preserve">   （联合体名称）</w:t>
      </w:r>
      <w:r>
        <w:rPr>
          <w:rFonts w:hint="eastAsia" w:ascii="宋体" w:hAnsi="宋体" w:cs="宋体"/>
          <w:color w:val="auto"/>
          <w:sz w:val="24"/>
          <w:highlight w:val="none"/>
        </w:rPr>
        <w:t>牵头人。</w:t>
      </w:r>
    </w:p>
    <w:p w14:paraId="50C5F7D0">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 联合体各成员授权牵头人代表联合体参加投标活动， 签署文件， 提交和接收相关的资料、信息及指示，进行合同谈判活动，负责合同实施阶段的组织和协调工作，以及处理与本招标项目有关的一切事宜。</w:t>
      </w:r>
    </w:p>
    <w:p w14:paraId="273AAE92">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3BEEA67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4. 联合体各成员单位内部的职责分工如下：。</w:t>
      </w:r>
    </w:p>
    <w:p w14:paraId="5FD868A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5. 本协议书自所有成员单位法定代表人或其委托代理人签字或盖单位章之日起生效，合同履行完毕后自动失效。</w:t>
      </w:r>
    </w:p>
    <w:p w14:paraId="4A208CE4">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6. 本协议书一式份，联合体成员和招标人各执一份。</w:t>
      </w:r>
    </w:p>
    <w:p w14:paraId="3812969B">
      <w:pPr>
        <w:spacing w:line="360" w:lineRule="auto"/>
        <w:jc w:val="left"/>
        <w:rPr>
          <w:rFonts w:hint="eastAsia" w:ascii="宋体" w:hAnsi="宋体" w:cs="宋体"/>
          <w:color w:val="auto"/>
          <w:sz w:val="24"/>
          <w:highlight w:val="none"/>
        </w:rPr>
      </w:pPr>
    </w:p>
    <w:p w14:paraId="5F234B1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注：本协议书由法定代表人签字或盖章的，应附法定代表人身份证明；由委托代理人签字或盖章的，应附授权委托书。</w:t>
      </w:r>
    </w:p>
    <w:p w14:paraId="7BC63276">
      <w:pPr>
        <w:spacing w:line="360" w:lineRule="auto"/>
        <w:jc w:val="right"/>
        <w:rPr>
          <w:rFonts w:hint="eastAsia" w:ascii="宋体" w:hAnsi="宋体" w:cs="宋体"/>
          <w:color w:val="auto"/>
          <w:sz w:val="24"/>
          <w:highlight w:val="none"/>
        </w:rPr>
      </w:pPr>
    </w:p>
    <w:p w14:paraId="024781DE">
      <w:pPr>
        <w:spacing w:line="360" w:lineRule="auto"/>
        <w:ind w:right="420"/>
        <w:jc w:val="center"/>
        <w:rPr>
          <w:rFonts w:hint="eastAsia" w:ascii="宋体" w:hAnsi="宋体" w:cs="宋体"/>
          <w:color w:val="auto"/>
          <w:sz w:val="24"/>
          <w:highlight w:val="none"/>
        </w:rPr>
      </w:pPr>
      <w:r>
        <w:rPr>
          <w:rFonts w:hint="eastAsia" w:ascii="宋体" w:hAnsi="宋体" w:cs="宋体"/>
          <w:color w:val="auto"/>
          <w:sz w:val="24"/>
          <w:highlight w:val="none"/>
        </w:rPr>
        <w:t xml:space="preserve">                        联合体牵头人名称： （盖单位章）</w:t>
      </w:r>
    </w:p>
    <w:p w14:paraId="120FC6F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法定代表人或其委托代理人：（签字或盖章）</w:t>
      </w:r>
    </w:p>
    <w:p w14:paraId="1FBE6476">
      <w:pPr>
        <w:spacing w:line="360" w:lineRule="auto"/>
        <w:jc w:val="right"/>
        <w:rPr>
          <w:rFonts w:hint="eastAsia" w:ascii="宋体" w:hAnsi="宋体" w:cs="宋体"/>
          <w:color w:val="auto"/>
          <w:sz w:val="24"/>
          <w:highlight w:val="none"/>
        </w:rPr>
      </w:pPr>
    </w:p>
    <w:p w14:paraId="7B3C6F56">
      <w:pPr>
        <w:spacing w:line="360" w:lineRule="auto"/>
        <w:ind w:right="420" w:firstLine="4320" w:firstLineChars="1800"/>
        <w:rPr>
          <w:rFonts w:hint="eastAsia" w:ascii="宋体" w:hAnsi="宋体" w:cs="宋体"/>
          <w:color w:val="auto"/>
          <w:sz w:val="24"/>
          <w:highlight w:val="none"/>
        </w:rPr>
      </w:pPr>
      <w:r>
        <w:rPr>
          <w:rFonts w:hint="eastAsia" w:ascii="宋体" w:hAnsi="宋体" w:cs="宋体"/>
          <w:color w:val="auto"/>
          <w:sz w:val="24"/>
          <w:highlight w:val="none"/>
        </w:rPr>
        <w:t>联合体成员名称： （盖单位章）</w:t>
      </w:r>
    </w:p>
    <w:p w14:paraId="7291C9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法定代表人或其委托代理人：（签字或盖章）</w:t>
      </w:r>
    </w:p>
    <w:p w14:paraId="47D597E2">
      <w:pPr>
        <w:spacing w:line="360" w:lineRule="auto"/>
        <w:jc w:val="right"/>
        <w:rPr>
          <w:rFonts w:hint="eastAsia" w:ascii="宋体" w:hAnsi="宋体" w:cs="宋体"/>
          <w:color w:val="auto"/>
          <w:sz w:val="24"/>
          <w:highlight w:val="none"/>
        </w:rPr>
      </w:pPr>
    </w:p>
    <w:p w14:paraId="63A15D33">
      <w:pPr>
        <w:spacing w:line="360" w:lineRule="auto"/>
        <w:ind w:right="420" w:firstLine="4320" w:firstLineChars="1800"/>
        <w:rPr>
          <w:rFonts w:hint="eastAsia" w:ascii="宋体" w:hAnsi="宋体" w:cs="宋体"/>
          <w:color w:val="auto"/>
          <w:sz w:val="24"/>
          <w:highlight w:val="none"/>
        </w:rPr>
      </w:pPr>
      <w:r>
        <w:rPr>
          <w:rFonts w:hint="eastAsia" w:ascii="宋体" w:hAnsi="宋体" w:cs="宋体"/>
          <w:color w:val="auto"/>
          <w:sz w:val="24"/>
          <w:highlight w:val="none"/>
        </w:rPr>
        <w:t>联合体成员名称： （盖单位章）</w:t>
      </w:r>
    </w:p>
    <w:p w14:paraId="465494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法定代表人或其委托代理人：（签字或盖章）</w:t>
      </w:r>
    </w:p>
    <w:p w14:paraId="63F9370A">
      <w:pPr>
        <w:spacing w:line="360" w:lineRule="auto"/>
        <w:ind w:firstLine="4800" w:firstLineChars="2000"/>
        <w:rPr>
          <w:rFonts w:hint="eastAsia" w:ascii="宋体" w:hAnsi="宋体" w:cs="宋体"/>
          <w:color w:val="auto"/>
          <w:sz w:val="24"/>
          <w:highlight w:val="none"/>
        </w:rPr>
      </w:pPr>
      <w:r>
        <w:rPr>
          <w:rFonts w:hint="eastAsia" w:ascii="宋体" w:hAnsi="宋体" w:cs="宋体"/>
          <w:color w:val="auto"/>
          <w:sz w:val="24"/>
          <w:highlight w:val="none"/>
        </w:rPr>
        <w:t>……</w:t>
      </w:r>
    </w:p>
    <w:p w14:paraId="58D99C7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474FFE87">
      <w:pPr>
        <w:spacing w:line="460" w:lineRule="exact"/>
        <w:ind w:firstLine="221" w:firstLineChars="100"/>
        <w:rPr>
          <w:rFonts w:hint="default" w:ascii="宋体" w:hAnsi="宋体" w:eastAsia="宋体" w:cs="Courier New"/>
          <w:b/>
          <w:sz w:val="22"/>
          <w:szCs w:val="22"/>
          <w:highlight w:val="none"/>
          <w:lang w:val="en-US" w:eastAsia="zh-CN"/>
        </w:rPr>
      </w:pPr>
    </w:p>
    <w:p w14:paraId="63E9BC59">
      <w:pPr>
        <w:pStyle w:val="13"/>
        <w:ind w:firstLine="210"/>
        <w:rPr>
          <w:highlight w:val="none"/>
        </w:rPr>
      </w:pPr>
    </w:p>
    <w:p w14:paraId="632B0D30">
      <w:pPr>
        <w:pStyle w:val="4"/>
        <w:spacing w:before="0" w:after="120" w:line="700" w:lineRule="exact"/>
        <w:jc w:val="center"/>
        <w:rPr>
          <w:rFonts w:ascii="宋体" w:hAnsi="宋体" w:eastAsia="宋体"/>
          <w:bCs/>
          <w:highlight w:val="none"/>
        </w:rPr>
      </w:pPr>
      <w:r>
        <w:rPr>
          <w:rFonts w:ascii="宋体" w:hAnsi="宋体" w:eastAsia="宋体" w:cs="宋体"/>
          <w:highlight w:val="none"/>
        </w:rPr>
        <w:br w:type="page"/>
      </w:r>
      <w:bookmarkStart w:id="234" w:name="_Toc34761243"/>
      <w:bookmarkStart w:id="235" w:name="_Toc26447"/>
      <w:r>
        <w:rPr>
          <w:rFonts w:hint="eastAsia" w:ascii="宋体" w:hAnsi="宋体" w:eastAsia="宋体"/>
          <w:bCs/>
          <w:sz w:val="38"/>
          <w:highlight w:val="none"/>
        </w:rPr>
        <w:t>报价文件</w:t>
      </w:r>
      <w:bookmarkEnd w:id="234"/>
      <w:bookmarkEnd w:id="235"/>
    </w:p>
    <w:p w14:paraId="07DBE1D3">
      <w:pPr>
        <w:shd w:val="clear" w:color="auto" w:fill="FFFFFF"/>
        <w:snapToGrid w:val="0"/>
        <w:spacing w:line="360" w:lineRule="auto"/>
        <w:jc w:val="center"/>
        <w:rPr>
          <w:rFonts w:ascii="宋体" w:hAnsi="宋体" w:cs="宋体"/>
          <w:b/>
          <w:bCs/>
          <w:kern w:val="0"/>
          <w:sz w:val="24"/>
          <w:highlight w:val="none"/>
        </w:rPr>
      </w:pPr>
    </w:p>
    <w:p w14:paraId="72DF41AF">
      <w:pPr>
        <w:shd w:val="clear" w:color="auto" w:fill="FFFFFF"/>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 xml:space="preserve"> 目  录</w:t>
      </w:r>
    </w:p>
    <w:p w14:paraId="3130E6BB">
      <w:pPr>
        <w:rPr>
          <w:rFonts w:ascii="宋体" w:hAnsi="宋体"/>
          <w:highlight w:val="none"/>
        </w:rPr>
      </w:pPr>
    </w:p>
    <w:p w14:paraId="0E8C840A">
      <w:p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（1）开标一览表</w:t>
      </w:r>
      <w:r>
        <w:rPr>
          <w:rFonts w:ascii="宋体" w:hAnsi="宋体" w:cs="宋体"/>
          <w:kern w:val="0"/>
          <w:sz w:val="24"/>
          <w:highlight w:val="none"/>
        </w:rPr>
        <w:tab/>
      </w:r>
      <w:r>
        <w:rPr>
          <w:rFonts w:hint="eastAsia" w:ascii="宋体" w:hAnsi="宋体" w:cs="宋体"/>
          <w:kern w:val="0"/>
          <w:sz w:val="24"/>
          <w:highlight w:val="none"/>
        </w:rPr>
        <w:t>（页码）</w:t>
      </w:r>
    </w:p>
    <w:p w14:paraId="4CD69506">
      <w:p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（2）投标分项报价表</w:t>
      </w:r>
      <w:r>
        <w:rPr>
          <w:rFonts w:ascii="宋体" w:hAnsi="宋体" w:cs="宋体"/>
          <w:kern w:val="0"/>
          <w:sz w:val="24"/>
          <w:highlight w:val="none"/>
        </w:rPr>
        <w:tab/>
      </w:r>
      <w:r>
        <w:rPr>
          <w:rFonts w:hint="eastAsia" w:ascii="宋体" w:hAnsi="宋体" w:cs="宋体"/>
          <w:kern w:val="0"/>
          <w:sz w:val="24"/>
          <w:highlight w:val="none"/>
        </w:rPr>
        <w:t>（页码）</w:t>
      </w:r>
    </w:p>
    <w:p w14:paraId="481E1ADC">
      <w:pPr>
        <w:shd w:val="clear" w:color="auto" w:fill="FFFFFF"/>
        <w:tabs>
          <w:tab w:val="right" w:pos="9356"/>
        </w:tabs>
        <w:snapToGrid w:val="0"/>
        <w:spacing w:line="360" w:lineRule="auto"/>
        <w:rPr>
          <w:rFonts w:ascii="宋体" w:hAnsi="宋体" w:cs="宋体"/>
          <w:kern w:val="0"/>
          <w:sz w:val="24"/>
          <w:highlight w:val="none"/>
        </w:rPr>
      </w:pPr>
    </w:p>
    <w:p w14:paraId="2B0B83F1">
      <w:pPr>
        <w:tabs>
          <w:tab w:val="left" w:pos="0"/>
          <w:tab w:val="left" w:pos="600"/>
        </w:tabs>
        <w:spacing w:line="400" w:lineRule="exact"/>
        <w:rPr>
          <w:rFonts w:ascii="宋体" w:hAnsi="宋体"/>
          <w:b/>
          <w:sz w:val="30"/>
          <w:highlight w:val="none"/>
        </w:rPr>
      </w:pPr>
      <w:r>
        <w:rPr>
          <w:rFonts w:ascii="宋体" w:hAnsi="宋体"/>
          <w:b/>
          <w:sz w:val="30"/>
          <w:highlight w:val="none"/>
        </w:rPr>
        <w:t xml:space="preserve"> </w:t>
      </w:r>
    </w:p>
    <w:p w14:paraId="1F6AD9D8">
      <w:pPr>
        <w:rPr>
          <w:rFonts w:ascii="宋体" w:hAnsi="宋体"/>
          <w:b/>
          <w:sz w:val="30"/>
          <w:highlight w:val="none"/>
        </w:rPr>
      </w:pPr>
      <w:r>
        <w:rPr>
          <w:rFonts w:ascii="宋体" w:hAnsi="宋体"/>
          <w:b/>
          <w:sz w:val="30"/>
          <w:highlight w:val="none"/>
        </w:rPr>
        <w:br w:type="page"/>
      </w:r>
    </w:p>
    <w:p w14:paraId="4FE4DCBE">
      <w:pPr>
        <w:tabs>
          <w:tab w:val="left" w:pos="0"/>
          <w:tab w:val="left" w:pos="600"/>
        </w:tabs>
        <w:spacing w:line="400" w:lineRule="exact"/>
        <w:jc w:val="center"/>
        <w:rPr>
          <w:rFonts w:hint="eastAsia" w:ascii="宋体" w:hAnsi="宋体" w:cs="Courier New"/>
          <w:b/>
          <w:bCs/>
          <w:sz w:val="30"/>
          <w:szCs w:val="30"/>
          <w:highlight w:val="none"/>
        </w:rPr>
      </w:pPr>
      <w:r>
        <w:rPr>
          <w:rFonts w:hint="eastAsia" w:ascii="宋体" w:hAnsi="宋体"/>
          <w:b/>
          <w:sz w:val="30"/>
          <w:highlight w:val="none"/>
        </w:rPr>
        <w:t>一、开标一览表</w:t>
      </w:r>
    </w:p>
    <w:p w14:paraId="071B2696">
      <w:pPr>
        <w:spacing w:line="380" w:lineRule="exact"/>
        <w:ind w:firstLine="990" w:firstLineChars="450"/>
        <w:rPr>
          <w:rFonts w:hint="eastAsia" w:ascii="宋体" w:hAnsi="宋体"/>
          <w:sz w:val="22"/>
          <w:highlight w:val="none"/>
        </w:rPr>
      </w:pPr>
      <w:r>
        <w:rPr>
          <w:rFonts w:hint="eastAsia" w:ascii="宋体" w:hAnsi="宋体"/>
          <w:sz w:val="22"/>
          <w:highlight w:val="none"/>
        </w:rPr>
        <w:t>项目名称：                                     项目编号：</w:t>
      </w:r>
    </w:p>
    <w:tbl>
      <w:tblPr>
        <w:tblStyle w:val="33"/>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760"/>
      </w:tblGrid>
      <w:tr w14:paraId="198C3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vAlign w:val="center"/>
          </w:tcPr>
          <w:p w14:paraId="167A48B8">
            <w:pPr>
              <w:jc w:val="center"/>
              <w:rPr>
                <w:rFonts w:hint="eastAsia" w:ascii="宋体" w:hAnsi="宋体"/>
                <w:sz w:val="22"/>
                <w:szCs w:val="22"/>
                <w:highlight w:val="none"/>
              </w:rPr>
            </w:pPr>
            <w:r>
              <w:rPr>
                <w:rFonts w:hint="eastAsia" w:ascii="宋体" w:hAnsi="宋体"/>
                <w:sz w:val="22"/>
                <w:szCs w:val="22"/>
                <w:highlight w:val="none"/>
              </w:rPr>
              <w:t>投标报价</w:t>
            </w:r>
          </w:p>
        </w:tc>
        <w:tc>
          <w:tcPr>
            <w:tcW w:w="7760" w:type="dxa"/>
            <w:vAlign w:val="center"/>
          </w:tcPr>
          <w:p w14:paraId="6FE81878">
            <w:pPr>
              <w:pStyle w:val="17"/>
              <w:spacing w:line="460" w:lineRule="atLeast"/>
              <w:rPr>
                <w:rFonts w:hint="eastAsia" w:ascii="宋体" w:hAnsi="宋体" w:eastAsia="宋体"/>
                <w:kern w:val="2"/>
                <w:sz w:val="22"/>
                <w:szCs w:val="22"/>
                <w:highlight w:val="none"/>
              </w:rPr>
            </w:pPr>
            <w:r>
              <w:rPr>
                <w:rFonts w:hint="eastAsia" w:ascii="宋体" w:hAnsi="宋体" w:eastAsia="宋体"/>
                <w:kern w:val="2"/>
                <w:sz w:val="22"/>
                <w:szCs w:val="22"/>
                <w:highlight w:val="none"/>
              </w:rPr>
              <w:t>（大写）人民币：</w:t>
            </w:r>
            <w:r>
              <w:rPr>
                <w:rFonts w:hint="eastAsia" w:ascii="宋体" w:hAnsi="宋体" w:eastAsia="宋体"/>
                <w:kern w:val="2"/>
                <w:sz w:val="22"/>
                <w:szCs w:val="22"/>
                <w:highlight w:val="none"/>
                <w:u w:val="single"/>
              </w:rPr>
              <w:t xml:space="preserve"> </w:t>
            </w:r>
            <w:r>
              <w:rPr>
                <w:rFonts w:ascii="宋体" w:hAnsi="宋体" w:eastAsia="宋体"/>
                <w:kern w:val="2"/>
                <w:sz w:val="22"/>
                <w:szCs w:val="22"/>
                <w:highlight w:val="none"/>
                <w:u w:val="single"/>
              </w:rPr>
              <w:t xml:space="preserve">    </w:t>
            </w:r>
            <w:r>
              <w:rPr>
                <w:rFonts w:hint="eastAsia" w:ascii="宋体" w:hAnsi="宋体" w:eastAsia="宋体"/>
                <w:kern w:val="2"/>
                <w:sz w:val="22"/>
                <w:szCs w:val="22"/>
                <w:highlight w:val="none"/>
              </w:rPr>
              <w:t>元</w:t>
            </w:r>
          </w:p>
        </w:tc>
      </w:tr>
      <w:tr w14:paraId="4BBE3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vAlign w:val="center"/>
          </w:tcPr>
          <w:p w14:paraId="26F8DD6F">
            <w:pPr>
              <w:pStyle w:val="17"/>
              <w:spacing w:line="460" w:lineRule="atLeast"/>
              <w:rPr>
                <w:rFonts w:hint="eastAsia" w:ascii="宋体" w:hAnsi="宋体" w:eastAsia="宋体"/>
                <w:kern w:val="2"/>
                <w:sz w:val="22"/>
                <w:szCs w:val="22"/>
                <w:highlight w:val="none"/>
              </w:rPr>
            </w:pPr>
          </w:p>
        </w:tc>
        <w:tc>
          <w:tcPr>
            <w:tcW w:w="7760" w:type="dxa"/>
            <w:vAlign w:val="center"/>
          </w:tcPr>
          <w:p w14:paraId="0F1EEBD5">
            <w:pPr>
              <w:pStyle w:val="17"/>
              <w:spacing w:line="460" w:lineRule="atLeast"/>
              <w:rPr>
                <w:rFonts w:hint="eastAsia" w:ascii="宋体" w:hAnsi="宋体" w:eastAsia="宋体"/>
                <w:kern w:val="2"/>
                <w:sz w:val="22"/>
                <w:szCs w:val="22"/>
                <w:highlight w:val="none"/>
              </w:rPr>
            </w:pPr>
            <w:r>
              <w:rPr>
                <w:rFonts w:hint="eastAsia" w:ascii="宋体" w:hAnsi="宋体" w:eastAsia="宋体"/>
                <w:kern w:val="2"/>
                <w:sz w:val="22"/>
                <w:szCs w:val="22"/>
                <w:highlight w:val="none"/>
              </w:rPr>
              <w:t>（小写）￥</w:t>
            </w:r>
          </w:p>
        </w:tc>
      </w:tr>
    </w:tbl>
    <w:p w14:paraId="7C994AFD">
      <w:pPr>
        <w:tabs>
          <w:tab w:val="left" w:pos="540"/>
        </w:tabs>
        <w:spacing w:line="440" w:lineRule="exact"/>
        <w:rPr>
          <w:rFonts w:hint="eastAsia" w:ascii="宋体" w:hAnsi="宋体"/>
          <w:sz w:val="22"/>
          <w:szCs w:val="22"/>
          <w:highlight w:val="none"/>
        </w:rPr>
      </w:pPr>
      <w:r>
        <w:rPr>
          <w:rFonts w:hint="eastAsia" w:ascii="宋体" w:hAnsi="宋体"/>
          <w:sz w:val="22"/>
          <w:szCs w:val="22"/>
          <w:highlight w:val="none"/>
        </w:rPr>
        <w:t>说明：</w:t>
      </w:r>
    </w:p>
    <w:p w14:paraId="031EE835">
      <w:pPr>
        <w:spacing w:line="460" w:lineRule="exact"/>
        <w:rPr>
          <w:rFonts w:hint="eastAsia" w:ascii="宋体" w:hAnsi="宋体"/>
          <w:b/>
          <w:sz w:val="22"/>
          <w:szCs w:val="22"/>
          <w:highlight w:val="none"/>
        </w:rPr>
      </w:pPr>
      <w:r>
        <w:rPr>
          <w:rFonts w:hint="eastAsia" w:ascii="宋体" w:hAnsi="宋体"/>
          <w:b/>
          <w:sz w:val="22"/>
          <w:szCs w:val="22"/>
          <w:highlight w:val="none"/>
        </w:rPr>
        <w:t>1. “投标报价”应与《投标分项报价表》中“投标报价”相一致。</w:t>
      </w:r>
    </w:p>
    <w:p w14:paraId="2788B91E">
      <w:pPr>
        <w:spacing w:line="460" w:lineRule="exact"/>
        <w:rPr>
          <w:rFonts w:hint="eastAsia"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1D4751BD">
      <w:pPr>
        <w:spacing w:line="360" w:lineRule="auto"/>
        <w:rPr>
          <w:rFonts w:hint="eastAsia" w:ascii="宋体" w:hAnsi="宋体" w:cs="Courier New"/>
          <w:bCs/>
          <w:sz w:val="22"/>
          <w:szCs w:val="22"/>
          <w:highlight w:val="none"/>
        </w:rPr>
      </w:pPr>
    </w:p>
    <w:p w14:paraId="6E5872E7">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sz w:val="22"/>
          <w:szCs w:val="22"/>
          <w:highlight w:val="none"/>
        </w:rPr>
        <w:t>投标人全称（盖章）</w:t>
      </w:r>
      <w:r>
        <w:rPr>
          <w:rFonts w:hint="eastAsia" w:ascii="宋体" w:hAnsi="宋体" w:cs="Courier New"/>
          <w:bCs/>
          <w:sz w:val="22"/>
          <w:szCs w:val="22"/>
          <w:highlight w:val="none"/>
        </w:rPr>
        <w:t>：</w:t>
      </w:r>
    </w:p>
    <w:p w14:paraId="746E15EA">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cs="Courier New"/>
          <w:bCs/>
          <w:sz w:val="22"/>
          <w:szCs w:val="22"/>
          <w:highlight w:val="none"/>
        </w:rPr>
        <w:t>单位</w:t>
      </w:r>
      <w:r>
        <w:rPr>
          <w:rFonts w:hint="eastAsia" w:ascii="宋体" w:hAnsi="宋体"/>
          <w:sz w:val="22"/>
          <w:szCs w:val="22"/>
          <w:highlight w:val="none"/>
        </w:rPr>
        <w:t>负责人</w:t>
      </w:r>
      <w:r>
        <w:rPr>
          <w:rFonts w:hint="eastAsia" w:ascii="宋体" w:hAnsi="宋体" w:cs="Courier New"/>
          <w:bCs/>
          <w:sz w:val="22"/>
          <w:szCs w:val="22"/>
          <w:highlight w:val="none"/>
        </w:rPr>
        <w:t>或授权代表（签字或盖章）：</w:t>
      </w:r>
    </w:p>
    <w:p w14:paraId="5EC7BF02">
      <w:pPr>
        <w:pStyle w:val="2"/>
        <w:rPr>
          <w:highlight w:val="none"/>
        </w:rPr>
        <w:sectPr>
          <w:headerReference r:id="rId5" w:type="default"/>
          <w:footerReference r:id="rId6"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Courier New"/>
          <w:bCs/>
          <w:sz w:val="22"/>
          <w:szCs w:val="22"/>
          <w:highlight w:val="none"/>
        </w:rPr>
        <w:t>日          期：  年  月  日</w:t>
      </w:r>
    </w:p>
    <w:p w14:paraId="69BB6FAA">
      <w:pPr>
        <w:tabs>
          <w:tab w:val="left" w:pos="0"/>
          <w:tab w:val="left" w:pos="600"/>
        </w:tabs>
        <w:spacing w:line="400" w:lineRule="exact"/>
        <w:jc w:val="center"/>
        <w:rPr>
          <w:rFonts w:ascii="宋体" w:hAnsi="宋体" w:cs="Courier New"/>
          <w:b/>
          <w:bCs/>
          <w:sz w:val="30"/>
          <w:szCs w:val="30"/>
          <w:highlight w:val="none"/>
        </w:rPr>
      </w:pPr>
      <w:r>
        <w:rPr>
          <w:rFonts w:hint="eastAsia" w:ascii="宋体" w:hAnsi="宋体"/>
          <w:b/>
          <w:sz w:val="30"/>
          <w:highlight w:val="none"/>
          <w:lang w:val="en-US" w:eastAsia="zh-CN"/>
        </w:rPr>
        <w:t>二</w:t>
      </w:r>
      <w:r>
        <w:rPr>
          <w:rFonts w:hint="eastAsia" w:ascii="宋体" w:hAnsi="宋体"/>
          <w:b/>
          <w:sz w:val="30"/>
          <w:highlight w:val="none"/>
        </w:rPr>
        <w:t>、</w:t>
      </w:r>
      <w:r>
        <w:rPr>
          <w:rFonts w:hint="eastAsia" w:ascii="宋体" w:hAnsi="宋体" w:cs="宋体"/>
          <w:kern w:val="0"/>
          <w:sz w:val="24"/>
          <w:highlight w:val="none"/>
        </w:rPr>
        <w:t>投标分项报价表</w:t>
      </w:r>
    </w:p>
    <w:p w14:paraId="07F7E120">
      <w:pPr>
        <w:pStyle w:val="7"/>
        <w:spacing w:line="400" w:lineRule="exact"/>
        <w:ind w:firstLine="0"/>
        <w:rPr>
          <w:rFonts w:ascii="宋体" w:hAnsi="宋体"/>
          <w:b/>
          <w:highlight w:val="none"/>
        </w:rPr>
      </w:pPr>
      <w:r>
        <w:rPr>
          <w:rFonts w:hint="eastAsia" w:ascii="宋体" w:hAnsi="宋体"/>
          <w:b/>
          <w:highlight w:val="none"/>
        </w:rPr>
        <w:t xml:space="preserve">  项目名称：                                                                                                     (价格单位：元)</w:t>
      </w:r>
    </w:p>
    <w:tbl>
      <w:tblPr>
        <w:tblStyle w:val="33"/>
        <w:tblW w:w="5268" w:type="pct"/>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565"/>
        <w:gridCol w:w="2883"/>
        <w:gridCol w:w="1730"/>
        <w:gridCol w:w="2640"/>
        <w:gridCol w:w="2234"/>
        <w:gridCol w:w="1711"/>
      </w:tblGrid>
      <w:tr w14:paraId="76437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262" w:type="pct"/>
            <w:tcBorders>
              <w:tl2br w:val="nil"/>
              <w:tr2bl w:val="nil"/>
            </w:tcBorders>
            <w:vAlign w:val="center"/>
          </w:tcPr>
          <w:p w14:paraId="1418CF85">
            <w:pPr>
              <w:spacing w:line="240" w:lineRule="exact"/>
              <w:ind w:firstLine="101" w:firstLineChars="48"/>
              <w:jc w:val="center"/>
              <w:rPr>
                <w:rFonts w:ascii="新宋体" w:hAnsi="新宋体" w:eastAsia="新宋体"/>
                <w:b/>
                <w:szCs w:val="21"/>
                <w:highlight w:val="none"/>
              </w:rPr>
            </w:pPr>
            <w:bookmarkStart w:id="236" w:name="_Toc456967592"/>
            <w:bookmarkStart w:id="237" w:name="_Toc32311"/>
            <w:r>
              <w:rPr>
                <w:rFonts w:hint="eastAsia" w:ascii="新宋体" w:hAnsi="新宋体" w:eastAsia="新宋体"/>
                <w:b/>
                <w:szCs w:val="21"/>
                <w:highlight w:val="none"/>
              </w:rPr>
              <w:t>序号</w:t>
            </w:r>
          </w:p>
        </w:tc>
        <w:tc>
          <w:tcPr>
            <w:tcW w:w="1143" w:type="pct"/>
            <w:tcBorders>
              <w:tl2br w:val="nil"/>
              <w:tr2bl w:val="nil"/>
            </w:tcBorders>
            <w:vAlign w:val="center"/>
          </w:tcPr>
          <w:p w14:paraId="5FA104C1">
            <w:pPr>
              <w:spacing w:line="240" w:lineRule="exact"/>
              <w:ind w:firstLine="101" w:firstLineChars="48"/>
              <w:jc w:val="center"/>
              <w:rPr>
                <w:rFonts w:ascii="新宋体" w:hAnsi="新宋体" w:eastAsia="新宋体"/>
                <w:b/>
                <w:szCs w:val="21"/>
                <w:highlight w:val="none"/>
              </w:rPr>
            </w:pPr>
            <w:r>
              <w:rPr>
                <w:rFonts w:hint="eastAsia" w:ascii="新宋体" w:hAnsi="新宋体" w:eastAsia="新宋体"/>
                <w:b/>
                <w:szCs w:val="21"/>
                <w:highlight w:val="none"/>
              </w:rPr>
              <w:t>费用名称</w:t>
            </w:r>
          </w:p>
        </w:tc>
        <w:tc>
          <w:tcPr>
            <w:tcW w:w="925" w:type="pct"/>
            <w:tcBorders>
              <w:tl2br w:val="nil"/>
              <w:tr2bl w:val="nil"/>
            </w:tcBorders>
            <w:vAlign w:val="center"/>
          </w:tcPr>
          <w:p w14:paraId="131A3F82">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数量</w:t>
            </w:r>
            <w:r>
              <w:rPr>
                <w:rFonts w:hint="eastAsia" w:ascii="宋体" w:hAnsi="宋体" w:eastAsia="宋体" w:cs="宋体"/>
                <w:b/>
                <w:color w:val="auto"/>
                <w:sz w:val="21"/>
                <w:szCs w:val="21"/>
                <w:highlight w:val="none"/>
                <w:lang w:val="en-US" w:eastAsia="zh-CN"/>
              </w:rPr>
              <w:t>（暂定）</w:t>
            </w:r>
          </w:p>
          <w:p w14:paraId="16D84A5C">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（套）</w:t>
            </w:r>
          </w:p>
        </w:tc>
        <w:tc>
          <w:tcPr>
            <w:tcW w:w="555" w:type="pct"/>
            <w:tcBorders>
              <w:tl2br w:val="nil"/>
              <w:tr2bl w:val="nil"/>
            </w:tcBorders>
            <w:vAlign w:val="center"/>
          </w:tcPr>
          <w:p w14:paraId="2F7F6291">
            <w:pPr>
              <w:spacing w:line="240" w:lineRule="exact"/>
              <w:ind w:firstLine="101" w:firstLineChars="48"/>
              <w:jc w:val="center"/>
              <w:rPr>
                <w:rFonts w:hint="eastAsia" w:ascii="新宋体" w:hAnsi="新宋体" w:eastAsia="新宋体"/>
                <w:b/>
                <w:szCs w:val="21"/>
                <w:highlight w:val="none"/>
                <w:lang w:val="en-US" w:eastAsia="zh-CN"/>
              </w:rPr>
            </w:pPr>
            <w:r>
              <w:rPr>
                <w:rFonts w:hint="eastAsia" w:ascii="新宋体" w:hAnsi="新宋体" w:eastAsia="新宋体"/>
                <w:b/>
                <w:szCs w:val="21"/>
                <w:highlight w:val="none"/>
                <w:lang w:val="en-US" w:eastAsia="zh-CN"/>
              </w:rPr>
              <w:t>套数（暂定）</w:t>
            </w:r>
          </w:p>
          <w:p w14:paraId="2EDE15EB">
            <w:pPr>
              <w:spacing w:line="240" w:lineRule="exact"/>
              <w:ind w:firstLine="101" w:firstLineChars="48"/>
              <w:jc w:val="center"/>
              <w:rPr>
                <w:rFonts w:hint="default" w:ascii="新宋体" w:hAnsi="新宋体" w:eastAsia="新宋体"/>
                <w:b/>
                <w:szCs w:val="21"/>
                <w:highlight w:val="none"/>
                <w:lang w:val="en-US" w:eastAsia="zh-CN"/>
              </w:rPr>
            </w:pPr>
            <w:r>
              <w:rPr>
                <w:rFonts w:hint="eastAsia" w:ascii="新宋体" w:hAnsi="新宋体" w:eastAsia="新宋体"/>
                <w:b/>
                <w:szCs w:val="21"/>
                <w:highlight w:val="none"/>
                <w:lang w:val="en-US" w:eastAsia="zh-CN"/>
              </w:rPr>
              <w:t>（㎡）</w:t>
            </w:r>
          </w:p>
        </w:tc>
        <w:tc>
          <w:tcPr>
            <w:tcW w:w="847" w:type="pct"/>
            <w:tcBorders>
              <w:tl2br w:val="nil"/>
              <w:tr2bl w:val="nil"/>
            </w:tcBorders>
            <w:vAlign w:val="center"/>
          </w:tcPr>
          <w:p w14:paraId="6731088D">
            <w:pPr>
              <w:spacing w:line="240" w:lineRule="exact"/>
              <w:ind w:firstLine="101" w:firstLineChars="48"/>
              <w:jc w:val="center"/>
              <w:rPr>
                <w:rFonts w:ascii="新宋体" w:hAnsi="新宋体" w:eastAsia="新宋体"/>
                <w:b/>
                <w:szCs w:val="21"/>
                <w:highlight w:val="none"/>
              </w:rPr>
            </w:pPr>
            <w:r>
              <w:rPr>
                <w:rFonts w:hint="eastAsia" w:ascii="新宋体" w:hAnsi="新宋体" w:eastAsia="新宋体"/>
                <w:b/>
                <w:szCs w:val="21"/>
                <w:highlight w:val="none"/>
              </w:rPr>
              <w:t>投标分项最高限价（元）</w:t>
            </w:r>
          </w:p>
        </w:tc>
        <w:tc>
          <w:tcPr>
            <w:tcW w:w="717" w:type="pct"/>
            <w:tcBorders>
              <w:tl2br w:val="nil"/>
              <w:tr2bl w:val="nil"/>
            </w:tcBorders>
            <w:vAlign w:val="center"/>
          </w:tcPr>
          <w:p w14:paraId="53016C1C">
            <w:pPr>
              <w:spacing w:line="240" w:lineRule="exact"/>
              <w:ind w:firstLine="101" w:firstLineChars="48"/>
              <w:jc w:val="center"/>
              <w:rPr>
                <w:rFonts w:hint="eastAsia" w:ascii="新宋体" w:hAnsi="新宋体" w:eastAsia="新宋体" w:cs="Arial"/>
                <w:b/>
                <w:kern w:val="2"/>
                <w:sz w:val="21"/>
                <w:szCs w:val="21"/>
                <w:highlight w:val="none"/>
                <w:lang w:val="en-US" w:eastAsia="zh-CN" w:bidi="ar-SA"/>
              </w:rPr>
            </w:pPr>
            <w:r>
              <w:rPr>
                <w:rFonts w:hint="eastAsia" w:ascii="新宋体" w:hAnsi="新宋体" w:eastAsia="新宋体"/>
                <w:b/>
                <w:szCs w:val="21"/>
                <w:highlight w:val="none"/>
              </w:rPr>
              <w:t>投标分项报价（元）</w:t>
            </w:r>
          </w:p>
        </w:tc>
        <w:tc>
          <w:tcPr>
            <w:tcW w:w="548" w:type="pct"/>
            <w:tcBorders>
              <w:tl2br w:val="nil"/>
              <w:tr2bl w:val="nil"/>
            </w:tcBorders>
            <w:vAlign w:val="center"/>
          </w:tcPr>
          <w:p w14:paraId="0C90E830">
            <w:pPr>
              <w:spacing w:line="240" w:lineRule="exact"/>
              <w:ind w:firstLine="101" w:firstLineChars="48"/>
              <w:jc w:val="center"/>
              <w:rPr>
                <w:rFonts w:ascii="新宋体" w:hAnsi="新宋体" w:eastAsia="新宋体"/>
                <w:b/>
                <w:szCs w:val="21"/>
                <w:highlight w:val="none"/>
              </w:rPr>
            </w:pPr>
            <w:r>
              <w:rPr>
                <w:rFonts w:hint="eastAsia" w:ascii="新宋体" w:hAnsi="新宋体" w:eastAsia="新宋体"/>
                <w:b/>
                <w:szCs w:val="21"/>
                <w:highlight w:val="none"/>
              </w:rPr>
              <w:t>备注</w:t>
            </w:r>
          </w:p>
        </w:tc>
      </w:tr>
      <w:tr w14:paraId="202E8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262" w:type="pct"/>
            <w:tcBorders>
              <w:tl2br w:val="nil"/>
              <w:tr2bl w:val="nil"/>
            </w:tcBorders>
            <w:vAlign w:val="center"/>
          </w:tcPr>
          <w:p w14:paraId="4F7877FF">
            <w:pPr>
              <w:widowControl/>
              <w:jc w:val="center"/>
              <w:textAlignment w:val="center"/>
              <w:rPr>
                <w:rFonts w:hint="eastAsia" w:ascii="宋体" w:hAnsi="宋体" w:cs="宋体"/>
                <w:szCs w:val="21"/>
                <w:highlight w:val="none"/>
              </w:rPr>
            </w:pPr>
            <w:r>
              <w:rPr>
                <w:rFonts w:hint="eastAsia" w:ascii="宋体" w:hAnsi="宋体" w:cs="宋体"/>
                <w:szCs w:val="21"/>
                <w:highlight w:val="none"/>
              </w:rPr>
              <w:t>1</w:t>
            </w:r>
          </w:p>
        </w:tc>
        <w:tc>
          <w:tcPr>
            <w:tcW w:w="1143" w:type="pct"/>
            <w:tcBorders>
              <w:tl2br w:val="nil"/>
              <w:tr2bl w:val="nil"/>
            </w:tcBorders>
            <w:vAlign w:val="center"/>
          </w:tcPr>
          <w:p w14:paraId="60700F0E">
            <w:pPr>
              <w:keepNext w:val="0"/>
              <w:keepLines w:val="0"/>
              <w:widowControl/>
              <w:suppressLineNumbers w:val="0"/>
              <w:snapToGrid w:val="0"/>
              <w:spacing w:before="0" w:beforeAutospacing="0" w:after="0" w:afterAutospacing="0" w:line="320" w:lineRule="exact"/>
              <w:ind w:left="0" w:leftChars="0" w:right="0" w:rightChars="0"/>
              <w:jc w:val="center"/>
              <w:rPr>
                <w:rFonts w:ascii="新宋体" w:hAnsi="新宋体" w:eastAsia="新宋体"/>
                <w:b/>
                <w:bCs/>
                <w:szCs w:val="21"/>
                <w:highlight w:val="none"/>
              </w:rPr>
            </w:pPr>
            <w:r>
              <w:rPr>
                <w:rFonts w:hint="eastAsia" w:ascii="宋体" w:hAnsi="宋体" w:eastAsia="宋体" w:cs="宋体"/>
                <w:b/>
                <w:bCs/>
                <w:color w:val="auto"/>
                <w:sz w:val="21"/>
                <w:szCs w:val="21"/>
                <w:highlight w:val="none"/>
                <w:lang w:val="en-US" w:eastAsia="zh-CN"/>
              </w:rPr>
              <w:t>欧湾华庭代理销售服务费</w:t>
            </w:r>
          </w:p>
        </w:tc>
        <w:tc>
          <w:tcPr>
            <w:tcW w:w="2883" w:type="dxa"/>
            <w:tcBorders>
              <w:tl2br w:val="nil"/>
              <w:tr2bl w:val="nil"/>
            </w:tcBorders>
            <w:vAlign w:val="center"/>
          </w:tcPr>
          <w:p w14:paraId="37255211">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555" w:type="pct"/>
            <w:tcBorders>
              <w:tl2br w:val="nil"/>
              <w:tr2bl w:val="nil"/>
            </w:tcBorders>
            <w:vAlign w:val="center"/>
          </w:tcPr>
          <w:p w14:paraId="4657A0A4">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eastAsia="宋体" w:cs="宋体"/>
                <w:b/>
                <w:bCs/>
                <w:szCs w:val="21"/>
                <w:highlight w:val="none"/>
                <w:lang w:val="en-US" w:eastAsia="zh-CN"/>
              </w:rPr>
            </w:pPr>
            <w:r>
              <w:rPr>
                <w:rFonts w:hint="eastAsia" w:ascii="宋体" w:hAnsi="宋体" w:cs="宋体"/>
                <w:color w:val="auto"/>
                <w:sz w:val="21"/>
                <w:szCs w:val="21"/>
                <w:highlight w:val="none"/>
                <w:lang w:val="en-US" w:eastAsia="zh-CN"/>
              </w:rPr>
              <w:t>9007</w:t>
            </w:r>
          </w:p>
        </w:tc>
        <w:tc>
          <w:tcPr>
            <w:tcW w:w="847" w:type="pct"/>
            <w:tcBorders>
              <w:tl2br w:val="nil"/>
              <w:tr2bl w:val="nil"/>
            </w:tcBorders>
            <w:vAlign w:val="center"/>
          </w:tcPr>
          <w:p w14:paraId="0E56D983">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cs="宋体"/>
                <w:szCs w:val="21"/>
                <w:highlight w:val="none"/>
                <w:lang w:val="en-US"/>
              </w:rPr>
            </w:pPr>
            <w:r>
              <w:rPr>
                <w:rFonts w:hint="eastAsia" w:ascii="宋体" w:hAnsi="宋体" w:cs="宋体"/>
                <w:color w:val="auto"/>
                <w:sz w:val="21"/>
                <w:szCs w:val="21"/>
                <w:highlight w:val="none"/>
                <w:lang w:val="en-US" w:eastAsia="zh-CN"/>
              </w:rPr>
              <w:t>7269500</w:t>
            </w:r>
          </w:p>
        </w:tc>
        <w:tc>
          <w:tcPr>
            <w:tcW w:w="717" w:type="pct"/>
            <w:tcBorders>
              <w:tl2br w:val="nil"/>
              <w:tr2bl w:val="nil"/>
            </w:tcBorders>
            <w:vAlign w:val="center"/>
          </w:tcPr>
          <w:p w14:paraId="76C55054">
            <w:pPr>
              <w:widowControl/>
              <w:jc w:val="center"/>
              <w:textAlignment w:val="center"/>
              <w:rPr>
                <w:rFonts w:ascii="宋体" w:hAnsi="宋体" w:cs="宋体"/>
                <w:szCs w:val="21"/>
                <w:highlight w:val="none"/>
              </w:rPr>
            </w:pPr>
          </w:p>
        </w:tc>
        <w:tc>
          <w:tcPr>
            <w:tcW w:w="548" w:type="pct"/>
            <w:vMerge w:val="restart"/>
            <w:tcBorders>
              <w:tl2br w:val="nil"/>
              <w:tr2bl w:val="nil"/>
            </w:tcBorders>
            <w:vAlign w:val="center"/>
          </w:tcPr>
          <w:p w14:paraId="008369C2">
            <w:pPr>
              <w:widowControl/>
              <w:jc w:val="center"/>
              <w:textAlignment w:val="center"/>
              <w:rPr>
                <w:rFonts w:hint="default" w:ascii="宋体" w:hAnsi="宋体" w:eastAsia="宋体" w:cs="宋体"/>
                <w:szCs w:val="21"/>
                <w:highlight w:val="none"/>
                <w:lang w:val="en-US" w:eastAsia="zh-CN"/>
              </w:rPr>
            </w:pPr>
          </w:p>
        </w:tc>
      </w:tr>
      <w:tr w14:paraId="0A2EA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62" w:type="pct"/>
            <w:tcBorders>
              <w:tl2br w:val="nil"/>
              <w:tr2bl w:val="nil"/>
            </w:tcBorders>
            <w:vAlign w:val="center"/>
          </w:tcPr>
          <w:p w14:paraId="652E4C4A">
            <w:pPr>
              <w:widowControl/>
              <w:jc w:val="center"/>
              <w:textAlignment w:val="center"/>
              <w:rPr>
                <w:rFonts w:hint="eastAsia" w:ascii="宋体" w:hAnsi="宋体" w:cs="宋体"/>
                <w:szCs w:val="21"/>
                <w:highlight w:val="none"/>
                <w:lang w:eastAsia="zh-CN"/>
              </w:rPr>
            </w:pPr>
            <w:r>
              <w:rPr>
                <w:rFonts w:hint="eastAsia" w:ascii="宋体" w:hAnsi="宋体" w:cs="宋体"/>
                <w:szCs w:val="21"/>
                <w:highlight w:val="none"/>
                <w:lang w:val="en-US" w:eastAsia="zh-CN"/>
              </w:rPr>
              <w:t>2</w:t>
            </w:r>
          </w:p>
        </w:tc>
        <w:tc>
          <w:tcPr>
            <w:tcW w:w="1143" w:type="pct"/>
            <w:tcBorders>
              <w:tl2br w:val="nil"/>
              <w:tr2bl w:val="nil"/>
            </w:tcBorders>
            <w:vAlign w:val="center"/>
          </w:tcPr>
          <w:p w14:paraId="7182AEEE">
            <w:pPr>
              <w:keepNext w:val="0"/>
              <w:keepLines w:val="0"/>
              <w:widowControl/>
              <w:suppressLineNumbers w:val="0"/>
              <w:snapToGrid w:val="0"/>
              <w:spacing w:before="0" w:beforeAutospacing="0" w:after="0" w:afterAutospacing="0" w:line="320" w:lineRule="exact"/>
              <w:ind w:left="0" w:leftChars="0" w:right="0" w:rightChars="0"/>
              <w:jc w:val="center"/>
              <w:rPr>
                <w:rFonts w:ascii="新宋体" w:hAnsi="新宋体" w:eastAsia="新宋体"/>
                <w:b/>
                <w:bCs/>
                <w:szCs w:val="21"/>
                <w:highlight w:val="none"/>
              </w:rPr>
            </w:pPr>
            <w:r>
              <w:rPr>
                <w:rFonts w:hint="eastAsia" w:ascii="宋体" w:hAnsi="宋体" w:eastAsia="宋体" w:cs="宋体"/>
                <w:b/>
                <w:bCs/>
                <w:color w:val="auto"/>
                <w:sz w:val="21"/>
                <w:szCs w:val="21"/>
                <w:highlight w:val="none"/>
                <w:lang w:val="en-US" w:eastAsia="zh-CN"/>
              </w:rPr>
              <w:t>臻湾华庭代理销售服务费</w:t>
            </w:r>
          </w:p>
        </w:tc>
        <w:tc>
          <w:tcPr>
            <w:tcW w:w="2883" w:type="dxa"/>
            <w:tcBorders>
              <w:tl2br w:val="nil"/>
              <w:tr2bl w:val="nil"/>
            </w:tcBorders>
            <w:vAlign w:val="center"/>
          </w:tcPr>
          <w:p w14:paraId="7F74AB3C">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p>
        </w:tc>
        <w:tc>
          <w:tcPr>
            <w:tcW w:w="555" w:type="pct"/>
            <w:tcBorders>
              <w:tl2br w:val="nil"/>
              <w:tr2bl w:val="nil"/>
            </w:tcBorders>
            <w:vAlign w:val="center"/>
          </w:tcPr>
          <w:p w14:paraId="51A1C8A8">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eastAsia="宋体" w:cs="宋体"/>
                <w:b/>
                <w:bCs/>
                <w:szCs w:val="21"/>
                <w:highlight w:val="none"/>
                <w:lang w:val="en-US" w:eastAsia="zh-CN"/>
              </w:rPr>
            </w:pPr>
            <w:r>
              <w:rPr>
                <w:rFonts w:hint="eastAsia" w:ascii="宋体" w:hAnsi="宋体" w:cs="宋体"/>
                <w:color w:val="auto"/>
                <w:sz w:val="21"/>
                <w:szCs w:val="21"/>
                <w:highlight w:val="none"/>
                <w:lang w:val="en-US" w:eastAsia="zh-CN"/>
              </w:rPr>
              <w:t>4678</w:t>
            </w:r>
          </w:p>
        </w:tc>
        <w:tc>
          <w:tcPr>
            <w:tcW w:w="847" w:type="pct"/>
            <w:tcBorders>
              <w:tl2br w:val="nil"/>
              <w:tr2bl w:val="nil"/>
            </w:tcBorders>
            <w:vAlign w:val="center"/>
          </w:tcPr>
          <w:p w14:paraId="5F23D1C4">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cs="宋体"/>
                <w:szCs w:val="21"/>
                <w:highlight w:val="none"/>
                <w:lang w:val="en-US"/>
              </w:rPr>
            </w:pPr>
            <w:r>
              <w:rPr>
                <w:rFonts w:hint="eastAsia" w:ascii="宋体" w:hAnsi="宋体" w:cs="宋体"/>
                <w:color w:val="auto"/>
                <w:sz w:val="21"/>
                <w:szCs w:val="21"/>
                <w:highlight w:val="none"/>
                <w:lang w:val="en-US" w:eastAsia="zh-CN"/>
              </w:rPr>
              <w:t>3239500</w:t>
            </w:r>
          </w:p>
        </w:tc>
        <w:tc>
          <w:tcPr>
            <w:tcW w:w="717" w:type="pct"/>
            <w:tcBorders>
              <w:tl2br w:val="nil"/>
              <w:tr2bl w:val="nil"/>
            </w:tcBorders>
            <w:vAlign w:val="center"/>
          </w:tcPr>
          <w:p w14:paraId="4DC815D0">
            <w:pPr>
              <w:widowControl/>
              <w:jc w:val="center"/>
              <w:textAlignment w:val="center"/>
              <w:rPr>
                <w:rFonts w:ascii="宋体" w:hAnsi="宋体" w:cs="宋体"/>
                <w:szCs w:val="21"/>
                <w:highlight w:val="none"/>
              </w:rPr>
            </w:pPr>
          </w:p>
        </w:tc>
        <w:tc>
          <w:tcPr>
            <w:tcW w:w="548" w:type="pct"/>
            <w:vMerge w:val="continue"/>
            <w:tcBorders>
              <w:tl2br w:val="nil"/>
              <w:tr2bl w:val="nil"/>
            </w:tcBorders>
            <w:vAlign w:val="center"/>
          </w:tcPr>
          <w:p w14:paraId="1151E3E3">
            <w:pPr>
              <w:widowControl/>
              <w:jc w:val="center"/>
              <w:textAlignment w:val="center"/>
              <w:rPr>
                <w:rFonts w:ascii="宋体" w:hAnsi="宋体" w:cs="宋体"/>
                <w:szCs w:val="21"/>
                <w:highlight w:val="none"/>
              </w:rPr>
            </w:pPr>
          </w:p>
        </w:tc>
      </w:tr>
      <w:tr w14:paraId="2AA5A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406" w:type="pct"/>
            <w:gridSpan w:val="2"/>
            <w:tcBorders>
              <w:tl2br w:val="nil"/>
              <w:tr2bl w:val="nil"/>
            </w:tcBorders>
            <w:vAlign w:val="center"/>
          </w:tcPr>
          <w:p w14:paraId="51DFABE9">
            <w:pPr>
              <w:widowControl/>
              <w:jc w:val="center"/>
              <w:textAlignment w:val="center"/>
              <w:rPr>
                <w:rFonts w:ascii="宋体" w:hAnsi="宋体" w:cs="宋体"/>
                <w:szCs w:val="21"/>
                <w:highlight w:val="none"/>
              </w:rPr>
            </w:pPr>
            <w:r>
              <w:rPr>
                <w:rFonts w:hint="eastAsia" w:ascii="宋体" w:hAnsi="宋体" w:cs="宋体"/>
                <w:szCs w:val="21"/>
                <w:highlight w:val="none"/>
              </w:rPr>
              <w:t>投标总价（1+2）</w:t>
            </w:r>
          </w:p>
        </w:tc>
        <w:tc>
          <w:tcPr>
            <w:tcW w:w="3593" w:type="pct"/>
            <w:gridSpan w:val="5"/>
            <w:tcBorders>
              <w:tl2br w:val="nil"/>
              <w:tr2bl w:val="nil"/>
            </w:tcBorders>
            <w:vAlign w:val="center"/>
          </w:tcPr>
          <w:p w14:paraId="42EA5DFE">
            <w:pPr>
              <w:widowControl/>
              <w:textAlignment w:val="center"/>
              <w:rPr>
                <w:rFonts w:ascii="宋体" w:hAnsi="宋体" w:cs="宋体"/>
                <w:szCs w:val="21"/>
                <w:highlight w:val="none"/>
              </w:rPr>
            </w:pPr>
            <w:r>
              <w:rPr>
                <w:rFonts w:hint="eastAsia" w:ascii="宋体" w:hAnsi="宋体" w:cs="宋体"/>
                <w:szCs w:val="21"/>
                <w:highlight w:val="none"/>
              </w:rPr>
              <w:t>小写：</w:t>
            </w:r>
          </w:p>
          <w:p w14:paraId="006669B1">
            <w:pPr>
              <w:widowControl/>
              <w:textAlignment w:val="center"/>
              <w:rPr>
                <w:rFonts w:ascii="宋体" w:hAnsi="宋体" w:cs="宋体"/>
                <w:szCs w:val="21"/>
                <w:highlight w:val="none"/>
              </w:rPr>
            </w:pPr>
            <w:r>
              <w:rPr>
                <w:rFonts w:hint="eastAsia" w:ascii="宋体" w:hAnsi="宋体" w:cs="宋体"/>
                <w:szCs w:val="21"/>
                <w:highlight w:val="none"/>
              </w:rPr>
              <w:t>大写：</w:t>
            </w:r>
          </w:p>
          <w:p w14:paraId="1630C87B">
            <w:pPr>
              <w:widowControl/>
              <w:jc w:val="center"/>
              <w:textAlignment w:val="center"/>
              <w:rPr>
                <w:rFonts w:ascii="宋体" w:hAnsi="宋体" w:cs="宋体"/>
                <w:szCs w:val="21"/>
                <w:highlight w:val="none"/>
              </w:rPr>
            </w:pPr>
          </w:p>
        </w:tc>
      </w:tr>
      <w:tr w14:paraId="430ED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1406" w:type="pct"/>
            <w:gridSpan w:val="2"/>
            <w:tcBorders>
              <w:tl2br w:val="nil"/>
              <w:tr2bl w:val="nil"/>
            </w:tcBorders>
            <w:vAlign w:val="center"/>
          </w:tcPr>
          <w:p w14:paraId="203C60FB">
            <w:pPr>
              <w:widowControl/>
              <w:jc w:val="center"/>
              <w:textAlignment w:val="center"/>
              <w:rPr>
                <w:rFonts w:hint="eastAsia" w:ascii="宋体" w:hAnsi="宋体" w:cs="宋体"/>
                <w:b/>
                <w:bCs/>
                <w:szCs w:val="21"/>
                <w:highlight w:val="none"/>
              </w:rPr>
            </w:pPr>
            <w:r>
              <w:rPr>
                <w:rFonts w:hint="eastAsia" w:ascii="宋体" w:hAnsi="宋体" w:cs="宋体"/>
                <w:b/>
                <w:bCs/>
                <w:szCs w:val="21"/>
                <w:highlight w:val="none"/>
              </w:rPr>
              <w:t>投标总价最高限价</w:t>
            </w:r>
          </w:p>
        </w:tc>
        <w:tc>
          <w:tcPr>
            <w:tcW w:w="3593" w:type="pct"/>
            <w:gridSpan w:val="5"/>
            <w:tcBorders>
              <w:tl2br w:val="nil"/>
              <w:tr2bl w:val="nil"/>
            </w:tcBorders>
            <w:vAlign w:val="center"/>
          </w:tcPr>
          <w:p w14:paraId="56EEC0A6">
            <w:pPr>
              <w:widowControl/>
              <w:jc w:val="center"/>
              <w:textAlignment w:val="center"/>
              <w:rPr>
                <w:rFonts w:hint="eastAsia" w:ascii="宋体" w:hAnsi="宋体" w:cs="宋体"/>
                <w:b/>
                <w:bCs/>
                <w:szCs w:val="21"/>
                <w:highlight w:val="none"/>
              </w:rPr>
            </w:pPr>
            <w:r>
              <w:rPr>
                <w:rFonts w:hint="eastAsia" w:ascii="宋体" w:hAnsi="宋体" w:cs="宋体"/>
                <w:sz w:val="21"/>
                <w:szCs w:val="21"/>
                <w:highlight w:val="none"/>
                <w:lang w:val="en-US" w:eastAsia="zh-CN"/>
              </w:rPr>
              <w:t>10509000</w:t>
            </w:r>
            <w:r>
              <w:rPr>
                <w:rFonts w:hint="eastAsia" w:ascii="宋体" w:hAnsi="宋体" w:cs="宋体"/>
                <w:b/>
                <w:bCs/>
                <w:szCs w:val="21"/>
                <w:highlight w:val="none"/>
              </w:rPr>
              <w:t>元</w:t>
            </w:r>
          </w:p>
        </w:tc>
      </w:tr>
    </w:tbl>
    <w:p w14:paraId="520BCF41">
      <w:pPr>
        <w:keepNext w:val="0"/>
        <w:keepLines w:val="0"/>
        <w:pageBreakBefore w:val="0"/>
        <w:widowControl w:val="0"/>
        <w:kinsoku/>
        <w:wordWrap/>
        <w:overflowPunct/>
        <w:topLinePunct w:val="0"/>
        <w:autoSpaceDE/>
        <w:autoSpaceDN/>
        <w:bidi w:val="0"/>
        <w:adjustRightInd/>
        <w:snapToGrid/>
        <w:spacing w:line="360" w:lineRule="auto"/>
        <w:ind w:left="780"/>
        <w:textAlignment w:val="auto"/>
        <w:rPr>
          <w:rFonts w:ascii="宋体" w:hAnsi="宋体" w:cs="宋体"/>
          <w:szCs w:val="21"/>
          <w:highlight w:val="none"/>
        </w:rPr>
      </w:pPr>
      <w:r>
        <w:rPr>
          <w:rFonts w:hint="eastAsia" w:ascii="宋体" w:hAnsi="宋体" w:cs="宋体"/>
          <w:szCs w:val="21"/>
          <w:highlight w:val="none"/>
        </w:rPr>
        <w:t>备注：</w:t>
      </w:r>
    </w:p>
    <w:p w14:paraId="13C25D3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1202"/>
        <w:textAlignment w:val="auto"/>
        <w:rPr>
          <w:rFonts w:ascii="宋体" w:hAnsi="宋体" w:cs="宋体"/>
          <w:szCs w:val="21"/>
          <w:highlight w:val="none"/>
        </w:rPr>
      </w:pPr>
      <w:r>
        <w:rPr>
          <w:rFonts w:hint="eastAsia" w:ascii="宋体" w:hAnsi="宋体" w:cs="宋体"/>
          <w:szCs w:val="21"/>
          <w:highlight w:val="none"/>
        </w:rPr>
        <w:t>投标报价应包括包括承担本项目服务所需的一切人员工资、奖金、各种加班费、夜餐费、高温补贴费、训练费、社会保险、食宿与交通、队员服装、安全管理费用、税费、利润、招标代理脬务费等完成合同所需的一切本身和不可或缺的所有工作开支、政策性文件规定及合同包含的所有风险、责任等各项全部费用并承担一切风险责任。投标人应根据上述因素自行考虑含入报价。</w:t>
      </w:r>
    </w:p>
    <w:p w14:paraId="4F85A5A9">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1202"/>
        <w:textAlignment w:val="auto"/>
        <w:rPr>
          <w:rFonts w:ascii="宋体" w:hAnsi="宋体" w:cs="宋体"/>
          <w:szCs w:val="21"/>
          <w:highlight w:val="none"/>
        </w:rPr>
      </w:pPr>
      <w:r>
        <w:rPr>
          <w:rFonts w:hint="eastAsia" w:ascii="宋体" w:hAnsi="宋体" w:cs="宋体"/>
          <w:szCs w:val="21"/>
          <w:highlight w:val="none"/>
        </w:rPr>
        <w:t>上表的内容不得按0填报。</w:t>
      </w:r>
    </w:p>
    <w:p w14:paraId="47F2213A">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1202"/>
        <w:textAlignment w:val="auto"/>
        <w:rPr>
          <w:rFonts w:ascii="宋体" w:hAnsi="宋体" w:cs="宋体"/>
          <w:b/>
          <w:bCs/>
          <w:szCs w:val="21"/>
          <w:highlight w:val="none"/>
        </w:rPr>
      </w:pPr>
      <w:r>
        <w:rPr>
          <w:rFonts w:hint="eastAsia" w:ascii="宋体" w:hAnsi="宋体" w:cs="宋体"/>
          <w:b/>
          <w:bCs/>
          <w:szCs w:val="21"/>
          <w:highlight w:val="none"/>
        </w:rPr>
        <w:t>投标人投标总价报价及投标分项报价均不得超过对应的最高限价</w:t>
      </w:r>
      <w:r>
        <w:rPr>
          <w:rFonts w:hint="eastAsia" w:ascii="宋体" w:hAnsi="宋体" w:cs="宋体"/>
          <w:b/>
          <w:bCs/>
          <w:szCs w:val="21"/>
          <w:highlight w:val="none"/>
          <w:lang w:val="en-US" w:eastAsia="zh-CN"/>
        </w:rPr>
        <w:t>及费率要求</w:t>
      </w:r>
      <w:r>
        <w:rPr>
          <w:rFonts w:hint="eastAsia" w:ascii="宋体" w:hAnsi="宋体" w:cs="宋体"/>
          <w:b/>
          <w:bCs/>
          <w:szCs w:val="21"/>
          <w:highlight w:val="none"/>
        </w:rPr>
        <w:t>。</w:t>
      </w:r>
    </w:p>
    <w:p w14:paraId="030AA705">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1202"/>
        <w:textAlignment w:val="auto"/>
        <w:rPr>
          <w:rFonts w:ascii="宋体" w:hAnsi="宋体" w:cs="宋体"/>
          <w:b/>
          <w:bCs/>
          <w:szCs w:val="21"/>
          <w:highlight w:val="none"/>
        </w:rPr>
      </w:pPr>
      <w:r>
        <w:rPr>
          <w:rFonts w:hint="eastAsia" w:ascii="宋体" w:hAnsi="宋体" w:cs="宋体"/>
          <w:b/>
          <w:bCs/>
          <w:szCs w:val="21"/>
          <w:highlight w:val="none"/>
        </w:rPr>
        <w:t>投标报价保留到元，费率报价保留两位小数即0.00%。</w:t>
      </w:r>
    </w:p>
    <w:p w14:paraId="0CDC2E7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1202"/>
        <w:textAlignment w:val="auto"/>
        <w:rPr>
          <w:rFonts w:ascii="宋体" w:hAnsi="宋体" w:cs="宋体"/>
          <w:szCs w:val="21"/>
          <w:highlight w:val="none"/>
        </w:rPr>
      </w:pPr>
      <w:r>
        <w:rPr>
          <w:rFonts w:hint="eastAsia" w:ascii="宋体" w:hAnsi="宋体" w:cs="宋体"/>
          <w:szCs w:val="21"/>
          <w:highlight w:val="none"/>
        </w:rPr>
        <w:t>此表不得自行增减内容。</w:t>
      </w:r>
    </w:p>
    <w:p w14:paraId="3D564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82" w:leftChars="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 xml:space="preserve">6. </w:t>
      </w:r>
      <w:r>
        <w:rPr>
          <w:rFonts w:hint="eastAsia" w:ascii="宋体" w:hAnsi="宋体" w:cs="宋体"/>
          <w:szCs w:val="21"/>
          <w:highlight w:val="none"/>
        </w:rPr>
        <w:t>不提供该报价表的报价文件视为未实质性响应招标文件。</w:t>
      </w:r>
    </w:p>
    <w:p w14:paraId="327CBBF1">
      <w:pPr>
        <w:keepNext w:val="0"/>
        <w:keepLines w:val="0"/>
        <w:pageBreakBefore w:val="0"/>
        <w:widowControl w:val="0"/>
        <w:kinsoku/>
        <w:wordWrap/>
        <w:overflowPunct/>
        <w:topLinePunct w:val="0"/>
        <w:autoSpaceDE/>
        <w:autoSpaceDN/>
        <w:bidi w:val="0"/>
        <w:adjustRightInd/>
        <w:snapToGrid/>
        <w:spacing w:line="360" w:lineRule="auto"/>
        <w:ind w:left="782"/>
        <w:jc w:val="right"/>
        <w:textAlignment w:val="auto"/>
        <w:rPr>
          <w:rFonts w:ascii="宋体" w:hAnsi="宋体" w:cs="宋体"/>
          <w:szCs w:val="21"/>
          <w:highlight w:val="none"/>
        </w:rPr>
      </w:pPr>
      <w:r>
        <w:rPr>
          <w:rFonts w:hint="eastAsia" w:ascii="宋体" w:hAnsi="宋体" w:cs="宋体"/>
          <w:szCs w:val="21"/>
          <w:highlight w:val="none"/>
        </w:rPr>
        <w:t>供应商全称（盖章）：</w:t>
      </w:r>
    </w:p>
    <w:p w14:paraId="2C829608">
      <w:pPr>
        <w:keepNext w:val="0"/>
        <w:keepLines w:val="0"/>
        <w:pageBreakBefore w:val="0"/>
        <w:widowControl w:val="0"/>
        <w:kinsoku/>
        <w:wordWrap/>
        <w:overflowPunct/>
        <w:topLinePunct w:val="0"/>
        <w:autoSpaceDE/>
        <w:autoSpaceDN/>
        <w:bidi w:val="0"/>
        <w:adjustRightInd/>
        <w:snapToGrid/>
        <w:spacing w:line="360" w:lineRule="auto"/>
        <w:ind w:left="782"/>
        <w:jc w:val="right"/>
        <w:textAlignment w:val="auto"/>
        <w:rPr>
          <w:rFonts w:ascii="宋体" w:hAnsi="宋体" w:cs="宋体"/>
          <w:szCs w:val="21"/>
          <w:highlight w:val="none"/>
        </w:rPr>
      </w:pPr>
      <w:r>
        <w:rPr>
          <w:rFonts w:hint="eastAsia" w:ascii="宋体" w:hAnsi="宋体" w:cs="宋体"/>
          <w:szCs w:val="21"/>
          <w:highlight w:val="none"/>
        </w:rPr>
        <w:t>法定代表人或授权代表（签字或盖章）：</w:t>
      </w:r>
    </w:p>
    <w:p w14:paraId="125ADC7D">
      <w:pPr>
        <w:keepNext w:val="0"/>
        <w:keepLines w:val="0"/>
        <w:pageBreakBefore w:val="0"/>
        <w:widowControl w:val="0"/>
        <w:kinsoku/>
        <w:wordWrap/>
        <w:overflowPunct/>
        <w:topLinePunct w:val="0"/>
        <w:autoSpaceDE/>
        <w:autoSpaceDN/>
        <w:bidi w:val="0"/>
        <w:adjustRightInd/>
        <w:snapToGrid/>
        <w:spacing w:line="360" w:lineRule="auto"/>
        <w:ind w:firstLine="4109" w:firstLineChars="1957"/>
        <w:jc w:val="right"/>
        <w:textAlignment w:val="auto"/>
        <w:rPr>
          <w:rFonts w:hint="eastAsia" w:ascii="宋体" w:hAnsi="宋体"/>
          <w:szCs w:val="21"/>
          <w:highlight w:val="none"/>
        </w:rPr>
      </w:pPr>
      <w:r>
        <w:rPr>
          <w:rFonts w:hint="eastAsia" w:ascii="宋体" w:hAnsi="宋体"/>
          <w:szCs w:val="21"/>
          <w:highlight w:val="none"/>
        </w:rPr>
        <w:t xml:space="preserve">            日期：   年   月  </w:t>
      </w:r>
    </w:p>
    <w:p w14:paraId="03B88761">
      <w:pPr>
        <w:spacing w:line="220" w:lineRule="exact"/>
        <w:ind w:firstLine="4109" w:firstLineChars="1957"/>
        <w:jc w:val="right"/>
        <w:rPr>
          <w:rFonts w:hint="eastAsia" w:ascii="宋体" w:hAnsi="宋体"/>
          <w:szCs w:val="21"/>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bookmarkEnd w:id="236"/>
    <w:bookmarkEnd w:id="237"/>
    <w:p w14:paraId="589BD957">
      <w:pPr>
        <w:spacing w:line="480" w:lineRule="auto"/>
        <w:rPr>
          <w:rFonts w:ascii="宋体" w:hAnsi="宋体"/>
          <w:szCs w:val="21"/>
          <w:highlight w:val="none"/>
        </w:rPr>
      </w:pPr>
    </w:p>
    <w:p w14:paraId="6AFC0514">
      <w:pPr>
        <w:pStyle w:val="8"/>
        <w:rPr>
          <w:rFonts w:ascii="宋体" w:hAnsi="宋体" w:eastAsia="宋体"/>
          <w:b/>
          <w:sz w:val="28"/>
          <w:szCs w:val="28"/>
          <w:highlight w:val="none"/>
        </w:rPr>
      </w:pPr>
    </w:p>
    <w:p w14:paraId="7FB68D3B">
      <w:pPr>
        <w:widowControl/>
        <w:jc w:val="left"/>
        <w:rPr>
          <w:rFonts w:ascii="宋体" w:hAnsi="宋体" w:cs="宋体"/>
          <w:kern w:val="0"/>
          <w:sz w:val="24"/>
          <w:highlight w:val="none"/>
        </w:rPr>
      </w:pPr>
    </w:p>
    <w:p w14:paraId="15E1BBF2">
      <w:pPr>
        <w:pStyle w:val="4"/>
        <w:spacing w:before="0" w:after="120" w:line="700" w:lineRule="exact"/>
        <w:jc w:val="center"/>
        <w:rPr>
          <w:rFonts w:ascii="宋体" w:hAnsi="宋体" w:eastAsia="宋体"/>
          <w:bCs/>
          <w:highlight w:val="none"/>
        </w:rPr>
      </w:pPr>
      <w:bookmarkStart w:id="238" w:name="_Toc34761244"/>
      <w:bookmarkStart w:id="239" w:name="_Toc27067"/>
      <w:r>
        <w:rPr>
          <w:rFonts w:hint="eastAsia" w:ascii="宋体" w:hAnsi="宋体" w:eastAsia="宋体"/>
          <w:bCs/>
          <w:sz w:val="38"/>
          <w:highlight w:val="none"/>
        </w:rPr>
        <w:t>商务技术文件</w:t>
      </w:r>
      <w:bookmarkEnd w:id="238"/>
      <w:bookmarkEnd w:id="239"/>
    </w:p>
    <w:p w14:paraId="12A488F3">
      <w:pPr>
        <w:shd w:val="clear" w:color="auto" w:fill="FFFFFF"/>
        <w:snapToGrid w:val="0"/>
        <w:spacing w:line="360" w:lineRule="auto"/>
        <w:jc w:val="center"/>
        <w:rPr>
          <w:rFonts w:ascii="宋体" w:hAnsi="宋体" w:cs="宋体"/>
          <w:b/>
          <w:bCs/>
          <w:kern w:val="0"/>
          <w:sz w:val="24"/>
          <w:highlight w:val="none"/>
        </w:rPr>
      </w:pPr>
    </w:p>
    <w:p w14:paraId="5C8AAF23">
      <w:pPr>
        <w:shd w:val="clear" w:color="auto" w:fill="FFFFFF"/>
        <w:snapToGrid w:val="0"/>
        <w:spacing w:line="360" w:lineRule="auto"/>
        <w:jc w:val="center"/>
        <w:rPr>
          <w:rFonts w:ascii="宋体" w:hAnsi="宋体" w:cs="宋体"/>
          <w:b/>
          <w:bCs/>
          <w:kern w:val="0"/>
          <w:sz w:val="32"/>
          <w:szCs w:val="32"/>
          <w:highlight w:val="none"/>
        </w:rPr>
      </w:pPr>
      <w:r>
        <w:rPr>
          <w:rFonts w:hint="eastAsia" w:ascii="宋体" w:hAnsi="宋体" w:cs="宋体"/>
          <w:b/>
          <w:bCs/>
          <w:kern w:val="0"/>
          <w:sz w:val="32"/>
          <w:szCs w:val="32"/>
          <w:highlight w:val="none"/>
        </w:rPr>
        <w:t xml:space="preserve"> 目  录</w:t>
      </w:r>
    </w:p>
    <w:p w14:paraId="333F922F">
      <w:pPr>
        <w:rPr>
          <w:rFonts w:ascii="宋体" w:hAnsi="宋体"/>
          <w:highlight w:val="none"/>
        </w:rPr>
      </w:pPr>
    </w:p>
    <w:p w14:paraId="4BE9F37B">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投标函</w:t>
      </w:r>
      <w:r>
        <w:rPr>
          <w:rFonts w:ascii="宋体" w:hAnsi="宋体" w:cs="宋体"/>
          <w:kern w:val="0"/>
          <w:sz w:val="24"/>
          <w:highlight w:val="none"/>
        </w:rPr>
        <w:tab/>
      </w:r>
      <w:r>
        <w:rPr>
          <w:rFonts w:hint="eastAsia" w:ascii="宋体" w:hAnsi="宋体" w:cs="宋体"/>
          <w:kern w:val="0"/>
          <w:sz w:val="24"/>
          <w:highlight w:val="none"/>
        </w:rPr>
        <w:t>（页码）</w:t>
      </w:r>
    </w:p>
    <w:p w14:paraId="072FED61">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单位负责人授权书</w:t>
      </w:r>
      <w:r>
        <w:rPr>
          <w:rFonts w:ascii="宋体" w:hAnsi="宋体" w:cs="宋体"/>
          <w:kern w:val="0"/>
          <w:sz w:val="24"/>
          <w:highlight w:val="none"/>
        </w:rPr>
        <w:tab/>
      </w:r>
      <w:r>
        <w:rPr>
          <w:rFonts w:hint="eastAsia" w:ascii="宋体" w:hAnsi="宋体" w:cs="宋体"/>
          <w:kern w:val="0"/>
          <w:sz w:val="24"/>
          <w:highlight w:val="none"/>
        </w:rPr>
        <w:t>（页码）</w:t>
      </w:r>
    </w:p>
    <w:p w14:paraId="0CC79933">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投标人联系表</w:t>
      </w:r>
      <w:r>
        <w:rPr>
          <w:rFonts w:ascii="宋体" w:hAnsi="宋体" w:cs="宋体"/>
          <w:kern w:val="0"/>
          <w:sz w:val="24"/>
          <w:highlight w:val="none"/>
        </w:rPr>
        <w:tab/>
      </w:r>
      <w:r>
        <w:rPr>
          <w:rFonts w:hint="eastAsia" w:ascii="宋体" w:hAnsi="宋体" w:cs="宋体"/>
          <w:kern w:val="0"/>
          <w:sz w:val="24"/>
          <w:highlight w:val="none"/>
        </w:rPr>
        <w:t>（页码）</w:t>
      </w:r>
    </w:p>
    <w:p w14:paraId="0C4E0970">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采购需求偏离表</w:t>
      </w:r>
      <w:r>
        <w:rPr>
          <w:rFonts w:ascii="宋体" w:hAnsi="宋体" w:cs="宋体"/>
          <w:kern w:val="0"/>
          <w:sz w:val="24"/>
          <w:highlight w:val="none"/>
        </w:rPr>
        <w:tab/>
      </w:r>
      <w:r>
        <w:rPr>
          <w:rFonts w:hint="eastAsia" w:ascii="宋体" w:hAnsi="宋体" w:cs="宋体"/>
          <w:kern w:val="0"/>
          <w:sz w:val="24"/>
          <w:highlight w:val="none"/>
        </w:rPr>
        <w:t>（页码）</w:t>
      </w:r>
    </w:p>
    <w:p w14:paraId="2E428DCE">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根据本项目采购内容及要求以及商务技术评分项目，需要提供的文件和资料</w:t>
      </w:r>
    </w:p>
    <w:p w14:paraId="0A2E274A">
      <w:pPr>
        <w:shd w:val="clear" w:color="auto" w:fill="FFFFFF"/>
        <w:tabs>
          <w:tab w:val="right" w:leader="middleDot" w:pos="9356"/>
        </w:tabs>
        <w:snapToGrid w:val="0"/>
        <w:spacing w:line="360" w:lineRule="auto"/>
        <w:rPr>
          <w:rFonts w:ascii="宋体" w:hAnsi="宋体" w:cs="宋体"/>
          <w:kern w:val="0"/>
          <w:sz w:val="24"/>
          <w:highlight w:val="none"/>
        </w:rPr>
      </w:pPr>
      <w:r>
        <w:rPr>
          <w:rFonts w:ascii="宋体" w:hAnsi="宋体" w:cs="宋体"/>
          <w:kern w:val="0"/>
          <w:sz w:val="24"/>
          <w:highlight w:val="none"/>
        </w:rPr>
        <w:tab/>
      </w:r>
      <w:r>
        <w:rPr>
          <w:rFonts w:hint="eastAsia" w:ascii="宋体" w:hAnsi="宋体" w:cs="宋体"/>
          <w:kern w:val="0"/>
          <w:sz w:val="24"/>
          <w:highlight w:val="none"/>
        </w:rPr>
        <w:t>（页码）</w:t>
      </w:r>
    </w:p>
    <w:p w14:paraId="47628572">
      <w:pPr>
        <w:numPr>
          <w:ilvl w:val="0"/>
          <w:numId w:val="20"/>
        </w:numPr>
        <w:shd w:val="clear" w:color="auto" w:fill="FFFFFF"/>
        <w:tabs>
          <w:tab w:val="right" w:leader="middleDot" w:pos="9356"/>
        </w:tabs>
        <w:snapToGrid w:val="0"/>
        <w:spacing w:line="360" w:lineRule="auto"/>
        <w:rPr>
          <w:rFonts w:ascii="宋体" w:hAnsi="宋体" w:cs="宋体"/>
          <w:kern w:val="0"/>
          <w:sz w:val="24"/>
          <w:highlight w:val="none"/>
        </w:rPr>
      </w:pPr>
      <w:r>
        <w:rPr>
          <w:rFonts w:hint="eastAsia" w:ascii="宋体" w:hAnsi="宋体" w:cs="宋体"/>
          <w:kern w:val="0"/>
          <w:sz w:val="24"/>
          <w:highlight w:val="none"/>
        </w:rPr>
        <w:t>投标人需要说明的其他文件和说明</w:t>
      </w:r>
      <w:r>
        <w:rPr>
          <w:rFonts w:ascii="宋体" w:hAnsi="宋体" w:cs="宋体"/>
          <w:kern w:val="0"/>
          <w:sz w:val="24"/>
          <w:highlight w:val="none"/>
        </w:rPr>
        <w:tab/>
      </w:r>
      <w:r>
        <w:rPr>
          <w:rFonts w:hint="eastAsia" w:ascii="宋体" w:hAnsi="宋体" w:cs="宋体"/>
          <w:kern w:val="0"/>
          <w:sz w:val="24"/>
          <w:highlight w:val="none"/>
        </w:rPr>
        <w:t>（页码）</w:t>
      </w:r>
    </w:p>
    <w:p w14:paraId="55B3D60E">
      <w:pPr>
        <w:shd w:val="clear" w:color="auto" w:fill="FFFFFF"/>
        <w:snapToGrid w:val="0"/>
        <w:spacing w:line="360" w:lineRule="auto"/>
        <w:jc w:val="left"/>
        <w:rPr>
          <w:rFonts w:ascii="宋体" w:hAnsi="宋体" w:cs="宋体"/>
          <w:sz w:val="24"/>
          <w:szCs w:val="21"/>
          <w:highlight w:val="none"/>
        </w:rPr>
      </w:pPr>
      <w:r>
        <w:rPr>
          <w:rFonts w:hint="eastAsia" w:ascii="宋体" w:hAnsi="宋体" w:cs="宋体"/>
          <w:sz w:val="24"/>
          <w:szCs w:val="21"/>
          <w:highlight w:val="none"/>
        </w:rPr>
        <w:t>注：以上目录是编制商务技术文件的基本格式要求，各投标人可根据自身情况进一步细化。</w:t>
      </w:r>
    </w:p>
    <w:p w14:paraId="077B4B2A">
      <w:pPr>
        <w:shd w:val="clear" w:color="auto" w:fill="FFFFFF"/>
        <w:tabs>
          <w:tab w:val="right" w:leader="middleDot" w:pos="9356"/>
        </w:tabs>
        <w:snapToGrid w:val="0"/>
        <w:spacing w:line="360" w:lineRule="auto"/>
        <w:rPr>
          <w:rFonts w:ascii="宋体" w:hAnsi="宋体" w:cs="宋体"/>
          <w:kern w:val="0"/>
          <w:sz w:val="24"/>
          <w:highlight w:val="none"/>
        </w:rPr>
      </w:pPr>
    </w:p>
    <w:p w14:paraId="29D8CF26">
      <w:pPr>
        <w:spacing w:line="460" w:lineRule="exact"/>
        <w:jc w:val="center"/>
        <w:rPr>
          <w:rFonts w:ascii="宋体" w:hAnsi="宋体"/>
          <w:b/>
          <w:spacing w:val="20"/>
          <w:sz w:val="32"/>
          <w:szCs w:val="32"/>
          <w:highlight w:val="none"/>
        </w:rPr>
      </w:pPr>
      <w:r>
        <w:rPr>
          <w:rFonts w:ascii="宋体" w:hAnsi="宋体"/>
          <w:b/>
          <w:spacing w:val="20"/>
          <w:sz w:val="32"/>
          <w:szCs w:val="32"/>
          <w:highlight w:val="none"/>
        </w:rPr>
        <w:br w:type="page"/>
      </w:r>
    </w:p>
    <w:p w14:paraId="784A1470">
      <w:pPr>
        <w:spacing w:line="460" w:lineRule="exact"/>
        <w:jc w:val="center"/>
        <w:rPr>
          <w:rFonts w:ascii="宋体" w:hAnsi="宋体"/>
          <w:b/>
          <w:bCs/>
          <w:sz w:val="30"/>
          <w:szCs w:val="30"/>
          <w:highlight w:val="none"/>
        </w:rPr>
      </w:pPr>
    </w:p>
    <w:p w14:paraId="78C17018">
      <w:pPr>
        <w:spacing w:line="460" w:lineRule="exact"/>
        <w:jc w:val="center"/>
        <w:rPr>
          <w:rFonts w:ascii="宋体" w:hAnsi="宋体" w:cs="宋体"/>
          <w:sz w:val="22"/>
          <w:szCs w:val="22"/>
          <w:highlight w:val="none"/>
        </w:rPr>
      </w:pPr>
      <w:r>
        <w:rPr>
          <w:rFonts w:hint="eastAsia" w:ascii="宋体" w:hAnsi="宋体"/>
          <w:b/>
          <w:bCs/>
          <w:sz w:val="30"/>
          <w:szCs w:val="30"/>
          <w:highlight w:val="none"/>
        </w:rPr>
        <w:t>评分索引表</w:t>
      </w:r>
      <w:r>
        <w:rPr>
          <w:rFonts w:ascii="宋体" w:hAnsi="宋体" w:cs="宋体"/>
          <w:sz w:val="22"/>
          <w:szCs w:val="22"/>
          <w:highlight w:val="none"/>
        </w:rPr>
        <w:t xml:space="preserve"> </w:t>
      </w:r>
    </w:p>
    <w:p w14:paraId="694E9F71">
      <w:pPr>
        <w:spacing w:line="460" w:lineRule="exact"/>
        <w:jc w:val="center"/>
        <w:rPr>
          <w:rFonts w:ascii="宋体" w:hAnsi="宋体"/>
          <w:b/>
          <w:bCs/>
          <w:sz w:val="30"/>
          <w:szCs w:val="30"/>
          <w:highlight w:val="none"/>
        </w:rPr>
      </w:pPr>
      <w:r>
        <w:rPr>
          <w:rFonts w:ascii="宋体" w:hAnsi="宋体" w:cs="宋体"/>
          <w:sz w:val="22"/>
          <w:szCs w:val="22"/>
          <w:highlight w:val="none"/>
        </w:rPr>
        <w:t xml:space="preserve">                     </w:t>
      </w:r>
    </w:p>
    <w:tbl>
      <w:tblPr>
        <w:tblStyle w:val="33"/>
        <w:tblW w:w="96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340"/>
        <w:gridCol w:w="4340"/>
      </w:tblGrid>
      <w:tr w14:paraId="47D5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8" w:type="dxa"/>
            <w:vAlign w:val="center"/>
          </w:tcPr>
          <w:p w14:paraId="7683FD43">
            <w:pPr>
              <w:spacing w:line="42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4340" w:type="dxa"/>
            <w:vAlign w:val="center"/>
          </w:tcPr>
          <w:p w14:paraId="022C1523">
            <w:pPr>
              <w:spacing w:line="420" w:lineRule="exact"/>
              <w:jc w:val="center"/>
              <w:rPr>
                <w:rFonts w:ascii="宋体" w:hAnsi="宋体" w:cs="宋体"/>
                <w:sz w:val="22"/>
                <w:szCs w:val="22"/>
                <w:highlight w:val="none"/>
              </w:rPr>
            </w:pPr>
            <w:r>
              <w:rPr>
                <w:rFonts w:hint="eastAsia" w:ascii="宋体" w:hAnsi="宋体" w:cs="宋体"/>
                <w:sz w:val="22"/>
                <w:szCs w:val="22"/>
                <w:highlight w:val="none"/>
              </w:rPr>
              <w:t>评分内容</w:t>
            </w:r>
          </w:p>
        </w:tc>
        <w:tc>
          <w:tcPr>
            <w:tcW w:w="4340" w:type="dxa"/>
            <w:vAlign w:val="center"/>
          </w:tcPr>
          <w:p w14:paraId="78D7BAAE">
            <w:pPr>
              <w:spacing w:line="420" w:lineRule="exact"/>
              <w:jc w:val="center"/>
              <w:rPr>
                <w:rFonts w:ascii="宋体" w:hAnsi="宋体" w:cs="宋体"/>
                <w:sz w:val="22"/>
                <w:szCs w:val="22"/>
                <w:highlight w:val="none"/>
              </w:rPr>
            </w:pPr>
            <w:r>
              <w:rPr>
                <w:rFonts w:hint="eastAsia" w:ascii="宋体" w:hAnsi="宋体" w:cs="宋体"/>
                <w:sz w:val="22"/>
                <w:szCs w:val="22"/>
                <w:highlight w:val="none"/>
              </w:rPr>
              <w:t>查阅指引</w:t>
            </w:r>
          </w:p>
        </w:tc>
      </w:tr>
      <w:tr w14:paraId="7C8C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33EFEEF7">
            <w:pPr>
              <w:spacing w:line="420" w:lineRule="exact"/>
              <w:jc w:val="center"/>
              <w:rPr>
                <w:rFonts w:ascii="宋体" w:hAnsi="宋体" w:cs="宋体"/>
                <w:sz w:val="22"/>
                <w:szCs w:val="22"/>
                <w:highlight w:val="none"/>
              </w:rPr>
            </w:pPr>
          </w:p>
        </w:tc>
        <w:tc>
          <w:tcPr>
            <w:tcW w:w="4340" w:type="dxa"/>
            <w:vAlign w:val="center"/>
          </w:tcPr>
          <w:p w14:paraId="30E91935">
            <w:pPr>
              <w:spacing w:line="420" w:lineRule="exact"/>
              <w:jc w:val="center"/>
              <w:rPr>
                <w:rFonts w:ascii="宋体" w:hAnsi="宋体" w:cs="宋体"/>
                <w:sz w:val="22"/>
                <w:szCs w:val="22"/>
                <w:highlight w:val="none"/>
              </w:rPr>
            </w:pPr>
          </w:p>
        </w:tc>
        <w:tc>
          <w:tcPr>
            <w:tcW w:w="4340" w:type="dxa"/>
            <w:vAlign w:val="center"/>
          </w:tcPr>
          <w:p w14:paraId="4E9CF145">
            <w:pPr>
              <w:spacing w:line="420" w:lineRule="exact"/>
              <w:jc w:val="center"/>
              <w:rPr>
                <w:rFonts w:ascii="宋体" w:hAnsi="宋体" w:cs="宋体"/>
                <w:sz w:val="22"/>
                <w:szCs w:val="22"/>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5C19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614A45EC">
            <w:pPr>
              <w:spacing w:line="420" w:lineRule="exact"/>
              <w:jc w:val="center"/>
              <w:rPr>
                <w:rFonts w:ascii="宋体" w:hAnsi="宋体" w:cs="宋体"/>
                <w:sz w:val="22"/>
                <w:szCs w:val="22"/>
                <w:highlight w:val="none"/>
              </w:rPr>
            </w:pPr>
          </w:p>
        </w:tc>
        <w:tc>
          <w:tcPr>
            <w:tcW w:w="4340" w:type="dxa"/>
            <w:vAlign w:val="center"/>
          </w:tcPr>
          <w:p w14:paraId="3A7C64AB">
            <w:pPr>
              <w:spacing w:line="420" w:lineRule="exact"/>
              <w:jc w:val="center"/>
              <w:rPr>
                <w:rFonts w:ascii="宋体" w:hAnsi="宋体" w:cs="宋体"/>
                <w:sz w:val="22"/>
                <w:szCs w:val="22"/>
                <w:highlight w:val="none"/>
              </w:rPr>
            </w:pPr>
          </w:p>
        </w:tc>
        <w:tc>
          <w:tcPr>
            <w:tcW w:w="4340" w:type="dxa"/>
            <w:vAlign w:val="center"/>
          </w:tcPr>
          <w:p w14:paraId="4E99E7FF">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1C70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0386995B">
            <w:pPr>
              <w:spacing w:line="420" w:lineRule="exact"/>
              <w:jc w:val="center"/>
              <w:rPr>
                <w:rFonts w:ascii="宋体" w:hAnsi="宋体" w:cs="宋体"/>
                <w:sz w:val="22"/>
                <w:szCs w:val="22"/>
                <w:highlight w:val="none"/>
              </w:rPr>
            </w:pPr>
          </w:p>
        </w:tc>
        <w:tc>
          <w:tcPr>
            <w:tcW w:w="4340" w:type="dxa"/>
            <w:vAlign w:val="center"/>
          </w:tcPr>
          <w:p w14:paraId="75C9AC10">
            <w:pPr>
              <w:spacing w:line="420" w:lineRule="exact"/>
              <w:jc w:val="center"/>
              <w:rPr>
                <w:rFonts w:ascii="宋体" w:hAnsi="宋体" w:cs="宋体"/>
                <w:sz w:val="22"/>
                <w:szCs w:val="22"/>
                <w:highlight w:val="none"/>
              </w:rPr>
            </w:pPr>
          </w:p>
        </w:tc>
        <w:tc>
          <w:tcPr>
            <w:tcW w:w="4340" w:type="dxa"/>
            <w:vAlign w:val="center"/>
          </w:tcPr>
          <w:p w14:paraId="4FA6CC57">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509D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007942B6">
            <w:pPr>
              <w:spacing w:line="420" w:lineRule="exact"/>
              <w:jc w:val="center"/>
              <w:rPr>
                <w:rFonts w:ascii="宋体" w:hAnsi="宋体" w:cs="宋体"/>
                <w:sz w:val="22"/>
                <w:szCs w:val="22"/>
                <w:highlight w:val="none"/>
              </w:rPr>
            </w:pPr>
          </w:p>
        </w:tc>
        <w:tc>
          <w:tcPr>
            <w:tcW w:w="4340" w:type="dxa"/>
            <w:vAlign w:val="center"/>
          </w:tcPr>
          <w:p w14:paraId="6F860F84">
            <w:pPr>
              <w:spacing w:line="420" w:lineRule="exact"/>
              <w:jc w:val="center"/>
              <w:rPr>
                <w:rFonts w:ascii="宋体" w:hAnsi="宋体" w:cs="宋体"/>
                <w:sz w:val="22"/>
                <w:szCs w:val="22"/>
                <w:highlight w:val="none"/>
              </w:rPr>
            </w:pPr>
          </w:p>
        </w:tc>
        <w:tc>
          <w:tcPr>
            <w:tcW w:w="4340" w:type="dxa"/>
            <w:vAlign w:val="center"/>
          </w:tcPr>
          <w:p w14:paraId="2F9D1111">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4E26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10FD1392">
            <w:pPr>
              <w:spacing w:line="420" w:lineRule="exact"/>
              <w:jc w:val="center"/>
              <w:rPr>
                <w:rFonts w:ascii="宋体" w:hAnsi="宋体" w:cs="宋体"/>
                <w:sz w:val="22"/>
                <w:szCs w:val="22"/>
                <w:highlight w:val="none"/>
              </w:rPr>
            </w:pPr>
          </w:p>
        </w:tc>
        <w:tc>
          <w:tcPr>
            <w:tcW w:w="4340" w:type="dxa"/>
            <w:vAlign w:val="center"/>
          </w:tcPr>
          <w:p w14:paraId="6189A5CD">
            <w:pPr>
              <w:spacing w:line="420" w:lineRule="exact"/>
              <w:jc w:val="center"/>
              <w:rPr>
                <w:rFonts w:ascii="宋体" w:hAnsi="宋体" w:cs="宋体"/>
                <w:sz w:val="22"/>
                <w:szCs w:val="22"/>
                <w:highlight w:val="none"/>
              </w:rPr>
            </w:pPr>
          </w:p>
        </w:tc>
        <w:tc>
          <w:tcPr>
            <w:tcW w:w="4340" w:type="dxa"/>
            <w:vAlign w:val="center"/>
          </w:tcPr>
          <w:p w14:paraId="08C11432">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0547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073A6876">
            <w:pPr>
              <w:spacing w:line="420" w:lineRule="exact"/>
              <w:jc w:val="center"/>
              <w:rPr>
                <w:rFonts w:ascii="宋体" w:hAnsi="宋体" w:cs="宋体"/>
                <w:sz w:val="22"/>
                <w:szCs w:val="22"/>
                <w:highlight w:val="none"/>
              </w:rPr>
            </w:pPr>
          </w:p>
        </w:tc>
        <w:tc>
          <w:tcPr>
            <w:tcW w:w="4340" w:type="dxa"/>
            <w:vAlign w:val="center"/>
          </w:tcPr>
          <w:p w14:paraId="3BFB2C2D">
            <w:pPr>
              <w:spacing w:line="420" w:lineRule="exact"/>
              <w:jc w:val="center"/>
              <w:rPr>
                <w:rFonts w:ascii="宋体" w:hAnsi="宋体" w:cs="宋体"/>
                <w:sz w:val="22"/>
                <w:szCs w:val="22"/>
                <w:highlight w:val="none"/>
              </w:rPr>
            </w:pPr>
          </w:p>
        </w:tc>
        <w:tc>
          <w:tcPr>
            <w:tcW w:w="4340" w:type="dxa"/>
            <w:vAlign w:val="center"/>
          </w:tcPr>
          <w:p w14:paraId="23AC7CD7">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r w14:paraId="3105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8" w:type="dxa"/>
            <w:vAlign w:val="center"/>
          </w:tcPr>
          <w:p w14:paraId="5ABAA871">
            <w:pPr>
              <w:spacing w:line="420" w:lineRule="exact"/>
              <w:jc w:val="center"/>
              <w:rPr>
                <w:rFonts w:ascii="宋体" w:hAnsi="宋体" w:cs="宋体"/>
                <w:sz w:val="22"/>
                <w:szCs w:val="22"/>
                <w:highlight w:val="none"/>
              </w:rPr>
            </w:pPr>
          </w:p>
        </w:tc>
        <w:tc>
          <w:tcPr>
            <w:tcW w:w="4340" w:type="dxa"/>
            <w:vAlign w:val="center"/>
          </w:tcPr>
          <w:p w14:paraId="4EDA6E2C">
            <w:pPr>
              <w:spacing w:line="420" w:lineRule="exact"/>
              <w:jc w:val="center"/>
              <w:rPr>
                <w:rFonts w:ascii="宋体" w:hAnsi="宋体" w:cs="宋体"/>
                <w:sz w:val="22"/>
                <w:szCs w:val="22"/>
                <w:highlight w:val="none"/>
              </w:rPr>
            </w:pPr>
          </w:p>
        </w:tc>
        <w:tc>
          <w:tcPr>
            <w:tcW w:w="4340" w:type="dxa"/>
            <w:vAlign w:val="center"/>
          </w:tcPr>
          <w:p w14:paraId="38424010">
            <w:pPr>
              <w:jc w:val="center"/>
              <w:rPr>
                <w:rFonts w:ascii="宋体" w:hAnsi="宋体"/>
                <w:highlight w:val="none"/>
              </w:rPr>
            </w:pPr>
            <w:r>
              <w:rPr>
                <w:rFonts w:hint="eastAsia" w:ascii="宋体" w:hAnsi="宋体" w:cs="宋体"/>
                <w:sz w:val="22"/>
                <w:szCs w:val="22"/>
                <w:highlight w:val="none"/>
              </w:rPr>
              <w:t>见第</w:t>
            </w:r>
            <w:r>
              <w:rPr>
                <w:rFonts w:ascii="宋体" w:hAnsi="宋体" w:cs="宋体"/>
                <w:sz w:val="22"/>
                <w:szCs w:val="22"/>
                <w:highlight w:val="none"/>
              </w:rPr>
              <w:t xml:space="preserve">   </w:t>
            </w:r>
            <w:r>
              <w:rPr>
                <w:rFonts w:hint="eastAsia" w:ascii="宋体" w:hAnsi="宋体" w:cs="宋体"/>
                <w:sz w:val="22"/>
                <w:szCs w:val="22"/>
                <w:highlight w:val="none"/>
              </w:rPr>
              <w:t>页</w:t>
            </w:r>
          </w:p>
        </w:tc>
      </w:tr>
    </w:tbl>
    <w:p w14:paraId="26A7AC7F">
      <w:pPr>
        <w:spacing w:line="420" w:lineRule="exact"/>
        <w:ind w:firstLine="330" w:firstLineChars="150"/>
        <w:rPr>
          <w:rFonts w:ascii="宋体" w:hAnsi="宋体" w:cs="宋体"/>
          <w:sz w:val="22"/>
          <w:szCs w:val="22"/>
          <w:highlight w:val="none"/>
        </w:rPr>
      </w:pPr>
      <w:r>
        <w:rPr>
          <w:rFonts w:hint="eastAsia" w:ascii="宋体" w:hAnsi="宋体" w:cs="宋体"/>
          <w:sz w:val="22"/>
          <w:szCs w:val="22"/>
          <w:highlight w:val="none"/>
        </w:rPr>
        <w:t>说明：</w:t>
      </w:r>
    </w:p>
    <w:p w14:paraId="298F1EF5">
      <w:pPr>
        <w:pStyle w:val="221"/>
        <w:numPr>
          <w:ilvl w:val="0"/>
          <w:numId w:val="21"/>
        </w:numPr>
        <w:spacing w:line="420" w:lineRule="exact"/>
        <w:ind w:firstLineChars="0"/>
        <w:rPr>
          <w:rFonts w:ascii="宋体" w:hAnsi="宋体" w:cs="宋体"/>
          <w:sz w:val="22"/>
          <w:szCs w:val="22"/>
          <w:highlight w:val="none"/>
        </w:rPr>
      </w:pPr>
      <w:r>
        <w:rPr>
          <w:rFonts w:hint="eastAsia" w:ascii="宋体" w:hAnsi="宋体" w:cs="宋体"/>
          <w:sz w:val="22"/>
          <w:szCs w:val="22"/>
          <w:highlight w:val="none"/>
        </w:rPr>
        <w:t>建议此表放在商务技术文件封面后第一页，方便评委打分。</w:t>
      </w:r>
    </w:p>
    <w:p w14:paraId="7EB3B4AD">
      <w:pPr>
        <w:pStyle w:val="221"/>
        <w:numPr>
          <w:ilvl w:val="0"/>
          <w:numId w:val="21"/>
        </w:numPr>
        <w:spacing w:line="420" w:lineRule="exact"/>
        <w:ind w:firstLineChars="0"/>
        <w:rPr>
          <w:rFonts w:ascii="宋体" w:hAnsi="宋体" w:cs="宋体"/>
          <w:sz w:val="22"/>
          <w:szCs w:val="22"/>
          <w:highlight w:val="none"/>
        </w:rPr>
      </w:pPr>
      <w:r>
        <w:rPr>
          <w:rFonts w:hint="eastAsia" w:ascii="宋体" w:hAnsi="宋体" w:cs="宋体"/>
          <w:sz w:val="22"/>
          <w:szCs w:val="22"/>
          <w:highlight w:val="none"/>
        </w:rPr>
        <w:t>格式可自拟。</w:t>
      </w:r>
    </w:p>
    <w:p w14:paraId="1B8E1A49">
      <w:pPr>
        <w:adjustRightInd w:val="0"/>
        <w:snapToGrid w:val="0"/>
        <w:spacing w:line="460" w:lineRule="atLeast"/>
        <w:ind w:left="401" w:hanging="401" w:hangingChars="100"/>
        <w:rPr>
          <w:rFonts w:ascii="宋体" w:hAnsi="宋体"/>
          <w:b/>
          <w:spacing w:val="20"/>
          <w:sz w:val="36"/>
          <w:szCs w:val="36"/>
          <w:highlight w:val="none"/>
        </w:rPr>
      </w:pPr>
    </w:p>
    <w:p w14:paraId="25CA3A97">
      <w:pPr>
        <w:spacing w:line="360" w:lineRule="auto"/>
        <w:rPr>
          <w:rFonts w:ascii="宋体" w:hAnsi="宋体" w:cs="Courier New"/>
          <w:bCs/>
          <w:sz w:val="22"/>
          <w:szCs w:val="22"/>
          <w:highlight w:val="none"/>
        </w:rPr>
      </w:pPr>
    </w:p>
    <w:p w14:paraId="22DA0987">
      <w:pPr>
        <w:adjustRightInd w:val="0"/>
        <w:snapToGrid w:val="0"/>
        <w:spacing w:line="460" w:lineRule="atLeast"/>
        <w:rPr>
          <w:rFonts w:ascii="宋体" w:hAnsi="宋体"/>
          <w:b/>
          <w:bCs/>
          <w:szCs w:val="21"/>
          <w:highlight w:val="none"/>
        </w:rPr>
      </w:pPr>
    </w:p>
    <w:p w14:paraId="4041BBE3">
      <w:pPr>
        <w:widowControl/>
        <w:jc w:val="left"/>
        <w:rPr>
          <w:rFonts w:ascii="宋体" w:hAnsi="宋体"/>
          <w:b/>
          <w:bCs/>
          <w:sz w:val="30"/>
          <w:szCs w:val="30"/>
          <w:highlight w:val="none"/>
        </w:rPr>
      </w:pPr>
      <w:r>
        <w:rPr>
          <w:rFonts w:ascii="宋体" w:hAnsi="宋体"/>
          <w:b/>
          <w:bCs/>
          <w:sz w:val="30"/>
          <w:szCs w:val="30"/>
          <w:highlight w:val="none"/>
        </w:rPr>
        <w:br w:type="page"/>
      </w:r>
    </w:p>
    <w:p w14:paraId="3AF4354D">
      <w:pPr>
        <w:spacing w:line="460" w:lineRule="exact"/>
        <w:jc w:val="center"/>
        <w:rPr>
          <w:rFonts w:ascii="宋体" w:hAnsi="宋体"/>
          <w:b/>
          <w:bCs/>
          <w:sz w:val="30"/>
          <w:szCs w:val="30"/>
          <w:highlight w:val="none"/>
        </w:rPr>
      </w:pPr>
      <w:r>
        <w:rPr>
          <w:rFonts w:hint="eastAsia" w:ascii="宋体" w:hAnsi="宋体"/>
          <w:b/>
          <w:bCs/>
          <w:sz w:val="30"/>
          <w:szCs w:val="30"/>
          <w:highlight w:val="none"/>
        </w:rPr>
        <w:t xml:space="preserve">一、投 </w:t>
      </w:r>
      <w:r>
        <w:rPr>
          <w:rFonts w:ascii="宋体" w:hAnsi="宋体"/>
          <w:b/>
          <w:bCs/>
          <w:sz w:val="30"/>
          <w:szCs w:val="30"/>
          <w:highlight w:val="none"/>
        </w:rPr>
        <w:t xml:space="preserve"> </w:t>
      </w:r>
      <w:r>
        <w:rPr>
          <w:rFonts w:hint="eastAsia" w:ascii="宋体" w:hAnsi="宋体"/>
          <w:b/>
          <w:bCs/>
          <w:sz w:val="30"/>
          <w:szCs w:val="30"/>
          <w:highlight w:val="none"/>
        </w:rPr>
        <w:t xml:space="preserve">标 </w:t>
      </w:r>
      <w:r>
        <w:rPr>
          <w:rFonts w:ascii="宋体" w:hAnsi="宋体"/>
          <w:b/>
          <w:bCs/>
          <w:sz w:val="30"/>
          <w:szCs w:val="30"/>
          <w:highlight w:val="none"/>
        </w:rPr>
        <w:t xml:space="preserve"> </w:t>
      </w:r>
      <w:r>
        <w:rPr>
          <w:rFonts w:hint="eastAsia" w:ascii="宋体" w:hAnsi="宋体"/>
          <w:b/>
          <w:bCs/>
          <w:sz w:val="30"/>
          <w:szCs w:val="30"/>
          <w:highlight w:val="none"/>
        </w:rPr>
        <w:t>函</w:t>
      </w:r>
    </w:p>
    <w:p w14:paraId="371C2CF0">
      <w:pPr>
        <w:pStyle w:val="17"/>
        <w:spacing w:line="360" w:lineRule="auto"/>
        <w:rPr>
          <w:rFonts w:ascii="宋体" w:hAnsi="宋体" w:eastAsia="宋体" w:cs="Courier New"/>
          <w:sz w:val="22"/>
          <w:szCs w:val="22"/>
          <w:highlight w:val="none"/>
        </w:rPr>
      </w:pPr>
    </w:p>
    <w:p w14:paraId="63D9DB2C">
      <w:pPr>
        <w:pStyle w:val="17"/>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温州市瓯海区瓯发房屋租赁有限公司</w:t>
      </w:r>
      <w:r>
        <w:rPr>
          <w:rFonts w:hint="eastAsia" w:ascii="宋体" w:hAnsi="宋体" w:eastAsia="宋体" w:cs="Courier New"/>
          <w:sz w:val="22"/>
          <w:szCs w:val="22"/>
          <w:highlight w:val="none"/>
        </w:rPr>
        <w:t>：</w:t>
      </w:r>
    </w:p>
    <w:p w14:paraId="2179B684">
      <w:pPr>
        <w:pStyle w:val="17"/>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浙江立创项目管理有限公司</w:t>
      </w:r>
      <w:r>
        <w:rPr>
          <w:rFonts w:hint="eastAsia" w:ascii="宋体" w:hAnsi="宋体" w:eastAsia="宋体" w:cs="Courier New"/>
          <w:sz w:val="22"/>
          <w:szCs w:val="22"/>
          <w:highlight w:val="none"/>
        </w:rPr>
        <w:t>：</w:t>
      </w:r>
    </w:p>
    <w:p w14:paraId="1186BCBF">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根据贵方为</w:t>
      </w:r>
      <w:r>
        <w:rPr>
          <w:rFonts w:hint="eastAsia" w:ascii="宋体" w:hAnsi="宋体" w:cs="Courier New"/>
          <w:sz w:val="22"/>
          <w:szCs w:val="22"/>
          <w:highlight w:val="none"/>
          <w:u w:val="single"/>
        </w:rPr>
        <w:t xml:space="preserve">             </w:t>
      </w:r>
      <w:r>
        <w:rPr>
          <w:rFonts w:hint="eastAsia" w:ascii="宋体" w:hAnsi="宋体" w:cs="Courier New"/>
          <w:sz w:val="22"/>
          <w:szCs w:val="22"/>
          <w:highlight w:val="none"/>
        </w:rPr>
        <w:t>项目（项目编号：</w:t>
      </w:r>
      <w:r>
        <w:rPr>
          <w:rFonts w:hint="eastAsia" w:ascii="宋体" w:hAnsi="宋体" w:cs="Courier New"/>
          <w:b/>
          <w:sz w:val="22"/>
          <w:szCs w:val="22"/>
          <w:highlight w:val="none"/>
          <w:u w:val="single"/>
        </w:rPr>
        <w:t xml:space="preserve">           </w:t>
      </w:r>
      <w:r>
        <w:rPr>
          <w:rFonts w:hint="eastAsia" w:ascii="宋体" w:hAnsi="宋体" w:cs="Courier New"/>
          <w:sz w:val="22"/>
          <w:szCs w:val="22"/>
          <w:highlight w:val="none"/>
        </w:rPr>
        <w:t>）的投标邀请，我方</w:t>
      </w:r>
      <w:r>
        <w:rPr>
          <w:rFonts w:hint="eastAsia" w:ascii="宋体" w:hAnsi="宋体" w:cs="Courier New"/>
          <w:sz w:val="22"/>
          <w:szCs w:val="22"/>
          <w:highlight w:val="none"/>
          <w:u w:val="single"/>
        </w:rPr>
        <w:t xml:space="preserve">           　　</w:t>
      </w:r>
      <w:r>
        <w:rPr>
          <w:rFonts w:hint="eastAsia" w:ascii="宋体" w:hAnsi="宋体" w:cs="Courier New"/>
          <w:sz w:val="22"/>
          <w:szCs w:val="22"/>
          <w:highlight w:val="none"/>
        </w:rPr>
        <w:t>（投标人名称）作为投标人正式授权</w:t>
      </w:r>
      <w:r>
        <w:rPr>
          <w:rFonts w:hint="eastAsia" w:ascii="宋体" w:hAnsi="宋体" w:cs="Courier New"/>
          <w:sz w:val="22"/>
          <w:szCs w:val="22"/>
          <w:highlight w:val="none"/>
          <w:u w:val="single"/>
        </w:rPr>
        <w:t xml:space="preserve">　           </w:t>
      </w:r>
      <w:r>
        <w:rPr>
          <w:rFonts w:hint="eastAsia" w:ascii="宋体" w:hAnsi="宋体" w:cs="Courier New"/>
          <w:sz w:val="22"/>
          <w:szCs w:val="22"/>
          <w:highlight w:val="none"/>
        </w:rPr>
        <w:t>（授权代表全名，职务）代表我方处理有关本投标的一切事宜。</w:t>
      </w:r>
    </w:p>
    <w:p w14:paraId="1E1BAAB0">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我方己完全明白招标文件的所有条款要求，并重申以下几点：</w:t>
      </w:r>
    </w:p>
    <w:p w14:paraId="0614E4D2">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本投标文件的有效期自投标文件递交截止时间起90天内有效，如成交，有效期将延至合同终止日为止。</w:t>
      </w:r>
    </w:p>
    <w:p w14:paraId="247B2D3F">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根据政府采购法第二十二条规定，我方满足以下条件：</w:t>
      </w:r>
    </w:p>
    <w:p w14:paraId="754DCFE1">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具有独立承担民事责任的能力； </w:t>
      </w:r>
    </w:p>
    <w:p w14:paraId="672FBF59">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具有良好的商业信誉和健全的财务会计制度； </w:t>
      </w:r>
    </w:p>
    <w:p w14:paraId="1423E88B">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具有履行合同所必需的设备和专业技术能力； </w:t>
      </w:r>
    </w:p>
    <w:p w14:paraId="1FEA43BB">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有依法缴纳税收和社会保障资金的良好记录； </w:t>
      </w:r>
    </w:p>
    <w:p w14:paraId="40C80EF7">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 xml:space="preserve">参加政府采购活动前三年内，在经营活动中没有重大违法记录； </w:t>
      </w:r>
    </w:p>
    <w:p w14:paraId="7D4935BA">
      <w:pPr>
        <w:numPr>
          <w:ilvl w:val="0"/>
          <w:numId w:val="23"/>
        </w:numPr>
        <w:spacing w:line="360" w:lineRule="auto"/>
        <w:rPr>
          <w:rFonts w:ascii="宋体" w:hAnsi="宋体" w:cs="Courier New"/>
          <w:sz w:val="22"/>
          <w:szCs w:val="22"/>
          <w:highlight w:val="none"/>
        </w:rPr>
      </w:pPr>
      <w:r>
        <w:rPr>
          <w:rFonts w:hint="eastAsia" w:ascii="宋体" w:hAnsi="宋体" w:cs="Courier New"/>
          <w:sz w:val="22"/>
          <w:szCs w:val="22"/>
          <w:highlight w:val="none"/>
        </w:rPr>
        <w:t>法律、行政法规规定的其他条件。</w:t>
      </w:r>
    </w:p>
    <w:p w14:paraId="61EDEC56">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提供编制和提交投标文件须知规定的全部投标文件，包括资格文件、报价文件和商务技术文件。</w:t>
      </w:r>
    </w:p>
    <w:p w14:paraId="6F6487BA">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参加本次采购活动，不存在招标文件第一部分投标人须知28.4款 “投标人串通投标”中任意情形之一，也不存在招标文件第一部分投标人须知28</w:t>
      </w:r>
      <w:r>
        <w:rPr>
          <w:rFonts w:ascii="宋体" w:hAnsi="宋体" w:cs="Courier New"/>
          <w:sz w:val="22"/>
          <w:szCs w:val="22"/>
          <w:highlight w:val="none"/>
        </w:rPr>
        <w:t>.5</w:t>
      </w:r>
      <w:r>
        <w:rPr>
          <w:rFonts w:hint="eastAsia" w:ascii="宋体" w:hAnsi="宋体" w:cs="Courier New"/>
          <w:sz w:val="22"/>
          <w:szCs w:val="22"/>
          <w:highlight w:val="none"/>
        </w:rPr>
        <w:t>款 “不同投标人之间存在以下利害关系并且存在影响政府采购公平竞争行为”中的任意情形之一。</w:t>
      </w:r>
    </w:p>
    <w:p w14:paraId="44C39EC2">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我公司未参与本采购项目的整体设计、规范编制或者项目管理、监理、检测等服务。</w:t>
      </w:r>
    </w:p>
    <w:p w14:paraId="48E8E3C0">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我方已详细研究了招标文件的所有内容包括修改书（如有）和所有已提供的参考资料以及有关附件，我方完全理解并同意放弃在此方面提出含糊意见或误解的一切权力。</w:t>
      </w:r>
    </w:p>
    <w:p w14:paraId="49B89F7C">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我方提交的投标文件各组成部分的全部内容及资料是不可割离且真实、有效、准确、完整和不具有任何误导性的，否则产生不利后果由我方承担责任。</w:t>
      </w:r>
    </w:p>
    <w:p w14:paraId="743CF3B7">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我方同意提供按照贵方可能要求的与投标有关的一切数据或资料；若贵方需要，我方愿意提供我方作出的一切承诺的证明材料。</w:t>
      </w:r>
    </w:p>
    <w:p w14:paraId="0FBDD6AC">
      <w:pPr>
        <w:numPr>
          <w:ilvl w:val="0"/>
          <w:numId w:val="22"/>
        </w:numPr>
        <w:spacing w:line="360" w:lineRule="auto"/>
        <w:rPr>
          <w:rFonts w:ascii="宋体" w:hAnsi="宋体" w:cs="Courier New"/>
          <w:sz w:val="22"/>
          <w:szCs w:val="22"/>
          <w:highlight w:val="none"/>
        </w:rPr>
      </w:pPr>
      <w:r>
        <w:rPr>
          <w:rFonts w:ascii="宋体" w:hAnsi="宋体" w:cs="Courier New"/>
          <w:sz w:val="22"/>
          <w:szCs w:val="22"/>
          <w:highlight w:val="none"/>
        </w:rPr>
        <w:t>若成交后，将按照规定及时与采购人签订采购合同，不与采购人订立有悖于采购结果的合同或协议；严格按照招标文件和</w:t>
      </w:r>
      <w:r>
        <w:rPr>
          <w:rFonts w:hint="eastAsia" w:ascii="宋体" w:hAnsi="宋体" w:cs="Courier New"/>
          <w:sz w:val="22"/>
          <w:szCs w:val="22"/>
          <w:highlight w:val="none"/>
        </w:rPr>
        <w:t>投标</w:t>
      </w:r>
      <w:r>
        <w:rPr>
          <w:rFonts w:ascii="宋体" w:hAnsi="宋体" w:cs="Courier New"/>
          <w:sz w:val="22"/>
          <w:szCs w:val="22"/>
          <w:highlight w:val="none"/>
        </w:rPr>
        <w:t>文件的规定履行采购合同，不降低合同约定的产品质量及相关服务，不擅自变更、中止、终止合同，或者拒绝履行合同义务。</w:t>
      </w:r>
    </w:p>
    <w:p w14:paraId="7C274AA8">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如有下列情形之一的，我方愿意被取消中标资格（如中标），并可向我方收取</w:t>
      </w:r>
      <w:r>
        <w:rPr>
          <w:rFonts w:hint="eastAsia" w:ascii="宋体" w:hAnsi="宋体" w:cs="楷体"/>
          <w:kern w:val="0"/>
          <w:sz w:val="22"/>
          <w:szCs w:val="22"/>
          <w:highlight w:val="none"/>
        </w:rPr>
        <w:t>赔偿损失金</w:t>
      </w:r>
      <w:r>
        <w:rPr>
          <w:rFonts w:hint="eastAsia" w:ascii="宋体" w:hAnsi="宋体" w:cs="Courier New"/>
          <w:sz w:val="22"/>
          <w:szCs w:val="22"/>
          <w:highlight w:val="none"/>
        </w:rPr>
        <w:t>，同时继续承担其他一切法律后果，并不再寻求任何旨在减轻或免除法律责任的解释：</w:t>
      </w:r>
    </w:p>
    <w:p w14:paraId="2B592A01">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(1)提供虚假材料（承诺）谋取中标、成交的；</w:t>
      </w:r>
    </w:p>
    <w:p w14:paraId="1A60814B">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(2)采取不正当手段诋毁、排挤其他投标人的；</w:t>
      </w:r>
    </w:p>
    <w:p w14:paraId="1ECC2733">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(3)与采购人、其它供应商或者采购代理机构恶意串通的；</w:t>
      </w:r>
    </w:p>
    <w:p w14:paraId="315DD350">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(4)向采购人、采购代理机构行贿或者提供其他不正当利益的；</w:t>
      </w:r>
    </w:p>
    <w:p w14:paraId="60B07817">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(5)在招标采购过程中与采购人进行协商谈判的；</w:t>
      </w:r>
    </w:p>
    <w:p w14:paraId="31C270C9">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6</w:t>
      </w:r>
      <w:r>
        <w:rPr>
          <w:rFonts w:hint="eastAsia" w:ascii="宋体" w:hAnsi="宋体" w:cs="Courier New"/>
          <w:sz w:val="22"/>
          <w:szCs w:val="22"/>
          <w:highlight w:val="none"/>
        </w:rPr>
        <w:t>)在招标文件规定的投标有效期内撤回投标；</w:t>
      </w:r>
    </w:p>
    <w:p w14:paraId="40BFF3A5">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7</w:t>
      </w:r>
      <w:r>
        <w:rPr>
          <w:rFonts w:hint="eastAsia" w:ascii="宋体" w:hAnsi="宋体" w:cs="Courier New"/>
          <w:sz w:val="22"/>
          <w:szCs w:val="22"/>
          <w:highlight w:val="none"/>
        </w:rPr>
        <w:t>)未按中标通知书中规定的时间与采购人签订合同；</w:t>
      </w:r>
    </w:p>
    <w:p w14:paraId="34D801C7">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8</w:t>
      </w:r>
      <w:r>
        <w:rPr>
          <w:rFonts w:hint="eastAsia" w:ascii="宋体" w:hAnsi="宋体" w:cs="Courier New"/>
          <w:sz w:val="22"/>
          <w:szCs w:val="22"/>
          <w:highlight w:val="none"/>
        </w:rPr>
        <w:t>)拒绝有关部门监督检查或提供虚假情况的。</w:t>
      </w:r>
    </w:p>
    <w:p w14:paraId="2ACEA3F5">
      <w:pPr>
        <w:spacing w:line="360" w:lineRule="auto"/>
        <w:ind w:left="1079"/>
        <w:rPr>
          <w:rFonts w:ascii="宋体" w:hAnsi="宋体" w:cs="Courier New"/>
          <w:sz w:val="22"/>
          <w:szCs w:val="22"/>
          <w:highlight w:val="none"/>
        </w:rPr>
      </w:pPr>
    </w:p>
    <w:p w14:paraId="0A103334">
      <w:pPr>
        <w:spacing w:line="360" w:lineRule="auto"/>
        <w:ind w:left="1079"/>
        <w:rPr>
          <w:rFonts w:ascii="宋体" w:hAnsi="宋体" w:cs="Courier New"/>
          <w:sz w:val="22"/>
          <w:szCs w:val="22"/>
          <w:highlight w:val="none"/>
        </w:rPr>
      </w:pPr>
    </w:p>
    <w:p w14:paraId="2F751AF5">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投标人全称（盖章）</w:t>
      </w:r>
      <w:r>
        <w:rPr>
          <w:rFonts w:hint="eastAsia" w:ascii="宋体" w:hAnsi="宋体" w:cs="Courier New"/>
          <w:sz w:val="22"/>
          <w:szCs w:val="22"/>
          <w:highlight w:val="none"/>
          <w:u w:val="single"/>
        </w:rPr>
        <w:t xml:space="preserve">                   </w:t>
      </w:r>
    </w:p>
    <w:p w14:paraId="6174845B">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单位负责人或授权代表（签字或盖章）：</w:t>
      </w:r>
      <w:r>
        <w:rPr>
          <w:rFonts w:hint="eastAsia" w:ascii="宋体" w:hAnsi="宋体" w:cs="Courier New"/>
          <w:sz w:val="22"/>
          <w:szCs w:val="22"/>
          <w:highlight w:val="none"/>
          <w:u w:val="single"/>
        </w:rPr>
        <w:t xml:space="preserve">         </w:t>
      </w:r>
    </w:p>
    <w:p w14:paraId="6E4C4D5F">
      <w:pPr>
        <w:spacing w:line="360" w:lineRule="auto"/>
        <w:ind w:firstLine="435"/>
        <w:rPr>
          <w:rFonts w:ascii="宋体" w:hAnsi="宋体" w:cs="Courier New"/>
          <w:bCs/>
          <w:sz w:val="22"/>
          <w:szCs w:val="22"/>
          <w:highlight w:val="none"/>
        </w:rPr>
      </w:pPr>
      <w:r>
        <w:rPr>
          <w:rFonts w:hint="eastAsia" w:ascii="宋体" w:hAnsi="宋体" w:cs="Courier New"/>
          <w:sz w:val="22"/>
          <w:szCs w:val="22"/>
          <w:highlight w:val="none"/>
        </w:rPr>
        <w:t xml:space="preserve">       </w:t>
      </w:r>
      <w:r>
        <w:rPr>
          <w:rFonts w:ascii="宋体" w:hAnsi="宋体" w:cs="Courier New"/>
          <w:sz w:val="22"/>
          <w:szCs w:val="22"/>
          <w:highlight w:val="none"/>
        </w:rPr>
        <w:t xml:space="preserve">                            </w:t>
      </w:r>
      <w:r>
        <w:rPr>
          <w:rFonts w:hint="eastAsia" w:ascii="宋体" w:hAnsi="宋体" w:cs="Courier New"/>
          <w:bCs/>
          <w:sz w:val="22"/>
          <w:szCs w:val="22"/>
          <w:highlight w:val="none"/>
        </w:rPr>
        <w:t>日          期：  年  月  日</w:t>
      </w:r>
    </w:p>
    <w:p w14:paraId="7F5C29B1">
      <w:pPr>
        <w:pStyle w:val="17"/>
        <w:snapToGrid w:val="0"/>
        <w:spacing w:line="360" w:lineRule="auto"/>
        <w:ind w:firstLine="3520" w:firstLineChars="1600"/>
        <w:rPr>
          <w:rFonts w:ascii="宋体" w:hAnsi="宋体" w:eastAsia="宋体" w:cs="Courier New"/>
          <w:sz w:val="22"/>
          <w:szCs w:val="22"/>
          <w:highlight w:val="none"/>
        </w:rPr>
      </w:pPr>
    </w:p>
    <w:p w14:paraId="6FDEC8E3">
      <w:pPr>
        <w:spacing w:line="400" w:lineRule="exact"/>
        <w:ind w:firstLine="331" w:firstLineChars="150"/>
        <w:rPr>
          <w:rFonts w:ascii="宋体" w:hAnsi="宋体"/>
          <w:b/>
          <w:sz w:val="22"/>
          <w:szCs w:val="22"/>
          <w:highlight w:val="none"/>
          <w:u w:val="single"/>
        </w:rPr>
      </w:pPr>
      <w:r>
        <w:rPr>
          <w:rFonts w:hint="eastAsia" w:ascii="宋体" w:hAnsi="宋体"/>
          <w:b/>
          <w:sz w:val="22"/>
          <w:szCs w:val="22"/>
          <w:highlight w:val="none"/>
          <w:u w:val="single"/>
        </w:rPr>
        <w:t>※不提供此函的投标文件将被视为未实质性响应招标文件，其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478928BD">
      <w:pPr>
        <w:spacing w:line="360" w:lineRule="auto"/>
        <w:ind w:firstLine="435"/>
        <w:rPr>
          <w:rFonts w:ascii="宋体" w:hAnsi="宋体"/>
          <w:sz w:val="22"/>
          <w:szCs w:val="22"/>
          <w:highlight w:val="none"/>
        </w:rPr>
      </w:pPr>
    </w:p>
    <w:p w14:paraId="6FCC2B54">
      <w:pPr>
        <w:spacing w:line="360" w:lineRule="auto"/>
        <w:ind w:firstLine="435"/>
        <w:rPr>
          <w:rFonts w:ascii="宋体" w:hAnsi="宋体" w:cs="Courier New"/>
          <w:b/>
          <w:sz w:val="22"/>
          <w:szCs w:val="22"/>
          <w:highlight w:val="none"/>
          <w:u w:val="single"/>
        </w:rPr>
      </w:pPr>
    </w:p>
    <w:p w14:paraId="19B04300">
      <w:pPr>
        <w:spacing w:line="360" w:lineRule="auto"/>
        <w:ind w:firstLine="435"/>
        <w:rPr>
          <w:rFonts w:ascii="宋体" w:hAnsi="宋体"/>
          <w:sz w:val="24"/>
          <w:highlight w:val="none"/>
          <w:u w:val="single"/>
        </w:rPr>
      </w:pPr>
    </w:p>
    <w:p w14:paraId="69235256">
      <w:pPr>
        <w:spacing w:line="360" w:lineRule="auto"/>
        <w:jc w:val="center"/>
        <w:rPr>
          <w:rFonts w:ascii="宋体" w:hAnsi="宋体"/>
          <w:b/>
          <w:bCs/>
          <w:szCs w:val="21"/>
          <w:highlight w:val="none"/>
        </w:rPr>
      </w:pPr>
      <w:r>
        <w:rPr>
          <w:rFonts w:ascii="宋体" w:hAnsi="宋体"/>
          <w:b/>
          <w:bCs/>
          <w:szCs w:val="21"/>
          <w:highlight w:val="none"/>
        </w:rPr>
        <w:br w:type="page"/>
      </w:r>
    </w:p>
    <w:p w14:paraId="19E02F28">
      <w:pPr>
        <w:tabs>
          <w:tab w:val="left" w:pos="420"/>
          <w:tab w:val="left" w:pos="1260"/>
        </w:tabs>
        <w:spacing w:line="360" w:lineRule="auto"/>
        <w:jc w:val="center"/>
        <w:rPr>
          <w:rFonts w:ascii="宋体" w:hAnsi="宋体"/>
          <w:b/>
          <w:bCs/>
          <w:sz w:val="30"/>
          <w:szCs w:val="30"/>
          <w:highlight w:val="none"/>
        </w:rPr>
      </w:pPr>
      <w:r>
        <w:rPr>
          <w:rFonts w:hint="eastAsia" w:ascii="宋体" w:hAnsi="宋体"/>
          <w:b/>
          <w:bCs/>
          <w:sz w:val="30"/>
          <w:szCs w:val="30"/>
          <w:highlight w:val="none"/>
        </w:rPr>
        <w:t>二、单位负责人授权书</w:t>
      </w:r>
    </w:p>
    <w:p w14:paraId="498F0F60">
      <w:pPr>
        <w:spacing w:line="420" w:lineRule="exact"/>
        <w:rPr>
          <w:rFonts w:ascii="宋体" w:hAnsi="宋体"/>
          <w:sz w:val="22"/>
          <w:szCs w:val="22"/>
          <w:highlight w:val="none"/>
        </w:rPr>
      </w:pPr>
    </w:p>
    <w:p w14:paraId="3691CC0D">
      <w:pPr>
        <w:spacing w:line="420" w:lineRule="exact"/>
        <w:rPr>
          <w:rFonts w:hint="eastAsia" w:ascii="宋体" w:hAnsi="宋体" w:eastAsia="宋体"/>
          <w:sz w:val="22"/>
          <w:szCs w:val="22"/>
          <w:highlight w:val="none"/>
          <w:lang w:eastAsia="zh-CN"/>
        </w:rPr>
      </w:pPr>
      <w:r>
        <w:rPr>
          <w:rFonts w:hint="eastAsia" w:ascii="宋体" w:hAnsi="宋体"/>
          <w:sz w:val="22"/>
          <w:szCs w:val="22"/>
          <w:highlight w:val="none"/>
          <w:lang w:eastAsia="zh-CN"/>
        </w:rPr>
        <w:t>温州市瓯海区瓯发房屋租赁有限公司</w:t>
      </w:r>
    </w:p>
    <w:p w14:paraId="6271DF1D">
      <w:pPr>
        <w:spacing w:line="420" w:lineRule="exact"/>
        <w:rPr>
          <w:rFonts w:ascii="宋体" w:hAnsi="宋体"/>
          <w:sz w:val="22"/>
          <w:szCs w:val="22"/>
          <w:highlight w:val="none"/>
        </w:rPr>
      </w:pPr>
      <w:r>
        <w:rPr>
          <w:rFonts w:hint="eastAsia" w:ascii="宋体" w:hAnsi="宋体"/>
          <w:sz w:val="22"/>
          <w:szCs w:val="22"/>
          <w:highlight w:val="none"/>
          <w:lang w:eastAsia="zh-CN"/>
        </w:rPr>
        <w:t>浙江立创项目管理有限公司</w:t>
      </w:r>
      <w:r>
        <w:rPr>
          <w:rFonts w:hint="eastAsia" w:ascii="宋体" w:hAnsi="宋体"/>
          <w:sz w:val="22"/>
          <w:szCs w:val="22"/>
          <w:highlight w:val="none"/>
        </w:rPr>
        <w:t>：</w:t>
      </w:r>
    </w:p>
    <w:p w14:paraId="7F76ED78">
      <w:pPr>
        <w:spacing w:line="460" w:lineRule="exact"/>
        <w:ind w:firstLine="550" w:firstLineChars="250"/>
        <w:rPr>
          <w:rFonts w:ascii="宋体" w:hAnsi="宋体"/>
          <w:sz w:val="22"/>
          <w:szCs w:val="22"/>
          <w:highlight w:val="none"/>
        </w:rPr>
      </w:pPr>
      <w:r>
        <w:rPr>
          <w:rFonts w:hint="eastAsia" w:ascii="宋体" w:hAnsi="宋体"/>
          <w:sz w:val="22"/>
          <w:szCs w:val="22"/>
          <w:highlight w:val="none"/>
          <w:u w:val="single"/>
        </w:rPr>
        <w:t xml:space="preserve">                   </w:t>
      </w:r>
      <w:r>
        <w:rPr>
          <w:rFonts w:hint="eastAsia" w:ascii="宋体" w:hAnsi="宋体"/>
          <w:sz w:val="22"/>
          <w:szCs w:val="22"/>
          <w:highlight w:val="none"/>
        </w:rPr>
        <w:t>（投标人单位全称）单位负责人</w:t>
      </w:r>
      <w:r>
        <w:rPr>
          <w:rFonts w:hint="eastAsia" w:ascii="宋体" w:hAnsi="宋体"/>
          <w:sz w:val="22"/>
          <w:szCs w:val="22"/>
          <w:highlight w:val="none"/>
          <w:u w:val="single"/>
        </w:rPr>
        <w:t xml:space="preserve">            </w:t>
      </w:r>
      <w:r>
        <w:rPr>
          <w:rFonts w:hint="eastAsia" w:ascii="宋体" w:hAnsi="宋体"/>
          <w:sz w:val="22"/>
          <w:szCs w:val="22"/>
          <w:highlight w:val="none"/>
        </w:rPr>
        <w:t>授权</w:t>
      </w:r>
      <w:r>
        <w:rPr>
          <w:rFonts w:hint="eastAsia" w:ascii="宋体" w:hAnsi="宋体"/>
          <w:sz w:val="22"/>
          <w:szCs w:val="22"/>
          <w:highlight w:val="none"/>
          <w:u w:val="single"/>
        </w:rPr>
        <w:t xml:space="preserve">           </w:t>
      </w:r>
      <w:r>
        <w:rPr>
          <w:rFonts w:hint="eastAsia" w:ascii="宋体" w:hAnsi="宋体"/>
          <w:sz w:val="22"/>
          <w:szCs w:val="22"/>
          <w:highlight w:val="none"/>
        </w:rPr>
        <w:t>（全权代表姓名）为全权代表，参加贵处组织的</w:t>
      </w:r>
      <w:r>
        <w:rPr>
          <w:rFonts w:hint="eastAsia" w:ascii="宋体" w:hAnsi="宋体"/>
          <w:sz w:val="22"/>
          <w:szCs w:val="22"/>
          <w:highlight w:val="none"/>
          <w:u w:val="single"/>
        </w:rPr>
        <w:t xml:space="preserve">                        </w:t>
      </w:r>
      <w:r>
        <w:rPr>
          <w:rFonts w:hint="eastAsia" w:ascii="宋体" w:hAnsi="宋体"/>
          <w:sz w:val="22"/>
          <w:szCs w:val="22"/>
          <w:highlight w:val="none"/>
        </w:rPr>
        <w:t>（采购项目名称、编号）的采购活动，全权代表我方处理采购活动中的一切事宜，</w:t>
      </w:r>
      <w:r>
        <w:rPr>
          <w:rFonts w:ascii="宋体" w:hAnsi="宋体"/>
          <w:sz w:val="22"/>
          <w:szCs w:val="22"/>
          <w:highlight w:val="none"/>
        </w:rPr>
        <w:t>包括但不限于：投标、参加开标、谈判、澄清、签约等。投标人代表在投标过程中所签署的一切文件和处理与之有关的一切事务，我方均予以认可并对此承担责任。</w:t>
      </w:r>
    </w:p>
    <w:p w14:paraId="4A38228F">
      <w:pPr>
        <w:spacing w:line="460" w:lineRule="exact"/>
        <w:ind w:firstLine="550" w:firstLineChars="250"/>
        <w:rPr>
          <w:rFonts w:ascii="宋体" w:hAnsi="宋体"/>
          <w:sz w:val="22"/>
          <w:szCs w:val="22"/>
          <w:highlight w:val="none"/>
        </w:rPr>
      </w:pPr>
    </w:p>
    <w:p w14:paraId="7753C996">
      <w:pPr>
        <w:spacing w:line="460" w:lineRule="exact"/>
        <w:ind w:firstLine="2955"/>
        <w:rPr>
          <w:rFonts w:ascii="宋体" w:hAnsi="宋体"/>
          <w:sz w:val="22"/>
          <w:szCs w:val="22"/>
          <w:highlight w:val="none"/>
        </w:rPr>
      </w:pPr>
    </w:p>
    <w:p w14:paraId="3E875F44">
      <w:pPr>
        <w:spacing w:line="460" w:lineRule="exact"/>
        <w:ind w:firstLine="2955"/>
        <w:rPr>
          <w:rFonts w:ascii="宋体" w:hAnsi="宋体"/>
          <w:sz w:val="22"/>
          <w:szCs w:val="22"/>
          <w:highlight w:val="none"/>
        </w:rPr>
      </w:pPr>
    </w:p>
    <w:p w14:paraId="5E58AE72">
      <w:pPr>
        <w:spacing w:line="460" w:lineRule="exact"/>
        <w:ind w:firstLine="3971" w:firstLineChars="1805"/>
        <w:rPr>
          <w:rFonts w:ascii="宋体" w:hAnsi="宋体"/>
          <w:sz w:val="22"/>
          <w:szCs w:val="22"/>
          <w:highlight w:val="none"/>
        </w:rPr>
      </w:pPr>
      <w:r>
        <w:rPr>
          <w:rFonts w:hint="eastAsia" w:ascii="宋体" w:hAnsi="宋体"/>
          <w:sz w:val="22"/>
          <w:szCs w:val="22"/>
          <w:highlight w:val="none"/>
        </w:rPr>
        <w:t>单位负责人(签字或盖章)：</w:t>
      </w:r>
    </w:p>
    <w:p w14:paraId="3CB7FAA2">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投标人全称（盖章）：</w:t>
      </w:r>
    </w:p>
    <w:p w14:paraId="1865817B">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日期：       年     月    日</w:t>
      </w:r>
    </w:p>
    <w:p w14:paraId="1A2F9EBF">
      <w:pPr>
        <w:spacing w:line="460" w:lineRule="exact"/>
        <w:rPr>
          <w:rFonts w:ascii="宋体" w:hAnsi="宋体"/>
          <w:sz w:val="22"/>
          <w:szCs w:val="22"/>
          <w:highlight w:val="none"/>
        </w:rPr>
      </w:pPr>
    </w:p>
    <w:p w14:paraId="497A3438">
      <w:pPr>
        <w:spacing w:line="460" w:lineRule="exact"/>
        <w:rPr>
          <w:rFonts w:ascii="宋体" w:hAnsi="宋体"/>
          <w:sz w:val="22"/>
          <w:szCs w:val="22"/>
          <w:highlight w:val="none"/>
        </w:rPr>
      </w:pPr>
      <w:r>
        <w:rPr>
          <w:rFonts w:hint="eastAsia" w:ascii="宋体" w:hAnsi="宋体"/>
          <w:sz w:val="22"/>
          <w:szCs w:val="22"/>
          <w:highlight w:val="none"/>
        </w:rPr>
        <w:t>附：</w:t>
      </w:r>
    </w:p>
    <w:p w14:paraId="4E3663D7">
      <w:pPr>
        <w:spacing w:line="460" w:lineRule="exact"/>
        <w:ind w:firstLine="220" w:firstLineChars="100"/>
        <w:rPr>
          <w:rFonts w:ascii="宋体" w:hAnsi="宋体"/>
          <w:sz w:val="22"/>
          <w:szCs w:val="22"/>
          <w:highlight w:val="none"/>
        </w:rPr>
      </w:pPr>
      <w:r>
        <w:rPr>
          <w:rFonts w:hint="eastAsia" w:ascii="宋体" w:hAnsi="宋体"/>
          <w:sz w:val="22"/>
          <w:szCs w:val="22"/>
          <w:highlight w:val="none"/>
        </w:rPr>
        <w:t>授权代表：</w:t>
      </w:r>
    </w:p>
    <w:p w14:paraId="22ACC188">
      <w:pPr>
        <w:spacing w:line="460" w:lineRule="exact"/>
        <w:ind w:firstLine="220" w:firstLineChars="100"/>
        <w:rPr>
          <w:rFonts w:ascii="宋体" w:hAnsi="宋体"/>
          <w:sz w:val="22"/>
          <w:szCs w:val="22"/>
          <w:highlight w:val="none"/>
        </w:rPr>
      </w:pPr>
      <w:r>
        <w:rPr>
          <w:rFonts w:hint="eastAsia" w:ascii="宋体" w:hAnsi="宋体"/>
          <w:sz w:val="22"/>
          <w:szCs w:val="22"/>
          <w:highlight w:val="none"/>
        </w:rPr>
        <w:t>职务：</w:t>
      </w:r>
    </w:p>
    <w:p w14:paraId="3B86A248">
      <w:pPr>
        <w:spacing w:line="460" w:lineRule="exact"/>
        <w:ind w:firstLine="220" w:firstLineChars="100"/>
        <w:rPr>
          <w:rFonts w:ascii="宋体" w:hAnsi="宋体"/>
          <w:sz w:val="22"/>
          <w:szCs w:val="22"/>
          <w:highlight w:val="none"/>
        </w:rPr>
      </w:pPr>
      <w:r>
        <w:rPr>
          <w:rFonts w:hint="eastAsia" w:ascii="宋体" w:hAnsi="宋体"/>
          <w:sz w:val="22"/>
          <w:szCs w:val="22"/>
          <w:highlight w:val="none"/>
        </w:rPr>
        <w:t>详细通讯地址：</w:t>
      </w:r>
    </w:p>
    <w:p w14:paraId="2F08C843">
      <w:pPr>
        <w:spacing w:line="460" w:lineRule="exact"/>
        <w:ind w:firstLine="220" w:firstLineChars="100"/>
        <w:rPr>
          <w:rFonts w:ascii="宋体" w:hAnsi="宋体"/>
          <w:sz w:val="22"/>
          <w:szCs w:val="22"/>
          <w:highlight w:val="none"/>
        </w:rPr>
      </w:pPr>
      <w:r>
        <w:rPr>
          <w:rFonts w:hint="eastAsia" w:ascii="宋体" w:hAnsi="宋体"/>
          <w:sz w:val="22"/>
          <w:szCs w:val="22"/>
          <w:highlight w:val="none"/>
        </w:rPr>
        <w:t>电话：</w:t>
      </w:r>
    </w:p>
    <w:p w14:paraId="7255F2D2">
      <w:pPr>
        <w:spacing w:line="460" w:lineRule="exact"/>
        <w:ind w:firstLine="220" w:firstLineChars="100"/>
        <w:rPr>
          <w:rFonts w:ascii="宋体" w:hAnsi="宋体"/>
          <w:sz w:val="22"/>
          <w:szCs w:val="22"/>
          <w:highlight w:val="none"/>
        </w:rPr>
      </w:pPr>
      <w:r>
        <w:rPr>
          <w:rFonts w:hint="eastAsia" w:ascii="宋体" w:hAnsi="宋体"/>
          <w:sz w:val="22"/>
          <w:szCs w:val="22"/>
          <w:highlight w:val="none"/>
        </w:rPr>
        <w:t>传真：</w:t>
      </w:r>
    </w:p>
    <w:p w14:paraId="3F7E5C25">
      <w:pPr>
        <w:spacing w:line="460" w:lineRule="exact"/>
        <w:ind w:firstLine="220" w:firstLineChars="100"/>
        <w:rPr>
          <w:rFonts w:ascii="宋体" w:hAnsi="宋体"/>
          <w:sz w:val="22"/>
          <w:szCs w:val="22"/>
          <w:highlight w:val="none"/>
        </w:rPr>
      </w:pPr>
      <w:r>
        <w:rPr>
          <w:rFonts w:hint="eastAsia" w:ascii="宋体" w:hAnsi="宋体"/>
          <w:sz w:val="22"/>
          <w:szCs w:val="22"/>
          <w:highlight w:val="none"/>
        </w:rPr>
        <w:t>邮政编码:</w:t>
      </w:r>
    </w:p>
    <w:p w14:paraId="2572A3ED">
      <w:pPr>
        <w:spacing w:line="460" w:lineRule="exact"/>
        <w:rPr>
          <w:rFonts w:ascii="宋体" w:hAnsi="宋体"/>
          <w:b/>
          <w:bCs/>
          <w:sz w:val="22"/>
          <w:szCs w:val="22"/>
          <w:highlight w:val="none"/>
        </w:rPr>
      </w:pPr>
    </w:p>
    <w:tbl>
      <w:tblPr>
        <w:tblStyle w:val="33"/>
        <w:tblW w:w="7010" w:type="dxa"/>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14:paraId="6881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10" w:type="dxa"/>
          </w:tcPr>
          <w:p w14:paraId="6BC11FCD">
            <w:pPr>
              <w:spacing w:line="380" w:lineRule="exact"/>
              <w:jc w:val="center"/>
              <w:rPr>
                <w:rFonts w:ascii="宋体" w:hAnsi="宋体"/>
                <w:b/>
                <w:bCs/>
                <w:sz w:val="28"/>
                <w:highlight w:val="none"/>
              </w:rPr>
            </w:pPr>
          </w:p>
          <w:p w14:paraId="41EABE07">
            <w:pPr>
              <w:spacing w:line="380" w:lineRule="exact"/>
              <w:jc w:val="center"/>
              <w:rPr>
                <w:rFonts w:ascii="宋体" w:hAnsi="宋体"/>
                <w:b/>
                <w:bCs/>
                <w:sz w:val="28"/>
                <w:highlight w:val="none"/>
              </w:rPr>
            </w:pPr>
            <w:r>
              <w:rPr>
                <w:rFonts w:hint="eastAsia" w:ascii="宋体" w:hAnsi="宋体"/>
                <w:b/>
                <w:bCs/>
                <w:sz w:val="28"/>
                <w:highlight w:val="none"/>
              </w:rPr>
              <w:t>授权代表身份证复印件黏贴处</w:t>
            </w:r>
          </w:p>
          <w:p w14:paraId="58A958B1">
            <w:pPr>
              <w:spacing w:line="600" w:lineRule="exact"/>
              <w:rPr>
                <w:rFonts w:ascii="宋体" w:hAnsi="宋体"/>
                <w:b/>
                <w:bCs/>
                <w:sz w:val="28"/>
                <w:highlight w:val="none"/>
              </w:rPr>
            </w:pPr>
          </w:p>
        </w:tc>
      </w:tr>
    </w:tbl>
    <w:p w14:paraId="3B297013">
      <w:pPr>
        <w:spacing w:line="460" w:lineRule="exact"/>
        <w:rPr>
          <w:rFonts w:ascii="宋体" w:hAnsi="宋体" w:cs="Courier New"/>
          <w:b/>
          <w:sz w:val="22"/>
          <w:szCs w:val="22"/>
          <w:highlight w:val="none"/>
        </w:rPr>
      </w:pPr>
      <w:r>
        <w:rPr>
          <w:rFonts w:hint="eastAsia" w:ascii="宋体" w:hAnsi="宋体" w:cs="Courier New"/>
          <w:b/>
          <w:sz w:val="22"/>
          <w:szCs w:val="22"/>
          <w:highlight w:val="none"/>
        </w:rPr>
        <w:t xml:space="preserve">说明： </w:t>
      </w:r>
    </w:p>
    <w:p w14:paraId="46F6D925">
      <w:pPr>
        <w:spacing w:line="460" w:lineRule="exact"/>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投标人：若投标人代表为单位负责人授权的委托代理人，应提供本授权书；</w:t>
      </w:r>
    </w:p>
    <w:p w14:paraId="6612579B">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若投标人代表为单位负责人，应在此项下提交其身份证正反面复印件，可不提供本授权书。</w:t>
      </w:r>
    </w:p>
    <w:p w14:paraId="0FA1AA58">
      <w:pPr>
        <w:spacing w:line="400" w:lineRule="exact"/>
        <w:ind w:firstLine="141" w:firstLineChars="64"/>
        <w:rPr>
          <w:rFonts w:ascii="宋体" w:hAnsi="宋体"/>
          <w:b/>
          <w:sz w:val="22"/>
          <w:highlight w:val="none"/>
        </w:rPr>
      </w:pPr>
    </w:p>
    <w:p w14:paraId="14E490CC">
      <w:pPr>
        <w:numPr>
          <w:ilvl w:val="1"/>
          <w:numId w:val="24"/>
        </w:numPr>
        <w:tabs>
          <w:tab w:val="left" w:pos="0"/>
          <w:tab w:val="left" w:pos="600"/>
        </w:tabs>
        <w:spacing w:line="400" w:lineRule="exact"/>
        <w:rPr>
          <w:rFonts w:ascii="宋体" w:hAnsi="宋体"/>
          <w:b/>
          <w:sz w:val="22"/>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514D1920">
      <w:pPr>
        <w:rPr>
          <w:rFonts w:ascii="宋体" w:hAnsi="宋体"/>
          <w:highlight w:val="none"/>
        </w:rPr>
      </w:pPr>
    </w:p>
    <w:p w14:paraId="66E3CDD1">
      <w:pPr>
        <w:spacing w:line="460" w:lineRule="exact"/>
        <w:jc w:val="center"/>
        <w:rPr>
          <w:rFonts w:ascii="宋体" w:hAnsi="宋体"/>
          <w:b/>
          <w:bCs/>
          <w:sz w:val="30"/>
          <w:szCs w:val="30"/>
          <w:highlight w:val="none"/>
        </w:rPr>
      </w:pPr>
      <w:r>
        <w:rPr>
          <w:rFonts w:hint="eastAsia" w:ascii="宋体" w:hAnsi="宋体"/>
          <w:b/>
          <w:bCs/>
          <w:sz w:val="30"/>
          <w:szCs w:val="30"/>
          <w:highlight w:val="none"/>
        </w:rPr>
        <w:t>三、投标人联系表</w:t>
      </w:r>
    </w:p>
    <w:p w14:paraId="00275511">
      <w:pPr>
        <w:pStyle w:val="225"/>
        <w:ind w:firstLine="210"/>
        <w:rPr>
          <w:rFonts w:ascii="宋体" w:hAnsi="宋体"/>
          <w:highlight w:val="none"/>
        </w:rPr>
      </w:pPr>
    </w:p>
    <w:tbl>
      <w:tblPr>
        <w:tblStyle w:val="3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87"/>
        <w:gridCol w:w="6413"/>
      </w:tblGrid>
      <w:tr w14:paraId="79E0F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2DE85B4">
            <w:pPr>
              <w:spacing w:line="440" w:lineRule="exact"/>
              <w:jc w:val="center"/>
              <w:rPr>
                <w:rFonts w:ascii="宋体" w:hAnsi="宋体"/>
                <w:sz w:val="22"/>
                <w:szCs w:val="22"/>
                <w:highlight w:val="none"/>
              </w:rPr>
            </w:pPr>
            <w:r>
              <w:rPr>
                <w:rFonts w:hint="eastAsia" w:ascii="宋体" w:hAnsi="宋体"/>
                <w:sz w:val="22"/>
                <w:szCs w:val="22"/>
                <w:highlight w:val="none"/>
              </w:rPr>
              <w:t>序号</w:t>
            </w:r>
          </w:p>
        </w:tc>
        <w:tc>
          <w:tcPr>
            <w:tcW w:w="2587" w:type="dxa"/>
            <w:tcBorders>
              <w:top w:val="single" w:color="auto" w:sz="4" w:space="0"/>
              <w:left w:val="single" w:color="auto" w:sz="4" w:space="0"/>
              <w:bottom w:val="single" w:color="auto" w:sz="4" w:space="0"/>
              <w:right w:val="single" w:color="auto" w:sz="4" w:space="0"/>
            </w:tcBorders>
            <w:vAlign w:val="center"/>
          </w:tcPr>
          <w:p w14:paraId="1826A5C5">
            <w:pPr>
              <w:spacing w:line="440" w:lineRule="exact"/>
              <w:jc w:val="center"/>
              <w:rPr>
                <w:rFonts w:ascii="宋体" w:hAnsi="宋体"/>
                <w:sz w:val="22"/>
                <w:szCs w:val="22"/>
                <w:highlight w:val="none"/>
              </w:rPr>
            </w:pPr>
            <w:r>
              <w:rPr>
                <w:rFonts w:hint="eastAsia" w:ascii="宋体" w:hAnsi="宋体"/>
                <w:sz w:val="22"/>
                <w:szCs w:val="22"/>
                <w:highlight w:val="none"/>
              </w:rPr>
              <w:t>项  目</w:t>
            </w:r>
          </w:p>
        </w:tc>
        <w:tc>
          <w:tcPr>
            <w:tcW w:w="6413" w:type="dxa"/>
            <w:tcBorders>
              <w:top w:val="single" w:color="auto" w:sz="4" w:space="0"/>
              <w:left w:val="single" w:color="auto" w:sz="4" w:space="0"/>
              <w:bottom w:val="single" w:color="auto" w:sz="4" w:space="0"/>
              <w:right w:val="single" w:color="auto" w:sz="4" w:space="0"/>
            </w:tcBorders>
            <w:vAlign w:val="center"/>
          </w:tcPr>
          <w:p w14:paraId="74926DDD">
            <w:pPr>
              <w:spacing w:line="440" w:lineRule="exact"/>
              <w:jc w:val="center"/>
              <w:rPr>
                <w:rFonts w:ascii="宋体" w:hAnsi="宋体"/>
                <w:sz w:val="22"/>
                <w:szCs w:val="22"/>
                <w:highlight w:val="none"/>
              </w:rPr>
            </w:pPr>
            <w:r>
              <w:rPr>
                <w:rFonts w:hint="eastAsia" w:ascii="宋体" w:hAnsi="宋体"/>
                <w:sz w:val="22"/>
                <w:szCs w:val="22"/>
                <w:highlight w:val="none"/>
              </w:rPr>
              <w:t>内容</w:t>
            </w:r>
          </w:p>
        </w:tc>
      </w:tr>
      <w:tr w14:paraId="1996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333189">
            <w:pPr>
              <w:spacing w:line="440" w:lineRule="exact"/>
              <w:jc w:val="center"/>
              <w:rPr>
                <w:rFonts w:ascii="宋体" w:hAnsi="宋体"/>
                <w:sz w:val="22"/>
                <w:szCs w:val="22"/>
                <w:highlight w:val="none"/>
              </w:rPr>
            </w:pPr>
            <w:r>
              <w:rPr>
                <w:rFonts w:hint="eastAsia"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05F1F8F6">
            <w:pPr>
              <w:spacing w:line="440" w:lineRule="exact"/>
              <w:jc w:val="center"/>
              <w:rPr>
                <w:rFonts w:ascii="宋体" w:hAnsi="宋体"/>
                <w:bCs/>
                <w:sz w:val="22"/>
                <w:szCs w:val="22"/>
                <w:highlight w:val="none"/>
              </w:rPr>
            </w:pPr>
            <w:r>
              <w:rPr>
                <w:rFonts w:ascii="宋体" w:hAnsi="宋体"/>
                <w:bCs/>
                <w:sz w:val="22"/>
                <w:szCs w:val="22"/>
                <w:highlight w:val="none"/>
              </w:rPr>
              <w:t>项目名称</w:t>
            </w:r>
          </w:p>
        </w:tc>
        <w:tc>
          <w:tcPr>
            <w:tcW w:w="6413" w:type="dxa"/>
            <w:tcBorders>
              <w:top w:val="single" w:color="auto" w:sz="4" w:space="0"/>
              <w:left w:val="single" w:color="auto" w:sz="4" w:space="0"/>
              <w:bottom w:val="single" w:color="auto" w:sz="4" w:space="0"/>
              <w:right w:val="single" w:color="auto" w:sz="4" w:space="0"/>
            </w:tcBorders>
            <w:vAlign w:val="center"/>
          </w:tcPr>
          <w:p w14:paraId="1ACFEEDF">
            <w:pPr>
              <w:spacing w:line="360" w:lineRule="exact"/>
              <w:rPr>
                <w:rFonts w:ascii="宋体" w:hAnsi="宋体" w:cs="楷体"/>
                <w:kern w:val="0"/>
                <w:sz w:val="22"/>
                <w:szCs w:val="22"/>
                <w:highlight w:val="none"/>
              </w:rPr>
            </w:pPr>
          </w:p>
        </w:tc>
      </w:tr>
      <w:tr w14:paraId="21F13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839DDE">
            <w:pPr>
              <w:spacing w:line="440" w:lineRule="exact"/>
              <w:jc w:val="center"/>
              <w:rPr>
                <w:rFonts w:ascii="宋体" w:hAnsi="宋体"/>
                <w:sz w:val="22"/>
                <w:szCs w:val="22"/>
                <w:highlight w:val="none"/>
              </w:rPr>
            </w:pPr>
            <w:r>
              <w:rPr>
                <w:rFonts w:hint="eastAsia"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666D6FE5">
            <w:pPr>
              <w:spacing w:line="440" w:lineRule="exact"/>
              <w:jc w:val="center"/>
              <w:rPr>
                <w:rFonts w:ascii="宋体" w:hAnsi="宋体"/>
                <w:bCs/>
                <w:sz w:val="22"/>
                <w:szCs w:val="22"/>
                <w:highlight w:val="none"/>
              </w:rPr>
            </w:pPr>
            <w:r>
              <w:rPr>
                <w:rFonts w:hint="eastAsia" w:ascii="宋体" w:hAnsi="宋体"/>
                <w:bCs/>
                <w:sz w:val="22"/>
                <w:szCs w:val="22"/>
                <w:highlight w:val="none"/>
              </w:rPr>
              <w:t>项目编号</w:t>
            </w:r>
          </w:p>
        </w:tc>
        <w:tc>
          <w:tcPr>
            <w:tcW w:w="6413" w:type="dxa"/>
            <w:tcBorders>
              <w:top w:val="single" w:color="auto" w:sz="4" w:space="0"/>
              <w:left w:val="single" w:color="auto" w:sz="4" w:space="0"/>
              <w:bottom w:val="single" w:color="auto" w:sz="4" w:space="0"/>
              <w:right w:val="single" w:color="auto" w:sz="4" w:space="0"/>
            </w:tcBorders>
            <w:vAlign w:val="center"/>
          </w:tcPr>
          <w:p w14:paraId="105C1617">
            <w:pPr>
              <w:spacing w:line="360" w:lineRule="exact"/>
              <w:rPr>
                <w:rFonts w:ascii="宋体" w:hAnsi="宋体" w:cs="楷体"/>
                <w:kern w:val="0"/>
                <w:sz w:val="22"/>
                <w:szCs w:val="22"/>
                <w:highlight w:val="none"/>
              </w:rPr>
            </w:pPr>
          </w:p>
        </w:tc>
      </w:tr>
      <w:tr w14:paraId="3E3A6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DF95BA7">
            <w:pPr>
              <w:spacing w:line="440" w:lineRule="exact"/>
              <w:jc w:val="center"/>
              <w:rPr>
                <w:rFonts w:ascii="宋体" w:hAnsi="宋体"/>
                <w:sz w:val="22"/>
                <w:szCs w:val="22"/>
                <w:highlight w:val="none"/>
              </w:rPr>
            </w:pPr>
            <w:r>
              <w:rPr>
                <w:rFonts w:hint="eastAsia" w:ascii="宋体" w:hAnsi="宋体"/>
                <w:sz w:val="22"/>
                <w:szCs w:val="22"/>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37ED02C5">
            <w:pPr>
              <w:spacing w:line="440" w:lineRule="exact"/>
              <w:jc w:val="center"/>
              <w:rPr>
                <w:rFonts w:ascii="宋体" w:hAnsi="宋体"/>
                <w:bCs/>
                <w:sz w:val="22"/>
                <w:szCs w:val="22"/>
                <w:highlight w:val="none"/>
              </w:rPr>
            </w:pPr>
            <w:r>
              <w:rPr>
                <w:rFonts w:hint="eastAsia" w:ascii="宋体" w:hAnsi="宋体"/>
                <w:bCs/>
                <w:sz w:val="22"/>
                <w:szCs w:val="22"/>
                <w:highlight w:val="none"/>
              </w:rPr>
              <w:t>投标单位名称</w:t>
            </w:r>
          </w:p>
        </w:tc>
        <w:tc>
          <w:tcPr>
            <w:tcW w:w="6413" w:type="dxa"/>
            <w:tcBorders>
              <w:top w:val="single" w:color="auto" w:sz="4" w:space="0"/>
              <w:left w:val="single" w:color="auto" w:sz="4" w:space="0"/>
              <w:bottom w:val="single" w:color="auto" w:sz="4" w:space="0"/>
              <w:right w:val="single" w:color="auto" w:sz="4" w:space="0"/>
            </w:tcBorders>
            <w:vAlign w:val="center"/>
          </w:tcPr>
          <w:p w14:paraId="5C43B5F8">
            <w:pPr>
              <w:spacing w:line="360" w:lineRule="exact"/>
              <w:rPr>
                <w:rFonts w:ascii="宋体" w:hAnsi="宋体" w:cs="楷体"/>
                <w:kern w:val="0"/>
                <w:sz w:val="22"/>
                <w:szCs w:val="22"/>
                <w:highlight w:val="none"/>
              </w:rPr>
            </w:pPr>
          </w:p>
        </w:tc>
      </w:tr>
      <w:tr w14:paraId="7E470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0DE050">
            <w:pPr>
              <w:spacing w:line="440" w:lineRule="exact"/>
              <w:jc w:val="center"/>
              <w:rPr>
                <w:rFonts w:ascii="宋体" w:hAnsi="宋体"/>
                <w:sz w:val="22"/>
                <w:szCs w:val="22"/>
                <w:highlight w:val="none"/>
              </w:rPr>
            </w:pPr>
            <w:r>
              <w:rPr>
                <w:rFonts w:hint="eastAsia" w:ascii="宋体" w:hAnsi="宋体"/>
                <w:sz w:val="22"/>
                <w:szCs w:val="22"/>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0D6B4602">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投标单位联系地址</w:t>
            </w:r>
          </w:p>
        </w:tc>
        <w:tc>
          <w:tcPr>
            <w:tcW w:w="6413" w:type="dxa"/>
            <w:tcBorders>
              <w:top w:val="single" w:color="auto" w:sz="4" w:space="0"/>
              <w:left w:val="single" w:color="auto" w:sz="4" w:space="0"/>
              <w:bottom w:val="single" w:color="auto" w:sz="4" w:space="0"/>
              <w:right w:val="single" w:color="auto" w:sz="4" w:space="0"/>
            </w:tcBorders>
            <w:vAlign w:val="center"/>
          </w:tcPr>
          <w:p w14:paraId="74B0103A">
            <w:pPr>
              <w:spacing w:line="360" w:lineRule="exact"/>
              <w:rPr>
                <w:rFonts w:ascii="宋体" w:hAnsi="宋体" w:cs="楷体"/>
                <w:kern w:val="0"/>
                <w:sz w:val="22"/>
                <w:szCs w:val="22"/>
                <w:highlight w:val="none"/>
              </w:rPr>
            </w:pPr>
          </w:p>
        </w:tc>
      </w:tr>
      <w:tr w14:paraId="7CB7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C117B03">
            <w:pPr>
              <w:spacing w:line="440" w:lineRule="exact"/>
              <w:jc w:val="center"/>
              <w:rPr>
                <w:rFonts w:ascii="宋体" w:hAnsi="宋体"/>
                <w:sz w:val="22"/>
                <w:szCs w:val="22"/>
                <w:highlight w:val="none"/>
              </w:rPr>
            </w:pPr>
            <w:r>
              <w:rPr>
                <w:rFonts w:hint="eastAsia" w:ascii="宋体" w:hAnsi="宋体"/>
                <w:sz w:val="22"/>
                <w:szCs w:val="22"/>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44FAC303">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投标单位联系方式</w:t>
            </w:r>
          </w:p>
        </w:tc>
        <w:tc>
          <w:tcPr>
            <w:tcW w:w="6413" w:type="dxa"/>
            <w:tcBorders>
              <w:top w:val="single" w:color="auto" w:sz="4" w:space="0"/>
              <w:left w:val="single" w:color="auto" w:sz="4" w:space="0"/>
              <w:bottom w:val="single" w:color="auto" w:sz="4" w:space="0"/>
              <w:right w:val="single" w:color="auto" w:sz="4" w:space="0"/>
            </w:tcBorders>
            <w:vAlign w:val="center"/>
          </w:tcPr>
          <w:p w14:paraId="2F5AC99B">
            <w:pPr>
              <w:spacing w:line="360" w:lineRule="exact"/>
              <w:rPr>
                <w:rFonts w:ascii="宋体" w:hAnsi="宋体" w:cs="楷体"/>
                <w:kern w:val="0"/>
                <w:sz w:val="22"/>
                <w:szCs w:val="22"/>
                <w:highlight w:val="none"/>
              </w:rPr>
            </w:pPr>
          </w:p>
        </w:tc>
      </w:tr>
      <w:tr w14:paraId="4B91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D130E5">
            <w:pPr>
              <w:spacing w:line="440" w:lineRule="exact"/>
              <w:jc w:val="center"/>
              <w:rPr>
                <w:rFonts w:ascii="宋体" w:hAnsi="宋体"/>
                <w:sz w:val="22"/>
                <w:szCs w:val="22"/>
                <w:highlight w:val="none"/>
              </w:rPr>
            </w:pPr>
            <w:r>
              <w:rPr>
                <w:rFonts w:hint="eastAsia" w:ascii="宋体" w:hAnsi="宋体"/>
                <w:sz w:val="22"/>
                <w:szCs w:val="22"/>
                <w:highlight w:val="none"/>
              </w:rPr>
              <w:t>6</w:t>
            </w:r>
          </w:p>
        </w:tc>
        <w:tc>
          <w:tcPr>
            <w:tcW w:w="2587" w:type="dxa"/>
            <w:tcBorders>
              <w:top w:val="single" w:color="auto" w:sz="4" w:space="0"/>
              <w:left w:val="single" w:color="auto" w:sz="4" w:space="0"/>
              <w:bottom w:val="single" w:color="auto" w:sz="4" w:space="0"/>
              <w:right w:val="single" w:color="auto" w:sz="4" w:space="0"/>
            </w:tcBorders>
            <w:vAlign w:val="center"/>
          </w:tcPr>
          <w:p w14:paraId="2DF1495F">
            <w:pPr>
              <w:spacing w:line="440" w:lineRule="exact"/>
              <w:jc w:val="center"/>
              <w:rPr>
                <w:rFonts w:ascii="宋体" w:hAnsi="宋体"/>
                <w:bCs/>
                <w:sz w:val="22"/>
                <w:szCs w:val="22"/>
                <w:highlight w:val="none"/>
              </w:rPr>
            </w:pPr>
            <w:r>
              <w:rPr>
                <w:rFonts w:hint="eastAsia" w:ascii="宋体" w:hAnsi="宋体"/>
                <w:bCs/>
                <w:sz w:val="22"/>
                <w:szCs w:val="22"/>
                <w:highlight w:val="none"/>
              </w:rPr>
              <w:t>投标单位电子邮箱</w:t>
            </w:r>
          </w:p>
        </w:tc>
        <w:tc>
          <w:tcPr>
            <w:tcW w:w="6413" w:type="dxa"/>
            <w:tcBorders>
              <w:top w:val="single" w:color="auto" w:sz="4" w:space="0"/>
              <w:left w:val="single" w:color="auto" w:sz="4" w:space="0"/>
              <w:bottom w:val="single" w:color="auto" w:sz="4" w:space="0"/>
              <w:right w:val="single" w:color="auto" w:sz="4" w:space="0"/>
            </w:tcBorders>
            <w:vAlign w:val="center"/>
          </w:tcPr>
          <w:p w14:paraId="0A06FB5F">
            <w:pPr>
              <w:spacing w:line="360" w:lineRule="exact"/>
              <w:rPr>
                <w:rFonts w:ascii="宋体" w:hAnsi="宋体" w:cs="楷体"/>
                <w:kern w:val="0"/>
                <w:sz w:val="22"/>
                <w:szCs w:val="22"/>
                <w:highlight w:val="none"/>
              </w:rPr>
            </w:pPr>
          </w:p>
        </w:tc>
      </w:tr>
      <w:tr w14:paraId="33231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8CA6ED">
            <w:pPr>
              <w:spacing w:line="440" w:lineRule="exact"/>
              <w:jc w:val="center"/>
              <w:rPr>
                <w:rFonts w:ascii="宋体" w:hAnsi="宋体"/>
                <w:sz w:val="22"/>
                <w:szCs w:val="22"/>
                <w:highlight w:val="none"/>
              </w:rPr>
            </w:pPr>
            <w:r>
              <w:rPr>
                <w:rFonts w:hint="eastAsia" w:ascii="宋体" w:hAnsi="宋体"/>
                <w:sz w:val="22"/>
                <w:szCs w:val="22"/>
                <w:highlight w:val="none"/>
              </w:rPr>
              <w:t>7</w:t>
            </w:r>
          </w:p>
        </w:tc>
        <w:tc>
          <w:tcPr>
            <w:tcW w:w="2587" w:type="dxa"/>
            <w:tcBorders>
              <w:top w:val="single" w:color="auto" w:sz="4" w:space="0"/>
              <w:left w:val="single" w:color="auto" w:sz="4" w:space="0"/>
              <w:bottom w:val="single" w:color="auto" w:sz="4" w:space="0"/>
              <w:right w:val="single" w:color="auto" w:sz="4" w:space="0"/>
            </w:tcBorders>
            <w:vAlign w:val="center"/>
          </w:tcPr>
          <w:p w14:paraId="3921BB72">
            <w:pPr>
              <w:spacing w:line="440" w:lineRule="exact"/>
              <w:jc w:val="center"/>
              <w:rPr>
                <w:rFonts w:ascii="宋体" w:hAnsi="宋体"/>
                <w:bCs/>
                <w:sz w:val="22"/>
                <w:szCs w:val="22"/>
                <w:highlight w:val="none"/>
              </w:rPr>
            </w:pPr>
            <w:r>
              <w:rPr>
                <w:rFonts w:hint="eastAsia" w:ascii="宋体" w:hAnsi="宋体"/>
                <w:bCs/>
                <w:sz w:val="22"/>
                <w:szCs w:val="22"/>
                <w:highlight w:val="none"/>
              </w:rPr>
              <w:t>投标单位传真号码</w:t>
            </w:r>
          </w:p>
        </w:tc>
        <w:tc>
          <w:tcPr>
            <w:tcW w:w="6413" w:type="dxa"/>
            <w:tcBorders>
              <w:top w:val="single" w:color="auto" w:sz="4" w:space="0"/>
              <w:left w:val="single" w:color="auto" w:sz="4" w:space="0"/>
              <w:bottom w:val="single" w:color="auto" w:sz="4" w:space="0"/>
              <w:right w:val="single" w:color="auto" w:sz="4" w:space="0"/>
            </w:tcBorders>
            <w:vAlign w:val="center"/>
          </w:tcPr>
          <w:p w14:paraId="64B8FCF7">
            <w:pPr>
              <w:spacing w:line="360" w:lineRule="exact"/>
              <w:rPr>
                <w:rFonts w:ascii="宋体" w:hAnsi="宋体" w:cs="楷体"/>
                <w:kern w:val="0"/>
                <w:sz w:val="22"/>
                <w:szCs w:val="22"/>
                <w:highlight w:val="none"/>
              </w:rPr>
            </w:pPr>
          </w:p>
        </w:tc>
      </w:tr>
      <w:tr w14:paraId="6278A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82CE338">
            <w:pPr>
              <w:spacing w:line="440" w:lineRule="exact"/>
              <w:jc w:val="center"/>
              <w:rPr>
                <w:rFonts w:ascii="宋体" w:hAnsi="宋体"/>
                <w:sz w:val="22"/>
                <w:szCs w:val="22"/>
                <w:highlight w:val="none"/>
              </w:rPr>
            </w:pPr>
            <w:r>
              <w:rPr>
                <w:rFonts w:hint="eastAsia" w:ascii="宋体" w:hAnsi="宋体"/>
                <w:sz w:val="22"/>
                <w:szCs w:val="22"/>
                <w:highlight w:val="none"/>
              </w:rPr>
              <w:t>8</w:t>
            </w:r>
          </w:p>
        </w:tc>
        <w:tc>
          <w:tcPr>
            <w:tcW w:w="2587" w:type="dxa"/>
            <w:tcBorders>
              <w:top w:val="single" w:color="auto" w:sz="4" w:space="0"/>
              <w:left w:val="single" w:color="auto" w:sz="4" w:space="0"/>
              <w:bottom w:val="single" w:color="auto" w:sz="4" w:space="0"/>
              <w:right w:val="single" w:color="auto" w:sz="4" w:space="0"/>
            </w:tcBorders>
            <w:vAlign w:val="center"/>
          </w:tcPr>
          <w:p w14:paraId="7DD8379F">
            <w:pPr>
              <w:spacing w:line="440" w:lineRule="exact"/>
              <w:jc w:val="center"/>
              <w:rPr>
                <w:rFonts w:ascii="宋体" w:hAnsi="宋体"/>
                <w:bCs/>
                <w:sz w:val="22"/>
                <w:szCs w:val="22"/>
                <w:highlight w:val="none"/>
              </w:rPr>
            </w:pPr>
            <w:r>
              <w:rPr>
                <w:rFonts w:hint="eastAsia" w:ascii="宋体" w:hAnsi="宋体"/>
                <w:bCs/>
                <w:sz w:val="22"/>
                <w:szCs w:val="22"/>
                <w:highlight w:val="none"/>
              </w:rPr>
              <w:t>单位负责人名字</w:t>
            </w:r>
          </w:p>
        </w:tc>
        <w:tc>
          <w:tcPr>
            <w:tcW w:w="6413" w:type="dxa"/>
            <w:tcBorders>
              <w:top w:val="single" w:color="auto" w:sz="4" w:space="0"/>
              <w:left w:val="single" w:color="auto" w:sz="4" w:space="0"/>
              <w:bottom w:val="single" w:color="auto" w:sz="4" w:space="0"/>
              <w:right w:val="single" w:color="auto" w:sz="4" w:space="0"/>
            </w:tcBorders>
            <w:vAlign w:val="center"/>
          </w:tcPr>
          <w:p w14:paraId="000254D9">
            <w:pPr>
              <w:spacing w:line="360" w:lineRule="exact"/>
              <w:rPr>
                <w:rFonts w:ascii="宋体" w:hAnsi="宋体" w:cs="楷体"/>
                <w:kern w:val="0"/>
                <w:sz w:val="22"/>
                <w:szCs w:val="22"/>
                <w:highlight w:val="none"/>
              </w:rPr>
            </w:pPr>
          </w:p>
        </w:tc>
      </w:tr>
      <w:tr w14:paraId="497EB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0F2175">
            <w:pPr>
              <w:spacing w:line="440" w:lineRule="exact"/>
              <w:jc w:val="center"/>
              <w:rPr>
                <w:rFonts w:ascii="宋体" w:hAnsi="宋体"/>
                <w:sz w:val="22"/>
                <w:szCs w:val="22"/>
                <w:highlight w:val="none"/>
              </w:rPr>
            </w:pPr>
            <w:r>
              <w:rPr>
                <w:rFonts w:hint="eastAsia" w:ascii="宋体" w:hAnsi="宋体"/>
                <w:sz w:val="22"/>
                <w:szCs w:val="22"/>
                <w:highlight w:val="none"/>
              </w:rPr>
              <w:t>9</w:t>
            </w:r>
          </w:p>
        </w:tc>
        <w:tc>
          <w:tcPr>
            <w:tcW w:w="2587" w:type="dxa"/>
            <w:tcBorders>
              <w:top w:val="single" w:color="auto" w:sz="4" w:space="0"/>
              <w:left w:val="single" w:color="auto" w:sz="4" w:space="0"/>
              <w:bottom w:val="single" w:color="auto" w:sz="4" w:space="0"/>
              <w:right w:val="single" w:color="auto" w:sz="4" w:space="0"/>
            </w:tcBorders>
            <w:vAlign w:val="center"/>
          </w:tcPr>
          <w:p w14:paraId="39990F63">
            <w:pPr>
              <w:spacing w:line="440" w:lineRule="exact"/>
              <w:jc w:val="center"/>
              <w:rPr>
                <w:rFonts w:ascii="宋体" w:hAnsi="宋体"/>
                <w:bCs/>
                <w:sz w:val="22"/>
                <w:szCs w:val="22"/>
                <w:highlight w:val="none"/>
              </w:rPr>
            </w:pPr>
            <w:r>
              <w:rPr>
                <w:rFonts w:hint="eastAsia" w:ascii="宋体" w:hAnsi="宋体"/>
                <w:bCs/>
                <w:sz w:val="22"/>
                <w:szCs w:val="22"/>
                <w:highlight w:val="none"/>
              </w:rPr>
              <w:t>授权代理人名字</w:t>
            </w:r>
          </w:p>
        </w:tc>
        <w:tc>
          <w:tcPr>
            <w:tcW w:w="6413" w:type="dxa"/>
            <w:tcBorders>
              <w:top w:val="single" w:color="auto" w:sz="4" w:space="0"/>
              <w:left w:val="single" w:color="auto" w:sz="4" w:space="0"/>
              <w:bottom w:val="single" w:color="auto" w:sz="4" w:space="0"/>
              <w:right w:val="single" w:color="auto" w:sz="4" w:space="0"/>
            </w:tcBorders>
            <w:vAlign w:val="center"/>
          </w:tcPr>
          <w:p w14:paraId="51965860">
            <w:pPr>
              <w:spacing w:line="360" w:lineRule="exact"/>
              <w:rPr>
                <w:rFonts w:ascii="宋体" w:hAnsi="宋体" w:cs="楷体"/>
                <w:kern w:val="0"/>
                <w:sz w:val="22"/>
                <w:szCs w:val="22"/>
                <w:highlight w:val="none"/>
              </w:rPr>
            </w:pPr>
          </w:p>
        </w:tc>
      </w:tr>
      <w:tr w14:paraId="1179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739DF1">
            <w:pPr>
              <w:spacing w:line="440" w:lineRule="exact"/>
              <w:jc w:val="center"/>
              <w:rPr>
                <w:rFonts w:ascii="宋体" w:hAnsi="宋体"/>
                <w:sz w:val="22"/>
                <w:szCs w:val="22"/>
                <w:highlight w:val="none"/>
              </w:rPr>
            </w:pPr>
            <w:r>
              <w:rPr>
                <w:rFonts w:hint="eastAsia" w:ascii="宋体" w:hAnsi="宋体"/>
                <w:sz w:val="22"/>
                <w:szCs w:val="22"/>
                <w:highlight w:val="none"/>
              </w:rPr>
              <w:t>10</w:t>
            </w:r>
          </w:p>
        </w:tc>
        <w:tc>
          <w:tcPr>
            <w:tcW w:w="2587" w:type="dxa"/>
            <w:tcBorders>
              <w:top w:val="single" w:color="auto" w:sz="4" w:space="0"/>
              <w:left w:val="single" w:color="auto" w:sz="4" w:space="0"/>
              <w:bottom w:val="single" w:color="auto" w:sz="4" w:space="0"/>
              <w:right w:val="single" w:color="auto" w:sz="4" w:space="0"/>
            </w:tcBorders>
            <w:vAlign w:val="center"/>
          </w:tcPr>
          <w:p w14:paraId="5922CF00">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投标人代表联系号码</w:t>
            </w:r>
          </w:p>
        </w:tc>
        <w:tc>
          <w:tcPr>
            <w:tcW w:w="6413" w:type="dxa"/>
            <w:tcBorders>
              <w:top w:val="single" w:color="auto" w:sz="4" w:space="0"/>
              <w:left w:val="single" w:color="auto" w:sz="4" w:space="0"/>
              <w:bottom w:val="single" w:color="auto" w:sz="4" w:space="0"/>
              <w:right w:val="single" w:color="auto" w:sz="4" w:space="0"/>
            </w:tcBorders>
            <w:vAlign w:val="center"/>
          </w:tcPr>
          <w:p w14:paraId="69BB8222">
            <w:pPr>
              <w:spacing w:line="440" w:lineRule="exact"/>
              <w:rPr>
                <w:rFonts w:ascii="宋体" w:hAnsi="宋体"/>
                <w:bCs/>
                <w:spacing w:val="-4"/>
                <w:sz w:val="22"/>
                <w:szCs w:val="22"/>
                <w:highlight w:val="none"/>
              </w:rPr>
            </w:pPr>
          </w:p>
        </w:tc>
      </w:tr>
      <w:tr w14:paraId="3DF65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AD4087">
            <w:pPr>
              <w:spacing w:line="440" w:lineRule="exact"/>
              <w:jc w:val="center"/>
              <w:rPr>
                <w:rFonts w:ascii="宋体" w:hAnsi="宋体"/>
                <w:sz w:val="22"/>
                <w:szCs w:val="22"/>
                <w:highlight w:val="none"/>
              </w:rPr>
            </w:pPr>
            <w:r>
              <w:rPr>
                <w:rFonts w:hint="eastAsia" w:ascii="宋体" w:hAnsi="宋体"/>
                <w:sz w:val="22"/>
                <w:szCs w:val="22"/>
                <w:highlight w:val="none"/>
              </w:rPr>
              <w:t>11</w:t>
            </w:r>
          </w:p>
        </w:tc>
        <w:tc>
          <w:tcPr>
            <w:tcW w:w="2587" w:type="dxa"/>
            <w:tcBorders>
              <w:top w:val="single" w:color="auto" w:sz="4" w:space="0"/>
              <w:left w:val="single" w:color="auto" w:sz="4" w:space="0"/>
              <w:bottom w:val="single" w:color="auto" w:sz="4" w:space="0"/>
              <w:right w:val="single" w:color="auto" w:sz="4" w:space="0"/>
            </w:tcBorders>
            <w:vAlign w:val="center"/>
          </w:tcPr>
          <w:p w14:paraId="7A76AE8F">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投标人代表联系邮箱</w:t>
            </w:r>
          </w:p>
        </w:tc>
        <w:tc>
          <w:tcPr>
            <w:tcW w:w="6413" w:type="dxa"/>
            <w:tcBorders>
              <w:top w:val="single" w:color="auto" w:sz="4" w:space="0"/>
              <w:left w:val="single" w:color="auto" w:sz="4" w:space="0"/>
              <w:bottom w:val="single" w:color="auto" w:sz="4" w:space="0"/>
              <w:right w:val="single" w:color="auto" w:sz="4" w:space="0"/>
            </w:tcBorders>
            <w:vAlign w:val="center"/>
          </w:tcPr>
          <w:p w14:paraId="36329BF4">
            <w:pPr>
              <w:spacing w:line="440" w:lineRule="exact"/>
              <w:rPr>
                <w:rFonts w:ascii="宋体" w:hAnsi="宋体"/>
                <w:bCs/>
                <w:spacing w:val="-4"/>
                <w:sz w:val="22"/>
                <w:szCs w:val="22"/>
                <w:highlight w:val="none"/>
              </w:rPr>
            </w:pPr>
          </w:p>
        </w:tc>
      </w:tr>
      <w:tr w14:paraId="6055E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DA6655E">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5E75561F">
            <w:pPr>
              <w:spacing w:line="440" w:lineRule="exact"/>
              <w:jc w:val="center"/>
              <w:rPr>
                <w:rFonts w:ascii="宋体" w:hAnsi="宋体"/>
                <w:bCs/>
                <w:sz w:val="22"/>
                <w:szCs w:val="22"/>
                <w:highlight w:val="none"/>
              </w:rPr>
            </w:pPr>
            <w:r>
              <w:rPr>
                <w:rFonts w:hint="eastAsia" w:ascii="宋体" w:hAnsi="宋体"/>
                <w:bCs/>
                <w:sz w:val="22"/>
                <w:szCs w:val="22"/>
                <w:highlight w:val="none"/>
              </w:rPr>
              <w:t>开户行及账号</w:t>
            </w:r>
          </w:p>
        </w:tc>
        <w:tc>
          <w:tcPr>
            <w:tcW w:w="6413" w:type="dxa"/>
            <w:tcBorders>
              <w:top w:val="single" w:color="auto" w:sz="4" w:space="0"/>
              <w:left w:val="single" w:color="auto" w:sz="4" w:space="0"/>
              <w:bottom w:val="single" w:color="auto" w:sz="4" w:space="0"/>
              <w:right w:val="single" w:color="auto" w:sz="4" w:space="0"/>
            </w:tcBorders>
            <w:vAlign w:val="center"/>
          </w:tcPr>
          <w:p w14:paraId="2C930D91">
            <w:pPr>
              <w:spacing w:line="440" w:lineRule="exact"/>
              <w:rPr>
                <w:rFonts w:ascii="宋体" w:hAnsi="宋体"/>
                <w:bCs/>
                <w:spacing w:val="-4"/>
                <w:sz w:val="22"/>
                <w:szCs w:val="22"/>
                <w:highlight w:val="none"/>
              </w:rPr>
            </w:pPr>
          </w:p>
        </w:tc>
      </w:tr>
    </w:tbl>
    <w:p w14:paraId="70813520">
      <w:pPr>
        <w:spacing w:line="460" w:lineRule="exact"/>
        <w:ind w:left="216"/>
        <w:rPr>
          <w:rFonts w:ascii="宋体" w:hAnsi="宋体"/>
          <w:b/>
          <w:bCs/>
          <w:sz w:val="22"/>
          <w:szCs w:val="22"/>
          <w:highlight w:val="none"/>
        </w:rPr>
      </w:pPr>
      <w:r>
        <w:rPr>
          <w:rFonts w:hint="eastAsia" w:ascii="宋体" w:hAnsi="宋体"/>
          <w:b/>
          <w:bCs/>
          <w:sz w:val="22"/>
          <w:szCs w:val="22"/>
          <w:highlight w:val="none"/>
        </w:rPr>
        <w:t>特此承诺：上表中的联系方式将作为我方参加此次政府采购活动的联系方式，其他方式均不作为送达方式。</w:t>
      </w:r>
    </w:p>
    <w:p w14:paraId="6A1106D7">
      <w:pPr>
        <w:spacing w:line="460" w:lineRule="exact"/>
        <w:ind w:left="216" w:hanging="216" w:hangingChars="98"/>
        <w:rPr>
          <w:rFonts w:ascii="宋体" w:hAnsi="宋体"/>
          <w:b/>
          <w:bCs/>
          <w:sz w:val="22"/>
          <w:szCs w:val="22"/>
          <w:highlight w:val="none"/>
        </w:rPr>
      </w:pPr>
    </w:p>
    <w:p w14:paraId="6CB2A941">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投标人全称（盖章）：</w:t>
      </w:r>
    </w:p>
    <w:p w14:paraId="2AA44C1D">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4C145B8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138F88FF">
      <w:pPr>
        <w:spacing w:line="460" w:lineRule="exact"/>
        <w:rPr>
          <w:rFonts w:ascii="宋体" w:hAnsi="宋体" w:cs="Courier New"/>
          <w:b/>
          <w:bCs/>
          <w:sz w:val="30"/>
          <w:szCs w:val="30"/>
          <w:highlight w:val="none"/>
        </w:rPr>
      </w:pPr>
      <w:r>
        <w:rPr>
          <w:rFonts w:ascii="宋体" w:hAnsi="宋体"/>
          <w:b/>
          <w:sz w:val="22"/>
          <w:szCs w:val="22"/>
          <w:highlight w:val="none"/>
        </w:rPr>
        <w:br w:type="page"/>
      </w:r>
      <w:r>
        <w:rPr>
          <w:rFonts w:ascii="宋体" w:hAnsi="宋体"/>
          <w:b/>
          <w:bCs/>
          <w:sz w:val="22"/>
          <w:szCs w:val="22"/>
          <w:highlight w:val="none"/>
        </w:rPr>
        <w:t xml:space="preserve"> </w:t>
      </w:r>
      <w:bookmarkStart w:id="240" w:name="_Toc215415539"/>
      <w:bookmarkStart w:id="241" w:name="_Toc217460694"/>
      <w:bookmarkStart w:id="242" w:name="_Toc216667829"/>
      <w:bookmarkStart w:id="243" w:name="_Toc227489896"/>
      <w:bookmarkStart w:id="244" w:name="_Toc227056855"/>
      <w:bookmarkStart w:id="245" w:name="_Toc227057042"/>
      <w:bookmarkStart w:id="246" w:name="_Toc218041735"/>
      <w:bookmarkStart w:id="247" w:name="_Toc223717613"/>
      <w:bookmarkStart w:id="248" w:name="_Toc223933230"/>
      <w:bookmarkStart w:id="249" w:name="_Toc219538622"/>
    </w:p>
    <w:p w14:paraId="52540C83">
      <w:pPr>
        <w:spacing w:line="460" w:lineRule="exact"/>
        <w:jc w:val="center"/>
        <w:rPr>
          <w:rFonts w:ascii="宋体" w:hAnsi="宋体"/>
          <w:b/>
          <w:bCs/>
          <w:sz w:val="30"/>
          <w:szCs w:val="30"/>
          <w:highlight w:val="none"/>
        </w:rPr>
      </w:pPr>
      <w:r>
        <w:rPr>
          <w:rFonts w:hint="eastAsia" w:ascii="宋体" w:hAnsi="宋体"/>
          <w:b/>
          <w:bCs/>
          <w:sz w:val="30"/>
          <w:szCs w:val="30"/>
          <w:highlight w:val="none"/>
        </w:rPr>
        <w:t>四、采购需求偏离表</w:t>
      </w:r>
    </w:p>
    <w:p w14:paraId="4F91A318">
      <w:pPr>
        <w:spacing w:line="460" w:lineRule="exact"/>
        <w:ind w:firstLine="352" w:firstLineChars="147"/>
        <w:rPr>
          <w:rFonts w:ascii="宋体" w:hAnsi="宋体"/>
          <w:sz w:val="22"/>
          <w:szCs w:val="22"/>
          <w:highlight w:val="none"/>
        </w:rPr>
      </w:pPr>
      <w:r>
        <w:rPr>
          <w:rFonts w:hint="eastAsia" w:ascii="宋体" w:hAnsi="宋体"/>
          <w:sz w:val="24"/>
          <w:highlight w:val="none"/>
        </w:rPr>
        <w:t xml:space="preserve">   </w:t>
      </w:r>
      <w:r>
        <w:rPr>
          <w:rFonts w:hint="eastAsia" w:ascii="宋体" w:hAnsi="宋体"/>
          <w:sz w:val="22"/>
          <w:szCs w:val="22"/>
          <w:highlight w:val="none"/>
        </w:rPr>
        <w:t>项目名称：                                      项目编号：</w:t>
      </w:r>
    </w:p>
    <w:tbl>
      <w:tblPr>
        <w:tblStyle w:val="33"/>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54"/>
        <w:gridCol w:w="1980"/>
        <w:gridCol w:w="2775"/>
        <w:gridCol w:w="2439"/>
      </w:tblGrid>
      <w:tr w14:paraId="753D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88" w:type="dxa"/>
            <w:shd w:val="clear" w:color="auto" w:fill="FFFFFF"/>
            <w:vAlign w:val="center"/>
          </w:tcPr>
          <w:p w14:paraId="39A3B527">
            <w:pPr>
              <w:jc w:val="center"/>
              <w:rPr>
                <w:rFonts w:ascii="宋体" w:hAnsi="宋体"/>
                <w:sz w:val="22"/>
                <w:szCs w:val="22"/>
                <w:highlight w:val="none"/>
              </w:rPr>
            </w:pPr>
            <w:r>
              <w:rPr>
                <w:rFonts w:hint="eastAsia" w:ascii="宋体" w:hAnsi="宋体"/>
                <w:sz w:val="22"/>
                <w:szCs w:val="22"/>
                <w:highlight w:val="none"/>
              </w:rPr>
              <w:t>序号</w:t>
            </w:r>
          </w:p>
        </w:tc>
        <w:tc>
          <w:tcPr>
            <w:tcW w:w="1954" w:type="dxa"/>
            <w:shd w:val="clear" w:color="auto" w:fill="FFFFFF"/>
            <w:vAlign w:val="center"/>
          </w:tcPr>
          <w:p w14:paraId="46D4C232">
            <w:pPr>
              <w:jc w:val="center"/>
              <w:rPr>
                <w:rFonts w:ascii="宋体" w:hAnsi="宋体"/>
                <w:sz w:val="22"/>
                <w:szCs w:val="22"/>
                <w:highlight w:val="none"/>
              </w:rPr>
            </w:pPr>
            <w:r>
              <w:rPr>
                <w:rFonts w:hint="eastAsia" w:ascii="宋体" w:hAnsi="宋体"/>
                <w:sz w:val="22"/>
                <w:szCs w:val="22"/>
                <w:highlight w:val="none"/>
              </w:rPr>
              <w:t>招标文件</w:t>
            </w:r>
          </w:p>
          <w:p w14:paraId="73B79D03">
            <w:pPr>
              <w:jc w:val="center"/>
              <w:rPr>
                <w:rFonts w:ascii="宋体" w:hAnsi="宋体"/>
                <w:sz w:val="22"/>
                <w:szCs w:val="22"/>
                <w:highlight w:val="none"/>
              </w:rPr>
            </w:pPr>
            <w:r>
              <w:rPr>
                <w:rFonts w:hint="eastAsia" w:ascii="宋体" w:hAnsi="宋体"/>
                <w:sz w:val="22"/>
                <w:szCs w:val="22"/>
                <w:highlight w:val="none"/>
              </w:rPr>
              <w:t>规定要求</w:t>
            </w:r>
          </w:p>
        </w:tc>
        <w:tc>
          <w:tcPr>
            <w:tcW w:w="1980" w:type="dxa"/>
            <w:shd w:val="clear" w:color="auto" w:fill="FFFFFF"/>
            <w:vAlign w:val="center"/>
          </w:tcPr>
          <w:p w14:paraId="7E5D226E">
            <w:pPr>
              <w:jc w:val="center"/>
              <w:rPr>
                <w:rFonts w:ascii="宋体" w:hAnsi="宋体"/>
                <w:sz w:val="22"/>
                <w:szCs w:val="22"/>
                <w:highlight w:val="none"/>
              </w:rPr>
            </w:pPr>
            <w:r>
              <w:rPr>
                <w:rFonts w:hint="eastAsia" w:ascii="宋体" w:hAnsi="宋体"/>
                <w:sz w:val="22"/>
                <w:szCs w:val="22"/>
                <w:highlight w:val="none"/>
              </w:rPr>
              <w:t>响应文件</w:t>
            </w:r>
          </w:p>
          <w:p w14:paraId="28606F70">
            <w:pPr>
              <w:jc w:val="center"/>
              <w:rPr>
                <w:rFonts w:ascii="宋体" w:hAnsi="宋体"/>
                <w:sz w:val="22"/>
                <w:szCs w:val="22"/>
                <w:highlight w:val="none"/>
              </w:rPr>
            </w:pPr>
            <w:r>
              <w:rPr>
                <w:rFonts w:hint="eastAsia" w:ascii="宋体" w:hAnsi="宋体"/>
                <w:sz w:val="22"/>
                <w:szCs w:val="22"/>
                <w:highlight w:val="none"/>
              </w:rPr>
              <w:t>对应条款</w:t>
            </w:r>
          </w:p>
        </w:tc>
        <w:tc>
          <w:tcPr>
            <w:tcW w:w="2775" w:type="dxa"/>
            <w:shd w:val="clear" w:color="auto" w:fill="FFFFFF"/>
            <w:vAlign w:val="center"/>
          </w:tcPr>
          <w:p w14:paraId="68EB63A0">
            <w:pPr>
              <w:jc w:val="center"/>
              <w:rPr>
                <w:rFonts w:ascii="宋体" w:hAnsi="宋体"/>
                <w:sz w:val="22"/>
                <w:szCs w:val="22"/>
                <w:highlight w:val="none"/>
              </w:rPr>
            </w:pPr>
            <w:r>
              <w:rPr>
                <w:rFonts w:hint="eastAsia" w:ascii="宋体" w:hAnsi="宋体"/>
                <w:sz w:val="22"/>
                <w:szCs w:val="22"/>
                <w:highlight w:val="none"/>
              </w:rPr>
              <w:t>偏离说明</w:t>
            </w:r>
          </w:p>
        </w:tc>
        <w:tc>
          <w:tcPr>
            <w:tcW w:w="2439" w:type="dxa"/>
            <w:shd w:val="clear" w:color="auto" w:fill="FFFFFF"/>
            <w:vAlign w:val="center"/>
          </w:tcPr>
          <w:p w14:paraId="6071057A">
            <w:pPr>
              <w:jc w:val="center"/>
              <w:rPr>
                <w:rFonts w:ascii="宋体" w:hAnsi="宋体"/>
                <w:sz w:val="22"/>
                <w:szCs w:val="22"/>
                <w:highlight w:val="none"/>
              </w:rPr>
            </w:pPr>
            <w:r>
              <w:rPr>
                <w:rFonts w:hint="eastAsia" w:ascii="宋体" w:hAnsi="宋体"/>
                <w:sz w:val="22"/>
                <w:szCs w:val="22"/>
                <w:highlight w:val="none"/>
              </w:rPr>
              <w:t>偏离情况</w:t>
            </w:r>
          </w:p>
          <w:p w14:paraId="7A18205B">
            <w:pPr>
              <w:jc w:val="center"/>
              <w:rPr>
                <w:rFonts w:ascii="宋体" w:hAnsi="宋体"/>
                <w:sz w:val="22"/>
                <w:szCs w:val="22"/>
                <w:highlight w:val="none"/>
              </w:rPr>
            </w:pPr>
            <w:r>
              <w:rPr>
                <w:rFonts w:hint="eastAsia" w:ascii="宋体" w:hAnsi="宋体"/>
                <w:sz w:val="22"/>
                <w:szCs w:val="22"/>
                <w:highlight w:val="none"/>
              </w:rPr>
              <w:t>（</w:t>
            </w:r>
            <w:r>
              <w:rPr>
                <w:rFonts w:hint="eastAsia" w:ascii="宋体" w:hAnsi="宋体"/>
                <w:b/>
                <w:sz w:val="22"/>
                <w:szCs w:val="22"/>
                <w:highlight w:val="none"/>
              </w:rPr>
              <w:t>填写正偏离、负偏离或无偏离</w:t>
            </w:r>
            <w:r>
              <w:rPr>
                <w:rFonts w:hint="eastAsia" w:ascii="宋体" w:hAnsi="宋体"/>
                <w:sz w:val="22"/>
                <w:szCs w:val="22"/>
                <w:highlight w:val="none"/>
              </w:rPr>
              <w:t>）</w:t>
            </w:r>
          </w:p>
        </w:tc>
      </w:tr>
      <w:tr w14:paraId="3BA4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33D0110E">
            <w:pPr>
              <w:jc w:val="center"/>
              <w:rPr>
                <w:rFonts w:ascii="宋体" w:hAnsi="宋体"/>
                <w:highlight w:val="none"/>
              </w:rPr>
            </w:pPr>
            <w:r>
              <w:rPr>
                <w:rFonts w:hint="eastAsia" w:ascii="宋体" w:hAnsi="宋体"/>
                <w:highlight w:val="none"/>
              </w:rPr>
              <w:t>1</w:t>
            </w:r>
          </w:p>
        </w:tc>
        <w:tc>
          <w:tcPr>
            <w:tcW w:w="1954" w:type="dxa"/>
            <w:vAlign w:val="center"/>
          </w:tcPr>
          <w:p w14:paraId="6DF02607">
            <w:pPr>
              <w:jc w:val="center"/>
              <w:rPr>
                <w:rFonts w:ascii="宋体" w:hAnsi="宋体"/>
                <w:sz w:val="22"/>
                <w:szCs w:val="22"/>
                <w:highlight w:val="none"/>
              </w:rPr>
            </w:pPr>
          </w:p>
        </w:tc>
        <w:tc>
          <w:tcPr>
            <w:tcW w:w="1980" w:type="dxa"/>
            <w:vAlign w:val="center"/>
          </w:tcPr>
          <w:p w14:paraId="65AB4F6B">
            <w:pPr>
              <w:jc w:val="center"/>
              <w:rPr>
                <w:rFonts w:ascii="宋体" w:hAnsi="宋体"/>
                <w:sz w:val="22"/>
                <w:szCs w:val="22"/>
                <w:highlight w:val="none"/>
              </w:rPr>
            </w:pPr>
          </w:p>
        </w:tc>
        <w:tc>
          <w:tcPr>
            <w:tcW w:w="2775" w:type="dxa"/>
            <w:vAlign w:val="center"/>
          </w:tcPr>
          <w:p w14:paraId="6418D6E2">
            <w:pPr>
              <w:jc w:val="center"/>
              <w:rPr>
                <w:rFonts w:ascii="宋体" w:hAnsi="宋体"/>
                <w:sz w:val="22"/>
                <w:szCs w:val="22"/>
                <w:highlight w:val="none"/>
              </w:rPr>
            </w:pPr>
          </w:p>
        </w:tc>
        <w:tc>
          <w:tcPr>
            <w:tcW w:w="2439" w:type="dxa"/>
            <w:vAlign w:val="center"/>
          </w:tcPr>
          <w:p w14:paraId="2D6EDA05">
            <w:pPr>
              <w:jc w:val="center"/>
              <w:rPr>
                <w:rFonts w:ascii="宋体" w:hAnsi="宋体"/>
                <w:sz w:val="22"/>
                <w:szCs w:val="22"/>
                <w:highlight w:val="none"/>
              </w:rPr>
            </w:pPr>
          </w:p>
        </w:tc>
      </w:tr>
      <w:tr w14:paraId="59A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52EF1259">
            <w:pPr>
              <w:jc w:val="center"/>
              <w:rPr>
                <w:rFonts w:ascii="宋体" w:hAnsi="宋体"/>
                <w:sz w:val="22"/>
                <w:szCs w:val="22"/>
                <w:highlight w:val="none"/>
              </w:rPr>
            </w:pPr>
            <w:r>
              <w:rPr>
                <w:rFonts w:hint="eastAsia" w:ascii="宋体" w:hAnsi="宋体"/>
                <w:sz w:val="22"/>
                <w:szCs w:val="22"/>
                <w:highlight w:val="none"/>
              </w:rPr>
              <w:t>2</w:t>
            </w:r>
          </w:p>
        </w:tc>
        <w:tc>
          <w:tcPr>
            <w:tcW w:w="1954" w:type="dxa"/>
            <w:vAlign w:val="center"/>
          </w:tcPr>
          <w:p w14:paraId="6FE14502">
            <w:pPr>
              <w:jc w:val="center"/>
              <w:rPr>
                <w:rFonts w:ascii="宋体" w:hAnsi="宋体"/>
                <w:sz w:val="22"/>
                <w:szCs w:val="22"/>
                <w:highlight w:val="none"/>
              </w:rPr>
            </w:pPr>
          </w:p>
        </w:tc>
        <w:tc>
          <w:tcPr>
            <w:tcW w:w="1980" w:type="dxa"/>
            <w:vAlign w:val="center"/>
          </w:tcPr>
          <w:p w14:paraId="7D760569">
            <w:pPr>
              <w:jc w:val="center"/>
              <w:rPr>
                <w:rFonts w:ascii="宋体" w:hAnsi="宋体"/>
                <w:sz w:val="22"/>
                <w:szCs w:val="22"/>
                <w:highlight w:val="none"/>
              </w:rPr>
            </w:pPr>
          </w:p>
        </w:tc>
        <w:tc>
          <w:tcPr>
            <w:tcW w:w="2775" w:type="dxa"/>
            <w:vAlign w:val="center"/>
          </w:tcPr>
          <w:p w14:paraId="36C3A5BA">
            <w:pPr>
              <w:jc w:val="center"/>
              <w:rPr>
                <w:rFonts w:ascii="宋体" w:hAnsi="宋体"/>
                <w:sz w:val="22"/>
                <w:szCs w:val="22"/>
                <w:highlight w:val="none"/>
              </w:rPr>
            </w:pPr>
          </w:p>
        </w:tc>
        <w:tc>
          <w:tcPr>
            <w:tcW w:w="2439" w:type="dxa"/>
            <w:vAlign w:val="center"/>
          </w:tcPr>
          <w:p w14:paraId="7C3C080A">
            <w:pPr>
              <w:jc w:val="center"/>
              <w:rPr>
                <w:rFonts w:ascii="宋体" w:hAnsi="宋体"/>
                <w:sz w:val="22"/>
                <w:szCs w:val="22"/>
                <w:highlight w:val="none"/>
              </w:rPr>
            </w:pPr>
          </w:p>
        </w:tc>
      </w:tr>
      <w:tr w14:paraId="413A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5A67B2B7">
            <w:pPr>
              <w:jc w:val="center"/>
              <w:rPr>
                <w:rFonts w:ascii="宋体" w:hAnsi="宋体"/>
                <w:sz w:val="22"/>
                <w:szCs w:val="22"/>
                <w:highlight w:val="none"/>
              </w:rPr>
            </w:pPr>
            <w:r>
              <w:rPr>
                <w:rFonts w:hint="eastAsia" w:ascii="宋体" w:hAnsi="宋体"/>
                <w:sz w:val="22"/>
                <w:szCs w:val="22"/>
                <w:highlight w:val="none"/>
              </w:rPr>
              <w:t>3</w:t>
            </w:r>
          </w:p>
        </w:tc>
        <w:tc>
          <w:tcPr>
            <w:tcW w:w="1954" w:type="dxa"/>
            <w:vAlign w:val="center"/>
          </w:tcPr>
          <w:p w14:paraId="39702BE8">
            <w:pPr>
              <w:jc w:val="center"/>
              <w:rPr>
                <w:rFonts w:ascii="宋体" w:hAnsi="宋体"/>
                <w:sz w:val="22"/>
                <w:szCs w:val="22"/>
                <w:highlight w:val="none"/>
              </w:rPr>
            </w:pPr>
          </w:p>
        </w:tc>
        <w:tc>
          <w:tcPr>
            <w:tcW w:w="1980" w:type="dxa"/>
            <w:vAlign w:val="center"/>
          </w:tcPr>
          <w:p w14:paraId="334311FE">
            <w:pPr>
              <w:jc w:val="center"/>
              <w:rPr>
                <w:rFonts w:ascii="宋体" w:hAnsi="宋体"/>
                <w:sz w:val="22"/>
                <w:szCs w:val="22"/>
                <w:highlight w:val="none"/>
              </w:rPr>
            </w:pPr>
          </w:p>
        </w:tc>
        <w:tc>
          <w:tcPr>
            <w:tcW w:w="2775" w:type="dxa"/>
            <w:vAlign w:val="center"/>
          </w:tcPr>
          <w:p w14:paraId="28EC1E8D">
            <w:pPr>
              <w:jc w:val="center"/>
              <w:rPr>
                <w:rFonts w:ascii="宋体" w:hAnsi="宋体"/>
                <w:sz w:val="22"/>
                <w:szCs w:val="22"/>
                <w:highlight w:val="none"/>
              </w:rPr>
            </w:pPr>
          </w:p>
        </w:tc>
        <w:tc>
          <w:tcPr>
            <w:tcW w:w="2439" w:type="dxa"/>
            <w:vAlign w:val="center"/>
          </w:tcPr>
          <w:p w14:paraId="3CA06A2B">
            <w:pPr>
              <w:jc w:val="center"/>
              <w:rPr>
                <w:rFonts w:ascii="宋体" w:hAnsi="宋体"/>
                <w:sz w:val="22"/>
                <w:szCs w:val="22"/>
                <w:highlight w:val="none"/>
              </w:rPr>
            </w:pPr>
          </w:p>
        </w:tc>
      </w:tr>
      <w:tr w14:paraId="2831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2EF8E7A5">
            <w:pPr>
              <w:jc w:val="center"/>
              <w:rPr>
                <w:rFonts w:ascii="宋体" w:hAnsi="宋体"/>
                <w:sz w:val="22"/>
                <w:szCs w:val="22"/>
                <w:highlight w:val="none"/>
              </w:rPr>
            </w:pPr>
            <w:r>
              <w:rPr>
                <w:rFonts w:hint="eastAsia" w:ascii="宋体" w:hAnsi="宋体"/>
                <w:sz w:val="22"/>
                <w:szCs w:val="22"/>
                <w:highlight w:val="none"/>
              </w:rPr>
              <w:t>4</w:t>
            </w:r>
          </w:p>
        </w:tc>
        <w:tc>
          <w:tcPr>
            <w:tcW w:w="1954" w:type="dxa"/>
            <w:vAlign w:val="center"/>
          </w:tcPr>
          <w:p w14:paraId="0CBA3BB2">
            <w:pPr>
              <w:jc w:val="center"/>
              <w:rPr>
                <w:rFonts w:ascii="宋体" w:hAnsi="宋体"/>
                <w:sz w:val="22"/>
                <w:szCs w:val="22"/>
                <w:highlight w:val="none"/>
              </w:rPr>
            </w:pPr>
          </w:p>
        </w:tc>
        <w:tc>
          <w:tcPr>
            <w:tcW w:w="1980" w:type="dxa"/>
            <w:vAlign w:val="center"/>
          </w:tcPr>
          <w:p w14:paraId="2C4C7043">
            <w:pPr>
              <w:jc w:val="center"/>
              <w:rPr>
                <w:rFonts w:ascii="宋体" w:hAnsi="宋体"/>
                <w:sz w:val="22"/>
                <w:szCs w:val="22"/>
                <w:highlight w:val="none"/>
              </w:rPr>
            </w:pPr>
          </w:p>
        </w:tc>
        <w:tc>
          <w:tcPr>
            <w:tcW w:w="2775" w:type="dxa"/>
            <w:vAlign w:val="center"/>
          </w:tcPr>
          <w:p w14:paraId="301102F9">
            <w:pPr>
              <w:jc w:val="center"/>
              <w:rPr>
                <w:rFonts w:ascii="宋体" w:hAnsi="宋体"/>
                <w:sz w:val="22"/>
                <w:szCs w:val="22"/>
                <w:highlight w:val="none"/>
              </w:rPr>
            </w:pPr>
          </w:p>
        </w:tc>
        <w:tc>
          <w:tcPr>
            <w:tcW w:w="2439" w:type="dxa"/>
            <w:vAlign w:val="center"/>
          </w:tcPr>
          <w:p w14:paraId="0F1016F1">
            <w:pPr>
              <w:jc w:val="center"/>
              <w:rPr>
                <w:rFonts w:ascii="宋体" w:hAnsi="宋体"/>
                <w:sz w:val="22"/>
                <w:szCs w:val="22"/>
                <w:highlight w:val="none"/>
              </w:rPr>
            </w:pPr>
          </w:p>
        </w:tc>
      </w:tr>
      <w:tr w14:paraId="03D8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05DFC106">
            <w:pPr>
              <w:jc w:val="center"/>
              <w:rPr>
                <w:rFonts w:ascii="宋体" w:hAnsi="宋体"/>
                <w:sz w:val="22"/>
                <w:szCs w:val="22"/>
                <w:highlight w:val="none"/>
              </w:rPr>
            </w:pPr>
            <w:r>
              <w:rPr>
                <w:rFonts w:hint="eastAsia" w:ascii="宋体" w:hAnsi="宋体" w:cs="宋体"/>
                <w:szCs w:val="21"/>
                <w:highlight w:val="none"/>
              </w:rPr>
              <w:t>……</w:t>
            </w:r>
          </w:p>
        </w:tc>
        <w:tc>
          <w:tcPr>
            <w:tcW w:w="1954" w:type="dxa"/>
            <w:vAlign w:val="center"/>
          </w:tcPr>
          <w:p w14:paraId="01CA4C75">
            <w:pPr>
              <w:jc w:val="center"/>
              <w:rPr>
                <w:rFonts w:ascii="宋体" w:hAnsi="宋体"/>
                <w:sz w:val="22"/>
                <w:szCs w:val="22"/>
                <w:highlight w:val="none"/>
              </w:rPr>
            </w:pPr>
          </w:p>
        </w:tc>
        <w:tc>
          <w:tcPr>
            <w:tcW w:w="1980" w:type="dxa"/>
            <w:vAlign w:val="center"/>
          </w:tcPr>
          <w:p w14:paraId="4BD4B5BD">
            <w:pPr>
              <w:jc w:val="center"/>
              <w:rPr>
                <w:rFonts w:ascii="宋体" w:hAnsi="宋体"/>
                <w:sz w:val="22"/>
                <w:szCs w:val="22"/>
                <w:highlight w:val="none"/>
              </w:rPr>
            </w:pPr>
          </w:p>
        </w:tc>
        <w:tc>
          <w:tcPr>
            <w:tcW w:w="2775" w:type="dxa"/>
            <w:vAlign w:val="center"/>
          </w:tcPr>
          <w:p w14:paraId="5CC1D9C2">
            <w:pPr>
              <w:jc w:val="center"/>
              <w:rPr>
                <w:rFonts w:ascii="宋体" w:hAnsi="宋体"/>
                <w:sz w:val="22"/>
                <w:szCs w:val="22"/>
                <w:highlight w:val="none"/>
              </w:rPr>
            </w:pPr>
          </w:p>
        </w:tc>
        <w:tc>
          <w:tcPr>
            <w:tcW w:w="2439" w:type="dxa"/>
            <w:vAlign w:val="center"/>
          </w:tcPr>
          <w:p w14:paraId="55A6BE22">
            <w:pPr>
              <w:jc w:val="center"/>
              <w:rPr>
                <w:rFonts w:ascii="宋体" w:hAnsi="宋体"/>
                <w:sz w:val="22"/>
                <w:szCs w:val="22"/>
                <w:highlight w:val="none"/>
              </w:rPr>
            </w:pPr>
          </w:p>
        </w:tc>
      </w:tr>
      <w:tr w14:paraId="0FCB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52701AF4">
            <w:pPr>
              <w:jc w:val="center"/>
              <w:rPr>
                <w:rFonts w:ascii="宋体" w:hAnsi="宋体"/>
                <w:sz w:val="22"/>
                <w:szCs w:val="22"/>
                <w:highlight w:val="none"/>
              </w:rPr>
            </w:pPr>
          </w:p>
        </w:tc>
        <w:tc>
          <w:tcPr>
            <w:tcW w:w="1954" w:type="dxa"/>
            <w:vAlign w:val="center"/>
          </w:tcPr>
          <w:p w14:paraId="5E148B6C">
            <w:pPr>
              <w:jc w:val="center"/>
              <w:rPr>
                <w:rFonts w:ascii="宋体" w:hAnsi="宋体"/>
                <w:sz w:val="22"/>
                <w:szCs w:val="22"/>
                <w:highlight w:val="none"/>
              </w:rPr>
            </w:pPr>
          </w:p>
        </w:tc>
        <w:tc>
          <w:tcPr>
            <w:tcW w:w="1980" w:type="dxa"/>
            <w:vAlign w:val="center"/>
          </w:tcPr>
          <w:p w14:paraId="69C1CFAE">
            <w:pPr>
              <w:jc w:val="center"/>
              <w:rPr>
                <w:rFonts w:ascii="宋体" w:hAnsi="宋体"/>
                <w:sz w:val="22"/>
                <w:szCs w:val="22"/>
                <w:highlight w:val="none"/>
              </w:rPr>
            </w:pPr>
          </w:p>
        </w:tc>
        <w:tc>
          <w:tcPr>
            <w:tcW w:w="2775" w:type="dxa"/>
            <w:vAlign w:val="center"/>
          </w:tcPr>
          <w:p w14:paraId="538F0596">
            <w:pPr>
              <w:jc w:val="center"/>
              <w:rPr>
                <w:rFonts w:ascii="宋体" w:hAnsi="宋体"/>
                <w:sz w:val="22"/>
                <w:szCs w:val="22"/>
                <w:highlight w:val="none"/>
              </w:rPr>
            </w:pPr>
          </w:p>
        </w:tc>
        <w:tc>
          <w:tcPr>
            <w:tcW w:w="2439" w:type="dxa"/>
            <w:vAlign w:val="center"/>
          </w:tcPr>
          <w:p w14:paraId="6013A166">
            <w:pPr>
              <w:jc w:val="center"/>
              <w:rPr>
                <w:rFonts w:ascii="宋体" w:hAnsi="宋体"/>
                <w:sz w:val="22"/>
                <w:szCs w:val="22"/>
                <w:highlight w:val="none"/>
              </w:rPr>
            </w:pPr>
          </w:p>
        </w:tc>
      </w:tr>
      <w:tr w14:paraId="7431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0CDC2AC2">
            <w:pPr>
              <w:jc w:val="center"/>
              <w:rPr>
                <w:rFonts w:ascii="宋体" w:hAnsi="宋体"/>
                <w:sz w:val="22"/>
                <w:szCs w:val="22"/>
                <w:highlight w:val="none"/>
              </w:rPr>
            </w:pPr>
          </w:p>
        </w:tc>
        <w:tc>
          <w:tcPr>
            <w:tcW w:w="1954" w:type="dxa"/>
            <w:vAlign w:val="center"/>
          </w:tcPr>
          <w:p w14:paraId="51A1E9B7">
            <w:pPr>
              <w:jc w:val="center"/>
              <w:rPr>
                <w:rFonts w:ascii="宋体" w:hAnsi="宋体"/>
                <w:sz w:val="22"/>
                <w:szCs w:val="22"/>
                <w:highlight w:val="none"/>
              </w:rPr>
            </w:pPr>
          </w:p>
        </w:tc>
        <w:tc>
          <w:tcPr>
            <w:tcW w:w="1980" w:type="dxa"/>
            <w:vAlign w:val="center"/>
          </w:tcPr>
          <w:p w14:paraId="5779BCEE">
            <w:pPr>
              <w:jc w:val="center"/>
              <w:rPr>
                <w:rFonts w:ascii="宋体" w:hAnsi="宋体"/>
                <w:sz w:val="22"/>
                <w:szCs w:val="22"/>
                <w:highlight w:val="none"/>
              </w:rPr>
            </w:pPr>
          </w:p>
        </w:tc>
        <w:tc>
          <w:tcPr>
            <w:tcW w:w="2775" w:type="dxa"/>
            <w:vAlign w:val="center"/>
          </w:tcPr>
          <w:p w14:paraId="29E6E7DC">
            <w:pPr>
              <w:jc w:val="center"/>
              <w:rPr>
                <w:rFonts w:ascii="宋体" w:hAnsi="宋体"/>
                <w:sz w:val="22"/>
                <w:szCs w:val="22"/>
                <w:highlight w:val="none"/>
              </w:rPr>
            </w:pPr>
          </w:p>
        </w:tc>
        <w:tc>
          <w:tcPr>
            <w:tcW w:w="2439" w:type="dxa"/>
            <w:vAlign w:val="center"/>
          </w:tcPr>
          <w:p w14:paraId="2D0D96B8">
            <w:pPr>
              <w:jc w:val="center"/>
              <w:rPr>
                <w:rFonts w:ascii="宋体" w:hAnsi="宋体"/>
                <w:sz w:val="22"/>
                <w:szCs w:val="22"/>
                <w:highlight w:val="none"/>
              </w:rPr>
            </w:pPr>
          </w:p>
        </w:tc>
      </w:tr>
      <w:tr w14:paraId="683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88" w:type="dxa"/>
            <w:vAlign w:val="center"/>
          </w:tcPr>
          <w:p w14:paraId="11FADF8E">
            <w:pPr>
              <w:jc w:val="center"/>
              <w:rPr>
                <w:rFonts w:ascii="宋体" w:hAnsi="宋体"/>
                <w:sz w:val="22"/>
                <w:szCs w:val="22"/>
                <w:highlight w:val="none"/>
              </w:rPr>
            </w:pPr>
          </w:p>
        </w:tc>
        <w:tc>
          <w:tcPr>
            <w:tcW w:w="1954" w:type="dxa"/>
            <w:vAlign w:val="center"/>
          </w:tcPr>
          <w:p w14:paraId="183DFE9A">
            <w:pPr>
              <w:jc w:val="center"/>
              <w:rPr>
                <w:rFonts w:ascii="宋体" w:hAnsi="宋体"/>
                <w:sz w:val="22"/>
                <w:szCs w:val="22"/>
                <w:highlight w:val="none"/>
              </w:rPr>
            </w:pPr>
          </w:p>
        </w:tc>
        <w:tc>
          <w:tcPr>
            <w:tcW w:w="1980" w:type="dxa"/>
            <w:vAlign w:val="center"/>
          </w:tcPr>
          <w:p w14:paraId="1EBB1FC2">
            <w:pPr>
              <w:jc w:val="center"/>
              <w:rPr>
                <w:rFonts w:ascii="宋体" w:hAnsi="宋体"/>
                <w:sz w:val="22"/>
                <w:szCs w:val="22"/>
                <w:highlight w:val="none"/>
              </w:rPr>
            </w:pPr>
          </w:p>
        </w:tc>
        <w:tc>
          <w:tcPr>
            <w:tcW w:w="2775" w:type="dxa"/>
            <w:vAlign w:val="center"/>
          </w:tcPr>
          <w:p w14:paraId="076F6155">
            <w:pPr>
              <w:jc w:val="center"/>
              <w:rPr>
                <w:rFonts w:ascii="宋体" w:hAnsi="宋体"/>
                <w:sz w:val="22"/>
                <w:szCs w:val="22"/>
                <w:highlight w:val="none"/>
              </w:rPr>
            </w:pPr>
          </w:p>
        </w:tc>
        <w:tc>
          <w:tcPr>
            <w:tcW w:w="2439" w:type="dxa"/>
            <w:vAlign w:val="center"/>
          </w:tcPr>
          <w:p w14:paraId="0C0125E4">
            <w:pPr>
              <w:jc w:val="center"/>
              <w:rPr>
                <w:rFonts w:ascii="宋体" w:hAnsi="宋体"/>
                <w:sz w:val="22"/>
                <w:szCs w:val="22"/>
                <w:highlight w:val="none"/>
              </w:rPr>
            </w:pPr>
          </w:p>
        </w:tc>
      </w:tr>
    </w:tbl>
    <w:p w14:paraId="7F33609B">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3ED5202A">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1.如不填写，则视为完全响应招标文件。</w:t>
      </w:r>
    </w:p>
    <w:p w14:paraId="7ACB926D">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2.如出现偏离，供应商务必如实填写此表，“响应文件对应条款”栏不得复制粘贴，所投内容必须对照招标文件要求详细填写说明，否则存在的风险由供应商自行承担。</w:t>
      </w:r>
    </w:p>
    <w:p w14:paraId="333F8EF0">
      <w:pPr>
        <w:spacing w:line="400" w:lineRule="exact"/>
        <w:ind w:left="221" w:hanging="221" w:hangingChars="100"/>
        <w:rPr>
          <w:rFonts w:ascii="宋体" w:hAnsi="宋体"/>
          <w:b/>
          <w:sz w:val="22"/>
          <w:szCs w:val="22"/>
          <w:highlight w:val="none"/>
        </w:rPr>
      </w:pPr>
      <w:r>
        <w:rPr>
          <w:rFonts w:ascii="宋体" w:hAnsi="宋体"/>
          <w:b/>
          <w:sz w:val="22"/>
          <w:szCs w:val="22"/>
          <w:highlight w:val="none"/>
        </w:rPr>
        <w:t>3.</w:t>
      </w:r>
      <w:r>
        <w:rPr>
          <w:rFonts w:hint="eastAsia" w:ascii="宋体" w:hAnsi="宋体"/>
          <w:b/>
          <w:sz w:val="22"/>
          <w:szCs w:val="22"/>
          <w:highlight w:val="none"/>
        </w:rPr>
        <w:t>偏离说明是指对招标文件要求存在不同之处的解释说明。偏离系指：正偏离（高于采购需求）、负偏离（低于采购需求）、无偏离（满足采购需求）。</w:t>
      </w:r>
    </w:p>
    <w:p w14:paraId="5ABC2033">
      <w:pPr>
        <w:spacing w:line="400" w:lineRule="exact"/>
        <w:rPr>
          <w:rFonts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72EF5E24">
      <w:pPr>
        <w:spacing w:line="400" w:lineRule="exact"/>
        <w:rPr>
          <w:rFonts w:ascii="宋体" w:hAnsi="宋体"/>
          <w:sz w:val="22"/>
          <w:szCs w:val="22"/>
          <w:highlight w:val="none"/>
        </w:rPr>
      </w:pPr>
    </w:p>
    <w:p w14:paraId="33A58A85">
      <w:pPr>
        <w:spacing w:line="400" w:lineRule="exact"/>
        <w:rPr>
          <w:rFonts w:ascii="宋体" w:hAnsi="宋体"/>
          <w:sz w:val="22"/>
          <w:szCs w:val="22"/>
          <w:highlight w:val="none"/>
        </w:rPr>
      </w:pPr>
    </w:p>
    <w:p w14:paraId="66DA0E9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投标人全称（盖章）：</w:t>
      </w:r>
    </w:p>
    <w:p w14:paraId="48574119">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7B3E0779">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2178D179">
      <w:pPr>
        <w:pStyle w:val="8"/>
        <w:rPr>
          <w:rFonts w:ascii="宋体" w:hAnsi="宋体" w:eastAsia="宋体"/>
          <w:b/>
          <w:sz w:val="28"/>
          <w:szCs w:val="28"/>
          <w:highlight w:val="none"/>
        </w:rPr>
      </w:pPr>
      <w:r>
        <w:rPr>
          <w:rFonts w:ascii="宋体" w:hAnsi="宋体" w:eastAsia="宋体"/>
          <w:b/>
          <w:bCs/>
          <w:sz w:val="22"/>
          <w:szCs w:val="22"/>
          <w:highlight w:val="none"/>
        </w:rPr>
        <w:br w:type="page"/>
      </w:r>
    </w:p>
    <w:p w14:paraId="08118634">
      <w:pPr>
        <w:widowControl/>
        <w:jc w:val="left"/>
        <w:rPr>
          <w:rFonts w:ascii="宋体" w:hAnsi="宋体"/>
          <w:b/>
          <w:bCs/>
          <w:sz w:val="30"/>
          <w:szCs w:val="30"/>
          <w:highlight w:val="none"/>
        </w:rPr>
      </w:pPr>
    </w:p>
    <w:p w14:paraId="7E1280A5">
      <w:pPr>
        <w:spacing w:line="460" w:lineRule="exact"/>
        <w:jc w:val="center"/>
        <w:rPr>
          <w:rFonts w:ascii="宋体" w:hAnsi="宋体"/>
          <w:b/>
          <w:bCs/>
          <w:sz w:val="30"/>
          <w:szCs w:val="30"/>
          <w:highlight w:val="none"/>
        </w:rPr>
      </w:pPr>
      <w:r>
        <w:rPr>
          <w:rFonts w:hint="eastAsia" w:ascii="宋体" w:hAnsi="宋体"/>
          <w:b/>
          <w:bCs/>
          <w:sz w:val="30"/>
          <w:szCs w:val="30"/>
          <w:highlight w:val="none"/>
        </w:rPr>
        <w:t>五、根据本项目采购内容及要求以及商务技术评分项目，需要提供的文件和资料</w:t>
      </w:r>
    </w:p>
    <w:p w14:paraId="5BBDCF33">
      <w:pPr>
        <w:spacing w:line="460" w:lineRule="exact"/>
        <w:jc w:val="center"/>
        <w:rPr>
          <w:rFonts w:ascii="宋体" w:hAnsi="宋体"/>
          <w:b/>
          <w:bCs/>
          <w:sz w:val="28"/>
          <w:szCs w:val="28"/>
          <w:highlight w:val="none"/>
        </w:rPr>
      </w:pPr>
    </w:p>
    <w:p w14:paraId="5AB827DF">
      <w:pPr>
        <w:spacing w:line="460" w:lineRule="exact"/>
        <w:ind w:firstLine="281" w:firstLineChars="100"/>
        <w:rPr>
          <w:rFonts w:ascii="宋体" w:hAnsi="宋体"/>
          <w:b/>
          <w:bCs/>
          <w:sz w:val="28"/>
          <w:szCs w:val="28"/>
          <w:highlight w:val="none"/>
        </w:rPr>
      </w:pPr>
      <w:r>
        <w:rPr>
          <w:rFonts w:hint="eastAsia" w:ascii="宋体" w:hAnsi="宋体"/>
          <w:b/>
          <w:bCs/>
          <w:sz w:val="28"/>
          <w:szCs w:val="28"/>
          <w:highlight w:val="none"/>
        </w:rPr>
        <w:t>注：内容、格式自拟。</w:t>
      </w:r>
    </w:p>
    <w:p w14:paraId="323BC973">
      <w:pPr>
        <w:spacing w:line="460" w:lineRule="exact"/>
        <w:jc w:val="center"/>
        <w:rPr>
          <w:rFonts w:ascii="宋体" w:hAnsi="宋体"/>
          <w:b/>
          <w:bCs/>
          <w:sz w:val="28"/>
          <w:szCs w:val="28"/>
          <w:highlight w:val="none"/>
        </w:rPr>
      </w:pPr>
    </w:p>
    <w:p w14:paraId="1ECF6549">
      <w:pPr>
        <w:widowControl/>
        <w:jc w:val="left"/>
        <w:rPr>
          <w:rFonts w:ascii="宋体" w:hAnsi="宋体"/>
          <w:b/>
          <w:bCs/>
          <w:sz w:val="28"/>
          <w:szCs w:val="28"/>
          <w:highlight w:val="none"/>
        </w:rPr>
      </w:pPr>
    </w:p>
    <w:p w14:paraId="5CCDE787">
      <w:pPr>
        <w:widowControl/>
        <w:jc w:val="left"/>
        <w:rPr>
          <w:rFonts w:ascii="宋体" w:hAnsi="宋体"/>
          <w:bCs/>
          <w:kern w:val="0"/>
          <w:sz w:val="38"/>
          <w:szCs w:val="20"/>
          <w:highlight w:val="none"/>
        </w:rPr>
      </w:pPr>
    </w:p>
    <w:p w14:paraId="7EEFEE72">
      <w:pPr>
        <w:widowControl/>
        <w:jc w:val="left"/>
        <w:rPr>
          <w:rFonts w:ascii="宋体" w:hAnsi="宋体"/>
          <w:bCs/>
          <w:kern w:val="0"/>
          <w:sz w:val="38"/>
          <w:szCs w:val="20"/>
          <w:highlight w:val="none"/>
        </w:rPr>
      </w:pPr>
      <w:bookmarkStart w:id="250" w:name="_Toc34761245"/>
      <w:r>
        <w:rPr>
          <w:rFonts w:ascii="宋体" w:hAnsi="宋体"/>
          <w:bCs/>
          <w:sz w:val="38"/>
          <w:highlight w:val="none"/>
        </w:rPr>
        <w:br w:type="page"/>
      </w:r>
    </w:p>
    <w:p w14:paraId="1BB3EA7F">
      <w:pPr>
        <w:pStyle w:val="4"/>
        <w:spacing w:before="0" w:after="120" w:line="700" w:lineRule="exact"/>
        <w:rPr>
          <w:rFonts w:ascii="宋体" w:hAnsi="宋体" w:eastAsia="宋体"/>
          <w:b/>
          <w:spacing w:val="20"/>
          <w:sz w:val="32"/>
          <w:szCs w:val="32"/>
          <w:highlight w:val="none"/>
        </w:rPr>
      </w:pPr>
      <w:bookmarkStart w:id="251" w:name="_Toc6143"/>
      <w:r>
        <w:rPr>
          <w:rFonts w:hint="eastAsia" w:ascii="宋体" w:hAnsi="宋体" w:eastAsia="宋体"/>
          <w:bCs/>
          <w:sz w:val="38"/>
          <w:highlight w:val="none"/>
        </w:rPr>
        <w:t>封面</w:t>
      </w:r>
      <w:bookmarkEnd w:id="250"/>
      <w:bookmarkEnd w:id="251"/>
    </w:p>
    <w:p w14:paraId="3081C1EE">
      <w:pPr>
        <w:adjustRightInd w:val="0"/>
        <w:snapToGrid w:val="0"/>
        <w:spacing w:line="460" w:lineRule="atLeast"/>
        <w:ind w:left="380" w:hanging="380" w:hangingChars="100"/>
        <w:jc w:val="left"/>
        <w:rPr>
          <w:rFonts w:ascii="宋体" w:hAnsi="宋体"/>
          <w:b/>
          <w:spacing w:val="20"/>
          <w:sz w:val="32"/>
          <w:szCs w:val="32"/>
          <w:highlight w:val="none"/>
        </w:rPr>
      </w:pPr>
      <w:r>
        <w:rPr>
          <w:rFonts w:hint="eastAsia" w:ascii="宋体" w:hAnsi="宋体"/>
          <w:bCs/>
          <w:kern w:val="0"/>
          <w:sz w:val="38"/>
          <w:szCs w:val="20"/>
          <w:highlight w:val="none"/>
        </w:rPr>
        <w:t>（仅供参考）</w:t>
      </w:r>
    </w:p>
    <w:p w14:paraId="3FA7C7EB">
      <w:pPr>
        <w:adjustRightInd w:val="0"/>
        <w:snapToGrid w:val="0"/>
        <w:spacing w:line="460" w:lineRule="atLeast"/>
        <w:ind w:left="401" w:hanging="401" w:hangingChars="100"/>
        <w:rPr>
          <w:rFonts w:ascii="宋体" w:hAnsi="宋体"/>
          <w:b/>
          <w:spacing w:val="20"/>
          <w:sz w:val="36"/>
          <w:szCs w:val="36"/>
          <w:highlight w:val="none"/>
        </w:rPr>
      </w:pPr>
    </w:p>
    <w:p w14:paraId="53ECEE42">
      <w:pPr>
        <w:adjustRightInd w:val="0"/>
        <w:snapToGrid w:val="0"/>
        <w:spacing w:line="460" w:lineRule="atLeast"/>
        <w:ind w:left="401" w:hanging="401" w:hangingChars="100"/>
        <w:rPr>
          <w:rFonts w:ascii="宋体" w:hAnsi="宋体"/>
          <w:b/>
          <w:spacing w:val="20"/>
          <w:sz w:val="36"/>
          <w:szCs w:val="36"/>
          <w:highlight w:val="none"/>
        </w:rPr>
      </w:pPr>
    </w:p>
    <w:p w14:paraId="332FB5B8">
      <w:pPr>
        <w:adjustRightInd w:val="0"/>
        <w:snapToGrid w:val="0"/>
        <w:spacing w:line="460" w:lineRule="atLeast"/>
        <w:ind w:left="401" w:hanging="401" w:hangingChars="100"/>
        <w:rPr>
          <w:rFonts w:ascii="宋体" w:hAnsi="宋体"/>
          <w:b/>
          <w:spacing w:val="20"/>
          <w:sz w:val="36"/>
          <w:szCs w:val="36"/>
          <w:highlight w:val="none"/>
        </w:rPr>
      </w:pPr>
    </w:p>
    <w:p w14:paraId="274333EE">
      <w:pPr>
        <w:adjustRightInd w:val="0"/>
        <w:snapToGrid w:val="0"/>
        <w:spacing w:line="460" w:lineRule="atLeast"/>
        <w:ind w:left="401" w:hanging="401" w:hangingChars="100"/>
        <w:rPr>
          <w:rFonts w:ascii="宋体" w:hAnsi="宋体"/>
          <w:b/>
          <w:spacing w:val="20"/>
          <w:sz w:val="36"/>
          <w:szCs w:val="36"/>
          <w:highlight w:val="none"/>
        </w:rPr>
      </w:pPr>
    </w:p>
    <w:p w14:paraId="6E8362A8">
      <w:pPr>
        <w:spacing w:line="360" w:lineRule="auto"/>
        <w:jc w:val="center"/>
        <w:rPr>
          <w:rFonts w:ascii="宋体" w:hAnsi="宋体"/>
          <w:b/>
          <w:sz w:val="96"/>
          <w:szCs w:val="22"/>
          <w:highlight w:val="none"/>
        </w:rPr>
      </w:pPr>
      <w:r>
        <w:rPr>
          <w:rFonts w:hint="eastAsia" w:ascii="宋体" w:hAnsi="宋体"/>
          <w:b/>
          <w:sz w:val="96"/>
          <w:szCs w:val="22"/>
          <w:highlight w:val="none"/>
        </w:rPr>
        <w:t xml:space="preserve">投 </w:t>
      </w:r>
      <w:r>
        <w:rPr>
          <w:rFonts w:ascii="宋体" w:hAnsi="宋体"/>
          <w:b/>
          <w:sz w:val="96"/>
          <w:szCs w:val="22"/>
          <w:highlight w:val="none"/>
        </w:rPr>
        <w:t xml:space="preserve"> </w:t>
      </w:r>
      <w:r>
        <w:rPr>
          <w:rFonts w:hint="eastAsia" w:ascii="宋体" w:hAnsi="宋体"/>
          <w:b/>
          <w:sz w:val="96"/>
          <w:szCs w:val="22"/>
          <w:highlight w:val="none"/>
        </w:rPr>
        <w:t xml:space="preserve">标 </w:t>
      </w:r>
      <w:r>
        <w:rPr>
          <w:rFonts w:ascii="宋体" w:hAnsi="宋体"/>
          <w:b/>
          <w:sz w:val="96"/>
          <w:szCs w:val="22"/>
          <w:highlight w:val="none"/>
        </w:rPr>
        <w:t xml:space="preserve"> </w:t>
      </w:r>
      <w:r>
        <w:rPr>
          <w:rFonts w:hint="eastAsia" w:ascii="宋体" w:hAnsi="宋体"/>
          <w:b/>
          <w:sz w:val="96"/>
          <w:szCs w:val="22"/>
          <w:highlight w:val="none"/>
        </w:rPr>
        <w:t xml:space="preserve">文 </w:t>
      </w:r>
      <w:r>
        <w:rPr>
          <w:rFonts w:ascii="宋体" w:hAnsi="宋体"/>
          <w:b/>
          <w:sz w:val="96"/>
          <w:szCs w:val="22"/>
          <w:highlight w:val="none"/>
        </w:rPr>
        <w:t xml:space="preserve"> </w:t>
      </w:r>
      <w:r>
        <w:rPr>
          <w:rFonts w:hint="eastAsia" w:ascii="宋体" w:hAnsi="宋体"/>
          <w:b/>
          <w:sz w:val="96"/>
          <w:szCs w:val="22"/>
          <w:highlight w:val="none"/>
        </w:rPr>
        <w:t>件</w:t>
      </w:r>
    </w:p>
    <w:p w14:paraId="4EC1DA87">
      <w:pPr>
        <w:spacing w:line="360" w:lineRule="auto"/>
        <w:jc w:val="center"/>
        <w:rPr>
          <w:rFonts w:ascii="宋体" w:hAnsi="宋体"/>
          <w:b/>
          <w:sz w:val="44"/>
          <w:szCs w:val="44"/>
          <w:highlight w:val="none"/>
        </w:rPr>
      </w:pPr>
    </w:p>
    <w:p w14:paraId="46D4CB68">
      <w:pPr>
        <w:spacing w:line="360" w:lineRule="auto"/>
        <w:jc w:val="center"/>
        <w:rPr>
          <w:rFonts w:ascii="宋体" w:hAnsi="宋体"/>
          <w:b/>
          <w:sz w:val="44"/>
          <w:szCs w:val="44"/>
          <w:highlight w:val="none"/>
        </w:rPr>
      </w:pPr>
      <w:r>
        <w:rPr>
          <w:rFonts w:hint="eastAsia" w:ascii="宋体" w:hAnsi="宋体"/>
          <w:b/>
          <w:sz w:val="44"/>
          <w:szCs w:val="44"/>
          <w:highlight w:val="none"/>
        </w:rPr>
        <w:t>（资格文件/报价文件/商务技术文件）</w:t>
      </w:r>
    </w:p>
    <w:p w14:paraId="3A020C49">
      <w:pPr>
        <w:spacing w:line="360" w:lineRule="auto"/>
        <w:rPr>
          <w:rFonts w:ascii="宋体" w:hAnsi="宋体"/>
          <w:b/>
          <w:szCs w:val="22"/>
          <w:highlight w:val="none"/>
        </w:rPr>
      </w:pPr>
    </w:p>
    <w:p w14:paraId="400A26F6">
      <w:pPr>
        <w:spacing w:line="360" w:lineRule="auto"/>
        <w:rPr>
          <w:rFonts w:ascii="宋体" w:hAnsi="宋体"/>
          <w:b/>
          <w:szCs w:val="22"/>
          <w:highlight w:val="none"/>
        </w:rPr>
      </w:pPr>
    </w:p>
    <w:p w14:paraId="12EA5FE7">
      <w:pPr>
        <w:spacing w:line="360" w:lineRule="auto"/>
        <w:rPr>
          <w:rFonts w:ascii="宋体" w:hAnsi="宋体"/>
          <w:b/>
          <w:szCs w:val="22"/>
          <w:highlight w:val="none"/>
        </w:rPr>
      </w:pPr>
    </w:p>
    <w:p w14:paraId="4CFFD01D">
      <w:pPr>
        <w:spacing w:line="360" w:lineRule="auto"/>
        <w:rPr>
          <w:rFonts w:ascii="宋体" w:hAnsi="宋体"/>
          <w:b/>
          <w:szCs w:val="22"/>
          <w:highlight w:val="none"/>
        </w:rPr>
      </w:pPr>
    </w:p>
    <w:p w14:paraId="3F921915">
      <w:pPr>
        <w:spacing w:line="360" w:lineRule="auto"/>
        <w:rPr>
          <w:rFonts w:ascii="宋体" w:hAnsi="宋体"/>
          <w:b/>
          <w:szCs w:val="22"/>
          <w:highlight w:val="none"/>
        </w:rPr>
      </w:pPr>
    </w:p>
    <w:p w14:paraId="1EE40E05">
      <w:pPr>
        <w:spacing w:line="360" w:lineRule="auto"/>
        <w:ind w:firstLine="1276" w:firstLineChars="454"/>
        <w:rPr>
          <w:rFonts w:ascii="宋体" w:hAnsi="宋体"/>
          <w:b/>
          <w:sz w:val="36"/>
          <w:szCs w:val="22"/>
          <w:highlight w:val="none"/>
          <w:u w:val="single"/>
        </w:rPr>
      </w:pPr>
      <w:r>
        <w:rPr>
          <w:rFonts w:hint="eastAsia" w:ascii="宋体" w:hAnsi="宋体"/>
          <w:b/>
          <w:sz w:val="28"/>
          <w:szCs w:val="22"/>
          <w:highlight w:val="none"/>
        </w:rPr>
        <w:t>项目名称：</w:t>
      </w:r>
      <w:r>
        <w:rPr>
          <w:rFonts w:hint="eastAsia" w:ascii="宋体" w:hAnsi="宋体"/>
          <w:b/>
          <w:sz w:val="28"/>
          <w:szCs w:val="22"/>
          <w:highlight w:val="none"/>
          <w:u w:val="single"/>
        </w:rPr>
        <w:t xml:space="preserve">                                 </w:t>
      </w:r>
    </w:p>
    <w:p w14:paraId="5DD28695">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项目编号：</w:t>
      </w:r>
      <w:r>
        <w:rPr>
          <w:rFonts w:hint="eastAsia" w:ascii="宋体" w:hAnsi="宋体"/>
          <w:b/>
          <w:sz w:val="28"/>
          <w:szCs w:val="22"/>
          <w:highlight w:val="none"/>
          <w:u w:val="single"/>
        </w:rPr>
        <w:t xml:space="preserve">                                 </w:t>
      </w:r>
    </w:p>
    <w:p w14:paraId="03F22B3F">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投标单位：</w:t>
      </w:r>
      <w:r>
        <w:rPr>
          <w:rFonts w:hint="eastAsia" w:ascii="宋体" w:hAnsi="宋体"/>
          <w:b/>
          <w:sz w:val="28"/>
          <w:szCs w:val="22"/>
          <w:highlight w:val="none"/>
          <w:u w:val="single"/>
        </w:rPr>
        <w:t xml:space="preserve">                  </w:t>
      </w:r>
      <w:r>
        <w:rPr>
          <w:rFonts w:ascii="宋体" w:hAnsi="宋体"/>
          <w:b/>
          <w:sz w:val="28"/>
          <w:szCs w:val="22"/>
          <w:highlight w:val="none"/>
          <w:u w:val="single"/>
        </w:rPr>
        <w:t xml:space="preserve">        </w:t>
      </w:r>
      <w:r>
        <w:rPr>
          <w:rFonts w:hint="eastAsia" w:ascii="宋体" w:hAnsi="宋体"/>
          <w:b/>
          <w:sz w:val="28"/>
          <w:szCs w:val="22"/>
          <w:highlight w:val="none"/>
          <w:u w:val="single"/>
        </w:rPr>
        <w:t xml:space="preserve">       </w:t>
      </w:r>
    </w:p>
    <w:p w14:paraId="41E4B49E">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日期：</w:t>
      </w:r>
      <w:r>
        <w:rPr>
          <w:rFonts w:hint="eastAsia" w:ascii="宋体" w:hAnsi="宋体"/>
          <w:b/>
          <w:sz w:val="28"/>
          <w:szCs w:val="22"/>
          <w:highlight w:val="none"/>
          <w:u w:val="single"/>
        </w:rPr>
        <w:t xml:space="preserve">                                     </w:t>
      </w:r>
    </w:p>
    <w:p w14:paraId="50314A34">
      <w:pPr>
        <w:spacing w:line="360" w:lineRule="auto"/>
        <w:ind w:firstLine="1276" w:firstLineChars="454"/>
        <w:rPr>
          <w:rFonts w:ascii="宋体" w:hAnsi="宋体"/>
          <w:b/>
          <w:sz w:val="28"/>
          <w:szCs w:val="22"/>
          <w:highlight w:val="none"/>
          <w:u w:val="single"/>
        </w:rPr>
      </w:pPr>
    </w:p>
    <w:p w14:paraId="0B5B5A9F">
      <w:pPr>
        <w:widowControl/>
        <w:jc w:val="left"/>
        <w:rPr>
          <w:rFonts w:ascii="宋体" w:hAnsi="宋体"/>
          <w:bCs/>
          <w:kern w:val="0"/>
          <w:sz w:val="38"/>
          <w:szCs w:val="20"/>
          <w:highlight w:val="none"/>
        </w:rPr>
      </w:pPr>
      <w:bookmarkStart w:id="252" w:name="_Toc38811935"/>
      <w:r>
        <w:rPr>
          <w:rFonts w:ascii="宋体" w:hAnsi="宋体"/>
          <w:bCs/>
          <w:sz w:val="38"/>
          <w:highlight w:val="none"/>
        </w:rPr>
        <w:br w:type="page"/>
      </w:r>
      <w:bookmarkEnd w:id="240"/>
      <w:bookmarkEnd w:id="241"/>
      <w:bookmarkEnd w:id="242"/>
      <w:bookmarkEnd w:id="243"/>
      <w:bookmarkEnd w:id="244"/>
      <w:bookmarkEnd w:id="245"/>
      <w:bookmarkEnd w:id="246"/>
      <w:bookmarkEnd w:id="247"/>
      <w:bookmarkEnd w:id="248"/>
      <w:bookmarkEnd w:id="249"/>
      <w:bookmarkEnd w:id="252"/>
    </w:p>
    <w:p w14:paraId="751D8F59">
      <w:pPr>
        <w:pStyle w:val="2"/>
        <w:tabs>
          <w:tab w:val="left" w:pos="1703"/>
          <w:tab w:val="center" w:pos="4819"/>
        </w:tabs>
        <w:spacing w:before="240" w:beforeLines="100"/>
        <w:rPr>
          <w:rFonts w:ascii="宋体" w:hAnsi="宋体" w:eastAsia="宋体"/>
          <w:sz w:val="36"/>
          <w:szCs w:val="36"/>
          <w:highlight w:val="none"/>
        </w:rPr>
      </w:pPr>
      <w:bookmarkStart w:id="253" w:name="_Toc583"/>
      <w:r>
        <w:rPr>
          <w:rFonts w:hint="eastAsia" w:ascii="宋体" w:hAnsi="宋体" w:eastAsia="宋体"/>
          <w:sz w:val="36"/>
          <w:szCs w:val="36"/>
          <w:highlight w:val="none"/>
        </w:rPr>
        <w:t>第四部分   采购内容及要求</w:t>
      </w:r>
      <w:bookmarkEnd w:id="253"/>
    </w:p>
    <w:p w14:paraId="3C6A0F3C">
      <w:pPr>
        <w:spacing w:line="480" w:lineRule="exact"/>
        <w:jc w:val="left"/>
        <w:rPr>
          <w:rFonts w:ascii="宋体" w:hAnsi="宋体" w:cs="宋体"/>
          <w:b/>
          <w:bCs/>
          <w:color w:val="auto"/>
          <w:szCs w:val="21"/>
          <w:highlight w:val="none"/>
        </w:rPr>
      </w:pPr>
      <w:bookmarkStart w:id="254" w:name="_Toc8896"/>
      <w:bookmarkStart w:id="255" w:name="_Toc223717614"/>
      <w:bookmarkStart w:id="256" w:name="_Toc227057043"/>
      <w:bookmarkStart w:id="257" w:name="_Toc227489897"/>
      <w:bookmarkStart w:id="258" w:name="_Toc227056860"/>
      <w:bookmarkStart w:id="259" w:name="_Toc223933231"/>
      <w:r>
        <w:rPr>
          <w:rFonts w:hint="eastAsia" w:ascii="宋体" w:hAnsi="宋体" w:cs="宋体"/>
          <w:b/>
          <w:bCs/>
          <w:color w:val="auto"/>
          <w:szCs w:val="21"/>
          <w:highlight w:val="none"/>
        </w:rPr>
        <w:t>第一部分  采购内容及需求</w:t>
      </w:r>
    </w:p>
    <w:bookmarkEnd w:id="254"/>
    <w:p w14:paraId="5D16120D">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w:t>
      </w:r>
      <w:r>
        <w:rPr>
          <w:rFonts w:hint="eastAsia" w:ascii="宋体" w:hAnsi="宋体"/>
          <w:b/>
          <w:bCs/>
          <w:color w:val="auto"/>
          <w:szCs w:val="21"/>
          <w:highlight w:val="none"/>
          <w:lang w:eastAsia="zh-CN"/>
        </w:rPr>
        <w:t>主要服务</w:t>
      </w:r>
      <w:r>
        <w:rPr>
          <w:rFonts w:hint="eastAsia" w:ascii="宋体" w:hAnsi="宋体"/>
          <w:b/>
          <w:bCs/>
          <w:color w:val="auto"/>
          <w:szCs w:val="21"/>
          <w:highlight w:val="none"/>
        </w:rPr>
        <w:t>内容及要求</w:t>
      </w:r>
    </w:p>
    <w:p w14:paraId="385F6AB3">
      <w:pPr>
        <w:widowControl/>
        <w:shd w:val="clear" w:color="auto" w:fill="FFFFFF"/>
        <w:spacing w:line="360" w:lineRule="auto"/>
        <w:ind w:firstLine="480"/>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欧湾华庭、臻湾华庭存量房代销项目</w:t>
      </w:r>
      <w:r>
        <w:rPr>
          <w:rFonts w:hint="eastAsia" w:ascii="宋体" w:hAnsi="宋体" w:eastAsia="宋体" w:cs="宋体"/>
          <w:color w:val="auto"/>
          <w:szCs w:val="21"/>
          <w:highlight w:val="none"/>
          <w:lang w:val="en-US" w:eastAsia="zh-CN"/>
        </w:rPr>
        <w:t>包括:负责销售代理服务团队组建；负责市场调查研究分析、提交销售价格建议；负责项目营销策划和销售广告宣传（含媒体宣传、平面宣传与文本图册宣传等）；负责日常销售实施和管理；负责销售合同拟定、备案、签订和管理；负责前期蓄客及客户的退房、投诉处理；负责办理按揭贷款、催收资金回笼；负责房款结算、交房及前期物业的对接等本项目所有营销的相关手续办理</w:t>
      </w:r>
      <w:r>
        <w:rPr>
          <w:rFonts w:hint="eastAsia" w:ascii="宋体" w:hAnsi="宋体" w:cs="宋体"/>
          <w:color w:val="auto"/>
          <w:szCs w:val="21"/>
          <w:highlight w:val="none"/>
          <w:lang w:val="en-US" w:eastAsia="zh-CN"/>
        </w:rPr>
        <w:t>等工作</w:t>
      </w:r>
      <w:r>
        <w:rPr>
          <w:rFonts w:hint="eastAsia" w:ascii="宋体" w:hAnsi="宋体" w:eastAsia="宋体" w:cs="宋体"/>
          <w:color w:val="auto"/>
          <w:szCs w:val="21"/>
          <w:highlight w:val="none"/>
          <w:lang w:val="en-US" w:eastAsia="zh-CN"/>
        </w:rPr>
        <w:t>。</w:t>
      </w:r>
    </w:p>
    <w:p w14:paraId="2EFADA72">
      <w:pPr>
        <w:widowControl/>
        <w:shd w:val="clear" w:color="auto" w:fill="FFFFFF"/>
        <w:spacing w:line="360" w:lineRule="auto"/>
        <w:ind w:firstLine="480"/>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主要服务</w:t>
      </w:r>
      <w:r>
        <w:rPr>
          <w:rFonts w:hint="eastAsia" w:ascii="宋体" w:hAnsi="宋体" w:cs="宋体"/>
          <w:b/>
          <w:bCs/>
          <w:color w:val="auto"/>
          <w:szCs w:val="21"/>
          <w:highlight w:val="none"/>
          <w:lang w:val="en-US" w:eastAsia="zh-CN"/>
        </w:rPr>
        <w:t>要求</w:t>
      </w:r>
    </w:p>
    <w:p w14:paraId="0A680854">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市场调研与分析：（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整体市场综合研判；（</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区域市场研判；（</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资源研判；（</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竞争调研与分析。</w:t>
      </w:r>
    </w:p>
    <w:p w14:paraId="0BC5CE74">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市场定位：（</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目标市场定位策略建议；（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目标客群消费及需求分析；（</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产品定位策略建议；（</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 xml:space="preserve">营销要点测评。 </w:t>
      </w:r>
    </w:p>
    <w:p w14:paraId="1115BB87">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产品定位：（</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产品主体概念定位；（</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产品功能定位；（</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产品形象定位。</w:t>
      </w:r>
    </w:p>
    <w:p w14:paraId="0C4E99D6">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产品表示与展现：（</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展示表现方式及方案企划和过程监督、验收。（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产品展示展位形象设计。</w:t>
      </w:r>
    </w:p>
    <w:p w14:paraId="755DC6D9">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营销策划: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营销策略拟定；（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营销战术策划；（</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整体包装策划；（</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活动营销策划；（</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公共关系策划；（</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销售价格方案，向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eastAsia="zh-CN"/>
        </w:rPr>
        <w:t>申报两个预售价格；价格一：达到本项目盈亏平衡点的</w:t>
      </w:r>
      <w:r>
        <w:rPr>
          <w:rFonts w:hint="eastAsia" w:ascii="宋体" w:hAnsi="宋体" w:cs="宋体"/>
          <w:color w:val="auto"/>
          <w:szCs w:val="21"/>
          <w:highlight w:val="none"/>
          <w:lang w:val="en-US" w:eastAsia="zh-CN"/>
        </w:rPr>
        <w:t>销售</w:t>
      </w:r>
      <w:r>
        <w:rPr>
          <w:rFonts w:hint="eastAsia" w:ascii="宋体" w:hAnsi="宋体" w:eastAsia="宋体" w:cs="宋体"/>
          <w:color w:val="auto"/>
          <w:szCs w:val="21"/>
          <w:highlight w:val="none"/>
          <w:lang w:eastAsia="zh-CN"/>
        </w:rPr>
        <w:t>均价和一房一价。价格二：在盈亏平衡点之上认为可销售的</w:t>
      </w:r>
      <w:r>
        <w:rPr>
          <w:rFonts w:hint="eastAsia" w:ascii="宋体" w:hAnsi="宋体" w:cs="宋体"/>
          <w:color w:val="auto"/>
          <w:szCs w:val="21"/>
          <w:highlight w:val="none"/>
          <w:lang w:val="en-US" w:eastAsia="zh-CN"/>
        </w:rPr>
        <w:t>销售</w:t>
      </w:r>
      <w:r>
        <w:rPr>
          <w:rFonts w:hint="eastAsia" w:ascii="宋体" w:hAnsi="宋体" w:eastAsia="宋体" w:cs="宋体"/>
          <w:color w:val="auto"/>
          <w:szCs w:val="21"/>
          <w:highlight w:val="none"/>
          <w:lang w:eastAsia="zh-CN"/>
        </w:rPr>
        <w:t>均价和一房一价。价格不得违背市场常规定价规律，最终以书面形式报</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eastAsia="zh-CN"/>
        </w:rPr>
        <w:t>同意后实施。</w:t>
      </w:r>
    </w:p>
    <w:p w14:paraId="03D0C8A5">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广告宣传：（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广告定位确定；（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媒体策略拟定；（</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广告内容设计；（</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销售资料和道具制作；（</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营销广告宣传；</w:t>
      </w:r>
    </w:p>
    <w:p w14:paraId="4876AC56">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销售日常管理：（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销售人员培训和管理；（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活动方案拟定及执行；（</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销售方案拟定及执行；（</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销售合同的拟定、备案、签订和管理；（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销售案场管理；（</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办理按揭贷款及时催收资金回笼。</w:t>
      </w:r>
    </w:p>
    <w:p w14:paraId="78EBCCAE">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负责房款结算、交房及前期物业的对接配合物业管理服务单位组织前期的物业管理服务工作。</w:t>
      </w:r>
    </w:p>
    <w:p w14:paraId="0981BCB2">
      <w:pPr>
        <w:snapToGrid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其他营销及</w:t>
      </w:r>
      <w:r>
        <w:rPr>
          <w:rFonts w:hint="eastAsia" w:ascii="宋体" w:hAnsi="宋体" w:eastAsia="宋体" w:cs="宋体"/>
          <w:color w:val="auto"/>
          <w:szCs w:val="21"/>
          <w:highlight w:val="none"/>
          <w:lang w:val="en-US" w:eastAsia="zh-CN"/>
        </w:rPr>
        <w:t>房票</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lang w:val="en-US" w:eastAsia="zh-CN"/>
        </w:rPr>
        <w:t>相关手续办理</w:t>
      </w:r>
      <w:r>
        <w:rPr>
          <w:rFonts w:hint="eastAsia" w:ascii="宋体" w:hAnsi="宋体" w:eastAsia="宋体" w:cs="宋体"/>
          <w:color w:val="auto"/>
          <w:szCs w:val="21"/>
          <w:highlight w:val="none"/>
          <w:lang w:eastAsia="zh-CN"/>
        </w:rPr>
        <w:t>的相关工作。</w:t>
      </w:r>
    </w:p>
    <w:p w14:paraId="75875168">
      <w:pPr>
        <w:snapToGrid w:val="0"/>
        <w:spacing w:line="36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采购清单</w:t>
      </w:r>
    </w:p>
    <w:tbl>
      <w:tblPr>
        <w:tblStyle w:val="33"/>
        <w:tblW w:w="4777"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133"/>
        <w:gridCol w:w="1315"/>
        <w:gridCol w:w="984"/>
        <w:gridCol w:w="1149"/>
        <w:gridCol w:w="1443"/>
        <w:gridCol w:w="694"/>
      </w:tblGrid>
      <w:tr w14:paraId="338D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70" w:type="pct"/>
            <w:noWrap w:val="0"/>
            <w:vAlign w:val="center"/>
          </w:tcPr>
          <w:p w14:paraId="4092D63F">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663" w:type="pct"/>
            <w:noWrap w:val="0"/>
            <w:vAlign w:val="center"/>
          </w:tcPr>
          <w:p w14:paraId="53DF77A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采购内容</w:t>
            </w:r>
          </w:p>
        </w:tc>
        <w:tc>
          <w:tcPr>
            <w:tcW w:w="698" w:type="pct"/>
            <w:noWrap w:val="0"/>
            <w:vAlign w:val="center"/>
          </w:tcPr>
          <w:p w14:paraId="2FB9E79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销售金额</w:t>
            </w:r>
            <w:r>
              <w:rPr>
                <w:rFonts w:hint="eastAsia" w:ascii="宋体" w:hAnsi="宋体" w:eastAsia="宋体" w:cs="宋体"/>
                <w:b/>
                <w:color w:val="auto"/>
                <w:sz w:val="21"/>
                <w:szCs w:val="21"/>
                <w:highlight w:val="none"/>
                <w:lang w:val="en-US" w:eastAsia="zh-CN"/>
              </w:rPr>
              <w:t>（暂定）</w:t>
            </w:r>
            <w:r>
              <w:rPr>
                <w:rFonts w:hint="eastAsia" w:ascii="宋体" w:hAnsi="宋体" w:cs="宋体"/>
                <w:b/>
                <w:color w:val="auto"/>
                <w:sz w:val="21"/>
                <w:szCs w:val="21"/>
                <w:highlight w:val="none"/>
                <w:lang w:val="en-US" w:eastAsia="zh-CN"/>
              </w:rPr>
              <w:t>（万元）</w:t>
            </w:r>
          </w:p>
        </w:tc>
        <w:tc>
          <w:tcPr>
            <w:tcW w:w="522" w:type="pct"/>
            <w:noWrap w:val="0"/>
            <w:vAlign w:val="center"/>
          </w:tcPr>
          <w:p w14:paraId="0D0E48F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面积</w:t>
            </w:r>
            <w:r>
              <w:rPr>
                <w:rFonts w:hint="eastAsia" w:ascii="宋体" w:hAnsi="宋体" w:eastAsia="宋体" w:cs="宋体"/>
                <w:b/>
                <w:color w:val="auto"/>
                <w:sz w:val="21"/>
                <w:szCs w:val="21"/>
                <w:highlight w:val="none"/>
                <w:lang w:val="en-US" w:eastAsia="zh-CN"/>
              </w:rPr>
              <w:t>（暂定）</w:t>
            </w:r>
          </w:p>
          <w:p w14:paraId="1919CFA4">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w:t>
            </w:r>
            <w:r>
              <w:rPr>
                <w:rFonts w:hint="eastAsia" w:ascii="宋体" w:hAnsi="宋体" w:cs="宋体"/>
                <w:color w:val="auto"/>
                <w:sz w:val="21"/>
                <w:szCs w:val="21"/>
                <w:highlight w:val="none"/>
                <w:lang w:val="en-US" w:eastAsia="zh-CN"/>
              </w:rPr>
              <w:t>㎡</w:t>
            </w:r>
            <w:r>
              <w:rPr>
                <w:rFonts w:hint="eastAsia" w:ascii="宋体" w:hAnsi="宋体" w:cs="宋体"/>
                <w:b/>
                <w:color w:val="auto"/>
                <w:sz w:val="21"/>
                <w:szCs w:val="21"/>
                <w:highlight w:val="none"/>
                <w:lang w:val="en-US" w:eastAsia="zh-CN"/>
              </w:rPr>
              <w:t>）</w:t>
            </w:r>
          </w:p>
        </w:tc>
        <w:tc>
          <w:tcPr>
            <w:tcW w:w="610" w:type="pct"/>
            <w:shd w:val="clear" w:color="auto" w:fill="auto"/>
            <w:noWrap w:val="0"/>
            <w:vAlign w:val="center"/>
          </w:tcPr>
          <w:p w14:paraId="07FE7E2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销售</w:t>
            </w:r>
            <w:r>
              <w:rPr>
                <w:rFonts w:hint="eastAsia" w:ascii="宋体" w:hAnsi="宋体" w:eastAsia="宋体" w:cs="宋体"/>
                <w:b/>
                <w:color w:val="auto"/>
                <w:sz w:val="21"/>
                <w:szCs w:val="21"/>
                <w:highlight w:val="none"/>
                <w:lang w:val="en-US" w:eastAsia="zh-CN"/>
              </w:rPr>
              <w:t>数量（暂定）</w:t>
            </w:r>
          </w:p>
          <w:p w14:paraId="13D22B87">
            <w:pPr>
              <w:keepNext w:val="0"/>
              <w:keepLines w:val="0"/>
              <w:suppressLineNumbers w:val="0"/>
              <w:spacing w:before="0" w:beforeAutospacing="0" w:after="0" w:afterAutospacing="0"/>
              <w:ind w:left="0" w:leftChars="0" w:right="0" w:rightChars="0"/>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（套）</w:t>
            </w:r>
          </w:p>
        </w:tc>
        <w:tc>
          <w:tcPr>
            <w:tcW w:w="766" w:type="pct"/>
            <w:shd w:val="clear" w:color="auto" w:fill="auto"/>
            <w:noWrap w:val="0"/>
            <w:vAlign w:val="center"/>
          </w:tcPr>
          <w:p w14:paraId="19E85185">
            <w:pPr>
              <w:keepNext w:val="0"/>
              <w:keepLines w:val="0"/>
              <w:suppressLineNumbers w:val="0"/>
              <w:spacing w:before="0" w:beforeAutospacing="0" w:after="0" w:afterAutospacing="0"/>
              <w:ind w:left="0" w:leftChars="0" w:right="0" w:rightChars="0"/>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代销服务费最高限价（万元）</w:t>
            </w:r>
          </w:p>
        </w:tc>
        <w:tc>
          <w:tcPr>
            <w:tcW w:w="368" w:type="pct"/>
            <w:noWrap w:val="0"/>
            <w:vAlign w:val="center"/>
          </w:tcPr>
          <w:p w14:paraId="2E970D71">
            <w:pPr>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7FD8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70" w:type="pct"/>
            <w:noWrap w:val="0"/>
            <w:vAlign w:val="center"/>
          </w:tcPr>
          <w:p w14:paraId="52E0F8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63" w:type="pct"/>
            <w:noWrap w:val="0"/>
            <w:vAlign w:val="center"/>
          </w:tcPr>
          <w:p w14:paraId="1D75996C">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瓯海区欧湾华庭代理销售</w:t>
            </w:r>
          </w:p>
        </w:tc>
        <w:tc>
          <w:tcPr>
            <w:tcW w:w="698" w:type="pct"/>
            <w:noWrap w:val="0"/>
            <w:vAlign w:val="center"/>
          </w:tcPr>
          <w:p w14:paraId="7DE91A76">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14539</w:t>
            </w:r>
          </w:p>
        </w:tc>
        <w:tc>
          <w:tcPr>
            <w:tcW w:w="522" w:type="pct"/>
            <w:noWrap w:val="0"/>
            <w:vAlign w:val="center"/>
          </w:tcPr>
          <w:p w14:paraId="473B90F5">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9007</w:t>
            </w:r>
          </w:p>
        </w:tc>
        <w:tc>
          <w:tcPr>
            <w:tcW w:w="610" w:type="pct"/>
            <w:shd w:val="clear" w:color="auto" w:fill="auto"/>
            <w:noWrap w:val="0"/>
            <w:vAlign w:val="center"/>
          </w:tcPr>
          <w:p w14:paraId="4A0015C7">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92</w:t>
            </w:r>
          </w:p>
        </w:tc>
        <w:tc>
          <w:tcPr>
            <w:tcW w:w="766" w:type="pct"/>
            <w:shd w:val="clear" w:color="auto" w:fill="auto"/>
            <w:noWrap w:val="0"/>
            <w:vAlign w:val="center"/>
          </w:tcPr>
          <w:p w14:paraId="11BB2E94">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726.95</w:t>
            </w:r>
          </w:p>
        </w:tc>
        <w:tc>
          <w:tcPr>
            <w:tcW w:w="368" w:type="pct"/>
            <w:noWrap w:val="0"/>
            <w:vAlign w:val="center"/>
          </w:tcPr>
          <w:p w14:paraId="77D404A0">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p>
        </w:tc>
      </w:tr>
      <w:tr w14:paraId="1A21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70" w:type="pct"/>
            <w:noWrap w:val="0"/>
            <w:vAlign w:val="center"/>
          </w:tcPr>
          <w:p w14:paraId="17E4A3CF">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63" w:type="pct"/>
            <w:noWrap w:val="0"/>
            <w:vAlign w:val="center"/>
          </w:tcPr>
          <w:p w14:paraId="4D9E5B76">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臻湾华庭住宅代理销售</w:t>
            </w:r>
          </w:p>
        </w:tc>
        <w:tc>
          <w:tcPr>
            <w:tcW w:w="698" w:type="pct"/>
            <w:noWrap w:val="0"/>
            <w:vAlign w:val="center"/>
          </w:tcPr>
          <w:p w14:paraId="728355C9">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6479</w:t>
            </w:r>
          </w:p>
        </w:tc>
        <w:tc>
          <w:tcPr>
            <w:tcW w:w="522" w:type="pct"/>
            <w:noWrap w:val="0"/>
            <w:vAlign w:val="center"/>
          </w:tcPr>
          <w:p w14:paraId="47EBA83D">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4678</w:t>
            </w:r>
          </w:p>
        </w:tc>
        <w:tc>
          <w:tcPr>
            <w:tcW w:w="610" w:type="pct"/>
            <w:shd w:val="clear" w:color="auto" w:fill="auto"/>
            <w:noWrap w:val="0"/>
            <w:vAlign w:val="center"/>
          </w:tcPr>
          <w:p w14:paraId="6284A06D">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52</w:t>
            </w:r>
          </w:p>
        </w:tc>
        <w:tc>
          <w:tcPr>
            <w:tcW w:w="766" w:type="pct"/>
            <w:shd w:val="clear" w:color="auto" w:fill="auto"/>
            <w:noWrap w:val="0"/>
            <w:vAlign w:val="center"/>
          </w:tcPr>
          <w:p w14:paraId="4F685B7C">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323.95</w:t>
            </w:r>
          </w:p>
        </w:tc>
        <w:tc>
          <w:tcPr>
            <w:tcW w:w="368" w:type="pct"/>
            <w:noWrap w:val="0"/>
            <w:vAlign w:val="center"/>
          </w:tcPr>
          <w:p w14:paraId="6C71C1D5">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p>
        </w:tc>
      </w:tr>
    </w:tbl>
    <w:p w14:paraId="4DDE87AC">
      <w:pPr>
        <w:snapToGrid w:val="0"/>
        <w:spacing w:line="360" w:lineRule="auto"/>
        <w:ind w:firstLine="420" w:firstLineChars="200"/>
        <w:jc w:val="both"/>
        <w:rPr>
          <w:rFonts w:hint="default" w:ascii="宋体" w:hAnsi="宋体" w:cs="宋体"/>
          <w:color w:val="auto"/>
          <w:szCs w:val="21"/>
          <w:highlight w:val="none"/>
          <w:lang w:val="en-US" w:eastAsia="zh-CN"/>
        </w:rPr>
      </w:pPr>
    </w:p>
    <w:p w14:paraId="746DA0E7">
      <w:pPr>
        <w:spacing w:before="120" w:beforeLines="50" w:after="120" w:afterLines="50"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rPr>
        <w:t>三</w:t>
      </w:r>
      <w:r>
        <w:rPr>
          <w:rFonts w:ascii="宋体" w:hAnsi="宋体"/>
          <w:b/>
          <w:bCs/>
          <w:color w:val="auto"/>
          <w:szCs w:val="21"/>
          <w:highlight w:val="none"/>
        </w:rPr>
        <w:t>、</w:t>
      </w:r>
      <w:r>
        <w:rPr>
          <w:rFonts w:hint="eastAsia" w:ascii="宋体" w:hAnsi="宋体"/>
          <w:b/>
          <w:bCs/>
          <w:color w:val="auto"/>
          <w:szCs w:val="21"/>
          <w:highlight w:val="none"/>
        </w:rPr>
        <w:t>付款方式</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详见合同内容</w:t>
      </w:r>
    </w:p>
    <w:p w14:paraId="1A6F5C00">
      <w:pPr>
        <w:widowControl/>
        <w:shd w:val="clear" w:color="auto" w:fill="FFFFFF"/>
        <w:spacing w:line="360" w:lineRule="auto"/>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四</w:t>
      </w:r>
      <w:r>
        <w:rPr>
          <w:rFonts w:ascii="宋体" w:hAnsi="宋体"/>
          <w:b/>
          <w:bCs/>
          <w:color w:val="auto"/>
          <w:szCs w:val="21"/>
          <w:highlight w:val="none"/>
        </w:rPr>
        <w:t>、</w:t>
      </w:r>
      <w:r>
        <w:rPr>
          <w:rFonts w:hint="eastAsia" w:ascii="宋体" w:hAnsi="宋体"/>
          <w:b/>
          <w:bCs/>
          <w:color w:val="auto"/>
          <w:szCs w:val="21"/>
          <w:highlight w:val="none"/>
        </w:rPr>
        <w:t>履约</w:t>
      </w:r>
      <w:r>
        <w:rPr>
          <w:rFonts w:hint="eastAsia" w:ascii="宋体" w:hAnsi="宋体"/>
          <w:b/>
          <w:bCs/>
          <w:color w:val="auto"/>
          <w:szCs w:val="21"/>
          <w:highlight w:val="none"/>
          <w:lang w:eastAsia="zh-CN"/>
        </w:rPr>
        <w:t>保证金</w:t>
      </w:r>
    </w:p>
    <w:p w14:paraId="29C6687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rPr>
        <w:t>金额：签约合同价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暂定）的2%</w:t>
      </w:r>
      <w:r>
        <w:rPr>
          <w:rFonts w:hint="eastAsia" w:ascii="宋体" w:hAnsi="宋体"/>
          <w:color w:val="auto"/>
          <w:szCs w:val="21"/>
          <w:highlight w:val="none"/>
        </w:rPr>
        <w:t>；</w:t>
      </w:r>
    </w:p>
    <w:p w14:paraId="5437220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缴纳方式：</w:t>
      </w:r>
      <w:r>
        <w:rPr>
          <w:rFonts w:hint="eastAsia" w:ascii="宋体" w:hAnsi="宋体" w:cs="宋体"/>
          <w:color w:val="auto"/>
          <w:szCs w:val="21"/>
          <w:highlight w:val="none"/>
          <w:lang w:val="en-US" w:eastAsia="zh-CN"/>
        </w:rPr>
        <w:t>现金或</w:t>
      </w:r>
      <w:r>
        <w:rPr>
          <w:rFonts w:hint="eastAsia" w:ascii="宋体" w:hAnsi="宋体"/>
          <w:color w:val="auto"/>
          <w:szCs w:val="21"/>
          <w:highlight w:val="none"/>
          <w:lang w:val="en-US" w:eastAsia="zh-CN"/>
        </w:rPr>
        <w:t>银行保函或工程综合保险合同或担保保函（由政策融资担保有限公司出具，格式按担保公司规定执行）</w:t>
      </w:r>
      <w:r>
        <w:rPr>
          <w:rFonts w:hint="eastAsia" w:ascii="宋体" w:hAnsi="宋体"/>
          <w:color w:val="auto"/>
          <w:szCs w:val="21"/>
          <w:highlight w:val="none"/>
        </w:rPr>
        <w:t>；</w:t>
      </w:r>
    </w:p>
    <w:p w14:paraId="19EDE16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缴纳时间：合同签订后一个月以内；</w:t>
      </w:r>
    </w:p>
    <w:p w14:paraId="1989D5B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lang w:val="en-US" w:eastAsia="zh-CN"/>
        </w:rPr>
        <w:t>的</w:t>
      </w:r>
      <w:r>
        <w:rPr>
          <w:rFonts w:hint="eastAsia" w:ascii="宋体" w:hAnsi="宋体"/>
          <w:color w:val="auto"/>
          <w:szCs w:val="21"/>
          <w:highlight w:val="none"/>
        </w:rPr>
        <w:t>退还：服务期结束后15天内一次性无息退还。</w:t>
      </w:r>
    </w:p>
    <w:p w14:paraId="7BAF5CA2">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五</w:t>
      </w:r>
      <w:r>
        <w:rPr>
          <w:rFonts w:ascii="宋体" w:hAnsi="宋体"/>
          <w:b/>
          <w:bCs/>
          <w:color w:val="auto"/>
          <w:szCs w:val="21"/>
          <w:highlight w:val="none"/>
        </w:rPr>
        <w:t>、</w:t>
      </w:r>
      <w:r>
        <w:rPr>
          <w:rFonts w:hint="eastAsia" w:ascii="宋体" w:hAnsi="宋体"/>
          <w:b/>
          <w:bCs/>
          <w:color w:val="auto"/>
          <w:szCs w:val="21"/>
          <w:highlight w:val="none"/>
        </w:rPr>
        <w:t>其他要求</w:t>
      </w:r>
    </w:p>
    <w:p w14:paraId="029CEA6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 w:val="21"/>
          <w:szCs w:val="21"/>
          <w:highlight w:val="none"/>
          <w:lang w:eastAsia="zh-CN"/>
        </w:rPr>
        <w:t>项目</w:t>
      </w:r>
      <w:r>
        <w:rPr>
          <w:rFonts w:hint="eastAsia" w:ascii="宋体" w:hAnsi="宋体"/>
          <w:color w:val="auto"/>
          <w:sz w:val="21"/>
          <w:szCs w:val="21"/>
          <w:highlight w:val="none"/>
          <w:lang w:val="en-US" w:eastAsia="zh-CN"/>
        </w:rPr>
        <w:t>签订合同</w:t>
      </w:r>
      <w:r>
        <w:rPr>
          <w:rFonts w:hint="eastAsia" w:ascii="宋体" w:hAnsi="宋体"/>
          <w:color w:val="auto"/>
          <w:sz w:val="21"/>
          <w:szCs w:val="21"/>
          <w:highlight w:val="none"/>
          <w:lang w:eastAsia="zh-CN"/>
        </w:rPr>
        <w:t>起至</w:t>
      </w:r>
      <w:r>
        <w:rPr>
          <w:rFonts w:hint="eastAsia" w:ascii="宋体" w:hAnsi="宋体"/>
          <w:color w:val="auto"/>
          <w:sz w:val="21"/>
          <w:szCs w:val="21"/>
          <w:highlight w:val="none"/>
          <w:lang w:val="en-US" w:eastAsia="zh-CN"/>
        </w:rPr>
        <w:t>满6</w:t>
      </w:r>
      <w:r>
        <w:rPr>
          <w:rFonts w:hint="eastAsia" w:ascii="宋体" w:hAnsi="宋体"/>
          <w:color w:val="auto"/>
          <w:sz w:val="21"/>
          <w:szCs w:val="21"/>
          <w:highlight w:val="none"/>
          <w:lang w:eastAsia="zh-CN"/>
        </w:rPr>
        <w:t>个月止，</w:t>
      </w:r>
      <w:r>
        <w:rPr>
          <w:rFonts w:hint="eastAsia" w:ascii="宋体" w:hAnsi="宋体"/>
          <w:color w:val="auto"/>
          <w:sz w:val="21"/>
          <w:szCs w:val="21"/>
          <w:highlight w:val="none"/>
          <w:lang w:val="en-US" w:eastAsia="zh-CN"/>
        </w:rPr>
        <w:t>如未达到第一年销售目标的30%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则甲方</w:t>
      </w:r>
      <w:r>
        <w:rPr>
          <w:rFonts w:hint="eastAsia" w:ascii="宋体" w:hAnsi="宋体"/>
          <w:color w:val="auto"/>
          <w:szCs w:val="21"/>
          <w:highlight w:val="none"/>
        </w:rPr>
        <w:t>扣除履约</w:t>
      </w:r>
      <w:r>
        <w:rPr>
          <w:rFonts w:hint="eastAsia" w:ascii="宋体" w:hAnsi="宋体"/>
          <w:color w:val="auto"/>
          <w:szCs w:val="21"/>
          <w:highlight w:val="none"/>
          <w:lang w:eastAsia="zh-CN"/>
        </w:rPr>
        <w:t>保证金</w:t>
      </w:r>
      <w:r>
        <w:rPr>
          <w:rFonts w:hint="eastAsia" w:ascii="宋体" w:hAnsi="宋体"/>
          <w:color w:val="auto"/>
          <w:szCs w:val="21"/>
          <w:highlight w:val="none"/>
        </w:rPr>
        <w:t>作为</w:t>
      </w:r>
      <w:r>
        <w:rPr>
          <w:rFonts w:hint="eastAsia" w:ascii="宋体" w:hAnsi="宋体"/>
          <w:color w:val="auto"/>
          <w:szCs w:val="21"/>
          <w:highlight w:val="none"/>
          <w:lang w:eastAsia="zh-CN"/>
        </w:rPr>
        <w:t>违约金</w:t>
      </w:r>
      <w:r>
        <w:rPr>
          <w:rFonts w:hint="eastAsia" w:ascii="宋体" w:hAnsi="宋体"/>
          <w:color w:val="auto"/>
          <w:szCs w:val="21"/>
          <w:highlight w:val="none"/>
        </w:rPr>
        <w:t>，且根据情况有权单方面解除合同。若</w:t>
      </w:r>
      <w:r>
        <w:rPr>
          <w:rFonts w:hint="eastAsia" w:ascii="宋体" w:hAnsi="宋体"/>
          <w:color w:val="auto"/>
          <w:szCs w:val="21"/>
          <w:highlight w:val="none"/>
          <w:lang w:val="en-US" w:eastAsia="zh-CN"/>
        </w:rPr>
        <w:t>甲方</w:t>
      </w:r>
      <w:r>
        <w:rPr>
          <w:rFonts w:hint="eastAsia" w:ascii="宋体" w:hAnsi="宋体"/>
          <w:color w:val="auto"/>
          <w:szCs w:val="21"/>
          <w:highlight w:val="none"/>
        </w:rPr>
        <w:t>解除合同，</w:t>
      </w:r>
      <w:r>
        <w:rPr>
          <w:rFonts w:hint="eastAsia" w:ascii="宋体" w:hAnsi="宋体"/>
          <w:color w:val="auto"/>
          <w:szCs w:val="21"/>
          <w:highlight w:val="none"/>
          <w:lang w:val="en-US" w:eastAsia="zh-CN"/>
        </w:rPr>
        <w:t>此前考核后剩余的服务费予以结清</w:t>
      </w:r>
      <w:r>
        <w:rPr>
          <w:rFonts w:hint="eastAsia" w:ascii="宋体" w:hAnsi="宋体"/>
          <w:color w:val="auto"/>
          <w:szCs w:val="21"/>
          <w:highlight w:val="none"/>
        </w:rPr>
        <w:t>，</w:t>
      </w:r>
      <w:r>
        <w:rPr>
          <w:rFonts w:hint="eastAsia" w:ascii="宋体" w:hAnsi="宋体"/>
          <w:color w:val="auto"/>
          <w:szCs w:val="21"/>
          <w:highlight w:val="none"/>
          <w:lang w:val="en-US" w:eastAsia="zh-CN"/>
        </w:rPr>
        <w:t>乙方</w:t>
      </w:r>
      <w:r>
        <w:rPr>
          <w:rFonts w:hint="eastAsia" w:ascii="宋体" w:hAnsi="宋体"/>
          <w:color w:val="auto"/>
          <w:szCs w:val="21"/>
          <w:highlight w:val="none"/>
        </w:rPr>
        <w:t>须延续服务至下一销售团队进场为止，在此期间</w:t>
      </w:r>
      <w:r>
        <w:rPr>
          <w:rFonts w:hint="eastAsia" w:ascii="宋体" w:hAnsi="宋体"/>
          <w:color w:val="auto"/>
          <w:szCs w:val="21"/>
          <w:highlight w:val="none"/>
          <w:lang w:val="en-US" w:eastAsia="zh-CN"/>
        </w:rPr>
        <w:t>乙方</w:t>
      </w:r>
      <w:r>
        <w:rPr>
          <w:rFonts w:hint="eastAsia" w:ascii="宋体" w:hAnsi="宋体"/>
          <w:color w:val="auto"/>
          <w:szCs w:val="21"/>
          <w:highlight w:val="none"/>
        </w:rPr>
        <w:t>产生的服务费按合同约定予以支付。</w:t>
      </w:r>
    </w:p>
    <w:p w14:paraId="78E6CCB6">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s="宋体"/>
          <w:color w:val="auto"/>
          <w:sz w:val="21"/>
          <w:szCs w:val="21"/>
          <w:highlight w:val="none"/>
          <w:lang w:val="en-US" w:eastAsia="zh-CN"/>
        </w:rPr>
        <w:t>如乙方在项目前期已倾注大量人力、物力资源，专门组建营销团队推进项目推广，且已积累优质潜在客户资源，其后续转化具备较高可能性；基于 “前期投入需匹配后期成果” 的合作理念，甲方经综合评估后，可不予终止本合同。</w:t>
      </w:r>
    </w:p>
    <w:p w14:paraId="757978A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2、采购人对销售计划、销售活动等具有最终确认权。</w:t>
      </w:r>
    </w:p>
    <w:p w14:paraId="13E0603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Times New Roman"/>
          <w:color w:val="auto"/>
          <w:szCs w:val="21"/>
          <w:highlight w:val="none"/>
        </w:rPr>
        <w:t>因</w:t>
      </w:r>
      <w:r>
        <w:rPr>
          <w:rFonts w:hint="eastAsia" w:ascii="宋体" w:hAnsi="宋体" w:cs="Times New Roman"/>
          <w:color w:val="auto"/>
          <w:szCs w:val="21"/>
          <w:highlight w:val="none"/>
          <w:lang w:eastAsia="zh-CN"/>
        </w:rPr>
        <w:t>中标人</w:t>
      </w:r>
      <w:r>
        <w:rPr>
          <w:rFonts w:hint="eastAsia" w:ascii="宋体" w:hAnsi="宋体" w:cs="Times New Roman"/>
          <w:color w:val="auto"/>
          <w:szCs w:val="21"/>
          <w:highlight w:val="none"/>
        </w:rPr>
        <w:t>原因，包括但不限于虚假宣传，欺骗客户、额外收取费用等不良行为，或者被上级主管部门或媒体等公共媒介曝光，造成</w:t>
      </w: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形象受损，</w:t>
      </w: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有权提前终止合同并没收全部履约保证金及未结付佣金。</w:t>
      </w:r>
    </w:p>
    <w:p w14:paraId="7847A8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val="en-US" w:eastAsia="zh-CN"/>
        </w:rPr>
        <w:t>人</w:t>
      </w:r>
      <w:r>
        <w:rPr>
          <w:rFonts w:hint="eastAsia" w:ascii="宋体" w:hAnsi="宋体"/>
          <w:color w:val="auto"/>
          <w:szCs w:val="21"/>
          <w:highlight w:val="none"/>
        </w:rPr>
        <w:t>的服务管理团队管理人员须始终参与项目工作，如因工作变动服务管理团队管理人员须经采购人同意</w:t>
      </w:r>
      <w:r>
        <w:rPr>
          <w:rFonts w:ascii="宋体" w:hAnsi="宋体"/>
          <w:color w:val="auto"/>
          <w:szCs w:val="21"/>
          <w:highlight w:val="none"/>
        </w:rPr>
        <w:t>。</w:t>
      </w:r>
    </w:p>
    <w:p w14:paraId="1EE3076B">
      <w:pPr>
        <w:spacing w:line="480" w:lineRule="exact"/>
        <w:jc w:val="left"/>
        <w:rPr>
          <w:rFonts w:ascii="宋体" w:hAnsi="宋体" w:cs="宋体"/>
          <w:b/>
          <w:bCs/>
          <w:color w:val="auto"/>
          <w:highlight w:val="none"/>
        </w:rPr>
      </w:pPr>
      <w:r>
        <w:rPr>
          <w:rFonts w:hint="eastAsia" w:ascii="宋体" w:hAnsi="宋体" w:cs="宋体"/>
          <w:b/>
          <w:bCs/>
          <w:color w:val="auto"/>
          <w:highlight w:val="none"/>
        </w:rPr>
        <w:t>第二部分  商务要求</w:t>
      </w:r>
    </w:p>
    <w:tbl>
      <w:tblPr>
        <w:tblStyle w:val="33"/>
        <w:tblW w:w="9994"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8213"/>
      </w:tblGrid>
      <w:tr w14:paraId="047D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81" w:type="dxa"/>
            <w:tcBorders>
              <w:top w:val="single" w:color="auto" w:sz="4" w:space="0"/>
              <w:left w:val="single" w:color="auto" w:sz="4" w:space="0"/>
              <w:bottom w:val="single" w:color="auto" w:sz="4" w:space="0"/>
              <w:right w:val="single" w:color="auto" w:sz="4" w:space="0"/>
            </w:tcBorders>
            <w:vAlign w:val="center"/>
          </w:tcPr>
          <w:p w14:paraId="70A05228">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color w:val="auto"/>
                <w:szCs w:val="21"/>
                <w:highlight w:val="none"/>
              </w:rPr>
            </w:pPr>
            <w:bookmarkStart w:id="260" w:name="_Hlk47304926"/>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代理销售服务周期</w:t>
            </w:r>
          </w:p>
        </w:tc>
        <w:tc>
          <w:tcPr>
            <w:tcW w:w="8213" w:type="dxa"/>
            <w:tcBorders>
              <w:top w:val="single" w:color="auto" w:sz="4" w:space="0"/>
              <w:left w:val="single" w:color="auto" w:sz="4" w:space="0"/>
              <w:bottom w:val="single" w:color="auto" w:sz="4" w:space="0"/>
              <w:right w:val="single" w:color="auto" w:sz="4" w:space="0"/>
            </w:tcBorders>
            <w:vAlign w:val="center"/>
          </w:tcPr>
          <w:p w14:paraId="1B50C1F8">
            <w:pPr>
              <w:snapToGrid w:val="0"/>
              <w:spacing w:line="360" w:lineRule="auto"/>
              <w:jc w:val="both"/>
              <w:rPr>
                <w:rFonts w:hint="default"/>
                <w:color w:val="auto"/>
                <w:highlight w:val="none"/>
              </w:rPr>
            </w:pPr>
            <w:r>
              <w:rPr>
                <w:rFonts w:hint="eastAsia" w:ascii="宋体" w:hAnsi="宋体" w:cs="宋体"/>
                <w:color w:val="auto"/>
                <w:szCs w:val="21"/>
                <w:highlight w:val="none"/>
                <w:lang w:val="en-US" w:eastAsia="zh-CN"/>
              </w:rPr>
              <w:t>本项目服务期2年，</w:t>
            </w:r>
            <w:r>
              <w:rPr>
                <w:rFonts w:hint="eastAsia" w:ascii="宋体" w:hAnsi="宋体" w:eastAsia="宋体" w:cs="宋体"/>
                <w:color w:val="auto"/>
                <w:szCs w:val="21"/>
                <w:highlight w:val="none"/>
                <w:lang w:val="en-US" w:eastAsia="zh-CN"/>
              </w:rPr>
              <w:t>采用1+1模式，即根据中标供应商的实施过程质量及相关服务考核情况，由采购人决定是否续签下一年度继续服务的合同。在合同期内各节点考核时如无法达成考核最低指标，采购人视情况有权单方面终止合同。</w:t>
            </w:r>
          </w:p>
        </w:tc>
      </w:tr>
      <w:tr w14:paraId="14D8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81" w:type="dxa"/>
            <w:tcBorders>
              <w:top w:val="single" w:color="auto" w:sz="4" w:space="0"/>
              <w:left w:val="single" w:color="auto" w:sz="4" w:space="0"/>
              <w:bottom w:val="single" w:color="auto" w:sz="4" w:space="0"/>
              <w:right w:val="single" w:color="auto" w:sz="4" w:space="0"/>
            </w:tcBorders>
            <w:vAlign w:val="center"/>
          </w:tcPr>
          <w:p w14:paraId="68C50A40">
            <w:pPr>
              <w:keepNext w:val="0"/>
              <w:keepLines w:val="0"/>
              <w:suppressLineNumbers w:val="0"/>
              <w:spacing w:before="0" w:beforeAutospacing="0" w:after="0" w:afterAutospacing="0" w:line="480" w:lineRule="exact"/>
              <w:ind w:left="0" w:right="0"/>
              <w:jc w:val="center"/>
              <w:rPr>
                <w:rFonts w:hint="default" w:cs="Calibri"/>
                <w:color w:val="auto"/>
                <w:highlight w:val="none"/>
              </w:rPr>
            </w:pPr>
            <w:r>
              <w:rPr>
                <w:rFonts w:hint="default" w:cs="Calibri"/>
                <w:color w:val="auto"/>
                <w:highlight w:val="none"/>
              </w:rPr>
              <w:t>转包或</w:t>
            </w:r>
          </w:p>
          <w:p w14:paraId="3ED22637">
            <w:pPr>
              <w:keepNext w:val="0"/>
              <w:keepLines w:val="0"/>
              <w:suppressLineNumbers w:val="0"/>
              <w:spacing w:before="0" w:beforeAutospacing="0" w:after="0" w:afterAutospacing="0" w:line="480" w:lineRule="exact"/>
              <w:ind w:left="0" w:right="0"/>
              <w:jc w:val="center"/>
              <w:rPr>
                <w:rFonts w:hint="default" w:ascii="宋体" w:hAnsi="宋体" w:cs="宋体"/>
                <w:color w:val="auto"/>
                <w:szCs w:val="21"/>
                <w:highlight w:val="none"/>
              </w:rPr>
            </w:pPr>
            <w:r>
              <w:rPr>
                <w:rFonts w:hint="default" w:cs="Calibri"/>
                <w:color w:val="auto"/>
                <w:highlight w:val="none"/>
              </w:rPr>
              <w:t>分包</w:t>
            </w:r>
          </w:p>
        </w:tc>
        <w:tc>
          <w:tcPr>
            <w:tcW w:w="8213" w:type="dxa"/>
            <w:tcBorders>
              <w:top w:val="single" w:color="auto" w:sz="4" w:space="0"/>
              <w:left w:val="single" w:color="auto" w:sz="4" w:space="0"/>
              <w:bottom w:val="single" w:color="auto" w:sz="4" w:space="0"/>
              <w:right w:val="single" w:color="auto" w:sz="4" w:space="0"/>
            </w:tcBorders>
            <w:vAlign w:val="center"/>
          </w:tcPr>
          <w:p w14:paraId="6BAAADAE">
            <w:pPr>
              <w:keepNext w:val="0"/>
              <w:keepLines w:val="0"/>
              <w:suppressLineNumbers w:val="0"/>
              <w:spacing w:before="0" w:beforeAutospacing="0" w:after="0" w:afterAutospacing="0" w:line="4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本次采购内容不得转让或分包，如有此等情形发生，采购人有权解除合同，没收中标人的履约保证金，并将中标人清理退场；对</w:t>
            </w:r>
            <w:r>
              <w:rPr>
                <w:rFonts w:hint="default"/>
                <w:color w:val="auto"/>
                <w:highlight w:val="none"/>
              </w:rPr>
              <w:fldChar w:fldCharType="begin"/>
            </w:r>
            <w:r>
              <w:rPr>
                <w:rFonts w:hint="default"/>
                <w:color w:val="auto"/>
                <w:highlight w:val="none"/>
              </w:rPr>
              <w:instrText xml:space="preserve"> HYPERLINK "https://bidding.zcygov.cn/xmgl/projectQuery/queryDetail?projectUuid=5c859e260a927c18" \l "/purchaseFileMake/_blank" \t "https://www.zcygov.cn/bidding-entrust/" </w:instrText>
            </w:r>
            <w:r>
              <w:rPr>
                <w:rFonts w:hint="default"/>
                <w:color w:val="auto"/>
                <w:highlight w:val="none"/>
              </w:rPr>
              <w:fldChar w:fldCharType="separate"/>
            </w:r>
            <w:r>
              <w:rPr>
                <w:rFonts w:hint="eastAsia" w:ascii="宋体" w:hAnsi="宋体" w:cs="宋体"/>
                <w:color w:val="auto"/>
                <w:sz w:val="21"/>
                <w:szCs w:val="21"/>
                <w:highlight w:val="none"/>
                <w:lang w:eastAsia="zh-CN"/>
              </w:rPr>
              <w:t>欧湾华庭、臻湾华庭存量房代销项目</w:t>
            </w:r>
            <w:r>
              <w:rPr>
                <w:rFonts w:hint="eastAsia" w:ascii="宋体" w:hAnsi="宋体" w:cs="宋体"/>
                <w:color w:val="auto"/>
                <w:sz w:val="21"/>
                <w:szCs w:val="21"/>
                <w:highlight w:val="none"/>
              </w:rPr>
              <w:fldChar w:fldCharType="end"/>
            </w:r>
            <w:r>
              <w:rPr>
                <w:rFonts w:hint="eastAsia" w:ascii="宋体" w:hAnsi="宋体" w:cs="宋体"/>
                <w:color w:val="auto"/>
                <w:szCs w:val="21"/>
                <w:highlight w:val="none"/>
              </w:rPr>
              <w:t>所造成的相应损失由中标人承担。</w:t>
            </w:r>
          </w:p>
        </w:tc>
      </w:tr>
      <w:tr w14:paraId="5172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781" w:type="dxa"/>
            <w:tcBorders>
              <w:top w:val="single" w:color="auto" w:sz="4" w:space="0"/>
              <w:left w:val="single" w:color="auto" w:sz="4" w:space="0"/>
              <w:bottom w:val="single" w:color="auto" w:sz="4" w:space="0"/>
              <w:right w:val="single" w:color="auto" w:sz="4" w:space="0"/>
            </w:tcBorders>
            <w:vAlign w:val="center"/>
          </w:tcPr>
          <w:p w14:paraId="7447B1E4">
            <w:pPr>
              <w:keepNext w:val="0"/>
              <w:keepLines w:val="0"/>
              <w:suppressLineNumbers w:val="0"/>
              <w:spacing w:before="0" w:beforeAutospacing="0" w:after="0" w:afterAutospacing="0" w:line="480" w:lineRule="exact"/>
              <w:ind w:left="0" w:right="0"/>
              <w:jc w:val="center"/>
              <w:rPr>
                <w:rFonts w:hint="default" w:cs="Calibri"/>
                <w:color w:val="auto"/>
                <w:highlight w:val="none"/>
              </w:rPr>
            </w:pPr>
            <w:r>
              <w:rPr>
                <w:rFonts w:hint="eastAsia" w:ascii="宋体" w:hAnsi="宋体" w:cs="宋体"/>
                <w:color w:val="auto"/>
                <w:szCs w:val="21"/>
                <w:highlight w:val="none"/>
                <w:lang w:eastAsia="zh-CN"/>
              </w:rPr>
              <w:t>现场勘查</w:t>
            </w:r>
          </w:p>
        </w:tc>
        <w:tc>
          <w:tcPr>
            <w:tcW w:w="8213" w:type="dxa"/>
            <w:tcBorders>
              <w:top w:val="single" w:color="auto" w:sz="4" w:space="0"/>
              <w:left w:val="single" w:color="auto" w:sz="4" w:space="0"/>
              <w:bottom w:val="single" w:color="auto" w:sz="4" w:space="0"/>
              <w:right w:val="single" w:color="auto" w:sz="4" w:space="0"/>
            </w:tcBorders>
            <w:vAlign w:val="center"/>
          </w:tcPr>
          <w:p w14:paraId="5769C896">
            <w:pPr>
              <w:keepNext w:val="0"/>
              <w:keepLines w:val="0"/>
              <w:suppressLineNumbers w:val="0"/>
              <w:spacing w:before="0" w:beforeAutospacing="0" w:after="0" w:afterAutospacing="0" w:line="480" w:lineRule="exact"/>
              <w:ind w:left="0" w:right="0"/>
              <w:rPr>
                <w:rFonts w:hint="default" w:ascii="宋体" w:hAnsi="宋体" w:cs="宋体"/>
                <w:color w:val="auto"/>
                <w:highlight w:val="none"/>
              </w:rPr>
            </w:pPr>
            <w:r>
              <w:rPr>
                <w:rFonts w:hint="eastAsia" w:ascii="宋体" w:hAnsi="宋体" w:cs="宋体"/>
                <w:color w:val="auto"/>
                <w:szCs w:val="21"/>
                <w:highlight w:val="none"/>
              </w:rPr>
              <w:t>为保障项目顺利实施，投标人可自行至项目现场</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所产生的费用及风险由投标人自行承担。如投标人未</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现场造成投标响应偏离，投标人自行承担后果。</w:t>
            </w:r>
          </w:p>
        </w:tc>
      </w:tr>
      <w:tr w14:paraId="3B1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81" w:type="dxa"/>
            <w:tcBorders>
              <w:top w:val="single" w:color="auto" w:sz="4" w:space="0"/>
              <w:left w:val="single" w:color="auto" w:sz="4" w:space="0"/>
              <w:bottom w:val="single" w:color="auto" w:sz="4" w:space="0"/>
              <w:right w:val="single" w:color="auto" w:sz="4" w:space="0"/>
            </w:tcBorders>
            <w:vAlign w:val="center"/>
          </w:tcPr>
          <w:p w14:paraId="5426055F">
            <w:pPr>
              <w:keepNext w:val="0"/>
              <w:keepLines w:val="0"/>
              <w:suppressLineNumbers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其他内容</w:t>
            </w:r>
          </w:p>
        </w:tc>
        <w:tc>
          <w:tcPr>
            <w:tcW w:w="8213" w:type="dxa"/>
            <w:tcBorders>
              <w:top w:val="single" w:color="auto" w:sz="4" w:space="0"/>
              <w:left w:val="single" w:color="auto" w:sz="4" w:space="0"/>
              <w:bottom w:val="single" w:color="auto" w:sz="4" w:space="0"/>
              <w:right w:val="single" w:color="auto" w:sz="4" w:space="0"/>
            </w:tcBorders>
            <w:vAlign w:val="center"/>
          </w:tcPr>
          <w:p w14:paraId="1224FA9F">
            <w:pPr>
              <w:keepNext w:val="0"/>
              <w:keepLines w:val="0"/>
              <w:suppressLineNumbers w:val="0"/>
              <w:spacing w:before="0" w:beforeAutospacing="0" w:after="0" w:afterAutospacing="0" w:line="4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详见招标文件的“第四章 合同</w:t>
            </w:r>
            <w:r>
              <w:rPr>
                <w:rFonts w:hint="eastAsia" w:ascii="宋体" w:hAnsi="宋体" w:cs="宋体"/>
                <w:color w:val="auto"/>
                <w:szCs w:val="21"/>
                <w:highlight w:val="none"/>
                <w:lang w:eastAsia="zh-CN"/>
              </w:rPr>
              <w:t>格式</w:t>
            </w:r>
            <w:r>
              <w:rPr>
                <w:rFonts w:hint="eastAsia" w:ascii="宋体" w:hAnsi="宋体" w:cs="宋体"/>
                <w:color w:val="auto"/>
                <w:szCs w:val="21"/>
                <w:highlight w:val="none"/>
              </w:rPr>
              <w:t>”，投标人应对合同内容进行审核，如有偏离，请在投标文件的“偏离表”中反映。</w:t>
            </w:r>
          </w:p>
        </w:tc>
      </w:tr>
      <w:bookmarkEnd w:id="260"/>
    </w:tbl>
    <w:p w14:paraId="1A470C52">
      <w:pPr>
        <w:pStyle w:val="176"/>
        <w:spacing w:line="44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第三部分  实质性内容</w:t>
      </w:r>
    </w:p>
    <w:p w14:paraId="47A8B58E">
      <w:pPr>
        <w:pStyle w:val="176"/>
        <w:spacing w:line="440" w:lineRule="exact"/>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本章中所有带▲的内容是采购人提出的实质性内容，投标文件响应内容若不满足实质性内容要求，该投标文件将被评标委员会认定为无效。</w:t>
      </w:r>
      <w:r>
        <w:rPr>
          <w:rFonts w:hint="eastAsia" w:ascii="宋体" w:hAnsi="宋体" w:eastAsia="宋体" w:cs="宋体"/>
          <w:bCs/>
          <w:color w:val="auto"/>
          <w:sz w:val="21"/>
          <w:szCs w:val="21"/>
          <w:highlight w:val="none"/>
        </w:rPr>
        <w:t xml:space="preserve">  </w:t>
      </w:r>
    </w:p>
    <w:p w14:paraId="54D01C29">
      <w:pPr>
        <w:pStyle w:val="3"/>
        <w:tabs>
          <w:tab w:val="left" w:pos="420"/>
        </w:tabs>
        <w:spacing w:line="240" w:lineRule="auto"/>
        <w:jc w:val="both"/>
        <w:rPr>
          <w:rFonts w:ascii="宋体" w:hAnsi="宋体" w:eastAsia="宋体" w:cs="宋体"/>
          <w:bCs/>
          <w:color w:val="auto"/>
          <w:sz w:val="21"/>
          <w:szCs w:val="21"/>
          <w:highlight w:val="none"/>
        </w:rPr>
      </w:pPr>
      <w:bookmarkStart w:id="261" w:name="_Toc19017"/>
      <w:r>
        <w:rPr>
          <w:rFonts w:hint="eastAsia" w:ascii="宋体" w:hAnsi="宋体" w:eastAsia="宋体" w:cs="宋体"/>
          <w:bCs/>
          <w:color w:val="auto"/>
          <w:sz w:val="21"/>
          <w:szCs w:val="21"/>
          <w:highlight w:val="none"/>
        </w:rPr>
        <w:t>第四部分  特别说明</w:t>
      </w:r>
      <w:bookmarkEnd w:id="261"/>
    </w:p>
    <w:p w14:paraId="0519663B">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本章内容均为采购人基本要求，如投标人无法响应，须在《关于对招标文件中有关条款的拒绝声明》中详细说明，未说明的，视为完全响应并接受所有条款。</w:t>
      </w:r>
    </w:p>
    <w:p w14:paraId="78A8F72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为一个标项，标项是最小投标单位，投标人必须对标项内的所有内容发起投标响应。投标人在投标时出现遗漏的内容视为“已包含在投标总价内”，投标人如不接受将作无效标处理。采购人不接受投标人给予的任何“赠品”或者“0元”或者与采购无关的其他商品、服务。</w:t>
      </w:r>
    </w:p>
    <w:p w14:paraId="173154F1">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2.采购需求中未要求但实施时必须具备的内容由投标人自行补齐，所需费用计入投标总价中，不再另行支付。</w:t>
      </w:r>
    </w:p>
    <w:p w14:paraId="41A433F0">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3.投标人须对采购过程中涉及的专利（如有）负责，并保证不伤害采购人的利益。采购过程中，在法律范围内，所有文字、商标和技术侵权造成的相关费用，采购人概不负责。</w:t>
      </w:r>
    </w:p>
    <w:p w14:paraId="0B8CA061">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4.投标人在投标活动中提供任何虚假材料,其投标无效。</w:t>
      </w:r>
    </w:p>
    <w:p w14:paraId="74E15CEF">
      <w:pPr>
        <w:pStyle w:val="2"/>
        <w:spacing w:before="240" w:beforeLines="100"/>
        <w:jc w:val="both"/>
        <w:rPr>
          <w:rFonts w:ascii="宋体" w:hAnsi="宋体" w:eastAsia="宋体" w:cs="Arial Unicode MS"/>
          <w:sz w:val="36"/>
          <w:szCs w:val="36"/>
          <w:highlight w:val="none"/>
        </w:rPr>
      </w:pPr>
    </w:p>
    <w:p w14:paraId="198DC91B">
      <w:pPr>
        <w:rPr>
          <w:rFonts w:hint="eastAsia" w:ascii="宋体" w:hAnsi="宋体" w:eastAsia="宋体" w:cs="Arial Unicode MS"/>
          <w:sz w:val="36"/>
          <w:szCs w:val="36"/>
          <w:highlight w:val="none"/>
        </w:rPr>
      </w:pPr>
      <w:bookmarkStart w:id="262" w:name="_Toc25383"/>
      <w:r>
        <w:rPr>
          <w:rFonts w:hint="eastAsia" w:ascii="宋体" w:hAnsi="宋体" w:eastAsia="宋体" w:cs="Arial Unicode MS"/>
          <w:sz w:val="36"/>
          <w:szCs w:val="36"/>
          <w:highlight w:val="none"/>
        </w:rPr>
        <w:br w:type="page"/>
      </w:r>
    </w:p>
    <w:p w14:paraId="306C3B34">
      <w:pPr>
        <w:pStyle w:val="2"/>
        <w:spacing w:before="240" w:beforeLines="100"/>
        <w:rPr>
          <w:rFonts w:ascii="宋体" w:hAnsi="宋体" w:eastAsia="宋体" w:cs="Arial Unicode MS"/>
          <w:sz w:val="36"/>
          <w:szCs w:val="36"/>
          <w:highlight w:val="none"/>
        </w:rPr>
      </w:pPr>
      <w:r>
        <w:rPr>
          <w:rFonts w:hint="eastAsia" w:ascii="宋体" w:hAnsi="宋体" w:eastAsia="宋体" w:cs="Arial Unicode MS"/>
          <w:sz w:val="36"/>
          <w:szCs w:val="36"/>
          <w:highlight w:val="none"/>
        </w:rPr>
        <w:t xml:space="preserve">第五部分   </w:t>
      </w:r>
      <w:bookmarkEnd w:id="255"/>
      <w:bookmarkEnd w:id="256"/>
      <w:bookmarkEnd w:id="257"/>
      <w:bookmarkEnd w:id="258"/>
      <w:bookmarkEnd w:id="259"/>
      <w:r>
        <w:rPr>
          <w:rFonts w:hint="eastAsia" w:ascii="宋体" w:hAnsi="宋体" w:eastAsia="宋体"/>
          <w:sz w:val="36"/>
          <w:szCs w:val="36"/>
          <w:highlight w:val="none"/>
        </w:rPr>
        <w:t>评标原则及办法</w:t>
      </w:r>
      <w:bookmarkEnd w:id="262"/>
    </w:p>
    <w:p w14:paraId="0C09BC50">
      <w:pPr>
        <w:pStyle w:val="12"/>
        <w:spacing w:after="0" w:line="360" w:lineRule="auto"/>
        <w:rPr>
          <w:rFonts w:ascii="宋体" w:hAnsi="宋体" w:eastAsia="宋体"/>
          <w:b/>
          <w:sz w:val="21"/>
          <w:szCs w:val="21"/>
          <w:highlight w:val="none"/>
        </w:rPr>
      </w:pPr>
      <w:bookmarkStart w:id="263" w:name="_Toc221356961"/>
      <w:bookmarkStart w:id="264" w:name="_Toc221356898"/>
      <w:r>
        <w:rPr>
          <w:rFonts w:hint="eastAsia" w:ascii="宋体" w:hAnsi="宋体" w:eastAsia="宋体"/>
          <w:b/>
          <w:sz w:val="22"/>
          <w:szCs w:val="22"/>
          <w:highlight w:val="none"/>
        </w:rPr>
        <w:t>一.</w:t>
      </w:r>
      <w:r>
        <w:rPr>
          <w:rFonts w:hint="eastAsia" w:ascii="宋体" w:hAnsi="宋体" w:eastAsia="宋体"/>
          <w:b/>
          <w:sz w:val="21"/>
          <w:szCs w:val="21"/>
          <w:highlight w:val="none"/>
        </w:rPr>
        <w:t xml:space="preserve"> 总  则</w:t>
      </w:r>
      <w:bookmarkEnd w:id="263"/>
      <w:bookmarkEnd w:id="264"/>
    </w:p>
    <w:p w14:paraId="207DE0AD">
      <w:pPr>
        <w:spacing w:line="360" w:lineRule="auto"/>
        <w:ind w:left="439" w:leftChars="209"/>
        <w:rPr>
          <w:rFonts w:ascii="宋体" w:hAnsi="宋体"/>
          <w:sz w:val="21"/>
          <w:szCs w:val="21"/>
          <w:highlight w:val="none"/>
        </w:rPr>
      </w:pPr>
      <w:r>
        <w:rPr>
          <w:rFonts w:hint="eastAsia" w:ascii="宋体" w:hAnsi="宋体"/>
          <w:sz w:val="21"/>
          <w:szCs w:val="21"/>
          <w:highlight w:val="none"/>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095DFD38">
      <w:pPr>
        <w:pStyle w:val="12"/>
        <w:spacing w:after="0" w:line="360" w:lineRule="auto"/>
        <w:rPr>
          <w:rFonts w:ascii="宋体" w:hAnsi="宋体" w:eastAsia="宋体"/>
          <w:b/>
          <w:sz w:val="21"/>
          <w:szCs w:val="21"/>
          <w:highlight w:val="none"/>
        </w:rPr>
      </w:pPr>
      <w:bookmarkStart w:id="265" w:name="_Toc221356899"/>
      <w:bookmarkStart w:id="266" w:name="_Toc221356962"/>
      <w:r>
        <w:rPr>
          <w:rFonts w:hint="eastAsia" w:ascii="宋体" w:hAnsi="宋体" w:eastAsia="宋体"/>
          <w:b/>
          <w:sz w:val="21"/>
          <w:szCs w:val="21"/>
          <w:highlight w:val="none"/>
        </w:rPr>
        <w:t>二、评标组织</w:t>
      </w:r>
      <w:bookmarkEnd w:id="265"/>
      <w:bookmarkEnd w:id="266"/>
    </w:p>
    <w:p w14:paraId="2DAA32B5">
      <w:pPr>
        <w:spacing w:line="360" w:lineRule="auto"/>
        <w:ind w:left="439" w:leftChars="209"/>
        <w:rPr>
          <w:rFonts w:ascii="宋体" w:hAnsi="宋体"/>
          <w:sz w:val="21"/>
          <w:szCs w:val="21"/>
          <w:highlight w:val="none"/>
        </w:rPr>
      </w:pPr>
      <w:r>
        <w:rPr>
          <w:rFonts w:hint="eastAsia" w:ascii="宋体" w:hAnsi="宋体"/>
          <w:sz w:val="21"/>
          <w:szCs w:val="21"/>
          <w:highlight w:val="none"/>
        </w:rPr>
        <w:t>评标工作由采购人依法组建的评标委员会负责，评标全过程由有关部门指导监督。全体评委应认真审阅招标文件，了解评委应履行或遵守的职责、义务和评标纪律,</w:t>
      </w:r>
      <w:r>
        <w:rPr>
          <w:rFonts w:ascii="宋体" w:hAnsi="宋体"/>
          <w:sz w:val="21"/>
          <w:szCs w:val="21"/>
          <w:highlight w:val="none"/>
        </w:rPr>
        <w:t xml:space="preserve"> 依法独立履行有关职责</w:t>
      </w:r>
      <w:r>
        <w:rPr>
          <w:rFonts w:hint="eastAsia" w:ascii="宋体" w:hAnsi="宋体"/>
          <w:sz w:val="21"/>
          <w:szCs w:val="21"/>
          <w:highlight w:val="none"/>
        </w:rPr>
        <w:t>。</w:t>
      </w:r>
    </w:p>
    <w:p w14:paraId="41A7B8A3">
      <w:pPr>
        <w:pStyle w:val="12"/>
        <w:spacing w:after="0" w:line="360" w:lineRule="auto"/>
        <w:rPr>
          <w:rFonts w:ascii="宋体" w:hAnsi="宋体" w:eastAsia="宋体"/>
          <w:b/>
          <w:sz w:val="21"/>
          <w:szCs w:val="21"/>
          <w:highlight w:val="none"/>
        </w:rPr>
      </w:pPr>
      <w:bookmarkStart w:id="267" w:name="_Toc221356901"/>
      <w:bookmarkStart w:id="268" w:name="_Toc221356964"/>
      <w:r>
        <w:rPr>
          <w:rFonts w:hint="eastAsia" w:ascii="宋体" w:hAnsi="宋体" w:eastAsia="宋体"/>
          <w:b/>
          <w:sz w:val="21"/>
          <w:szCs w:val="21"/>
          <w:highlight w:val="none"/>
        </w:rPr>
        <w:t>三、评标办法</w:t>
      </w:r>
      <w:bookmarkEnd w:id="267"/>
      <w:bookmarkEnd w:id="268"/>
    </w:p>
    <w:p w14:paraId="515EC04C">
      <w:pPr>
        <w:spacing w:line="360" w:lineRule="auto"/>
        <w:ind w:left="439" w:leftChars="209"/>
        <w:rPr>
          <w:rFonts w:ascii="宋体" w:hAnsi="宋体"/>
          <w:sz w:val="21"/>
          <w:szCs w:val="21"/>
          <w:highlight w:val="none"/>
        </w:rPr>
      </w:pPr>
      <w:bookmarkStart w:id="269" w:name="_Toc221356965"/>
      <w:bookmarkStart w:id="270" w:name="_Toc221356902"/>
      <w:r>
        <w:rPr>
          <w:rFonts w:ascii="宋体" w:hAnsi="宋体"/>
          <w:sz w:val="21"/>
          <w:szCs w:val="21"/>
          <w:highlight w:val="none"/>
        </w:rPr>
        <w:t>本</w:t>
      </w:r>
      <w:r>
        <w:rPr>
          <w:rFonts w:hint="eastAsia" w:ascii="宋体" w:hAnsi="宋体"/>
          <w:sz w:val="21"/>
          <w:szCs w:val="21"/>
          <w:highlight w:val="none"/>
        </w:rPr>
        <w:t>项目</w:t>
      </w:r>
      <w:r>
        <w:rPr>
          <w:rFonts w:ascii="宋体" w:hAnsi="宋体"/>
          <w:sz w:val="21"/>
          <w:szCs w:val="21"/>
          <w:highlight w:val="none"/>
        </w:rPr>
        <w:t>采用百分制综合评分法，即投标人最大限度地满足招标文件实质性要求的基础上，按照招标文件的各项因素进行综合评审后，以</w:t>
      </w:r>
      <w:r>
        <w:rPr>
          <w:rFonts w:hint="eastAsia" w:ascii="宋体" w:hAnsi="宋体"/>
          <w:sz w:val="21"/>
          <w:szCs w:val="21"/>
          <w:highlight w:val="none"/>
        </w:rPr>
        <w:t>综合得分</w:t>
      </w:r>
      <w:r>
        <w:rPr>
          <w:rFonts w:ascii="宋体" w:hAnsi="宋体"/>
          <w:sz w:val="21"/>
          <w:szCs w:val="21"/>
          <w:highlight w:val="none"/>
        </w:rPr>
        <w:t>最高</w:t>
      </w:r>
      <w:r>
        <w:rPr>
          <w:rFonts w:hint="eastAsia" w:ascii="宋体" w:hAnsi="宋体"/>
          <w:sz w:val="21"/>
          <w:szCs w:val="21"/>
          <w:highlight w:val="none"/>
        </w:rPr>
        <w:t>、</w:t>
      </w:r>
      <w:r>
        <w:rPr>
          <w:rFonts w:ascii="宋体" w:hAnsi="宋体"/>
          <w:sz w:val="21"/>
          <w:szCs w:val="21"/>
          <w:highlight w:val="none"/>
        </w:rPr>
        <w:t>次高的投标人作为第一和第二排序的中标候选人的评标方法。根据</w:t>
      </w:r>
      <w:r>
        <w:rPr>
          <w:rFonts w:hint="eastAsia" w:ascii="宋体" w:hAnsi="宋体"/>
          <w:sz w:val="21"/>
          <w:szCs w:val="21"/>
          <w:highlight w:val="none"/>
        </w:rPr>
        <w:t>采购</w:t>
      </w:r>
      <w:r>
        <w:rPr>
          <w:rFonts w:ascii="宋体" w:hAnsi="宋体"/>
          <w:sz w:val="21"/>
          <w:szCs w:val="21"/>
          <w:highlight w:val="none"/>
        </w:rPr>
        <w:t>要求，总分设定为100分；其中商务技术</w:t>
      </w:r>
      <w:r>
        <w:rPr>
          <w:rFonts w:hint="eastAsia" w:ascii="宋体" w:hAnsi="宋体"/>
          <w:sz w:val="21"/>
          <w:szCs w:val="21"/>
          <w:highlight w:val="none"/>
        </w:rPr>
        <w:t>文件</w:t>
      </w:r>
      <w:r>
        <w:rPr>
          <w:rFonts w:hint="eastAsia" w:ascii="宋体" w:hAnsi="宋体"/>
          <w:sz w:val="21"/>
          <w:szCs w:val="21"/>
          <w:highlight w:val="none"/>
          <w:lang w:val="en-US" w:eastAsia="zh-CN"/>
        </w:rPr>
        <w:t>8</w:t>
      </w:r>
      <w:r>
        <w:rPr>
          <w:rFonts w:hint="eastAsia" w:ascii="宋体" w:hAnsi="宋体"/>
          <w:sz w:val="21"/>
          <w:szCs w:val="21"/>
          <w:highlight w:val="none"/>
        </w:rPr>
        <w:t>0</w:t>
      </w:r>
      <w:r>
        <w:rPr>
          <w:rFonts w:ascii="宋体" w:hAnsi="宋体"/>
          <w:sz w:val="21"/>
          <w:szCs w:val="21"/>
          <w:highlight w:val="none"/>
        </w:rPr>
        <w:t>分（技术权值</w:t>
      </w:r>
      <w:r>
        <w:rPr>
          <w:rFonts w:hint="eastAsia" w:ascii="宋体" w:hAnsi="宋体"/>
          <w:sz w:val="21"/>
          <w:szCs w:val="21"/>
          <w:highlight w:val="none"/>
          <w:lang w:val="en-US" w:eastAsia="zh-CN"/>
        </w:rPr>
        <w:t>8</w:t>
      </w:r>
      <w:r>
        <w:rPr>
          <w:rFonts w:hint="eastAsia" w:ascii="宋体" w:hAnsi="宋体"/>
          <w:sz w:val="21"/>
          <w:szCs w:val="21"/>
          <w:highlight w:val="none"/>
        </w:rPr>
        <w:t>0</w:t>
      </w:r>
      <w:r>
        <w:rPr>
          <w:rFonts w:ascii="宋体" w:hAnsi="宋体"/>
          <w:sz w:val="21"/>
          <w:szCs w:val="21"/>
          <w:highlight w:val="none"/>
        </w:rPr>
        <w:t>%），报价</w:t>
      </w:r>
      <w:r>
        <w:rPr>
          <w:rFonts w:hint="eastAsia" w:ascii="宋体" w:hAnsi="宋体"/>
          <w:sz w:val="21"/>
          <w:szCs w:val="21"/>
          <w:highlight w:val="none"/>
        </w:rPr>
        <w:t>文件</w:t>
      </w:r>
      <w:r>
        <w:rPr>
          <w:rFonts w:hint="eastAsia" w:ascii="宋体" w:hAnsi="宋体"/>
          <w:sz w:val="21"/>
          <w:szCs w:val="21"/>
          <w:highlight w:val="none"/>
          <w:lang w:val="en-US" w:eastAsia="zh-CN"/>
        </w:rPr>
        <w:t>2</w:t>
      </w:r>
      <w:r>
        <w:rPr>
          <w:rFonts w:ascii="宋体" w:hAnsi="宋体"/>
          <w:sz w:val="21"/>
          <w:szCs w:val="21"/>
          <w:highlight w:val="none"/>
        </w:rPr>
        <w:t>0分（价格权值</w:t>
      </w:r>
      <w:r>
        <w:rPr>
          <w:rFonts w:hint="eastAsia" w:ascii="宋体" w:hAnsi="宋体"/>
          <w:sz w:val="21"/>
          <w:szCs w:val="21"/>
          <w:highlight w:val="none"/>
          <w:lang w:val="en-US" w:eastAsia="zh-CN"/>
        </w:rPr>
        <w:t>20</w:t>
      </w:r>
      <w:r>
        <w:rPr>
          <w:rFonts w:ascii="宋体" w:hAnsi="宋体"/>
          <w:sz w:val="21"/>
          <w:szCs w:val="21"/>
          <w:highlight w:val="none"/>
        </w:rPr>
        <w:t>%）。</w:t>
      </w:r>
    </w:p>
    <w:p w14:paraId="11C693E0">
      <w:pPr>
        <w:pStyle w:val="12"/>
        <w:spacing w:after="0" w:line="360" w:lineRule="auto"/>
        <w:rPr>
          <w:rFonts w:ascii="宋体" w:hAnsi="宋体" w:eastAsia="宋体"/>
          <w:b/>
          <w:sz w:val="21"/>
          <w:szCs w:val="21"/>
          <w:highlight w:val="none"/>
        </w:rPr>
      </w:pPr>
      <w:r>
        <w:rPr>
          <w:rFonts w:hint="eastAsia" w:ascii="宋体" w:hAnsi="宋体" w:eastAsia="宋体"/>
          <w:b/>
          <w:sz w:val="21"/>
          <w:szCs w:val="21"/>
          <w:highlight w:val="none"/>
        </w:rPr>
        <w:t>四、</w:t>
      </w:r>
      <w:bookmarkEnd w:id="269"/>
      <w:bookmarkEnd w:id="270"/>
      <w:r>
        <w:rPr>
          <w:rFonts w:hint="eastAsia" w:ascii="宋体" w:hAnsi="宋体" w:eastAsia="宋体"/>
          <w:b/>
          <w:sz w:val="21"/>
          <w:szCs w:val="21"/>
          <w:highlight w:val="none"/>
        </w:rPr>
        <w:t>评标内容及标准</w:t>
      </w:r>
    </w:p>
    <w:p w14:paraId="62ACA38E">
      <w:pPr>
        <w:spacing w:line="360" w:lineRule="auto"/>
        <w:rPr>
          <w:rFonts w:ascii="宋体" w:hAnsi="宋体"/>
          <w:sz w:val="21"/>
          <w:szCs w:val="21"/>
          <w:highlight w:val="none"/>
        </w:rPr>
      </w:pPr>
      <w:r>
        <w:rPr>
          <w:rFonts w:hint="eastAsia" w:ascii="宋体" w:hAnsi="宋体"/>
          <w:sz w:val="21"/>
          <w:szCs w:val="21"/>
          <w:highlight w:val="none"/>
        </w:rPr>
        <w:t>1、 商务技术分的评定（</w:t>
      </w:r>
      <w:r>
        <w:rPr>
          <w:rFonts w:hint="eastAsia" w:ascii="宋体" w:hAnsi="宋体"/>
          <w:sz w:val="21"/>
          <w:szCs w:val="21"/>
          <w:highlight w:val="none"/>
          <w:lang w:val="en-US" w:eastAsia="zh-CN"/>
        </w:rPr>
        <w:t>8</w:t>
      </w:r>
      <w:r>
        <w:rPr>
          <w:rFonts w:hint="eastAsia" w:ascii="宋体" w:hAnsi="宋体"/>
          <w:sz w:val="21"/>
          <w:szCs w:val="21"/>
          <w:highlight w:val="none"/>
        </w:rPr>
        <w:t>0分）</w:t>
      </w:r>
    </w:p>
    <w:p w14:paraId="21441584">
      <w:pPr>
        <w:spacing w:line="360" w:lineRule="auto"/>
        <w:ind w:left="439" w:leftChars="209"/>
        <w:rPr>
          <w:rFonts w:hint="eastAsia" w:ascii="宋体" w:hAnsi="宋体"/>
          <w:sz w:val="21"/>
          <w:szCs w:val="21"/>
          <w:highlight w:val="none"/>
        </w:rPr>
      </w:pPr>
      <w:r>
        <w:rPr>
          <w:rFonts w:hint="eastAsia" w:ascii="宋体" w:hAnsi="宋体"/>
          <w:sz w:val="21"/>
          <w:szCs w:val="21"/>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Style w:val="33"/>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16"/>
        <w:gridCol w:w="1043"/>
        <w:gridCol w:w="5064"/>
        <w:gridCol w:w="846"/>
        <w:gridCol w:w="846"/>
      </w:tblGrid>
      <w:tr w14:paraId="056A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 w:type="dxa"/>
            <w:vAlign w:val="center"/>
          </w:tcPr>
          <w:p w14:paraId="71010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1816" w:type="dxa"/>
            <w:vAlign w:val="center"/>
          </w:tcPr>
          <w:p w14:paraId="01A015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评审因素</w:t>
            </w:r>
          </w:p>
        </w:tc>
        <w:tc>
          <w:tcPr>
            <w:tcW w:w="6107" w:type="dxa"/>
            <w:gridSpan w:val="2"/>
            <w:vAlign w:val="center"/>
          </w:tcPr>
          <w:p w14:paraId="14D1C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评审细则</w:t>
            </w:r>
          </w:p>
        </w:tc>
        <w:tc>
          <w:tcPr>
            <w:tcW w:w="846" w:type="dxa"/>
            <w:vAlign w:val="center"/>
          </w:tcPr>
          <w:p w14:paraId="7565D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分值</w:t>
            </w:r>
            <w:r>
              <w:rPr>
                <w:rFonts w:hint="eastAsia" w:ascii="宋体" w:hAnsi="宋体" w:cs="宋体"/>
                <w:color w:val="auto"/>
                <w:sz w:val="21"/>
                <w:szCs w:val="21"/>
                <w:highlight w:val="none"/>
              </w:rPr>
              <w:t>（分）</w:t>
            </w:r>
          </w:p>
        </w:tc>
        <w:tc>
          <w:tcPr>
            <w:tcW w:w="846" w:type="dxa"/>
            <w:vAlign w:val="center"/>
          </w:tcPr>
          <w:p w14:paraId="1FF1C6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18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 w:type="dxa"/>
            <w:vAlign w:val="center"/>
          </w:tcPr>
          <w:p w14:paraId="2D4C8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816" w:type="dxa"/>
            <w:vAlign w:val="center"/>
          </w:tcPr>
          <w:p w14:paraId="65264B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综合实力</w:t>
            </w:r>
          </w:p>
        </w:tc>
        <w:tc>
          <w:tcPr>
            <w:tcW w:w="6107" w:type="dxa"/>
            <w:gridSpan w:val="2"/>
            <w:vAlign w:val="center"/>
          </w:tcPr>
          <w:p w14:paraId="578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根据供应商品牌影响力、市场地位、网点分布数量，历年房产成交数量等情况综合打分（10、8、6、4、2、0）</w:t>
            </w:r>
          </w:p>
          <w:p w14:paraId="061667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注：提供相关证明资料。</w:t>
            </w:r>
          </w:p>
        </w:tc>
        <w:tc>
          <w:tcPr>
            <w:tcW w:w="846" w:type="dxa"/>
            <w:vAlign w:val="center"/>
          </w:tcPr>
          <w:p w14:paraId="3B0BCA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46" w:type="dxa"/>
            <w:vAlign w:val="center"/>
          </w:tcPr>
          <w:p w14:paraId="58DDD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4802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 w:type="dxa"/>
            <w:vAlign w:val="center"/>
          </w:tcPr>
          <w:p w14:paraId="49BFC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16" w:type="dxa"/>
            <w:vAlign w:val="center"/>
          </w:tcPr>
          <w:p w14:paraId="46446C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相关业绩</w:t>
            </w:r>
          </w:p>
        </w:tc>
        <w:tc>
          <w:tcPr>
            <w:tcW w:w="6107" w:type="dxa"/>
            <w:gridSpan w:val="2"/>
            <w:vAlign w:val="center"/>
          </w:tcPr>
          <w:p w14:paraId="52042B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1、投标人自2022年1月1日以来具有类似房产代销业绩的，每个得1分，本项最高得2分。</w:t>
            </w:r>
          </w:p>
          <w:p w14:paraId="68D7F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注：1.提供合同扫描件并电子签章，业绩时间以合同签订日期为准。2.是否属于同类业绩由评审小组根据合同的内容、特点以及与本项目的类似程度等进行认定。</w:t>
            </w:r>
          </w:p>
        </w:tc>
        <w:tc>
          <w:tcPr>
            <w:tcW w:w="846" w:type="dxa"/>
            <w:vAlign w:val="center"/>
          </w:tcPr>
          <w:p w14:paraId="12CFD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46" w:type="dxa"/>
            <w:vAlign w:val="center"/>
          </w:tcPr>
          <w:p w14:paraId="5F9091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4F0A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6" w:type="dxa"/>
            <w:vAlign w:val="center"/>
          </w:tcPr>
          <w:p w14:paraId="5578E9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16" w:type="dxa"/>
            <w:vAlign w:val="center"/>
          </w:tcPr>
          <w:p w14:paraId="75F86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项目理解</w:t>
            </w:r>
          </w:p>
        </w:tc>
        <w:tc>
          <w:tcPr>
            <w:tcW w:w="6107" w:type="dxa"/>
            <w:gridSpan w:val="2"/>
            <w:shd w:val="clear" w:color="auto" w:fill="auto"/>
            <w:vAlign w:val="center"/>
          </w:tcPr>
          <w:p w14:paraId="5AE4CF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根据投标人对项目货值、户配、销售指标等基本信息的掌握程度，以及对政策环境、土地市场、住宅市场等市场环境的调研与总结情况,由评标委员会成员判定评分。（10、8、6、4、2、0）</w:t>
            </w:r>
          </w:p>
        </w:tc>
        <w:tc>
          <w:tcPr>
            <w:tcW w:w="846" w:type="dxa"/>
            <w:shd w:val="clear" w:color="auto" w:fill="auto"/>
            <w:vAlign w:val="center"/>
          </w:tcPr>
          <w:p w14:paraId="0EAD97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46" w:type="dxa"/>
            <w:shd w:val="clear" w:color="auto" w:fill="auto"/>
            <w:vAlign w:val="center"/>
          </w:tcPr>
          <w:p w14:paraId="72C678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76D2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26" w:type="dxa"/>
            <w:vMerge w:val="restart"/>
            <w:vAlign w:val="center"/>
          </w:tcPr>
          <w:p w14:paraId="0240E4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816" w:type="dxa"/>
            <w:vMerge w:val="restart"/>
            <w:vAlign w:val="center"/>
          </w:tcPr>
          <w:p w14:paraId="324D83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项目实施方案</w:t>
            </w:r>
          </w:p>
        </w:tc>
        <w:tc>
          <w:tcPr>
            <w:tcW w:w="1043" w:type="dxa"/>
            <w:vAlign w:val="center"/>
          </w:tcPr>
          <w:p w14:paraId="73825B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营销策划实施方案</w:t>
            </w:r>
          </w:p>
          <w:p w14:paraId="051A1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c>
          <w:tcPr>
            <w:tcW w:w="5064" w:type="dxa"/>
            <w:vAlign w:val="center"/>
          </w:tcPr>
          <w:p w14:paraId="29FA3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标委员会对供应商提交的项目营销策划实施方案进行评审。重点考察市场洞察的深度（包括行业趋势研判、竞品优劣势分析）、策略体系的创新性（如差异化营销手段、跨界合作模式）、执行路径的可操作性（含营销节点的阶段衔接、资源调配的优先级规划）、风险预案的完备性（针对政策变动、市场波动的应对机制），以及方案文本的专业规范性（逻辑架构、数据支撑、术语准确性），并结合量化指标与综合权重进行评分。（10、8、6、4、2、0）</w:t>
            </w:r>
          </w:p>
        </w:tc>
        <w:tc>
          <w:tcPr>
            <w:tcW w:w="846" w:type="dxa"/>
            <w:vAlign w:val="center"/>
          </w:tcPr>
          <w:p w14:paraId="08AA0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46" w:type="dxa"/>
            <w:vAlign w:val="center"/>
          </w:tcPr>
          <w:p w14:paraId="6FDF17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2546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426" w:type="dxa"/>
            <w:vMerge w:val="continue"/>
            <w:vAlign w:val="center"/>
          </w:tcPr>
          <w:p w14:paraId="303B6E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2110CC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p>
        </w:tc>
        <w:tc>
          <w:tcPr>
            <w:tcW w:w="1043" w:type="dxa"/>
            <w:vAlign w:val="center"/>
          </w:tcPr>
          <w:p w14:paraId="77CCF9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房产销售代理实施方案</w:t>
            </w:r>
          </w:p>
        </w:tc>
        <w:tc>
          <w:tcPr>
            <w:tcW w:w="5064" w:type="dxa"/>
            <w:vAlign w:val="center"/>
          </w:tcPr>
          <w:p w14:paraId="6B96F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标委员会将围绕销售目标达成与客户转化效能，对房产销售代理实施方案进行专项评估。聚焦三大核心维度：一是销售体系的科学性，评估营销节点铺排是否匹配项目去化周期，销售指标分解是否兼顾短期冲刺与长期蓄客；二是客群运营的精准度，审查目标客户群体画像的多维度分析（如购买力、置业偏好、区域分布占比）是否契合市场实际；三是执行保障的可靠性，考核团队配置合理性、销售工具应用能力及应急响应机制，最终按分项权重进行综合评分。（16、14、12、10、8、6、4、2、0）</w:t>
            </w:r>
          </w:p>
        </w:tc>
        <w:tc>
          <w:tcPr>
            <w:tcW w:w="846" w:type="dxa"/>
            <w:vAlign w:val="center"/>
          </w:tcPr>
          <w:p w14:paraId="573D4F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846" w:type="dxa"/>
            <w:vAlign w:val="center"/>
          </w:tcPr>
          <w:p w14:paraId="082529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6513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26" w:type="dxa"/>
            <w:vMerge w:val="restart"/>
            <w:vAlign w:val="center"/>
          </w:tcPr>
          <w:p w14:paraId="2A7275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816" w:type="dxa"/>
            <w:vMerge w:val="restart"/>
            <w:vAlign w:val="center"/>
          </w:tcPr>
          <w:p w14:paraId="38017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项目团队人员配置情况</w:t>
            </w:r>
          </w:p>
        </w:tc>
        <w:tc>
          <w:tcPr>
            <w:tcW w:w="6107" w:type="dxa"/>
            <w:gridSpan w:val="2"/>
            <w:vAlign w:val="center"/>
          </w:tcPr>
          <w:p w14:paraId="04F395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针对本项目房产销售代理服务需求，投标人派遣销售人员的专业性、积极性、稳定性及团队人员素质、技术能力、专业分布、工作经验等情况，以及营销负责人的行业实操经验、人力资源调动能力和项目组织能力等由评标委员会成员判定评分。（8、6、4、2、0）</w:t>
            </w:r>
          </w:p>
        </w:tc>
        <w:tc>
          <w:tcPr>
            <w:tcW w:w="846" w:type="dxa"/>
            <w:vAlign w:val="center"/>
          </w:tcPr>
          <w:p w14:paraId="6A3A19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846" w:type="dxa"/>
            <w:vAlign w:val="center"/>
          </w:tcPr>
          <w:p w14:paraId="496F8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2845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426" w:type="dxa"/>
            <w:vMerge w:val="continue"/>
            <w:vAlign w:val="center"/>
          </w:tcPr>
          <w:p w14:paraId="6E64D6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3E854E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p>
        </w:tc>
        <w:tc>
          <w:tcPr>
            <w:tcW w:w="6107" w:type="dxa"/>
            <w:gridSpan w:val="2"/>
            <w:vAlign w:val="center"/>
          </w:tcPr>
          <w:p w14:paraId="45A6A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1.拟派遣项目负责人：具有房地产经纪人执业资证书的得3分。</w:t>
            </w:r>
          </w:p>
          <w:p w14:paraId="4BE21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2.针对拟派遣本项目人员情况(项目负责人除外)：具有房地产经纪人执业资证书的得，每个得1分，最多得3分。</w:t>
            </w:r>
          </w:p>
          <w:p w14:paraId="2C93CF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注：同时提供证书扫描件及在职社保6个月以上缴纳证明扫描件。</w:t>
            </w:r>
          </w:p>
        </w:tc>
        <w:tc>
          <w:tcPr>
            <w:tcW w:w="846" w:type="dxa"/>
            <w:vAlign w:val="center"/>
          </w:tcPr>
          <w:p w14:paraId="33DC2D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46" w:type="dxa"/>
            <w:vAlign w:val="center"/>
          </w:tcPr>
          <w:p w14:paraId="36FDDB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1D8A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26" w:type="dxa"/>
            <w:vAlign w:val="center"/>
          </w:tcPr>
          <w:p w14:paraId="1599BB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816" w:type="dxa"/>
            <w:vAlign w:val="center"/>
          </w:tcPr>
          <w:p w14:paraId="08202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服务质量保证措施</w:t>
            </w:r>
          </w:p>
        </w:tc>
        <w:tc>
          <w:tcPr>
            <w:tcW w:w="6107" w:type="dxa"/>
            <w:gridSpan w:val="2"/>
            <w:vAlign w:val="center"/>
          </w:tcPr>
          <w:p w14:paraId="32ECB7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房产代销服务质量承诺的完整性与针对性、服务响应时间承诺的及时性与可追踪性，以及人员培训、技术应用、风险管控等保障措施的合理性与有效性，由评标委员会成员判定评分。（8、6、4、2、0）</w:t>
            </w:r>
          </w:p>
        </w:tc>
        <w:tc>
          <w:tcPr>
            <w:tcW w:w="846" w:type="dxa"/>
            <w:vAlign w:val="center"/>
          </w:tcPr>
          <w:p w14:paraId="213C5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846" w:type="dxa"/>
            <w:vAlign w:val="center"/>
          </w:tcPr>
          <w:p w14:paraId="16ED48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5A0A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26" w:type="dxa"/>
            <w:vAlign w:val="center"/>
          </w:tcPr>
          <w:p w14:paraId="47D7C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16" w:type="dxa"/>
            <w:vAlign w:val="center"/>
          </w:tcPr>
          <w:p w14:paraId="7E527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突发事件应急预案</w:t>
            </w:r>
          </w:p>
        </w:tc>
        <w:tc>
          <w:tcPr>
            <w:tcW w:w="6107" w:type="dxa"/>
            <w:gridSpan w:val="2"/>
            <w:vAlign w:val="center"/>
          </w:tcPr>
          <w:p w14:paraId="16B3D1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突发事件应急处理措施，根据服务各项承诺明确且具有可操作性和监督性，有详细的工作计划，对发生突发性事件后，明确投入的人力、时间、各种应对措施等，由评标委员会成员判定评分。（6、4、2、0）</w:t>
            </w:r>
          </w:p>
        </w:tc>
        <w:tc>
          <w:tcPr>
            <w:tcW w:w="846" w:type="dxa"/>
            <w:vAlign w:val="center"/>
          </w:tcPr>
          <w:p w14:paraId="1F5E78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46" w:type="dxa"/>
            <w:vAlign w:val="center"/>
          </w:tcPr>
          <w:p w14:paraId="58CE92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r w14:paraId="5485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26" w:type="dxa"/>
            <w:vAlign w:val="center"/>
          </w:tcPr>
          <w:p w14:paraId="6E356D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16" w:type="dxa"/>
            <w:vAlign w:val="center"/>
          </w:tcPr>
          <w:p w14:paraId="5EB9F3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合理化建议</w:t>
            </w:r>
          </w:p>
        </w:tc>
        <w:tc>
          <w:tcPr>
            <w:tcW w:w="6107" w:type="dxa"/>
            <w:gridSpan w:val="2"/>
            <w:vAlign w:val="center"/>
          </w:tcPr>
          <w:p w14:paraId="354AA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根据投标人提出的合理化建议的合理性、可行性，由评标委员会成员判定评分。(4、3、2、1、0)</w:t>
            </w:r>
          </w:p>
        </w:tc>
        <w:tc>
          <w:tcPr>
            <w:tcW w:w="846" w:type="dxa"/>
            <w:vAlign w:val="center"/>
          </w:tcPr>
          <w:p w14:paraId="16E1B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46" w:type="dxa"/>
            <w:vAlign w:val="center"/>
          </w:tcPr>
          <w:p w14:paraId="73197C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cs="宋体"/>
                <w:color w:val="auto"/>
                <w:szCs w:val="21"/>
                <w:highlight w:val="none"/>
                <w:lang w:val="en-US" w:eastAsia="zh-CN"/>
              </w:rPr>
            </w:pPr>
          </w:p>
        </w:tc>
      </w:tr>
    </w:tbl>
    <w:p w14:paraId="6EA58408">
      <w:pPr>
        <w:rPr>
          <w:highlight w:val="none"/>
        </w:rPr>
      </w:pPr>
    </w:p>
    <w:p w14:paraId="178768DA">
      <w:pPr>
        <w:spacing w:line="360" w:lineRule="auto"/>
        <w:rPr>
          <w:rFonts w:ascii="宋体" w:hAnsi="宋体"/>
          <w:sz w:val="21"/>
          <w:szCs w:val="21"/>
          <w:highlight w:val="none"/>
        </w:rPr>
      </w:pPr>
      <w:r>
        <w:rPr>
          <w:rFonts w:hint="eastAsia" w:ascii="宋体" w:hAnsi="宋体"/>
          <w:sz w:val="21"/>
          <w:szCs w:val="21"/>
          <w:highlight w:val="none"/>
        </w:rPr>
        <w:t>2、报价分（</w:t>
      </w:r>
      <w:r>
        <w:rPr>
          <w:rFonts w:hint="eastAsia" w:ascii="宋体" w:hAnsi="宋体"/>
          <w:sz w:val="21"/>
          <w:szCs w:val="21"/>
          <w:highlight w:val="none"/>
          <w:lang w:val="en-US" w:eastAsia="zh-CN"/>
        </w:rPr>
        <w:t>2</w:t>
      </w:r>
      <w:r>
        <w:rPr>
          <w:rFonts w:hint="eastAsia" w:ascii="宋体" w:hAnsi="宋体"/>
          <w:sz w:val="21"/>
          <w:szCs w:val="21"/>
          <w:highlight w:val="none"/>
        </w:rPr>
        <w:t>0分）：</w:t>
      </w:r>
    </w:p>
    <w:p w14:paraId="5F0F1CB9">
      <w:pPr>
        <w:pStyle w:val="12"/>
        <w:spacing w:after="0" w:line="360" w:lineRule="auto"/>
        <w:ind w:firstLine="342" w:firstLineChars="163"/>
        <w:rPr>
          <w:rFonts w:ascii="宋体" w:hAnsi="宋体" w:eastAsia="宋体"/>
          <w:b/>
          <w:sz w:val="21"/>
          <w:szCs w:val="21"/>
          <w:highlight w:val="none"/>
        </w:rPr>
      </w:pPr>
      <w:r>
        <w:rPr>
          <w:rFonts w:hint="eastAsia" w:ascii="宋体" w:hAnsi="宋体" w:eastAsia="宋体"/>
          <w:sz w:val="21"/>
          <w:szCs w:val="21"/>
          <w:highlight w:val="none"/>
        </w:rPr>
        <w:t>报价</w:t>
      </w:r>
      <w:r>
        <w:rPr>
          <w:rFonts w:ascii="宋体" w:hAnsi="宋体" w:eastAsia="宋体"/>
          <w:sz w:val="21"/>
          <w:szCs w:val="21"/>
          <w:highlight w:val="none"/>
        </w:rPr>
        <w:t>分采用低价优先法计算，即满足招标文件要求且投标价格最低的投标报价为评标基准价，其价格分为满分。其他投标人的价格分统一按照下列公式计算：报价得分=（评标基准价／投标报价）×</w:t>
      </w:r>
      <w:r>
        <w:rPr>
          <w:rFonts w:hint="eastAsia" w:ascii="宋体" w:hAnsi="宋体" w:eastAsia="宋体"/>
          <w:sz w:val="21"/>
          <w:szCs w:val="21"/>
          <w:highlight w:val="none"/>
          <w:lang w:val="en-US" w:eastAsia="zh-CN"/>
        </w:rPr>
        <w:t>2</w:t>
      </w:r>
      <w:r>
        <w:rPr>
          <w:rFonts w:ascii="宋体" w:hAnsi="宋体" w:eastAsia="宋体"/>
          <w:sz w:val="21"/>
          <w:szCs w:val="21"/>
          <w:highlight w:val="none"/>
        </w:rPr>
        <w:t>0</w:t>
      </w:r>
      <w:r>
        <w:rPr>
          <w:rFonts w:hint="eastAsia" w:ascii="宋体" w:hAnsi="宋体" w:eastAsia="宋体"/>
          <w:sz w:val="21"/>
          <w:szCs w:val="21"/>
          <w:highlight w:val="none"/>
        </w:rPr>
        <w:t>%</w:t>
      </w:r>
      <w:r>
        <w:rPr>
          <w:rFonts w:ascii="宋体" w:hAnsi="宋体" w:eastAsia="宋体"/>
          <w:sz w:val="21"/>
          <w:szCs w:val="21"/>
          <w:highlight w:val="none"/>
        </w:rPr>
        <w:t>×100</w:t>
      </w:r>
      <w:r>
        <w:rPr>
          <w:rFonts w:hint="eastAsia" w:ascii="宋体" w:hAnsi="宋体" w:eastAsia="宋体"/>
          <w:sz w:val="21"/>
          <w:szCs w:val="21"/>
          <w:highlight w:val="none"/>
        </w:rPr>
        <w:t>（小数点后按四舍五入保留2位）</w:t>
      </w:r>
      <w:r>
        <w:rPr>
          <w:rFonts w:ascii="宋体" w:hAnsi="宋体" w:eastAsia="宋体"/>
          <w:sz w:val="21"/>
          <w:szCs w:val="21"/>
          <w:highlight w:val="none"/>
        </w:rPr>
        <w:t>。</w:t>
      </w:r>
    </w:p>
    <w:p w14:paraId="7A0405A3">
      <w:pPr>
        <w:spacing w:line="360" w:lineRule="auto"/>
        <w:rPr>
          <w:rFonts w:ascii="宋体" w:hAnsi="宋体"/>
          <w:sz w:val="21"/>
          <w:szCs w:val="21"/>
          <w:highlight w:val="none"/>
        </w:rPr>
      </w:pPr>
      <w:r>
        <w:rPr>
          <w:rFonts w:hint="eastAsia" w:ascii="宋体" w:hAnsi="宋体"/>
          <w:sz w:val="21"/>
          <w:szCs w:val="21"/>
          <w:highlight w:val="none"/>
        </w:rPr>
        <w:t>3、 有效投标人的综合得分为商务技术分和报价分的总和。</w:t>
      </w:r>
    </w:p>
    <w:p w14:paraId="101EB354">
      <w:pPr>
        <w:pStyle w:val="12"/>
        <w:spacing w:after="0" w:line="360" w:lineRule="auto"/>
        <w:rPr>
          <w:rFonts w:ascii="宋体" w:hAnsi="宋体" w:eastAsia="宋体"/>
          <w:sz w:val="21"/>
          <w:szCs w:val="21"/>
          <w:highlight w:val="none"/>
        </w:rPr>
      </w:pPr>
      <w:r>
        <w:rPr>
          <w:rFonts w:hint="eastAsia" w:ascii="宋体" w:hAnsi="宋体" w:eastAsia="宋体"/>
          <w:sz w:val="21"/>
          <w:szCs w:val="21"/>
          <w:highlight w:val="none"/>
        </w:rPr>
        <w:t>4、评标委员会按综合得分高低顺序排列，综合得分排名第一名投标人依次作为该项目第一中标候选人向采购人推荐，并提交评标报告。综合得分相同的，按投标报价由低到高顺序排列；综合得分且投标报价相同的，抽签决定。</w:t>
      </w:r>
    </w:p>
    <w:p w14:paraId="23498E54">
      <w:pPr>
        <w:pStyle w:val="12"/>
        <w:spacing w:after="0" w:line="360" w:lineRule="auto"/>
        <w:rPr>
          <w:rFonts w:ascii="宋体" w:hAnsi="宋体" w:eastAsia="宋体"/>
          <w:b/>
          <w:sz w:val="21"/>
          <w:szCs w:val="21"/>
          <w:highlight w:val="none"/>
        </w:rPr>
      </w:pPr>
      <w:r>
        <w:rPr>
          <w:rFonts w:hint="eastAsia" w:ascii="宋体" w:hAnsi="宋体" w:eastAsia="宋体"/>
          <w:b/>
          <w:sz w:val="21"/>
          <w:szCs w:val="21"/>
          <w:highlight w:val="none"/>
        </w:rPr>
        <w:t>五、定标办法</w:t>
      </w:r>
    </w:p>
    <w:p w14:paraId="0F119B14">
      <w:pPr>
        <w:pStyle w:val="12"/>
        <w:spacing w:after="0" w:line="360" w:lineRule="auto"/>
        <w:rPr>
          <w:rFonts w:ascii="宋体" w:hAnsi="宋体" w:eastAsia="宋体"/>
          <w:sz w:val="21"/>
          <w:szCs w:val="21"/>
          <w:highlight w:val="none"/>
        </w:rPr>
      </w:pPr>
      <w:r>
        <w:rPr>
          <w:rFonts w:hint="eastAsia" w:ascii="宋体" w:hAnsi="宋体" w:eastAsia="宋体"/>
          <w:sz w:val="21"/>
          <w:szCs w:val="21"/>
          <w:highlight w:val="none"/>
        </w:rPr>
        <w:t>1、本次采购由评标委员会推荐中标候选人，采购人根据评标委员会的推荐结果进行最终确认。如中标人放弃中标、或因不可抗力提出不能履行合同；或未能在规定时间内与采购人签订合同的；或者经质疑，采购人审查后，确因排名第一的候选人在本次采购活动中存在违法违规行为或其他原因使质疑成立的，本次采购失败，重新组织采购。2、不同投标供应商提供的品牌应不同。如品牌相同，按一家投标供应商计算，通过资格审查、符合性审查，评审后得分最高的同品牌投标供应商获得候选人推荐资格；评审得分相同的，商务技术部分得分最高的投标供应商获得候选人推荐资格，其他同品牌投标供应商不作为候选人。</w:t>
      </w:r>
    </w:p>
    <w:p w14:paraId="6A5505FA">
      <w:pPr>
        <w:spacing w:line="360" w:lineRule="auto"/>
        <w:ind w:left="439" w:leftChars="209"/>
        <w:rPr>
          <w:rFonts w:ascii="宋体" w:hAnsi="宋体"/>
          <w:sz w:val="21"/>
          <w:szCs w:val="21"/>
          <w:highlight w:val="none"/>
        </w:rPr>
      </w:pPr>
    </w:p>
    <w:p w14:paraId="7BF386BF">
      <w:pPr>
        <w:pStyle w:val="12"/>
        <w:spacing w:after="0" w:line="360" w:lineRule="auto"/>
        <w:rPr>
          <w:rFonts w:ascii="宋体" w:hAnsi="宋体" w:eastAsia="宋体"/>
          <w:b/>
          <w:sz w:val="21"/>
          <w:szCs w:val="21"/>
          <w:highlight w:val="none"/>
        </w:rPr>
      </w:pPr>
      <w:bookmarkStart w:id="271" w:name="_Toc221356968"/>
      <w:bookmarkStart w:id="272" w:name="_Toc221356905"/>
      <w:r>
        <w:rPr>
          <w:rFonts w:hint="eastAsia" w:ascii="宋体" w:hAnsi="宋体" w:eastAsia="宋体"/>
          <w:b/>
          <w:sz w:val="21"/>
          <w:szCs w:val="21"/>
          <w:highlight w:val="none"/>
        </w:rPr>
        <w:t>六、投标人义务</w:t>
      </w:r>
      <w:bookmarkEnd w:id="271"/>
      <w:bookmarkEnd w:id="272"/>
    </w:p>
    <w:p w14:paraId="7CC4E82F">
      <w:pPr>
        <w:spacing w:line="360" w:lineRule="auto"/>
        <w:ind w:left="439" w:leftChars="209"/>
        <w:rPr>
          <w:sz w:val="21"/>
          <w:szCs w:val="21"/>
          <w:highlight w:val="none"/>
        </w:rPr>
      </w:pPr>
      <w:r>
        <w:rPr>
          <w:rFonts w:hint="eastAsia" w:ascii="宋体" w:hAnsi="宋体"/>
          <w:sz w:val="21"/>
          <w:szCs w:val="21"/>
          <w:highlight w:val="none"/>
        </w:rPr>
        <w:t>投标人应随时接受评标委员会的询标，解答包括有关的商务、技术问题等。评标结束，所有评标资料存招标采购单位备查。</w:t>
      </w:r>
    </w:p>
    <w:sectPr>
      <w:headerReference r:id="rId7" w:type="first"/>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Univers LT Std 57 C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E86C">
    <w:pPr>
      <w:pStyle w:val="22"/>
      <w:tabs>
        <w:tab w:val="center" w:pos="4678"/>
        <w:tab w:val="right" w:pos="963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E098">
    <w:pPr>
      <w:pStyle w:val="22"/>
      <w:pBdr>
        <w:top w:val="single" w:color="auto" w:sz="4" w:space="1"/>
      </w:pBdr>
      <w:tabs>
        <w:tab w:val="center" w:pos="4819"/>
        <w:tab w:val="right" w:pos="9498"/>
        <w:tab w:val="clear" w:pos="4153"/>
        <w:tab w:val="clear" w:pos="8306"/>
      </w:tabs>
      <w:jc w:val="right"/>
      <w:rPr>
        <w:rFonts w:hint="eastAsia" w:eastAsia="宋体"/>
        <w:lang w:eastAsia="zh-CN"/>
      </w:rPr>
    </w:pPr>
    <w:r>
      <w:tab/>
    </w:r>
    <w:r>
      <w:fldChar w:fldCharType="begin"/>
    </w:r>
    <w:r>
      <w:instrText xml:space="preserve">PAGE   \* MERGEFORMAT</w:instrText>
    </w:r>
    <w:r>
      <w:fldChar w:fldCharType="separate"/>
    </w:r>
    <w:r>
      <w:t>69</w:t>
    </w:r>
    <w:r>
      <w:fldChar w:fldCharType="end"/>
    </w:r>
    <w:r>
      <w:tab/>
    </w:r>
    <w:r>
      <w:rPr>
        <w:rFonts w:hint="eastAsia" w:ascii="楷体_GB2312" w:eastAsia="楷体_GB2312"/>
        <w:lang w:eastAsia="zh-CN"/>
      </w:rPr>
      <w:t>浙江立创项目管理有限公司</w:t>
    </w:r>
  </w:p>
  <w:p w14:paraId="0492BAB9">
    <w:pPr>
      <w:pStyle w:val="2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C66E">
    <w:pPr>
      <w:pStyle w:val="23"/>
      <w:jc w:val="both"/>
    </w:pPr>
    <w:r>
      <w:rPr>
        <w:rFonts w:hint="eastAsia" w:ascii="楷体" w:hAnsi="楷体" w:eastAsia="楷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14FD">
    <w:pPr>
      <w:pStyle w:val="23"/>
      <w:jc w:val="both"/>
      <w:rPr>
        <w:rFonts w:ascii="楷体_GB2312" w:eastAsia="楷体_GB2312"/>
      </w:rPr>
    </w:pPr>
    <w:r>
      <w:rPr>
        <w:rFonts w:hint="eastAsia" w:ascii="楷体_GB2312" w:eastAsia="楷体_GB2312"/>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0B35">
    <w:pPr>
      <w:pStyle w:val="23"/>
      <w:jc w:val="both"/>
      <w:rPr>
        <w:lang w:val="en-US"/>
      </w:rPr>
    </w:pPr>
    <w:r>
      <w:rPr>
        <w:rFonts w:hint="eastAsia" w:ascii="楷体" w:hAnsi="楷体" w:eastAsia="楷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1200"/>
        </w:tabs>
        <w:ind w:left="1200" w:hanging="420"/>
      </w:pPr>
      <w:rPr>
        <w:rFonts w:hint="default" w:ascii="宋体" w:hAnsi="宋体" w:eastAsia="宋体"/>
        <w:b w:val="0"/>
        <w:sz w:val="21"/>
        <w:szCs w:val="21"/>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1">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B"/>
    <w:multiLevelType w:val="multilevel"/>
    <w:tmpl w:val="0000002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D04ED0"/>
    <w:multiLevelType w:val="multilevel"/>
    <w:tmpl w:val="00D04ED0"/>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D621D3"/>
    <w:multiLevelType w:val="multilevel"/>
    <w:tmpl w:val="01D621D3"/>
    <w:lvl w:ilvl="0" w:tentative="0">
      <w:start w:val="1"/>
      <w:numFmt w:val="decimal"/>
      <w:lvlText w:val="%1）"/>
      <w:lvlJc w:val="left"/>
      <w:pPr>
        <w:ind w:left="887" w:hanging="360"/>
      </w:pPr>
      <w:rPr>
        <w:rFonts w:hint="default"/>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7">
    <w:nsid w:val="07450317"/>
    <w:multiLevelType w:val="multilevel"/>
    <w:tmpl w:val="07450317"/>
    <w:lvl w:ilvl="0" w:tentative="0">
      <w:start w:val="1"/>
      <w:numFmt w:val="bullet"/>
      <w:lvlText w:val=""/>
      <w:lvlJc w:val="left"/>
      <w:pPr>
        <w:ind w:left="1499" w:hanging="420"/>
      </w:pPr>
      <w:rPr>
        <w:rFonts w:hint="default" w:ascii="Wingdings" w:hAnsi="Wingdings"/>
      </w:rPr>
    </w:lvl>
    <w:lvl w:ilvl="1" w:tentative="0">
      <w:start w:val="1"/>
      <w:numFmt w:val="bullet"/>
      <w:lvlText w:val=""/>
      <w:lvlJc w:val="left"/>
      <w:pPr>
        <w:ind w:left="1919" w:hanging="420"/>
      </w:pPr>
      <w:rPr>
        <w:rFonts w:hint="default" w:ascii="Wingdings" w:hAnsi="Wingdings"/>
      </w:rPr>
    </w:lvl>
    <w:lvl w:ilvl="2" w:tentative="0">
      <w:start w:val="1"/>
      <w:numFmt w:val="bullet"/>
      <w:lvlText w:val=""/>
      <w:lvlJc w:val="left"/>
      <w:pPr>
        <w:ind w:left="2339" w:hanging="420"/>
      </w:pPr>
      <w:rPr>
        <w:rFonts w:hint="default" w:ascii="Wingdings" w:hAnsi="Wingdings"/>
      </w:rPr>
    </w:lvl>
    <w:lvl w:ilvl="3" w:tentative="0">
      <w:start w:val="1"/>
      <w:numFmt w:val="bullet"/>
      <w:lvlText w:val=""/>
      <w:lvlJc w:val="left"/>
      <w:pPr>
        <w:ind w:left="2759" w:hanging="420"/>
      </w:pPr>
      <w:rPr>
        <w:rFonts w:hint="default" w:ascii="Wingdings" w:hAnsi="Wingdings"/>
      </w:rPr>
    </w:lvl>
    <w:lvl w:ilvl="4" w:tentative="0">
      <w:start w:val="1"/>
      <w:numFmt w:val="bullet"/>
      <w:lvlText w:val=""/>
      <w:lvlJc w:val="left"/>
      <w:pPr>
        <w:ind w:left="3179" w:hanging="420"/>
      </w:pPr>
      <w:rPr>
        <w:rFonts w:hint="default" w:ascii="Wingdings" w:hAnsi="Wingdings"/>
      </w:rPr>
    </w:lvl>
    <w:lvl w:ilvl="5" w:tentative="0">
      <w:start w:val="1"/>
      <w:numFmt w:val="bullet"/>
      <w:lvlText w:val=""/>
      <w:lvlJc w:val="left"/>
      <w:pPr>
        <w:ind w:left="3599" w:hanging="420"/>
      </w:pPr>
      <w:rPr>
        <w:rFonts w:hint="default" w:ascii="Wingdings" w:hAnsi="Wingdings"/>
      </w:rPr>
    </w:lvl>
    <w:lvl w:ilvl="6" w:tentative="0">
      <w:start w:val="1"/>
      <w:numFmt w:val="bullet"/>
      <w:lvlText w:val=""/>
      <w:lvlJc w:val="left"/>
      <w:pPr>
        <w:ind w:left="4019" w:hanging="420"/>
      </w:pPr>
      <w:rPr>
        <w:rFonts w:hint="default" w:ascii="Wingdings" w:hAnsi="Wingdings"/>
      </w:rPr>
    </w:lvl>
    <w:lvl w:ilvl="7" w:tentative="0">
      <w:start w:val="1"/>
      <w:numFmt w:val="bullet"/>
      <w:lvlText w:val=""/>
      <w:lvlJc w:val="left"/>
      <w:pPr>
        <w:ind w:left="4439" w:hanging="420"/>
      </w:pPr>
      <w:rPr>
        <w:rFonts w:hint="default" w:ascii="Wingdings" w:hAnsi="Wingdings"/>
      </w:rPr>
    </w:lvl>
    <w:lvl w:ilvl="8" w:tentative="0">
      <w:start w:val="1"/>
      <w:numFmt w:val="bullet"/>
      <w:lvlText w:val=""/>
      <w:lvlJc w:val="left"/>
      <w:pPr>
        <w:ind w:left="4859" w:hanging="420"/>
      </w:pPr>
      <w:rPr>
        <w:rFonts w:hint="default" w:ascii="Wingdings" w:hAnsi="Wingdings"/>
      </w:rPr>
    </w:lvl>
  </w:abstractNum>
  <w:abstractNum w:abstractNumId="8">
    <w:nsid w:val="15434DED"/>
    <w:multiLevelType w:val="multilevel"/>
    <w:tmpl w:val="15434DED"/>
    <w:lvl w:ilvl="0" w:tentative="0">
      <w:start w:val="1"/>
      <w:numFmt w:val="decimal"/>
      <w:lvlText w:val="%1."/>
      <w:lvlJc w:val="left"/>
      <w:pPr>
        <w:ind w:left="170" w:hanging="57"/>
      </w:pPr>
      <w:rPr>
        <w:rFonts w:hint="eastAsia" w:ascii="宋体" w:hAnsi="宋体"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D34A53"/>
    <w:multiLevelType w:val="multilevel"/>
    <w:tmpl w:val="16D34A53"/>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9DD6FE2"/>
    <w:multiLevelType w:val="multilevel"/>
    <w:tmpl w:val="19DD6FE2"/>
    <w:lvl w:ilvl="0" w:tentative="0">
      <w:start w:val="1"/>
      <w:numFmt w:val="japaneseCounting"/>
      <w:lvlText w:val="（%1）"/>
      <w:lvlJc w:val="left"/>
      <w:pPr>
        <w:ind w:left="1079" w:hanging="720"/>
      </w:pPr>
      <w:rPr>
        <w:rFonts w:hint="default"/>
        <w:lang w:val="en-US"/>
      </w:rPr>
    </w:lvl>
    <w:lvl w:ilvl="1" w:tentative="0">
      <w:start w:val="1"/>
      <w:numFmt w:val="japaneseCounting"/>
      <w:lvlText w:val="（%2）"/>
      <w:lvlJc w:val="left"/>
      <w:pPr>
        <w:ind w:left="1499" w:hanging="720"/>
      </w:pPr>
      <w:rPr>
        <w:rFonts w:hint="default"/>
      </w:r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1">
    <w:nsid w:val="20D1378C"/>
    <w:multiLevelType w:val="multilevel"/>
    <w:tmpl w:val="20D1378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4602FF9"/>
    <w:multiLevelType w:val="multilevel"/>
    <w:tmpl w:val="24602FF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5530E96"/>
    <w:multiLevelType w:val="multilevel"/>
    <w:tmpl w:val="25530E9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77D2EDD"/>
    <w:multiLevelType w:val="multilevel"/>
    <w:tmpl w:val="277D2EDD"/>
    <w:lvl w:ilvl="0" w:tentative="0">
      <w:start w:val="1"/>
      <w:numFmt w:val="decimal"/>
      <w:lvlText w:val="%1."/>
      <w:lvlJc w:val="left"/>
      <w:pPr>
        <w:tabs>
          <w:tab w:val="left" w:pos="635"/>
        </w:tabs>
        <w:ind w:left="567" w:hanging="567"/>
      </w:pPr>
      <w:rPr>
        <w:rFonts w:hint="eastAsia" w:ascii="宋体" w:hAnsi="宋体" w:eastAsia="宋体"/>
        <w:b w:val="0"/>
        <w:sz w:val="22"/>
        <w:szCs w:val="22"/>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2D525B6B"/>
    <w:multiLevelType w:val="multilevel"/>
    <w:tmpl w:val="2D525B6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B90C80"/>
    <w:multiLevelType w:val="multilevel"/>
    <w:tmpl w:val="2FB90C80"/>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6E7732"/>
    <w:multiLevelType w:val="multilevel"/>
    <w:tmpl w:val="486E7732"/>
    <w:lvl w:ilvl="0" w:tentative="0">
      <w:start w:val="1"/>
      <w:numFmt w:val="decimal"/>
      <w:lvlText w:val="%1、"/>
      <w:lvlJc w:val="left"/>
      <w:pPr>
        <w:ind w:left="690"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4BB92A8A"/>
    <w:multiLevelType w:val="multilevel"/>
    <w:tmpl w:val="4BB92A8A"/>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CCF6BB0"/>
    <w:multiLevelType w:val="multilevel"/>
    <w:tmpl w:val="4CCF6BB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E7D5079"/>
    <w:multiLevelType w:val="multilevel"/>
    <w:tmpl w:val="4E7D507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78B02EB"/>
    <w:multiLevelType w:val="multilevel"/>
    <w:tmpl w:val="678B02E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E402D8"/>
    <w:multiLevelType w:val="multilevel"/>
    <w:tmpl w:val="7CE402D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2"/>
  </w:num>
  <w:num w:numId="2">
    <w:abstractNumId w:val="14"/>
  </w:num>
  <w:num w:numId="3">
    <w:abstractNumId w:val="1"/>
  </w:num>
  <w:num w:numId="4">
    <w:abstractNumId w:val="2"/>
  </w:num>
  <w:num w:numId="5">
    <w:abstractNumId w:val="4"/>
  </w:num>
  <w:num w:numId="6">
    <w:abstractNumId w:val="8"/>
  </w:num>
  <w:num w:numId="7">
    <w:abstractNumId w:val="15"/>
  </w:num>
  <w:num w:numId="8">
    <w:abstractNumId w:val="6"/>
  </w:num>
  <w:num w:numId="9">
    <w:abstractNumId w:val="3"/>
  </w:num>
  <w:num w:numId="10">
    <w:abstractNumId w:val="13"/>
  </w:num>
  <w:num w:numId="11">
    <w:abstractNumId w:val="19"/>
  </w:num>
  <w:num w:numId="12">
    <w:abstractNumId w:val="21"/>
  </w:num>
  <w:num w:numId="13">
    <w:abstractNumId w:val="5"/>
  </w:num>
  <w:num w:numId="14">
    <w:abstractNumId w:val="23"/>
  </w:num>
  <w:num w:numId="15">
    <w:abstractNumId w:val="9"/>
  </w:num>
  <w:num w:numId="16">
    <w:abstractNumId w:val="20"/>
  </w:num>
  <w:num w:numId="17">
    <w:abstractNumId w:val="11"/>
  </w:num>
  <w:num w:numId="18">
    <w:abstractNumId w:val="12"/>
  </w:num>
  <w:num w:numId="19">
    <w:abstractNumId w:val="0"/>
  </w:num>
  <w:num w:numId="20">
    <w:abstractNumId w:val="16"/>
  </w:num>
  <w:num w:numId="21">
    <w:abstractNumId w:val="17"/>
  </w:num>
  <w:num w:numId="22">
    <w:abstractNumId w:val="1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Dg4NzU4YjkzN2Y2OWZkNmI0ZWY2YmU1ZWNhOGMifQ=="/>
  </w:docVars>
  <w:rsids>
    <w:rsidRoot w:val="00172A27"/>
    <w:rsid w:val="00001124"/>
    <w:rsid w:val="000042BF"/>
    <w:rsid w:val="000049A1"/>
    <w:rsid w:val="00005104"/>
    <w:rsid w:val="00005D60"/>
    <w:rsid w:val="00006724"/>
    <w:rsid w:val="00006B06"/>
    <w:rsid w:val="000070F5"/>
    <w:rsid w:val="00007145"/>
    <w:rsid w:val="0000724D"/>
    <w:rsid w:val="00007289"/>
    <w:rsid w:val="000076BE"/>
    <w:rsid w:val="00007A5D"/>
    <w:rsid w:val="00007A6A"/>
    <w:rsid w:val="00007F7C"/>
    <w:rsid w:val="0001030D"/>
    <w:rsid w:val="000107C7"/>
    <w:rsid w:val="00012D56"/>
    <w:rsid w:val="00013B2D"/>
    <w:rsid w:val="000148F4"/>
    <w:rsid w:val="000153CE"/>
    <w:rsid w:val="00015D0C"/>
    <w:rsid w:val="0001745C"/>
    <w:rsid w:val="00020E30"/>
    <w:rsid w:val="00021819"/>
    <w:rsid w:val="00022303"/>
    <w:rsid w:val="000224E6"/>
    <w:rsid w:val="00022796"/>
    <w:rsid w:val="00022AA6"/>
    <w:rsid w:val="00023C28"/>
    <w:rsid w:val="0002477A"/>
    <w:rsid w:val="00024F37"/>
    <w:rsid w:val="0002526B"/>
    <w:rsid w:val="00025316"/>
    <w:rsid w:val="00027336"/>
    <w:rsid w:val="00030DCE"/>
    <w:rsid w:val="0003594B"/>
    <w:rsid w:val="00035A39"/>
    <w:rsid w:val="00037DC2"/>
    <w:rsid w:val="000405BD"/>
    <w:rsid w:val="0004202D"/>
    <w:rsid w:val="0004330E"/>
    <w:rsid w:val="00043521"/>
    <w:rsid w:val="00043AFE"/>
    <w:rsid w:val="00043D10"/>
    <w:rsid w:val="00043E85"/>
    <w:rsid w:val="00044C3D"/>
    <w:rsid w:val="00045734"/>
    <w:rsid w:val="00045735"/>
    <w:rsid w:val="00045B72"/>
    <w:rsid w:val="00046908"/>
    <w:rsid w:val="00046B46"/>
    <w:rsid w:val="00046CB1"/>
    <w:rsid w:val="000500D2"/>
    <w:rsid w:val="000507E7"/>
    <w:rsid w:val="00051196"/>
    <w:rsid w:val="00051991"/>
    <w:rsid w:val="00051C45"/>
    <w:rsid w:val="0005242B"/>
    <w:rsid w:val="00052673"/>
    <w:rsid w:val="00052B69"/>
    <w:rsid w:val="0005433D"/>
    <w:rsid w:val="00055022"/>
    <w:rsid w:val="0005568D"/>
    <w:rsid w:val="0005737E"/>
    <w:rsid w:val="00060E2D"/>
    <w:rsid w:val="00064D68"/>
    <w:rsid w:val="000668DD"/>
    <w:rsid w:val="00067019"/>
    <w:rsid w:val="000679DA"/>
    <w:rsid w:val="00067C95"/>
    <w:rsid w:val="000718F4"/>
    <w:rsid w:val="00072730"/>
    <w:rsid w:val="00074563"/>
    <w:rsid w:val="00074E9C"/>
    <w:rsid w:val="0007533B"/>
    <w:rsid w:val="00075B5C"/>
    <w:rsid w:val="00076600"/>
    <w:rsid w:val="000771D9"/>
    <w:rsid w:val="00080787"/>
    <w:rsid w:val="0008093E"/>
    <w:rsid w:val="00081DDB"/>
    <w:rsid w:val="00081FF1"/>
    <w:rsid w:val="000835C9"/>
    <w:rsid w:val="00083887"/>
    <w:rsid w:val="0008437B"/>
    <w:rsid w:val="0008455B"/>
    <w:rsid w:val="00084A22"/>
    <w:rsid w:val="00086D27"/>
    <w:rsid w:val="00091ECB"/>
    <w:rsid w:val="000920E5"/>
    <w:rsid w:val="00092D47"/>
    <w:rsid w:val="00093061"/>
    <w:rsid w:val="000931E3"/>
    <w:rsid w:val="000940AC"/>
    <w:rsid w:val="00094D9C"/>
    <w:rsid w:val="00095AD0"/>
    <w:rsid w:val="00096370"/>
    <w:rsid w:val="0009731A"/>
    <w:rsid w:val="000976B3"/>
    <w:rsid w:val="000A092B"/>
    <w:rsid w:val="000A0A70"/>
    <w:rsid w:val="000A0FC0"/>
    <w:rsid w:val="000A2CE0"/>
    <w:rsid w:val="000A3899"/>
    <w:rsid w:val="000A3AD6"/>
    <w:rsid w:val="000A3B32"/>
    <w:rsid w:val="000A4CC3"/>
    <w:rsid w:val="000A51C7"/>
    <w:rsid w:val="000A5608"/>
    <w:rsid w:val="000A61C1"/>
    <w:rsid w:val="000A6350"/>
    <w:rsid w:val="000A63F8"/>
    <w:rsid w:val="000A7537"/>
    <w:rsid w:val="000A7CB9"/>
    <w:rsid w:val="000B024E"/>
    <w:rsid w:val="000B1989"/>
    <w:rsid w:val="000B2EB0"/>
    <w:rsid w:val="000B3A52"/>
    <w:rsid w:val="000B40A2"/>
    <w:rsid w:val="000B5103"/>
    <w:rsid w:val="000B51E2"/>
    <w:rsid w:val="000B52AE"/>
    <w:rsid w:val="000B561F"/>
    <w:rsid w:val="000B6D79"/>
    <w:rsid w:val="000C011B"/>
    <w:rsid w:val="000C16F2"/>
    <w:rsid w:val="000C2AE8"/>
    <w:rsid w:val="000C3B9F"/>
    <w:rsid w:val="000C3CB1"/>
    <w:rsid w:val="000C48E4"/>
    <w:rsid w:val="000C4A9A"/>
    <w:rsid w:val="000C4B4C"/>
    <w:rsid w:val="000C4F32"/>
    <w:rsid w:val="000C507D"/>
    <w:rsid w:val="000C5357"/>
    <w:rsid w:val="000C5540"/>
    <w:rsid w:val="000C5E99"/>
    <w:rsid w:val="000C6258"/>
    <w:rsid w:val="000C6BA3"/>
    <w:rsid w:val="000C764C"/>
    <w:rsid w:val="000C777C"/>
    <w:rsid w:val="000C7DE6"/>
    <w:rsid w:val="000D0FE5"/>
    <w:rsid w:val="000D1E1A"/>
    <w:rsid w:val="000D2173"/>
    <w:rsid w:val="000D4B96"/>
    <w:rsid w:val="000D580A"/>
    <w:rsid w:val="000D5DA2"/>
    <w:rsid w:val="000D6CD7"/>
    <w:rsid w:val="000D70E6"/>
    <w:rsid w:val="000D72D7"/>
    <w:rsid w:val="000E2314"/>
    <w:rsid w:val="000E3AED"/>
    <w:rsid w:val="000E49DF"/>
    <w:rsid w:val="000E5840"/>
    <w:rsid w:val="000F01FD"/>
    <w:rsid w:val="000F06F3"/>
    <w:rsid w:val="000F07E4"/>
    <w:rsid w:val="000F1996"/>
    <w:rsid w:val="000F1ABB"/>
    <w:rsid w:val="000F239F"/>
    <w:rsid w:val="000F398A"/>
    <w:rsid w:val="000F3A2F"/>
    <w:rsid w:val="000F4BD6"/>
    <w:rsid w:val="000F5188"/>
    <w:rsid w:val="000F5E68"/>
    <w:rsid w:val="000F7F4C"/>
    <w:rsid w:val="00101064"/>
    <w:rsid w:val="0010137B"/>
    <w:rsid w:val="00101546"/>
    <w:rsid w:val="00101E1A"/>
    <w:rsid w:val="00102CC3"/>
    <w:rsid w:val="00105130"/>
    <w:rsid w:val="00105E7C"/>
    <w:rsid w:val="00106006"/>
    <w:rsid w:val="001064BD"/>
    <w:rsid w:val="001068D9"/>
    <w:rsid w:val="00106AD9"/>
    <w:rsid w:val="001077AD"/>
    <w:rsid w:val="0011050B"/>
    <w:rsid w:val="001106F2"/>
    <w:rsid w:val="00110711"/>
    <w:rsid w:val="00110F19"/>
    <w:rsid w:val="00111A7E"/>
    <w:rsid w:val="00111F74"/>
    <w:rsid w:val="001120D8"/>
    <w:rsid w:val="00114DC3"/>
    <w:rsid w:val="00114FBB"/>
    <w:rsid w:val="0012209B"/>
    <w:rsid w:val="00122E27"/>
    <w:rsid w:val="00122F46"/>
    <w:rsid w:val="0012389D"/>
    <w:rsid w:val="001257CB"/>
    <w:rsid w:val="001259D6"/>
    <w:rsid w:val="001259D7"/>
    <w:rsid w:val="001267A2"/>
    <w:rsid w:val="00126B57"/>
    <w:rsid w:val="00126F89"/>
    <w:rsid w:val="001301C9"/>
    <w:rsid w:val="00130AC3"/>
    <w:rsid w:val="0013196B"/>
    <w:rsid w:val="00132B4B"/>
    <w:rsid w:val="001343E7"/>
    <w:rsid w:val="00134CD5"/>
    <w:rsid w:val="00135D56"/>
    <w:rsid w:val="001364F1"/>
    <w:rsid w:val="0013685F"/>
    <w:rsid w:val="0013724A"/>
    <w:rsid w:val="00140639"/>
    <w:rsid w:val="00141B23"/>
    <w:rsid w:val="00142F8B"/>
    <w:rsid w:val="00144486"/>
    <w:rsid w:val="00144668"/>
    <w:rsid w:val="00145333"/>
    <w:rsid w:val="001454C1"/>
    <w:rsid w:val="00145860"/>
    <w:rsid w:val="00145B02"/>
    <w:rsid w:val="00146823"/>
    <w:rsid w:val="00146922"/>
    <w:rsid w:val="00146D21"/>
    <w:rsid w:val="0015071E"/>
    <w:rsid w:val="00150B4B"/>
    <w:rsid w:val="00150CFD"/>
    <w:rsid w:val="0015198D"/>
    <w:rsid w:val="00151D6E"/>
    <w:rsid w:val="00152AB8"/>
    <w:rsid w:val="00152F33"/>
    <w:rsid w:val="001535BD"/>
    <w:rsid w:val="0015384C"/>
    <w:rsid w:val="00157795"/>
    <w:rsid w:val="0016034D"/>
    <w:rsid w:val="0016075D"/>
    <w:rsid w:val="00160F4C"/>
    <w:rsid w:val="001619BF"/>
    <w:rsid w:val="00161D28"/>
    <w:rsid w:val="00161DE1"/>
    <w:rsid w:val="0016314E"/>
    <w:rsid w:val="0016320B"/>
    <w:rsid w:val="00163DC6"/>
    <w:rsid w:val="00163EA5"/>
    <w:rsid w:val="001662AE"/>
    <w:rsid w:val="00167678"/>
    <w:rsid w:val="00170203"/>
    <w:rsid w:val="00170982"/>
    <w:rsid w:val="00170D81"/>
    <w:rsid w:val="00170F38"/>
    <w:rsid w:val="0017123C"/>
    <w:rsid w:val="00171F6F"/>
    <w:rsid w:val="0017210A"/>
    <w:rsid w:val="00172A27"/>
    <w:rsid w:val="00172B78"/>
    <w:rsid w:val="00172D36"/>
    <w:rsid w:val="00173016"/>
    <w:rsid w:val="00173D31"/>
    <w:rsid w:val="00175AB0"/>
    <w:rsid w:val="00175BC6"/>
    <w:rsid w:val="00175C3B"/>
    <w:rsid w:val="001767B2"/>
    <w:rsid w:val="00177581"/>
    <w:rsid w:val="00177CD3"/>
    <w:rsid w:val="001800E4"/>
    <w:rsid w:val="00181F67"/>
    <w:rsid w:val="00182930"/>
    <w:rsid w:val="00183B11"/>
    <w:rsid w:val="001840FA"/>
    <w:rsid w:val="001845E5"/>
    <w:rsid w:val="00184737"/>
    <w:rsid w:val="00184BBB"/>
    <w:rsid w:val="00185299"/>
    <w:rsid w:val="00185C38"/>
    <w:rsid w:val="00186FA2"/>
    <w:rsid w:val="00191615"/>
    <w:rsid w:val="001920EA"/>
    <w:rsid w:val="00192829"/>
    <w:rsid w:val="00193D9E"/>
    <w:rsid w:val="00193E97"/>
    <w:rsid w:val="001941A3"/>
    <w:rsid w:val="001958E5"/>
    <w:rsid w:val="00195F03"/>
    <w:rsid w:val="00196279"/>
    <w:rsid w:val="001964FD"/>
    <w:rsid w:val="0019773D"/>
    <w:rsid w:val="001A04C3"/>
    <w:rsid w:val="001A11C7"/>
    <w:rsid w:val="001A14E1"/>
    <w:rsid w:val="001A17DB"/>
    <w:rsid w:val="001A1BC8"/>
    <w:rsid w:val="001A24D7"/>
    <w:rsid w:val="001A2878"/>
    <w:rsid w:val="001A2B6E"/>
    <w:rsid w:val="001A3EEE"/>
    <w:rsid w:val="001A40E9"/>
    <w:rsid w:val="001A4A1A"/>
    <w:rsid w:val="001A5F30"/>
    <w:rsid w:val="001A6564"/>
    <w:rsid w:val="001A6956"/>
    <w:rsid w:val="001A77FC"/>
    <w:rsid w:val="001A7F20"/>
    <w:rsid w:val="001B127A"/>
    <w:rsid w:val="001B3B2F"/>
    <w:rsid w:val="001B4108"/>
    <w:rsid w:val="001B418C"/>
    <w:rsid w:val="001B583C"/>
    <w:rsid w:val="001B58F2"/>
    <w:rsid w:val="001B69F6"/>
    <w:rsid w:val="001B6B88"/>
    <w:rsid w:val="001B78B4"/>
    <w:rsid w:val="001B7C4B"/>
    <w:rsid w:val="001B7D08"/>
    <w:rsid w:val="001C075D"/>
    <w:rsid w:val="001C086C"/>
    <w:rsid w:val="001C1855"/>
    <w:rsid w:val="001C18BD"/>
    <w:rsid w:val="001C1901"/>
    <w:rsid w:val="001C1B7D"/>
    <w:rsid w:val="001C4A1E"/>
    <w:rsid w:val="001C549F"/>
    <w:rsid w:val="001C5789"/>
    <w:rsid w:val="001C5D7D"/>
    <w:rsid w:val="001C5FF9"/>
    <w:rsid w:val="001C63F6"/>
    <w:rsid w:val="001C6E60"/>
    <w:rsid w:val="001C6FF7"/>
    <w:rsid w:val="001C7476"/>
    <w:rsid w:val="001C7537"/>
    <w:rsid w:val="001C77C9"/>
    <w:rsid w:val="001D0021"/>
    <w:rsid w:val="001D002E"/>
    <w:rsid w:val="001D0452"/>
    <w:rsid w:val="001D0E77"/>
    <w:rsid w:val="001D1528"/>
    <w:rsid w:val="001D2D09"/>
    <w:rsid w:val="001D3220"/>
    <w:rsid w:val="001D347A"/>
    <w:rsid w:val="001D3F50"/>
    <w:rsid w:val="001D4D13"/>
    <w:rsid w:val="001D4D9F"/>
    <w:rsid w:val="001D5A6D"/>
    <w:rsid w:val="001D5D78"/>
    <w:rsid w:val="001D638D"/>
    <w:rsid w:val="001D71ED"/>
    <w:rsid w:val="001D7317"/>
    <w:rsid w:val="001D7EE9"/>
    <w:rsid w:val="001E02BE"/>
    <w:rsid w:val="001E040C"/>
    <w:rsid w:val="001E208D"/>
    <w:rsid w:val="001E3511"/>
    <w:rsid w:val="001E35A6"/>
    <w:rsid w:val="001E41FE"/>
    <w:rsid w:val="001E584B"/>
    <w:rsid w:val="001E66BC"/>
    <w:rsid w:val="001E76AE"/>
    <w:rsid w:val="001F0375"/>
    <w:rsid w:val="001F1795"/>
    <w:rsid w:val="001F1E93"/>
    <w:rsid w:val="001F237D"/>
    <w:rsid w:val="001F403A"/>
    <w:rsid w:val="001F53EE"/>
    <w:rsid w:val="001F655D"/>
    <w:rsid w:val="001F68AE"/>
    <w:rsid w:val="001F6B2F"/>
    <w:rsid w:val="00200A1C"/>
    <w:rsid w:val="0020151B"/>
    <w:rsid w:val="00201EF8"/>
    <w:rsid w:val="002023C5"/>
    <w:rsid w:val="00202584"/>
    <w:rsid w:val="00204CCB"/>
    <w:rsid w:val="00205096"/>
    <w:rsid w:val="00206327"/>
    <w:rsid w:val="002069F1"/>
    <w:rsid w:val="00206B3F"/>
    <w:rsid w:val="00206FE5"/>
    <w:rsid w:val="0020758D"/>
    <w:rsid w:val="00210089"/>
    <w:rsid w:val="00210139"/>
    <w:rsid w:val="002124E5"/>
    <w:rsid w:val="002125CF"/>
    <w:rsid w:val="00213202"/>
    <w:rsid w:val="00213A6D"/>
    <w:rsid w:val="00213CBC"/>
    <w:rsid w:val="0021415F"/>
    <w:rsid w:val="002141E1"/>
    <w:rsid w:val="0021454D"/>
    <w:rsid w:val="002164C3"/>
    <w:rsid w:val="00216F08"/>
    <w:rsid w:val="00217250"/>
    <w:rsid w:val="00217CE4"/>
    <w:rsid w:val="00217E22"/>
    <w:rsid w:val="00220D1A"/>
    <w:rsid w:val="00221159"/>
    <w:rsid w:val="0022140B"/>
    <w:rsid w:val="0022164D"/>
    <w:rsid w:val="00221C25"/>
    <w:rsid w:val="00222345"/>
    <w:rsid w:val="0022297F"/>
    <w:rsid w:val="00223138"/>
    <w:rsid w:val="002231A9"/>
    <w:rsid w:val="002235CE"/>
    <w:rsid w:val="00224C9C"/>
    <w:rsid w:val="00225873"/>
    <w:rsid w:val="0022637E"/>
    <w:rsid w:val="00226546"/>
    <w:rsid w:val="00226629"/>
    <w:rsid w:val="0022741D"/>
    <w:rsid w:val="00227BD3"/>
    <w:rsid w:val="00227D9E"/>
    <w:rsid w:val="00230848"/>
    <w:rsid w:val="00230882"/>
    <w:rsid w:val="00231029"/>
    <w:rsid w:val="00231911"/>
    <w:rsid w:val="00231D2E"/>
    <w:rsid w:val="00232999"/>
    <w:rsid w:val="002355E8"/>
    <w:rsid w:val="00235704"/>
    <w:rsid w:val="002369B1"/>
    <w:rsid w:val="00237061"/>
    <w:rsid w:val="00237263"/>
    <w:rsid w:val="002372A1"/>
    <w:rsid w:val="00237E0B"/>
    <w:rsid w:val="00240BB5"/>
    <w:rsid w:val="00241C53"/>
    <w:rsid w:val="002430D3"/>
    <w:rsid w:val="00243F0A"/>
    <w:rsid w:val="002453A1"/>
    <w:rsid w:val="002458DB"/>
    <w:rsid w:val="0024666C"/>
    <w:rsid w:val="00250519"/>
    <w:rsid w:val="002506CA"/>
    <w:rsid w:val="00251BE8"/>
    <w:rsid w:val="00251CCD"/>
    <w:rsid w:val="00251ED0"/>
    <w:rsid w:val="0025464F"/>
    <w:rsid w:val="00254A6D"/>
    <w:rsid w:val="0025538D"/>
    <w:rsid w:val="00255670"/>
    <w:rsid w:val="00255CB9"/>
    <w:rsid w:val="002603F3"/>
    <w:rsid w:val="0026115D"/>
    <w:rsid w:val="002633ED"/>
    <w:rsid w:val="00263EEB"/>
    <w:rsid w:val="00264E01"/>
    <w:rsid w:val="0026611D"/>
    <w:rsid w:val="0026696D"/>
    <w:rsid w:val="00270496"/>
    <w:rsid w:val="00271296"/>
    <w:rsid w:val="0027260D"/>
    <w:rsid w:val="00272922"/>
    <w:rsid w:val="00273F8A"/>
    <w:rsid w:val="002743FD"/>
    <w:rsid w:val="0027764A"/>
    <w:rsid w:val="002807EB"/>
    <w:rsid w:val="00280E12"/>
    <w:rsid w:val="00281102"/>
    <w:rsid w:val="0028196D"/>
    <w:rsid w:val="00281B78"/>
    <w:rsid w:val="00281D68"/>
    <w:rsid w:val="00282CC8"/>
    <w:rsid w:val="0028317A"/>
    <w:rsid w:val="00284427"/>
    <w:rsid w:val="00285126"/>
    <w:rsid w:val="00286037"/>
    <w:rsid w:val="00286869"/>
    <w:rsid w:val="00290232"/>
    <w:rsid w:val="002905E5"/>
    <w:rsid w:val="00290CEA"/>
    <w:rsid w:val="00290EE2"/>
    <w:rsid w:val="002914EB"/>
    <w:rsid w:val="00292B02"/>
    <w:rsid w:val="002941A9"/>
    <w:rsid w:val="0029444D"/>
    <w:rsid w:val="002947DC"/>
    <w:rsid w:val="00295BFE"/>
    <w:rsid w:val="0029685E"/>
    <w:rsid w:val="002972D6"/>
    <w:rsid w:val="002976B7"/>
    <w:rsid w:val="00297A51"/>
    <w:rsid w:val="002A034A"/>
    <w:rsid w:val="002A0520"/>
    <w:rsid w:val="002A11AC"/>
    <w:rsid w:val="002A128C"/>
    <w:rsid w:val="002A1823"/>
    <w:rsid w:val="002A1871"/>
    <w:rsid w:val="002A1F9B"/>
    <w:rsid w:val="002A24FF"/>
    <w:rsid w:val="002A3872"/>
    <w:rsid w:val="002A402B"/>
    <w:rsid w:val="002A4AC9"/>
    <w:rsid w:val="002A4E2A"/>
    <w:rsid w:val="002A558A"/>
    <w:rsid w:val="002A5988"/>
    <w:rsid w:val="002A6181"/>
    <w:rsid w:val="002A77CE"/>
    <w:rsid w:val="002B11B6"/>
    <w:rsid w:val="002B5CF4"/>
    <w:rsid w:val="002B5DD1"/>
    <w:rsid w:val="002B679E"/>
    <w:rsid w:val="002C015C"/>
    <w:rsid w:val="002C06BD"/>
    <w:rsid w:val="002C0976"/>
    <w:rsid w:val="002C0CF4"/>
    <w:rsid w:val="002C2A47"/>
    <w:rsid w:val="002C2E03"/>
    <w:rsid w:val="002C2E10"/>
    <w:rsid w:val="002C3677"/>
    <w:rsid w:val="002C3C8D"/>
    <w:rsid w:val="002C3D13"/>
    <w:rsid w:val="002C482E"/>
    <w:rsid w:val="002C5761"/>
    <w:rsid w:val="002C6073"/>
    <w:rsid w:val="002C6124"/>
    <w:rsid w:val="002C650F"/>
    <w:rsid w:val="002C6E55"/>
    <w:rsid w:val="002C7E5F"/>
    <w:rsid w:val="002D0052"/>
    <w:rsid w:val="002D05DA"/>
    <w:rsid w:val="002D0D95"/>
    <w:rsid w:val="002D0F29"/>
    <w:rsid w:val="002D1041"/>
    <w:rsid w:val="002D10C4"/>
    <w:rsid w:val="002D2669"/>
    <w:rsid w:val="002D2B46"/>
    <w:rsid w:val="002D50B6"/>
    <w:rsid w:val="002D5174"/>
    <w:rsid w:val="002D54EB"/>
    <w:rsid w:val="002D56FD"/>
    <w:rsid w:val="002D5E20"/>
    <w:rsid w:val="002D7CD7"/>
    <w:rsid w:val="002E062C"/>
    <w:rsid w:val="002E2FC3"/>
    <w:rsid w:val="002E3275"/>
    <w:rsid w:val="002E3EEA"/>
    <w:rsid w:val="002E460F"/>
    <w:rsid w:val="002E5D50"/>
    <w:rsid w:val="002E5FE0"/>
    <w:rsid w:val="002E6184"/>
    <w:rsid w:val="002E64BA"/>
    <w:rsid w:val="002E68FC"/>
    <w:rsid w:val="002E6B67"/>
    <w:rsid w:val="002E71EE"/>
    <w:rsid w:val="002E75B7"/>
    <w:rsid w:val="002E77D8"/>
    <w:rsid w:val="002F093A"/>
    <w:rsid w:val="002F1107"/>
    <w:rsid w:val="002F136F"/>
    <w:rsid w:val="002F17F7"/>
    <w:rsid w:val="002F210E"/>
    <w:rsid w:val="002F270E"/>
    <w:rsid w:val="002F3C08"/>
    <w:rsid w:val="002F47E5"/>
    <w:rsid w:val="002F4AA7"/>
    <w:rsid w:val="002F4E30"/>
    <w:rsid w:val="002F5B25"/>
    <w:rsid w:val="002F6728"/>
    <w:rsid w:val="002F786B"/>
    <w:rsid w:val="003005C0"/>
    <w:rsid w:val="003006E6"/>
    <w:rsid w:val="0030121B"/>
    <w:rsid w:val="0030126C"/>
    <w:rsid w:val="00302C8B"/>
    <w:rsid w:val="00303491"/>
    <w:rsid w:val="00304E9F"/>
    <w:rsid w:val="0030504E"/>
    <w:rsid w:val="003053AE"/>
    <w:rsid w:val="00305462"/>
    <w:rsid w:val="00305C5D"/>
    <w:rsid w:val="00306B19"/>
    <w:rsid w:val="00307AA9"/>
    <w:rsid w:val="00307B07"/>
    <w:rsid w:val="00310049"/>
    <w:rsid w:val="0031008C"/>
    <w:rsid w:val="00310462"/>
    <w:rsid w:val="00310584"/>
    <w:rsid w:val="003111A8"/>
    <w:rsid w:val="0031314A"/>
    <w:rsid w:val="003143BB"/>
    <w:rsid w:val="0031568C"/>
    <w:rsid w:val="003159CD"/>
    <w:rsid w:val="003164B4"/>
    <w:rsid w:val="0031681D"/>
    <w:rsid w:val="003210EF"/>
    <w:rsid w:val="00321670"/>
    <w:rsid w:val="00322A23"/>
    <w:rsid w:val="00323216"/>
    <w:rsid w:val="00324C17"/>
    <w:rsid w:val="003258DF"/>
    <w:rsid w:val="00325BEA"/>
    <w:rsid w:val="003302C8"/>
    <w:rsid w:val="00332216"/>
    <w:rsid w:val="00333302"/>
    <w:rsid w:val="003342B0"/>
    <w:rsid w:val="00334E7E"/>
    <w:rsid w:val="00336970"/>
    <w:rsid w:val="00336B1C"/>
    <w:rsid w:val="00340A01"/>
    <w:rsid w:val="00342009"/>
    <w:rsid w:val="00342360"/>
    <w:rsid w:val="00342EAE"/>
    <w:rsid w:val="0034312A"/>
    <w:rsid w:val="003437D1"/>
    <w:rsid w:val="00343864"/>
    <w:rsid w:val="00343870"/>
    <w:rsid w:val="00343E11"/>
    <w:rsid w:val="00344D53"/>
    <w:rsid w:val="00344DB7"/>
    <w:rsid w:val="00344E68"/>
    <w:rsid w:val="00345D6D"/>
    <w:rsid w:val="003478AA"/>
    <w:rsid w:val="00347E5B"/>
    <w:rsid w:val="0035118E"/>
    <w:rsid w:val="0035169F"/>
    <w:rsid w:val="00352013"/>
    <w:rsid w:val="00352CF9"/>
    <w:rsid w:val="00352DAE"/>
    <w:rsid w:val="00352F45"/>
    <w:rsid w:val="003532F7"/>
    <w:rsid w:val="003535C0"/>
    <w:rsid w:val="00353663"/>
    <w:rsid w:val="0035370F"/>
    <w:rsid w:val="00354921"/>
    <w:rsid w:val="00354CBC"/>
    <w:rsid w:val="00355A54"/>
    <w:rsid w:val="003565B0"/>
    <w:rsid w:val="00356CBD"/>
    <w:rsid w:val="00356CE3"/>
    <w:rsid w:val="00356F08"/>
    <w:rsid w:val="00360711"/>
    <w:rsid w:val="00362C31"/>
    <w:rsid w:val="0036320F"/>
    <w:rsid w:val="003634D7"/>
    <w:rsid w:val="00363B38"/>
    <w:rsid w:val="00364BCF"/>
    <w:rsid w:val="00365566"/>
    <w:rsid w:val="00365679"/>
    <w:rsid w:val="003658D8"/>
    <w:rsid w:val="0036599E"/>
    <w:rsid w:val="00370212"/>
    <w:rsid w:val="00370D45"/>
    <w:rsid w:val="00370E3E"/>
    <w:rsid w:val="00371214"/>
    <w:rsid w:val="0037148D"/>
    <w:rsid w:val="003715EE"/>
    <w:rsid w:val="00373867"/>
    <w:rsid w:val="00374061"/>
    <w:rsid w:val="00374A29"/>
    <w:rsid w:val="00374B15"/>
    <w:rsid w:val="003758B5"/>
    <w:rsid w:val="00375C1D"/>
    <w:rsid w:val="0037600F"/>
    <w:rsid w:val="00377419"/>
    <w:rsid w:val="0038058B"/>
    <w:rsid w:val="003809EB"/>
    <w:rsid w:val="00380B59"/>
    <w:rsid w:val="003810AF"/>
    <w:rsid w:val="00383575"/>
    <w:rsid w:val="0038375F"/>
    <w:rsid w:val="003845B1"/>
    <w:rsid w:val="00385A92"/>
    <w:rsid w:val="00386216"/>
    <w:rsid w:val="003919F9"/>
    <w:rsid w:val="003942FA"/>
    <w:rsid w:val="00394875"/>
    <w:rsid w:val="0039513C"/>
    <w:rsid w:val="00397A3E"/>
    <w:rsid w:val="003A1DC8"/>
    <w:rsid w:val="003A26A9"/>
    <w:rsid w:val="003A2BCA"/>
    <w:rsid w:val="003A39EB"/>
    <w:rsid w:val="003A4B44"/>
    <w:rsid w:val="003A5625"/>
    <w:rsid w:val="003A5782"/>
    <w:rsid w:val="003A5F2A"/>
    <w:rsid w:val="003A664C"/>
    <w:rsid w:val="003A69B0"/>
    <w:rsid w:val="003A6F04"/>
    <w:rsid w:val="003B00E3"/>
    <w:rsid w:val="003B0265"/>
    <w:rsid w:val="003B08F3"/>
    <w:rsid w:val="003B0D14"/>
    <w:rsid w:val="003B1E8A"/>
    <w:rsid w:val="003B263C"/>
    <w:rsid w:val="003B3722"/>
    <w:rsid w:val="003B4079"/>
    <w:rsid w:val="003B4711"/>
    <w:rsid w:val="003B5E80"/>
    <w:rsid w:val="003B7E6C"/>
    <w:rsid w:val="003C1521"/>
    <w:rsid w:val="003C160B"/>
    <w:rsid w:val="003C2FF5"/>
    <w:rsid w:val="003C356A"/>
    <w:rsid w:val="003C3B52"/>
    <w:rsid w:val="003C4074"/>
    <w:rsid w:val="003C494E"/>
    <w:rsid w:val="003C58C0"/>
    <w:rsid w:val="003C5E1B"/>
    <w:rsid w:val="003C607A"/>
    <w:rsid w:val="003C656F"/>
    <w:rsid w:val="003C6ED0"/>
    <w:rsid w:val="003C6F0C"/>
    <w:rsid w:val="003C7231"/>
    <w:rsid w:val="003C7541"/>
    <w:rsid w:val="003D0372"/>
    <w:rsid w:val="003D075B"/>
    <w:rsid w:val="003D11F8"/>
    <w:rsid w:val="003D13DD"/>
    <w:rsid w:val="003D1441"/>
    <w:rsid w:val="003D1902"/>
    <w:rsid w:val="003D1E5F"/>
    <w:rsid w:val="003D35BB"/>
    <w:rsid w:val="003D3869"/>
    <w:rsid w:val="003D40BF"/>
    <w:rsid w:val="003D4B05"/>
    <w:rsid w:val="003D60D1"/>
    <w:rsid w:val="003D66F0"/>
    <w:rsid w:val="003E04B1"/>
    <w:rsid w:val="003E0E79"/>
    <w:rsid w:val="003E1697"/>
    <w:rsid w:val="003E1ADA"/>
    <w:rsid w:val="003E1C7A"/>
    <w:rsid w:val="003E29A0"/>
    <w:rsid w:val="003E35DA"/>
    <w:rsid w:val="003E3CF6"/>
    <w:rsid w:val="003E4FA5"/>
    <w:rsid w:val="003E6D37"/>
    <w:rsid w:val="003E750F"/>
    <w:rsid w:val="003E7707"/>
    <w:rsid w:val="003E7B31"/>
    <w:rsid w:val="003F0B9E"/>
    <w:rsid w:val="003F0CF5"/>
    <w:rsid w:val="003F1FFA"/>
    <w:rsid w:val="003F2150"/>
    <w:rsid w:val="003F219E"/>
    <w:rsid w:val="003F2F84"/>
    <w:rsid w:val="003F32D9"/>
    <w:rsid w:val="003F564C"/>
    <w:rsid w:val="003F772C"/>
    <w:rsid w:val="003F7B5A"/>
    <w:rsid w:val="00401078"/>
    <w:rsid w:val="004017C2"/>
    <w:rsid w:val="00401C4C"/>
    <w:rsid w:val="00402A9D"/>
    <w:rsid w:val="00403B11"/>
    <w:rsid w:val="00403B52"/>
    <w:rsid w:val="00403D68"/>
    <w:rsid w:val="00404AF3"/>
    <w:rsid w:val="00404E23"/>
    <w:rsid w:val="00406DD7"/>
    <w:rsid w:val="004075D6"/>
    <w:rsid w:val="00411A55"/>
    <w:rsid w:val="00413D90"/>
    <w:rsid w:val="00414488"/>
    <w:rsid w:val="00414735"/>
    <w:rsid w:val="00414B29"/>
    <w:rsid w:val="00414C0D"/>
    <w:rsid w:val="004150DB"/>
    <w:rsid w:val="0041537D"/>
    <w:rsid w:val="004154E6"/>
    <w:rsid w:val="00415A94"/>
    <w:rsid w:val="004165C7"/>
    <w:rsid w:val="0041763B"/>
    <w:rsid w:val="00417DF5"/>
    <w:rsid w:val="004204F9"/>
    <w:rsid w:val="00420A28"/>
    <w:rsid w:val="00421DE4"/>
    <w:rsid w:val="004228CD"/>
    <w:rsid w:val="00422CDF"/>
    <w:rsid w:val="00422FCD"/>
    <w:rsid w:val="00423A40"/>
    <w:rsid w:val="00423BB5"/>
    <w:rsid w:val="00423C2C"/>
    <w:rsid w:val="0042479B"/>
    <w:rsid w:val="00425228"/>
    <w:rsid w:val="00425264"/>
    <w:rsid w:val="00426DA5"/>
    <w:rsid w:val="00427C2B"/>
    <w:rsid w:val="00430BDF"/>
    <w:rsid w:val="004311F6"/>
    <w:rsid w:val="00431EB0"/>
    <w:rsid w:val="00431EE6"/>
    <w:rsid w:val="00433104"/>
    <w:rsid w:val="00433643"/>
    <w:rsid w:val="0043445D"/>
    <w:rsid w:val="004347EB"/>
    <w:rsid w:val="004348D0"/>
    <w:rsid w:val="00435215"/>
    <w:rsid w:val="00435846"/>
    <w:rsid w:val="004362A1"/>
    <w:rsid w:val="00436E82"/>
    <w:rsid w:val="00437B6D"/>
    <w:rsid w:val="00440904"/>
    <w:rsid w:val="00441471"/>
    <w:rsid w:val="004427DD"/>
    <w:rsid w:val="0044296C"/>
    <w:rsid w:val="00442B6F"/>
    <w:rsid w:val="00443555"/>
    <w:rsid w:val="004441EC"/>
    <w:rsid w:val="00444EE7"/>
    <w:rsid w:val="0044585D"/>
    <w:rsid w:val="00446CD3"/>
    <w:rsid w:val="00446FCB"/>
    <w:rsid w:val="00447109"/>
    <w:rsid w:val="00447E7E"/>
    <w:rsid w:val="00451C15"/>
    <w:rsid w:val="0045274E"/>
    <w:rsid w:val="004557A3"/>
    <w:rsid w:val="004561AA"/>
    <w:rsid w:val="0045712D"/>
    <w:rsid w:val="00457D6E"/>
    <w:rsid w:val="00461354"/>
    <w:rsid w:val="00461CE4"/>
    <w:rsid w:val="004620CE"/>
    <w:rsid w:val="00462186"/>
    <w:rsid w:val="00464351"/>
    <w:rsid w:val="0046498E"/>
    <w:rsid w:val="00465A71"/>
    <w:rsid w:val="004673CC"/>
    <w:rsid w:val="00467746"/>
    <w:rsid w:val="0047058D"/>
    <w:rsid w:val="004707E5"/>
    <w:rsid w:val="00471D1C"/>
    <w:rsid w:val="004724F2"/>
    <w:rsid w:val="00472B79"/>
    <w:rsid w:val="00472D8D"/>
    <w:rsid w:val="0047368D"/>
    <w:rsid w:val="004738FF"/>
    <w:rsid w:val="00473AB0"/>
    <w:rsid w:val="00473B82"/>
    <w:rsid w:val="00474722"/>
    <w:rsid w:val="00474DB4"/>
    <w:rsid w:val="00476DEE"/>
    <w:rsid w:val="00477574"/>
    <w:rsid w:val="00477613"/>
    <w:rsid w:val="004778BE"/>
    <w:rsid w:val="00477ABA"/>
    <w:rsid w:val="00480D1D"/>
    <w:rsid w:val="00481077"/>
    <w:rsid w:val="00481E28"/>
    <w:rsid w:val="00484EB2"/>
    <w:rsid w:val="004853EC"/>
    <w:rsid w:val="00485F42"/>
    <w:rsid w:val="00485F76"/>
    <w:rsid w:val="00487451"/>
    <w:rsid w:val="00490498"/>
    <w:rsid w:val="00490A15"/>
    <w:rsid w:val="00491A5B"/>
    <w:rsid w:val="00493D85"/>
    <w:rsid w:val="00493E69"/>
    <w:rsid w:val="00495A11"/>
    <w:rsid w:val="004965BD"/>
    <w:rsid w:val="00496C60"/>
    <w:rsid w:val="0049739E"/>
    <w:rsid w:val="004A030B"/>
    <w:rsid w:val="004A11F7"/>
    <w:rsid w:val="004A3359"/>
    <w:rsid w:val="004A3654"/>
    <w:rsid w:val="004A5485"/>
    <w:rsid w:val="004A5652"/>
    <w:rsid w:val="004A58B0"/>
    <w:rsid w:val="004A623A"/>
    <w:rsid w:val="004A6626"/>
    <w:rsid w:val="004B0FFD"/>
    <w:rsid w:val="004B11DB"/>
    <w:rsid w:val="004B15D4"/>
    <w:rsid w:val="004B17FF"/>
    <w:rsid w:val="004B199A"/>
    <w:rsid w:val="004B1F09"/>
    <w:rsid w:val="004B7C0F"/>
    <w:rsid w:val="004B7F66"/>
    <w:rsid w:val="004C04BA"/>
    <w:rsid w:val="004C05DB"/>
    <w:rsid w:val="004C075A"/>
    <w:rsid w:val="004C23B9"/>
    <w:rsid w:val="004C2678"/>
    <w:rsid w:val="004C34A8"/>
    <w:rsid w:val="004C5284"/>
    <w:rsid w:val="004C559A"/>
    <w:rsid w:val="004C5B07"/>
    <w:rsid w:val="004C6008"/>
    <w:rsid w:val="004C671F"/>
    <w:rsid w:val="004C73C3"/>
    <w:rsid w:val="004D1340"/>
    <w:rsid w:val="004D1B08"/>
    <w:rsid w:val="004D25BF"/>
    <w:rsid w:val="004D2BE8"/>
    <w:rsid w:val="004D36E9"/>
    <w:rsid w:val="004D3704"/>
    <w:rsid w:val="004D3D5A"/>
    <w:rsid w:val="004D435B"/>
    <w:rsid w:val="004D50D9"/>
    <w:rsid w:val="004D5145"/>
    <w:rsid w:val="004D5D87"/>
    <w:rsid w:val="004D5E90"/>
    <w:rsid w:val="004D6BF6"/>
    <w:rsid w:val="004D6EA4"/>
    <w:rsid w:val="004D7453"/>
    <w:rsid w:val="004D74AF"/>
    <w:rsid w:val="004D77AB"/>
    <w:rsid w:val="004E02CC"/>
    <w:rsid w:val="004E07A8"/>
    <w:rsid w:val="004E10F8"/>
    <w:rsid w:val="004E2C63"/>
    <w:rsid w:val="004E3113"/>
    <w:rsid w:val="004E5B83"/>
    <w:rsid w:val="004E62D0"/>
    <w:rsid w:val="004E72A8"/>
    <w:rsid w:val="004E77DB"/>
    <w:rsid w:val="004E7CAB"/>
    <w:rsid w:val="004E7DF4"/>
    <w:rsid w:val="004F060C"/>
    <w:rsid w:val="004F1F3B"/>
    <w:rsid w:val="004F2408"/>
    <w:rsid w:val="004F2A17"/>
    <w:rsid w:val="004F2C74"/>
    <w:rsid w:val="004F33E4"/>
    <w:rsid w:val="004F4EBE"/>
    <w:rsid w:val="004F50F3"/>
    <w:rsid w:val="004F6776"/>
    <w:rsid w:val="004F71F8"/>
    <w:rsid w:val="004F7404"/>
    <w:rsid w:val="00500E72"/>
    <w:rsid w:val="00501A1A"/>
    <w:rsid w:val="00503434"/>
    <w:rsid w:val="00503B6A"/>
    <w:rsid w:val="00504B06"/>
    <w:rsid w:val="00505029"/>
    <w:rsid w:val="00505252"/>
    <w:rsid w:val="0050640C"/>
    <w:rsid w:val="00506CCC"/>
    <w:rsid w:val="00512B8D"/>
    <w:rsid w:val="00513397"/>
    <w:rsid w:val="00513922"/>
    <w:rsid w:val="00513AA0"/>
    <w:rsid w:val="00514F49"/>
    <w:rsid w:val="00515D3A"/>
    <w:rsid w:val="00516716"/>
    <w:rsid w:val="00516F72"/>
    <w:rsid w:val="0051723E"/>
    <w:rsid w:val="005172EC"/>
    <w:rsid w:val="005175C5"/>
    <w:rsid w:val="00517681"/>
    <w:rsid w:val="00517CC8"/>
    <w:rsid w:val="0052123A"/>
    <w:rsid w:val="00521249"/>
    <w:rsid w:val="005212B8"/>
    <w:rsid w:val="0052165F"/>
    <w:rsid w:val="005226A7"/>
    <w:rsid w:val="0052351A"/>
    <w:rsid w:val="00524492"/>
    <w:rsid w:val="005265EB"/>
    <w:rsid w:val="005269B1"/>
    <w:rsid w:val="00527C3B"/>
    <w:rsid w:val="00527D42"/>
    <w:rsid w:val="00530863"/>
    <w:rsid w:val="00530A32"/>
    <w:rsid w:val="00532095"/>
    <w:rsid w:val="00532849"/>
    <w:rsid w:val="00532AFC"/>
    <w:rsid w:val="00534288"/>
    <w:rsid w:val="005347EC"/>
    <w:rsid w:val="00534B4A"/>
    <w:rsid w:val="0053514A"/>
    <w:rsid w:val="005356EC"/>
    <w:rsid w:val="00535725"/>
    <w:rsid w:val="00536A30"/>
    <w:rsid w:val="00537398"/>
    <w:rsid w:val="00537B7F"/>
    <w:rsid w:val="00543E5D"/>
    <w:rsid w:val="00544A0B"/>
    <w:rsid w:val="00546512"/>
    <w:rsid w:val="005467C7"/>
    <w:rsid w:val="005468C9"/>
    <w:rsid w:val="00546915"/>
    <w:rsid w:val="00546B91"/>
    <w:rsid w:val="00546C98"/>
    <w:rsid w:val="00547136"/>
    <w:rsid w:val="00547AAB"/>
    <w:rsid w:val="00547E5F"/>
    <w:rsid w:val="0055022E"/>
    <w:rsid w:val="0055070A"/>
    <w:rsid w:val="00551A9B"/>
    <w:rsid w:val="00552EBD"/>
    <w:rsid w:val="0055321F"/>
    <w:rsid w:val="0055337C"/>
    <w:rsid w:val="00553662"/>
    <w:rsid w:val="005538B1"/>
    <w:rsid w:val="00554062"/>
    <w:rsid w:val="005541C0"/>
    <w:rsid w:val="0055427D"/>
    <w:rsid w:val="005544CD"/>
    <w:rsid w:val="005561C4"/>
    <w:rsid w:val="00556299"/>
    <w:rsid w:val="00557393"/>
    <w:rsid w:val="00557629"/>
    <w:rsid w:val="00557CC2"/>
    <w:rsid w:val="0056082F"/>
    <w:rsid w:val="005609F1"/>
    <w:rsid w:val="00562A68"/>
    <w:rsid w:val="00564AA0"/>
    <w:rsid w:val="00566060"/>
    <w:rsid w:val="0056647C"/>
    <w:rsid w:val="00567DF0"/>
    <w:rsid w:val="0057169B"/>
    <w:rsid w:val="005726EC"/>
    <w:rsid w:val="005728D9"/>
    <w:rsid w:val="00572E25"/>
    <w:rsid w:val="005744E2"/>
    <w:rsid w:val="00575715"/>
    <w:rsid w:val="00575AAE"/>
    <w:rsid w:val="0057609A"/>
    <w:rsid w:val="005766F4"/>
    <w:rsid w:val="00576902"/>
    <w:rsid w:val="00576CF7"/>
    <w:rsid w:val="00577C27"/>
    <w:rsid w:val="00577DD6"/>
    <w:rsid w:val="0058014B"/>
    <w:rsid w:val="00580B39"/>
    <w:rsid w:val="00580BE7"/>
    <w:rsid w:val="0058188C"/>
    <w:rsid w:val="00582C03"/>
    <w:rsid w:val="00582F92"/>
    <w:rsid w:val="0058341A"/>
    <w:rsid w:val="005864AD"/>
    <w:rsid w:val="005871DC"/>
    <w:rsid w:val="0059001F"/>
    <w:rsid w:val="00590F3C"/>
    <w:rsid w:val="005914BF"/>
    <w:rsid w:val="00592857"/>
    <w:rsid w:val="00592AEE"/>
    <w:rsid w:val="005932E6"/>
    <w:rsid w:val="005934B3"/>
    <w:rsid w:val="005934C2"/>
    <w:rsid w:val="00594A55"/>
    <w:rsid w:val="00594C2D"/>
    <w:rsid w:val="0059636C"/>
    <w:rsid w:val="00596593"/>
    <w:rsid w:val="00596F47"/>
    <w:rsid w:val="005A0C51"/>
    <w:rsid w:val="005A0CAD"/>
    <w:rsid w:val="005A0D2E"/>
    <w:rsid w:val="005A1EF0"/>
    <w:rsid w:val="005A23F8"/>
    <w:rsid w:val="005A2555"/>
    <w:rsid w:val="005A26FA"/>
    <w:rsid w:val="005A390D"/>
    <w:rsid w:val="005A39B5"/>
    <w:rsid w:val="005A3C84"/>
    <w:rsid w:val="005A3F96"/>
    <w:rsid w:val="005A5BFE"/>
    <w:rsid w:val="005A72FD"/>
    <w:rsid w:val="005A778D"/>
    <w:rsid w:val="005B0491"/>
    <w:rsid w:val="005B0CE3"/>
    <w:rsid w:val="005B1347"/>
    <w:rsid w:val="005B21A4"/>
    <w:rsid w:val="005B2406"/>
    <w:rsid w:val="005B2733"/>
    <w:rsid w:val="005B3461"/>
    <w:rsid w:val="005B3747"/>
    <w:rsid w:val="005B571C"/>
    <w:rsid w:val="005B5DB5"/>
    <w:rsid w:val="005B7A15"/>
    <w:rsid w:val="005C0A0C"/>
    <w:rsid w:val="005C0A65"/>
    <w:rsid w:val="005C121A"/>
    <w:rsid w:val="005C1693"/>
    <w:rsid w:val="005C1F28"/>
    <w:rsid w:val="005C2108"/>
    <w:rsid w:val="005C236C"/>
    <w:rsid w:val="005C2E94"/>
    <w:rsid w:val="005C3037"/>
    <w:rsid w:val="005C31F0"/>
    <w:rsid w:val="005C3327"/>
    <w:rsid w:val="005C4D52"/>
    <w:rsid w:val="005C53B6"/>
    <w:rsid w:val="005C59B1"/>
    <w:rsid w:val="005C61C8"/>
    <w:rsid w:val="005C6211"/>
    <w:rsid w:val="005C68B0"/>
    <w:rsid w:val="005C7CA9"/>
    <w:rsid w:val="005D006D"/>
    <w:rsid w:val="005D0110"/>
    <w:rsid w:val="005D0639"/>
    <w:rsid w:val="005D0736"/>
    <w:rsid w:val="005D1878"/>
    <w:rsid w:val="005D310F"/>
    <w:rsid w:val="005D3C24"/>
    <w:rsid w:val="005D3C39"/>
    <w:rsid w:val="005D4247"/>
    <w:rsid w:val="005D49AE"/>
    <w:rsid w:val="005D51C8"/>
    <w:rsid w:val="005D6CFB"/>
    <w:rsid w:val="005D7D4A"/>
    <w:rsid w:val="005E067C"/>
    <w:rsid w:val="005E0B2B"/>
    <w:rsid w:val="005E107D"/>
    <w:rsid w:val="005E1153"/>
    <w:rsid w:val="005E2720"/>
    <w:rsid w:val="005E29D1"/>
    <w:rsid w:val="005E4D87"/>
    <w:rsid w:val="005F24FC"/>
    <w:rsid w:val="005F2C23"/>
    <w:rsid w:val="005F5819"/>
    <w:rsid w:val="005F6750"/>
    <w:rsid w:val="005F764A"/>
    <w:rsid w:val="00600131"/>
    <w:rsid w:val="00600C29"/>
    <w:rsid w:val="006017E7"/>
    <w:rsid w:val="00601DA9"/>
    <w:rsid w:val="006036B7"/>
    <w:rsid w:val="00603EF2"/>
    <w:rsid w:val="0060457B"/>
    <w:rsid w:val="0060464B"/>
    <w:rsid w:val="00605362"/>
    <w:rsid w:val="00606DE0"/>
    <w:rsid w:val="00606F66"/>
    <w:rsid w:val="0061283F"/>
    <w:rsid w:val="00614BDD"/>
    <w:rsid w:val="00615566"/>
    <w:rsid w:val="00615B0F"/>
    <w:rsid w:val="00616389"/>
    <w:rsid w:val="00616CD8"/>
    <w:rsid w:val="00620000"/>
    <w:rsid w:val="00620473"/>
    <w:rsid w:val="00620A14"/>
    <w:rsid w:val="00622E86"/>
    <w:rsid w:val="00623017"/>
    <w:rsid w:val="006233F8"/>
    <w:rsid w:val="0062496A"/>
    <w:rsid w:val="00625565"/>
    <w:rsid w:val="006258C8"/>
    <w:rsid w:val="006269A0"/>
    <w:rsid w:val="00626ADA"/>
    <w:rsid w:val="00630181"/>
    <w:rsid w:val="00630A82"/>
    <w:rsid w:val="0063175A"/>
    <w:rsid w:val="00632428"/>
    <w:rsid w:val="00634EB4"/>
    <w:rsid w:val="006357B4"/>
    <w:rsid w:val="0063597A"/>
    <w:rsid w:val="00636402"/>
    <w:rsid w:val="00636DE6"/>
    <w:rsid w:val="006372CA"/>
    <w:rsid w:val="006373A3"/>
    <w:rsid w:val="006406F4"/>
    <w:rsid w:val="0064091D"/>
    <w:rsid w:val="00641904"/>
    <w:rsid w:val="00642C59"/>
    <w:rsid w:val="00642E31"/>
    <w:rsid w:val="006457AF"/>
    <w:rsid w:val="006463CA"/>
    <w:rsid w:val="00646639"/>
    <w:rsid w:val="00647816"/>
    <w:rsid w:val="00647834"/>
    <w:rsid w:val="006501BA"/>
    <w:rsid w:val="00650396"/>
    <w:rsid w:val="00650693"/>
    <w:rsid w:val="00650737"/>
    <w:rsid w:val="006521F4"/>
    <w:rsid w:val="006546CA"/>
    <w:rsid w:val="00656283"/>
    <w:rsid w:val="00656B67"/>
    <w:rsid w:val="00657F8B"/>
    <w:rsid w:val="00662B1D"/>
    <w:rsid w:val="006633E1"/>
    <w:rsid w:val="006636E6"/>
    <w:rsid w:val="00663D3B"/>
    <w:rsid w:val="00665029"/>
    <w:rsid w:val="0066527C"/>
    <w:rsid w:val="006665F2"/>
    <w:rsid w:val="00666C03"/>
    <w:rsid w:val="006671B9"/>
    <w:rsid w:val="00667ADD"/>
    <w:rsid w:val="0067050B"/>
    <w:rsid w:val="006711C3"/>
    <w:rsid w:val="006713D9"/>
    <w:rsid w:val="00672554"/>
    <w:rsid w:val="00673463"/>
    <w:rsid w:val="00674B1E"/>
    <w:rsid w:val="006751B0"/>
    <w:rsid w:val="006769BE"/>
    <w:rsid w:val="00676A53"/>
    <w:rsid w:val="00680CAC"/>
    <w:rsid w:val="00681055"/>
    <w:rsid w:val="00682538"/>
    <w:rsid w:val="00682E49"/>
    <w:rsid w:val="00683187"/>
    <w:rsid w:val="0068398B"/>
    <w:rsid w:val="00683A34"/>
    <w:rsid w:val="00683BD8"/>
    <w:rsid w:val="0068542D"/>
    <w:rsid w:val="00685DBF"/>
    <w:rsid w:val="00686B3D"/>
    <w:rsid w:val="00686F13"/>
    <w:rsid w:val="00687153"/>
    <w:rsid w:val="00690461"/>
    <w:rsid w:val="006908B9"/>
    <w:rsid w:val="00692271"/>
    <w:rsid w:val="0069341B"/>
    <w:rsid w:val="006934C4"/>
    <w:rsid w:val="0069401A"/>
    <w:rsid w:val="00695BCA"/>
    <w:rsid w:val="00696133"/>
    <w:rsid w:val="006967A4"/>
    <w:rsid w:val="006A07B1"/>
    <w:rsid w:val="006A0BE1"/>
    <w:rsid w:val="006A1D93"/>
    <w:rsid w:val="006A31BA"/>
    <w:rsid w:val="006A32C9"/>
    <w:rsid w:val="006A3413"/>
    <w:rsid w:val="006A3568"/>
    <w:rsid w:val="006A3B82"/>
    <w:rsid w:val="006A3BC7"/>
    <w:rsid w:val="006A3FBB"/>
    <w:rsid w:val="006A4542"/>
    <w:rsid w:val="006A4B01"/>
    <w:rsid w:val="006A60B2"/>
    <w:rsid w:val="006A7C8E"/>
    <w:rsid w:val="006A7D48"/>
    <w:rsid w:val="006A7F9F"/>
    <w:rsid w:val="006B05A6"/>
    <w:rsid w:val="006B2623"/>
    <w:rsid w:val="006B3E3D"/>
    <w:rsid w:val="006B5D77"/>
    <w:rsid w:val="006B5F85"/>
    <w:rsid w:val="006B604F"/>
    <w:rsid w:val="006B62CA"/>
    <w:rsid w:val="006B6C18"/>
    <w:rsid w:val="006C1928"/>
    <w:rsid w:val="006C19E2"/>
    <w:rsid w:val="006C1ACF"/>
    <w:rsid w:val="006C20BB"/>
    <w:rsid w:val="006C21CB"/>
    <w:rsid w:val="006C315B"/>
    <w:rsid w:val="006C332F"/>
    <w:rsid w:val="006C43AE"/>
    <w:rsid w:val="006C48C4"/>
    <w:rsid w:val="006C5562"/>
    <w:rsid w:val="006C5EEF"/>
    <w:rsid w:val="006C7B79"/>
    <w:rsid w:val="006D2389"/>
    <w:rsid w:val="006D35A9"/>
    <w:rsid w:val="006D38AB"/>
    <w:rsid w:val="006D3A7E"/>
    <w:rsid w:val="006D3DE7"/>
    <w:rsid w:val="006D4E77"/>
    <w:rsid w:val="006D4EF6"/>
    <w:rsid w:val="006D4F2F"/>
    <w:rsid w:val="006D5871"/>
    <w:rsid w:val="006D75C1"/>
    <w:rsid w:val="006E07A5"/>
    <w:rsid w:val="006E0F48"/>
    <w:rsid w:val="006E12F6"/>
    <w:rsid w:val="006E1C94"/>
    <w:rsid w:val="006E6ADC"/>
    <w:rsid w:val="006E7A13"/>
    <w:rsid w:val="006F086B"/>
    <w:rsid w:val="006F096A"/>
    <w:rsid w:val="006F0ACC"/>
    <w:rsid w:val="006F225C"/>
    <w:rsid w:val="006F244B"/>
    <w:rsid w:val="006F2DE3"/>
    <w:rsid w:val="006F35AE"/>
    <w:rsid w:val="006F3B35"/>
    <w:rsid w:val="006F5211"/>
    <w:rsid w:val="006F5C07"/>
    <w:rsid w:val="006F6265"/>
    <w:rsid w:val="006F6A85"/>
    <w:rsid w:val="006F7037"/>
    <w:rsid w:val="006F7568"/>
    <w:rsid w:val="006F76ED"/>
    <w:rsid w:val="006F7D6F"/>
    <w:rsid w:val="00700232"/>
    <w:rsid w:val="0070226D"/>
    <w:rsid w:val="007030C4"/>
    <w:rsid w:val="007036DB"/>
    <w:rsid w:val="007043A9"/>
    <w:rsid w:val="00706343"/>
    <w:rsid w:val="00706D26"/>
    <w:rsid w:val="00706F20"/>
    <w:rsid w:val="00707650"/>
    <w:rsid w:val="0071133A"/>
    <w:rsid w:val="007113C3"/>
    <w:rsid w:val="00711B35"/>
    <w:rsid w:val="007127D3"/>
    <w:rsid w:val="0071293F"/>
    <w:rsid w:val="00713250"/>
    <w:rsid w:val="0071388D"/>
    <w:rsid w:val="0071411E"/>
    <w:rsid w:val="007148B1"/>
    <w:rsid w:val="00714D51"/>
    <w:rsid w:val="00715195"/>
    <w:rsid w:val="0071618E"/>
    <w:rsid w:val="00716375"/>
    <w:rsid w:val="00717328"/>
    <w:rsid w:val="00722011"/>
    <w:rsid w:val="00723657"/>
    <w:rsid w:val="00723A23"/>
    <w:rsid w:val="007250DF"/>
    <w:rsid w:val="00725C93"/>
    <w:rsid w:val="0072624B"/>
    <w:rsid w:val="00726743"/>
    <w:rsid w:val="00731884"/>
    <w:rsid w:val="00734E23"/>
    <w:rsid w:val="00734EBD"/>
    <w:rsid w:val="00735780"/>
    <w:rsid w:val="0074039E"/>
    <w:rsid w:val="00741043"/>
    <w:rsid w:val="00741502"/>
    <w:rsid w:val="00742078"/>
    <w:rsid w:val="007420D5"/>
    <w:rsid w:val="007422F1"/>
    <w:rsid w:val="007425A1"/>
    <w:rsid w:val="00745054"/>
    <w:rsid w:val="007460B5"/>
    <w:rsid w:val="00746186"/>
    <w:rsid w:val="007464CA"/>
    <w:rsid w:val="007507C6"/>
    <w:rsid w:val="00750DA6"/>
    <w:rsid w:val="00751128"/>
    <w:rsid w:val="00752D35"/>
    <w:rsid w:val="0075357E"/>
    <w:rsid w:val="00753A61"/>
    <w:rsid w:val="007543DA"/>
    <w:rsid w:val="0075459A"/>
    <w:rsid w:val="00755747"/>
    <w:rsid w:val="0075675D"/>
    <w:rsid w:val="007567B0"/>
    <w:rsid w:val="00756FD6"/>
    <w:rsid w:val="00757330"/>
    <w:rsid w:val="00757FCD"/>
    <w:rsid w:val="007607DE"/>
    <w:rsid w:val="00760985"/>
    <w:rsid w:val="007620A5"/>
    <w:rsid w:val="00762A09"/>
    <w:rsid w:val="00762CCD"/>
    <w:rsid w:val="0076329F"/>
    <w:rsid w:val="007646A9"/>
    <w:rsid w:val="00764740"/>
    <w:rsid w:val="0076557C"/>
    <w:rsid w:val="00766347"/>
    <w:rsid w:val="00767049"/>
    <w:rsid w:val="007670DE"/>
    <w:rsid w:val="00767AE0"/>
    <w:rsid w:val="00767F97"/>
    <w:rsid w:val="00770507"/>
    <w:rsid w:val="00771C8A"/>
    <w:rsid w:val="007728E1"/>
    <w:rsid w:val="00773725"/>
    <w:rsid w:val="007750C9"/>
    <w:rsid w:val="00775329"/>
    <w:rsid w:val="00775926"/>
    <w:rsid w:val="00775977"/>
    <w:rsid w:val="00780DDE"/>
    <w:rsid w:val="00780F21"/>
    <w:rsid w:val="00781B42"/>
    <w:rsid w:val="0078294E"/>
    <w:rsid w:val="00783AC7"/>
    <w:rsid w:val="00783E14"/>
    <w:rsid w:val="00783E40"/>
    <w:rsid w:val="0078595B"/>
    <w:rsid w:val="00785B25"/>
    <w:rsid w:val="00786144"/>
    <w:rsid w:val="0078644B"/>
    <w:rsid w:val="0078676D"/>
    <w:rsid w:val="007877A7"/>
    <w:rsid w:val="00787E35"/>
    <w:rsid w:val="0079038D"/>
    <w:rsid w:val="00790BD4"/>
    <w:rsid w:val="00792D0D"/>
    <w:rsid w:val="00792E5E"/>
    <w:rsid w:val="00793A2F"/>
    <w:rsid w:val="00793CEE"/>
    <w:rsid w:val="00793FCA"/>
    <w:rsid w:val="00796D1F"/>
    <w:rsid w:val="00797116"/>
    <w:rsid w:val="007A0FA2"/>
    <w:rsid w:val="007A23D2"/>
    <w:rsid w:val="007A2996"/>
    <w:rsid w:val="007A2EE3"/>
    <w:rsid w:val="007A306D"/>
    <w:rsid w:val="007A36FF"/>
    <w:rsid w:val="007A424F"/>
    <w:rsid w:val="007A5142"/>
    <w:rsid w:val="007A6900"/>
    <w:rsid w:val="007B06E1"/>
    <w:rsid w:val="007B1513"/>
    <w:rsid w:val="007B1EA9"/>
    <w:rsid w:val="007B2625"/>
    <w:rsid w:val="007B2674"/>
    <w:rsid w:val="007B49DF"/>
    <w:rsid w:val="007B4B8F"/>
    <w:rsid w:val="007B5339"/>
    <w:rsid w:val="007B5C50"/>
    <w:rsid w:val="007B5F59"/>
    <w:rsid w:val="007B689D"/>
    <w:rsid w:val="007B716F"/>
    <w:rsid w:val="007B769A"/>
    <w:rsid w:val="007B7726"/>
    <w:rsid w:val="007C0220"/>
    <w:rsid w:val="007C1691"/>
    <w:rsid w:val="007C3148"/>
    <w:rsid w:val="007C33B2"/>
    <w:rsid w:val="007C3793"/>
    <w:rsid w:val="007C3815"/>
    <w:rsid w:val="007C4192"/>
    <w:rsid w:val="007C41B5"/>
    <w:rsid w:val="007C42FC"/>
    <w:rsid w:val="007C492F"/>
    <w:rsid w:val="007C5199"/>
    <w:rsid w:val="007C5751"/>
    <w:rsid w:val="007C7865"/>
    <w:rsid w:val="007C7D0E"/>
    <w:rsid w:val="007C7D55"/>
    <w:rsid w:val="007D0445"/>
    <w:rsid w:val="007D0470"/>
    <w:rsid w:val="007D1538"/>
    <w:rsid w:val="007D2481"/>
    <w:rsid w:val="007D34D0"/>
    <w:rsid w:val="007D372A"/>
    <w:rsid w:val="007D3812"/>
    <w:rsid w:val="007D44BF"/>
    <w:rsid w:val="007D4908"/>
    <w:rsid w:val="007D493D"/>
    <w:rsid w:val="007D4A2E"/>
    <w:rsid w:val="007D505A"/>
    <w:rsid w:val="007D541F"/>
    <w:rsid w:val="007D6583"/>
    <w:rsid w:val="007D675F"/>
    <w:rsid w:val="007D74E8"/>
    <w:rsid w:val="007D7B9B"/>
    <w:rsid w:val="007E17C2"/>
    <w:rsid w:val="007E1F1C"/>
    <w:rsid w:val="007E28A2"/>
    <w:rsid w:val="007E35C1"/>
    <w:rsid w:val="007E44AF"/>
    <w:rsid w:val="007E5C0D"/>
    <w:rsid w:val="007E6337"/>
    <w:rsid w:val="007E6750"/>
    <w:rsid w:val="007E68CB"/>
    <w:rsid w:val="007E6996"/>
    <w:rsid w:val="007E7E66"/>
    <w:rsid w:val="007F074B"/>
    <w:rsid w:val="007F1223"/>
    <w:rsid w:val="007F19EA"/>
    <w:rsid w:val="007F1C5D"/>
    <w:rsid w:val="007F2C54"/>
    <w:rsid w:val="007F35A7"/>
    <w:rsid w:val="007F4200"/>
    <w:rsid w:val="007F499C"/>
    <w:rsid w:val="007F5030"/>
    <w:rsid w:val="007F5557"/>
    <w:rsid w:val="007F5830"/>
    <w:rsid w:val="007F5B85"/>
    <w:rsid w:val="007F62C4"/>
    <w:rsid w:val="007F65B2"/>
    <w:rsid w:val="007F70AB"/>
    <w:rsid w:val="007F74F4"/>
    <w:rsid w:val="008002F9"/>
    <w:rsid w:val="0080055C"/>
    <w:rsid w:val="00801F1D"/>
    <w:rsid w:val="00802437"/>
    <w:rsid w:val="008030AD"/>
    <w:rsid w:val="00803544"/>
    <w:rsid w:val="008038D8"/>
    <w:rsid w:val="008040A1"/>
    <w:rsid w:val="00804107"/>
    <w:rsid w:val="00804783"/>
    <w:rsid w:val="00804AA0"/>
    <w:rsid w:val="00805496"/>
    <w:rsid w:val="00806323"/>
    <w:rsid w:val="00806B49"/>
    <w:rsid w:val="0080705E"/>
    <w:rsid w:val="00807594"/>
    <w:rsid w:val="008076D8"/>
    <w:rsid w:val="00807B7E"/>
    <w:rsid w:val="00810923"/>
    <w:rsid w:val="00811E9B"/>
    <w:rsid w:val="00812F24"/>
    <w:rsid w:val="008130F3"/>
    <w:rsid w:val="00813828"/>
    <w:rsid w:val="008142B3"/>
    <w:rsid w:val="00814489"/>
    <w:rsid w:val="0081480C"/>
    <w:rsid w:val="00814B65"/>
    <w:rsid w:val="00815A9B"/>
    <w:rsid w:val="00815BF9"/>
    <w:rsid w:val="00816170"/>
    <w:rsid w:val="00816469"/>
    <w:rsid w:val="00816762"/>
    <w:rsid w:val="00817513"/>
    <w:rsid w:val="0082146E"/>
    <w:rsid w:val="00821477"/>
    <w:rsid w:val="00821C35"/>
    <w:rsid w:val="00821F94"/>
    <w:rsid w:val="008225A7"/>
    <w:rsid w:val="00822C92"/>
    <w:rsid w:val="00823121"/>
    <w:rsid w:val="008234AA"/>
    <w:rsid w:val="00825BE3"/>
    <w:rsid w:val="00826AC0"/>
    <w:rsid w:val="00830FB2"/>
    <w:rsid w:val="00831B25"/>
    <w:rsid w:val="00832253"/>
    <w:rsid w:val="00832E83"/>
    <w:rsid w:val="0083326E"/>
    <w:rsid w:val="0083362C"/>
    <w:rsid w:val="00833EAD"/>
    <w:rsid w:val="00833F90"/>
    <w:rsid w:val="00834683"/>
    <w:rsid w:val="008346D1"/>
    <w:rsid w:val="00834782"/>
    <w:rsid w:val="008347B3"/>
    <w:rsid w:val="00835502"/>
    <w:rsid w:val="00835F73"/>
    <w:rsid w:val="00836A5C"/>
    <w:rsid w:val="008375B7"/>
    <w:rsid w:val="00837D65"/>
    <w:rsid w:val="00840BF7"/>
    <w:rsid w:val="00840F85"/>
    <w:rsid w:val="00841BD6"/>
    <w:rsid w:val="00841D9C"/>
    <w:rsid w:val="00841F7B"/>
    <w:rsid w:val="0084346C"/>
    <w:rsid w:val="00843DA9"/>
    <w:rsid w:val="0084461A"/>
    <w:rsid w:val="008448BD"/>
    <w:rsid w:val="008453DD"/>
    <w:rsid w:val="00845E0D"/>
    <w:rsid w:val="00846C49"/>
    <w:rsid w:val="00846C98"/>
    <w:rsid w:val="00847282"/>
    <w:rsid w:val="00850043"/>
    <w:rsid w:val="00851E2C"/>
    <w:rsid w:val="0085272C"/>
    <w:rsid w:val="00852D59"/>
    <w:rsid w:val="00852D97"/>
    <w:rsid w:val="0085462B"/>
    <w:rsid w:val="00855370"/>
    <w:rsid w:val="0085547B"/>
    <w:rsid w:val="008559B0"/>
    <w:rsid w:val="00855F25"/>
    <w:rsid w:val="008566AA"/>
    <w:rsid w:val="00857A69"/>
    <w:rsid w:val="00860122"/>
    <w:rsid w:val="008606B2"/>
    <w:rsid w:val="00860BA0"/>
    <w:rsid w:val="00861372"/>
    <w:rsid w:val="0086144C"/>
    <w:rsid w:val="00861BF3"/>
    <w:rsid w:val="00861D7E"/>
    <w:rsid w:val="00861E13"/>
    <w:rsid w:val="00862634"/>
    <w:rsid w:val="008657A6"/>
    <w:rsid w:val="008657E8"/>
    <w:rsid w:val="0086582E"/>
    <w:rsid w:val="008663DE"/>
    <w:rsid w:val="00866ED5"/>
    <w:rsid w:val="00867069"/>
    <w:rsid w:val="00867886"/>
    <w:rsid w:val="00867AEF"/>
    <w:rsid w:val="0087184F"/>
    <w:rsid w:val="00872BFE"/>
    <w:rsid w:val="0087387B"/>
    <w:rsid w:val="00873D10"/>
    <w:rsid w:val="00875F00"/>
    <w:rsid w:val="00880AD0"/>
    <w:rsid w:val="0088151D"/>
    <w:rsid w:val="00881E2C"/>
    <w:rsid w:val="00881FAD"/>
    <w:rsid w:val="008826B4"/>
    <w:rsid w:val="00882B62"/>
    <w:rsid w:val="00882E6D"/>
    <w:rsid w:val="0088695F"/>
    <w:rsid w:val="00887867"/>
    <w:rsid w:val="00890394"/>
    <w:rsid w:val="008905B7"/>
    <w:rsid w:val="00891F1B"/>
    <w:rsid w:val="00892223"/>
    <w:rsid w:val="00892472"/>
    <w:rsid w:val="008929AE"/>
    <w:rsid w:val="00893AB6"/>
    <w:rsid w:val="00894399"/>
    <w:rsid w:val="0089579C"/>
    <w:rsid w:val="008959C2"/>
    <w:rsid w:val="0089684F"/>
    <w:rsid w:val="00896F4C"/>
    <w:rsid w:val="00897369"/>
    <w:rsid w:val="00897EE4"/>
    <w:rsid w:val="008A05AD"/>
    <w:rsid w:val="008A07AD"/>
    <w:rsid w:val="008A13C2"/>
    <w:rsid w:val="008A1CB6"/>
    <w:rsid w:val="008A3032"/>
    <w:rsid w:val="008A3BEE"/>
    <w:rsid w:val="008A3F4B"/>
    <w:rsid w:val="008A4265"/>
    <w:rsid w:val="008A4803"/>
    <w:rsid w:val="008A4A78"/>
    <w:rsid w:val="008A53B1"/>
    <w:rsid w:val="008A5557"/>
    <w:rsid w:val="008A5CCD"/>
    <w:rsid w:val="008A644C"/>
    <w:rsid w:val="008A6987"/>
    <w:rsid w:val="008A770B"/>
    <w:rsid w:val="008A78EB"/>
    <w:rsid w:val="008B03EB"/>
    <w:rsid w:val="008B10FD"/>
    <w:rsid w:val="008B15C5"/>
    <w:rsid w:val="008B238C"/>
    <w:rsid w:val="008B2DF0"/>
    <w:rsid w:val="008B3A0C"/>
    <w:rsid w:val="008B419E"/>
    <w:rsid w:val="008B52B5"/>
    <w:rsid w:val="008B5495"/>
    <w:rsid w:val="008B65D6"/>
    <w:rsid w:val="008B6E03"/>
    <w:rsid w:val="008B730A"/>
    <w:rsid w:val="008B7691"/>
    <w:rsid w:val="008B7ABC"/>
    <w:rsid w:val="008B7B34"/>
    <w:rsid w:val="008B7F82"/>
    <w:rsid w:val="008C0504"/>
    <w:rsid w:val="008C07B5"/>
    <w:rsid w:val="008C0C2F"/>
    <w:rsid w:val="008C0FA4"/>
    <w:rsid w:val="008C2828"/>
    <w:rsid w:val="008C3BCC"/>
    <w:rsid w:val="008C40A7"/>
    <w:rsid w:val="008C57E6"/>
    <w:rsid w:val="008C6462"/>
    <w:rsid w:val="008C68EE"/>
    <w:rsid w:val="008C760D"/>
    <w:rsid w:val="008D0F30"/>
    <w:rsid w:val="008D10F0"/>
    <w:rsid w:val="008D2851"/>
    <w:rsid w:val="008D2B25"/>
    <w:rsid w:val="008D3F26"/>
    <w:rsid w:val="008D43B9"/>
    <w:rsid w:val="008D5218"/>
    <w:rsid w:val="008D569F"/>
    <w:rsid w:val="008D5DDE"/>
    <w:rsid w:val="008D65C5"/>
    <w:rsid w:val="008D6626"/>
    <w:rsid w:val="008D6708"/>
    <w:rsid w:val="008D7884"/>
    <w:rsid w:val="008E0FF7"/>
    <w:rsid w:val="008E1F79"/>
    <w:rsid w:val="008E1F8A"/>
    <w:rsid w:val="008E2403"/>
    <w:rsid w:val="008E2976"/>
    <w:rsid w:val="008E3C20"/>
    <w:rsid w:val="008E6383"/>
    <w:rsid w:val="008E6919"/>
    <w:rsid w:val="008E69AD"/>
    <w:rsid w:val="008E6E13"/>
    <w:rsid w:val="008F1438"/>
    <w:rsid w:val="008F2712"/>
    <w:rsid w:val="008F32B9"/>
    <w:rsid w:val="008F3743"/>
    <w:rsid w:val="008F3B1A"/>
    <w:rsid w:val="008F3ED5"/>
    <w:rsid w:val="008F425B"/>
    <w:rsid w:val="008F48DA"/>
    <w:rsid w:val="008F4C2F"/>
    <w:rsid w:val="008F5228"/>
    <w:rsid w:val="008F5467"/>
    <w:rsid w:val="008F5EB9"/>
    <w:rsid w:val="008F7EDE"/>
    <w:rsid w:val="00900A03"/>
    <w:rsid w:val="00903242"/>
    <w:rsid w:val="0090395A"/>
    <w:rsid w:val="00903E7C"/>
    <w:rsid w:val="00904118"/>
    <w:rsid w:val="0090468D"/>
    <w:rsid w:val="00906310"/>
    <w:rsid w:val="0090756A"/>
    <w:rsid w:val="00907C14"/>
    <w:rsid w:val="00907E91"/>
    <w:rsid w:val="00907EDD"/>
    <w:rsid w:val="0091036F"/>
    <w:rsid w:val="009115FA"/>
    <w:rsid w:val="009117F7"/>
    <w:rsid w:val="0091228B"/>
    <w:rsid w:val="00912EB7"/>
    <w:rsid w:val="00912F6A"/>
    <w:rsid w:val="009134E2"/>
    <w:rsid w:val="009154FF"/>
    <w:rsid w:val="00916080"/>
    <w:rsid w:val="00917453"/>
    <w:rsid w:val="009201B7"/>
    <w:rsid w:val="009213B7"/>
    <w:rsid w:val="0092146D"/>
    <w:rsid w:val="009226A3"/>
    <w:rsid w:val="0092273A"/>
    <w:rsid w:val="0092298E"/>
    <w:rsid w:val="0092307A"/>
    <w:rsid w:val="00923670"/>
    <w:rsid w:val="00925064"/>
    <w:rsid w:val="009254E4"/>
    <w:rsid w:val="009256BB"/>
    <w:rsid w:val="00927882"/>
    <w:rsid w:val="00930512"/>
    <w:rsid w:val="00931D92"/>
    <w:rsid w:val="009328D8"/>
    <w:rsid w:val="00932D1A"/>
    <w:rsid w:val="00934089"/>
    <w:rsid w:val="009350E6"/>
    <w:rsid w:val="0093628B"/>
    <w:rsid w:val="00936EA2"/>
    <w:rsid w:val="009378DB"/>
    <w:rsid w:val="00940AE3"/>
    <w:rsid w:val="00940DE6"/>
    <w:rsid w:val="00941338"/>
    <w:rsid w:val="00941FCA"/>
    <w:rsid w:val="0094207D"/>
    <w:rsid w:val="00942B27"/>
    <w:rsid w:val="00942C5F"/>
    <w:rsid w:val="00942D61"/>
    <w:rsid w:val="00944A75"/>
    <w:rsid w:val="009452AB"/>
    <w:rsid w:val="009476E1"/>
    <w:rsid w:val="00947914"/>
    <w:rsid w:val="00951F10"/>
    <w:rsid w:val="009523F9"/>
    <w:rsid w:val="009532FB"/>
    <w:rsid w:val="009539AF"/>
    <w:rsid w:val="009543D6"/>
    <w:rsid w:val="0095534B"/>
    <w:rsid w:val="00955693"/>
    <w:rsid w:val="0095572F"/>
    <w:rsid w:val="0095599E"/>
    <w:rsid w:val="00955A22"/>
    <w:rsid w:val="00955AC0"/>
    <w:rsid w:val="00956EDC"/>
    <w:rsid w:val="009600FD"/>
    <w:rsid w:val="0096015E"/>
    <w:rsid w:val="00960EBE"/>
    <w:rsid w:val="009611DF"/>
    <w:rsid w:val="009616E9"/>
    <w:rsid w:val="009619E8"/>
    <w:rsid w:val="00962074"/>
    <w:rsid w:val="00962260"/>
    <w:rsid w:val="00963708"/>
    <w:rsid w:val="009640AC"/>
    <w:rsid w:val="00964294"/>
    <w:rsid w:val="009645A0"/>
    <w:rsid w:val="00964799"/>
    <w:rsid w:val="00965504"/>
    <w:rsid w:val="009658AE"/>
    <w:rsid w:val="00966F2B"/>
    <w:rsid w:val="0097008A"/>
    <w:rsid w:val="009703DE"/>
    <w:rsid w:val="0097043C"/>
    <w:rsid w:val="00970CC1"/>
    <w:rsid w:val="00970DE0"/>
    <w:rsid w:val="0097142E"/>
    <w:rsid w:val="00971899"/>
    <w:rsid w:val="00971C8A"/>
    <w:rsid w:val="009743EE"/>
    <w:rsid w:val="0097695B"/>
    <w:rsid w:val="00980FD2"/>
    <w:rsid w:val="00981492"/>
    <w:rsid w:val="009815AD"/>
    <w:rsid w:val="00981893"/>
    <w:rsid w:val="00981F84"/>
    <w:rsid w:val="009820D6"/>
    <w:rsid w:val="009830A6"/>
    <w:rsid w:val="0098343F"/>
    <w:rsid w:val="009839C3"/>
    <w:rsid w:val="0098448B"/>
    <w:rsid w:val="009848FC"/>
    <w:rsid w:val="00984EEF"/>
    <w:rsid w:val="009859ED"/>
    <w:rsid w:val="009863FA"/>
    <w:rsid w:val="0098659F"/>
    <w:rsid w:val="00986D01"/>
    <w:rsid w:val="009906F2"/>
    <w:rsid w:val="00990D79"/>
    <w:rsid w:val="00992349"/>
    <w:rsid w:val="0099305A"/>
    <w:rsid w:val="00993D7C"/>
    <w:rsid w:val="00994A19"/>
    <w:rsid w:val="00994DE5"/>
    <w:rsid w:val="00994F62"/>
    <w:rsid w:val="00995D95"/>
    <w:rsid w:val="0099659D"/>
    <w:rsid w:val="00996B1F"/>
    <w:rsid w:val="0099741B"/>
    <w:rsid w:val="009A0946"/>
    <w:rsid w:val="009A1102"/>
    <w:rsid w:val="009A1F88"/>
    <w:rsid w:val="009A260B"/>
    <w:rsid w:val="009A2932"/>
    <w:rsid w:val="009A2B90"/>
    <w:rsid w:val="009A2B9E"/>
    <w:rsid w:val="009A2F80"/>
    <w:rsid w:val="009A3D29"/>
    <w:rsid w:val="009A525A"/>
    <w:rsid w:val="009A766A"/>
    <w:rsid w:val="009B067F"/>
    <w:rsid w:val="009B2651"/>
    <w:rsid w:val="009B3FE9"/>
    <w:rsid w:val="009B41AF"/>
    <w:rsid w:val="009B41C2"/>
    <w:rsid w:val="009B4586"/>
    <w:rsid w:val="009B45C2"/>
    <w:rsid w:val="009B66A8"/>
    <w:rsid w:val="009B6AB0"/>
    <w:rsid w:val="009B7D1C"/>
    <w:rsid w:val="009C0F8C"/>
    <w:rsid w:val="009C1091"/>
    <w:rsid w:val="009C3D48"/>
    <w:rsid w:val="009C3D8D"/>
    <w:rsid w:val="009C4CBB"/>
    <w:rsid w:val="009C5F12"/>
    <w:rsid w:val="009C63C8"/>
    <w:rsid w:val="009C64FC"/>
    <w:rsid w:val="009C716B"/>
    <w:rsid w:val="009C7380"/>
    <w:rsid w:val="009D07AD"/>
    <w:rsid w:val="009D0901"/>
    <w:rsid w:val="009D0A7E"/>
    <w:rsid w:val="009D0FE2"/>
    <w:rsid w:val="009D125C"/>
    <w:rsid w:val="009D13DF"/>
    <w:rsid w:val="009D1652"/>
    <w:rsid w:val="009D16ED"/>
    <w:rsid w:val="009D1916"/>
    <w:rsid w:val="009D3218"/>
    <w:rsid w:val="009D35C0"/>
    <w:rsid w:val="009D476E"/>
    <w:rsid w:val="009D4772"/>
    <w:rsid w:val="009D4F54"/>
    <w:rsid w:val="009D58B9"/>
    <w:rsid w:val="009D5909"/>
    <w:rsid w:val="009D67D8"/>
    <w:rsid w:val="009D691D"/>
    <w:rsid w:val="009D7FDD"/>
    <w:rsid w:val="009E19E5"/>
    <w:rsid w:val="009E21F9"/>
    <w:rsid w:val="009E3386"/>
    <w:rsid w:val="009E39E9"/>
    <w:rsid w:val="009E4AC6"/>
    <w:rsid w:val="009E5DD2"/>
    <w:rsid w:val="009E65A1"/>
    <w:rsid w:val="009E76D1"/>
    <w:rsid w:val="009E7F0C"/>
    <w:rsid w:val="009E7F81"/>
    <w:rsid w:val="009F07E1"/>
    <w:rsid w:val="009F3C29"/>
    <w:rsid w:val="009F3CE9"/>
    <w:rsid w:val="009F3FB0"/>
    <w:rsid w:val="009F45CD"/>
    <w:rsid w:val="009F49BB"/>
    <w:rsid w:val="009F5AA9"/>
    <w:rsid w:val="009F5FAF"/>
    <w:rsid w:val="009F6B8E"/>
    <w:rsid w:val="00A00186"/>
    <w:rsid w:val="00A02297"/>
    <w:rsid w:val="00A0289F"/>
    <w:rsid w:val="00A034FF"/>
    <w:rsid w:val="00A04172"/>
    <w:rsid w:val="00A05741"/>
    <w:rsid w:val="00A113C8"/>
    <w:rsid w:val="00A11C2B"/>
    <w:rsid w:val="00A124AB"/>
    <w:rsid w:val="00A129DD"/>
    <w:rsid w:val="00A12CB6"/>
    <w:rsid w:val="00A13315"/>
    <w:rsid w:val="00A13A2B"/>
    <w:rsid w:val="00A14872"/>
    <w:rsid w:val="00A14FE8"/>
    <w:rsid w:val="00A15FC6"/>
    <w:rsid w:val="00A1625F"/>
    <w:rsid w:val="00A16ADE"/>
    <w:rsid w:val="00A177D6"/>
    <w:rsid w:val="00A201A8"/>
    <w:rsid w:val="00A20F13"/>
    <w:rsid w:val="00A21101"/>
    <w:rsid w:val="00A21D1D"/>
    <w:rsid w:val="00A21F98"/>
    <w:rsid w:val="00A23892"/>
    <w:rsid w:val="00A24CEF"/>
    <w:rsid w:val="00A24F3E"/>
    <w:rsid w:val="00A25B15"/>
    <w:rsid w:val="00A26A84"/>
    <w:rsid w:val="00A30BFA"/>
    <w:rsid w:val="00A32528"/>
    <w:rsid w:val="00A33D1C"/>
    <w:rsid w:val="00A3401E"/>
    <w:rsid w:val="00A347A1"/>
    <w:rsid w:val="00A354D5"/>
    <w:rsid w:val="00A35659"/>
    <w:rsid w:val="00A35972"/>
    <w:rsid w:val="00A35E06"/>
    <w:rsid w:val="00A35F78"/>
    <w:rsid w:val="00A372FF"/>
    <w:rsid w:val="00A4047A"/>
    <w:rsid w:val="00A41BE4"/>
    <w:rsid w:val="00A424B9"/>
    <w:rsid w:val="00A43294"/>
    <w:rsid w:val="00A448B7"/>
    <w:rsid w:val="00A44A1E"/>
    <w:rsid w:val="00A45460"/>
    <w:rsid w:val="00A4626F"/>
    <w:rsid w:val="00A463F7"/>
    <w:rsid w:val="00A46FF6"/>
    <w:rsid w:val="00A527DB"/>
    <w:rsid w:val="00A52AAD"/>
    <w:rsid w:val="00A54620"/>
    <w:rsid w:val="00A54745"/>
    <w:rsid w:val="00A56686"/>
    <w:rsid w:val="00A56857"/>
    <w:rsid w:val="00A56A4E"/>
    <w:rsid w:val="00A6084F"/>
    <w:rsid w:val="00A615BC"/>
    <w:rsid w:val="00A61EAD"/>
    <w:rsid w:val="00A6277C"/>
    <w:rsid w:val="00A6292B"/>
    <w:rsid w:val="00A62F32"/>
    <w:rsid w:val="00A6349E"/>
    <w:rsid w:val="00A642C0"/>
    <w:rsid w:val="00A64C04"/>
    <w:rsid w:val="00A6583D"/>
    <w:rsid w:val="00A661B4"/>
    <w:rsid w:val="00A670CE"/>
    <w:rsid w:val="00A673FF"/>
    <w:rsid w:val="00A6761C"/>
    <w:rsid w:val="00A719AC"/>
    <w:rsid w:val="00A71A6E"/>
    <w:rsid w:val="00A73F33"/>
    <w:rsid w:val="00A75881"/>
    <w:rsid w:val="00A767B7"/>
    <w:rsid w:val="00A77359"/>
    <w:rsid w:val="00A77E36"/>
    <w:rsid w:val="00A80BC4"/>
    <w:rsid w:val="00A81441"/>
    <w:rsid w:val="00A82137"/>
    <w:rsid w:val="00A8291C"/>
    <w:rsid w:val="00A82E16"/>
    <w:rsid w:val="00A83914"/>
    <w:rsid w:val="00A83ECF"/>
    <w:rsid w:val="00A85E39"/>
    <w:rsid w:val="00A8666C"/>
    <w:rsid w:val="00A86734"/>
    <w:rsid w:val="00A90220"/>
    <w:rsid w:val="00A90E19"/>
    <w:rsid w:val="00A9251E"/>
    <w:rsid w:val="00A93B9B"/>
    <w:rsid w:val="00A953E3"/>
    <w:rsid w:val="00A95426"/>
    <w:rsid w:val="00A95B4D"/>
    <w:rsid w:val="00A9699E"/>
    <w:rsid w:val="00A96C09"/>
    <w:rsid w:val="00AA02E3"/>
    <w:rsid w:val="00AA0830"/>
    <w:rsid w:val="00AA194B"/>
    <w:rsid w:val="00AA1A9F"/>
    <w:rsid w:val="00AA4971"/>
    <w:rsid w:val="00AA5D4C"/>
    <w:rsid w:val="00AA6988"/>
    <w:rsid w:val="00AA732C"/>
    <w:rsid w:val="00AA74B8"/>
    <w:rsid w:val="00AA7761"/>
    <w:rsid w:val="00AB2174"/>
    <w:rsid w:val="00AB29AB"/>
    <w:rsid w:val="00AB338F"/>
    <w:rsid w:val="00AB47CB"/>
    <w:rsid w:val="00AB4C69"/>
    <w:rsid w:val="00AB514F"/>
    <w:rsid w:val="00AB536E"/>
    <w:rsid w:val="00AB56DB"/>
    <w:rsid w:val="00AB7028"/>
    <w:rsid w:val="00AB7489"/>
    <w:rsid w:val="00AB7E78"/>
    <w:rsid w:val="00AC0E4C"/>
    <w:rsid w:val="00AC1C43"/>
    <w:rsid w:val="00AC22A9"/>
    <w:rsid w:val="00AC41F2"/>
    <w:rsid w:val="00AC437E"/>
    <w:rsid w:val="00AC45C1"/>
    <w:rsid w:val="00AC516C"/>
    <w:rsid w:val="00AC5277"/>
    <w:rsid w:val="00AC54B4"/>
    <w:rsid w:val="00AC57A1"/>
    <w:rsid w:val="00AC5B86"/>
    <w:rsid w:val="00AC64AF"/>
    <w:rsid w:val="00AC6FF1"/>
    <w:rsid w:val="00AC7240"/>
    <w:rsid w:val="00AD0AFE"/>
    <w:rsid w:val="00AD1474"/>
    <w:rsid w:val="00AD2391"/>
    <w:rsid w:val="00AD2A6E"/>
    <w:rsid w:val="00AD380C"/>
    <w:rsid w:val="00AD3BA1"/>
    <w:rsid w:val="00AD43C3"/>
    <w:rsid w:val="00AD4608"/>
    <w:rsid w:val="00AD4EFE"/>
    <w:rsid w:val="00AD535D"/>
    <w:rsid w:val="00AD7447"/>
    <w:rsid w:val="00AD778A"/>
    <w:rsid w:val="00AE0193"/>
    <w:rsid w:val="00AE0718"/>
    <w:rsid w:val="00AE0CE0"/>
    <w:rsid w:val="00AE1BB2"/>
    <w:rsid w:val="00AE3517"/>
    <w:rsid w:val="00AE3C70"/>
    <w:rsid w:val="00AE4FB0"/>
    <w:rsid w:val="00AE54C8"/>
    <w:rsid w:val="00AE6763"/>
    <w:rsid w:val="00AE6FF5"/>
    <w:rsid w:val="00AE749E"/>
    <w:rsid w:val="00AF00BB"/>
    <w:rsid w:val="00AF039C"/>
    <w:rsid w:val="00AF134E"/>
    <w:rsid w:val="00AF1B4D"/>
    <w:rsid w:val="00AF2270"/>
    <w:rsid w:val="00AF259D"/>
    <w:rsid w:val="00AF3133"/>
    <w:rsid w:val="00AF36C5"/>
    <w:rsid w:val="00AF38AD"/>
    <w:rsid w:val="00AF4DA0"/>
    <w:rsid w:val="00AF4E7B"/>
    <w:rsid w:val="00AF66B2"/>
    <w:rsid w:val="00AF6EAA"/>
    <w:rsid w:val="00B00221"/>
    <w:rsid w:val="00B00EE4"/>
    <w:rsid w:val="00B0106C"/>
    <w:rsid w:val="00B010B3"/>
    <w:rsid w:val="00B02120"/>
    <w:rsid w:val="00B02C3F"/>
    <w:rsid w:val="00B02EDB"/>
    <w:rsid w:val="00B03B2D"/>
    <w:rsid w:val="00B03DD0"/>
    <w:rsid w:val="00B04064"/>
    <w:rsid w:val="00B05AC8"/>
    <w:rsid w:val="00B06320"/>
    <w:rsid w:val="00B07C79"/>
    <w:rsid w:val="00B1000A"/>
    <w:rsid w:val="00B11247"/>
    <w:rsid w:val="00B11BB2"/>
    <w:rsid w:val="00B11EE7"/>
    <w:rsid w:val="00B12220"/>
    <w:rsid w:val="00B133BE"/>
    <w:rsid w:val="00B13AC0"/>
    <w:rsid w:val="00B14727"/>
    <w:rsid w:val="00B15A3F"/>
    <w:rsid w:val="00B17189"/>
    <w:rsid w:val="00B2236E"/>
    <w:rsid w:val="00B22B97"/>
    <w:rsid w:val="00B23907"/>
    <w:rsid w:val="00B23E21"/>
    <w:rsid w:val="00B244D7"/>
    <w:rsid w:val="00B24C81"/>
    <w:rsid w:val="00B25780"/>
    <w:rsid w:val="00B2581E"/>
    <w:rsid w:val="00B26536"/>
    <w:rsid w:val="00B26DD1"/>
    <w:rsid w:val="00B27E7E"/>
    <w:rsid w:val="00B303FB"/>
    <w:rsid w:val="00B30CAB"/>
    <w:rsid w:val="00B32B0E"/>
    <w:rsid w:val="00B32C5C"/>
    <w:rsid w:val="00B33813"/>
    <w:rsid w:val="00B3656E"/>
    <w:rsid w:val="00B365A8"/>
    <w:rsid w:val="00B3677B"/>
    <w:rsid w:val="00B3715B"/>
    <w:rsid w:val="00B3722C"/>
    <w:rsid w:val="00B372B6"/>
    <w:rsid w:val="00B411AB"/>
    <w:rsid w:val="00B412F4"/>
    <w:rsid w:val="00B41CC1"/>
    <w:rsid w:val="00B43132"/>
    <w:rsid w:val="00B44B3A"/>
    <w:rsid w:val="00B44F22"/>
    <w:rsid w:val="00B4535C"/>
    <w:rsid w:val="00B45AE1"/>
    <w:rsid w:val="00B46A92"/>
    <w:rsid w:val="00B528B9"/>
    <w:rsid w:val="00B52BC4"/>
    <w:rsid w:val="00B52E82"/>
    <w:rsid w:val="00B537D2"/>
    <w:rsid w:val="00B5466D"/>
    <w:rsid w:val="00B54E61"/>
    <w:rsid w:val="00B570F0"/>
    <w:rsid w:val="00B579B9"/>
    <w:rsid w:val="00B60B97"/>
    <w:rsid w:val="00B62553"/>
    <w:rsid w:val="00B63CDD"/>
    <w:rsid w:val="00B63F12"/>
    <w:rsid w:val="00B64422"/>
    <w:rsid w:val="00B64BCB"/>
    <w:rsid w:val="00B652DC"/>
    <w:rsid w:val="00B658B8"/>
    <w:rsid w:val="00B6781D"/>
    <w:rsid w:val="00B721ED"/>
    <w:rsid w:val="00B74FFC"/>
    <w:rsid w:val="00B75BC1"/>
    <w:rsid w:val="00B75D04"/>
    <w:rsid w:val="00B75D0E"/>
    <w:rsid w:val="00B762A1"/>
    <w:rsid w:val="00B76D80"/>
    <w:rsid w:val="00B76F1E"/>
    <w:rsid w:val="00B775FF"/>
    <w:rsid w:val="00B77810"/>
    <w:rsid w:val="00B77E1E"/>
    <w:rsid w:val="00B802B9"/>
    <w:rsid w:val="00B81B89"/>
    <w:rsid w:val="00B81FAB"/>
    <w:rsid w:val="00B82161"/>
    <w:rsid w:val="00B82AEC"/>
    <w:rsid w:val="00B82CD5"/>
    <w:rsid w:val="00B8388F"/>
    <w:rsid w:val="00B83A5A"/>
    <w:rsid w:val="00B8492E"/>
    <w:rsid w:val="00B84A81"/>
    <w:rsid w:val="00B858FF"/>
    <w:rsid w:val="00B87AAA"/>
    <w:rsid w:val="00B9045B"/>
    <w:rsid w:val="00B905C8"/>
    <w:rsid w:val="00B91729"/>
    <w:rsid w:val="00B91776"/>
    <w:rsid w:val="00B91CA5"/>
    <w:rsid w:val="00B92A30"/>
    <w:rsid w:val="00B92C15"/>
    <w:rsid w:val="00B92C76"/>
    <w:rsid w:val="00B92CE3"/>
    <w:rsid w:val="00B9310B"/>
    <w:rsid w:val="00B9359B"/>
    <w:rsid w:val="00B94113"/>
    <w:rsid w:val="00B94909"/>
    <w:rsid w:val="00B94921"/>
    <w:rsid w:val="00B94ADA"/>
    <w:rsid w:val="00B94D07"/>
    <w:rsid w:val="00B9605A"/>
    <w:rsid w:val="00BA0403"/>
    <w:rsid w:val="00BA0A2D"/>
    <w:rsid w:val="00BA0DB4"/>
    <w:rsid w:val="00BA0DFB"/>
    <w:rsid w:val="00BA14A2"/>
    <w:rsid w:val="00BA275F"/>
    <w:rsid w:val="00BA295D"/>
    <w:rsid w:val="00BA2F4F"/>
    <w:rsid w:val="00BA3522"/>
    <w:rsid w:val="00BA4DEE"/>
    <w:rsid w:val="00BA602D"/>
    <w:rsid w:val="00BA626D"/>
    <w:rsid w:val="00BA6A6F"/>
    <w:rsid w:val="00BA6BD1"/>
    <w:rsid w:val="00BA6F91"/>
    <w:rsid w:val="00BB07A4"/>
    <w:rsid w:val="00BB0E71"/>
    <w:rsid w:val="00BB10FA"/>
    <w:rsid w:val="00BB1315"/>
    <w:rsid w:val="00BB1BCD"/>
    <w:rsid w:val="00BB2353"/>
    <w:rsid w:val="00BB2A30"/>
    <w:rsid w:val="00BB2AE6"/>
    <w:rsid w:val="00BB3611"/>
    <w:rsid w:val="00BB3876"/>
    <w:rsid w:val="00BB3914"/>
    <w:rsid w:val="00BB4F25"/>
    <w:rsid w:val="00BB74EE"/>
    <w:rsid w:val="00BC047C"/>
    <w:rsid w:val="00BC0920"/>
    <w:rsid w:val="00BC164E"/>
    <w:rsid w:val="00BC2EB1"/>
    <w:rsid w:val="00BC3212"/>
    <w:rsid w:val="00BC40AB"/>
    <w:rsid w:val="00BC47AA"/>
    <w:rsid w:val="00BC6112"/>
    <w:rsid w:val="00BC65B5"/>
    <w:rsid w:val="00BC6CC8"/>
    <w:rsid w:val="00BC7FD1"/>
    <w:rsid w:val="00BD0989"/>
    <w:rsid w:val="00BD139D"/>
    <w:rsid w:val="00BD18C7"/>
    <w:rsid w:val="00BD23BA"/>
    <w:rsid w:val="00BD266E"/>
    <w:rsid w:val="00BD3DFE"/>
    <w:rsid w:val="00BD4096"/>
    <w:rsid w:val="00BD42BD"/>
    <w:rsid w:val="00BD46DC"/>
    <w:rsid w:val="00BD52D0"/>
    <w:rsid w:val="00BD567D"/>
    <w:rsid w:val="00BD60D3"/>
    <w:rsid w:val="00BE03D4"/>
    <w:rsid w:val="00BE0A5B"/>
    <w:rsid w:val="00BE0C94"/>
    <w:rsid w:val="00BE0F01"/>
    <w:rsid w:val="00BE10BB"/>
    <w:rsid w:val="00BE113D"/>
    <w:rsid w:val="00BE1263"/>
    <w:rsid w:val="00BE128C"/>
    <w:rsid w:val="00BE1433"/>
    <w:rsid w:val="00BE2351"/>
    <w:rsid w:val="00BE2790"/>
    <w:rsid w:val="00BE2D47"/>
    <w:rsid w:val="00BE30CD"/>
    <w:rsid w:val="00BE4830"/>
    <w:rsid w:val="00BE5AE0"/>
    <w:rsid w:val="00BE733F"/>
    <w:rsid w:val="00BF0084"/>
    <w:rsid w:val="00BF012F"/>
    <w:rsid w:val="00BF0D07"/>
    <w:rsid w:val="00BF3886"/>
    <w:rsid w:val="00BF42F8"/>
    <w:rsid w:val="00BF5285"/>
    <w:rsid w:val="00BF6328"/>
    <w:rsid w:val="00BF6976"/>
    <w:rsid w:val="00BF6C2D"/>
    <w:rsid w:val="00BF77A5"/>
    <w:rsid w:val="00BF7861"/>
    <w:rsid w:val="00BF7EC5"/>
    <w:rsid w:val="00C002EA"/>
    <w:rsid w:val="00C00B25"/>
    <w:rsid w:val="00C00B8D"/>
    <w:rsid w:val="00C01B35"/>
    <w:rsid w:val="00C037EF"/>
    <w:rsid w:val="00C03C95"/>
    <w:rsid w:val="00C03CEB"/>
    <w:rsid w:val="00C041FF"/>
    <w:rsid w:val="00C0450E"/>
    <w:rsid w:val="00C04B53"/>
    <w:rsid w:val="00C04EEB"/>
    <w:rsid w:val="00C051FA"/>
    <w:rsid w:val="00C0584C"/>
    <w:rsid w:val="00C058F0"/>
    <w:rsid w:val="00C05BCE"/>
    <w:rsid w:val="00C06338"/>
    <w:rsid w:val="00C067DC"/>
    <w:rsid w:val="00C077A7"/>
    <w:rsid w:val="00C1021A"/>
    <w:rsid w:val="00C105E3"/>
    <w:rsid w:val="00C108CB"/>
    <w:rsid w:val="00C11D63"/>
    <w:rsid w:val="00C11E09"/>
    <w:rsid w:val="00C14022"/>
    <w:rsid w:val="00C15BAE"/>
    <w:rsid w:val="00C17010"/>
    <w:rsid w:val="00C17E1A"/>
    <w:rsid w:val="00C21FB2"/>
    <w:rsid w:val="00C221B1"/>
    <w:rsid w:val="00C221DD"/>
    <w:rsid w:val="00C2292B"/>
    <w:rsid w:val="00C22942"/>
    <w:rsid w:val="00C22B3B"/>
    <w:rsid w:val="00C2338B"/>
    <w:rsid w:val="00C235F6"/>
    <w:rsid w:val="00C2464E"/>
    <w:rsid w:val="00C24E58"/>
    <w:rsid w:val="00C2545D"/>
    <w:rsid w:val="00C25A53"/>
    <w:rsid w:val="00C25ABD"/>
    <w:rsid w:val="00C25EE3"/>
    <w:rsid w:val="00C2743A"/>
    <w:rsid w:val="00C3001D"/>
    <w:rsid w:val="00C3050D"/>
    <w:rsid w:val="00C30BAE"/>
    <w:rsid w:val="00C31203"/>
    <w:rsid w:val="00C31BFE"/>
    <w:rsid w:val="00C32425"/>
    <w:rsid w:val="00C33219"/>
    <w:rsid w:val="00C333E8"/>
    <w:rsid w:val="00C33DB3"/>
    <w:rsid w:val="00C33E5D"/>
    <w:rsid w:val="00C365BE"/>
    <w:rsid w:val="00C3674F"/>
    <w:rsid w:val="00C40080"/>
    <w:rsid w:val="00C40559"/>
    <w:rsid w:val="00C4299A"/>
    <w:rsid w:val="00C42D34"/>
    <w:rsid w:val="00C42F89"/>
    <w:rsid w:val="00C45BEF"/>
    <w:rsid w:val="00C45DD6"/>
    <w:rsid w:val="00C46C1B"/>
    <w:rsid w:val="00C46CE5"/>
    <w:rsid w:val="00C46DCA"/>
    <w:rsid w:val="00C5158F"/>
    <w:rsid w:val="00C519A9"/>
    <w:rsid w:val="00C52D4A"/>
    <w:rsid w:val="00C54370"/>
    <w:rsid w:val="00C5468F"/>
    <w:rsid w:val="00C550ED"/>
    <w:rsid w:val="00C5536F"/>
    <w:rsid w:val="00C553E5"/>
    <w:rsid w:val="00C566CA"/>
    <w:rsid w:val="00C57627"/>
    <w:rsid w:val="00C57CBF"/>
    <w:rsid w:val="00C603A8"/>
    <w:rsid w:val="00C60F9F"/>
    <w:rsid w:val="00C61B8E"/>
    <w:rsid w:val="00C61E15"/>
    <w:rsid w:val="00C622AE"/>
    <w:rsid w:val="00C62443"/>
    <w:rsid w:val="00C636D4"/>
    <w:rsid w:val="00C64E96"/>
    <w:rsid w:val="00C64EDF"/>
    <w:rsid w:val="00C653AD"/>
    <w:rsid w:val="00C65816"/>
    <w:rsid w:val="00C6650B"/>
    <w:rsid w:val="00C66553"/>
    <w:rsid w:val="00C67470"/>
    <w:rsid w:val="00C67E72"/>
    <w:rsid w:val="00C71AFB"/>
    <w:rsid w:val="00C74327"/>
    <w:rsid w:val="00C75220"/>
    <w:rsid w:val="00C77AFA"/>
    <w:rsid w:val="00C77BBD"/>
    <w:rsid w:val="00C77C60"/>
    <w:rsid w:val="00C805C5"/>
    <w:rsid w:val="00C81BBB"/>
    <w:rsid w:val="00C82CF4"/>
    <w:rsid w:val="00C8369B"/>
    <w:rsid w:val="00C84169"/>
    <w:rsid w:val="00C86062"/>
    <w:rsid w:val="00C86546"/>
    <w:rsid w:val="00C8667C"/>
    <w:rsid w:val="00C9016E"/>
    <w:rsid w:val="00C9071A"/>
    <w:rsid w:val="00C90A51"/>
    <w:rsid w:val="00C92329"/>
    <w:rsid w:val="00C92512"/>
    <w:rsid w:val="00C93249"/>
    <w:rsid w:val="00C9355D"/>
    <w:rsid w:val="00C93C24"/>
    <w:rsid w:val="00C94179"/>
    <w:rsid w:val="00C94F81"/>
    <w:rsid w:val="00C9587D"/>
    <w:rsid w:val="00C95BF7"/>
    <w:rsid w:val="00C96091"/>
    <w:rsid w:val="00C966BC"/>
    <w:rsid w:val="00C97336"/>
    <w:rsid w:val="00C97741"/>
    <w:rsid w:val="00C97913"/>
    <w:rsid w:val="00C97BF2"/>
    <w:rsid w:val="00CA06ED"/>
    <w:rsid w:val="00CA08B8"/>
    <w:rsid w:val="00CA0F20"/>
    <w:rsid w:val="00CA11F5"/>
    <w:rsid w:val="00CA1548"/>
    <w:rsid w:val="00CA2AC0"/>
    <w:rsid w:val="00CA2D57"/>
    <w:rsid w:val="00CA3F9D"/>
    <w:rsid w:val="00CA45DC"/>
    <w:rsid w:val="00CA49DB"/>
    <w:rsid w:val="00CA5D67"/>
    <w:rsid w:val="00CA6970"/>
    <w:rsid w:val="00CA714A"/>
    <w:rsid w:val="00CA714F"/>
    <w:rsid w:val="00CA7449"/>
    <w:rsid w:val="00CA7E50"/>
    <w:rsid w:val="00CB0F45"/>
    <w:rsid w:val="00CB2DA1"/>
    <w:rsid w:val="00CB31BF"/>
    <w:rsid w:val="00CB365E"/>
    <w:rsid w:val="00CB39C3"/>
    <w:rsid w:val="00CB59CB"/>
    <w:rsid w:val="00CB67CA"/>
    <w:rsid w:val="00CB6E5E"/>
    <w:rsid w:val="00CC0E2E"/>
    <w:rsid w:val="00CC2034"/>
    <w:rsid w:val="00CC2A3B"/>
    <w:rsid w:val="00CC33B5"/>
    <w:rsid w:val="00CC494B"/>
    <w:rsid w:val="00CC4E30"/>
    <w:rsid w:val="00CC5618"/>
    <w:rsid w:val="00CC663A"/>
    <w:rsid w:val="00CC72E6"/>
    <w:rsid w:val="00CC78A8"/>
    <w:rsid w:val="00CD0240"/>
    <w:rsid w:val="00CD0FD9"/>
    <w:rsid w:val="00CD162E"/>
    <w:rsid w:val="00CD1CAE"/>
    <w:rsid w:val="00CD2499"/>
    <w:rsid w:val="00CD299E"/>
    <w:rsid w:val="00CD4B1C"/>
    <w:rsid w:val="00CD576B"/>
    <w:rsid w:val="00CD6959"/>
    <w:rsid w:val="00CD6A90"/>
    <w:rsid w:val="00CD7E04"/>
    <w:rsid w:val="00CE056F"/>
    <w:rsid w:val="00CE0949"/>
    <w:rsid w:val="00CE1438"/>
    <w:rsid w:val="00CE2419"/>
    <w:rsid w:val="00CE263D"/>
    <w:rsid w:val="00CE37FC"/>
    <w:rsid w:val="00CE4658"/>
    <w:rsid w:val="00CE58DC"/>
    <w:rsid w:val="00CE619D"/>
    <w:rsid w:val="00CE63AB"/>
    <w:rsid w:val="00CE7287"/>
    <w:rsid w:val="00CF0961"/>
    <w:rsid w:val="00CF177E"/>
    <w:rsid w:val="00CF23EA"/>
    <w:rsid w:val="00CF2D88"/>
    <w:rsid w:val="00CF43DF"/>
    <w:rsid w:val="00CF5087"/>
    <w:rsid w:val="00CF69F8"/>
    <w:rsid w:val="00CF6BFB"/>
    <w:rsid w:val="00CF7094"/>
    <w:rsid w:val="00CF7958"/>
    <w:rsid w:val="00D001B3"/>
    <w:rsid w:val="00D007B0"/>
    <w:rsid w:val="00D00FF6"/>
    <w:rsid w:val="00D01208"/>
    <w:rsid w:val="00D01B93"/>
    <w:rsid w:val="00D01CA9"/>
    <w:rsid w:val="00D022CA"/>
    <w:rsid w:val="00D02B77"/>
    <w:rsid w:val="00D03069"/>
    <w:rsid w:val="00D038C9"/>
    <w:rsid w:val="00D038FA"/>
    <w:rsid w:val="00D03C9B"/>
    <w:rsid w:val="00D05207"/>
    <w:rsid w:val="00D052F0"/>
    <w:rsid w:val="00D06B97"/>
    <w:rsid w:val="00D10C28"/>
    <w:rsid w:val="00D1120E"/>
    <w:rsid w:val="00D11C1C"/>
    <w:rsid w:val="00D123AC"/>
    <w:rsid w:val="00D12576"/>
    <w:rsid w:val="00D135D9"/>
    <w:rsid w:val="00D14A80"/>
    <w:rsid w:val="00D14EAA"/>
    <w:rsid w:val="00D160C3"/>
    <w:rsid w:val="00D17AAE"/>
    <w:rsid w:val="00D17F12"/>
    <w:rsid w:val="00D20539"/>
    <w:rsid w:val="00D21D2B"/>
    <w:rsid w:val="00D223D0"/>
    <w:rsid w:val="00D239A2"/>
    <w:rsid w:val="00D2481E"/>
    <w:rsid w:val="00D24826"/>
    <w:rsid w:val="00D26700"/>
    <w:rsid w:val="00D2787B"/>
    <w:rsid w:val="00D30062"/>
    <w:rsid w:val="00D3099B"/>
    <w:rsid w:val="00D30A5C"/>
    <w:rsid w:val="00D30BDE"/>
    <w:rsid w:val="00D339B8"/>
    <w:rsid w:val="00D35A5E"/>
    <w:rsid w:val="00D36DB4"/>
    <w:rsid w:val="00D371AA"/>
    <w:rsid w:val="00D37DD3"/>
    <w:rsid w:val="00D4233C"/>
    <w:rsid w:val="00D423B5"/>
    <w:rsid w:val="00D42C20"/>
    <w:rsid w:val="00D45075"/>
    <w:rsid w:val="00D4522F"/>
    <w:rsid w:val="00D464B9"/>
    <w:rsid w:val="00D4673A"/>
    <w:rsid w:val="00D473BB"/>
    <w:rsid w:val="00D50AB3"/>
    <w:rsid w:val="00D5197E"/>
    <w:rsid w:val="00D5277F"/>
    <w:rsid w:val="00D53468"/>
    <w:rsid w:val="00D53E23"/>
    <w:rsid w:val="00D55903"/>
    <w:rsid w:val="00D57D10"/>
    <w:rsid w:val="00D57F2B"/>
    <w:rsid w:val="00D60610"/>
    <w:rsid w:val="00D60CEE"/>
    <w:rsid w:val="00D60DCD"/>
    <w:rsid w:val="00D6215C"/>
    <w:rsid w:val="00D6303B"/>
    <w:rsid w:val="00D63225"/>
    <w:rsid w:val="00D63F80"/>
    <w:rsid w:val="00D64C07"/>
    <w:rsid w:val="00D65204"/>
    <w:rsid w:val="00D656FA"/>
    <w:rsid w:val="00D65F5E"/>
    <w:rsid w:val="00D66E68"/>
    <w:rsid w:val="00D67016"/>
    <w:rsid w:val="00D678B7"/>
    <w:rsid w:val="00D67C5A"/>
    <w:rsid w:val="00D7057B"/>
    <w:rsid w:val="00D7105F"/>
    <w:rsid w:val="00D73C40"/>
    <w:rsid w:val="00D744B5"/>
    <w:rsid w:val="00D746F6"/>
    <w:rsid w:val="00D75181"/>
    <w:rsid w:val="00D77D84"/>
    <w:rsid w:val="00D80065"/>
    <w:rsid w:val="00D808F7"/>
    <w:rsid w:val="00D81725"/>
    <w:rsid w:val="00D82242"/>
    <w:rsid w:val="00D82B9C"/>
    <w:rsid w:val="00D8303B"/>
    <w:rsid w:val="00D83AAC"/>
    <w:rsid w:val="00D83EAA"/>
    <w:rsid w:val="00D858E8"/>
    <w:rsid w:val="00D86635"/>
    <w:rsid w:val="00D86D51"/>
    <w:rsid w:val="00D87437"/>
    <w:rsid w:val="00D87B97"/>
    <w:rsid w:val="00D900D1"/>
    <w:rsid w:val="00D91FDB"/>
    <w:rsid w:val="00D935B5"/>
    <w:rsid w:val="00D935C4"/>
    <w:rsid w:val="00D94947"/>
    <w:rsid w:val="00D94BAB"/>
    <w:rsid w:val="00D952AB"/>
    <w:rsid w:val="00D95EE9"/>
    <w:rsid w:val="00D96018"/>
    <w:rsid w:val="00D9716E"/>
    <w:rsid w:val="00D9754F"/>
    <w:rsid w:val="00DA16A6"/>
    <w:rsid w:val="00DA22E9"/>
    <w:rsid w:val="00DA2C1D"/>
    <w:rsid w:val="00DA4308"/>
    <w:rsid w:val="00DA5AD0"/>
    <w:rsid w:val="00DA6428"/>
    <w:rsid w:val="00DA66B3"/>
    <w:rsid w:val="00DA6D46"/>
    <w:rsid w:val="00DA7820"/>
    <w:rsid w:val="00DB04FB"/>
    <w:rsid w:val="00DB10D4"/>
    <w:rsid w:val="00DB1E58"/>
    <w:rsid w:val="00DB2D69"/>
    <w:rsid w:val="00DB2FD7"/>
    <w:rsid w:val="00DB3CE0"/>
    <w:rsid w:val="00DB3D30"/>
    <w:rsid w:val="00DB4195"/>
    <w:rsid w:val="00DB54F0"/>
    <w:rsid w:val="00DB5FDA"/>
    <w:rsid w:val="00DB68EA"/>
    <w:rsid w:val="00DB713A"/>
    <w:rsid w:val="00DB7964"/>
    <w:rsid w:val="00DC0C16"/>
    <w:rsid w:val="00DC0CB4"/>
    <w:rsid w:val="00DC14EA"/>
    <w:rsid w:val="00DC1BCA"/>
    <w:rsid w:val="00DC1D56"/>
    <w:rsid w:val="00DC2535"/>
    <w:rsid w:val="00DC47C0"/>
    <w:rsid w:val="00DC4AEE"/>
    <w:rsid w:val="00DC6799"/>
    <w:rsid w:val="00DC69F1"/>
    <w:rsid w:val="00DC6A07"/>
    <w:rsid w:val="00DD0470"/>
    <w:rsid w:val="00DD06FF"/>
    <w:rsid w:val="00DD0709"/>
    <w:rsid w:val="00DD262C"/>
    <w:rsid w:val="00DD29E2"/>
    <w:rsid w:val="00DD3DCE"/>
    <w:rsid w:val="00DD5821"/>
    <w:rsid w:val="00DD5F8C"/>
    <w:rsid w:val="00DD6D76"/>
    <w:rsid w:val="00DD709C"/>
    <w:rsid w:val="00DD7380"/>
    <w:rsid w:val="00DD78AD"/>
    <w:rsid w:val="00DE0166"/>
    <w:rsid w:val="00DE0708"/>
    <w:rsid w:val="00DE0D31"/>
    <w:rsid w:val="00DE1DE5"/>
    <w:rsid w:val="00DE27BB"/>
    <w:rsid w:val="00DE35CE"/>
    <w:rsid w:val="00DE394B"/>
    <w:rsid w:val="00DE40CE"/>
    <w:rsid w:val="00DE4B45"/>
    <w:rsid w:val="00DE5027"/>
    <w:rsid w:val="00DE572B"/>
    <w:rsid w:val="00DE59F2"/>
    <w:rsid w:val="00DE5A95"/>
    <w:rsid w:val="00DE6007"/>
    <w:rsid w:val="00DE635A"/>
    <w:rsid w:val="00DE742C"/>
    <w:rsid w:val="00DF135B"/>
    <w:rsid w:val="00DF168A"/>
    <w:rsid w:val="00DF1A9D"/>
    <w:rsid w:val="00DF1C62"/>
    <w:rsid w:val="00DF1F88"/>
    <w:rsid w:val="00DF25BE"/>
    <w:rsid w:val="00DF2779"/>
    <w:rsid w:val="00DF3BCE"/>
    <w:rsid w:val="00DF4233"/>
    <w:rsid w:val="00DF4EB6"/>
    <w:rsid w:val="00DF6328"/>
    <w:rsid w:val="00DF6B63"/>
    <w:rsid w:val="00DF7420"/>
    <w:rsid w:val="00DF7839"/>
    <w:rsid w:val="00DF7947"/>
    <w:rsid w:val="00E01242"/>
    <w:rsid w:val="00E01799"/>
    <w:rsid w:val="00E01B67"/>
    <w:rsid w:val="00E021BB"/>
    <w:rsid w:val="00E03104"/>
    <w:rsid w:val="00E0337F"/>
    <w:rsid w:val="00E03496"/>
    <w:rsid w:val="00E036B3"/>
    <w:rsid w:val="00E03897"/>
    <w:rsid w:val="00E0399A"/>
    <w:rsid w:val="00E03DCF"/>
    <w:rsid w:val="00E05252"/>
    <w:rsid w:val="00E0681A"/>
    <w:rsid w:val="00E07153"/>
    <w:rsid w:val="00E109C4"/>
    <w:rsid w:val="00E10E83"/>
    <w:rsid w:val="00E11D82"/>
    <w:rsid w:val="00E11EEF"/>
    <w:rsid w:val="00E138E7"/>
    <w:rsid w:val="00E139BC"/>
    <w:rsid w:val="00E13EBB"/>
    <w:rsid w:val="00E14A87"/>
    <w:rsid w:val="00E14C9A"/>
    <w:rsid w:val="00E1502E"/>
    <w:rsid w:val="00E16049"/>
    <w:rsid w:val="00E16382"/>
    <w:rsid w:val="00E16C40"/>
    <w:rsid w:val="00E16DFE"/>
    <w:rsid w:val="00E17848"/>
    <w:rsid w:val="00E17C2E"/>
    <w:rsid w:val="00E17C57"/>
    <w:rsid w:val="00E2262D"/>
    <w:rsid w:val="00E2381E"/>
    <w:rsid w:val="00E23DA4"/>
    <w:rsid w:val="00E24591"/>
    <w:rsid w:val="00E24912"/>
    <w:rsid w:val="00E256C0"/>
    <w:rsid w:val="00E27401"/>
    <w:rsid w:val="00E2762D"/>
    <w:rsid w:val="00E27B1D"/>
    <w:rsid w:val="00E31DCE"/>
    <w:rsid w:val="00E3251A"/>
    <w:rsid w:val="00E32526"/>
    <w:rsid w:val="00E33CC9"/>
    <w:rsid w:val="00E3487F"/>
    <w:rsid w:val="00E34BC6"/>
    <w:rsid w:val="00E370A1"/>
    <w:rsid w:val="00E37E66"/>
    <w:rsid w:val="00E40B9A"/>
    <w:rsid w:val="00E420A3"/>
    <w:rsid w:val="00E43537"/>
    <w:rsid w:val="00E43EBB"/>
    <w:rsid w:val="00E44076"/>
    <w:rsid w:val="00E4484D"/>
    <w:rsid w:val="00E44EF6"/>
    <w:rsid w:val="00E4585A"/>
    <w:rsid w:val="00E468CD"/>
    <w:rsid w:val="00E475C0"/>
    <w:rsid w:val="00E47E8C"/>
    <w:rsid w:val="00E47F54"/>
    <w:rsid w:val="00E504DD"/>
    <w:rsid w:val="00E511D7"/>
    <w:rsid w:val="00E51330"/>
    <w:rsid w:val="00E51521"/>
    <w:rsid w:val="00E5269D"/>
    <w:rsid w:val="00E527B6"/>
    <w:rsid w:val="00E53781"/>
    <w:rsid w:val="00E53AC6"/>
    <w:rsid w:val="00E548FE"/>
    <w:rsid w:val="00E54B75"/>
    <w:rsid w:val="00E54C88"/>
    <w:rsid w:val="00E555BE"/>
    <w:rsid w:val="00E56343"/>
    <w:rsid w:val="00E56B74"/>
    <w:rsid w:val="00E56C1E"/>
    <w:rsid w:val="00E56EDE"/>
    <w:rsid w:val="00E6001C"/>
    <w:rsid w:val="00E60914"/>
    <w:rsid w:val="00E6217B"/>
    <w:rsid w:val="00E62B3D"/>
    <w:rsid w:val="00E6398A"/>
    <w:rsid w:val="00E6484A"/>
    <w:rsid w:val="00E64F3A"/>
    <w:rsid w:val="00E651C2"/>
    <w:rsid w:val="00E655A6"/>
    <w:rsid w:val="00E66159"/>
    <w:rsid w:val="00E67E3D"/>
    <w:rsid w:val="00E71817"/>
    <w:rsid w:val="00E729AD"/>
    <w:rsid w:val="00E735D4"/>
    <w:rsid w:val="00E73823"/>
    <w:rsid w:val="00E73DA6"/>
    <w:rsid w:val="00E75287"/>
    <w:rsid w:val="00E7679C"/>
    <w:rsid w:val="00E77550"/>
    <w:rsid w:val="00E77902"/>
    <w:rsid w:val="00E77938"/>
    <w:rsid w:val="00E80584"/>
    <w:rsid w:val="00E816DD"/>
    <w:rsid w:val="00E8203E"/>
    <w:rsid w:val="00E82588"/>
    <w:rsid w:val="00E830ED"/>
    <w:rsid w:val="00E83F2E"/>
    <w:rsid w:val="00E8425F"/>
    <w:rsid w:val="00E84B35"/>
    <w:rsid w:val="00E8512E"/>
    <w:rsid w:val="00E85237"/>
    <w:rsid w:val="00E857D9"/>
    <w:rsid w:val="00E85B8F"/>
    <w:rsid w:val="00E8642B"/>
    <w:rsid w:val="00E8714A"/>
    <w:rsid w:val="00E87244"/>
    <w:rsid w:val="00E93868"/>
    <w:rsid w:val="00E944E9"/>
    <w:rsid w:val="00E946D6"/>
    <w:rsid w:val="00E94A51"/>
    <w:rsid w:val="00E955A0"/>
    <w:rsid w:val="00E95BBF"/>
    <w:rsid w:val="00E95CBE"/>
    <w:rsid w:val="00E95F82"/>
    <w:rsid w:val="00E964B4"/>
    <w:rsid w:val="00EA019D"/>
    <w:rsid w:val="00EA0861"/>
    <w:rsid w:val="00EA12B4"/>
    <w:rsid w:val="00EA18F2"/>
    <w:rsid w:val="00EA1ED0"/>
    <w:rsid w:val="00EA24FA"/>
    <w:rsid w:val="00EA318A"/>
    <w:rsid w:val="00EA3FE0"/>
    <w:rsid w:val="00EA4865"/>
    <w:rsid w:val="00EA4BFC"/>
    <w:rsid w:val="00EA4C87"/>
    <w:rsid w:val="00EA5485"/>
    <w:rsid w:val="00EA55E1"/>
    <w:rsid w:val="00EA5E1E"/>
    <w:rsid w:val="00EA61CA"/>
    <w:rsid w:val="00EA629F"/>
    <w:rsid w:val="00EA66DA"/>
    <w:rsid w:val="00EA685C"/>
    <w:rsid w:val="00EA7FF7"/>
    <w:rsid w:val="00EB018F"/>
    <w:rsid w:val="00EB0413"/>
    <w:rsid w:val="00EB16B5"/>
    <w:rsid w:val="00EB1FA2"/>
    <w:rsid w:val="00EB260D"/>
    <w:rsid w:val="00EB4408"/>
    <w:rsid w:val="00EB4AF2"/>
    <w:rsid w:val="00EB4C01"/>
    <w:rsid w:val="00EB5258"/>
    <w:rsid w:val="00EB5B84"/>
    <w:rsid w:val="00EB68CE"/>
    <w:rsid w:val="00EB6AA8"/>
    <w:rsid w:val="00EB7D09"/>
    <w:rsid w:val="00EC010D"/>
    <w:rsid w:val="00EC183B"/>
    <w:rsid w:val="00EC2982"/>
    <w:rsid w:val="00EC2B7D"/>
    <w:rsid w:val="00EC30E0"/>
    <w:rsid w:val="00EC3BB2"/>
    <w:rsid w:val="00EC5433"/>
    <w:rsid w:val="00EC5B64"/>
    <w:rsid w:val="00EC6629"/>
    <w:rsid w:val="00EC694B"/>
    <w:rsid w:val="00EC6E17"/>
    <w:rsid w:val="00EC71DD"/>
    <w:rsid w:val="00ED1090"/>
    <w:rsid w:val="00ED25CC"/>
    <w:rsid w:val="00ED2E9C"/>
    <w:rsid w:val="00ED2E9F"/>
    <w:rsid w:val="00ED2F85"/>
    <w:rsid w:val="00ED3FCA"/>
    <w:rsid w:val="00ED4589"/>
    <w:rsid w:val="00ED4C3B"/>
    <w:rsid w:val="00ED4CBC"/>
    <w:rsid w:val="00ED508E"/>
    <w:rsid w:val="00ED52F1"/>
    <w:rsid w:val="00ED6506"/>
    <w:rsid w:val="00ED73EC"/>
    <w:rsid w:val="00EE0C2C"/>
    <w:rsid w:val="00EE10CD"/>
    <w:rsid w:val="00EE320A"/>
    <w:rsid w:val="00EE33F9"/>
    <w:rsid w:val="00EE3AAF"/>
    <w:rsid w:val="00EE43EF"/>
    <w:rsid w:val="00EE770B"/>
    <w:rsid w:val="00EE7768"/>
    <w:rsid w:val="00EF0170"/>
    <w:rsid w:val="00EF09D3"/>
    <w:rsid w:val="00EF0C36"/>
    <w:rsid w:val="00EF0D2B"/>
    <w:rsid w:val="00EF24CC"/>
    <w:rsid w:val="00EF3033"/>
    <w:rsid w:val="00EF38CF"/>
    <w:rsid w:val="00EF38FD"/>
    <w:rsid w:val="00EF4B1E"/>
    <w:rsid w:val="00EF4C9B"/>
    <w:rsid w:val="00EF4CA7"/>
    <w:rsid w:val="00EF6E04"/>
    <w:rsid w:val="00EF7018"/>
    <w:rsid w:val="00EF707D"/>
    <w:rsid w:val="00EF72A4"/>
    <w:rsid w:val="00F00041"/>
    <w:rsid w:val="00F0054F"/>
    <w:rsid w:val="00F00755"/>
    <w:rsid w:val="00F01095"/>
    <w:rsid w:val="00F0109D"/>
    <w:rsid w:val="00F01418"/>
    <w:rsid w:val="00F05900"/>
    <w:rsid w:val="00F069B2"/>
    <w:rsid w:val="00F07E4D"/>
    <w:rsid w:val="00F10AF7"/>
    <w:rsid w:val="00F10C37"/>
    <w:rsid w:val="00F11FBB"/>
    <w:rsid w:val="00F12C39"/>
    <w:rsid w:val="00F14136"/>
    <w:rsid w:val="00F14869"/>
    <w:rsid w:val="00F14CCF"/>
    <w:rsid w:val="00F14CE1"/>
    <w:rsid w:val="00F1583F"/>
    <w:rsid w:val="00F22890"/>
    <w:rsid w:val="00F22F3C"/>
    <w:rsid w:val="00F23089"/>
    <w:rsid w:val="00F2460F"/>
    <w:rsid w:val="00F24E6E"/>
    <w:rsid w:val="00F25AFC"/>
    <w:rsid w:val="00F26D6A"/>
    <w:rsid w:val="00F275D3"/>
    <w:rsid w:val="00F27F47"/>
    <w:rsid w:val="00F301BF"/>
    <w:rsid w:val="00F3157F"/>
    <w:rsid w:val="00F31946"/>
    <w:rsid w:val="00F33D65"/>
    <w:rsid w:val="00F34603"/>
    <w:rsid w:val="00F35838"/>
    <w:rsid w:val="00F36081"/>
    <w:rsid w:val="00F37BBD"/>
    <w:rsid w:val="00F37D96"/>
    <w:rsid w:val="00F40A76"/>
    <w:rsid w:val="00F411FE"/>
    <w:rsid w:val="00F423DA"/>
    <w:rsid w:val="00F428AC"/>
    <w:rsid w:val="00F42B2E"/>
    <w:rsid w:val="00F436F7"/>
    <w:rsid w:val="00F43794"/>
    <w:rsid w:val="00F44B27"/>
    <w:rsid w:val="00F44E91"/>
    <w:rsid w:val="00F4522B"/>
    <w:rsid w:val="00F45AC3"/>
    <w:rsid w:val="00F4621E"/>
    <w:rsid w:val="00F471A1"/>
    <w:rsid w:val="00F5083D"/>
    <w:rsid w:val="00F51208"/>
    <w:rsid w:val="00F525C0"/>
    <w:rsid w:val="00F532CA"/>
    <w:rsid w:val="00F537DB"/>
    <w:rsid w:val="00F53C42"/>
    <w:rsid w:val="00F545C2"/>
    <w:rsid w:val="00F556CF"/>
    <w:rsid w:val="00F558A8"/>
    <w:rsid w:val="00F55C38"/>
    <w:rsid w:val="00F55EBF"/>
    <w:rsid w:val="00F567FB"/>
    <w:rsid w:val="00F57411"/>
    <w:rsid w:val="00F5749C"/>
    <w:rsid w:val="00F57B7A"/>
    <w:rsid w:val="00F6070B"/>
    <w:rsid w:val="00F60A90"/>
    <w:rsid w:val="00F6251B"/>
    <w:rsid w:val="00F62B36"/>
    <w:rsid w:val="00F632FC"/>
    <w:rsid w:val="00F63376"/>
    <w:rsid w:val="00F6484E"/>
    <w:rsid w:val="00F64BA6"/>
    <w:rsid w:val="00F655A9"/>
    <w:rsid w:val="00F65BEB"/>
    <w:rsid w:val="00F65D48"/>
    <w:rsid w:val="00F67219"/>
    <w:rsid w:val="00F700F0"/>
    <w:rsid w:val="00F70721"/>
    <w:rsid w:val="00F70A98"/>
    <w:rsid w:val="00F72E94"/>
    <w:rsid w:val="00F7382B"/>
    <w:rsid w:val="00F73CEC"/>
    <w:rsid w:val="00F757CF"/>
    <w:rsid w:val="00F75809"/>
    <w:rsid w:val="00F75DF2"/>
    <w:rsid w:val="00F76554"/>
    <w:rsid w:val="00F76834"/>
    <w:rsid w:val="00F76B0C"/>
    <w:rsid w:val="00F77D79"/>
    <w:rsid w:val="00F77F6C"/>
    <w:rsid w:val="00F8058C"/>
    <w:rsid w:val="00F80A8C"/>
    <w:rsid w:val="00F810B4"/>
    <w:rsid w:val="00F811B8"/>
    <w:rsid w:val="00F81658"/>
    <w:rsid w:val="00F81C57"/>
    <w:rsid w:val="00F822B6"/>
    <w:rsid w:val="00F82C5B"/>
    <w:rsid w:val="00F83A38"/>
    <w:rsid w:val="00F83E81"/>
    <w:rsid w:val="00F84525"/>
    <w:rsid w:val="00F84F5C"/>
    <w:rsid w:val="00F851BC"/>
    <w:rsid w:val="00F85386"/>
    <w:rsid w:val="00F85F12"/>
    <w:rsid w:val="00F8642A"/>
    <w:rsid w:val="00F87FE2"/>
    <w:rsid w:val="00F90A67"/>
    <w:rsid w:val="00F9243F"/>
    <w:rsid w:val="00F927E8"/>
    <w:rsid w:val="00F933C6"/>
    <w:rsid w:val="00F93E22"/>
    <w:rsid w:val="00F94EC7"/>
    <w:rsid w:val="00F95B75"/>
    <w:rsid w:val="00F95BDC"/>
    <w:rsid w:val="00F96791"/>
    <w:rsid w:val="00F9708E"/>
    <w:rsid w:val="00F97A59"/>
    <w:rsid w:val="00FA0D33"/>
    <w:rsid w:val="00FA21C6"/>
    <w:rsid w:val="00FA24DA"/>
    <w:rsid w:val="00FA3806"/>
    <w:rsid w:val="00FA40E4"/>
    <w:rsid w:val="00FA4141"/>
    <w:rsid w:val="00FA414D"/>
    <w:rsid w:val="00FA5705"/>
    <w:rsid w:val="00FA622F"/>
    <w:rsid w:val="00FA6880"/>
    <w:rsid w:val="00FA6884"/>
    <w:rsid w:val="00FA6AA8"/>
    <w:rsid w:val="00FA727F"/>
    <w:rsid w:val="00FB03E8"/>
    <w:rsid w:val="00FB0868"/>
    <w:rsid w:val="00FB1137"/>
    <w:rsid w:val="00FB15A1"/>
    <w:rsid w:val="00FB2369"/>
    <w:rsid w:val="00FB3385"/>
    <w:rsid w:val="00FB367F"/>
    <w:rsid w:val="00FB50AE"/>
    <w:rsid w:val="00FB5CA5"/>
    <w:rsid w:val="00FB5DD8"/>
    <w:rsid w:val="00FB5FDE"/>
    <w:rsid w:val="00FC03CC"/>
    <w:rsid w:val="00FC1029"/>
    <w:rsid w:val="00FC12C1"/>
    <w:rsid w:val="00FC2956"/>
    <w:rsid w:val="00FC2B3E"/>
    <w:rsid w:val="00FC34BE"/>
    <w:rsid w:val="00FC3983"/>
    <w:rsid w:val="00FC4815"/>
    <w:rsid w:val="00FC4E1A"/>
    <w:rsid w:val="00FC6CEB"/>
    <w:rsid w:val="00FD000F"/>
    <w:rsid w:val="00FD00F1"/>
    <w:rsid w:val="00FD0A8C"/>
    <w:rsid w:val="00FD11BE"/>
    <w:rsid w:val="00FD1FF0"/>
    <w:rsid w:val="00FD2700"/>
    <w:rsid w:val="00FD3747"/>
    <w:rsid w:val="00FD3A11"/>
    <w:rsid w:val="00FD48FC"/>
    <w:rsid w:val="00FD53CC"/>
    <w:rsid w:val="00FD54A8"/>
    <w:rsid w:val="00FD6940"/>
    <w:rsid w:val="00FD707E"/>
    <w:rsid w:val="00FD7220"/>
    <w:rsid w:val="00FE0823"/>
    <w:rsid w:val="00FE1FD3"/>
    <w:rsid w:val="00FE203D"/>
    <w:rsid w:val="00FE3027"/>
    <w:rsid w:val="00FE4438"/>
    <w:rsid w:val="00FE56D0"/>
    <w:rsid w:val="00FE5F5E"/>
    <w:rsid w:val="00FE6AC1"/>
    <w:rsid w:val="00FE72D3"/>
    <w:rsid w:val="00FF0C8E"/>
    <w:rsid w:val="00FF2DBC"/>
    <w:rsid w:val="00FF3BD5"/>
    <w:rsid w:val="00FF3CFA"/>
    <w:rsid w:val="00FF6515"/>
    <w:rsid w:val="00FF75C2"/>
    <w:rsid w:val="01425A8E"/>
    <w:rsid w:val="020B31A5"/>
    <w:rsid w:val="027F1432"/>
    <w:rsid w:val="02890D3B"/>
    <w:rsid w:val="029A4DDE"/>
    <w:rsid w:val="031B2171"/>
    <w:rsid w:val="032C75AC"/>
    <w:rsid w:val="034370CB"/>
    <w:rsid w:val="03AA0A67"/>
    <w:rsid w:val="040973CE"/>
    <w:rsid w:val="04E62E18"/>
    <w:rsid w:val="05AA6088"/>
    <w:rsid w:val="05BE2460"/>
    <w:rsid w:val="064E3A38"/>
    <w:rsid w:val="0665443B"/>
    <w:rsid w:val="06893D94"/>
    <w:rsid w:val="073B6DE4"/>
    <w:rsid w:val="089200AD"/>
    <w:rsid w:val="08AB5D20"/>
    <w:rsid w:val="096A51B2"/>
    <w:rsid w:val="098133AB"/>
    <w:rsid w:val="0A031800"/>
    <w:rsid w:val="0A541D36"/>
    <w:rsid w:val="0A6E1B2B"/>
    <w:rsid w:val="0AA64715"/>
    <w:rsid w:val="0C68683D"/>
    <w:rsid w:val="0D217578"/>
    <w:rsid w:val="0DB51BC8"/>
    <w:rsid w:val="0E981675"/>
    <w:rsid w:val="10275E7E"/>
    <w:rsid w:val="116964A2"/>
    <w:rsid w:val="12CF3334"/>
    <w:rsid w:val="13076D7C"/>
    <w:rsid w:val="13DA5A2E"/>
    <w:rsid w:val="13FC2032"/>
    <w:rsid w:val="14473FAF"/>
    <w:rsid w:val="146B54FE"/>
    <w:rsid w:val="14F04815"/>
    <w:rsid w:val="15B03422"/>
    <w:rsid w:val="15D83A51"/>
    <w:rsid w:val="15E07B35"/>
    <w:rsid w:val="15F83E6B"/>
    <w:rsid w:val="16AC7CE9"/>
    <w:rsid w:val="16CC7B79"/>
    <w:rsid w:val="175F0C6E"/>
    <w:rsid w:val="176417AD"/>
    <w:rsid w:val="18225867"/>
    <w:rsid w:val="18584266"/>
    <w:rsid w:val="188350F6"/>
    <w:rsid w:val="18927F88"/>
    <w:rsid w:val="18AB3E9A"/>
    <w:rsid w:val="18EB281E"/>
    <w:rsid w:val="1A703A1F"/>
    <w:rsid w:val="1BBB7566"/>
    <w:rsid w:val="1C151F43"/>
    <w:rsid w:val="1CB80C2C"/>
    <w:rsid w:val="1D3B73E7"/>
    <w:rsid w:val="1DC43C61"/>
    <w:rsid w:val="1E144E18"/>
    <w:rsid w:val="1E2613B0"/>
    <w:rsid w:val="1E691F94"/>
    <w:rsid w:val="1E9D6D8E"/>
    <w:rsid w:val="1F75595A"/>
    <w:rsid w:val="1FB2026F"/>
    <w:rsid w:val="208D07B9"/>
    <w:rsid w:val="210063D6"/>
    <w:rsid w:val="210A16BF"/>
    <w:rsid w:val="21322302"/>
    <w:rsid w:val="21781BB8"/>
    <w:rsid w:val="220849D9"/>
    <w:rsid w:val="2245322A"/>
    <w:rsid w:val="23F27029"/>
    <w:rsid w:val="245344E4"/>
    <w:rsid w:val="252E1EC1"/>
    <w:rsid w:val="257F647C"/>
    <w:rsid w:val="258C4BD0"/>
    <w:rsid w:val="263934FE"/>
    <w:rsid w:val="268A78EE"/>
    <w:rsid w:val="272A2024"/>
    <w:rsid w:val="283F20E2"/>
    <w:rsid w:val="28E751DB"/>
    <w:rsid w:val="294709A7"/>
    <w:rsid w:val="29B51705"/>
    <w:rsid w:val="29E21671"/>
    <w:rsid w:val="2A26675B"/>
    <w:rsid w:val="2B442C52"/>
    <w:rsid w:val="2C6400C3"/>
    <w:rsid w:val="2CDF7FC1"/>
    <w:rsid w:val="2D0312D3"/>
    <w:rsid w:val="2D0B0660"/>
    <w:rsid w:val="2D1F486A"/>
    <w:rsid w:val="2D94061C"/>
    <w:rsid w:val="2DCB6A78"/>
    <w:rsid w:val="2EB21E3A"/>
    <w:rsid w:val="2EC56DAD"/>
    <w:rsid w:val="2EE10169"/>
    <w:rsid w:val="2F1B02F9"/>
    <w:rsid w:val="2F417B1F"/>
    <w:rsid w:val="30234AEB"/>
    <w:rsid w:val="30370D29"/>
    <w:rsid w:val="30900E1C"/>
    <w:rsid w:val="309B4733"/>
    <w:rsid w:val="30C6074A"/>
    <w:rsid w:val="31246ADC"/>
    <w:rsid w:val="319D1D2F"/>
    <w:rsid w:val="325B1302"/>
    <w:rsid w:val="326D71D8"/>
    <w:rsid w:val="32D00AE0"/>
    <w:rsid w:val="33036DF4"/>
    <w:rsid w:val="34D83BEB"/>
    <w:rsid w:val="34DD6383"/>
    <w:rsid w:val="35663D6D"/>
    <w:rsid w:val="35BC10E5"/>
    <w:rsid w:val="37FD6BB4"/>
    <w:rsid w:val="385E30D3"/>
    <w:rsid w:val="389F7C10"/>
    <w:rsid w:val="38C213F9"/>
    <w:rsid w:val="38C4197A"/>
    <w:rsid w:val="3976677C"/>
    <w:rsid w:val="39B75F92"/>
    <w:rsid w:val="3AF06BA9"/>
    <w:rsid w:val="3AF546C1"/>
    <w:rsid w:val="3C2C783B"/>
    <w:rsid w:val="3E704F6A"/>
    <w:rsid w:val="3F423F4F"/>
    <w:rsid w:val="40184052"/>
    <w:rsid w:val="408C19B2"/>
    <w:rsid w:val="40D145D3"/>
    <w:rsid w:val="413552BE"/>
    <w:rsid w:val="41A609DE"/>
    <w:rsid w:val="41D74A58"/>
    <w:rsid w:val="42803C06"/>
    <w:rsid w:val="42AA564C"/>
    <w:rsid w:val="42E023B9"/>
    <w:rsid w:val="4371478A"/>
    <w:rsid w:val="43A545C8"/>
    <w:rsid w:val="4468718F"/>
    <w:rsid w:val="44F92A16"/>
    <w:rsid w:val="452930AD"/>
    <w:rsid w:val="45676984"/>
    <w:rsid w:val="45A259A2"/>
    <w:rsid w:val="45C97296"/>
    <w:rsid w:val="47F836EF"/>
    <w:rsid w:val="482A216E"/>
    <w:rsid w:val="4875178E"/>
    <w:rsid w:val="48D41533"/>
    <w:rsid w:val="49044886"/>
    <w:rsid w:val="4A195BCC"/>
    <w:rsid w:val="4A597A57"/>
    <w:rsid w:val="4AE97E40"/>
    <w:rsid w:val="4B885734"/>
    <w:rsid w:val="4C2F1D23"/>
    <w:rsid w:val="4CE66081"/>
    <w:rsid w:val="503C34A5"/>
    <w:rsid w:val="518C5515"/>
    <w:rsid w:val="51BE68CE"/>
    <w:rsid w:val="51D95AD6"/>
    <w:rsid w:val="520A2484"/>
    <w:rsid w:val="52142A3F"/>
    <w:rsid w:val="52252053"/>
    <w:rsid w:val="52487A8C"/>
    <w:rsid w:val="52B3304F"/>
    <w:rsid w:val="53BF45C4"/>
    <w:rsid w:val="5419238D"/>
    <w:rsid w:val="54420E94"/>
    <w:rsid w:val="54813932"/>
    <w:rsid w:val="5566704B"/>
    <w:rsid w:val="55791389"/>
    <w:rsid w:val="55C9638F"/>
    <w:rsid w:val="55E004F5"/>
    <w:rsid w:val="562552BC"/>
    <w:rsid w:val="564F0789"/>
    <w:rsid w:val="565421F0"/>
    <w:rsid w:val="56EC3DB9"/>
    <w:rsid w:val="5727495C"/>
    <w:rsid w:val="57E11D9D"/>
    <w:rsid w:val="588C5984"/>
    <w:rsid w:val="58AC2E10"/>
    <w:rsid w:val="58BF1335"/>
    <w:rsid w:val="58C82CC6"/>
    <w:rsid w:val="590D7D83"/>
    <w:rsid w:val="594F4CAE"/>
    <w:rsid w:val="5AC7098A"/>
    <w:rsid w:val="5C0A0D8A"/>
    <w:rsid w:val="5CBC33D4"/>
    <w:rsid w:val="5CEA2BCF"/>
    <w:rsid w:val="5D5C6E14"/>
    <w:rsid w:val="5D5FAEBE"/>
    <w:rsid w:val="5D95600F"/>
    <w:rsid w:val="5DF86D4D"/>
    <w:rsid w:val="5E0832F4"/>
    <w:rsid w:val="5E122071"/>
    <w:rsid w:val="5ED83860"/>
    <w:rsid w:val="5F7E6154"/>
    <w:rsid w:val="60673224"/>
    <w:rsid w:val="608E4BD2"/>
    <w:rsid w:val="60AE5D57"/>
    <w:rsid w:val="60FA5B41"/>
    <w:rsid w:val="60FD04F5"/>
    <w:rsid w:val="616E74B4"/>
    <w:rsid w:val="621D3998"/>
    <w:rsid w:val="62934689"/>
    <w:rsid w:val="62DA3768"/>
    <w:rsid w:val="631544B0"/>
    <w:rsid w:val="634857C5"/>
    <w:rsid w:val="64FB0B4D"/>
    <w:rsid w:val="6554206C"/>
    <w:rsid w:val="65BA151B"/>
    <w:rsid w:val="65DB6D2C"/>
    <w:rsid w:val="65F82D58"/>
    <w:rsid w:val="667017BF"/>
    <w:rsid w:val="66A41B8F"/>
    <w:rsid w:val="66D365A7"/>
    <w:rsid w:val="66DD4F9F"/>
    <w:rsid w:val="67D77F19"/>
    <w:rsid w:val="67E62DF9"/>
    <w:rsid w:val="68613DAF"/>
    <w:rsid w:val="687961F7"/>
    <w:rsid w:val="68B01DBE"/>
    <w:rsid w:val="69BD433E"/>
    <w:rsid w:val="69D312C1"/>
    <w:rsid w:val="6A330892"/>
    <w:rsid w:val="6AD6266F"/>
    <w:rsid w:val="6BAF457D"/>
    <w:rsid w:val="6D6D4DFF"/>
    <w:rsid w:val="6D942BDD"/>
    <w:rsid w:val="6EC457E5"/>
    <w:rsid w:val="6FC248D7"/>
    <w:rsid w:val="70A36E1C"/>
    <w:rsid w:val="72B00A55"/>
    <w:rsid w:val="730A53F0"/>
    <w:rsid w:val="739323F4"/>
    <w:rsid w:val="73CF6241"/>
    <w:rsid w:val="753A5321"/>
    <w:rsid w:val="75B571EA"/>
    <w:rsid w:val="76DD6C63"/>
    <w:rsid w:val="77631F20"/>
    <w:rsid w:val="77FC3EA4"/>
    <w:rsid w:val="789255CB"/>
    <w:rsid w:val="791E3E6E"/>
    <w:rsid w:val="79283BD2"/>
    <w:rsid w:val="792D1F3A"/>
    <w:rsid w:val="79866BFD"/>
    <w:rsid w:val="79E13BB0"/>
    <w:rsid w:val="79EF3B92"/>
    <w:rsid w:val="7AD84B23"/>
    <w:rsid w:val="7CAA00C7"/>
    <w:rsid w:val="7CCD462D"/>
    <w:rsid w:val="7CFB728A"/>
    <w:rsid w:val="7DD61F65"/>
    <w:rsid w:val="7E0C190F"/>
    <w:rsid w:val="7E7C22CD"/>
    <w:rsid w:val="7EF4611B"/>
    <w:rsid w:val="7EF870EA"/>
    <w:rsid w:val="7F486AFC"/>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44"/>
    <w:qFormat/>
    <w:uiPriority w:val="0"/>
    <w:pPr>
      <w:keepNext/>
      <w:jc w:val="center"/>
      <w:outlineLvl w:val="0"/>
    </w:pPr>
    <w:rPr>
      <w:rFonts w:ascii="Tahoma" w:eastAsia="Tahoma" w:cs="Times New Roman"/>
      <w:b/>
      <w:bCs/>
      <w:lang w:val="zh-CN"/>
    </w:rPr>
  </w:style>
  <w:style w:type="paragraph" w:styleId="3">
    <w:name w:val="heading 2"/>
    <w:basedOn w:val="1"/>
    <w:next w:val="1"/>
    <w:link w:val="45"/>
    <w:qFormat/>
    <w:uiPriority w:val="0"/>
    <w:pPr>
      <w:keepNext/>
      <w:keepLines/>
      <w:spacing w:before="260" w:after="260" w:line="415" w:lineRule="auto"/>
      <w:outlineLvl w:val="1"/>
    </w:pPr>
    <w:rPr>
      <w:rFonts w:ascii="Arial Unicode MS" w:hAnsi="Arial Unicode MS" w:eastAsia="Wingdings" w:cs="Times New Roman"/>
      <w:b/>
      <w:bCs/>
      <w:sz w:val="32"/>
      <w:szCs w:val="32"/>
      <w:lang w:val="zh-CN"/>
    </w:rPr>
  </w:style>
  <w:style w:type="paragraph" w:styleId="4">
    <w:name w:val="heading 3"/>
    <w:basedOn w:val="1"/>
    <w:next w:val="1"/>
    <w:link w:val="46"/>
    <w:qFormat/>
    <w:uiPriority w:val="0"/>
    <w:pPr>
      <w:keepLines/>
      <w:widowControl/>
      <w:autoSpaceDE w:val="0"/>
      <w:autoSpaceDN w:val="0"/>
      <w:adjustRightInd w:val="0"/>
      <w:spacing w:before="60"/>
      <w:jc w:val="left"/>
      <w:outlineLvl w:val="2"/>
    </w:pPr>
    <w:rPr>
      <w:rFonts w:eastAsia="Wingdings"/>
      <w:kern w:val="0"/>
      <w:sz w:val="24"/>
      <w:szCs w:val="20"/>
    </w:rPr>
  </w:style>
  <w:style w:type="paragraph" w:styleId="5">
    <w:name w:val="heading 4"/>
    <w:basedOn w:val="1"/>
    <w:next w:val="1"/>
    <w:link w:val="47"/>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E-mail Signature"/>
    <w:basedOn w:val="1"/>
    <w:qFormat/>
    <w:uiPriority w:val="0"/>
    <w:pPr>
      <w:spacing w:line="360" w:lineRule="auto"/>
    </w:pPr>
    <w:rPr>
      <w:rFonts w:ascii="Times New Roman" w:hAnsi="Times New Roman" w:eastAsia="楷体_GB2312"/>
      <w:sz w:val="24"/>
    </w:rPr>
  </w:style>
  <w:style w:type="paragraph" w:styleId="7">
    <w:name w:val="Normal Indent"/>
    <w:basedOn w:val="1"/>
    <w:next w:val="1"/>
    <w:link w:val="48"/>
    <w:qFormat/>
    <w:uiPriority w:val="0"/>
    <w:pPr>
      <w:adjustRightInd w:val="0"/>
      <w:spacing w:line="312" w:lineRule="atLeast"/>
      <w:ind w:firstLine="420"/>
      <w:textAlignment w:val="baseline"/>
    </w:pPr>
    <w:rPr>
      <w:rFonts w:eastAsia="宋体,Verdana,Arial"/>
      <w:kern w:val="0"/>
      <w:szCs w:val="20"/>
    </w:r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Document Map"/>
    <w:basedOn w:val="1"/>
    <w:link w:val="247"/>
    <w:qFormat/>
    <w:uiPriority w:val="0"/>
    <w:pPr>
      <w:shd w:val="clear" w:color="auto" w:fill="000080"/>
    </w:pPr>
  </w:style>
  <w:style w:type="paragraph" w:styleId="10">
    <w:name w:val="annotation text"/>
    <w:basedOn w:val="1"/>
    <w:link w:val="49"/>
    <w:qFormat/>
    <w:uiPriority w:val="99"/>
    <w:pPr>
      <w:jc w:val="left"/>
    </w:pPr>
    <w:rPr>
      <w:rFonts w:cs="Times New Roman"/>
      <w:lang w:val="zh-CN"/>
    </w:rPr>
  </w:style>
  <w:style w:type="paragraph" w:styleId="11">
    <w:name w:val="Salutation"/>
    <w:basedOn w:val="1"/>
    <w:next w:val="1"/>
    <w:link w:val="248"/>
    <w:qFormat/>
    <w:uiPriority w:val="0"/>
    <w:rPr>
      <w:sz w:val="24"/>
    </w:rPr>
  </w:style>
  <w:style w:type="paragraph" w:styleId="12">
    <w:name w:val="Body Text"/>
    <w:basedOn w:val="1"/>
    <w:next w:val="13"/>
    <w:link w:val="50"/>
    <w:qFormat/>
    <w:uiPriority w:val="99"/>
    <w:pPr>
      <w:spacing w:after="120"/>
    </w:pPr>
    <w:rPr>
      <w:rFonts w:eastAsia="宋体,Verdana,Arial"/>
    </w:rPr>
  </w:style>
  <w:style w:type="paragraph" w:styleId="13">
    <w:name w:val="Body Text First Indent"/>
    <w:basedOn w:val="12"/>
    <w:next w:val="14"/>
    <w:link w:val="59"/>
    <w:qFormat/>
    <w:uiPriority w:val="0"/>
    <w:pPr>
      <w:ind w:firstLine="420" w:firstLineChars="100"/>
    </w:pPr>
    <w:rPr>
      <w:rFonts w:eastAsia="宋体"/>
    </w:rPr>
  </w:style>
  <w:style w:type="paragraph" w:styleId="14">
    <w:name w:val="toc 6"/>
    <w:basedOn w:val="1"/>
    <w:next w:val="1"/>
    <w:qFormat/>
    <w:uiPriority w:val="0"/>
    <w:pPr>
      <w:ind w:left="2100" w:leftChars="1000"/>
    </w:pPr>
    <w:rPr>
      <w:rFonts w:ascii="Times New Roman" w:hAnsi="Times New Roman" w:cs="Times New Roman"/>
    </w:rPr>
  </w:style>
  <w:style w:type="paragraph" w:styleId="15">
    <w:name w:val="Body Text Indent"/>
    <w:basedOn w:val="1"/>
    <w:next w:val="1"/>
    <w:link w:val="249"/>
    <w:qFormat/>
    <w:uiPriority w:val="0"/>
    <w:pPr>
      <w:spacing w:after="120"/>
      <w:ind w:left="420"/>
    </w:pPr>
  </w:style>
  <w:style w:type="paragraph" w:styleId="16">
    <w:name w:val="toc 3"/>
    <w:basedOn w:val="1"/>
    <w:next w:val="1"/>
    <w:qFormat/>
    <w:uiPriority w:val="39"/>
    <w:pPr>
      <w:ind w:left="840" w:leftChars="400"/>
    </w:pPr>
  </w:style>
  <w:style w:type="paragraph" w:styleId="17">
    <w:name w:val="Plain Text"/>
    <w:basedOn w:val="1"/>
    <w:link w:val="5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8">
    <w:name w:val="Date"/>
    <w:basedOn w:val="1"/>
    <w:next w:val="1"/>
    <w:link w:val="250"/>
    <w:qFormat/>
    <w:uiPriority w:val="0"/>
    <w:rPr>
      <w:rFonts w:hint="eastAsia" w:ascii="宋体,Verdana,Arial"/>
      <w:sz w:val="24"/>
      <w:szCs w:val="20"/>
    </w:rPr>
  </w:style>
  <w:style w:type="paragraph" w:styleId="19">
    <w:name w:val="Body Text Indent 2"/>
    <w:basedOn w:val="1"/>
    <w:link w:val="251"/>
    <w:qFormat/>
    <w:uiPriority w:val="0"/>
    <w:pPr>
      <w:spacing w:line="500" w:lineRule="exact"/>
      <w:ind w:firstLine="511" w:firstLineChars="213"/>
    </w:pPr>
    <w:rPr>
      <w:sz w:val="24"/>
    </w:rPr>
  </w:style>
  <w:style w:type="paragraph" w:styleId="20">
    <w:name w:val="endnote text"/>
    <w:link w:val="25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Balloon Text"/>
    <w:basedOn w:val="1"/>
    <w:link w:val="52"/>
    <w:qFormat/>
    <w:uiPriority w:val="99"/>
    <w:rPr>
      <w:rFonts w:cs="Times New Roman"/>
      <w:sz w:val="18"/>
      <w:szCs w:val="18"/>
      <w:lang w:val="zh-CN"/>
    </w:rPr>
  </w:style>
  <w:style w:type="paragraph" w:styleId="22">
    <w:name w:val="footer"/>
    <w:basedOn w:val="1"/>
    <w:link w:val="53"/>
    <w:qFormat/>
    <w:uiPriority w:val="99"/>
    <w:pPr>
      <w:tabs>
        <w:tab w:val="center" w:pos="4153"/>
        <w:tab w:val="right" w:pos="8306"/>
      </w:tabs>
      <w:snapToGrid w:val="0"/>
      <w:jc w:val="left"/>
    </w:pPr>
    <w:rPr>
      <w:rFonts w:cs="Times New Roman"/>
      <w:sz w:val="18"/>
      <w:szCs w:val="18"/>
      <w:lang w:val="zh-CN"/>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rFonts w:cs="Times New Roman"/>
      <w:sz w:val="18"/>
      <w:szCs w:val="18"/>
      <w:lang w:val="zh-CN"/>
    </w:rPr>
  </w:style>
  <w:style w:type="paragraph" w:styleId="24">
    <w:name w:val="toc 1"/>
    <w:basedOn w:val="1"/>
    <w:next w:val="1"/>
    <w:qFormat/>
    <w:uiPriority w:val="39"/>
    <w:pPr>
      <w:tabs>
        <w:tab w:val="right" w:leader="dot" w:pos="9660"/>
      </w:tabs>
      <w:spacing w:line="480" w:lineRule="auto"/>
    </w:pPr>
  </w:style>
  <w:style w:type="paragraph" w:styleId="25">
    <w:name w:val="List"/>
    <w:basedOn w:val="1"/>
    <w:qFormat/>
    <w:uiPriority w:val="0"/>
    <w:pPr>
      <w:ind w:left="200" w:hanging="200" w:hangingChars="200"/>
    </w:pPr>
    <w:rPr>
      <w:rFonts w:ascii="Times New Roman" w:hAnsi="Times New Roman" w:cs="Times New Roman"/>
      <w:szCs w:val="22"/>
    </w:rPr>
  </w:style>
  <w:style w:type="paragraph" w:styleId="26">
    <w:name w:val="Body Text Indent 3"/>
    <w:basedOn w:val="1"/>
    <w:link w:val="55"/>
    <w:qFormat/>
    <w:uiPriority w:val="0"/>
    <w:pPr>
      <w:spacing w:line="500" w:lineRule="exact"/>
      <w:ind w:left="511" w:hanging="511" w:hangingChars="213"/>
    </w:pPr>
    <w:rPr>
      <w:rFonts w:cs="Times New Roman"/>
      <w:sz w:val="24"/>
      <w:lang w:val="zh-CN"/>
    </w:rPr>
  </w:style>
  <w:style w:type="paragraph" w:styleId="27">
    <w:name w:val="toc 2"/>
    <w:basedOn w:val="1"/>
    <w:next w:val="1"/>
    <w:qFormat/>
    <w:uiPriority w:val="39"/>
    <w:pPr>
      <w:ind w:left="420" w:leftChars="200"/>
    </w:pPr>
  </w:style>
  <w:style w:type="paragraph" w:styleId="28">
    <w:name w:val="Body Text 2"/>
    <w:basedOn w:val="1"/>
    <w:link w:val="56"/>
    <w:qFormat/>
    <w:uiPriority w:val="0"/>
    <w:pPr>
      <w:spacing w:after="120" w:line="480" w:lineRule="auto"/>
    </w:pPr>
  </w:style>
  <w:style w:type="paragraph" w:styleId="29">
    <w:name w:val="HTML Preformatted"/>
    <w:basedOn w:val="1"/>
    <w:link w:val="2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30">
    <w:name w:val="Normal (Web)"/>
    <w:basedOn w:val="1"/>
    <w:qFormat/>
    <w:uiPriority w:val="99"/>
    <w:pPr>
      <w:widowControl/>
      <w:spacing w:before="100" w:beforeAutospacing="1" w:after="100" w:afterAutospacing="1"/>
      <w:jc w:val="left"/>
    </w:pPr>
    <w:rPr>
      <w:rFonts w:ascii="宋体,Verdana,Arial" w:hAnsi="宋体,Verdana,Arial" w:cs="宋体,Verdana,Arial"/>
      <w:kern w:val="0"/>
      <w:sz w:val="24"/>
    </w:rPr>
  </w:style>
  <w:style w:type="paragraph" w:styleId="31">
    <w:name w:val="Title"/>
    <w:basedOn w:val="1"/>
    <w:link w:val="57"/>
    <w:qFormat/>
    <w:uiPriority w:val="10"/>
    <w:pPr>
      <w:spacing w:before="240" w:after="60"/>
      <w:jc w:val="center"/>
      <w:outlineLvl w:val="0"/>
    </w:pPr>
    <w:rPr>
      <w:rFonts w:ascii="Arial" w:hAnsi="Arial" w:cs="Times New Roman"/>
      <w:b/>
      <w:bCs/>
      <w:sz w:val="32"/>
      <w:szCs w:val="32"/>
      <w:lang w:val="zh-CN"/>
    </w:rPr>
  </w:style>
  <w:style w:type="paragraph" w:styleId="32">
    <w:name w:val="annotation subject"/>
    <w:basedOn w:val="10"/>
    <w:next w:val="10"/>
    <w:link w:val="58"/>
    <w:qFormat/>
    <w:uiPriority w:val="0"/>
    <w:rPr>
      <w:b/>
      <w:bCs/>
    </w:r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unhideWhenUsed/>
    <w:qFormat/>
    <w:uiPriority w:val="99"/>
    <w:rPr>
      <w:color w:val="800080"/>
      <w:u w:val="single"/>
    </w:rPr>
  </w:style>
  <w:style w:type="character" w:styleId="39">
    <w:name w:val="Emphasis"/>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43">
    <w:name w:val="列出段落1"/>
    <w:basedOn w:val="1"/>
    <w:link w:val="255"/>
    <w:qFormat/>
    <w:uiPriority w:val="34"/>
    <w:pPr>
      <w:ind w:firstLine="420" w:firstLineChars="200"/>
    </w:pPr>
    <w:rPr>
      <w:rFonts w:cs="Times New Roman"/>
      <w:szCs w:val="22"/>
    </w:rPr>
  </w:style>
  <w:style w:type="character" w:customStyle="1" w:styleId="44">
    <w:name w:val="标题 1 Char"/>
    <w:link w:val="2"/>
    <w:qFormat/>
    <w:uiPriority w:val="0"/>
    <w:rPr>
      <w:rFonts w:ascii="Tahoma" w:eastAsia="Tahoma"/>
      <w:b/>
      <w:bCs/>
      <w:kern w:val="2"/>
      <w:sz w:val="21"/>
      <w:szCs w:val="24"/>
    </w:rPr>
  </w:style>
  <w:style w:type="character" w:customStyle="1" w:styleId="45">
    <w:name w:val="标题 2 Char"/>
    <w:link w:val="3"/>
    <w:qFormat/>
    <w:uiPriority w:val="0"/>
    <w:rPr>
      <w:rFonts w:ascii="Arial Unicode MS" w:hAnsi="Arial Unicode MS" w:eastAsia="Wingdings"/>
      <w:b/>
      <w:bCs/>
      <w:kern w:val="2"/>
      <w:sz w:val="32"/>
      <w:szCs w:val="32"/>
    </w:rPr>
  </w:style>
  <w:style w:type="character" w:customStyle="1" w:styleId="46">
    <w:name w:val="标题 3 Char"/>
    <w:link w:val="4"/>
    <w:qFormat/>
    <w:uiPriority w:val="0"/>
    <w:rPr>
      <w:rFonts w:eastAsia="Wingdings"/>
      <w:sz w:val="24"/>
      <w:lang w:val="en-US" w:eastAsia="zh-CN" w:bidi="ar-SA"/>
    </w:rPr>
  </w:style>
  <w:style w:type="character" w:customStyle="1" w:styleId="47">
    <w:name w:val="标题 4 Char"/>
    <w:link w:val="5"/>
    <w:qFormat/>
    <w:uiPriority w:val="0"/>
    <w:rPr>
      <w:rFonts w:eastAsia="Tahoma"/>
      <w:b/>
      <w:sz w:val="24"/>
    </w:rPr>
  </w:style>
  <w:style w:type="character" w:customStyle="1" w:styleId="48">
    <w:name w:val="正文缩进 Char1"/>
    <w:link w:val="7"/>
    <w:qFormat/>
    <w:uiPriority w:val="0"/>
    <w:rPr>
      <w:rFonts w:eastAsia="宋体,Verdana,Arial"/>
      <w:sz w:val="21"/>
      <w:lang w:val="en-US" w:eastAsia="zh-CN" w:bidi="ar-SA"/>
    </w:rPr>
  </w:style>
  <w:style w:type="character" w:customStyle="1" w:styleId="49">
    <w:name w:val="批注文字 Char"/>
    <w:link w:val="10"/>
    <w:qFormat/>
    <w:uiPriority w:val="99"/>
    <w:rPr>
      <w:kern w:val="2"/>
      <w:sz w:val="21"/>
      <w:szCs w:val="24"/>
    </w:rPr>
  </w:style>
  <w:style w:type="character" w:customStyle="1" w:styleId="50">
    <w:name w:val="正文文本 Char"/>
    <w:link w:val="12"/>
    <w:qFormat/>
    <w:uiPriority w:val="99"/>
    <w:rPr>
      <w:rFonts w:eastAsia="宋体,Verdana,Arial"/>
      <w:kern w:val="2"/>
      <w:sz w:val="21"/>
      <w:szCs w:val="24"/>
      <w:lang w:val="en-US" w:eastAsia="zh-CN" w:bidi="ar-SA"/>
    </w:rPr>
  </w:style>
  <w:style w:type="character" w:customStyle="1" w:styleId="51">
    <w:name w:val="纯文本 Char"/>
    <w:link w:val="17"/>
    <w:qFormat/>
    <w:uiPriority w:val="0"/>
    <w:rPr>
      <w:rFonts w:ascii="宋体,Verdana,Arial" w:hAnsi="Tahoma" w:eastAsia="宋体,Verdana,Arial"/>
      <w:sz w:val="21"/>
      <w:szCs w:val="21"/>
      <w:lang w:val="en-US" w:eastAsia="zh-CN" w:bidi="ar-SA"/>
    </w:rPr>
  </w:style>
  <w:style w:type="character" w:customStyle="1" w:styleId="52">
    <w:name w:val="批注框文本 Char"/>
    <w:link w:val="21"/>
    <w:qFormat/>
    <w:uiPriority w:val="99"/>
    <w:rPr>
      <w:kern w:val="2"/>
      <w:sz w:val="18"/>
      <w:szCs w:val="18"/>
    </w:rPr>
  </w:style>
  <w:style w:type="character" w:customStyle="1" w:styleId="53">
    <w:name w:val="页脚 Char"/>
    <w:link w:val="22"/>
    <w:qFormat/>
    <w:uiPriority w:val="99"/>
    <w:rPr>
      <w:kern w:val="2"/>
      <w:sz w:val="18"/>
      <w:szCs w:val="18"/>
    </w:rPr>
  </w:style>
  <w:style w:type="character" w:customStyle="1" w:styleId="54">
    <w:name w:val="页眉 Char"/>
    <w:link w:val="23"/>
    <w:qFormat/>
    <w:locked/>
    <w:uiPriority w:val="99"/>
    <w:rPr>
      <w:kern w:val="2"/>
      <w:sz w:val="18"/>
      <w:szCs w:val="18"/>
    </w:rPr>
  </w:style>
  <w:style w:type="character" w:customStyle="1" w:styleId="55">
    <w:name w:val="正文文本缩进 3 Char"/>
    <w:link w:val="26"/>
    <w:qFormat/>
    <w:uiPriority w:val="0"/>
    <w:rPr>
      <w:kern w:val="2"/>
      <w:sz w:val="24"/>
      <w:szCs w:val="24"/>
    </w:rPr>
  </w:style>
  <w:style w:type="character" w:customStyle="1" w:styleId="56">
    <w:name w:val="正文文本 2 Char"/>
    <w:basedOn w:val="35"/>
    <w:link w:val="28"/>
    <w:qFormat/>
    <w:uiPriority w:val="0"/>
    <w:rPr>
      <w:kern w:val="2"/>
      <w:sz w:val="21"/>
      <w:szCs w:val="24"/>
    </w:rPr>
  </w:style>
  <w:style w:type="character" w:customStyle="1" w:styleId="57">
    <w:name w:val="标题 Char"/>
    <w:link w:val="31"/>
    <w:qFormat/>
    <w:uiPriority w:val="10"/>
    <w:rPr>
      <w:rFonts w:ascii="Arial" w:hAnsi="Arial"/>
      <w:b/>
      <w:bCs/>
      <w:kern w:val="2"/>
      <w:sz w:val="32"/>
      <w:szCs w:val="32"/>
    </w:rPr>
  </w:style>
  <w:style w:type="character" w:customStyle="1" w:styleId="58">
    <w:name w:val="批注主题 Char"/>
    <w:link w:val="32"/>
    <w:qFormat/>
    <w:uiPriority w:val="0"/>
    <w:rPr>
      <w:b/>
      <w:bCs/>
      <w:kern w:val="2"/>
      <w:sz w:val="21"/>
      <w:szCs w:val="24"/>
    </w:rPr>
  </w:style>
  <w:style w:type="character" w:customStyle="1" w:styleId="59">
    <w:name w:val="正文首行缩进 Char"/>
    <w:basedOn w:val="50"/>
    <w:link w:val="13"/>
    <w:qFormat/>
    <w:uiPriority w:val="0"/>
    <w:rPr>
      <w:rFonts w:eastAsia="宋体,Verdana,Arial"/>
      <w:kern w:val="2"/>
      <w:sz w:val="21"/>
      <w:szCs w:val="24"/>
      <w:lang w:val="en-US" w:eastAsia="zh-CN" w:bidi="ar-SA"/>
    </w:rPr>
  </w:style>
  <w:style w:type="character" w:customStyle="1" w:styleId="60">
    <w:name w:val="正文缩进 Char"/>
    <w:qFormat/>
    <w:uiPriority w:val="0"/>
    <w:rPr>
      <w:rFonts w:eastAsia="宋体,Verdana,Arial"/>
      <w:sz w:val="21"/>
      <w:lang w:val="en-US" w:eastAsia="zh-CN"/>
    </w:rPr>
  </w:style>
  <w:style w:type="character" w:customStyle="1" w:styleId="61">
    <w:name w:val="Texte Char Char"/>
    <w:qFormat/>
    <w:uiPriority w:val="0"/>
    <w:rPr>
      <w:rFonts w:ascii="宋体" w:hAnsi="Courier New" w:eastAsia="宋体"/>
      <w:sz w:val="21"/>
      <w:szCs w:val="21"/>
      <w:lang w:val="en-US" w:eastAsia="zh-CN" w:bidi="ar-SA"/>
    </w:rPr>
  </w:style>
  <w:style w:type="character" w:customStyle="1" w:styleId="62">
    <w:name w:val="列出段落 Char"/>
    <w:link w:val="63"/>
    <w:qFormat/>
    <w:uiPriority w:val="34"/>
    <w:rPr>
      <w:rFonts w:ascii="Courier New" w:hAnsi="Courier New"/>
      <w:kern w:val="2"/>
      <w:sz w:val="21"/>
      <w:szCs w:val="22"/>
    </w:rPr>
  </w:style>
  <w:style w:type="paragraph" w:customStyle="1" w:styleId="63">
    <w:name w:val="列出段落111"/>
    <w:basedOn w:val="1"/>
    <w:link w:val="62"/>
    <w:qFormat/>
    <w:uiPriority w:val="34"/>
    <w:pPr>
      <w:ind w:firstLine="420" w:firstLineChars="200"/>
    </w:pPr>
    <w:rPr>
      <w:rFonts w:ascii="Courier New" w:hAnsi="Courier New" w:cs="Times New Roman"/>
      <w:szCs w:val="22"/>
      <w:lang w:val="zh-CN"/>
    </w:rPr>
  </w:style>
  <w:style w:type="character" w:customStyle="1" w:styleId="64">
    <w:name w:val="Char Char2"/>
    <w:qFormat/>
    <w:uiPriority w:val="0"/>
    <w:rPr>
      <w:rFonts w:ascii="Univers LT Std 57 Cn" w:hAnsi="宋体,Verdana,Arial" w:eastAsia="Univers LT Std 57 Cn"/>
      <w:kern w:val="2"/>
      <w:sz w:val="21"/>
      <w:lang w:val="en-US" w:eastAsia="zh-CN" w:bidi="ar-SA"/>
    </w:rPr>
  </w:style>
  <w:style w:type="character" w:customStyle="1" w:styleId="65">
    <w:name w:val="p141"/>
    <w:qFormat/>
    <w:uiPriority w:val="0"/>
    <w:rPr>
      <w:sz w:val="21"/>
      <w:szCs w:val="21"/>
    </w:rPr>
  </w:style>
  <w:style w:type="character" w:customStyle="1" w:styleId="66">
    <w:name w:val="纯文本 Char1"/>
    <w:qFormat/>
    <w:uiPriority w:val="0"/>
    <w:rPr>
      <w:rFonts w:ascii="宋体,Verdana,Arial" w:hAnsi="Tahoma" w:eastAsia="宋体,Verdana,Arial"/>
      <w:sz w:val="21"/>
      <w:szCs w:val="21"/>
    </w:rPr>
  </w:style>
  <w:style w:type="character" w:customStyle="1" w:styleId="67">
    <w:name w:val="正文文本 (2)_"/>
    <w:link w:val="68"/>
    <w:qFormat/>
    <w:uiPriority w:val="99"/>
    <w:rPr>
      <w:rFonts w:ascii="Times New Roman" w:hAnsi="Times New Roman" w:cs="Times New Roman"/>
      <w:shd w:val="clear" w:color="auto" w:fill="FFFFFF"/>
    </w:rPr>
  </w:style>
  <w:style w:type="paragraph" w:customStyle="1" w:styleId="68">
    <w:name w:val="正文文本 (2)"/>
    <w:basedOn w:val="1"/>
    <w:link w:val="67"/>
    <w:qFormat/>
    <w:uiPriority w:val="99"/>
    <w:pPr>
      <w:shd w:val="clear" w:color="auto" w:fill="FFFFFF"/>
      <w:jc w:val="left"/>
    </w:pPr>
    <w:rPr>
      <w:rFonts w:ascii="Times New Roman" w:hAnsi="Times New Roman" w:cs="Times New Roman"/>
      <w:kern w:val="0"/>
      <w:sz w:val="20"/>
      <w:szCs w:val="20"/>
      <w:lang w:val="zh-CN"/>
    </w:rPr>
  </w:style>
  <w:style w:type="character" w:customStyle="1" w:styleId="69">
    <w:name w:val="正文文本 (2) + MingLiU1"/>
    <w:qFormat/>
    <w:uiPriority w:val="99"/>
    <w:rPr>
      <w:rFonts w:ascii="MingLiU" w:hAnsi="Times New Roman" w:eastAsia="MingLiU" w:cs="MingLiU"/>
      <w:w w:val="100"/>
      <w:sz w:val="13"/>
      <w:szCs w:val="13"/>
      <w:shd w:val="clear" w:color="auto" w:fill="FFFFFF"/>
      <w:lang w:val="en-US" w:eastAsia="en-US"/>
    </w:rPr>
  </w:style>
  <w:style w:type="character" w:customStyle="1" w:styleId="70">
    <w:name w:val="ändrad Char"/>
    <w:qFormat/>
    <w:uiPriority w:val="0"/>
    <w:rPr>
      <w:rFonts w:eastAsia="Univers LT Std 57 Cn"/>
      <w:kern w:val="2"/>
      <w:sz w:val="21"/>
      <w:szCs w:val="24"/>
      <w:lang w:val="en-US" w:eastAsia="zh-CN" w:bidi="ar-SA"/>
    </w:rPr>
  </w:style>
  <w:style w:type="character" w:customStyle="1" w:styleId="71">
    <w:name w:val="正文文本 (2) + MingLiU"/>
    <w:qFormat/>
    <w:uiPriority w:val="99"/>
    <w:rPr>
      <w:rFonts w:ascii="MingLiU" w:hAnsi="Times New Roman" w:eastAsia="MingLiU" w:cs="MingLiU"/>
      <w:sz w:val="13"/>
      <w:szCs w:val="13"/>
      <w:shd w:val="clear" w:color="auto" w:fill="FFFFFF"/>
    </w:rPr>
  </w:style>
  <w:style w:type="character" w:customStyle="1" w:styleId="72">
    <w:name w:val="font31"/>
    <w:qFormat/>
    <w:uiPriority w:val="0"/>
    <w:rPr>
      <w:rFonts w:hint="eastAsia" w:ascii="宋体" w:hAnsi="宋体" w:eastAsia="宋体" w:cs="宋体"/>
      <w:color w:val="000000"/>
      <w:sz w:val="24"/>
      <w:szCs w:val="24"/>
    </w:rPr>
  </w:style>
  <w:style w:type="character" w:customStyle="1" w:styleId="73">
    <w:name w:val="正文文本缩进 3 Char1"/>
    <w:semiHidden/>
    <w:qFormat/>
    <w:uiPriority w:val="99"/>
    <w:rPr>
      <w:rFonts w:ascii="Times New Roman" w:hAnsi="Times New Roman"/>
      <w:kern w:val="2"/>
      <w:sz w:val="16"/>
      <w:szCs w:val="16"/>
    </w:rPr>
  </w:style>
  <w:style w:type="character" w:customStyle="1" w:styleId="74">
    <w:name w:val="页脚 字符"/>
    <w:qFormat/>
    <w:uiPriority w:val="99"/>
    <w:rPr>
      <w:rFonts w:ascii="Times New Roman" w:hAnsi="Times New Roman" w:eastAsia="宋体" w:cs="Times New Roman"/>
      <w:sz w:val="18"/>
      <w:szCs w:val="18"/>
    </w:rPr>
  </w:style>
  <w:style w:type="character" w:customStyle="1" w:styleId="75">
    <w:name w:val="apple-converted-space"/>
    <w:qFormat/>
    <w:uiPriority w:val="0"/>
  </w:style>
  <w:style w:type="character" w:customStyle="1" w:styleId="76">
    <w:name w:val="页眉 字符"/>
    <w:qFormat/>
    <w:uiPriority w:val="99"/>
    <w:rPr>
      <w:rFonts w:ascii="Times New Roman" w:hAnsi="Times New Roman" w:eastAsia="宋体" w:cs="Times New Roman"/>
      <w:sz w:val="18"/>
      <w:szCs w:val="18"/>
    </w:rPr>
  </w:style>
  <w:style w:type="character" w:customStyle="1" w:styleId="77">
    <w:name w:val="批注框文本 字符"/>
    <w:qFormat/>
    <w:uiPriority w:val="0"/>
    <w:rPr>
      <w:rFonts w:ascii="Times New Roman" w:hAnsi="Times New Roman" w:eastAsia="宋体" w:cs="Times New Roman"/>
      <w:sz w:val="18"/>
      <w:szCs w:val="18"/>
    </w:rPr>
  </w:style>
  <w:style w:type="character" w:customStyle="1" w:styleId="78">
    <w:name w:val="标题 4 字符"/>
    <w:qFormat/>
    <w:uiPriority w:val="0"/>
    <w:rPr>
      <w:rFonts w:ascii="Arial" w:hAnsi="Arial" w:eastAsia="黑体" w:cs="Times New Roman"/>
      <w:b/>
      <w:sz w:val="28"/>
      <w:szCs w:val="20"/>
    </w:rPr>
  </w:style>
  <w:style w:type="character" w:customStyle="1" w:styleId="79">
    <w:name w:val="正文文本缩进 3 字符"/>
    <w:qFormat/>
    <w:locked/>
    <w:uiPriority w:val="0"/>
    <w:rPr>
      <w:rFonts w:ascii="仿宋_GB2312" w:hAnsi="宋体" w:eastAsia="仿宋_GB2312"/>
      <w:color w:val="000000"/>
      <w:sz w:val="24"/>
      <w:szCs w:val="24"/>
    </w:rPr>
  </w:style>
  <w:style w:type="paragraph" w:customStyle="1" w:styleId="8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82">
    <w:name w:val="正文1"/>
    <w:basedOn w:val="1"/>
    <w:qFormat/>
    <w:uiPriority w:val="0"/>
    <w:pPr>
      <w:adjustRightInd w:val="0"/>
      <w:spacing w:line="360" w:lineRule="atLeast"/>
      <w:jc w:val="left"/>
    </w:pPr>
    <w:rPr>
      <w:rFonts w:eastAsia="Tahoma"/>
      <w:kern w:val="0"/>
      <w:sz w:val="24"/>
      <w:szCs w:val="20"/>
    </w:rPr>
  </w:style>
  <w:style w:type="paragraph" w:customStyle="1" w:styleId="83">
    <w:name w:val="保留正文"/>
    <w:basedOn w:val="12"/>
    <w:qFormat/>
    <w:uiPriority w:val="0"/>
    <w:pPr>
      <w:keepNext/>
      <w:spacing w:after="160"/>
    </w:pPr>
    <w:rPr>
      <w:rFonts w:ascii="Arial" w:hAnsi="Arial" w:eastAsia="Univers LT Std 57 Cn"/>
    </w:rPr>
  </w:style>
  <w:style w:type="paragraph" w:customStyle="1" w:styleId="84">
    <w:name w:val="Char Char Char Char Char Char Char Char Char Char Char Char Char"/>
    <w:basedOn w:val="1"/>
    <w:qFormat/>
    <w:uiPriority w:val="0"/>
    <w:rPr>
      <w:rFonts w:ascii="Arial Unicode MS" w:hAnsi="Arial Unicode MS"/>
      <w:sz w:val="24"/>
      <w:szCs w:val="20"/>
    </w:rPr>
  </w:style>
  <w:style w:type="paragraph" w:customStyle="1" w:styleId="8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Verdana,Arial" w:hAnsi="宋体,Verdana,Arial" w:eastAsia="宋体,Verdana,Arial"/>
      <w:kern w:val="0"/>
      <w:sz w:val="24"/>
    </w:rPr>
  </w:style>
  <w:style w:type="paragraph" w:customStyle="1" w:styleId="86">
    <w:name w:val="xl90"/>
    <w:basedOn w:val="1"/>
    <w:qFormat/>
    <w:uiPriority w:val="0"/>
    <w:pPr>
      <w:widowControl/>
      <w:spacing w:before="100" w:beforeAutospacing="1" w:after="100" w:afterAutospacing="1"/>
      <w:jc w:val="left"/>
    </w:pPr>
    <w:rPr>
      <w:rFonts w:ascii="Arial" w:hAnsi="Arial"/>
      <w:kern w:val="0"/>
      <w:sz w:val="24"/>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88">
    <w:name w:val="正文2"/>
    <w:next w:val="24"/>
    <w:qFormat/>
    <w:uiPriority w:val="0"/>
    <w:pPr>
      <w:widowControl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9">
    <w:name w:val="Char Char Char Char"/>
    <w:basedOn w:val="1"/>
    <w:qFormat/>
    <w:uiPriority w:val="0"/>
    <w:rPr>
      <w:rFonts w:ascii="Arial Unicode MS" w:hAnsi="Arial Unicode MS"/>
      <w:sz w:val="24"/>
      <w:szCs w:val="20"/>
    </w:rPr>
  </w:style>
  <w:style w:type="paragraph" w:customStyle="1" w:styleId="90">
    <w:name w:val="aspnumfaautoadjustrightr"/>
    <w:qFormat/>
    <w:uiPriority w:val="0"/>
    <w:pPr>
      <w:widowControl w:val="0"/>
      <w:autoSpaceDE w:val="0"/>
      <w:autoSpaceDN w:val="0"/>
      <w:adjustRightInd w:val="0"/>
      <w:ind w:firstLine="720"/>
      <w:jc w:val="both"/>
    </w:pPr>
    <w:rPr>
      <w:rFonts w:ascii="Calibri" w:hAnsi="Calibri" w:eastAsia="宋体" w:cs="Arial"/>
      <w:lang w:val="en-US" w:eastAsia="zh-CN" w:bidi="ar-SA"/>
    </w:rPr>
  </w:style>
  <w:style w:type="paragraph" w:customStyle="1" w:styleId="91">
    <w:name w:val="msolistparagraph"/>
    <w:basedOn w:val="1"/>
    <w:qFormat/>
    <w:uiPriority w:val="0"/>
    <w:pPr>
      <w:widowControl/>
      <w:ind w:firstLine="420"/>
      <w:jc w:val="left"/>
    </w:pPr>
    <w:rPr>
      <w:rFonts w:ascii="宋体" w:hAnsi="宋体" w:cs="宋体"/>
      <w:kern w:val="0"/>
      <w:sz w:val="24"/>
    </w:rPr>
  </w:style>
  <w:style w:type="paragraph" w:customStyle="1" w:styleId="92">
    <w:name w:val="xl55"/>
    <w:basedOn w:val="1"/>
    <w:qFormat/>
    <w:uiPriority w:val="0"/>
    <w:pPr>
      <w:widowControl/>
      <w:spacing w:before="100" w:beforeAutospacing="1" w:after="100" w:afterAutospacing="1"/>
      <w:textAlignment w:val="center"/>
    </w:pPr>
    <w:rPr>
      <w:rFonts w:ascii="宋体,Verdana,Arial" w:hAnsi="宋体,Verdana,Arial" w:eastAsia="Tahoma"/>
      <w:kern w:val="0"/>
      <w:sz w:val="24"/>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94">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95">
    <w:name w:val="Char Char Char Char1"/>
    <w:basedOn w:val="9"/>
    <w:qFormat/>
    <w:uiPriority w:val="0"/>
    <w:rPr>
      <w:rFonts w:ascii="Arial Unicode MS" w:hAnsi="Arial Unicode MS"/>
      <w:sz w:val="24"/>
    </w:rPr>
  </w:style>
  <w:style w:type="paragraph" w:customStyle="1" w:styleId="9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97">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8">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9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2">
    <w:name w:val="Char Char7 Char"/>
    <w:basedOn w:val="1"/>
    <w:qFormat/>
    <w:uiPriority w:val="0"/>
    <w:pPr>
      <w:tabs>
        <w:tab w:val="left" w:pos="425"/>
      </w:tabs>
      <w:ind w:left="420" w:leftChars="200" w:firstLine="270" w:firstLineChars="150"/>
    </w:pPr>
    <w:rPr>
      <w:rFonts w:ascii="Times New Roman" w:hAnsi="Times New Roman" w:cs="Times New Roman"/>
    </w:rPr>
  </w:style>
  <w:style w:type="paragraph" w:customStyle="1" w:styleId="10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10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6">
    <w:name w:val="修订1"/>
    <w:semiHidden/>
    <w:qFormat/>
    <w:uiPriority w:val="99"/>
    <w:rPr>
      <w:rFonts w:ascii="Calibri" w:hAnsi="Calibri" w:eastAsia="宋体" w:cs="Arial"/>
      <w:kern w:val="2"/>
      <w:sz w:val="21"/>
      <w:szCs w:val="24"/>
      <w:lang w:val="en-US" w:eastAsia="zh-CN" w:bidi="ar-SA"/>
    </w:rPr>
  </w:style>
  <w:style w:type="paragraph" w:customStyle="1" w:styleId="107">
    <w:name w:val="Char Char"/>
    <w:basedOn w:val="1"/>
    <w:qFormat/>
    <w:uiPriority w:val="0"/>
    <w:rPr>
      <w:rFonts w:ascii="Courier New" w:eastAsia="Courier New"/>
      <w:b/>
      <w:sz w:val="32"/>
      <w:szCs w:val="32"/>
    </w:rPr>
  </w:style>
  <w:style w:type="paragraph" w:customStyle="1" w:styleId="108">
    <w:name w:val="表内文字"/>
    <w:basedOn w:val="1"/>
    <w:qFormat/>
    <w:uiPriority w:val="0"/>
    <w:pPr>
      <w:spacing w:line="240" w:lineRule="atLeast"/>
      <w:jc w:val="center"/>
    </w:pPr>
    <w:rPr>
      <w:rFonts w:ascii="Arial Unicode MS" w:hAnsi="Arial Unicode MS" w:cs="Arial Unicode MS"/>
      <w:b/>
      <w:bCs/>
    </w:rPr>
  </w:style>
  <w:style w:type="paragraph" w:customStyle="1" w:styleId="109">
    <w:name w:val="xl13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10">
    <w:name w:val="_Style 5"/>
    <w:basedOn w:val="9"/>
    <w:qFormat/>
    <w:uiPriority w:val="0"/>
    <w:rPr>
      <w:rFonts w:ascii="Times New Roman" w:hAnsi="Times New Roman" w:cs="Times New Roman"/>
    </w:rPr>
  </w:style>
  <w:style w:type="paragraph" w:customStyle="1" w:styleId="111">
    <w:name w:val="Char Char6 Char Char"/>
    <w:basedOn w:val="9"/>
    <w:qFormat/>
    <w:uiPriority w:val="0"/>
    <w:rPr>
      <w:rFonts w:ascii="Times New Roman" w:hAnsi="Times New Roman" w:cs="Times New Roman"/>
    </w:rPr>
  </w:style>
  <w:style w:type="paragraph" w:customStyle="1" w:styleId="112">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3">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4">
    <w:name w:val="font5"/>
    <w:basedOn w:val="1"/>
    <w:qFormat/>
    <w:uiPriority w:val="0"/>
    <w:pPr>
      <w:widowControl/>
      <w:spacing w:before="100" w:beforeAutospacing="1" w:after="100" w:afterAutospacing="1"/>
      <w:jc w:val="left"/>
    </w:pPr>
    <w:rPr>
      <w:rFonts w:ascii="Arial" w:hAnsi="Arial"/>
      <w:kern w:val="0"/>
      <w:sz w:val="18"/>
      <w:szCs w:val="18"/>
    </w:rPr>
  </w:style>
  <w:style w:type="paragraph" w:customStyle="1" w:styleId="115">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Arial" w:hAnsi="Arial"/>
      <w:b/>
      <w:bCs/>
      <w:color w:val="000000"/>
      <w:kern w:val="0"/>
      <w:sz w:val="18"/>
      <w:szCs w:val="18"/>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8">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19">
    <w:name w:val="font1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0">
    <w:name w:val="font1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1">
    <w:name w:val="font1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2">
    <w:name w:val="font13"/>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24">
    <w:name w:val="font14"/>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5">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font18"/>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7">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8">
    <w:name w:val="font2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9">
    <w:name w:val="font2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0">
    <w:name w:val="xl69"/>
    <w:basedOn w:val="1"/>
    <w:qFormat/>
    <w:uiPriority w:val="0"/>
    <w:pPr>
      <w:widowControl/>
      <w:spacing w:before="100" w:beforeAutospacing="1" w:after="100" w:afterAutospacing="1"/>
      <w:jc w:val="left"/>
    </w:pPr>
    <w:rPr>
      <w:rFonts w:ascii="Arial" w:hAnsi="Arial"/>
      <w:kern w:val="0"/>
      <w:sz w:val="20"/>
      <w:szCs w:val="20"/>
    </w:rPr>
  </w:style>
  <w:style w:type="paragraph" w:customStyle="1" w:styleId="131">
    <w:name w:val="xl70"/>
    <w:basedOn w:val="1"/>
    <w:qFormat/>
    <w:uiPriority w:val="0"/>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132">
    <w:name w:val="xl71"/>
    <w:basedOn w:val="1"/>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9">
    <w:name w:val="xl79"/>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4">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4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xl9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0">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5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6">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9">
    <w:name w:val="xl123"/>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6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2">
    <w:name w:val="xl110"/>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163">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64">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5">
    <w:name w:val="xl154"/>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6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6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8">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6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kern w:val="0"/>
      <w:sz w:val="18"/>
      <w:szCs w:val="18"/>
    </w:rPr>
  </w:style>
  <w:style w:type="paragraph" w:customStyle="1" w:styleId="170">
    <w:name w:val="xl1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7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72">
    <w:name w:val="xl158"/>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3">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7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5">
    <w:name w:val="xl159"/>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6">
    <w:name w:val="Default"/>
    <w:next w:val="22"/>
    <w:qFormat/>
    <w:uiPriority w:val="0"/>
    <w:pPr>
      <w:widowControl w:val="0"/>
      <w:autoSpaceDE w:val="0"/>
      <w:autoSpaceDN w:val="0"/>
      <w:adjustRightInd w:val="0"/>
    </w:pPr>
    <w:rPr>
      <w:rFonts w:ascii="Cambria" w:hAnsi="黑体" w:eastAsia="宋体" w:cs="Cambria"/>
      <w:color w:val="000000"/>
      <w:sz w:val="24"/>
      <w:szCs w:val="24"/>
      <w:lang w:val="en-US" w:eastAsia="zh-CN" w:bidi="ar-SA"/>
    </w:rPr>
  </w:style>
  <w:style w:type="paragraph" w:customStyle="1" w:styleId="177">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8">
    <w:name w:val="xl160"/>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80">
    <w:name w:val="xl161"/>
    <w:basedOn w:val="1"/>
    <w:qFormat/>
    <w:uiPriority w:val="0"/>
    <w:pPr>
      <w:widowControl/>
      <w:pBdr>
        <w:bottom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18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kern w:val="0"/>
      <w:sz w:val="18"/>
      <w:szCs w:val="18"/>
    </w:rPr>
  </w:style>
  <w:style w:type="paragraph" w:customStyle="1" w:styleId="182">
    <w:name w:val="xl162"/>
    <w:basedOn w:val="1"/>
    <w:qFormat/>
    <w:uiPriority w:val="0"/>
    <w:pPr>
      <w:widowControl/>
      <w:pBdr>
        <w:top w:val="single" w:color="auto" w:sz="8"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84">
    <w:name w:val="xl163"/>
    <w:basedOn w:val="1"/>
    <w:qFormat/>
    <w:uiPriority w:val="0"/>
    <w:pPr>
      <w:widowControl/>
      <w:pBdr>
        <w:top w:val="single" w:color="auto" w:sz="8"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5">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6">
    <w:name w:val="define_text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xl164"/>
    <w:basedOn w:val="1"/>
    <w:qFormat/>
    <w:uiPriority w:val="0"/>
    <w:pPr>
      <w:widowControl/>
      <w:pBdr>
        <w:top w:val="single" w:color="auto" w:sz="8"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9">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9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9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4"/>
    </w:rPr>
  </w:style>
  <w:style w:type="paragraph" w:customStyle="1" w:styleId="192">
    <w:name w:val="xl131"/>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3">
    <w:name w:val="xl13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4">
    <w:name w:val="xl133"/>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5">
    <w:name w:val="xl134"/>
    <w:basedOn w:val="1"/>
    <w:qFormat/>
    <w:uiPriority w:val="0"/>
    <w:pPr>
      <w:widowControl/>
      <w:pBdr>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6">
    <w:name w:val="xl135"/>
    <w:basedOn w:val="1"/>
    <w:qFormat/>
    <w:uiPriority w:val="0"/>
    <w:pPr>
      <w:widowControl/>
      <w:pBdr>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9">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1">
    <w:name w:val="xl140"/>
    <w:basedOn w:val="1"/>
    <w:qFormat/>
    <w:uiPriority w:val="0"/>
    <w:pPr>
      <w:widowControl/>
      <w:pBdr>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0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03">
    <w:name w:val="xl14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7">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08">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9">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xl151"/>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1">
    <w:name w:val="xl152"/>
    <w:basedOn w:val="1"/>
    <w:qFormat/>
    <w:uiPriority w:val="0"/>
    <w:pPr>
      <w:widowControl/>
      <w:pBdr>
        <w:bottom w:val="single" w:color="auto" w:sz="4" w:space="0"/>
      </w:pBdr>
      <w:spacing w:before="100" w:beforeAutospacing="1" w:after="100" w:afterAutospacing="1"/>
      <w:jc w:val="center"/>
    </w:pPr>
    <w:rPr>
      <w:rFonts w:ascii="Arial" w:hAnsi="Arial"/>
      <w:b/>
      <w:bCs/>
      <w:color w:val="000000"/>
      <w:kern w:val="0"/>
      <w:sz w:val="32"/>
      <w:szCs w:val="32"/>
    </w:rPr>
  </w:style>
  <w:style w:type="paragraph" w:customStyle="1" w:styleId="212">
    <w:name w:val="define_head0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列出段落3"/>
    <w:qFormat/>
    <w:uiPriority w:val="0"/>
    <w:pPr>
      <w:ind w:firstLine="420" w:firstLineChars="200"/>
    </w:pPr>
    <w:rPr>
      <w:rFonts w:ascii="Times New Roman" w:hAnsi="Times New Roman" w:eastAsia="宋体" w:cs="Times New Roman"/>
      <w:lang w:val="en-US" w:eastAsia="zh-CN" w:bidi="ar-SA"/>
    </w:rPr>
  </w:style>
  <w:style w:type="paragraph" w:customStyle="1" w:styleId="214">
    <w:name w:val="列出段落11"/>
    <w:basedOn w:val="1"/>
    <w:qFormat/>
    <w:uiPriority w:val="34"/>
    <w:pPr>
      <w:ind w:firstLine="420" w:firstLineChars="200"/>
    </w:pPr>
    <w:rPr>
      <w:rFonts w:cs="Times New Roman"/>
    </w:rPr>
  </w:style>
  <w:style w:type="character" w:customStyle="1" w:styleId="215">
    <w:name w:val="普通文字 Char Char2"/>
    <w:qFormat/>
    <w:uiPriority w:val="0"/>
    <w:rPr>
      <w:rFonts w:ascii="宋体" w:hAnsi="Courier New" w:eastAsia="宋体"/>
      <w:kern w:val="2"/>
      <w:sz w:val="21"/>
      <w:lang w:val="en-US" w:eastAsia="zh-CN" w:bidi="ar-SA"/>
    </w:rPr>
  </w:style>
  <w:style w:type="paragraph" w:customStyle="1" w:styleId="216">
    <w:name w:val="列出段落2"/>
    <w:basedOn w:val="1"/>
    <w:qFormat/>
    <w:uiPriority w:val="34"/>
    <w:pPr>
      <w:ind w:firstLine="420" w:firstLineChars="200"/>
    </w:pPr>
    <w:rPr>
      <w:rFonts w:ascii="Times New Roman" w:hAnsi="Times New Roman" w:cs="Times New Roman"/>
      <w:szCs w:val="20"/>
    </w:rPr>
  </w:style>
  <w:style w:type="paragraph" w:customStyle="1" w:styleId="217">
    <w:name w:val="样式2"/>
    <w:basedOn w:val="12"/>
    <w:qFormat/>
    <w:uiPriority w:val="0"/>
    <w:pPr>
      <w:spacing w:before="100" w:beforeAutospacing="1" w:after="100" w:afterAutospacing="1" w:line="500" w:lineRule="exact"/>
      <w:jc w:val="center"/>
    </w:pPr>
    <w:rPr>
      <w:rFonts w:ascii="宋体" w:hAnsi="宋体" w:eastAsia="宋体" w:cs="Times New Roman"/>
      <w:kern w:val="44"/>
      <w:sz w:val="28"/>
      <w:szCs w:val="28"/>
      <w:lang w:val="en-GB"/>
    </w:rPr>
  </w:style>
  <w:style w:type="paragraph" w:customStyle="1" w:styleId="218">
    <w:name w:val="列出段落4"/>
    <w:basedOn w:val="1"/>
    <w:qFormat/>
    <w:uiPriority w:val="34"/>
    <w:pPr>
      <w:ind w:firstLine="420" w:firstLineChars="200"/>
    </w:pPr>
  </w:style>
  <w:style w:type="character" w:customStyle="1" w:styleId="219">
    <w:name w:val="占位符文本1"/>
    <w:basedOn w:val="35"/>
    <w:semiHidden/>
    <w:qFormat/>
    <w:uiPriority w:val="99"/>
    <w:rPr>
      <w:color w:val="808080"/>
    </w:rPr>
  </w:style>
  <w:style w:type="paragraph" w:customStyle="1" w:styleId="220">
    <w:name w:val="TOC 标题1"/>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21">
    <w:name w:val="列表段落1"/>
    <w:basedOn w:val="1"/>
    <w:link w:val="222"/>
    <w:qFormat/>
    <w:uiPriority w:val="34"/>
    <w:pPr>
      <w:ind w:firstLine="420" w:firstLineChars="200"/>
    </w:pPr>
  </w:style>
  <w:style w:type="character" w:customStyle="1" w:styleId="222">
    <w:name w:val="列表段落 字符"/>
    <w:link w:val="221"/>
    <w:qFormat/>
    <w:uiPriority w:val="34"/>
    <w:rPr>
      <w:kern w:val="2"/>
      <w:sz w:val="21"/>
      <w:szCs w:val="24"/>
    </w:rPr>
  </w:style>
  <w:style w:type="paragraph" w:customStyle="1" w:styleId="223">
    <w:name w:val="[Normal]"/>
    <w:qFormat/>
    <w:uiPriority w:val="0"/>
    <w:rPr>
      <w:rFonts w:ascii="宋体" w:hAnsi="宋体" w:eastAsia="宋体" w:cs="Times New Roman"/>
      <w:sz w:val="24"/>
      <w:szCs w:val="22"/>
      <w:lang w:val="zh-CN" w:eastAsia="zh-CN" w:bidi="ar-SA"/>
    </w:rPr>
  </w:style>
  <w:style w:type="character" w:customStyle="1" w:styleId="224">
    <w:name w:val="纯文本 字符1"/>
    <w:qFormat/>
    <w:uiPriority w:val="0"/>
    <w:rPr>
      <w:rFonts w:ascii="??" w:hAnsi="??" w:eastAsia="??" w:cs="宋体"/>
      <w:kern w:val="2"/>
      <w:sz w:val="21"/>
      <w:szCs w:val="21"/>
    </w:rPr>
  </w:style>
  <w:style w:type="paragraph" w:customStyle="1" w:styleId="225">
    <w:name w:val="_Style 214"/>
    <w:basedOn w:val="12"/>
    <w:next w:val="13"/>
    <w:link w:val="226"/>
    <w:qFormat/>
    <w:uiPriority w:val="0"/>
    <w:pPr>
      <w:ind w:firstLine="420" w:firstLineChars="100"/>
    </w:pPr>
    <w:rPr>
      <w:rFonts w:eastAsia="宋体"/>
    </w:rPr>
  </w:style>
  <w:style w:type="character" w:customStyle="1" w:styleId="226">
    <w:name w:val="正文首行缩进 字符"/>
    <w:link w:val="225"/>
    <w:qFormat/>
    <w:uiPriority w:val="0"/>
    <w:rPr>
      <w:kern w:val="2"/>
      <w:sz w:val="21"/>
      <w:szCs w:val="24"/>
    </w:rPr>
  </w:style>
  <w:style w:type="paragraph" w:customStyle="1" w:styleId="227">
    <w:name w:val="默认段落字体 Para Char Char Char Char Char Char Char Char Char1 Char Char Char Char"/>
    <w:basedOn w:val="1"/>
    <w:qFormat/>
    <w:uiPriority w:val="0"/>
    <w:rPr>
      <w:rFonts w:ascii="Tahoma" w:hAnsi="Tahoma" w:eastAsia="仿宋_GB2312" w:cs="宋体"/>
      <w:b/>
      <w:bCs/>
      <w:color w:val="000000"/>
      <w:kern w:val="0"/>
      <w:sz w:val="24"/>
      <w:szCs w:val="20"/>
    </w:rPr>
  </w:style>
  <w:style w:type="character" w:customStyle="1" w:styleId="228">
    <w:name w:val="style91"/>
    <w:qFormat/>
    <w:uiPriority w:val="0"/>
    <w:rPr>
      <w:sz w:val="24"/>
      <w:szCs w:val="24"/>
    </w:rPr>
  </w:style>
  <w:style w:type="paragraph" w:customStyle="1" w:styleId="229">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230">
    <w:name w:val="未处理的提及1"/>
    <w:basedOn w:val="35"/>
    <w:unhideWhenUsed/>
    <w:qFormat/>
    <w:uiPriority w:val="99"/>
    <w:rPr>
      <w:color w:val="605E5C"/>
      <w:shd w:val="clear" w:color="auto" w:fill="E1DFDD"/>
    </w:rPr>
  </w:style>
  <w:style w:type="table" w:customStyle="1" w:styleId="231">
    <w:name w:val="Table Normal"/>
    <w:unhideWhenUsed/>
    <w:qFormat/>
    <w:uiPriority w:val="2"/>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2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3">
    <w:name w:val="列表段落2"/>
    <w:basedOn w:val="1"/>
    <w:qFormat/>
    <w:uiPriority w:val="99"/>
    <w:pPr>
      <w:ind w:firstLine="420" w:firstLineChars="200"/>
    </w:pPr>
  </w:style>
  <w:style w:type="paragraph" w:customStyle="1" w:styleId="234">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character" w:customStyle="1" w:styleId="235">
    <w:name w:val="font41"/>
    <w:basedOn w:val="35"/>
    <w:qFormat/>
    <w:uiPriority w:val="0"/>
    <w:rPr>
      <w:rFonts w:hint="eastAsia" w:ascii="宋体" w:hAnsi="宋体" w:eastAsia="宋体" w:cs="宋体"/>
      <w:color w:val="000000"/>
      <w:sz w:val="18"/>
      <w:szCs w:val="18"/>
      <w:u w:val="none"/>
    </w:rPr>
  </w:style>
  <w:style w:type="paragraph" w:customStyle="1" w:styleId="23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7">
    <w:name w:val="纯文本1"/>
    <w:basedOn w:val="1"/>
    <w:qFormat/>
    <w:uiPriority w:val="0"/>
    <w:rPr>
      <w:rFonts w:ascii="宋体" w:hAnsi="Courier New" w:cs="Times New Roman"/>
      <w:kern w:val="0"/>
      <w:sz w:val="20"/>
      <w:szCs w:val="20"/>
    </w:rPr>
  </w:style>
  <w:style w:type="paragraph" w:customStyle="1" w:styleId="238">
    <w:name w:val="正文缩进1"/>
    <w:basedOn w:val="1"/>
    <w:next w:val="15"/>
    <w:qFormat/>
    <w:uiPriority w:val="0"/>
    <w:pPr>
      <w:autoSpaceDE w:val="0"/>
      <w:autoSpaceDN w:val="0"/>
      <w:adjustRightInd w:val="0"/>
      <w:snapToGrid w:val="0"/>
      <w:spacing w:after="120" w:line="360" w:lineRule="auto"/>
      <w:ind w:left="420" w:leftChars="200" w:firstLine="480" w:firstLineChars="200"/>
    </w:pPr>
    <w:rPr>
      <w:rFonts w:ascii="Times New Roman" w:hAnsi="Times New Roman" w:cs="Times New Roman"/>
      <w:sz w:val="24"/>
      <w:szCs w:val="20"/>
    </w:rPr>
  </w:style>
  <w:style w:type="paragraph" w:customStyle="1" w:styleId="2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41">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42">
    <w:name w:val="xl65"/>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3">
    <w:name w:val="xl66"/>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4">
    <w:name w:val="xl6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5">
    <w:name w:val="xl68"/>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character" w:customStyle="1" w:styleId="246">
    <w:name w:val="HTML 预设格式 Char"/>
    <w:basedOn w:val="35"/>
    <w:link w:val="29"/>
    <w:qFormat/>
    <w:uiPriority w:val="0"/>
    <w:rPr>
      <w:rFonts w:ascii="宋体" w:hAnsi="宋体"/>
      <w:sz w:val="24"/>
      <w:szCs w:val="24"/>
    </w:rPr>
  </w:style>
  <w:style w:type="character" w:customStyle="1" w:styleId="247">
    <w:name w:val="文档结构图 Char"/>
    <w:basedOn w:val="35"/>
    <w:link w:val="9"/>
    <w:qFormat/>
    <w:uiPriority w:val="0"/>
    <w:rPr>
      <w:rFonts w:cs="Arial"/>
      <w:kern w:val="2"/>
      <w:sz w:val="21"/>
      <w:szCs w:val="24"/>
      <w:shd w:val="clear" w:color="auto" w:fill="000080"/>
    </w:rPr>
  </w:style>
  <w:style w:type="character" w:customStyle="1" w:styleId="248">
    <w:name w:val="称呼 Char"/>
    <w:basedOn w:val="35"/>
    <w:link w:val="11"/>
    <w:qFormat/>
    <w:uiPriority w:val="0"/>
    <w:rPr>
      <w:rFonts w:cs="Arial"/>
      <w:kern w:val="2"/>
      <w:sz w:val="24"/>
      <w:szCs w:val="24"/>
    </w:rPr>
  </w:style>
  <w:style w:type="character" w:customStyle="1" w:styleId="249">
    <w:name w:val="正文文本缩进 Char"/>
    <w:basedOn w:val="35"/>
    <w:link w:val="15"/>
    <w:qFormat/>
    <w:uiPriority w:val="0"/>
    <w:rPr>
      <w:rFonts w:cs="Arial"/>
      <w:kern w:val="2"/>
      <w:sz w:val="21"/>
      <w:szCs w:val="24"/>
    </w:rPr>
  </w:style>
  <w:style w:type="character" w:customStyle="1" w:styleId="250">
    <w:name w:val="日期 Char"/>
    <w:basedOn w:val="35"/>
    <w:link w:val="18"/>
    <w:qFormat/>
    <w:uiPriority w:val="0"/>
    <w:rPr>
      <w:rFonts w:ascii="宋体,Verdana,Arial" w:cs="Arial"/>
      <w:kern w:val="2"/>
      <w:sz w:val="24"/>
    </w:rPr>
  </w:style>
  <w:style w:type="character" w:customStyle="1" w:styleId="251">
    <w:name w:val="正文文本缩进 2 Char"/>
    <w:basedOn w:val="35"/>
    <w:link w:val="19"/>
    <w:qFormat/>
    <w:uiPriority w:val="0"/>
    <w:rPr>
      <w:rFonts w:cs="Arial"/>
      <w:kern w:val="2"/>
      <w:sz w:val="24"/>
      <w:szCs w:val="24"/>
    </w:rPr>
  </w:style>
  <w:style w:type="paragraph" w:customStyle="1" w:styleId="252">
    <w:name w:val="正文段"/>
    <w:basedOn w:val="1"/>
    <w:qFormat/>
    <w:uiPriority w:val="0"/>
    <w:pPr>
      <w:widowControl/>
      <w:snapToGrid w:val="0"/>
      <w:spacing w:afterLines="50"/>
      <w:ind w:firstLine="200" w:firstLineChars="200"/>
    </w:pPr>
    <w:rPr>
      <w:rFonts w:ascii="Times New Roman" w:hAnsi="Times New Roman" w:cs="Times New Roman"/>
      <w:kern w:val="0"/>
      <w:sz w:val="24"/>
      <w:szCs w:val="20"/>
    </w:rPr>
  </w:style>
  <w:style w:type="character" w:customStyle="1" w:styleId="253">
    <w:name w:val="纯文本 字符2"/>
    <w:qFormat/>
    <w:uiPriority w:val="0"/>
    <w:rPr>
      <w:rFonts w:ascii="宋体" w:hAnsi="Courier New" w:eastAsia="宋体"/>
      <w:sz w:val="21"/>
      <w:szCs w:val="21"/>
      <w:lang w:val="en-US" w:eastAsia="zh-CN" w:bidi="ar-SA"/>
    </w:rPr>
  </w:style>
  <w:style w:type="character" w:customStyle="1" w:styleId="254">
    <w:name w:val="NormalCharacter"/>
    <w:semiHidden/>
    <w:qFormat/>
    <w:uiPriority w:val="0"/>
    <w:rPr>
      <w:rFonts w:ascii="Calibri" w:hAnsi="Calibri" w:eastAsia="宋体" w:cs="Arial"/>
      <w:kern w:val="2"/>
      <w:sz w:val="21"/>
      <w:szCs w:val="24"/>
      <w:lang w:val="en-US" w:eastAsia="zh-CN" w:bidi="ar-SA"/>
    </w:rPr>
  </w:style>
  <w:style w:type="character" w:customStyle="1" w:styleId="255">
    <w:name w:val="列出段落 Char1"/>
    <w:link w:val="43"/>
    <w:qFormat/>
    <w:uiPriority w:val="34"/>
    <w:rPr>
      <w:rFonts w:cs="Times New Roman"/>
      <w:kern w:val="2"/>
      <w:sz w:val="21"/>
      <w:szCs w:val="22"/>
    </w:rPr>
  </w:style>
  <w:style w:type="character" w:customStyle="1" w:styleId="256">
    <w:name w:val="List Paragraph Char"/>
    <w:qFormat/>
    <w:uiPriority w:val="0"/>
    <w:rPr>
      <w:rFonts w:ascii="Calibri" w:hAnsi="Calibri" w:eastAsia="宋体"/>
      <w:kern w:val="2"/>
      <w:sz w:val="21"/>
      <w:szCs w:val="22"/>
      <w:lang w:val="en-US" w:eastAsia="zh-CN" w:bidi="ar-SA"/>
    </w:rPr>
  </w:style>
  <w:style w:type="character" w:customStyle="1" w:styleId="257">
    <w:name w:val="尾注文本 Char"/>
    <w:basedOn w:val="35"/>
    <w:link w:val="20"/>
    <w:qFormat/>
    <w:uiPriority w:val="0"/>
    <w:rPr>
      <w:rFonts w:ascii="Times New Roman" w:hAnsi="Times New Roman" w:cs="Times New Roman"/>
      <w:kern w:val="2"/>
      <w:sz w:val="21"/>
      <w:szCs w:val="24"/>
    </w:rPr>
  </w:style>
  <w:style w:type="paragraph" w:customStyle="1" w:styleId="258">
    <w:name w:val="投标正文"/>
    <w:basedOn w:val="1"/>
    <w:qFormat/>
    <w:uiPriority w:val="0"/>
    <w:pPr>
      <w:spacing w:line="360" w:lineRule="auto"/>
      <w:ind w:left="102" w:firstLine="200" w:firstLineChars="200"/>
    </w:pPr>
    <w:rPr>
      <w:rFonts w:cs="Times New Roman"/>
      <w:sz w:val="24"/>
    </w:rPr>
  </w:style>
  <w:style w:type="paragraph" w:customStyle="1" w:styleId="259">
    <w:name w:val="纯文本2"/>
    <w:basedOn w:val="1"/>
    <w:qFormat/>
    <w:uiPriority w:val="0"/>
    <w:rPr>
      <w:rFonts w:ascii="宋体" w:hAnsi="Courier New" w:cs="Times New Roman"/>
      <w:kern w:val="0"/>
      <w:sz w:val="20"/>
      <w:szCs w:val="20"/>
    </w:rPr>
  </w:style>
  <w:style w:type="paragraph" w:customStyle="1" w:styleId="260">
    <w:name w:val="Body text|1"/>
    <w:basedOn w:val="1"/>
    <w:qFormat/>
    <w:uiPriority w:val="0"/>
    <w:pPr>
      <w:spacing w:line="444" w:lineRule="auto"/>
      <w:ind w:firstLine="400"/>
    </w:pPr>
    <w:rPr>
      <w:rFonts w:ascii="宋体" w:hAnsi="宋体" w:cs="宋体"/>
      <w:sz w:val="20"/>
      <w:szCs w:val="20"/>
      <w:lang w:val="zh-TW" w:eastAsia="zh-TW" w:bidi="zh-TW"/>
    </w:rPr>
  </w:style>
  <w:style w:type="character" w:customStyle="1" w:styleId="261">
    <w:name w:val="font51"/>
    <w:basedOn w:val="35"/>
    <w:qFormat/>
    <w:uiPriority w:val="0"/>
    <w:rPr>
      <w:rFonts w:hint="default" w:ascii="Times New Roman" w:hAnsi="Times New Roman" w:cs="Times New Roman"/>
      <w:color w:val="000000"/>
      <w:sz w:val="22"/>
      <w:szCs w:val="22"/>
      <w:u w:val="none"/>
    </w:rPr>
  </w:style>
  <w:style w:type="character" w:customStyle="1" w:styleId="262">
    <w:name w:val="font81"/>
    <w:basedOn w:val="35"/>
    <w:qFormat/>
    <w:uiPriority w:val="0"/>
    <w:rPr>
      <w:rFonts w:hint="default" w:ascii="Times New Roman" w:hAnsi="Times New Roman" w:cs="Times New Roman"/>
      <w:color w:val="000000"/>
      <w:sz w:val="22"/>
      <w:szCs w:val="22"/>
      <w:u w:val="none"/>
    </w:rPr>
  </w:style>
  <w:style w:type="paragraph" w:customStyle="1" w:styleId="263">
    <w:name w:val="纯文本3"/>
    <w:basedOn w:val="1"/>
    <w:qFormat/>
    <w:uiPriority w:val="0"/>
    <w:rPr>
      <w:rFonts w:hint="eastAsia" w:ascii="宋体" w:hAnsi="Courier New" w:cs="Times New Roman"/>
      <w:kern w:val="0"/>
      <w:sz w:val="20"/>
      <w:szCs w:val="20"/>
    </w:rPr>
  </w:style>
  <w:style w:type="character" w:customStyle="1" w:styleId="264">
    <w:name w:val="bookmark-item"/>
    <w:basedOn w:val="35"/>
    <w:qFormat/>
    <w:uiPriority w:val="0"/>
  </w:style>
  <w:style w:type="paragraph" w:customStyle="1" w:styleId="26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66">
    <w:name w:val="图例"/>
    <w:basedOn w:val="1"/>
    <w:qFormat/>
    <w:uiPriority w:val="0"/>
    <w:pPr>
      <w:spacing w:before="120" w:after="120" w:line="360" w:lineRule="auto"/>
      <w:jc w:val="center"/>
    </w:pPr>
    <w:rPr>
      <w:rFonts w:eastAsia="仿宋_GB2312"/>
      <w:b/>
      <w:sz w:val="24"/>
      <w:szCs w:val="20"/>
    </w:rPr>
  </w:style>
  <w:style w:type="paragraph" w:customStyle="1" w:styleId="267">
    <w:name w:val="修订2"/>
    <w:hidden/>
    <w:unhideWhenUsed/>
    <w:qFormat/>
    <w:uiPriority w:val="99"/>
    <w:rPr>
      <w:rFonts w:ascii="Calibri" w:hAnsi="Calibri" w:eastAsia="宋体" w:cs="Arial"/>
      <w:kern w:val="2"/>
      <w:sz w:val="21"/>
      <w:szCs w:val="24"/>
      <w:lang w:val="en-US" w:eastAsia="zh-CN" w:bidi="ar-SA"/>
    </w:rPr>
  </w:style>
  <w:style w:type="paragraph" w:customStyle="1" w:styleId="268">
    <w:name w:val="列出段落5"/>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5"/>
        <w:style w:val=""/>
        <w:category>
          <w:name w:val="常规"/>
          <w:gallery w:val="placeholder"/>
        </w:category>
        <w:types>
          <w:type w:val="bbPlcHdr"/>
        </w:types>
        <w:behaviors>
          <w:behavior w:val="content"/>
        </w:behaviors>
        <w:description w:val=""/>
        <w:guid w:val="{9485DD43-7715-4659-BEB2-0773A2F6DF8F}"/>
      </w:docPartPr>
      <w:docPartBody>
        <w:p w14:paraId="710BC832">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5E"/>
    <w:rsid w:val="0000069C"/>
    <w:rsid w:val="00007BD3"/>
    <w:rsid w:val="00022C71"/>
    <w:rsid w:val="0002486B"/>
    <w:rsid w:val="000374DC"/>
    <w:rsid w:val="00042E17"/>
    <w:rsid w:val="0005135B"/>
    <w:rsid w:val="000531E7"/>
    <w:rsid w:val="000700B2"/>
    <w:rsid w:val="0007581C"/>
    <w:rsid w:val="00077A6F"/>
    <w:rsid w:val="00083E29"/>
    <w:rsid w:val="000852A3"/>
    <w:rsid w:val="00086036"/>
    <w:rsid w:val="00092C28"/>
    <w:rsid w:val="000A1219"/>
    <w:rsid w:val="000B0C51"/>
    <w:rsid w:val="000B23D4"/>
    <w:rsid w:val="000B7908"/>
    <w:rsid w:val="000C5CDB"/>
    <w:rsid w:val="000D12EB"/>
    <w:rsid w:val="000D2ED8"/>
    <w:rsid w:val="000F0E0D"/>
    <w:rsid w:val="000F1048"/>
    <w:rsid w:val="000F4466"/>
    <w:rsid w:val="00115895"/>
    <w:rsid w:val="00125164"/>
    <w:rsid w:val="00135402"/>
    <w:rsid w:val="001418A4"/>
    <w:rsid w:val="00147658"/>
    <w:rsid w:val="00153B63"/>
    <w:rsid w:val="00167D56"/>
    <w:rsid w:val="00170BE6"/>
    <w:rsid w:val="00170FA1"/>
    <w:rsid w:val="00171650"/>
    <w:rsid w:val="00172033"/>
    <w:rsid w:val="00173D05"/>
    <w:rsid w:val="00194A95"/>
    <w:rsid w:val="001A456D"/>
    <w:rsid w:val="001A716F"/>
    <w:rsid w:val="001B6DE8"/>
    <w:rsid w:val="001B745E"/>
    <w:rsid w:val="001C701B"/>
    <w:rsid w:val="001C712D"/>
    <w:rsid w:val="001D3570"/>
    <w:rsid w:val="001E0D82"/>
    <w:rsid w:val="001E56F3"/>
    <w:rsid w:val="001E72D0"/>
    <w:rsid w:val="001E7E68"/>
    <w:rsid w:val="001F60BD"/>
    <w:rsid w:val="00204205"/>
    <w:rsid w:val="002044AC"/>
    <w:rsid w:val="00205BFF"/>
    <w:rsid w:val="00210380"/>
    <w:rsid w:val="00234FA2"/>
    <w:rsid w:val="00242A8C"/>
    <w:rsid w:val="0025734C"/>
    <w:rsid w:val="00262AFF"/>
    <w:rsid w:val="00272A65"/>
    <w:rsid w:val="0028038B"/>
    <w:rsid w:val="00294DA0"/>
    <w:rsid w:val="002A555A"/>
    <w:rsid w:val="002B2738"/>
    <w:rsid w:val="002B38C7"/>
    <w:rsid w:val="002B7725"/>
    <w:rsid w:val="002C0118"/>
    <w:rsid w:val="002C2CE6"/>
    <w:rsid w:val="002E0719"/>
    <w:rsid w:val="002E299B"/>
    <w:rsid w:val="002E3D82"/>
    <w:rsid w:val="00300157"/>
    <w:rsid w:val="003071AD"/>
    <w:rsid w:val="00310E78"/>
    <w:rsid w:val="00313604"/>
    <w:rsid w:val="00337291"/>
    <w:rsid w:val="00342BA3"/>
    <w:rsid w:val="0034644C"/>
    <w:rsid w:val="00346657"/>
    <w:rsid w:val="00354901"/>
    <w:rsid w:val="003745E5"/>
    <w:rsid w:val="003756F9"/>
    <w:rsid w:val="00391DD2"/>
    <w:rsid w:val="003B09CC"/>
    <w:rsid w:val="003C057E"/>
    <w:rsid w:val="003C0FEB"/>
    <w:rsid w:val="003C371E"/>
    <w:rsid w:val="003C40AC"/>
    <w:rsid w:val="003C4B25"/>
    <w:rsid w:val="003E2478"/>
    <w:rsid w:val="003E3D3A"/>
    <w:rsid w:val="004010F5"/>
    <w:rsid w:val="00402307"/>
    <w:rsid w:val="00407A90"/>
    <w:rsid w:val="004113CD"/>
    <w:rsid w:val="00414132"/>
    <w:rsid w:val="0042121C"/>
    <w:rsid w:val="00424FE2"/>
    <w:rsid w:val="00426AA2"/>
    <w:rsid w:val="004329DE"/>
    <w:rsid w:val="00434778"/>
    <w:rsid w:val="00435DF8"/>
    <w:rsid w:val="004562F9"/>
    <w:rsid w:val="00457693"/>
    <w:rsid w:val="004653EE"/>
    <w:rsid w:val="0046561E"/>
    <w:rsid w:val="004664FC"/>
    <w:rsid w:val="00476802"/>
    <w:rsid w:val="00491979"/>
    <w:rsid w:val="004C1C04"/>
    <w:rsid w:val="004C219A"/>
    <w:rsid w:val="004C4DD1"/>
    <w:rsid w:val="004D51D4"/>
    <w:rsid w:val="004D5E1E"/>
    <w:rsid w:val="004D69B4"/>
    <w:rsid w:val="004E59CE"/>
    <w:rsid w:val="004E6245"/>
    <w:rsid w:val="00501606"/>
    <w:rsid w:val="00504CFA"/>
    <w:rsid w:val="00532B4A"/>
    <w:rsid w:val="00532ED8"/>
    <w:rsid w:val="005361FD"/>
    <w:rsid w:val="00545195"/>
    <w:rsid w:val="00552CB9"/>
    <w:rsid w:val="00556E71"/>
    <w:rsid w:val="005607C6"/>
    <w:rsid w:val="00562536"/>
    <w:rsid w:val="00567B5F"/>
    <w:rsid w:val="0057125D"/>
    <w:rsid w:val="005730D9"/>
    <w:rsid w:val="00583A42"/>
    <w:rsid w:val="00583B21"/>
    <w:rsid w:val="005867A1"/>
    <w:rsid w:val="00586DDA"/>
    <w:rsid w:val="00587895"/>
    <w:rsid w:val="005A696A"/>
    <w:rsid w:val="005C401A"/>
    <w:rsid w:val="005C74EC"/>
    <w:rsid w:val="005D0A62"/>
    <w:rsid w:val="005D7944"/>
    <w:rsid w:val="005E6C15"/>
    <w:rsid w:val="005F1E78"/>
    <w:rsid w:val="005F3099"/>
    <w:rsid w:val="006011E6"/>
    <w:rsid w:val="00605ADC"/>
    <w:rsid w:val="006275DF"/>
    <w:rsid w:val="006338CC"/>
    <w:rsid w:val="00641E9C"/>
    <w:rsid w:val="00647EC8"/>
    <w:rsid w:val="006519D8"/>
    <w:rsid w:val="0065357D"/>
    <w:rsid w:val="006551B2"/>
    <w:rsid w:val="00656C63"/>
    <w:rsid w:val="006A1CF9"/>
    <w:rsid w:val="006C075B"/>
    <w:rsid w:val="006C1A23"/>
    <w:rsid w:val="006C1CB0"/>
    <w:rsid w:val="006C537F"/>
    <w:rsid w:val="006D0F31"/>
    <w:rsid w:val="006D18EE"/>
    <w:rsid w:val="006D2B92"/>
    <w:rsid w:val="006D6C4D"/>
    <w:rsid w:val="006E0140"/>
    <w:rsid w:val="006E5B08"/>
    <w:rsid w:val="006F1EBB"/>
    <w:rsid w:val="006F5E19"/>
    <w:rsid w:val="00700F46"/>
    <w:rsid w:val="007105ED"/>
    <w:rsid w:val="00735590"/>
    <w:rsid w:val="007361A9"/>
    <w:rsid w:val="0073661F"/>
    <w:rsid w:val="00743351"/>
    <w:rsid w:val="00745E88"/>
    <w:rsid w:val="00760D88"/>
    <w:rsid w:val="007640EE"/>
    <w:rsid w:val="00783024"/>
    <w:rsid w:val="0078621A"/>
    <w:rsid w:val="007B485D"/>
    <w:rsid w:val="007B7E48"/>
    <w:rsid w:val="007C7BC2"/>
    <w:rsid w:val="007E4CEB"/>
    <w:rsid w:val="007F617F"/>
    <w:rsid w:val="00806A9D"/>
    <w:rsid w:val="00820F29"/>
    <w:rsid w:val="0082571C"/>
    <w:rsid w:val="00836A7A"/>
    <w:rsid w:val="00840F4E"/>
    <w:rsid w:val="00842B98"/>
    <w:rsid w:val="00845983"/>
    <w:rsid w:val="00847876"/>
    <w:rsid w:val="0085196E"/>
    <w:rsid w:val="00854121"/>
    <w:rsid w:val="00870801"/>
    <w:rsid w:val="008A4E0A"/>
    <w:rsid w:val="008B0CDE"/>
    <w:rsid w:val="008C3822"/>
    <w:rsid w:val="008C6CB2"/>
    <w:rsid w:val="008D62DB"/>
    <w:rsid w:val="008E24E2"/>
    <w:rsid w:val="008E5FF8"/>
    <w:rsid w:val="00901AA5"/>
    <w:rsid w:val="00922265"/>
    <w:rsid w:val="00930D71"/>
    <w:rsid w:val="009330FE"/>
    <w:rsid w:val="00940949"/>
    <w:rsid w:val="00946BDA"/>
    <w:rsid w:val="009509FC"/>
    <w:rsid w:val="009572A4"/>
    <w:rsid w:val="00966A43"/>
    <w:rsid w:val="009773E4"/>
    <w:rsid w:val="009942A0"/>
    <w:rsid w:val="009B2572"/>
    <w:rsid w:val="009B55FF"/>
    <w:rsid w:val="009C3C5E"/>
    <w:rsid w:val="009D41F5"/>
    <w:rsid w:val="009D61A4"/>
    <w:rsid w:val="009E30E1"/>
    <w:rsid w:val="009E4AFB"/>
    <w:rsid w:val="009F23A3"/>
    <w:rsid w:val="009F6C60"/>
    <w:rsid w:val="00A03EEB"/>
    <w:rsid w:val="00A07AFD"/>
    <w:rsid w:val="00A12D19"/>
    <w:rsid w:val="00A137E7"/>
    <w:rsid w:val="00A15DCC"/>
    <w:rsid w:val="00A241C7"/>
    <w:rsid w:val="00A316EC"/>
    <w:rsid w:val="00A40241"/>
    <w:rsid w:val="00A46787"/>
    <w:rsid w:val="00A57D97"/>
    <w:rsid w:val="00A8028D"/>
    <w:rsid w:val="00A81603"/>
    <w:rsid w:val="00A974C3"/>
    <w:rsid w:val="00AB19F8"/>
    <w:rsid w:val="00AB45C1"/>
    <w:rsid w:val="00AB49A2"/>
    <w:rsid w:val="00AC0C2D"/>
    <w:rsid w:val="00AC71D1"/>
    <w:rsid w:val="00AD00BD"/>
    <w:rsid w:val="00AD3A77"/>
    <w:rsid w:val="00AD469E"/>
    <w:rsid w:val="00AE24E8"/>
    <w:rsid w:val="00AF49BE"/>
    <w:rsid w:val="00B23C76"/>
    <w:rsid w:val="00B3191A"/>
    <w:rsid w:val="00B32F8A"/>
    <w:rsid w:val="00B373DC"/>
    <w:rsid w:val="00B43F29"/>
    <w:rsid w:val="00B47BA0"/>
    <w:rsid w:val="00B5083A"/>
    <w:rsid w:val="00B52714"/>
    <w:rsid w:val="00B54F8E"/>
    <w:rsid w:val="00B659C0"/>
    <w:rsid w:val="00B71691"/>
    <w:rsid w:val="00B73AD7"/>
    <w:rsid w:val="00B74C49"/>
    <w:rsid w:val="00B86240"/>
    <w:rsid w:val="00B86E30"/>
    <w:rsid w:val="00B87C88"/>
    <w:rsid w:val="00BA5758"/>
    <w:rsid w:val="00BB0F80"/>
    <w:rsid w:val="00BB3E2A"/>
    <w:rsid w:val="00BB7963"/>
    <w:rsid w:val="00BC1469"/>
    <w:rsid w:val="00BC71F8"/>
    <w:rsid w:val="00BE56FB"/>
    <w:rsid w:val="00BF3657"/>
    <w:rsid w:val="00BF51F9"/>
    <w:rsid w:val="00BF6716"/>
    <w:rsid w:val="00C043EC"/>
    <w:rsid w:val="00C05386"/>
    <w:rsid w:val="00C13EF1"/>
    <w:rsid w:val="00C17E79"/>
    <w:rsid w:val="00C21B60"/>
    <w:rsid w:val="00C261AC"/>
    <w:rsid w:val="00C31C81"/>
    <w:rsid w:val="00C31F80"/>
    <w:rsid w:val="00C325B9"/>
    <w:rsid w:val="00C51D08"/>
    <w:rsid w:val="00C52C84"/>
    <w:rsid w:val="00C63A54"/>
    <w:rsid w:val="00C82BC9"/>
    <w:rsid w:val="00C963EA"/>
    <w:rsid w:val="00C979FE"/>
    <w:rsid w:val="00CA4525"/>
    <w:rsid w:val="00CD4267"/>
    <w:rsid w:val="00CF2FA4"/>
    <w:rsid w:val="00CF49B2"/>
    <w:rsid w:val="00D04540"/>
    <w:rsid w:val="00D054DC"/>
    <w:rsid w:val="00D1576B"/>
    <w:rsid w:val="00D16002"/>
    <w:rsid w:val="00D22447"/>
    <w:rsid w:val="00D25C8B"/>
    <w:rsid w:val="00D275E9"/>
    <w:rsid w:val="00D31ACF"/>
    <w:rsid w:val="00D35D2D"/>
    <w:rsid w:val="00D36B21"/>
    <w:rsid w:val="00D45130"/>
    <w:rsid w:val="00D47745"/>
    <w:rsid w:val="00D57D4A"/>
    <w:rsid w:val="00D627CA"/>
    <w:rsid w:val="00D7261D"/>
    <w:rsid w:val="00D74692"/>
    <w:rsid w:val="00D7602A"/>
    <w:rsid w:val="00D841A8"/>
    <w:rsid w:val="00D93375"/>
    <w:rsid w:val="00D93D3D"/>
    <w:rsid w:val="00DA42F9"/>
    <w:rsid w:val="00DA7422"/>
    <w:rsid w:val="00DA7802"/>
    <w:rsid w:val="00DC64D7"/>
    <w:rsid w:val="00DE1F70"/>
    <w:rsid w:val="00DE4729"/>
    <w:rsid w:val="00DF04FD"/>
    <w:rsid w:val="00DF0BC8"/>
    <w:rsid w:val="00DF533B"/>
    <w:rsid w:val="00E001BB"/>
    <w:rsid w:val="00E060C5"/>
    <w:rsid w:val="00E0779B"/>
    <w:rsid w:val="00E17533"/>
    <w:rsid w:val="00E23413"/>
    <w:rsid w:val="00E31BF0"/>
    <w:rsid w:val="00E65E2D"/>
    <w:rsid w:val="00E7230C"/>
    <w:rsid w:val="00E81D71"/>
    <w:rsid w:val="00E94868"/>
    <w:rsid w:val="00EA2A0F"/>
    <w:rsid w:val="00EB76E1"/>
    <w:rsid w:val="00EC22D0"/>
    <w:rsid w:val="00EC5BB2"/>
    <w:rsid w:val="00EC7847"/>
    <w:rsid w:val="00ED00EB"/>
    <w:rsid w:val="00ED3E02"/>
    <w:rsid w:val="00EE26FA"/>
    <w:rsid w:val="00F054E3"/>
    <w:rsid w:val="00F07539"/>
    <w:rsid w:val="00F15B23"/>
    <w:rsid w:val="00F2143D"/>
    <w:rsid w:val="00F23803"/>
    <w:rsid w:val="00F334BA"/>
    <w:rsid w:val="00F42911"/>
    <w:rsid w:val="00F43547"/>
    <w:rsid w:val="00F5550A"/>
    <w:rsid w:val="00F70F52"/>
    <w:rsid w:val="00F72461"/>
    <w:rsid w:val="00F7307C"/>
    <w:rsid w:val="00F7354A"/>
    <w:rsid w:val="00FB1850"/>
    <w:rsid w:val="00FB3D6A"/>
    <w:rsid w:val="00FC2F5B"/>
    <w:rsid w:val="00FC3FE4"/>
    <w:rsid w:val="00FD47E0"/>
    <w:rsid w:val="00FD5038"/>
    <w:rsid w:val="00FD74CF"/>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zjmy</Company>
  <Pages>55</Pages>
  <Words>10949</Words>
  <Characters>11759</Characters>
  <Lines>65</Lines>
  <Paragraphs>117</Paragraphs>
  <TotalTime>43</TotalTime>
  <ScaleCrop>false</ScaleCrop>
  <LinksUpToDate>false</LinksUpToDate>
  <CharactersWithSpaces>11915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2021-11-23T02:01:00Z</dcterms:created>
  <dc:creator>yun</dc:creator>
  <cp:lastModifiedBy>Karen金凯伦</cp:lastModifiedBy>
  <cp:lastPrinted>2023-06-18T15:53:00Z</cp:lastPrinted>
  <dcterms:modified xsi:type="dcterms:W3CDTF">2025-07-03T05:57:10Z</dcterms:modified>
  <dc:title>温州市政府分散采购</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C5DA36AB9FB9480A824390AE4B92FCD8_13</vt:lpwstr>
  </property>
  <property fmtid="{D5CDD505-2E9C-101B-9397-08002B2CF9AE}" pid="4" name="KSOTemplateDocerSaveRecord">
    <vt:lpwstr>eyJoZGlkIjoiM2ZiYTQ2ZTAzOTE3ZGU0YTZiNzgyNzMxZWViYzQ4ZjciLCJ1c2VySWQiOiIzMzgwMDY2MTcifQ==</vt:lpwstr>
  </property>
</Properties>
</file>