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700" w:lineRule="exact"/>
        <w:outlineLvl w:val="0"/>
        <w:rPr>
          <w:rFonts w:ascii="宋体" w:hAnsi="宋体" w:cs="宋体"/>
          <w:b/>
          <w:bCs/>
          <w:sz w:val="40"/>
          <w:szCs w:val="40"/>
          <w:highlight w:val="none"/>
        </w:rPr>
      </w:pPr>
      <w:bookmarkStart w:id="0" w:name="_Toc9354"/>
      <w:bookmarkStart w:id="1" w:name="_Toc28453"/>
    </w:p>
    <w:p>
      <w:pPr>
        <w:spacing w:beforeLines="50" w:line="700" w:lineRule="exact"/>
        <w:jc w:val="center"/>
        <w:outlineLvl w:val="0"/>
        <w:rPr>
          <w:rFonts w:hint="eastAsia" w:ascii="宋体" w:hAnsi="宋体" w:cs="宋体"/>
          <w:b/>
          <w:kern w:val="0"/>
          <w:sz w:val="52"/>
          <w:szCs w:val="52"/>
          <w:lang w:eastAsia="zh-CN"/>
        </w:rPr>
      </w:pPr>
      <w:bookmarkStart w:id="2" w:name="OLE_LINK20"/>
      <w:r>
        <w:rPr>
          <w:rFonts w:hint="eastAsia" w:ascii="宋体" w:hAnsi="宋体" w:cs="宋体"/>
          <w:b/>
          <w:kern w:val="0"/>
          <w:sz w:val="44"/>
          <w:szCs w:val="44"/>
          <w:lang w:eastAsia="zh-CN"/>
        </w:rPr>
        <w:t>嵊州市仙岩镇云上舜皇文旅开发项目-提升改造（茶文化中心）空间提升及布展文化项目</w:t>
      </w:r>
      <w:bookmarkEnd w:id="2"/>
    </w:p>
    <w:p>
      <w:pPr>
        <w:spacing w:beforeLines="50" w:line="700" w:lineRule="exact"/>
        <w:jc w:val="center"/>
        <w:outlineLvl w:val="0"/>
        <w:rPr>
          <w:rFonts w:ascii="宋体" w:hAnsi="宋体" w:cs="宋体"/>
          <w:b/>
          <w:bCs/>
          <w:sz w:val="30"/>
          <w:szCs w:val="30"/>
          <w:highlight w:val="none"/>
        </w:rPr>
      </w:pPr>
      <w:r>
        <w:rPr>
          <w:rFonts w:hint="eastAsia" w:ascii="宋体" w:hAnsi="宋体" w:cs="宋体"/>
          <w:b/>
          <w:bCs/>
          <w:sz w:val="30"/>
          <w:szCs w:val="30"/>
          <w:highlight w:val="none"/>
        </w:rPr>
        <w:t>（编号：</w:t>
      </w:r>
      <w:r>
        <w:rPr>
          <w:rFonts w:hint="eastAsia" w:ascii="宋体" w:hAnsi="宋体" w:cs="宋体"/>
          <w:b/>
          <w:bCs/>
          <w:sz w:val="30"/>
          <w:szCs w:val="30"/>
          <w:highlight w:val="none"/>
          <w:lang w:eastAsia="zh-CN"/>
        </w:rPr>
        <w:t>JQ-SZ20250506</w:t>
      </w:r>
      <w:r>
        <w:rPr>
          <w:rFonts w:hint="eastAsia" w:ascii="宋体" w:hAnsi="宋体" w:cs="宋体"/>
          <w:b/>
          <w:bCs/>
          <w:sz w:val="30"/>
          <w:szCs w:val="30"/>
          <w:highlight w:val="none"/>
        </w:rPr>
        <w:t>）</w:t>
      </w:r>
      <w:bookmarkEnd w:id="0"/>
      <w:bookmarkEnd w:id="1"/>
    </w:p>
    <w:p>
      <w:pPr>
        <w:pStyle w:val="29"/>
        <w:rPr>
          <w:rFonts w:hAnsi="宋体"/>
          <w:b/>
          <w:bCs/>
          <w:highlight w:val="none"/>
        </w:rPr>
      </w:pPr>
    </w:p>
    <w:p>
      <w:pPr>
        <w:pStyle w:val="20"/>
        <w:rPr>
          <w:rFonts w:ascii="宋体" w:hAnsi="宋体" w:cs="宋体"/>
          <w:highlight w:val="none"/>
        </w:rPr>
      </w:pPr>
    </w:p>
    <w:p>
      <w:pPr>
        <w:pStyle w:val="20"/>
        <w:rPr>
          <w:rFonts w:ascii="宋体" w:hAnsi="宋体" w:cs="宋体"/>
          <w:highlight w:val="none"/>
        </w:rPr>
      </w:pPr>
    </w:p>
    <w:p>
      <w:pPr>
        <w:pStyle w:val="20"/>
        <w:rPr>
          <w:rFonts w:ascii="宋体" w:hAnsi="宋体" w:cs="宋体"/>
          <w:highlight w:val="none"/>
        </w:rPr>
      </w:pPr>
    </w:p>
    <w:p>
      <w:pPr>
        <w:pStyle w:val="20"/>
        <w:rPr>
          <w:rFonts w:ascii="宋体" w:hAnsi="宋体" w:cs="宋体"/>
          <w:highlight w:val="none"/>
        </w:rPr>
      </w:pPr>
    </w:p>
    <w:p>
      <w:pPr>
        <w:spacing w:beforeLines="50" w:line="360" w:lineRule="auto"/>
        <w:jc w:val="center"/>
        <w:outlineLvl w:val="0"/>
        <w:rPr>
          <w:rFonts w:ascii="宋体" w:hAnsi="宋体" w:cs="宋体"/>
          <w:sz w:val="30"/>
          <w:szCs w:val="30"/>
          <w:highlight w:val="none"/>
        </w:rPr>
      </w:pPr>
      <w:bookmarkStart w:id="3" w:name="_Toc17047"/>
      <w:bookmarkStart w:id="4" w:name="_Toc32674"/>
      <w:r>
        <w:rPr>
          <w:rFonts w:hint="eastAsia" w:ascii="宋体" w:hAnsi="宋体" w:cs="宋体"/>
          <w:sz w:val="72"/>
          <w:szCs w:val="72"/>
          <w:highlight w:val="none"/>
        </w:rPr>
        <w:t>公开招标文件</w:t>
      </w:r>
      <w:bookmarkEnd w:id="3"/>
      <w:bookmarkEnd w:id="4"/>
    </w:p>
    <w:p>
      <w:pPr>
        <w:pStyle w:val="19"/>
        <w:snapToGrid w:val="0"/>
        <w:spacing w:before="120" w:after="120" w:line="360" w:lineRule="auto"/>
        <w:jc w:val="center"/>
        <w:outlineLvl w:val="0"/>
        <w:rPr>
          <w:rFonts w:hAnsi="宋体"/>
          <w:b/>
          <w:bCs/>
          <w:sz w:val="36"/>
          <w:szCs w:val="36"/>
          <w:highlight w:val="none"/>
        </w:rPr>
      </w:pPr>
      <w:bookmarkStart w:id="5" w:name="_Toc4021"/>
      <w:bookmarkStart w:id="6" w:name="_Toc25846"/>
      <w:r>
        <w:rPr>
          <w:rFonts w:hint="eastAsia" w:hAnsi="宋体"/>
          <w:b/>
          <w:bCs/>
          <w:sz w:val="36"/>
          <w:szCs w:val="36"/>
          <w:highlight w:val="none"/>
        </w:rPr>
        <w:t>（国企采购项目电子标）</w:t>
      </w:r>
      <w:bookmarkEnd w:id="5"/>
      <w:bookmarkEnd w:id="6"/>
    </w:p>
    <w:p>
      <w:pPr>
        <w:pStyle w:val="19"/>
        <w:snapToGrid w:val="0"/>
        <w:spacing w:before="120" w:after="120" w:line="360" w:lineRule="auto"/>
        <w:ind w:firstLine="1343" w:firstLineChars="446"/>
        <w:rPr>
          <w:rFonts w:hAnsi="宋体"/>
          <w:b/>
          <w:bCs/>
          <w:sz w:val="30"/>
          <w:szCs w:val="30"/>
          <w:highlight w:val="none"/>
        </w:rPr>
      </w:pPr>
      <w:r>
        <w:rPr>
          <w:rFonts w:hint="eastAsia" w:hAnsi="宋体"/>
          <w:b/>
          <w:bCs/>
          <w:sz w:val="30"/>
          <w:szCs w:val="30"/>
          <w:highlight w:val="none"/>
        </w:rPr>
        <w:t xml:space="preserve"> </w:t>
      </w:r>
    </w:p>
    <w:p>
      <w:pPr>
        <w:pStyle w:val="2"/>
        <w:jc w:val="both"/>
        <w:rPr>
          <w:rFonts w:ascii="宋体" w:hAnsi="宋体" w:cs="宋体"/>
          <w:highlight w:val="none"/>
        </w:rPr>
      </w:pPr>
    </w:p>
    <w:p>
      <w:pPr>
        <w:adjustRightInd/>
        <w:spacing w:beforeLines="50" w:line="600" w:lineRule="exact"/>
        <w:ind w:firstLine="643" w:firstLineChars="200"/>
        <w:rPr>
          <w:rFonts w:ascii="宋体" w:hAnsi="宋体" w:cs="宋体"/>
          <w:b/>
          <w:bCs/>
          <w:sz w:val="32"/>
          <w:szCs w:val="32"/>
          <w:highlight w:val="none"/>
        </w:rPr>
      </w:pPr>
      <w:bookmarkStart w:id="7" w:name="_Toc18705"/>
    </w:p>
    <w:p>
      <w:pPr>
        <w:adjustRightInd/>
        <w:spacing w:beforeLines="50" w:line="700" w:lineRule="exact"/>
        <w:ind w:firstLine="1205" w:firstLineChars="400"/>
        <w:outlineLvl w:val="0"/>
        <w:rPr>
          <w:rFonts w:hint="eastAsia" w:ascii="宋体" w:hAnsi="宋体" w:cs="宋体"/>
          <w:b/>
          <w:bCs/>
          <w:sz w:val="30"/>
          <w:szCs w:val="30"/>
          <w:highlight w:val="none"/>
          <w:lang w:eastAsia="zh-CN"/>
        </w:rPr>
      </w:pPr>
      <w:bookmarkStart w:id="8" w:name="_Toc6700"/>
      <w:r>
        <w:rPr>
          <w:rFonts w:hint="eastAsia" w:ascii="宋体" w:hAnsi="宋体" w:cs="宋体"/>
          <w:b/>
          <w:bCs/>
          <w:sz w:val="30"/>
          <w:szCs w:val="30"/>
          <w:highlight w:val="none"/>
        </w:rPr>
        <w:t>采  购 单 位：</w:t>
      </w:r>
      <w:bookmarkEnd w:id="7"/>
      <w:bookmarkEnd w:id="8"/>
      <w:r>
        <w:rPr>
          <w:rFonts w:hint="eastAsia" w:ascii="宋体" w:hAnsi="宋体" w:cs="宋体"/>
          <w:b/>
          <w:bCs/>
          <w:sz w:val="30"/>
          <w:szCs w:val="30"/>
          <w:highlight w:val="none"/>
          <w:lang w:eastAsia="zh-CN"/>
        </w:rPr>
        <w:t>嵊州市山水文化旅游有限公司</w:t>
      </w:r>
    </w:p>
    <w:p>
      <w:pPr>
        <w:pStyle w:val="15"/>
        <w:ind w:firstLine="1205" w:firstLineChars="400"/>
        <w:rPr>
          <w:rFonts w:hint="eastAsia" w:ascii="宋体" w:hAnsi="宋体" w:eastAsia="宋体" w:cs="宋体"/>
          <w:b/>
          <w:bCs/>
          <w:kern w:val="2"/>
          <w:sz w:val="30"/>
          <w:szCs w:val="30"/>
          <w:highlight w:val="none"/>
          <w:lang w:val="en-US" w:eastAsia="zh-CN" w:bidi="ar-SA"/>
        </w:rPr>
      </w:pPr>
      <w:r>
        <w:rPr>
          <w:rFonts w:hint="eastAsia" w:ascii="宋体" w:hAnsi="宋体" w:eastAsia="宋体" w:cs="宋体"/>
          <w:b/>
          <w:bCs/>
          <w:kern w:val="2"/>
          <w:sz w:val="30"/>
          <w:szCs w:val="30"/>
          <w:highlight w:val="none"/>
          <w:lang w:val="en-US" w:eastAsia="zh-CN" w:bidi="ar-SA"/>
        </w:rPr>
        <w:t>实  施 单 位：嵊州市仙岩镇人民政府</w:t>
      </w:r>
    </w:p>
    <w:p>
      <w:pPr>
        <w:adjustRightInd/>
        <w:spacing w:beforeLines="50" w:line="700" w:lineRule="exact"/>
        <w:ind w:firstLine="1205" w:firstLineChars="400"/>
        <w:rPr>
          <w:rFonts w:ascii="宋体" w:hAnsi="宋体" w:cs="宋体"/>
          <w:b/>
          <w:bCs/>
          <w:sz w:val="30"/>
          <w:szCs w:val="30"/>
          <w:highlight w:val="none"/>
        </w:rPr>
      </w:pPr>
      <w:r>
        <w:rPr>
          <w:rFonts w:hint="eastAsia" w:ascii="宋体" w:hAnsi="宋体" w:cs="宋体"/>
          <w:b/>
          <w:bCs/>
          <w:sz w:val="30"/>
          <w:szCs w:val="30"/>
          <w:highlight w:val="none"/>
        </w:rPr>
        <w:t>采购代理机构：</w:t>
      </w:r>
      <w:r>
        <w:rPr>
          <w:rFonts w:hint="eastAsia" w:ascii="宋体" w:hAnsi="宋体" w:cs="宋体"/>
          <w:b/>
          <w:bCs/>
          <w:sz w:val="30"/>
          <w:szCs w:val="30"/>
          <w:highlight w:val="none"/>
          <w:lang w:eastAsia="zh-CN"/>
        </w:rPr>
        <w:t>泾清项目管理有限公司</w:t>
      </w:r>
      <w:r>
        <w:rPr>
          <w:rFonts w:hint="eastAsia" w:ascii="宋体" w:hAnsi="宋体" w:cs="宋体"/>
          <w:b/>
          <w:bCs/>
          <w:sz w:val="30"/>
          <w:szCs w:val="30"/>
          <w:highlight w:val="none"/>
        </w:rPr>
        <w:t xml:space="preserve"> </w:t>
      </w:r>
    </w:p>
    <w:p>
      <w:pPr>
        <w:autoSpaceDE w:val="0"/>
        <w:adjustRightInd/>
        <w:snapToGrid w:val="0"/>
        <w:spacing w:line="700" w:lineRule="exact"/>
        <w:ind w:firstLine="1205" w:firstLineChars="400"/>
        <w:outlineLvl w:val="0"/>
        <w:rPr>
          <w:rFonts w:ascii="宋体" w:hAnsi="宋体" w:cs="宋体"/>
          <w:b/>
          <w:bCs/>
          <w:sz w:val="30"/>
          <w:szCs w:val="30"/>
          <w:highlight w:val="none"/>
        </w:rPr>
      </w:pPr>
      <w:bookmarkStart w:id="9" w:name="_Toc14505"/>
      <w:bookmarkStart w:id="10" w:name="_Toc3262"/>
      <w:r>
        <w:rPr>
          <w:rFonts w:hint="eastAsia" w:ascii="宋体" w:hAnsi="宋体" w:cs="宋体"/>
          <w:b/>
          <w:bCs/>
          <w:sz w:val="30"/>
          <w:szCs w:val="30"/>
          <w:highlight w:val="none"/>
        </w:rPr>
        <w:t>日        期：202</w:t>
      </w:r>
      <w:r>
        <w:rPr>
          <w:rFonts w:hint="eastAsia" w:ascii="宋体" w:hAnsi="宋体" w:cs="宋体"/>
          <w:b/>
          <w:bCs/>
          <w:sz w:val="30"/>
          <w:szCs w:val="30"/>
          <w:highlight w:val="none"/>
          <w:lang w:val="en-US" w:eastAsia="zh-CN"/>
        </w:rPr>
        <w:t>5</w:t>
      </w:r>
      <w:r>
        <w:rPr>
          <w:rFonts w:hint="eastAsia" w:ascii="宋体" w:hAnsi="宋体" w:cs="宋体"/>
          <w:b/>
          <w:bCs/>
          <w:sz w:val="30"/>
          <w:szCs w:val="30"/>
          <w:highlight w:val="none"/>
        </w:rPr>
        <w:t>年</w:t>
      </w:r>
      <w:r>
        <w:rPr>
          <w:rFonts w:hint="eastAsia" w:ascii="宋体" w:hAnsi="宋体" w:cs="宋体"/>
          <w:b/>
          <w:bCs/>
          <w:sz w:val="30"/>
          <w:szCs w:val="30"/>
          <w:highlight w:val="none"/>
          <w:lang w:val="en-US" w:eastAsia="zh-CN"/>
        </w:rPr>
        <w:t>5</w:t>
      </w:r>
      <w:r>
        <w:rPr>
          <w:rFonts w:hint="eastAsia" w:ascii="宋体" w:hAnsi="宋体" w:cs="宋体"/>
          <w:b/>
          <w:bCs/>
          <w:sz w:val="30"/>
          <w:szCs w:val="30"/>
          <w:highlight w:val="none"/>
        </w:rPr>
        <w:t>月</w:t>
      </w:r>
      <w:bookmarkEnd w:id="9"/>
      <w:bookmarkEnd w:id="10"/>
      <w:r>
        <w:rPr>
          <w:rFonts w:hint="eastAsia" w:ascii="宋体" w:hAnsi="宋体" w:cs="宋体"/>
          <w:b/>
          <w:bCs/>
          <w:sz w:val="30"/>
          <w:szCs w:val="30"/>
          <w:highlight w:val="none"/>
        </w:rPr>
        <w:t xml:space="preserve"> </w:t>
      </w:r>
    </w:p>
    <w:p>
      <w:pPr>
        <w:jc w:val="center"/>
        <w:rPr>
          <w:rFonts w:hint="eastAsia" w:ascii="宋体" w:hAnsi="宋体" w:eastAsia="宋体" w:cs="宋体"/>
          <w:sz w:val="32"/>
          <w:szCs w:val="32"/>
          <w:highlight w:val="none"/>
          <w:lang w:val="en-US" w:eastAsia="zh-CN"/>
        </w:rPr>
        <w:sectPr>
          <w:headerReference r:id="rId4" w:type="first"/>
          <w:headerReference r:id="rId3" w:type="default"/>
          <w:footerReference r:id="rId5" w:type="even"/>
          <w:pgSz w:w="11906" w:h="16838"/>
          <w:pgMar w:top="1304" w:right="1418" w:bottom="1304" w:left="1418" w:header="851" w:footer="992" w:gutter="0"/>
          <w:cols w:space="720" w:num="1"/>
          <w:titlePg/>
          <w:docGrid w:linePitch="312" w:charSpace="0"/>
        </w:sectPr>
      </w:pPr>
      <w:r>
        <w:rPr>
          <w:rFonts w:hint="eastAsia" w:ascii="宋体" w:hAnsi="宋体" w:cs="宋体"/>
          <w:sz w:val="32"/>
          <w:szCs w:val="32"/>
          <w:highlight w:val="none"/>
          <w:lang w:val="en-US" w:eastAsia="zh-CN"/>
        </w:rPr>
        <w:t xml:space="preserve"> </w:t>
      </w:r>
    </w:p>
    <w:p>
      <w:pPr>
        <w:snapToGrid w:val="0"/>
        <w:spacing w:line="360" w:lineRule="auto"/>
        <w:ind w:firstLine="3373" w:firstLineChars="700"/>
        <w:jc w:val="left"/>
        <w:rPr>
          <w:rFonts w:hint="eastAsia" w:ascii="宋体" w:hAnsi="宋体" w:eastAsia="宋体" w:cs="宋体"/>
          <w:b/>
          <w:color w:val="auto"/>
          <w:sz w:val="48"/>
          <w:szCs w:val="48"/>
        </w:rPr>
      </w:pPr>
      <w:r>
        <w:rPr>
          <w:rFonts w:hint="eastAsia" w:ascii="宋体" w:hAnsi="宋体" w:eastAsia="宋体" w:cs="宋体"/>
          <w:b/>
          <w:color w:val="auto"/>
          <w:sz w:val="48"/>
          <w:szCs w:val="48"/>
        </w:rPr>
        <w:t>目  录</w:t>
      </w:r>
    </w:p>
    <w:p>
      <w:pPr>
        <w:pStyle w:val="51"/>
        <w:tabs>
          <w:tab w:val="right" w:leader="dot" w:pos="9070"/>
        </w:tabs>
        <w:rPr>
          <w:rFonts w:ascii="宋体" w:hAnsi="宋体" w:eastAsia="宋体" w:cs="宋体"/>
          <w:highlight w:val="none"/>
        </w:rPr>
      </w:pPr>
      <w:r>
        <w:rPr>
          <w:rFonts w:hint="eastAsia" w:ascii="宋体" w:hAnsi="宋体" w:eastAsia="宋体" w:cs="宋体"/>
          <w:b/>
          <w:sz w:val="32"/>
          <w:szCs w:val="32"/>
          <w:highlight w:val="none"/>
        </w:rPr>
        <w:fldChar w:fldCharType="begin"/>
      </w:r>
      <w:r>
        <w:rPr>
          <w:rFonts w:hint="eastAsia" w:ascii="宋体" w:hAnsi="宋体" w:eastAsia="宋体" w:cs="宋体"/>
          <w:b/>
          <w:sz w:val="32"/>
          <w:szCs w:val="32"/>
          <w:highlight w:val="none"/>
        </w:rPr>
        <w:instrText xml:space="preserve">TOC \o "1-1" \h \u </w:instrText>
      </w:r>
      <w:r>
        <w:rPr>
          <w:rFonts w:hint="eastAsia" w:ascii="宋体" w:hAnsi="宋体" w:eastAsia="宋体" w:cs="宋体"/>
          <w:b/>
          <w:sz w:val="32"/>
          <w:szCs w:val="32"/>
          <w:highlight w:val="none"/>
        </w:rPr>
        <w:fldChar w:fldCharType="separate"/>
      </w:r>
    </w:p>
    <w:p>
      <w:pPr>
        <w:adjustRightInd/>
        <w:spacing w:line="360" w:lineRule="auto"/>
        <w:jc w:val="center"/>
        <w:rPr>
          <w:rFonts w:hint="eastAsia" w:ascii="宋体" w:hAnsi="宋体" w:cs="宋体"/>
          <w:szCs w:val="32"/>
          <w:highlight w:val="none"/>
        </w:rPr>
      </w:pPr>
    </w:p>
    <w:p>
      <w:pPr>
        <w:snapToGrid w:val="0"/>
        <w:spacing w:line="360" w:lineRule="auto"/>
        <w:ind w:firstLine="1050" w:firstLineChars="500"/>
        <w:jc w:val="left"/>
        <w:rPr>
          <w:rFonts w:hint="eastAsia" w:ascii="宋体" w:hAnsi="宋体" w:eastAsia="宋体" w:cs="宋体"/>
          <w:b/>
          <w:color w:val="auto"/>
          <w:sz w:val="36"/>
          <w:szCs w:val="36"/>
        </w:rPr>
      </w:pPr>
      <w:r>
        <w:rPr>
          <w:rFonts w:hint="eastAsia" w:ascii="宋体" w:hAnsi="宋体" w:cs="宋体"/>
          <w:szCs w:val="32"/>
          <w:highlight w:val="none"/>
        </w:rPr>
        <w:fldChar w:fldCharType="end"/>
      </w:r>
      <w:r>
        <w:rPr>
          <w:rFonts w:hint="eastAsia" w:ascii="宋体" w:hAnsi="宋体" w:cs="宋体"/>
          <w:szCs w:val="32"/>
          <w:highlight w:val="none"/>
          <w:lang w:val="en-US" w:eastAsia="zh-CN"/>
        </w:rPr>
        <w:t xml:space="preserve">       </w:t>
      </w:r>
      <w:r>
        <w:rPr>
          <w:rFonts w:hint="eastAsia" w:ascii="宋体" w:hAnsi="宋体" w:eastAsia="宋体" w:cs="宋体"/>
          <w:b/>
          <w:color w:val="auto"/>
          <w:sz w:val="36"/>
          <w:szCs w:val="36"/>
        </w:rPr>
        <w:t>第一部分    招标公告</w:t>
      </w:r>
    </w:p>
    <w:p>
      <w:pPr>
        <w:snapToGrid w:val="0"/>
        <w:spacing w:line="360" w:lineRule="auto"/>
        <w:ind w:firstLine="1807" w:firstLineChars="500"/>
        <w:jc w:val="left"/>
        <w:rPr>
          <w:rFonts w:hint="eastAsia" w:ascii="宋体" w:hAnsi="宋体" w:eastAsia="宋体" w:cs="宋体"/>
          <w:b/>
          <w:color w:val="auto"/>
          <w:sz w:val="36"/>
          <w:szCs w:val="36"/>
        </w:rPr>
      </w:pPr>
      <w:r>
        <w:rPr>
          <w:rFonts w:hint="eastAsia" w:ascii="宋体" w:hAnsi="宋体" w:eastAsia="宋体" w:cs="宋体"/>
          <w:b/>
          <w:color w:val="auto"/>
          <w:sz w:val="36"/>
          <w:szCs w:val="36"/>
        </w:rPr>
        <w:t>第二部分    投标须知</w:t>
      </w:r>
    </w:p>
    <w:p>
      <w:pPr>
        <w:snapToGrid w:val="0"/>
        <w:spacing w:line="360" w:lineRule="auto"/>
        <w:ind w:firstLine="1807" w:firstLineChars="500"/>
        <w:jc w:val="left"/>
        <w:rPr>
          <w:rFonts w:hint="eastAsia" w:ascii="宋体" w:hAnsi="宋体" w:eastAsia="宋体" w:cs="宋体"/>
          <w:b/>
          <w:color w:val="auto"/>
          <w:sz w:val="36"/>
          <w:szCs w:val="36"/>
        </w:rPr>
      </w:pPr>
      <w:r>
        <w:rPr>
          <w:rFonts w:hint="eastAsia" w:ascii="宋体" w:hAnsi="宋体" w:eastAsia="宋体" w:cs="宋体"/>
          <w:b/>
          <w:color w:val="auto"/>
          <w:sz w:val="36"/>
          <w:szCs w:val="36"/>
        </w:rPr>
        <w:t>第三部分    招标项目范围及要求</w:t>
      </w:r>
    </w:p>
    <w:p>
      <w:pPr>
        <w:snapToGrid w:val="0"/>
        <w:spacing w:line="360" w:lineRule="auto"/>
        <w:ind w:firstLine="1807" w:firstLineChars="500"/>
        <w:jc w:val="left"/>
        <w:rPr>
          <w:rFonts w:hint="eastAsia" w:ascii="宋体" w:hAnsi="宋体" w:eastAsia="宋体" w:cs="宋体"/>
          <w:b/>
          <w:color w:val="auto"/>
          <w:sz w:val="36"/>
          <w:szCs w:val="36"/>
        </w:rPr>
      </w:pPr>
      <w:r>
        <w:rPr>
          <w:rFonts w:hint="eastAsia" w:ascii="宋体" w:hAnsi="宋体" w:eastAsia="宋体" w:cs="宋体"/>
          <w:b/>
          <w:color w:val="auto"/>
          <w:sz w:val="36"/>
          <w:szCs w:val="36"/>
        </w:rPr>
        <w:t>第四部分    合同的主要条款</w:t>
      </w:r>
    </w:p>
    <w:p>
      <w:pPr>
        <w:snapToGrid w:val="0"/>
        <w:spacing w:line="360" w:lineRule="auto"/>
        <w:ind w:firstLine="1807" w:firstLineChars="500"/>
        <w:jc w:val="left"/>
        <w:rPr>
          <w:rFonts w:hint="eastAsia" w:ascii="宋体" w:hAnsi="宋体" w:eastAsia="宋体" w:cs="宋体"/>
          <w:b/>
          <w:color w:val="auto"/>
          <w:sz w:val="36"/>
          <w:szCs w:val="36"/>
        </w:rPr>
      </w:pPr>
      <w:r>
        <w:rPr>
          <w:rFonts w:hint="eastAsia" w:ascii="宋体" w:hAnsi="宋体" w:eastAsia="宋体" w:cs="宋体"/>
          <w:b/>
          <w:color w:val="auto"/>
          <w:sz w:val="36"/>
          <w:szCs w:val="36"/>
        </w:rPr>
        <w:t>第五部分    评标方法及标准</w:t>
      </w:r>
    </w:p>
    <w:p>
      <w:pPr>
        <w:snapToGrid w:val="0"/>
        <w:spacing w:line="360" w:lineRule="auto"/>
        <w:ind w:firstLine="1807" w:firstLineChars="500"/>
        <w:jc w:val="left"/>
        <w:rPr>
          <w:rFonts w:hint="eastAsia" w:ascii="宋体" w:hAnsi="宋体" w:eastAsia="宋体" w:cs="宋体"/>
          <w:b/>
          <w:color w:val="auto"/>
          <w:sz w:val="36"/>
          <w:szCs w:val="36"/>
        </w:rPr>
      </w:pPr>
      <w:r>
        <w:rPr>
          <w:rFonts w:hint="eastAsia" w:ascii="宋体" w:hAnsi="宋体" w:eastAsia="宋体" w:cs="宋体"/>
          <w:b/>
          <w:color w:val="auto"/>
          <w:sz w:val="36"/>
          <w:szCs w:val="36"/>
        </w:rPr>
        <w:t>第六部分    投标文件及其附件格式</w:t>
      </w:r>
    </w:p>
    <w:p>
      <w:pPr>
        <w:adjustRightInd/>
        <w:spacing w:line="360" w:lineRule="auto"/>
        <w:jc w:val="center"/>
        <w:rPr>
          <w:rFonts w:ascii="宋体" w:hAnsi="宋体" w:cs="宋体"/>
          <w:b/>
          <w:sz w:val="32"/>
          <w:szCs w:val="32"/>
          <w:highlight w:val="none"/>
        </w:rPr>
      </w:pPr>
    </w:p>
    <w:p>
      <w:pPr>
        <w:adjustRightInd/>
        <w:spacing w:line="360" w:lineRule="auto"/>
        <w:jc w:val="center"/>
        <w:rPr>
          <w:rFonts w:ascii="宋体" w:hAnsi="宋体" w:cs="宋体"/>
          <w:b/>
          <w:sz w:val="32"/>
          <w:szCs w:val="32"/>
          <w:highlight w:val="none"/>
        </w:rPr>
      </w:pPr>
    </w:p>
    <w:p>
      <w:pPr>
        <w:adjustRightInd/>
        <w:spacing w:line="360" w:lineRule="auto"/>
        <w:jc w:val="center"/>
        <w:rPr>
          <w:rFonts w:ascii="宋体" w:hAnsi="宋体" w:cs="宋体"/>
          <w:b/>
          <w:sz w:val="32"/>
          <w:szCs w:val="32"/>
          <w:highlight w:val="none"/>
        </w:rPr>
      </w:pPr>
    </w:p>
    <w:p>
      <w:pPr>
        <w:adjustRightInd/>
        <w:spacing w:line="360" w:lineRule="auto"/>
        <w:jc w:val="center"/>
        <w:rPr>
          <w:rFonts w:ascii="宋体" w:hAnsi="宋体" w:cs="宋体"/>
          <w:b/>
          <w:sz w:val="32"/>
          <w:szCs w:val="32"/>
          <w:highlight w:val="none"/>
        </w:rPr>
      </w:pPr>
    </w:p>
    <w:p>
      <w:pPr>
        <w:adjustRightInd/>
        <w:spacing w:line="360" w:lineRule="auto"/>
        <w:jc w:val="center"/>
        <w:rPr>
          <w:rFonts w:ascii="宋体" w:hAnsi="宋体" w:cs="宋体"/>
          <w:b/>
          <w:sz w:val="32"/>
          <w:szCs w:val="32"/>
          <w:highlight w:val="none"/>
        </w:rPr>
      </w:pPr>
    </w:p>
    <w:p>
      <w:pPr>
        <w:adjustRightInd/>
        <w:spacing w:line="360" w:lineRule="auto"/>
        <w:jc w:val="center"/>
        <w:rPr>
          <w:rFonts w:ascii="宋体" w:hAnsi="宋体" w:cs="宋体"/>
          <w:b/>
          <w:sz w:val="32"/>
          <w:szCs w:val="32"/>
          <w:highlight w:val="none"/>
        </w:rPr>
      </w:pPr>
    </w:p>
    <w:p>
      <w:pPr>
        <w:adjustRightInd/>
        <w:spacing w:line="360" w:lineRule="auto"/>
        <w:jc w:val="center"/>
        <w:rPr>
          <w:rFonts w:ascii="宋体" w:hAnsi="宋体" w:cs="宋体"/>
          <w:b/>
          <w:sz w:val="32"/>
          <w:szCs w:val="32"/>
          <w:highlight w:val="none"/>
        </w:rPr>
      </w:pPr>
    </w:p>
    <w:p>
      <w:pPr>
        <w:adjustRightInd/>
        <w:spacing w:line="360" w:lineRule="auto"/>
        <w:jc w:val="center"/>
        <w:rPr>
          <w:rFonts w:ascii="宋体" w:hAnsi="宋体" w:cs="宋体"/>
          <w:b/>
          <w:sz w:val="32"/>
          <w:szCs w:val="32"/>
          <w:highlight w:val="none"/>
        </w:rPr>
      </w:pPr>
    </w:p>
    <w:p>
      <w:pPr>
        <w:adjustRightInd/>
        <w:spacing w:line="360" w:lineRule="auto"/>
        <w:jc w:val="center"/>
        <w:rPr>
          <w:rFonts w:ascii="宋体" w:hAnsi="宋体" w:cs="宋体"/>
          <w:b/>
          <w:sz w:val="32"/>
          <w:szCs w:val="32"/>
          <w:highlight w:val="none"/>
        </w:rPr>
      </w:pPr>
    </w:p>
    <w:p>
      <w:pPr>
        <w:adjustRightInd/>
        <w:spacing w:line="360" w:lineRule="auto"/>
        <w:jc w:val="center"/>
        <w:rPr>
          <w:rFonts w:ascii="宋体" w:hAnsi="宋体" w:cs="宋体"/>
          <w:b/>
          <w:sz w:val="32"/>
          <w:szCs w:val="32"/>
          <w:highlight w:val="none"/>
        </w:rPr>
      </w:pPr>
    </w:p>
    <w:p>
      <w:pPr>
        <w:adjustRightInd/>
        <w:spacing w:line="360" w:lineRule="auto"/>
        <w:jc w:val="center"/>
        <w:rPr>
          <w:rFonts w:ascii="宋体" w:hAnsi="宋体" w:cs="宋体"/>
          <w:b/>
          <w:sz w:val="32"/>
          <w:szCs w:val="32"/>
          <w:highlight w:val="none"/>
        </w:rPr>
      </w:pPr>
    </w:p>
    <w:p>
      <w:pPr>
        <w:adjustRightInd/>
        <w:spacing w:line="360" w:lineRule="auto"/>
        <w:jc w:val="center"/>
        <w:rPr>
          <w:rFonts w:ascii="宋体" w:hAnsi="宋体" w:cs="宋体"/>
          <w:b/>
          <w:sz w:val="32"/>
          <w:szCs w:val="32"/>
          <w:highlight w:val="none"/>
        </w:rPr>
      </w:pPr>
    </w:p>
    <w:p>
      <w:pPr>
        <w:adjustRightInd/>
        <w:spacing w:line="360" w:lineRule="auto"/>
        <w:jc w:val="center"/>
        <w:rPr>
          <w:rFonts w:ascii="宋体" w:hAnsi="宋体" w:cs="宋体"/>
          <w:b/>
          <w:sz w:val="32"/>
          <w:szCs w:val="32"/>
          <w:highlight w:val="none"/>
        </w:rPr>
      </w:pPr>
    </w:p>
    <w:p>
      <w:pPr>
        <w:adjustRightInd/>
        <w:spacing w:line="360" w:lineRule="auto"/>
        <w:jc w:val="both"/>
        <w:rPr>
          <w:rFonts w:ascii="宋体" w:hAnsi="宋体" w:cs="宋体"/>
          <w:b/>
          <w:sz w:val="32"/>
          <w:szCs w:val="32"/>
          <w:highlight w:val="none"/>
        </w:rPr>
      </w:pPr>
    </w:p>
    <w:p>
      <w:pPr>
        <w:adjustRightInd/>
        <w:spacing w:line="360" w:lineRule="auto"/>
        <w:jc w:val="center"/>
        <w:outlineLvl w:val="0"/>
        <w:rPr>
          <w:rFonts w:ascii="宋体" w:hAnsi="宋体" w:cs="宋体"/>
          <w:b/>
          <w:sz w:val="32"/>
          <w:szCs w:val="32"/>
          <w:highlight w:val="none"/>
        </w:rPr>
        <w:sectPr>
          <w:footerReference r:id="rId7" w:type="first"/>
          <w:footerReference r:id="rId6" w:type="default"/>
          <w:pgSz w:w="11906" w:h="16838"/>
          <w:pgMar w:top="1134" w:right="1417" w:bottom="1134" w:left="1417" w:header="851" w:footer="992" w:gutter="0"/>
          <w:pgNumType w:start="1"/>
          <w:cols w:space="720" w:num="1"/>
          <w:docGrid w:linePitch="312" w:charSpace="0"/>
        </w:sectPr>
      </w:pPr>
      <w:bookmarkStart w:id="11" w:name="_Toc2260"/>
    </w:p>
    <w:p>
      <w:pPr>
        <w:adjustRightInd/>
        <w:spacing w:line="360" w:lineRule="auto"/>
        <w:jc w:val="center"/>
        <w:outlineLvl w:val="0"/>
        <w:rPr>
          <w:rFonts w:ascii="宋体" w:hAnsi="宋体" w:cs="宋体"/>
          <w:b/>
          <w:sz w:val="32"/>
          <w:szCs w:val="32"/>
          <w:highlight w:val="none"/>
        </w:rPr>
      </w:pPr>
    </w:p>
    <w:p>
      <w:pPr>
        <w:adjustRightInd/>
        <w:spacing w:line="360" w:lineRule="auto"/>
        <w:jc w:val="center"/>
        <w:outlineLvl w:val="0"/>
        <w:rPr>
          <w:rFonts w:ascii="宋体" w:hAnsi="宋体" w:cs="宋体"/>
          <w:b/>
          <w:sz w:val="32"/>
          <w:szCs w:val="32"/>
          <w:highlight w:val="none"/>
        </w:rPr>
      </w:pPr>
      <w:r>
        <w:rPr>
          <w:rFonts w:hint="eastAsia" w:ascii="宋体" w:hAnsi="宋体" w:cs="宋体"/>
          <w:b/>
          <w:sz w:val="32"/>
          <w:szCs w:val="32"/>
          <w:highlight w:val="none"/>
        </w:rPr>
        <w:t>第一章 招标公告</w:t>
      </w:r>
      <w:bookmarkEnd w:id="11"/>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szCs w:val="24"/>
          <w:highlight w:val="none"/>
          <w:u w:val="none"/>
          <w:lang w:eastAsia="zh-CN"/>
        </w:rPr>
        <w:t>嵊州市仙岩镇云上舜皇文旅开发项目-提升改造（茶文化中心）空间提升及布展文化项目</w:t>
      </w:r>
      <w:r>
        <w:rPr>
          <w:rFonts w:hint="eastAsia" w:ascii="宋体" w:hAnsi="宋体" w:eastAsia="宋体" w:cs="宋体"/>
          <w:sz w:val="24"/>
          <w:szCs w:val="24"/>
          <w:highlight w:val="none"/>
          <w:u w:val="none"/>
        </w:rPr>
        <w:t>的</w:t>
      </w:r>
      <w:r>
        <w:rPr>
          <w:rFonts w:hint="eastAsia" w:ascii="宋体" w:hAnsi="宋体" w:eastAsia="宋体" w:cs="宋体"/>
          <w:sz w:val="24"/>
          <w:szCs w:val="24"/>
          <w:highlight w:val="none"/>
        </w:rPr>
        <w:t>潜在投标人应在乐采云平台（</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"https://www.zcygov.cn/）获取（下载）招标文件，并于2021年" </w:instrText>
      </w:r>
      <w:r>
        <w:rPr>
          <w:rFonts w:hint="eastAsia" w:ascii="宋体" w:hAnsi="宋体" w:eastAsia="宋体" w:cs="宋体"/>
          <w:sz w:val="24"/>
          <w:szCs w:val="24"/>
          <w:highlight w:val="none"/>
        </w:rPr>
        <w:fldChar w:fldCharType="separate"/>
      </w:r>
      <w:r>
        <w:rPr>
          <w:rStyle w:val="36"/>
          <w:rFonts w:hint="eastAsia" w:ascii="宋体" w:hAnsi="宋体" w:eastAsia="宋体" w:cs="宋体"/>
          <w:snapToGrid/>
          <w:color w:val="auto"/>
          <w:kern w:val="2"/>
          <w:sz w:val="24"/>
          <w:szCs w:val="24"/>
          <w:highlight w:val="none"/>
        </w:rPr>
        <w:t>https://www.lecaiyun.com/）获取（下载）招标文件，并于</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6</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17</w:t>
      </w:r>
      <w:r>
        <w:rPr>
          <w:rFonts w:hint="eastAsia" w:ascii="宋体" w:hAnsi="宋体" w:eastAsia="宋体" w:cs="宋体"/>
          <w:sz w:val="24"/>
          <w:szCs w:val="24"/>
          <w:highlight w:val="none"/>
          <w:u w:val="single"/>
        </w:rPr>
        <w:t>日09点</w:t>
      </w:r>
      <w:r>
        <w:rPr>
          <w:rFonts w:hint="eastAsia" w:ascii="宋体" w:hAnsi="宋体" w:cs="宋体"/>
          <w:sz w:val="24"/>
          <w:szCs w:val="24"/>
          <w:highlight w:val="none"/>
          <w:u w:val="single"/>
          <w:lang w:val="en-US" w:eastAsia="zh-CN"/>
        </w:rPr>
        <w:t>0</w:t>
      </w:r>
      <w:r>
        <w:rPr>
          <w:rFonts w:hint="eastAsia" w:ascii="宋体" w:hAnsi="宋体" w:eastAsia="宋体" w:cs="宋体"/>
          <w:sz w:val="24"/>
          <w:szCs w:val="24"/>
          <w:highlight w:val="none"/>
          <w:u w:val="single"/>
        </w:rPr>
        <w:t>0分00秒</w:t>
      </w:r>
      <w:r>
        <w:rPr>
          <w:rFonts w:hint="eastAsia" w:ascii="宋体" w:hAnsi="宋体" w:eastAsia="宋体" w:cs="宋体"/>
          <w:sz w:val="24"/>
          <w:szCs w:val="24"/>
          <w:highlight w:val="none"/>
          <w:u w:val="single"/>
        </w:rPr>
        <w:fldChar w:fldCharType="end"/>
      </w:r>
      <w:r>
        <w:rPr>
          <w:rFonts w:hint="eastAsia" w:ascii="宋体" w:hAnsi="宋体" w:eastAsia="宋体" w:cs="宋体"/>
          <w:sz w:val="24"/>
          <w:szCs w:val="24"/>
          <w:highlight w:val="none"/>
        </w:rPr>
        <w:t>（北京时间）前递交（上传）投标文件。</w:t>
      </w:r>
    </w:p>
    <w:p>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pPr>
        <w:spacing w:line="360" w:lineRule="auto"/>
        <w:rPr>
          <w:rFonts w:hint="eastAsia" w:ascii="宋体" w:hAnsi="宋体" w:eastAsia="宋体" w:cs="宋体"/>
          <w:sz w:val="24"/>
          <w:highlight w:val="none"/>
          <w:u w:val="none"/>
          <w:lang w:eastAsia="zh-CN"/>
        </w:rPr>
      </w:pPr>
      <w:r>
        <w:rPr>
          <w:rFonts w:hint="eastAsia" w:ascii="宋体" w:hAnsi="宋体" w:cs="宋体"/>
          <w:b/>
          <w:bCs/>
          <w:sz w:val="24"/>
          <w:highlight w:val="none"/>
        </w:rPr>
        <w:t>1.</w:t>
      </w:r>
      <w:r>
        <w:rPr>
          <w:rFonts w:hint="eastAsia" w:ascii="宋体" w:hAnsi="宋体" w:cs="宋体"/>
          <w:b/>
          <w:sz w:val="24"/>
          <w:highlight w:val="none"/>
        </w:rPr>
        <w:t>项目编号：</w:t>
      </w:r>
      <w:bookmarkStart w:id="12" w:name="OLE_LINK22"/>
      <w:r>
        <w:rPr>
          <w:rFonts w:hint="eastAsia" w:ascii="宋体" w:hAnsi="宋体" w:cs="宋体"/>
          <w:sz w:val="24"/>
          <w:highlight w:val="none"/>
          <w:u w:val="none"/>
          <w:lang w:eastAsia="zh-CN"/>
        </w:rPr>
        <w:t>JQ-SZ20250506</w:t>
      </w:r>
      <w:bookmarkEnd w:id="12"/>
    </w:p>
    <w:p>
      <w:pPr>
        <w:spacing w:line="360" w:lineRule="auto"/>
        <w:rPr>
          <w:rFonts w:hint="eastAsia" w:ascii="宋体" w:hAnsi="宋体" w:cs="宋体"/>
          <w:sz w:val="24"/>
          <w:highlight w:val="none"/>
          <w:u w:val="none"/>
          <w:lang w:eastAsia="zh-CN"/>
        </w:rPr>
      </w:pPr>
      <w:r>
        <w:rPr>
          <w:rFonts w:hint="eastAsia" w:ascii="宋体" w:hAnsi="宋体" w:cs="宋体"/>
          <w:b/>
          <w:sz w:val="24"/>
          <w:highlight w:val="none"/>
        </w:rPr>
        <w:t>2.项目名称：</w:t>
      </w:r>
      <w:bookmarkStart w:id="13" w:name="OLE_LINK23"/>
      <w:r>
        <w:rPr>
          <w:rFonts w:hint="eastAsia" w:ascii="宋体" w:hAnsi="宋体" w:cs="宋体"/>
          <w:sz w:val="24"/>
          <w:highlight w:val="none"/>
          <w:u w:val="none"/>
          <w:lang w:eastAsia="zh-CN"/>
        </w:rPr>
        <w:t>嵊州市仙岩镇云上舜皇文旅开发项目-提升改造（茶文化中心）空间提升及布展文化项目</w:t>
      </w:r>
      <w:bookmarkEnd w:id="13"/>
    </w:p>
    <w:p>
      <w:pPr>
        <w:spacing w:line="360" w:lineRule="auto"/>
        <w:rPr>
          <w:rFonts w:ascii="宋体" w:hAnsi="宋体" w:cs="宋体"/>
          <w:b/>
          <w:sz w:val="24"/>
          <w:highlight w:val="yellow"/>
        </w:rPr>
      </w:pPr>
      <w:r>
        <w:rPr>
          <w:rFonts w:hint="eastAsia" w:ascii="宋体" w:hAnsi="宋体" w:cs="宋体"/>
          <w:b/>
          <w:sz w:val="24"/>
          <w:highlight w:val="none"/>
        </w:rPr>
        <w:t>3.预算金额（元）：</w:t>
      </w:r>
      <w:r>
        <w:rPr>
          <w:rFonts w:hint="eastAsia" w:ascii="宋体" w:hAnsi="宋体" w:cs="宋体"/>
          <w:b/>
          <w:sz w:val="24"/>
          <w:highlight w:val="none"/>
          <w:lang w:val="en-US" w:eastAsia="zh-CN"/>
        </w:rPr>
        <w:t>3983756</w:t>
      </w:r>
      <w:r>
        <w:rPr>
          <w:rFonts w:hint="eastAsia" w:ascii="宋体" w:hAnsi="宋体" w:cs="宋体"/>
          <w:b/>
          <w:sz w:val="24"/>
          <w:highlight w:val="none"/>
        </w:rPr>
        <w:t>元</w:t>
      </w:r>
    </w:p>
    <w:p>
      <w:pPr>
        <w:spacing w:line="360" w:lineRule="auto"/>
        <w:rPr>
          <w:rFonts w:ascii="宋体" w:hAnsi="宋体" w:cs="宋体"/>
          <w:b/>
          <w:sz w:val="24"/>
          <w:highlight w:val="none"/>
        </w:rPr>
      </w:pPr>
      <w:r>
        <w:rPr>
          <w:rFonts w:hint="eastAsia" w:ascii="宋体" w:hAnsi="宋体" w:cs="宋体"/>
          <w:b/>
          <w:sz w:val="24"/>
          <w:highlight w:val="none"/>
        </w:rPr>
        <w:t>4.最高限价（元）：</w:t>
      </w:r>
      <w:r>
        <w:rPr>
          <w:rFonts w:hint="eastAsia" w:ascii="宋体" w:hAnsi="宋体" w:cs="宋体"/>
          <w:b/>
          <w:sz w:val="24"/>
          <w:highlight w:val="none"/>
          <w:lang w:val="en-US" w:eastAsia="zh-CN"/>
        </w:rPr>
        <w:t>3983756</w:t>
      </w:r>
      <w:r>
        <w:rPr>
          <w:rFonts w:hint="eastAsia" w:ascii="宋体" w:hAnsi="宋体" w:cs="宋体"/>
          <w:b/>
          <w:sz w:val="24"/>
          <w:highlight w:val="none"/>
        </w:rPr>
        <w:t>元</w:t>
      </w:r>
    </w:p>
    <w:p>
      <w:pPr>
        <w:pStyle w:val="4"/>
        <w:spacing w:line="360" w:lineRule="auto"/>
        <w:ind w:firstLine="0"/>
        <w:rPr>
          <w:rFonts w:hAnsi="宋体" w:cs="宋体"/>
          <w:b/>
          <w:color w:val="auto"/>
          <w:sz w:val="24"/>
          <w:szCs w:val="24"/>
          <w:highlight w:val="none"/>
        </w:rPr>
      </w:pPr>
      <w:r>
        <w:rPr>
          <w:rFonts w:hint="eastAsia" w:hAnsi="宋体" w:cs="宋体"/>
          <w:b/>
          <w:color w:val="auto"/>
          <w:sz w:val="24"/>
          <w:szCs w:val="24"/>
          <w:highlight w:val="none"/>
        </w:rPr>
        <w:t>5.采购需求：</w:t>
      </w:r>
      <w:r>
        <w:rPr>
          <w:rFonts w:hint="eastAsia" w:hAnsi="宋体" w:cs="宋体"/>
          <w:snapToGrid/>
          <w:color w:val="auto"/>
          <w:kern w:val="2"/>
          <w:sz w:val="24"/>
          <w:szCs w:val="24"/>
          <w:highlight w:val="none"/>
        </w:rPr>
        <w:t>详见采购文件第三部分</w:t>
      </w:r>
    </w:p>
    <w:tbl>
      <w:tblPr>
        <w:tblStyle w:val="30"/>
        <w:tblW w:w="89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3408"/>
        <w:gridCol w:w="1298"/>
        <w:gridCol w:w="1790"/>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743" w:type="dxa"/>
            <w:vAlign w:val="center"/>
          </w:tcPr>
          <w:p>
            <w:pPr>
              <w:pStyle w:val="15"/>
              <w:spacing w:after="0"/>
              <w:jc w:val="center"/>
              <w:rPr>
                <w:rFonts w:ascii="宋体" w:hAnsi="宋体" w:cs="宋体"/>
                <w:sz w:val="24"/>
                <w:szCs w:val="24"/>
                <w:highlight w:val="none"/>
              </w:rPr>
            </w:pPr>
            <w:r>
              <w:rPr>
                <w:rFonts w:hint="eastAsia" w:ascii="宋体" w:hAnsi="宋体" w:cs="宋体"/>
                <w:sz w:val="24"/>
                <w:szCs w:val="24"/>
                <w:highlight w:val="none"/>
              </w:rPr>
              <w:t>序号</w:t>
            </w:r>
          </w:p>
        </w:tc>
        <w:tc>
          <w:tcPr>
            <w:tcW w:w="3408" w:type="dxa"/>
            <w:vAlign w:val="center"/>
          </w:tcPr>
          <w:p>
            <w:pPr>
              <w:pStyle w:val="15"/>
              <w:spacing w:after="0"/>
              <w:jc w:val="center"/>
              <w:rPr>
                <w:rFonts w:ascii="宋体" w:hAnsi="宋体" w:cs="宋体"/>
                <w:sz w:val="24"/>
                <w:szCs w:val="24"/>
                <w:highlight w:val="none"/>
              </w:rPr>
            </w:pPr>
            <w:r>
              <w:rPr>
                <w:rFonts w:hint="eastAsia" w:ascii="宋体" w:hAnsi="宋体" w:cs="宋体"/>
                <w:sz w:val="24"/>
                <w:szCs w:val="24"/>
                <w:highlight w:val="none"/>
              </w:rPr>
              <w:t>采购内容</w:t>
            </w:r>
          </w:p>
        </w:tc>
        <w:tc>
          <w:tcPr>
            <w:tcW w:w="1298" w:type="dxa"/>
            <w:vAlign w:val="center"/>
          </w:tcPr>
          <w:p>
            <w:pPr>
              <w:pStyle w:val="15"/>
              <w:spacing w:after="0"/>
              <w:jc w:val="center"/>
              <w:rPr>
                <w:rFonts w:ascii="宋体" w:hAnsi="宋体" w:cs="宋体"/>
                <w:sz w:val="24"/>
                <w:szCs w:val="24"/>
                <w:highlight w:val="none"/>
              </w:rPr>
            </w:pPr>
            <w:r>
              <w:rPr>
                <w:rFonts w:hint="eastAsia" w:ascii="宋体" w:hAnsi="宋体" w:cs="宋体"/>
                <w:sz w:val="24"/>
                <w:szCs w:val="24"/>
                <w:highlight w:val="none"/>
              </w:rPr>
              <w:t>数量</w:t>
            </w:r>
          </w:p>
        </w:tc>
        <w:tc>
          <w:tcPr>
            <w:tcW w:w="1790" w:type="dxa"/>
            <w:vAlign w:val="center"/>
          </w:tcPr>
          <w:p>
            <w:pPr>
              <w:pStyle w:val="15"/>
              <w:spacing w:after="0"/>
              <w:jc w:val="center"/>
              <w:rPr>
                <w:rFonts w:ascii="宋体" w:hAnsi="宋体" w:cs="宋体"/>
                <w:sz w:val="24"/>
                <w:szCs w:val="24"/>
                <w:highlight w:val="none"/>
              </w:rPr>
            </w:pPr>
            <w:r>
              <w:rPr>
                <w:rFonts w:hint="eastAsia" w:ascii="宋体" w:hAnsi="宋体" w:cs="宋体"/>
                <w:sz w:val="24"/>
                <w:szCs w:val="24"/>
                <w:highlight w:val="none"/>
              </w:rPr>
              <w:t>预算价（元）</w:t>
            </w:r>
          </w:p>
        </w:tc>
        <w:tc>
          <w:tcPr>
            <w:tcW w:w="1732" w:type="dxa"/>
            <w:vAlign w:val="center"/>
          </w:tcPr>
          <w:p>
            <w:pPr>
              <w:pStyle w:val="15"/>
              <w:spacing w:after="0"/>
              <w:jc w:val="center"/>
              <w:rPr>
                <w:rFonts w:ascii="宋体" w:hAnsi="宋体" w:cs="宋体"/>
                <w:sz w:val="24"/>
                <w:szCs w:val="24"/>
                <w:highlight w:val="none"/>
              </w:rPr>
            </w:pPr>
            <w:r>
              <w:rPr>
                <w:rFonts w:hint="eastAsia" w:ascii="宋体" w:hAnsi="宋体" w:cs="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1" w:hRule="atLeast"/>
          <w:jc w:val="center"/>
        </w:trPr>
        <w:tc>
          <w:tcPr>
            <w:tcW w:w="743" w:type="dxa"/>
            <w:vAlign w:val="center"/>
          </w:tcPr>
          <w:p>
            <w:pPr>
              <w:pStyle w:val="15"/>
              <w:spacing w:after="0"/>
              <w:jc w:val="center"/>
              <w:rPr>
                <w:rFonts w:ascii="宋体" w:hAnsi="宋体" w:cs="宋体"/>
                <w:sz w:val="24"/>
                <w:szCs w:val="24"/>
                <w:highlight w:val="none"/>
              </w:rPr>
            </w:pPr>
            <w:r>
              <w:rPr>
                <w:rFonts w:hint="eastAsia" w:ascii="宋体" w:hAnsi="宋体" w:cs="宋体"/>
                <w:sz w:val="24"/>
                <w:szCs w:val="24"/>
                <w:highlight w:val="none"/>
              </w:rPr>
              <w:t>1</w:t>
            </w:r>
          </w:p>
        </w:tc>
        <w:tc>
          <w:tcPr>
            <w:tcW w:w="3408" w:type="dxa"/>
            <w:vAlign w:val="center"/>
          </w:tcPr>
          <w:p>
            <w:pPr>
              <w:spacing w:line="360" w:lineRule="auto"/>
              <w:rPr>
                <w:rFonts w:ascii="宋体" w:hAnsi="宋体" w:cs="宋体"/>
                <w:sz w:val="24"/>
                <w:szCs w:val="24"/>
                <w:highlight w:val="none"/>
              </w:rPr>
            </w:pPr>
            <w:r>
              <w:rPr>
                <w:rFonts w:hint="eastAsia" w:ascii="宋体" w:cs="宋体"/>
                <w:b w:val="0"/>
                <w:color w:val="auto"/>
                <w:sz w:val="24"/>
                <w:szCs w:val="24"/>
                <w:lang w:val="en-US" w:eastAsia="zh-CN"/>
              </w:rPr>
              <w:t>嵊州市仙岩镇云上舜皇文旅开发项目-提升改造（茶文化中心）空间提升及布展文化项目</w:t>
            </w:r>
          </w:p>
        </w:tc>
        <w:tc>
          <w:tcPr>
            <w:tcW w:w="1298" w:type="dxa"/>
            <w:vAlign w:val="center"/>
          </w:tcPr>
          <w:p>
            <w:pPr>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1</w:t>
            </w:r>
            <w:r>
              <w:rPr>
                <w:rFonts w:hint="eastAsia" w:ascii="宋体" w:hAnsi="宋体" w:cs="宋体"/>
                <w:kern w:val="0"/>
                <w:sz w:val="24"/>
                <w:szCs w:val="24"/>
                <w:highlight w:val="none"/>
                <w:lang w:eastAsia="zh-CN"/>
              </w:rPr>
              <w:t>项</w:t>
            </w:r>
          </w:p>
        </w:tc>
        <w:tc>
          <w:tcPr>
            <w:tcW w:w="1790" w:type="dxa"/>
            <w:vAlign w:val="center"/>
          </w:tcPr>
          <w:p>
            <w:pPr>
              <w:jc w:val="center"/>
              <w:rPr>
                <w:rFonts w:hint="default" w:ascii="宋体" w:hAnsi="宋体" w:eastAsia="宋体" w:cs="宋体"/>
                <w:sz w:val="24"/>
                <w:szCs w:val="24"/>
                <w:highlight w:val="none"/>
                <w:lang w:val="en-US" w:eastAsia="zh-CN"/>
              </w:rPr>
            </w:pPr>
            <w:bookmarkStart w:id="14" w:name="OLE_LINK21"/>
            <w:r>
              <w:rPr>
                <w:rFonts w:hint="default" w:ascii="宋体" w:hAnsi="宋体" w:eastAsia="宋体" w:cs="宋体"/>
                <w:sz w:val="24"/>
                <w:szCs w:val="24"/>
                <w:highlight w:val="none"/>
                <w:lang w:val="en-US" w:eastAsia="zh-CN"/>
              </w:rPr>
              <w:t>3983756</w:t>
            </w:r>
            <w:bookmarkEnd w:id="14"/>
          </w:p>
        </w:tc>
        <w:tc>
          <w:tcPr>
            <w:tcW w:w="1732" w:type="dxa"/>
            <w:vAlign w:val="center"/>
          </w:tcPr>
          <w:p>
            <w:pPr>
              <w:jc w:val="center"/>
              <w:rPr>
                <w:rFonts w:ascii="宋体" w:hAnsi="宋体" w:cs="宋体"/>
                <w:sz w:val="24"/>
                <w:szCs w:val="24"/>
                <w:highlight w:val="none"/>
              </w:rPr>
            </w:pPr>
            <w:r>
              <w:rPr>
                <w:rFonts w:hint="eastAsia" w:ascii="宋体" w:cs="宋体"/>
                <w:b w:val="0"/>
                <w:color w:val="auto"/>
                <w:sz w:val="24"/>
                <w:szCs w:val="24"/>
                <w:lang w:val="en-US" w:eastAsia="zh-CN"/>
              </w:rPr>
              <w:t>详见招标文件</w:t>
            </w:r>
          </w:p>
        </w:tc>
      </w:tr>
    </w:tbl>
    <w:p>
      <w:pPr>
        <w:spacing w:line="500" w:lineRule="exact"/>
        <w:rPr>
          <w:rFonts w:ascii="宋体" w:hAnsi="宋体" w:cs="宋体"/>
          <w:b/>
          <w:sz w:val="24"/>
          <w:highlight w:val="none"/>
        </w:rPr>
      </w:pPr>
      <w:r>
        <w:rPr>
          <w:rFonts w:hint="eastAsia" w:ascii="宋体" w:hAnsi="宋体" w:cs="宋体"/>
          <w:b/>
          <w:sz w:val="24"/>
          <w:highlight w:val="none"/>
        </w:rPr>
        <w:t>二、申请人的资格要求：</w:t>
      </w:r>
    </w:p>
    <w:p>
      <w:pPr>
        <w:spacing w:line="500" w:lineRule="exact"/>
        <w:ind w:firstLine="480" w:firstLineChars="200"/>
        <w:rPr>
          <w:rFonts w:ascii="宋体" w:hAnsi="宋体" w:cs="宋体"/>
          <w:sz w:val="24"/>
          <w:highlight w:val="none"/>
        </w:rPr>
      </w:pPr>
      <w:bookmarkStart w:id="15" w:name="OLE_LINK49"/>
      <w:r>
        <w:rPr>
          <w:rFonts w:hint="eastAsia" w:ascii="宋体" w:hAnsi="宋体" w:cs="宋体"/>
          <w:sz w:val="24"/>
          <w:highlight w:val="none"/>
        </w:rPr>
        <w:t xml:space="preserve">1. 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 </w:t>
      </w:r>
    </w:p>
    <w:p>
      <w:pPr>
        <w:spacing w:line="500" w:lineRule="exact"/>
        <w:ind w:firstLine="480" w:firstLineChars="200"/>
        <w:rPr>
          <w:rFonts w:ascii="宋体" w:hAnsi="宋体" w:cs="宋体"/>
          <w:sz w:val="24"/>
          <w:highlight w:val="none"/>
        </w:rPr>
      </w:pPr>
      <w:r>
        <w:rPr>
          <w:rFonts w:hint="eastAsia" w:ascii="宋体" w:hAnsi="宋体" w:cs="宋体"/>
          <w:sz w:val="24"/>
          <w:highlight w:val="none"/>
        </w:rPr>
        <w:t>2.未被列入失信被执行人名单、重大税收违法案件当事人名单、政府采购严重违法失信行为记录名单，信息以信用中国网站（www.creditchina.gov.cn）、中国政府采购网（www.ccgp.gov.cn）公布和查询为准。</w:t>
      </w:r>
    </w:p>
    <w:p>
      <w:pPr>
        <w:spacing w:line="500" w:lineRule="exact"/>
        <w:ind w:left="479" w:leftChars="228"/>
        <w:rPr>
          <w:rFonts w:hint="eastAsia" w:ascii="宋体" w:hAnsi="宋体" w:cs="宋体"/>
          <w:sz w:val="24"/>
          <w:highlight w:val="none"/>
          <w:lang w:eastAsia="zh-CN"/>
        </w:rPr>
      </w:pPr>
      <w:r>
        <w:rPr>
          <w:rFonts w:hint="eastAsia" w:ascii="宋体" w:hAnsi="宋体" w:cs="宋体"/>
          <w:sz w:val="24"/>
          <w:highlight w:val="none"/>
        </w:rPr>
        <w:t>3.本项目的特定资格要求：</w:t>
      </w:r>
    </w:p>
    <w:bookmarkEnd w:id="15"/>
    <w:p>
      <w:pPr>
        <w:spacing w:line="500" w:lineRule="exact"/>
        <w:ind w:left="479" w:leftChars="228"/>
        <w:rPr>
          <w:rFonts w:ascii="宋体" w:hAnsi="宋体" w:cs="宋体"/>
          <w:sz w:val="24"/>
          <w:highlight w:val="none"/>
        </w:rPr>
      </w:pPr>
      <w:r>
        <w:rPr>
          <w:rFonts w:hint="eastAsia" w:ascii="宋体" w:hAnsi="宋体" w:cs="宋体"/>
          <w:sz w:val="24"/>
          <w:highlight w:val="none"/>
        </w:rPr>
        <w:t>4.本项目不接受联合体投标。</w:t>
      </w:r>
    </w:p>
    <w:p>
      <w:pPr>
        <w:spacing w:line="500" w:lineRule="exact"/>
        <w:rPr>
          <w:rFonts w:ascii="宋体" w:hAnsi="宋体" w:cs="宋体"/>
          <w:b/>
          <w:sz w:val="24"/>
          <w:highlight w:val="none"/>
        </w:rPr>
      </w:pPr>
      <w:r>
        <w:rPr>
          <w:rFonts w:hint="eastAsia" w:ascii="宋体" w:hAnsi="宋体" w:cs="宋体"/>
          <w:b/>
          <w:sz w:val="24"/>
          <w:highlight w:val="none"/>
        </w:rPr>
        <w:t xml:space="preserve">三、获取招标文件 </w:t>
      </w:r>
    </w:p>
    <w:p>
      <w:pPr>
        <w:spacing w:line="500" w:lineRule="exact"/>
        <w:ind w:firstLine="482" w:firstLineChars="200"/>
        <w:rPr>
          <w:rFonts w:ascii="宋体" w:hAnsi="宋体" w:cs="宋体"/>
          <w:sz w:val="24"/>
          <w:highlight w:val="none"/>
        </w:rPr>
      </w:pPr>
      <w:r>
        <w:rPr>
          <w:rFonts w:hint="eastAsia" w:ascii="宋体" w:hAnsi="宋体" w:cs="宋体"/>
          <w:b/>
          <w:sz w:val="24"/>
          <w:highlight w:val="none"/>
        </w:rPr>
        <w:t>1.时间：</w:t>
      </w:r>
      <w:r>
        <w:rPr>
          <w:rFonts w:hint="eastAsia" w:ascii="宋体" w:hAnsi="宋体" w:cs="宋体"/>
          <w:sz w:val="24"/>
          <w:highlight w:val="none"/>
        </w:rPr>
        <w:t>至</w:t>
      </w:r>
      <w:r>
        <w:rPr>
          <w:rFonts w:hint="eastAsia" w:ascii="宋体" w:hAnsi="宋体" w:cs="宋体"/>
          <w:sz w:val="24"/>
          <w:highlight w:val="none"/>
          <w:u w:val="none"/>
        </w:rPr>
        <w:t>202</w:t>
      </w:r>
      <w:r>
        <w:rPr>
          <w:rFonts w:hint="eastAsia" w:ascii="宋体" w:hAnsi="宋体" w:cs="宋体"/>
          <w:sz w:val="24"/>
          <w:highlight w:val="none"/>
          <w:u w:val="none"/>
          <w:lang w:val="en-US" w:eastAsia="zh-CN"/>
        </w:rPr>
        <w:t>5</w:t>
      </w:r>
      <w:r>
        <w:rPr>
          <w:rFonts w:hint="eastAsia" w:ascii="宋体" w:hAnsi="宋体" w:cs="宋体"/>
          <w:sz w:val="24"/>
          <w:highlight w:val="none"/>
          <w:u w:val="none"/>
        </w:rPr>
        <w:t>年</w:t>
      </w:r>
      <w:r>
        <w:rPr>
          <w:rFonts w:hint="eastAsia" w:ascii="宋体" w:hAnsi="宋体" w:cs="宋体"/>
          <w:sz w:val="24"/>
          <w:highlight w:val="none"/>
          <w:u w:val="none"/>
          <w:lang w:val="en-US" w:eastAsia="zh-CN"/>
        </w:rPr>
        <w:t>6</w:t>
      </w:r>
      <w:r>
        <w:rPr>
          <w:rFonts w:hint="eastAsia" w:ascii="宋体" w:hAnsi="宋体" w:cs="宋体"/>
          <w:sz w:val="24"/>
          <w:highlight w:val="none"/>
          <w:u w:val="none"/>
        </w:rPr>
        <w:t>月</w:t>
      </w:r>
      <w:r>
        <w:rPr>
          <w:rFonts w:hint="eastAsia" w:ascii="宋体" w:hAnsi="宋体" w:cs="宋体"/>
          <w:sz w:val="24"/>
          <w:highlight w:val="none"/>
          <w:u w:val="none"/>
          <w:lang w:val="en-US" w:eastAsia="zh-CN"/>
        </w:rPr>
        <w:t>17</w:t>
      </w:r>
      <w:r>
        <w:rPr>
          <w:rFonts w:hint="eastAsia" w:ascii="宋体" w:hAnsi="宋体" w:cs="宋体"/>
          <w:sz w:val="24"/>
          <w:highlight w:val="none"/>
          <w:u w:val="none"/>
        </w:rPr>
        <w:t>日</w:t>
      </w:r>
      <w:r>
        <w:rPr>
          <w:rFonts w:hint="eastAsia" w:ascii="宋体" w:hAnsi="宋体" w:cs="宋体"/>
          <w:sz w:val="24"/>
          <w:highlight w:val="none"/>
        </w:rPr>
        <w:t>，每天上午00:00至12:00 ，下午12:00至23:59（北京时间，线上获取法定节假日均可）。</w:t>
      </w:r>
    </w:p>
    <w:p>
      <w:pPr>
        <w:spacing w:line="500" w:lineRule="exact"/>
        <w:ind w:firstLine="482" w:firstLineChars="200"/>
        <w:rPr>
          <w:rFonts w:ascii="宋体" w:hAnsi="宋体" w:cs="宋体"/>
          <w:sz w:val="24"/>
          <w:highlight w:val="none"/>
        </w:rPr>
      </w:pPr>
      <w:r>
        <w:rPr>
          <w:rFonts w:hint="eastAsia" w:ascii="宋体" w:hAnsi="宋体" w:cs="宋体"/>
          <w:b/>
          <w:sz w:val="24"/>
          <w:highlight w:val="none"/>
        </w:rPr>
        <w:t>2.地点（网址）：</w:t>
      </w:r>
      <w:r>
        <w:rPr>
          <w:rFonts w:hint="eastAsia" w:ascii="宋体" w:hAnsi="宋体" w:cs="宋体"/>
          <w:sz w:val="24"/>
          <w:highlight w:val="none"/>
        </w:rPr>
        <w:t xml:space="preserve">乐采云平台（https://www.lecaiyun.com/）。 </w:t>
      </w:r>
    </w:p>
    <w:p>
      <w:pPr>
        <w:spacing w:line="500" w:lineRule="exact"/>
        <w:ind w:firstLine="482" w:firstLineChars="200"/>
        <w:rPr>
          <w:rFonts w:ascii="宋体" w:hAnsi="宋体" w:cs="宋体"/>
          <w:sz w:val="24"/>
          <w:highlight w:val="none"/>
        </w:rPr>
      </w:pPr>
      <w:r>
        <w:rPr>
          <w:rFonts w:hint="eastAsia" w:ascii="宋体" w:hAnsi="宋体" w:cs="宋体"/>
          <w:b/>
          <w:sz w:val="24"/>
          <w:highlight w:val="none"/>
        </w:rPr>
        <w:t>3.方式：</w:t>
      </w:r>
      <w:bookmarkStart w:id="16" w:name="OLE_LINK9"/>
      <w:r>
        <w:rPr>
          <w:rFonts w:hint="eastAsia" w:ascii="宋体" w:hAnsi="宋体" w:cs="宋体"/>
          <w:sz w:val="24"/>
          <w:highlight w:val="none"/>
        </w:rPr>
        <w:t>投标人登录乐采云平台https://www.lecaiyun.com/在线申请获取采购文件（进入“项目采购”应用，在获取采购文件菜单中选择项目，申请获取采购文件）。</w:t>
      </w:r>
      <w:bookmarkEnd w:id="16"/>
      <w:r>
        <w:rPr>
          <w:rFonts w:hint="eastAsia" w:ascii="宋体" w:hAnsi="宋体" w:cs="宋体"/>
          <w:sz w:val="24"/>
          <w:highlight w:val="none"/>
        </w:rPr>
        <w:t xml:space="preserve"> </w:t>
      </w:r>
    </w:p>
    <w:p>
      <w:pPr>
        <w:spacing w:line="500" w:lineRule="exact"/>
        <w:ind w:firstLine="482" w:firstLineChars="200"/>
        <w:rPr>
          <w:rFonts w:ascii="宋体" w:hAnsi="宋体" w:cs="宋体"/>
          <w:sz w:val="24"/>
          <w:highlight w:val="none"/>
        </w:rPr>
      </w:pPr>
      <w:r>
        <w:rPr>
          <w:rFonts w:hint="eastAsia" w:ascii="宋体" w:hAnsi="宋体" w:cs="宋体"/>
          <w:b/>
          <w:sz w:val="24"/>
          <w:highlight w:val="none"/>
        </w:rPr>
        <w:t>4.售价（元）：</w:t>
      </w:r>
      <w:r>
        <w:rPr>
          <w:rFonts w:hint="eastAsia" w:ascii="宋体" w:hAnsi="宋体" w:cs="宋体"/>
          <w:sz w:val="24"/>
          <w:highlight w:val="none"/>
        </w:rPr>
        <w:t xml:space="preserve">0 </w:t>
      </w:r>
      <w:r>
        <w:rPr>
          <w:rFonts w:hint="eastAsia" w:ascii="宋体" w:hAnsi="宋体" w:cs="宋体"/>
          <w:sz w:val="24"/>
          <w:highlight w:val="none"/>
          <w:lang w:eastAsia="zh-CN"/>
        </w:rPr>
        <w:t>元。</w:t>
      </w:r>
      <w:r>
        <w:rPr>
          <w:rFonts w:hint="eastAsia" w:ascii="宋体" w:hAnsi="宋体" w:cs="宋体"/>
          <w:sz w:val="24"/>
          <w:highlight w:val="none"/>
        </w:rPr>
        <w:tab/>
      </w:r>
    </w:p>
    <w:p>
      <w:pPr>
        <w:spacing w:line="500" w:lineRule="exact"/>
        <w:rPr>
          <w:rFonts w:ascii="宋体" w:hAnsi="宋体" w:cs="宋体"/>
          <w:b/>
          <w:sz w:val="24"/>
          <w:highlight w:val="none"/>
        </w:rPr>
      </w:pPr>
      <w:r>
        <w:rPr>
          <w:rFonts w:hint="eastAsia" w:ascii="宋体" w:hAnsi="宋体" w:cs="宋体"/>
          <w:b/>
          <w:sz w:val="24"/>
          <w:highlight w:val="none"/>
        </w:rPr>
        <w:t>四、提交投标文件截止时间、开标时间和地点</w:t>
      </w:r>
    </w:p>
    <w:p>
      <w:pPr>
        <w:spacing w:line="500" w:lineRule="exact"/>
        <w:ind w:firstLine="482" w:firstLineChars="200"/>
        <w:rPr>
          <w:rFonts w:ascii="宋体" w:hAnsi="宋体" w:cs="宋体"/>
          <w:sz w:val="24"/>
          <w:highlight w:val="none"/>
        </w:rPr>
      </w:pPr>
      <w:r>
        <w:rPr>
          <w:rFonts w:hint="eastAsia" w:ascii="宋体" w:hAnsi="宋体" w:cs="宋体"/>
          <w:b/>
          <w:sz w:val="24"/>
          <w:highlight w:val="none"/>
        </w:rPr>
        <w:t>1.提交投标文件截止时间：</w:t>
      </w:r>
      <w:r>
        <w:rPr>
          <w:rFonts w:hint="eastAsia" w:ascii="宋体" w:hAnsi="宋体" w:cs="宋体"/>
          <w:sz w:val="24"/>
          <w:highlight w:val="none"/>
          <w:u w:val="none"/>
        </w:rPr>
        <w:t>202</w:t>
      </w:r>
      <w:r>
        <w:rPr>
          <w:rFonts w:hint="eastAsia" w:ascii="宋体" w:hAnsi="宋体" w:cs="宋体"/>
          <w:sz w:val="24"/>
          <w:highlight w:val="none"/>
          <w:u w:val="none"/>
          <w:lang w:val="en-US" w:eastAsia="zh-CN"/>
        </w:rPr>
        <w:t>5</w:t>
      </w:r>
      <w:r>
        <w:rPr>
          <w:rFonts w:hint="eastAsia" w:ascii="宋体" w:hAnsi="宋体" w:cs="宋体"/>
          <w:sz w:val="24"/>
          <w:highlight w:val="none"/>
          <w:u w:val="none"/>
        </w:rPr>
        <w:t>年</w:t>
      </w:r>
      <w:r>
        <w:rPr>
          <w:rFonts w:hint="eastAsia" w:ascii="宋体" w:hAnsi="宋体" w:cs="宋体"/>
          <w:sz w:val="24"/>
          <w:highlight w:val="none"/>
          <w:u w:val="none"/>
          <w:lang w:val="en-US" w:eastAsia="zh-CN"/>
        </w:rPr>
        <w:t>6</w:t>
      </w:r>
      <w:r>
        <w:rPr>
          <w:rFonts w:hint="eastAsia" w:ascii="宋体" w:hAnsi="宋体" w:cs="宋体"/>
          <w:sz w:val="24"/>
          <w:highlight w:val="none"/>
          <w:u w:val="none"/>
        </w:rPr>
        <w:t>月</w:t>
      </w:r>
      <w:r>
        <w:rPr>
          <w:rFonts w:hint="eastAsia" w:ascii="宋体" w:hAnsi="宋体" w:cs="宋体"/>
          <w:sz w:val="24"/>
          <w:highlight w:val="none"/>
          <w:u w:val="none"/>
          <w:lang w:val="en-US" w:eastAsia="zh-CN"/>
        </w:rPr>
        <w:t>17</w:t>
      </w:r>
      <w:r>
        <w:rPr>
          <w:rFonts w:hint="eastAsia" w:ascii="宋体" w:hAnsi="宋体" w:cs="宋体"/>
          <w:sz w:val="24"/>
          <w:highlight w:val="none"/>
          <w:u w:val="none"/>
        </w:rPr>
        <w:t>日09点</w:t>
      </w:r>
      <w:r>
        <w:rPr>
          <w:rFonts w:hint="eastAsia" w:ascii="宋体" w:hAnsi="宋体" w:cs="宋体"/>
          <w:sz w:val="24"/>
          <w:highlight w:val="none"/>
          <w:u w:val="none"/>
          <w:lang w:val="en-US" w:eastAsia="zh-CN"/>
        </w:rPr>
        <w:t>0</w:t>
      </w:r>
      <w:r>
        <w:rPr>
          <w:rFonts w:hint="eastAsia" w:ascii="宋体" w:hAnsi="宋体" w:cs="宋体"/>
          <w:sz w:val="24"/>
          <w:highlight w:val="none"/>
          <w:u w:val="none"/>
        </w:rPr>
        <w:t>0分</w:t>
      </w:r>
      <w:r>
        <w:rPr>
          <w:rFonts w:hint="eastAsia" w:ascii="宋体" w:hAnsi="宋体" w:cs="宋体"/>
          <w:bCs/>
          <w:sz w:val="24"/>
          <w:highlight w:val="none"/>
          <w:u w:val="none"/>
        </w:rPr>
        <w:t xml:space="preserve"> </w:t>
      </w:r>
      <w:r>
        <w:rPr>
          <w:rFonts w:hint="eastAsia" w:ascii="宋体" w:hAnsi="宋体" w:cs="宋体"/>
          <w:sz w:val="24"/>
          <w:highlight w:val="none"/>
        </w:rPr>
        <w:t>（北京时间）</w:t>
      </w:r>
    </w:p>
    <w:p>
      <w:pPr>
        <w:spacing w:line="500" w:lineRule="exact"/>
        <w:ind w:firstLine="482" w:firstLineChars="200"/>
        <w:rPr>
          <w:rFonts w:ascii="宋体" w:hAnsi="宋体" w:cs="宋体"/>
          <w:b/>
          <w:sz w:val="24"/>
          <w:highlight w:val="none"/>
        </w:rPr>
      </w:pPr>
      <w:r>
        <w:rPr>
          <w:rFonts w:hint="eastAsia" w:ascii="宋体" w:hAnsi="宋体" w:cs="宋体"/>
          <w:b/>
          <w:sz w:val="24"/>
          <w:highlight w:val="none"/>
        </w:rPr>
        <w:t>2.投标地点（网址）：</w:t>
      </w:r>
      <w:r>
        <w:rPr>
          <w:rFonts w:hint="eastAsia" w:ascii="宋体" w:hAnsi="宋体" w:cs="宋体"/>
          <w:sz w:val="24"/>
          <w:highlight w:val="none"/>
        </w:rPr>
        <w:t xml:space="preserve">乐采云平台（https://www.lecaiyun.com/） </w:t>
      </w:r>
    </w:p>
    <w:p>
      <w:pPr>
        <w:spacing w:line="500" w:lineRule="exact"/>
        <w:ind w:firstLine="482" w:firstLineChars="200"/>
        <w:rPr>
          <w:rFonts w:ascii="宋体" w:hAnsi="宋体" w:cs="宋体"/>
          <w:bCs/>
          <w:sz w:val="24"/>
          <w:highlight w:val="none"/>
          <w:u w:val="none"/>
        </w:rPr>
      </w:pPr>
      <w:r>
        <w:rPr>
          <w:rFonts w:hint="eastAsia" w:ascii="宋体" w:hAnsi="宋体" w:cs="宋体"/>
          <w:b/>
          <w:sz w:val="24"/>
          <w:highlight w:val="none"/>
        </w:rPr>
        <w:t>3.开标时间：</w:t>
      </w:r>
      <w:r>
        <w:rPr>
          <w:rFonts w:hint="eastAsia" w:ascii="宋体" w:hAnsi="宋体" w:cs="宋体"/>
          <w:sz w:val="24"/>
          <w:highlight w:val="none"/>
          <w:u w:val="none"/>
        </w:rPr>
        <w:t>202</w:t>
      </w:r>
      <w:r>
        <w:rPr>
          <w:rFonts w:hint="eastAsia" w:ascii="宋体" w:hAnsi="宋体" w:cs="宋体"/>
          <w:sz w:val="24"/>
          <w:highlight w:val="none"/>
          <w:u w:val="none"/>
          <w:lang w:val="en-US" w:eastAsia="zh-CN"/>
        </w:rPr>
        <w:t>5</w:t>
      </w:r>
      <w:r>
        <w:rPr>
          <w:rFonts w:hint="eastAsia" w:ascii="宋体" w:hAnsi="宋体" w:cs="宋体"/>
          <w:sz w:val="24"/>
          <w:highlight w:val="none"/>
          <w:u w:val="none"/>
        </w:rPr>
        <w:t>年</w:t>
      </w:r>
      <w:r>
        <w:rPr>
          <w:rFonts w:hint="eastAsia" w:ascii="宋体" w:hAnsi="宋体" w:cs="宋体"/>
          <w:sz w:val="24"/>
          <w:highlight w:val="none"/>
          <w:u w:val="none"/>
          <w:lang w:val="en-US" w:eastAsia="zh-CN"/>
        </w:rPr>
        <w:t>6</w:t>
      </w:r>
      <w:r>
        <w:rPr>
          <w:rFonts w:hint="eastAsia" w:ascii="宋体" w:hAnsi="宋体" w:cs="宋体"/>
          <w:sz w:val="24"/>
          <w:highlight w:val="none"/>
          <w:u w:val="none"/>
        </w:rPr>
        <w:t>月</w:t>
      </w:r>
      <w:r>
        <w:rPr>
          <w:rFonts w:hint="eastAsia" w:ascii="宋体" w:hAnsi="宋体" w:cs="宋体"/>
          <w:sz w:val="24"/>
          <w:highlight w:val="none"/>
          <w:u w:val="none"/>
          <w:lang w:val="en-US" w:eastAsia="zh-CN"/>
        </w:rPr>
        <w:t>17</w:t>
      </w:r>
      <w:r>
        <w:rPr>
          <w:rFonts w:hint="eastAsia" w:ascii="宋体" w:hAnsi="宋体" w:cs="宋体"/>
          <w:sz w:val="24"/>
          <w:highlight w:val="none"/>
          <w:u w:val="none"/>
        </w:rPr>
        <w:t>日09点</w:t>
      </w:r>
      <w:r>
        <w:rPr>
          <w:rFonts w:hint="eastAsia" w:ascii="宋体" w:hAnsi="宋体" w:cs="宋体"/>
          <w:sz w:val="24"/>
          <w:highlight w:val="none"/>
          <w:u w:val="none"/>
          <w:lang w:val="en-US" w:eastAsia="zh-CN"/>
        </w:rPr>
        <w:t>0</w:t>
      </w:r>
      <w:r>
        <w:rPr>
          <w:rFonts w:hint="eastAsia" w:ascii="宋体" w:hAnsi="宋体" w:cs="宋体"/>
          <w:sz w:val="24"/>
          <w:highlight w:val="none"/>
          <w:u w:val="none"/>
        </w:rPr>
        <w:t>0分</w:t>
      </w:r>
      <w:r>
        <w:rPr>
          <w:rFonts w:hint="eastAsia" w:ascii="宋体" w:hAnsi="宋体" w:cs="宋体"/>
          <w:bCs/>
          <w:sz w:val="24"/>
          <w:highlight w:val="none"/>
          <w:u w:val="none"/>
        </w:rPr>
        <w:t xml:space="preserve"> </w:t>
      </w:r>
    </w:p>
    <w:p>
      <w:pPr>
        <w:spacing w:line="500" w:lineRule="exact"/>
        <w:ind w:firstLine="482" w:firstLineChars="200"/>
        <w:rPr>
          <w:rFonts w:ascii="宋体" w:hAnsi="宋体" w:cs="宋体"/>
          <w:sz w:val="24"/>
          <w:highlight w:val="none"/>
        </w:rPr>
      </w:pPr>
      <w:r>
        <w:rPr>
          <w:rFonts w:hint="eastAsia" w:ascii="宋体" w:hAnsi="宋体" w:cs="宋体"/>
          <w:b/>
          <w:sz w:val="24"/>
          <w:highlight w:val="none"/>
        </w:rPr>
        <w:t>4.开标地点（网址）：</w:t>
      </w:r>
      <w:bookmarkStart w:id="17" w:name="OLE_LINK47"/>
      <w:r>
        <w:rPr>
          <w:rFonts w:hint="eastAsia" w:ascii="宋体" w:hAnsi="宋体" w:cs="宋体"/>
          <w:sz w:val="24"/>
          <w:highlight w:val="none"/>
        </w:rPr>
        <w:t>乐采云平台（https://www.lecaiyun.com/）</w:t>
      </w:r>
      <w:bookmarkEnd w:id="17"/>
    </w:p>
    <w:p>
      <w:pPr>
        <w:spacing w:line="500" w:lineRule="exact"/>
        <w:rPr>
          <w:rFonts w:ascii="宋体" w:hAnsi="宋体" w:cs="宋体"/>
          <w:sz w:val="24"/>
          <w:highlight w:val="none"/>
        </w:rPr>
      </w:pPr>
      <w:r>
        <w:rPr>
          <w:rFonts w:hint="eastAsia" w:ascii="宋体" w:hAnsi="宋体" w:cs="宋体"/>
          <w:b/>
          <w:sz w:val="24"/>
          <w:highlight w:val="none"/>
        </w:rPr>
        <w:t xml:space="preserve">五、公告期限 </w:t>
      </w:r>
    </w:p>
    <w:p>
      <w:pPr>
        <w:spacing w:line="500" w:lineRule="exact"/>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pPr>
        <w:spacing w:line="500" w:lineRule="exact"/>
        <w:rPr>
          <w:rFonts w:ascii="宋体" w:hAnsi="宋体" w:cs="宋体"/>
          <w:b/>
          <w:sz w:val="24"/>
          <w:highlight w:val="none"/>
        </w:rPr>
      </w:pPr>
      <w:r>
        <w:rPr>
          <w:rFonts w:hint="eastAsia" w:ascii="宋体" w:hAnsi="宋体" w:cs="宋体"/>
          <w:b/>
          <w:sz w:val="24"/>
          <w:highlight w:val="none"/>
        </w:rPr>
        <w:t>六、其他补充事宜</w:t>
      </w:r>
    </w:p>
    <w:p>
      <w:pPr>
        <w:pStyle w:val="27"/>
        <w:numPr>
          <w:ilvl w:val="0"/>
          <w:numId w:val="4"/>
        </w:numPr>
        <w:adjustRightInd/>
        <w:spacing w:before="0" w:beforeAutospacing="0" w:after="0" w:afterAutospacing="0" w:line="500" w:lineRule="exact"/>
        <w:ind w:firstLine="482"/>
        <w:rPr>
          <w:bCs/>
          <w:kern w:val="2"/>
          <w:highlight w:val="none"/>
        </w:rPr>
      </w:pPr>
      <w:r>
        <w:rPr>
          <w:rFonts w:hint="eastAsia"/>
          <w:b/>
          <w:kern w:val="2"/>
          <w:highlight w:val="none"/>
        </w:rPr>
        <w:t xml:space="preserve">投诉与质疑 </w:t>
      </w:r>
      <w:r>
        <w:rPr>
          <w:rFonts w:hint="eastAsia"/>
          <w:bCs/>
          <w:kern w:val="2"/>
          <w:highlight w:val="none"/>
        </w:rPr>
        <w:t xml:space="preserve">  </w:t>
      </w:r>
    </w:p>
    <w:p>
      <w:pPr>
        <w:pStyle w:val="27"/>
        <w:numPr>
          <w:ilvl w:val="0"/>
          <w:numId w:val="5"/>
        </w:numPr>
        <w:adjustRightInd/>
        <w:spacing w:before="0" w:beforeAutospacing="0" w:after="0" w:afterAutospacing="0" w:line="500" w:lineRule="exact"/>
        <w:ind w:firstLine="480"/>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投标人认为采购文件使自己的权益受到损害的，可以自获取采购文件之日或者采购文件公告期限届满之日（公告期限届满后获取采购文件的，以公告期限届满之日为准）起7个工作日内，以书面形式向采购代理机构提出质疑。质疑投标人对采购代理机构的答复不满意或者采购代理机构未在规定的时间内作出答复的，可以在答复期满后十五个工作日内向同级监督管理机构投诉。质疑函范本、投诉书范本请到浙江政府采购网下载专区下载。</w:t>
      </w:r>
    </w:p>
    <w:p>
      <w:pPr>
        <w:pStyle w:val="27"/>
        <w:numPr>
          <w:ilvl w:val="0"/>
          <w:numId w:val="5"/>
        </w:numPr>
        <w:adjustRightInd/>
        <w:spacing w:before="0" w:beforeAutospacing="0" w:after="0" w:afterAutospacing="0" w:line="500" w:lineRule="exact"/>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针对同一采购程序环节的质疑，投标人应在法定期限内一次性提出（即针对同一采购程序环节的质疑采购人或采购代理机构仅受理一次），逾期提出或针对同一采购程序环节多次提出的质疑将不予受理、答复。</w:t>
      </w:r>
    </w:p>
    <w:p>
      <w:pPr>
        <w:pStyle w:val="27"/>
        <w:numPr>
          <w:ilvl w:val="0"/>
          <w:numId w:val="4"/>
        </w:numPr>
        <w:adjustRightInd/>
        <w:spacing w:before="0" w:beforeAutospacing="0" w:after="0" w:afterAutospacing="0" w:line="500" w:lineRule="exact"/>
        <w:ind w:firstLine="482"/>
        <w:rPr>
          <w:bCs/>
          <w:kern w:val="2"/>
          <w:highlight w:val="none"/>
        </w:rPr>
      </w:pPr>
      <w:r>
        <w:rPr>
          <w:rStyle w:val="33"/>
          <w:rFonts w:hint="eastAsia"/>
          <w:highlight w:val="none"/>
        </w:rPr>
        <w:t>在线投标响应（电子投标）说明</w:t>
      </w:r>
      <w:r>
        <w:rPr>
          <w:rFonts w:hint="eastAsia"/>
          <w:bCs/>
          <w:kern w:val="2"/>
          <w:highlight w:val="none"/>
        </w:rPr>
        <w:t xml:space="preserve"> </w:t>
      </w:r>
    </w:p>
    <w:p>
      <w:pPr>
        <w:spacing w:line="500" w:lineRule="exact"/>
        <w:ind w:firstLine="480" w:firstLineChars="200"/>
        <w:rPr>
          <w:rFonts w:ascii="宋体" w:hAnsi="宋体" w:cs="宋体"/>
          <w:sz w:val="24"/>
          <w:highlight w:val="none"/>
        </w:rPr>
      </w:pPr>
      <w:bookmarkStart w:id="18" w:name="OLE_LINK10"/>
      <w:bookmarkStart w:id="19" w:name="OLE_LINK24"/>
      <w:r>
        <w:rPr>
          <w:rFonts w:hint="eastAsia" w:ascii="宋体" w:hAnsi="宋体" w:cs="宋体"/>
          <w:sz w:val="24"/>
          <w:highlight w:val="none"/>
        </w:rPr>
        <w:t>电子招投标的说明：①电子招投标：本项目以数据电文形式，依托“采购云平台（www.lecaiyun.com）”进行招投标活动，不接受纸质投标文件；②投标准备：注册账号--点击“商家入驻”，进行采购投标人资料填写；申领CA数字证书---申领流程详见“浙江政府采购网-下载专区-电子交易客户端-CA驱动和申领流程”；安装“乐采云电子交易客户端”----前往“浙江政府采购网-下载专区-电子交易客户端”进行下载并安装；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投标人进行投标活动； ⑥对未按上述方式获取招标文件的投标人对该文件提出的质疑，采购人或采购代理机构将不予处理；⑦不提供招标文件纸质版；⑧投标文件的传输递交：投标人在投标截止时间前将加密的投标文件上传至采购云平台，还可以在投标截止时间前直接提交或者以邮政快递方式递交备份投标文件1份。⑨投标文件的解密：投标人按照平台提示和招标文件的规定在30分钟内完成在线解密。通过“采购云平台”上传递交的投标文件无法按时解密，投标人递交了备份投标文件的，以备份投标文件为依据，否则视为投标文件撤回。通过“采购云平台”上传递交的投标文件已按时解密的，备份投标文件自动失效。投标人仅提交备份投标文件，没有在电子交易平台传输递交投标文件的，投标无效；⑩具体操作指南：详见乐采云平台“服务中心-帮助文档-项目采购-操作流程-电子招投标-采购项目电子交易管理操作指南-投标人”。</w:t>
      </w:r>
      <w:bookmarkEnd w:id="18"/>
    </w:p>
    <w:bookmarkEnd w:id="19"/>
    <w:p>
      <w:pPr>
        <w:spacing w:line="500" w:lineRule="exact"/>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pPr>
        <w:spacing w:line="500" w:lineRule="exact"/>
        <w:rPr>
          <w:rFonts w:ascii="宋体" w:hAnsi="宋体" w:cs="宋体"/>
          <w:sz w:val="24"/>
          <w:highlight w:val="none"/>
        </w:rPr>
      </w:pPr>
      <w:r>
        <w:rPr>
          <w:rFonts w:hint="eastAsia" w:ascii="宋体" w:hAnsi="宋体" w:cs="宋体"/>
          <w:sz w:val="24"/>
          <w:highlight w:val="none"/>
        </w:rPr>
        <w:t xml:space="preserve">    </w:t>
      </w:r>
      <w:bookmarkStart w:id="20" w:name="OLE_LINK50"/>
      <w:r>
        <w:rPr>
          <w:rFonts w:hint="eastAsia" w:ascii="宋体" w:hAnsi="宋体" w:cs="宋体"/>
          <w:sz w:val="24"/>
          <w:highlight w:val="none"/>
        </w:rPr>
        <w:t>1.采购人信息</w:t>
      </w:r>
    </w:p>
    <w:p>
      <w:pPr>
        <w:spacing w:line="500" w:lineRule="exact"/>
        <w:rPr>
          <w:rFonts w:hint="eastAsia" w:ascii="宋体" w:hAnsi="宋体" w:eastAsia="宋体" w:cs="宋体"/>
          <w:sz w:val="24"/>
          <w:highlight w:val="none"/>
          <w:lang w:eastAsia="zh-CN"/>
        </w:rPr>
      </w:pPr>
      <w:r>
        <w:rPr>
          <w:rFonts w:hint="eastAsia" w:ascii="宋体" w:hAnsi="宋体" w:cs="宋体"/>
          <w:sz w:val="24"/>
          <w:highlight w:val="none"/>
        </w:rPr>
        <w:t xml:space="preserve">    名    称：</w:t>
      </w:r>
      <w:r>
        <w:rPr>
          <w:rFonts w:hint="eastAsia" w:ascii="宋体" w:hAnsi="宋体" w:cs="宋体"/>
          <w:sz w:val="24"/>
          <w:highlight w:val="none"/>
          <w:lang w:eastAsia="zh-CN"/>
        </w:rPr>
        <w:t>嵊州市山水文化旅游有限公司</w:t>
      </w:r>
    </w:p>
    <w:p>
      <w:pPr>
        <w:spacing w:line="500" w:lineRule="exact"/>
        <w:rPr>
          <w:rFonts w:ascii="宋体" w:hAnsi="宋体" w:cs="宋体"/>
          <w:sz w:val="24"/>
          <w:highlight w:val="none"/>
        </w:rPr>
      </w:pPr>
      <w:r>
        <w:rPr>
          <w:rFonts w:hint="eastAsia" w:ascii="宋体" w:hAnsi="宋体" w:cs="宋体"/>
          <w:sz w:val="24"/>
          <w:highlight w:val="none"/>
        </w:rPr>
        <w:t xml:space="preserve">    地    址：</w:t>
      </w:r>
      <w:r>
        <w:rPr>
          <w:rFonts w:hint="eastAsia" w:ascii="宋体" w:hAnsi="宋体" w:cs="宋体"/>
          <w:sz w:val="24"/>
          <w:highlight w:val="none"/>
          <w:lang w:eastAsia="zh-CN"/>
        </w:rPr>
        <w:t>嵊州市</w:t>
      </w:r>
      <w:r>
        <w:rPr>
          <w:rFonts w:hint="eastAsia" w:ascii="宋体" w:hAnsi="宋体" w:cs="宋体"/>
          <w:sz w:val="24"/>
          <w:highlight w:val="none"/>
        </w:rPr>
        <w:t xml:space="preserve">  </w:t>
      </w:r>
    </w:p>
    <w:p>
      <w:pPr>
        <w:spacing w:line="500" w:lineRule="exact"/>
        <w:ind w:firstLine="480" w:firstLineChars="200"/>
        <w:rPr>
          <w:rFonts w:hint="eastAsia" w:ascii="宋体" w:hAnsi="宋体" w:eastAsia="宋体" w:cs="宋体"/>
          <w:color w:val="0000FF"/>
          <w:sz w:val="24"/>
          <w:highlight w:val="none"/>
          <w:lang w:eastAsia="zh-CN"/>
        </w:rPr>
      </w:pPr>
      <w:r>
        <w:rPr>
          <w:rFonts w:hint="eastAsia" w:ascii="宋体" w:hAnsi="宋体" w:cs="宋体"/>
          <w:sz w:val="24"/>
          <w:highlight w:val="none"/>
        </w:rPr>
        <w:t>项目联系人（询问）：</w:t>
      </w:r>
      <w:bookmarkStart w:id="21" w:name="OLE_LINK6"/>
      <w:r>
        <w:rPr>
          <w:rFonts w:hint="eastAsia" w:ascii="宋体" w:hAnsi="宋体" w:cs="宋体"/>
          <w:sz w:val="24"/>
          <w:highlight w:val="none"/>
          <w:lang w:eastAsia="zh-CN"/>
        </w:rPr>
        <w:t>王女士</w:t>
      </w:r>
      <w:bookmarkEnd w:id="21"/>
    </w:p>
    <w:p>
      <w:pPr>
        <w:spacing w:line="500" w:lineRule="exact"/>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项目联系方式（询问）：</w:t>
      </w:r>
      <w:bookmarkStart w:id="22" w:name="OLE_LINK2"/>
      <w:r>
        <w:rPr>
          <w:rFonts w:hint="eastAsia" w:ascii="宋体" w:hAnsi="宋体" w:cs="宋体"/>
          <w:sz w:val="24"/>
          <w:highlight w:val="none"/>
          <w:lang w:val="en-US" w:eastAsia="zh-CN"/>
        </w:rPr>
        <w:t>0575-</w:t>
      </w:r>
      <w:r>
        <w:rPr>
          <w:rFonts w:hint="eastAsia" w:ascii="宋体" w:hAnsi="宋体" w:cs="宋体"/>
          <w:sz w:val="24"/>
          <w:highlight w:val="none"/>
        </w:rPr>
        <w:t>83015369</w:t>
      </w:r>
      <w:bookmarkEnd w:id="22"/>
    </w:p>
    <w:p>
      <w:pPr>
        <w:pStyle w:val="37"/>
        <w:rPr>
          <w:rFonts w:hint="eastAsia"/>
        </w:rPr>
      </w:pPr>
    </w:p>
    <w:p>
      <w:pPr>
        <w:spacing w:line="500" w:lineRule="exact"/>
        <w:ind w:firstLine="480" w:firstLineChars="200"/>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w:t>
      </w:r>
      <w:r>
        <w:rPr>
          <w:rFonts w:hint="eastAsia" w:ascii="宋体" w:hAnsi="宋体" w:cs="宋体"/>
          <w:sz w:val="24"/>
          <w:highlight w:val="none"/>
          <w:lang w:eastAsia="zh-CN"/>
        </w:rPr>
        <w:t>实施单位</w:t>
      </w:r>
      <w:r>
        <w:rPr>
          <w:rFonts w:hint="eastAsia" w:ascii="宋体" w:hAnsi="宋体" w:cs="宋体"/>
          <w:sz w:val="24"/>
          <w:highlight w:val="none"/>
        </w:rPr>
        <w:t>信息</w:t>
      </w:r>
    </w:p>
    <w:p>
      <w:pPr>
        <w:spacing w:line="500" w:lineRule="exact"/>
        <w:rPr>
          <w:rFonts w:hint="eastAsia" w:ascii="宋体" w:hAnsi="宋体" w:eastAsia="宋体" w:cs="宋体"/>
          <w:sz w:val="24"/>
          <w:highlight w:val="none"/>
          <w:lang w:eastAsia="zh-CN"/>
        </w:rPr>
      </w:pPr>
      <w:r>
        <w:rPr>
          <w:rFonts w:hint="eastAsia" w:ascii="宋体" w:hAnsi="宋体" w:cs="宋体"/>
          <w:sz w:val="24"/>
          <w:highlight w:val="none"/>
        </w:rPr>
        <w:t xml:space="preserve">    名    称：</w:t>
      </w:r>
      <w:r>
        <w:rPr>
          <w:rFonts w:hint="eastAsia" w:ascii="宋体" w:hAnsi="宋体" w:cs="宋体"/>
          <w:sz w:val="24"/>
          <w:highlight w:val="none"/>
          <w:lang w:eastAsia="zh-CN"/>
        </w:rPr>
        <w:t>嵊州市仙岩镇人民政府</w:t>
      </w:r>
    </w:p>
    <w:p>
      <w:pPr>
        <w:spacing w:line="500" w:lineRule="exact"/>
        <w:rPr>
          <w:rFonts w:ascii="宋体" w:hAnsi="宋体" w:cs="宋体"/>
          <w:sz w:val="24"/>
          <w:highlight w:val="none"/>
        </w:rPr>
      </w:pPr>
      <w:r>
        <w:rPr>
          <w:rFonts w:hint="eastAsia" w:ascii="宋体" w:hAnsi="宋体" w:cs="宋体"/>
          <w:sz w:val="24"/>
          <w:highlight w:val="none"/>
        </w:rPr>
        <w:t xml:space="preserve">    地    址：</w:t>
      </w:r>
      <w:bookmarkStart w:id="23" w:name="OLE_LINK7"/>
      <w:r>
        <w:rPr>
          <w:rFonts w:hint="eastAsia" w:ascii="宋体" w:hAnsi="宋体" w:cs="宋体"/>
          <w:sz w:val="24"/>
          <w:highlight w:val="none"/>
          <w:lang w:eastAsia="zh-CN"/>
        </w:rPr>
        <w:t>嵊州市仙岩镇化工路68号</w:t>
      </w:r>
      <w:bookmarkEnd w:id="23"/>
      <w:r>
        <w:rPr>
          <w:rFonts w:hint="eastAsia" w:ascii="宋体" w:hAnsi="宋体" w:cs="宋体"/>
          <w:sz w:val="24"/>
          <w:highlight w:val="none"/>
        </w:rPr>
        <w:t xml:space="preserve">    </w:t>
      </w:r>
    </w:p>
    <w:p>
      <w:pPr>
        <w:spacing w:line="500" w:lineRule="exact"/>
        <w:ind w:firstLine="480" w:firstLineChars="200"/>
        <w:rPr>
          <w:rFonts w:hint="eastAsia" w:ascii="宋体" w:hAnsi="宋体" w:eastAsia="宋体" w:cs="宋体"/>
          <w:color w:val="0000FF"/>
          <w:sz w:val="24"/>
          <w:highlight w:val="none"/>
          <w:lang w:eastAsia="zh-CN"/>
        </w:rPr>
      </w:pPr>
      <w:r>
        <w:rPr>
          <w:rFonts w:hint="eastAsia" w:ascii="宋体" w:hAnsi="宋体" w:cs="宋体"/>
          <w:sz w:val="24"/>
          <w:highlight w:val="none"/>
        </w:rPr>
        <w:t>项目联系人（询问）：</w:t>
      </w:r>
      <w:r>
        <w:rPr>
          <w:rFonts w:hint="eastAsia" w:ascii="宋体" w:hAnsi="宋体" w:cs="宋体"/>
          <w:sz w:val="24"/>
          <w:highlight w:val="none"/>
          <w:lang w:eastAsia="zh-CN"/>
        </w:rPr>
        <w:t>徐先生</w:t>
      </w:r>
    </w:p>
    <w:p>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项目联系方式（询问）：</w:t>
      </w:r>
      <w:r>
        <w:rPr>
          <w:rFonts w:hint="eastAsia" w:ascii="宋体" w:hAnsi="宋体" w:cs="宋体"/>
          <w:sz w:val="24"/>
          <w:highlight w:val="none"/>
          <w:lang w:val="en-US" w:eastAsia="zh-CN"/>
        </w:rPr>
        <w:t>0575-</w:t>
      </w:r>
      <w:r>
        <w:rPr>
          <w:rFonts w:hint="eastAsia" w:ascii="宋体" w:hAnsi="宋体" w:cs="宋体"/>
          <w:sz w:val="24"/>
          <w:highlight w:val="none"/>
          <w:lang w:eastAsia="zh-CN"/>
        </w:rPr>
        <w:t>83150034</w:t>
      </w:r>
      <w:r>
        <w:rPr>
          <w:rFonts w:hint="eastAsia" w:ascii="宋体" w:hAnsi="宋体" w:cs="宋体"/>
          <w:sz w:val="24"/>
          <w:highlight w:val="none"/>
        </w:rPr>
        <w:t> </w:t>
      </w:r>
    </w:p>
    <w:p>
      <w:pPr>
        <w:pStyle w:val="37"/>
        <w:rPr>
          <w:rFonts w:hint="default"/>
          <w:lang w:val="en-US" w:eastAsia="zh-CN"/>
        </w:rPr>
      </w:pPr>
    </w:p>
    <w:p>
      <w:pPr>
        <w:spacing w:line="500" w:lineRule="exact"/>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lang w:val="en-US" w:eastAsia="zh-CN"/>
        </w:rPr>
        <w:t>3</w:t>
      </w:r>
      <w:r>
        <w:rPr>
          <w:rFonts w:hint="eastAsia" w:ascii="宋体" w:hAnsi="宋体" w:cs="宋体"/>
          <w:sz w:val="24"/>
          <w:highlight w:val="none"/>
        </w:rPr>
        <w:t xml:space="preserve">.采购代理机构信息            </w:t>
      </w:r>
    </w:p>
    <w:p>
      <w:pPr>
        <w:spacing w:line="500" w:lineRule="exact"/>
        <w:ind w:firstLine="480"/>
        <w:rPr>
          <w:rFonts w:ascii="宋体" w:hAnsi="宋体" w:cs="宋体"/>
          <w:sz w:val="24"/>
          <w:highlight w:val="none"/>
        </w:rPr>
      </w:pPr>
      <w:r>
        <w:rPr>
          <w:rFonts w:hint="eastAsia" w:ascii="宋体" w:hAnsi="宋体" w:cs="宋体"/>
          <w:sz w:val="24"/>
          <w:highlight w:val="none"/>
        </w:rPr>
        <w:t>名    称：</w:t>
      </w:r>
      <w:r>
        <w:rPr>
          <w:rFonts w:hint="eastAsia" w:ascii="宋体" w:hAnsi="宋体" w:cs="宋体"/>
          <w:sz w:val="24"/>
          <w:highlight w:val="none"/>
          <w:lang w:eastAsia="zh-CN"/>
        </w:rPr>
        <w:t>泾清项目管理有限公司</w:t>
      </w:r>
      <w:r>
        <w:rPr>
          <w:rFonts w:hint="eastAsia" w:ascii="宋体" w:hAnsi="宋体" w:cs="宋体"/>
          <w:sz w:val="24"/>
          <w:highlight w:val="none"/>
        </w:rPr>
        <w:t xml:space="preserve"> </w:t>
      </w:r>
    </w:p>
    <w:p>
      <w:pPr>
        <w:spacing w:line="500" w:lineRule="exact"/>
        <w:ind w:firstLine="480"/>
        <w:rPr>
          <w:rFonts w:ascii="宋体" w:hAnsi="宋体" w:cs="宋体"/>
          <w:sz w:val="24"/>
          <w:highlight w:val="none"/>
        </w:rPr>
      </w:pPr>
      <w:r>
        <w:rPr>
          <w:rFonts w:hint="eastAsia" w:ascii="宋体" w:hAnsi="宋体" w:cs="宋体"/>
          <w:sz w:val="24"/>
          <w:highlight w:val="none"/>
        </w:rPr>
        <w:t>地    址：</w:t>
      </w:r>
      <w:bookmarkStart w:id="24" w:name="OLE_LINK48"/>
      <w:r>
        <w:rPr>
          <w:rFonts w:hint="eastAsia" w:ascii="宋体" w:hAnsi="宋体" w:cs="宋体"/>
          <w:sz w:val="24"/>
          <w:highlight w:val="none"/>
        </w:rPr>
        <w:t>嵊州市三江街道领带园二路和创园2号楼4楼2415</w:t>
      </w:r>
      <w:bookmarkEnd w:id="24"/>
    </w:p>
    <w:p>
      <w:pPr>
        <w:spacing w:line="500" w:lineRule="exact"/>
        <w:rPr>
          <w:rFonts w:ascii="宋体" w:hAnsi="宋体" w:cs="宋体"/>
          <w:sz w:val="24"/>
          <w:highlight w:val="none"/>
        </w:rPr>
      </w:pPr>
      <w:r>
        <w:rPr>
          <w:rFonts w:hint="eastAsia" w:ascii="宋体" w:hAnsi="宋体" w:cs="宋体"/>
          <w:sz w:val="24"/>
          <w:highlight w:val="none"/>
        </w:rPr>
        <w:t xml:space="preserve">    项目联系人（询问）：</w:t>
      </w:r>
      <w:r>
        <w:rPr>
          <w:rFonts w:hint="eastAsia" w:ascii="宋体" w:hAnsi="宋体" w:cs="宋体"/>
          <w:sz w:val="24"/>
          <w:highlight w:val="none"/>
          <w:lang w:eastAsia="zh-CN"/>
        </w:rPr>
        <w:t>张女士</w:t>
      </w:r>
      <w:r>
        <w:rPr>
          <w:rFonts w:hint="eastAsia" w:ascii="宋体" w:hAnsi="宋体" w:cs="宋体"/>
          <w:sz w:val="24"/>
          <w:highlight w:val="none"/>
        </w:rPr>
        <w:t xml:space="preserve">      </w:t>
      </w:r>
    </w:p>
    <w:p>
      <w:pPr>
        <w:keepNext w:val="0"/>
        <w:keepLines w:val="0"/>
        <w:pageBreakBefore w:val="0"/>
        <w:kinsoku/>
        <w:wordWrap/>
        <w:overflowPunct/>
        <w:topLinePunct w:val="0"/>
        <w:autoSpaceDE/>
        <w:autoSpaceDN/>
        <w:bidi w:val="0"/>
        <w:adjustRightInd w:val="0"/>
        <w:snapToGrid w:val="0"/>
        <w:spacing w:line="500" w:lineRule="exact"/>
        <w:ind w:firstLine="482"/>
        <w:jc w:val="left"/>
        <w:textAlignment w:val="auto"/>
        <w:rPr>
          <w:rFonts w:hint="default" w:ascii="宋体" w:hAnsi="宋体" w:eastAsia="宋体" w:cs="宋体"/>
          <w:color w:val="auto"/>
          <w:kern w:val="1"/>
          <w:sz w:val="24"/>
          <w:szCs w:val="24"/>
          <w:highlight w:val="none"/>
          <w:lang w:val="en-US" w:eastAsia="zh-CN"/>
        </w:rPr>
      </w:pPr>
      <w:r>
        <w:rPr>
          <w:rFonts w:hint="eastAsia" w:ascii="宋体" w:hAnsi="宋体" w:cs="宋体"/>
          <w:sz w:val="24"/>
          <w:highlight w:val="none"/>
        </w:rPr>
        <w:t>项目联系方式（询问）：</w:t>
      </w:r>
      <w:bookmarkStart w:id="25" w:name="OLE_LINK11"/>
      <w:r>
        <w:rPr>
          <w:rFonts w:hint="eastAsia" w:ascii="宋体" w:hAnsi="宋体" w:cs="宋体"/>
          <w:sz w:val="24"/>
          <w:highlight w:val="none"/>
        </w:rPr>
        <w:t>0575-89300689</w:t>
      </w:r>
      <w:bookmarkEnd w:id="25"/>
      <w:r>
        <w:rPr>
          <w:rFonts w:hint="eastAsia" w:ascii="宋体" w:hAnsi="宋体" w:eastAsia="宋体" w:cs="宋体"/>
          <w:color w:val="auto"/>
          <w:kern w:val="1"/>
          <w:sz w:val="24"/>
          <w:szCs w:val="24"/>
          <w:highlight w:val="none"/>
          <w:lang w:val="en-US" w:eastAsia="zh-CN"/>
        </w:rPr>
        <w:t xml:space="preserve"> </w:t>
      </w:r>
    </w:p>
    <w:bookmarkEnd w:id="20"/>
    <w:p>
      <w:pPr>
        <w:spacing w:line="500" w:lineRule="exact"/>
        <w:rPr>
          <w:rFonts w:ascii="宋体" w:hAnsi="宋体" w:cs="宋体"/>
          <w:sz w:val="24"/>
          <w:highlight w:val="none"/>
        </w:rPr>
      </w:pPr>
    </w:p>
    <w:p>
      <w:pPr>
        <w:spacing w:line="500" w:lineRule="exact"/>
        <w:ind w:firstLine="480" w:firstLineChars="200"/>
        <w:rPr>
          <w:rFonts w:ascii="宋体" w:hAnsi="宋体" w:cs="宋体"/>
          <w:sz w:val="24"/>
          <w:highlight w:val="none"/>
        </w:rPr>
      </w:pPr>
      <w:r>
        <w:rPr>
          <w:rFonts w:hint="eastAsia" w:ascii="宋体" w:hAnsi="宋体" w:cs="宋体"/>
          <w:sz w:val="24"/>
          <w:highlight w:val="none"/>
        </w:rPr>
        <w:t>若对项目采购电子交易系统操作有疑问，可登录乐采云（https://www.lecaiyun.com/），点击右侧咨询小采，获取采小蜜智能服务管家帮助，或拨打乐采云服务热线95763获取热线服务帮助。</w:t>
      </w:r>
    </w:p>
    <w:p>
      <w:pPr>
        <w:spacing w:line="500" w:lineRule="exact"/>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pPr>
        <w:pStyle w:val="2"/>
        <w:jc w:val="both"/>
        <w:rPr>
          <w:rFonts w:ascii="宋体" w:hAnsi="宋体" w:cs="宋体"/>
          <w:b w:val="0"/>
          <w:bCs w:val="0"/>
          <w:sz w:val="28"/>
          <w:szCs w:val="28"/>
          <w:highlight w:val="none"/>
        </w:rPr>
      </w:pPr>
    </w:p>
    <w:p>
      <w:pPr>
        <w:rPr>
          <w:rFonts w:ascii="宋体" w:hAnsi="宋体" w:cs="宋体"/>
          <w:highlight w:val="none"/>
        </w:rPr>
      </w:pPr>
    </w:p>
    <w:p>
      <w:pPr>
        <w:pStyle w:val="2"/>
        <w:rPr>
          <w:rFonts w:ascii="宋体" w:hAnsi="宋体" w:cs="宋体"/>
          <w:highlight w:val="none"/>
        </w:rPr>
      </w:pPr>
    </w:p>
    <w:p>
      <w:pPr>
        <w:rPr>
          <w:rFonts w:ascii="宋体" w:hAnsi="宋体" w:cs="宋体"/>
          <w:highlight w:val="none"/>
        </w:rPr>
      </w:pPr>
    </w:p>
    <w:p>
      <w:pPr>
        <w:pStyle w:val="2"/>
        <w:rPr>
          <w:rFonts w:ascii="宋体" w:hAnsi="宋体" w:cs="宋体"/>
          <w:highlight w:val="none"/>
        </w:rPr>
      </w:pPr>
    </w:p>
    <w:p>
      <w:pPr>
        <w:rPr>
          <w:rFonts w:ascii="宋体" w:hAnsi="宋体" w:cs="宋体"/>
          <w:highlight w:val="none"/>
        </w:rPr>
      </w:pPr>
    </w:p>
    <w:p>
      <w:pPr>
        <w:pStyle w:val="29"/>
        <w:rPr>
          <w:rFonts w:ascii="宋体" w:hAnsi="宋体" w:cs="宋体"/>
          <w:highlight w:val="none"/>
        </w:rPr>
      </w:pPr>
    </w:p>
    <w:p>
      <w:pPr>
        <w:rPr>
          <w:rFonts w:ascii="宋体" w:hAnsi="宋体" w:cs="宋体"/>
          <w:highlight w:val="none"/>
        </w:rPr>
      </w:pPr>
    </w:p>
    <w:p>
      <w:pPr>
        <w:pStyle w:val="29"/>
        <w:rPr>
          <w:rFonts w:ascii="宋体" w:hAnsi="宋体" w:cs="宋体"/>
          <w:highlight w:val="none"/>
        </w:rPr>
      </w:pPr>
    </w:p>
    <w:p>
      <w:pPr>
        <w:rPr>
          <w:rFonts w:ascii="宋体" w:hAnsi="宋体" w:cs="宋体"/>
          <w:highlight w:val="none"/>
        </w:rPr>
      </w:pPr>
    </w:p>
    <w:p>
      <w:pPr>
        <w:pStyle w:val="2"/>
        <w:rPr>
          <w:rFonts w:ascii="宋体" w:hAnsi="宋体" w:cs="宋体"/>
          <w:highlight w:val="none"/>
        </w:rPr>
      </w:pPr>
    </w:p>
    <w:p>
      <w:pPr>
        <w:rPr>
          <w:rFonts w:ascii="宋体" w:hAnsi="宋体" w:cs="宋体"/>
          <w:highlight w:val="none"/>
        </w:rPr>
      </w:pPr>
    </w:p>
    <w:p>
      <w:pPr>
        <w:pStyle w:val="2"/>
      </w:pPr>
    </w:p>
    <w:p>
      <w:pPr>
        <w:pStyle w:val="29"/>
        <w:rPr>
          <w:rFonts w:ascii="宋体" w:hAnsi="宋体" w:cs="宋体"/>
          <w:highlight w:val="none"/>
        </w:rPr>
      </w:pPr>
    </w:p>
    <w:p>
      <w:pPr>
        <w:rPr>
          <w:rFonts w:ascii="宋体" w:hAnsi="宋体" w:cs="宋体"/>
          <w:highlight w:val="none"/>
        </w:rPr>
      </w:pPr>
    </w:p>
    <w:p>
      <w:pPr>
        <w:pStyle w:val="29"/>
        <w:rPr>
          <w:rFonts w:ascii="宋体" w:hAnsi="宋体" w:cs="宋体"/>
          <w:highlight w:val="none"/>
        </w:rPr>
      </w:pPr>
    </w:p>
    <w:p>
      <w:pPr>
        <w:rPr>
          <w:rFonts w:ascii="宋体" w:hAnsi="宋体" w:cs="宋体"/>
          <w:highlight w:val="none"/>
        </w:rPr>
      </w:pPr>
    </w:p>
    <w:p>
      <w:pPr>
        <w:pStyle w:val="29"/>
      </w:pPr>
    </w:p>
    <w:p>
      <w:pPr>
        <w:rPr>
          <w:rFonts w:ascii="宋体" w:hAnsi="宋体" w:cs="宋体"/>
          <w:b/>
          <w:sz w:val="32"/>
          <w:szCs w:val="32"/>
          <w:highlight w:val="none"/>
        </w:rPr>
      </w:pPr>
      <w:bookmarkStart w:id="26" w:name="_Toc32071"/>
      <w:bookmarkStart w:id="27" w:name="_Toc15391"/>
    </w:p>
    <w:p>
      <w:pPr>
        <w:numPr>
          <w:ilvl w:val="0"/>
          <w:numId w:val="6"/>
        </w:numPr>
        <w:adjustRightInd/>
        <w:jc w:val="center"/>
        <w:outlineLvl w:val="0"/>
        <w:rPr>
          <w:rFonts w:ascii="宋体" w:hAnsi="宋体" w:cs="宋体"/>
          <w:b/>
          <w:sz w:val="32"/>
          <w:szCs w:val="32"/>
          <w:highlight w:val="none"/>
        </w:rPr>
      </w:pPr>
      <w:r>
        <w:rPr>
          <w:rFonts w:hint="eastAsia" w:ascii="宋体" w:hAnsi="宋体" w:cs="宋体"/>
          <w:b/>
          <w:sz w:val="32"/>
          <w:szCs w:val="32"/>
          <w:highlight w:val="none"/>
        </w:rPr>
        <w:t>投标人须知</w:t>
      </w:r>
      <w:bookmarkEnd w:id="26"/>
      <w:bookmarkEnd w:id="27"/>
    </w:p>
    <w:p>
      <w:pPr>
        <w:adjustRightInd/>
        <w:jc w:val="center"/>
        <w:outlineLvl w:val="0"/>
        <w:rPr>
          <w:rFonts w:ascii="宋体" w:hAnsi="宋体" w:cs="宋体"/>
          <w:b/>
          <w:sz w:val="32"/>
          <w:szCs w:val="32"/>
          <w:highlight w:val="none"/>
        </w:rPr>
      </w:pPr>
      <w:r>
        <w:rPr>
          <w:rFonts w:hint="eastAsia" w:ascii="宋体" w:hAnsi="宋体" w:cs="宋体"/>
          <w:b/>
          <w:sz w:val="32"/>
          <w:szCs w:val="20"/>
          <w:highlight w:val="none"/>
        </w:rPr>
        <w:t>前附表</w:t>
      </w:r>
    </w:p>
    <w:tbl>
      <w:tblPr>
        <w:tblStyle w:val="30"/>
        <w:tblW w:w="100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788"/>
        <w:gridCol w:w="7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646" w:type="dxa"/>
            <w:vAlign w:val="center"/>
          </w:tcPr>
          <w:p>
            <w:pPr>
              <w:autoSpaceDE w:val="0"/>
              <w:autoSpaceDN w:val="0"/>
              <w:snapToGrid w:val="0"/>
              <w:spacing w:line="360" w:lineRule="exact"/>
              <w:jc w:val="center"/>
              <w:textAlignment w:val="bottom"/>
              <w:rPr>
                <w:rFonts w:ascii="宋体" w:hAnsi="宋体" w:cs="宋体"/>
                <w:szCs w:val="21"/>
                <w:highlight w:val="none"/>
              </w:rPr>
            </w:pPr>
            <w:bookmarkStart w:id="28" w:name="_Toc712"/>
            <w:bookmarkStart w:id="29" w:name="_Toc5554"/>
            <w:bookmarkStart w:id="30" w:name="_Toc164416483"/>
            <w:bookmarkStart w:id="31" w:name="第三部分"/>
            <w:r>
              <w:rPr>
                <w:rFonts w:hint="eastAsia" w:ascii="宋体" w:hAnsi="宋体" w:cs="宋体"/>
                <w:szCs w:val="21"/>
                <w:highlight w:val="none"/>
              </w:rPr>
              <w:t>序号</w:t>
            </w:r>
          </w:p>
        </w:tc>
        <w:tc>
          <w:tcPr>
            <w:tcW w:w="1788" w:type="dxa"/>
            <w:vAlign w:val="center"/>
          </w:tcPr>
          <w:p>
            <w:pPr>
              <w:autoSpaceDE w:val="0"/>
              <w:autoSpaceDN w:val="0"/>
              <w:snapToGrid w:val="0"/>
              <w:spacing w:line="360" w:lineRule="exact"/>
              <w:jc w:val="center"/>
              <w:textAlignment w:val="bottom"/>
              <w:rPr>
                <w:rFonts w:ascii="宋体" w:hAnsi="宋体" w:cs="宋体"/>
                <w:szCs w:val="21"/>
                <w:highlight w:val="none"/>
              </w:rPr>
            </w:pPr>
            <w:r>
              <w:rPr>
                <w:rFonts w:hint="eastAsia" w:ascii="宋体" w:hAnsi="宋体" w:cs="宋体"/>
                <w:szCs w:val="21"/>
                <w:highlight w:val="none"/>
              </w:rPr>
              <w:t>事项</w:t>
            </w:r>
          </w:p>
        </w:tc>
        <w:tc>
          <w:tcPr>
            <w:tcW w:w="7608" w:type="dxa"/>
            <w:vAlign w:val="center"/>
          </w:tcPr>
          <w:p>
            <w:pPr>
              <w:autoSpaceDE w:val="0"/>
              <w:autoSpaceDN w:val="0"/>
              <w:snapToGrid w:val="0"/>
              <w:spacing w:line="360" w:lineRule="exact"/>
              <w:jc w:val="center"/>
              <w:textAlignment w:val="bottom"/>
              <w:rPr>
                <w:rFonts w:ascii="宋体" w:hAnsi="宋体" w:cs="宋体"/>
                <w:szCs w:val="21"/>
                <w:highlight w:val="none"/>
              </w:rPr>
            </w:pPr>
            <w:r>
              <w:rPr>
                <w:rFonts w:hint="eastAsia" w:ascii="宋体" w:hAnsi="宋体" w:cs="宋体"/>
                <w:szCs w:val="21"/>
                <w:highlight w:val="none"/>
              </w:rPr>
              <w:t>编  例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exact"/>
          <w:jc w:val="center"/>
        </w:trPr>
        <w:tc>
          <w:tcPr>
            <w:tcW w:w="646" w:type="dxa"/>
            <w:vAlign w:val="center"/>
          </w:tcPr>
          <w:p>
            <w:pPr>
              <w:autoSpaceDE w:val="0"/>
              <w:autoSpaceDN w:val="0"/>
              <w:snapToGrid w:val="0"/>
              <w:spacing w:line="360" w:lineRule="exact"/>
              <w:jc w:val="center"/>
              <w:textAlignment w:val="bottom"/>
              <w:rPr>
                <w:rFonts w:ascii="宋体" w:hAnsi="宋体" w:cs="宋体"/>
                <w:sz w:val="24"/>
                <w:szCs w:val="24"/>
                <w:highlight w:val="none"/>
              </w:rPr>
            </w:pPr>
            <w:r>
              <w:rPr>
                <w:rFonts w:hint="eastAsia" w:ascii="宋体" w:hAnsi="宋体" w:cs="宋体"/>
                <w:sz w:val="24"/>
                <w:szCs w:val="24"/>
                <w:highlight w:val="none"/>
              </w:rPr>
              <w:t>1</w:t>
            </w:r>
          </w:p>
        </w:tc>
        <w:tc>
          <w:tcPr>
            <w:tcW w:w="1788" w:type="dxa"/>
            <w:vAlign w:val="center"/>
          </w:tcPr>
          <w:p>
            <w:pPr>
              <w:autoSpaceDE w:val="0"/>
              <w:autoSpaceDN w:val="0"/>
              <w:snapToGrid w:val="0"/>
              <w:spacing w:line="360" w:lineRule="exact"/>
              <w:jc w:val="center"/>
              <w:textAlignment w:val="bottom"/>
              <w:rPr>
                <w:rFonts w:ascii="宋体" w:hAnsi="宋体" w:cs="宋体"/>
                <w:sz w:val="24"/>
                <w:szCs w:val="24"/>
                <w:highlight w:val="none"/>
              </w:rPr>
            </w:pPr>
            <w:r>
              <w:rPr>
                <w:rFonts w:hint="eastAsia" w:ascii="宋体" w:hAnsi="宋体" w:cs="宋体"/>
                <w:sz w:val="24"/>
                <w:szCs w:val="24"/>
                <w:highlight w:val="none"/>
              </w:rPr>
              <w:t>项目名称</w:t>
            </w:r>
          </w:p>
        </w:tc>
        <w:tc>
          <w:tcPr>
            <w:tcW w:w="7608" w:type="dxa"/>
            <w:vAlign w:val="center"/>
          </w:tcPr>
          <w:p>
            <w:pPr>
              <w:autoSpaceDE w:val="0"/>
              <w:autoSpaceDN w:val="0"/>
              <w:snapToGrid w:val="0"/>
              <w:spacing w:line="360" w:lineRule="exact"/>
              <w:textAlignment w:val="bottom"/>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嵊州市仙岩镇云上舜皇文旅开发项目-提升改造（茶文化中心）空间提升及布展文化项目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646" w:type="dxa"/>
            <w:vAlign w:val="center"/>
          </w:tcPr>
          <w:p>
            <w:pPr>
              <w:autoSpaceDE w:val="0"/>
              <w:autoSpaceDN w:val="0"/>
              <w:snapToGrid w:val="0"/>
              <w:spacing w:line="360" w:lineRule="exact"/>
              <w:jc w:val="center"/>
              <w:textAlignment w:val="bottom"/>
              <w:rPr>
                <w:rFonts w:ascii="宋体" w:hAnsi="宋体" w:cs="宋体"/>
                <w:sz w:val="24"/>
                <w:szCs w:val="24"/>
                <w:highlight w:val="none"/>
              </w:rPr>
            </w:pPr>
            <w:r>
              <w:rPr>
                <w:rFonts w:hint="eastAsia" w:ascii="宋体" w:hAnsi="宋体" w:cs="宋体"/>
                <w:sz w:val="24"/>
                <w:szCs w:val="24"/>
                <w:highlight w:val="none"/>
              </w:rPr>
              <w:t>2</w:t>
            </w:r>
          </w:p>
        </w:tc>
        <w:tc>
          <w:tcPr>
            <w:tcW w:w="1788" w:type="dxa"/>
            <w:vAlign w:val="center"/>
          </w:tcPr>
          <w:p>
            <w:pPr>
              <w:autoSpaceDE w:val="0"/>
              <w:autoSpaceDN w:val="0"/>
              <w:snapToGrid w:val="0"/>
              <w:spacing w:line="360" w:lineRule="exact"/>
              <w:jc w:val="center"/>
              <w:textAlignment w:val="bottom"/>
              <w:rPr>
                <w:rFonts w:ascii="宋体" w:hAnsi="宋体" w:cs="宋体"/>
                <w:bCs/>
                <w:sz w:val="24"/>
                <w:szCs w:val="24"/>
                <w:highlight w:val="none"/>
              </w:rPr>
            </w:pPr>
            <w:r>
              <w:rPr>
                <w:rFonts w:hint="eastAsia" w:ascii="宋体" w:hAnsi="宋体" w:cs="宋体"/>
                <w:bCs/>
                <w:sz w:val="24"/>
                <w:szCs w:val="24"/>
                <w:highlight w:val="none"/>
              </w:rPr>
              <w:t>开标前答疑会或现场考察</w:t>
            </w:r>
          </w:p>
        </w:tc>
        <w:tc>
          <w:tcPr>
            <w:tcW w:w="7608" w:type="dxa"/>
            <w:vAlign w:val="center"/>
          </w:tcPr>
          <w:p>
            <w:pPr>
              <w:spacing w:line="360" w:lineRule="auto"/>
              <w:rPr>
                <w:rFonts w:ascii="宋体" w:hAnsi="宋体" w:cs="宋体"/>
                <w:sz w:val="24"/>
                <w:szCs w:val="24"/>
                <w:highlight w:val="none"/>
              </w:rPr>
            </w:pPr>
            <w:r>
              <w:rPr>
                <w:rFonts w:hint="eastAsia" w:ascii="宋体" w:hAnsi="宋体" w:cs="宋体"/>
                <w:sz w:val="24"/>
                <w:szCs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646" w:type="dxa"/>
            <w:vAlign w:val="center"/>
          </w:tcPr>
          <w:p>
            <w:pPr>
              <w:autoSpaceDE w:val="0"/>
              <w:autoSpaceDN w:val="0"/>
              <w:snapToGrid w:val="0"/>
              <w:spacing w:line="360" w:lineRule="exact"/>
              <w:jc w:val="center"/>
              <w:textAlignment w:val="bottom"/>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3</w:t>
            </w:r>
          </w:p>
        </w:tc>
        <w:tc>
          <w:tcPr>
            <w:tcW w:w="1788" w:type="dxa"/>
            <w:vAlign w:val="center"/>
          </w:tcPr>
          <w:p>
            <w:pPr>
              <w:autoSpaceDE w:val="0"/>
              <w:autoSpaceDN w:val="0"/>
              <w:snapToGrid w:val="0"/>
              <w:spacing w:line="360" w:lineRule="exact"/>
              <w:jc w:val="center"/>
              <w:textAlignment w:val="bottom"/>
              <w:rPr>
                <w:rFonts w:ascii="宋体" w:hAnsi="宋体" w:cs="宋体"/>
                <w:bCs/>
                <w:sz w:val="24"/>
                <w:szCs w:val="24"/>
                <w:highlight w:val="none"/>
              </w:rPr>
            </w:pPr>
            <w:r>
              <w:rPr>
                <w:rFonts w:hint="eastAsia" w:ascii="宋体" w:hAnsi="宋体" w:cs="宋体"/>
                <w:bCs/>
                <w:sz w:val="24"/>
                <w:szCs w:val="24"/>
                <w:highlight w:val="none"/>
              </w:rPr>
              <w:t>分包</w:t>
            </w:r>
          </w:p>
        </w:tc>
        <w:tc>
          <w:tcPr>
            <w:tcW w:w="7608" w:type="dxa"/>
            <w:vAlign w:val="center"/>
          </w:tcPr>
          <w:p>
            <w:pPr>
              <w:autoSpaceDE w:val="0"/>
              <w:autoSpaceDN w:val="0"/>
              <w:snapToGrid w:val="0"/>
              <w:spacing w:line="360" w:lineRule="exact"/>
              <w:textAlignment w:val="bottom"/>
              <w:rPr>
                <w:rFonts w:ascii="MS Mincho" w:hAnsi="MS Mincho" w:eastAsia="MS Mincho" w:cs="MS Mincho"/>
                <w:kern w:val="0"/>
                <w:sz w:val="24"/>
                <w:szCs w:val="24"/>
                <w:highlight w:val="none"/>
              </w:rPr>
            </w:pPr>
            <w:r>
              <w:rPr>
                <w:rFonts w:hint="eastAsia" w:ascii="宋体" w:hAnsi="宋体" w:cs="宋体"/>
                <w:sz w:val="24"/>
                <w:szCs w:val="24"/>
                <w:highlight w:val="none"/>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46" w:type="dxa"/>
            <w:vAlign w:val="center"/>
          </w:tcPr>
          <w:p>
            <w:pPr>
              <w:autoSpaceDE w:val="0"/>
              <w:autoSpaceDN w:val="0"/>
              <w:snapToGrid w:val="0"/>
              <w:spacing w:line="360" w:lineRule="exact"/>
              <w:jc w:val="center"/>
              <w:textAlignment w:val="bottom"/>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w:t>
            </w:r>
          </w:p>
        </w:tc>
        <w:tc>
          <w:tcPr>
            <w:tcW w:w="1788" w:type="dxa"/>
            <w:vAlign w:val="center"/>
          </w:tcPr>
          <w:p>
            <w:pPr>
              <w:autoSpaceDE w:val="0"/>
              <w:autoSpaceDN w:val="0"/>
              <w:snapToGrid w:val="0"/>
              <w:spacing w:line="360" w:lineRule="exact"/>
              <w:jc w:val="center"/>
              <w:textAlignment w:val="bottom"/>
              <w:rPr>
                <w:rFonts w:ascii="宋体" w:hAnsi="宋体" w:cs="宋体"/>
                <w:sz w:val="24"/>
                <w:szCs w:val="24"/>
                <w:highlight w:val="none"/>
              </w:rPr>
            </w:pPr>
            <w:r>
              <w:rPr>
                <w:rFonts w:hint="eastAsia" w:ascii="宋体" w:hAnsi="宋体" w:cs="宋体"/>
                <w:sz w:val="24"/>
                <w:szCs w:val="24"/>
                <w:highlight w:val="none"/>
              </w:rPr>
              <w:t>质疑</w:t>
            </w:r>
          </w:p>
        </w:tc>
        <w:tc>
          <w:tcPr>
            <w:tcW w:w="7608" w:type="dxa"/>
            <w:vAlign w:val="center"/>
          </w:tcPr>
          <w:p>
            <w:pPr>
              <w:autoSpaceDE w:val="0"/>
              <w:autoSpaceDN w:val="0"/>
              <w:snapToGrid w:val="0"/>
              <w:spacing w:line="360" w:lineRule="exact"/>
              <w:textAlignment w:val="bottom"/>
              <w:rPr>
                <w:rFonts w:ascii="宋体" w:hAnsi="宋体" w:cs="宋体"/>
                <w:sz w:val="24"/>
                <w:szCs w:val="24"/>
                <w:highlight w:val="none"/>
              </w:rPr>
            </w:pPr>
            <w:r>
              <w:rPr>
                <w:rFonts w:hint="eastAsia" w:ascii="宋体" w:hAnsi="宋体" w:cs="宋体"/>
                <w:sz w:val="24"/>
                <w:szCs w:val="24"/>
                <w:highlight w:val="none"/>
              </w:rPr>
              <w:t>投标人如对招标文件有异议，应当于招标文件要求提交招标文件截止时间七日前，以书面形式向招标采购人提出，逾期不予受理。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646" w:type="dxa"/>
            <w:vAlign w:val="center"/>
          </w:tcPr>
          <w:p>
            <w:pPr>
              <w:autoSpaceDE w:val="0"/>
              <w:autoSpaceDN w:val="0"/>
              <w:snapToGrid w:val="0"/>
              <w:spacing w:line="360" w:lineRule="exact"/>
              <w:jc w:val="center"/>
              <w:textAlignment w:val="bottom"/>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5</w:t>
            </w:r>
          </w:p>
        </w:tc>
        <w:tc>
          <w:tcPr>
            <w:tcW w:w="1788" w:type="dxa"/>
            <w:vAlign w:val="center"/>
          </w:tcPr>
          <w:p>
            <w:pPr>
              <w:autoSpaceDE w:val="0"/>
              <w:autoSpaceDN w:val="0"/>
              <w:snapToGrid w:val="0"/>
              <w:spacing w:line="360" w:lineRule="exact"/>
              <w:jc w:val="center"/>
              <w:textAlignment w:val="bottom"/>
              <w:rPr>
                <w:rFonts w:ascii="宋体" w:hAnsi="宋体" w:cs="宋体"/>
                <w:sz w:val="24"/>
                <w:szCs w:val="24"/>
                <w:highlight w:val="none"/>
              </w:rPr>
            </w:pPr>
            <w:r>
              <w:rPr>
                <w:rFonts w:hint="eastAsia" w:ascii="宋体" w:hAnsi="宋体" w:cs="宋体"/>
                <w:sz w:val="24"/>
                <w:szCs w:val="24"/>
                <w:highlight w:val="none"/>
              </w:rPr>
              <w:t>方案讲解演示</w:t>
            </w:r>
          </w:p>
        </w:tc>
        <w:tc>
          <w:tcPr>
            <w:tcW w:w="7608" w:type="dxa"/>
            <w:vAlign w:val="center"/>
          </w:tcPr>
          <w:p>
            <w:pPr>
              <w:spacing w:line="360" w:lineRule="auto"/>
              <w:rPr>
                <w:rFonts w:ascii="宋体" w:hAnsi="宋体" w:cs="宋体"/>
                <w:b/>
                <w:bCs/>
                <w:sz w:val="24"/>
                <w:szCs w:val="24"/>
                <w:highlight w:val="none"/>
              </w:rPr>
            </w:pPr>
            <w:r>
              <w:rPr>
                <w:rFonts w:hint="eastAsia" w:ascii="宋体" w:hAnsi="宋体" w:cs="宋体"/>
                <w:sz w:val="24"/>
                <w:szCs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jc w:val="center"/>
        </w:trPr>
        <w:tc>
          <w:tcPr>
            <w:tcW w:w="646" w:type="dxa"/>
            <w:vAlign w:val="center"/>
          </w:tcPr>
          <w:p>
            <w:pPr>
              <w:autoSpaceDE w:val="0"/>
              <w:autoSpaceDN w:val="0"/>
              <w:snapToGrid w:val="0"/>
              <w:spacing w:line="360" w:lineRule="exact"/>
              <w:jc w:val="center"/>
              <w:textAlignment w:val="bottom"/>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6</w:t>
            </w:r>
          </w:p>
        </w:tc>
        <w:tc>
          <w:tcPr>
            <w:tcW w:w="1788" w:type="dxa"/>
            <w:vAlign w:val="center"/>
          </w:tcPr>
          <w:p>
            <w:pPr>
              <w:autoSpaceDE w:val="0"/>
              <w:autoSpaceDN w:val="0"/>
              <w:snapToGrid w:val="0"/>
              <w:spacing w:line="360" w:lineRule="exact"/>
              <w:jc w:val="center"/>
              <w:textAlignment w:val="bottom"/>
              <w:rPr>
                <w:rFonts w:ascii="宋体" w:hAnsi="宋体" w:cs="宋体"/>
                <w:sz w:val="24"/>
                <w:szCs w:val="24"/>
                <w:highlight w:val="none"/>
              </w:rPr>
            </w:pPr>
            <w:r>
              <w:rPr>
                <w:rFonts w:hint="eastAsia" w:ascii="宋体" w:hAnsi="宋体" w:cs="宋体"/>
                <w:b w:val="0"/>
                <w:bCs/>
                <w:sz w:val="24"/>
                <w:szCs w:val="24"/>
                <w:highlight w:val="none"/>
              </w:rPr>
              <w:t>投标人应当提供的资格、资信证明文件</w:t>
            </w:r>
          </w:p>
        </w:tc>
        <w:tc>
          <w:tcPr>
            <w:tcW w:w="7608" w:type="dxa"/>
            <w:vAlign w:val="center"/>
          </w:tcPr>
          <w:p>
            <w:pPr>
              <w:autoSpaceDE w:val="0"/>
              <w:autoSpaceDN w:val="0"/>
              <w:adjustRightInd/>
              <w:snapToGrid w:val="0"/>
              <w:spacing w:line="360" w:lineRule="exact"/>
              <w:textAlignment w:val="bottom"/>
              <w:rPr>
                <w:rFonts w:ascii="宋体" w:hAnsi="宋体" w:cs="宋体"/>
                <w:sz w:val="24"/>
                <w:szCs w:val="24"/>
                <w:highlight w:val="none"/>
              </w:rPr>
            </w:pPr>
            <w:r>
              <w:rPr>
                <w:rFonts w:hint="eastAsia" w:ascii="宋体" w:hAnsi="宋体" w:cs="宋体"/>
                <w:kern w:val="0"/>
                <w:sz w:val="24"/>
                <w:szCs w:val="24"/>
                <w:highlight w:val="none"/>
                <w:lang w:val="zh-CN"/>
              </w:rPr>
              <w:t>投标人按照项目要求提供资格、资信证明文件。投标人未提供有效的资格证明文件的，视为投标人不具备采购文件中规定的资格要求，投标无效。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646" w:type="dxa"/>
            <w:vAlign w:val="center"/>
          </w:tcPr>
          <w:p>
            <w:pPr>
              <w:autoSpaceDE w:val="0"/>
              <w:autoSpaceDN w:val="0"/>
              <w:snapToGrid w:val="0"/>
              <w:spacing w:line="360" w:lineRule="exact"/>
              <w:jc w:val="center"/>
              <w:textAlignment w:val="bottom"/>
              <w:rPr>
                <w:rFonts w:hint="eastAsia" w:eastAsia="宋体"/>
                <w:sz w:val="24"/>
                <w:szCs w:val="24"/>
                <w:highlight w:val="none"/>
                <w:lang w:eastAsia="zh-CN"/>
              </w:rPr>
            </w:pPr>
            <w:r>
              <w:rPr>
                <w:rFonts w:hint="eastAsia" w:ascii="宋体" w:hAnsi="宋体" w:cs="宋体"/>
                <w:sz w:val="24"/>
                <w:szCs w:val="24"/>
                <w:highlight w:val="none"/>
                <w:lang w:val="en-US" w:eastAsia="zh-CN"/>
              </w:rPr>
              <w:t>7</w:t>
            </w:r>
          </w:p>
        </w:tc>
        <w:tc>
          <w:tcPr>
            <w:tcW w:w="1788" w:type="dxa"/>
            <w:vAlign w:val="center"/>
          </w:tcPr>
          <w:p>
            <w:pPr>
              <w:autoSpaceDE w:val="0"/>
              <w:autoSpaceDN w:val="0"/>
              <w:snapToGrid w:val="0"/>
              <w:spacing w:line="400" w:lineRule="exact"/>
              <w:jc w:val="center"/>
              <w:textAlignment w:val="bottom"/>
              <w:rPr>
                <w:rFonts w:ascii="宋体" w:hAnsi="宋体" w:cs="宋体"/>
                <w:b/>
                <w:sz w:val="24"/>
                <w:szCs w:val="24"/>
                <w:highlight w:val="none"/>
              </w:rPr>
            </w:pPr>
            <w:r>
              <w:rPr>
                <w:rFonts w:hint="eastAsia" w:ascii="宋体" w:hAnsi="宋体" w:cs="宋体"/>
                <w:sz w:val="24"/>
                <w:szCs w:val="24"/>
                <w:highlight w:val="none"/>
              </w:rPr>
              <w:t>投标文件编制</w:t>
            </w:r>
          </w:p>
        </w:tc>
        <w:tc>
          <w:tcPr>
            <w:tcW w:w="7608" w:type="dxa"/>
            <w:vAlign w:val="center"/>
          </w:tcPr>
          <w:p>
            <w:pPr>
              <w:autoSpaceDE w:val="0"/>
              <w:autoSpaceDN w:val="0"/>
              <w:snapToGrid w:val="0"/>
              <w:spacing w:line="400" w:lineRule="exact"/>
              <w:textAlignment w:val="bottom"/>
              <w:rPr>
                <w:rFonts w:ascii="宋体" w:hAnsi="宋体" w:cs="宋体"/>
                <w:kern w:val="0"/>
                <w:sz w:val="24"/>
                <w:szCs w:val="24"/>
                <w:highlight w:val="none"/>
              </w:rPr>
            </w:pPr>
            <w:r>
              <w:rPr>
                <w:rFonts w:hint="eastAsia" w:ascii="宋体" w:hAnsi="宋体" w:cs="宋体"/>
                <w:sz w:val="24"/>
                <w:szCs w:val="24"/>
                <w:highlight w:val="none"/>
              </w:rPr>
              <w:t>投标人应先安装“乐采云电子交易客户端”，并按照本采购文件和“采购云平台”的要求，通过“乐采云电子交易客户端”编制并加密投标文件。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646" w:type="dxa"/>
            <w:vAlign w:val="center"/>
          </w:tcPr>
          <w:p>
            <w:pPr>
              <w:autoSpaceDE w:val="0"/>
              <w:autoSpaceDN w:val="0"/>
              <w:snapToGrid w:val="0"/>
              <w:spacing w:line="360" w:lineRule="exact"/>
              <w:jc w:val="center"/>
              <w:textAlignment w:val="bottom"/>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8</w:t>
            </w:r>
          </w:p>
        </w:tc>
        <w:tc>
          <w:tcPr>
            <w:tcW w:w="1788" w:type="dxa"/>
            <w:vAlign w:val="center"/>
          </w:tcPr>
          <w:p>
            <w:pPr>
              <w:autoSpaceDE w:val="0"/>
              <w:autoSpaceDN w:val="0"/>
              <w:snapToGrid w:val="0"/>
              <w:spacing w:line="400" w:lineRule="exact"/>
              <w:jc w:val="center"/>
              <w:textAlignment w:val="bottom"/>
              <w:rPr>
                <w:rFonts w:ascii="宋体" w:hAnsi="宋体" w:cs="宋体"/>
                <w:sz w:val="24"/>
                <w:szCs w:val="24"/>
                <w:highlight w:val="none"/>
              </w:rPr>
            </w:pPr>
            <w:r>
              <w:rPr>
                <w:rFonts w:hint="eastAsia" w:ascii="宋体" w:hAnsi="宋体" w:cs="宋体"/>
                <w:sz w:val="24"/>
                <w:szCs w:val="24"/>
                <w:highlight w:val="none"/>
              </w:rPr>
              <w:t>签字或盖章要求</w:t>
            </w:r>
          </w:p>
        </w:tc>
        <w:tc>
          <w:tcPr>
            <w:tcW w:w="7608" w:type="dxa"/>
            <w:vAlign w:val="center"/>
          </w:tcPr>
          <w:p>
            <w:pPr>
              <w:autoSpaceDE w:val="0"/>
              <w:autoSpaceDN w:val="0"/>
              <w:snapToGrid w:val="0"/>
              <w:spacing w:line="400" w:lineRule="exact"/>
              <w:textAlignment w:val="bottom"/>
              <w:rPr>
                <w:rFonts w:ascii="宋体" w:hAnsi="宋体" w:cs="宋体"/>
                <w:sz w:val="24"/>
                <w:szCs w:val="24"/>
                <w:highlight w:val="none"/>
              </w:rPr>
            </w:pPr>
            <w:r>
              <w:rPr>
                <w:rFonts w:hint="eastAsia" w:ascii="宋体" w:hAnsi="宋体" w:cs="宋体"/>
                <w:sz w:val="24"/>
                <w:szCs w:val="24"/>
                <w:highlight w:val="none"/>
              </w:rPr>
              <w:t>（1）电子投标文件必须有电子签章；</w:t>
            </w:r>
          </w:p>
          <w:p>
            <w:pPr>
              <w:autoSpaceDE w:val="0"/>
              <w:autoSpaceDN w:val="0"/>
              <w:snapToGrid w:val="0"/>
              <w:spacing w:line="400" w:lineRule="exact"/>
              <w:textAlignment w:val="bottom"/>
              <w:rPr>
                <w:rFonts w:ascii="宋体" w:hAnsi="宋体" w:cs="宋体"/>
                <w:sz w:val="24"/>
                <w:szCs w:val="24"/>
                <w:highlight w:val="none"/>
              </w:rPr>
            </w:pPr>
            <w:r>
              <w:rPr>
                <w:rFonts w:hint="eastAsia" w:ascii="宋体" w:hAnsi="宋体" w:cs="宋体"/>
                <w:sz w:val="24"/>
                <w:szCs w:val="24"/>
                <w:highlight w:val="none"/>
              </w:rPr>
              <w:t>（2）开标后，相关信息记录确认、澄清说明、回复等内容，电子签章、或者签章后上传相关文件，均认可；</w:t>
            </w:r>
          </w:p>
          <w:p>
            <w:pPr>
              <w:autoSpaceDE w:val="0"/>
              <w:autoSpaceDN w:val="0"/>
              <w:snapToGrid w:val="0"/>
              <w:spacing w:line="400" w:lineRule="exact"/>
              <w:textAlignment w:val="bottom"/>
              <w:rPr>
                <w:rFonts w:ascii="宋体" w:hAnsi="宋体" w:cs="宋体"/>
                <w:sz w:val="24"/>
                <w:szCs w:val="24"/>
                <w:highlight w:val="none"/>
              </w:rPr>
            </w:pPr>
            <w:r>
              <w:rPr>
                <w:rFonts w:hint="eastAsia" w:ascii="宋体" w:hAnsi="宋体" w:cs="宋体"/>
                <w:sz w:val="24"/>
                <w:szCs w:val="24"/>
                <w:highlight w:val="none"/>
              </w:rPr>
              <w:t>（3）乐采云系统平台有新的操作流程的，按其规定。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646" w:type="dxa"/>
            <w:vAlign w:val="center"/>
          </w:tcPr>
          <w:p>
            <w:pPr>
              <w:autoSpaceDE w:val="0"/>
              <w:autoSpaceDN w:val="0"/>
              <w:snapToGrid w:val="0"/>
              <w:spacing w:line="360" w:lineRule="exact"/>
              <w:jc w:val="center"/>
              <w:textAlignment w:val="bottom"/>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9</w:t>
            </w:r>
          </w:p>
        </w:tc>
        <w:tc>
          <w:tcPr>
            <w:tcW w:w="1788" w:type="dxa"/>
            <w:vAlign w:val="center"/>
          </w:tcPr>
          <w:p>
            <w:pPr>
              <w:autoSpaceDE w:val="0"/>
              <w:autoSpaceDN w:val="0"/>
              <w:snapToGrid w:val="0"/>
              <w:spacing w:line="400" w:lineRule="exact"/>
              <w:jc w:val="center"/>
              <w:textAlignment w:val="bottom"/>
              <w:rPr>
                <w:rFonts w:ascii="宋体" w:hAnsi="宋体" w:cs="宋体"/>
                <w:sz w:val="24"/>
                <w:szCs w:val="24"/>
                <w:highlight w:val="none"/>
              </w:rPr>
            </w:pPr>
            <w:r>
              <w:rPr>
                <w:rFonts w:hint="eastAsia" w:ascii="宋体" w:hAnsi="宋体" w:cs="宋体"/>
                <w:sz w:val="24"/>
                <w:szCs w:val="24"/>
                <w:highlight w:val="none"/>
              </w:rPr>
              <w:t>投标文件的形式</w:t>
            </w:r>
          </w:p>
        </w:tc>
        <w:tc>
          <w:tcPr>
            <w:tcW w:w="7608" w:type="dxa"/>
            <w:vAlign w:val="center"/>
          </w:tcPr>
          <w:p>
            <w:pPr>
              <w:autoSpaceDE w:val="0"/>
              <w:autoSpaceDN w:val="0"/>
              <w:snapToGrid w:val="0"/>
              <w:spacing w:line="400" w:lineRule="exact"/>
              <w:textAlignment w:val="bottom"/>
              <w:rPr>
                <w:rFonts w:ascii="宋体" w:hAnsi="宋体" w:cs="宋体"/>
                <w:sz w:val="24"/>
                <w:szCs w:val="24"/>
                <w:highlight w:val="none"/>
              </w:rPr>
            </w:pPr>
            <w:r>
              <w:rPr>
                <w:rFonts w:hint="eastAsia" w:ascii="宋体" w:hAnsi="宋体" w:cs="宋体"/>
                <w:sz w:val="24"/>
                <w:szCs w:val="24"/>
                <w:highlight w:val="none"/>
              </w:rPr>
              <w:t>电子投标文件（包括“电子加密投标文件”和“备份投标文件”，在投标文件编制完成后同时生成）；</w:t>
            </w:r>
          </w:p>
          <w:p>
            <w:pPr>
              <w:autoSpaceDE w:val="0"/>
              <w:autoSpaceDN w:val="0"/>
              <w:snapToGrid w:val="0"/>
              <w:spacing w:line="400" w:lineRule="exact"/>
              <w:textAlignment w:val="bottom"/>
              <w:rPr>
                <w:rFonts w:ascii="宋体" w:hAnsi="宋体" w:cs="宋体"/>
                <w:sz w:val="24"/>
                <w:szCs w:val="24"/>
                <w:highlight w:val="none"/>
              </w:rPr>
            </w:pPr>
            <w:r>
              <w:rPr>
                <w:rFonts w:hint="eastAsia" w:ascii="宋体" w:hAnsi="宋体" w:cs="宋体"/>
                <w:sz w:val="24"/>
                <w:szCs w:val="24"/>
                <w:highlight w:val="none"/>
              </w:rPr>
              <w:t>（1）“电子加密投标文件”是指通过“乐采云电子交易客户端”完成投标文件编制后生成并加密的数据电文形式的投标文件。</w:t>
            </w:r>
          </w:p>
          <w:p>
            <w:pPr>
              <w:autoSpaceDE w:val="0"/>
              <w:autoSpaceDN w:val="0"/>
              <w:snapToGrid w:val="0"/>
              <w:spacing w:line="400" w:lineRule="exact"/>
              <w:textAlignment w:val="bottom"/>
              <w:rPr>
                <w:rFonts w:ascii="宋体" w:hAnsi="宋体" w:cs="宋体"/>
                <w:sz w:val="24"/>
                <w:szCs w:val="24"/>
                <w:highlight w:val="none"/>
              </w:rPr>
            </w:pPr>
            <w:r>
              <w:rPr>
                <w:rFonts w:hint="eastAsia" w:ascii="宋体" w:hAnsi="宋体" w:cs="宋体"/>
                <w:sz w:val="24"/>
                <w:szCs w:val="24"/>
                <w:highlight w:val="none"/>
              </w:rPr>
              <w:t>（2）“备份投标文件”是指与“电子加密投标文件”同时生成的以介质（U盘）存储的数据电文形式的电子文件（备份标书），其他方式编制的备份投标文件视为无效备份投标文件。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0" w:hRule="atLeast"/>
          <w:jc w:val="center"/>
        </w:trPr>
        <w:tc>
          <w:tcPr>
            <w:tcW w:w="646" w:type="dxa"/>
            <w:vAlign w:val="center"/>
          </w:tcPr>
          <w:p>
            <w:pPr>
              <w:autoSpaceDE w:val="0"/>
              <w:autoSpaceDN w:val="0"/>
              <w:snapToGrid w:val="0"/>
              <w:spacing w:line="360" w:lineRule="exact"/>
              <w:jc w:val="center"/>
              <w:textAlignment w:val="bottom"/>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0</w:t>
            </w:r>
          </w:p>
        </w:tc>
        <w:tc>
          <w:tcPr>
            <w:tcW w:w="1788" w:type="dxa"/>
            <w:vAlign w:val="center"/>
          </w:tcPr>
          <w:p>
            <w:pPr>
              <w:autoSpaceDE w:val="0"/>
              <w:autoSpaceDN w:val="0"/>
              <w:snapToGrid w:val="0"/>
              <w:spacing w:line="40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投标文件份数</w:t>
            </w:r>
          </w:p>
        </w:tc>
        <w:tc>
          <w:tcPr>
            <w:tcW w:w="7608" w:type="dxa"/>
            <w:vAlign w:val="center"/>
          </w:tcPr>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（1）一份电子加密标书（后缀格式为.jmbs），一份备份标书文件（后缀格式为.bfbs）。</w:t>
            </w:r>
          </w:p>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每份电子投标文件应包括资格证明文件、资信技术文件及报价文件三部分内容。</w:t>
            </w:r>
          </w:p>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（2）如中标，中标人需根据采购人要求提供纸质投标文件至少一份。采购人有权要求中标人提供原版技术资料。</w:t>
            </w:r>
          </w:p>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（3）“备份投标文件”：密封包装后（邮寄形式）投标截止时间前递交一份（邮寄地址：嵊州市三江街道领带园二路和创园2号楼4楼2415，张女士收）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0" w:hRule="atLeast"/>
          <w:jc w:val="center"/>
        </w:trPr>
        <w:tc>
          <w:tcPr>
            <w:tcW w:w="646" w:type="dxa"/>
            <w:vAlign w:val="center"/>
          </w:tcPr>
          <w:p>
            <w:pPr>
              <w:autoSpaceDE w:val="0"/>
              <w:autoSpaceDN w:val="0"/>
              <w:snapToGrid w:val="0"/>
              <w:spacing w:line="360" w:lineRule="exact"/>
              <w:jc w:val="center"/>
              <w:textAlignment w:val="bottom"/>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1</w:t>
            </w:r>
          </w:p>
        </w:tc>
        <w:tc>
          <w:tcPr>
            <w:tcW w:w="1788" w:type="dxa"/>
            <w:vAlign w:val="center"/>
          </w:tcPr>
          <w:p>
            <w:pPr>
              <w:autoSpaceDE w:val="0"/>
              <w:autoSpaceDN w:val="0"/>
              <w:snapToGrid w:val="0"/>
              <w:spacing w:line="40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电子加密投标文件的上传、递交</w:t>
            </w:r>
          </w:p>
        </w:tc>
        <w:tc>
          <w:tcPr>
            <w:tcW w:w="7608" w:type="dxa"/>
            <w:vAlign w:val="center"/>
          </w:tcPr>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（1）投标人应在投标截止时间前将“电子加密投标文件”成功上传递交至“采购云平台”，否则投标无效。</w:t>
            </w:r>
          </w:p>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（2）“电子加密投标文件”成功上传递交后，投标人可自行打印投标文件接收回执。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646" w:type="dxa"/>
            <w:vAlign w:val="center"/>
          </w:tcPr>
          <w:p>
            <w:pPr>
              <w:autoSpaceDE w:val="0"/>
              <w:autoSpaceDN w:val="0"/>
              <w:snapToGrid w:val="0"/>
              <w:spacing w:line="360" w:lineRule="exact"/>
              <w:jc w:val="center"/>
              <w:textAlignment w:val="bottom"/>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2</w:t>
            </w:r>
          </w:p>
        </w:tc>
        <w:tc>
          <w:tcPr>
            <w:tcW w:w="1788" w:type="dxa"/>
            <w:vAlign w:val="center"/>
          </w:tcPr>
          <w:p>
            <w:pPr>
              <w:autoSpaceDE w:val="0"/>
              <w:autoSpaceDN w:val="0"/>
              <w:snapToGrid w:val="0"/>
              <w:spacing w:line="40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备份投标文件的密封包装、递交</w:t>
            </w:r>
          </w:p>
        </w:tc>
        <w:tc>
          <w:tcPr>
            <w:tcW w:w="7608" w:type="dxa"/>
            <w:vAlign w:val="center"/>
          </w:tcPr>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（1）投标人在“采购云平台”完成“电子加密投标文件”的上传递交后，还可以（邮寄形式）在投标截止时间前递交以介质（U盘）存储的“备份投标文件”（一份）；</w:t>
            </w:r>
          </w:p>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备份响应文件送达地点： 嵊州市三江街道领带园二路和创园2号楼4楼2415 ；备份响应文件签收人员：</w:t>
            </w:r>
            <w:r>
              <w:rPr>
                <w:rFonts w:hint="eastAsia" w:ascii="宋体" w:hAnsi="宋体" w:eastAsia="宋体" w:cs="宋体"/>
                <w:sz w:val="24"/>
                <w:szCs w:val="24"/>
                <w:highlight w:val="none"/>
                <w:lang w:val="en-US"/>
              </w:rPr>
              <w:t>张</w:t>
            </w:r>
            <w:r>
              <w:rPr>
                <w:rFonts w:hint="eastAsia" w:ascii="宋体" w:hAnsi="宋体" w:cs="宋体"/>
                <w:sz w:val="24"/>
                <w:szCs w:val="24"/>
                <w:highlight w:val="none"/>
                <w:lang w:val="en-US" w:eastAsia="zh-CN"/>
              </w:rPr>
              <w:t>女士</w:t>
            </w:r>
            <w:r>
              <w:rPr>
                <w:rFonts w:hint="eastAsia" w:ascii="宋体" w:hAnsi="宋体" w:eastAsia="宋体" w:cs="宋体"/>
                <w:sz w:val="24"/>
                <w:szCs w:val="24"/>
                <w:highlight w:val="none"/>
                <w:lang w:val="en-US"/>
              </w:rPr>
              <w:t>，电话：</w:t>
            </w:r>
            <w:r>
              <w:rPr>
                <w:rFonts w:hint="eastAsia" w:ascii="宋体" w:hAnsi="宋体" w:eastAsia="宋体" w:cs="宋体"/>
                <w:sz w:val="24"/>
                <w:szCs w:val="24"/>
                <w:highlight w:val="none"/>
              </w:rPr>
              <w:t>0575-89300689。采购人、采购机构不强制或变相强制供应商提交备份响应文件。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5" w:hRule="atLeast"/>
          <w:jc w:val="center"/>
        </w:trPr>
        <w:tc>
          <w:tcPr>
            <w:tcW w:w="646" w:type="dxa"/>
            <w:vAlign w:val="center"/>
          </w:tcPr>
          <w:p>
            <w:pPr>
              <w:autoSpaceDE w:val="0"/>
              <w:autoSpaceDN w:val="0"/>
              <w:snapToGrid w:val="0"/>
              <w:spacing w:line="360" w:lineRule="exact"/>
              <w:jc w:val="center"/>
              <w:textAlignment w:val="bottom"/>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3</w:t>
            </w:r>
          </w:p>
        </w:tc>
        <w:tc>
          <w:tcPr>
            <w:tcW w:w="1788" w:type="dxa"/>
            <w:vAlign w:val="center"/>
          </w:tcPr>
          <w:p>
            <w:pPr>
              <w:autoSpaceDE w:val="0"/>
              <w:autoSpaceDN w:val="0"/>
              <w:snapToGrid w:val="0"/>
              <w:spacing w:line="40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电子加密投标文件的解密和异常情况处理</w:t>
            </w:r>
          </w:p>
        </w:tc>
        <w:tc>
          <w:tcPr>
            <w:tcW w:w="7608" w:type="dxa"/>
            <w:vAlign w:val="center"/>
          </w:tcPr>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（1）开标后，采购组织机构将向各投标人发出“电子加密投标文件”的解密通知，各投标人代表应当在接到解密通知后30分钟内自行完成“电子加密投标文件”的在线解密。</w:t>
            </w:r>
          </w:p>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2）通过“采购云平台”成功上传递交的“电子加密投标文件”无法按时解密，投标人如按规定递交了“备份投标文件”的，以“备份投标文件”为依据（由采购组织机构按“采购云平台”操作规范将“备份投标文件”上传至“采购云平台”，上传成功后，“电子加密投标文件”自动失效），否则视为投标文件撤回。</w:t>
            </w:r>
          </w:p>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（3）投标截止时间前，投标人仅递交了“备份投标文件”而未将电子加密投标文件上传至“采购云平台”的，投标无效。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9" w:hRule="atLeast"/>
          <w:jc w:val="center"/>
        </w:trPr>
        <w:tc>
          <w:tcPr>
            <w:tcW w:w="646" w:type="dxa"/>
            <w:vAlign w:val="center"/>
          </w:tcPr>
          <w:p>
            <w:pPr>
              <w:autoSpaceDE w:val="0"/>
              <w:autoSpaceDN w:val="0"/>
              <w:snapToGrid w:val="0"/>
              <w:spacing w:line="360" w:lineRule="exact"/>
              <w:jc w:val="center"/>
              <w:textAlignment w:val="bottom"/>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14</w:t>
            </w:r>
          </w:p>
        </w:tc>
        <w:tc>
          <w:tcPr>
            <w:tcW w:w="1788" w:type="dxa"/>
            <w:vAlign w:val="center"/>
          </w:tcPr>
          <w:p>
            <w:pPr>
              <w:autoSpaceDE w:val="0"/>
              <w:autoSpaceDN w:val="0"/>
              <w:snapToGrid w:val="0"/>
              <w:spacing w:line="40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样品</w:t>
            </w:r>
          </w:p>
        </w:tc>
        <w:tc>
          <w:tcPr>
            <w:tcW w:w="7608" w:type="dxa"/>
            <w:vAlign w:val="center"/>
          </w:tcPr>
          <w:p>
            <w:pPr>
              <w:snapToGrid w:val="0"/>
              <w:spacing w:line="360" w:lineRule="auto"/>
              <w:contextualSpacing/>
              <w:jc w:val="both"/>
              <w:rPr>
                <w:rFonts w:hint="eastAsia" w:ascii="宋体" w:hAnsi="宋体" w:eastAsia="宋体" w:cs="宋体"/>
                <w:sz w:val="24"/>
                <w:szCs w:val="24"/>
              </w:rPr>
            </w:pPr>
            <w:r>
              <w:rPr>
                <w:rFonts w:hint="eastAsia" w:ascii="宋体" w:hAnsi="宋体" w:eastAsia="宋体" w:cs="宋体"/>
                <w:kern w:val="0"/>
                <w:sz w:val="24"/>
                <w:szCs w:val="24"/>
              </w:rPr>
              <w:sym w:font="Wingdings" w:char="00A8"/>
            </w:r>
            <w:r>
              <w:rPr>
                <w:rFonts w:hint="eastAsia" w:ascii="宋体" w:hAnsi="宋体" w:eastAsia="宋体" w:cs="宋体"/>
                <w:kern w:val="0"/>
                <w:sz w:val="24"/>
                <w:szCs w:val="24"/>
              </w:rPr>
              <w:t>A</w:t>
            </w:r>
            <w:r>
              <w:rPr>
                <w:rFonts w:hint="eastAsia" w:ascii="宋体" w:hAnsi="宋体" w:eastAsia="宋体" w:cs="宋体"/>
                <w:sz w:val="24"/>
                <w:szCs w:val="24"/>
              </w:rPr>
              <w:t>不要求提供。</w:t>
            </w:r>
          </w:p>
          <w:p>
            <w:pPr>
              <w:snapToGrid w:val="0"/>
              <w:spacing w:line="360" w:lineRule="auto"/>
              <w:contextualSpacing/>
              <w:jc w:val="both"/>
              <w:rPr>
                <w:rFonts w:hint="eastAsia" w:ascii="宋体" w:hAnsi="宋体" w:eastAsia="宋体" w:cs="宋体"/>
                <w:kern w:val="0"/>
                <w:sz w:val="24"/>
                <w:szCs w:val="24"/>
              </w:rPr>
            </w:pPr>
            <w:r>
              <w:rPr>
                <w:rFonts w:hint="eastAsia" w:ascii="宋体" w:hAnsi="宋体" w:eastAsia="宋体" w:cs="宋体"/>
                <w:kern w:val="0"/>
                <w:sz w:val="24"/>
                <w:szCs w:val="24"/>
              </w:rPr>
              <w:sym w:font="Wingdings" w:char="00FE"/>
            </w:r>
            <w:r>
              <w:rPr>
                <w:rFonts w:hint="eastAsia" w:ascii="宋体" w:hAnsi="宋体" w:eastAsia="宋体" w:cs="宋体"/>
                <w:kern w:val="0"/>
                <w:sz w:val="24"/>
                <w:szCs w:val="24"/>
              </w:rPr>
              <w:t>B要求提供，</w:t>
            </w:r>
          </w:p>
          <w:p>
            <w:pPr>
              <w:snapToGrid w:val="0"/>
              <w:spacing w:line="360" w:lineRule="auto"/>
              <w:contextualSpacing/>
              <w:jc w:val="both"/>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snapToGrid w:val="0"/>
                <w:kern w:val="28"/>
                <w:sz w:val="24"/>
                <w:szCs w:val="24"/>
              </w:rPr>
              <w:t>样品：详见</w:t>
            </w:r>
            <w:r>
              <w:rPr>
                <w:rFonts w:hint="eastAsia" w:ascii="宋体" w:hAnsi="宋体" w:eastAsia="宋体" w:cs="宋体"/>
                <w:sz w:val="24"/>
                <w:szCs w:val="24"/>
                <w:u w:val="single"/>
              </w:rPr>
              <w:t>评标办法</w:t>
            </w:r>
            <w:r>
              <w:rPr>
                <w:rFonts w:hint="eastAsia" w:ascii="宋体" w:hAnsi="宋体" w:eastAsia="宋体" w:cs="宋体"/>
                <w:kern w:val="0"/>
                <w:sz w:val="24"/>
                <w:szCs w:val="24"/>
              </w:rPr>
              <w:t>；</w:t>
            </w:r>
          </w:p>
          <w:p>
            <w:pPr>
              <w:snapToGrid w:val="0"/>
              <w:spacing w:line="360" w:lineRule="auto"/>
              <w:contextualSpacing/>
              <w:jc w:val="both"/>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snapToGrid w:val="0"/>
                <w:kern w:val="28"/>
                <w:sz w:val="24"/>
                <w:szCs w:val="24"/>
              </w:rPr>
              <w:t>样品制作的标准和要求：详见</w:t>
            </w:r>
            <w:r>
              <w:rPr>
                <w:rFonts w:hint="eastAsia" w:ascii="宋体" w:hAnsi="宋体" w:eastAsia="宋体" w:cs="宋体"/>
                <w:sz w:val="24"/>
                <w:szCs w:val="24"/>
                <w:u w:val="single"/>
              </w:rPr>
              <w:t>评标办法</w:t>
            </w:r>
            <w:r>
              <w:rPr>
                <w:rFonts w:hint="eastAsia" w:ascii="宋体" w:hAnsi="宋体" w:eastAsia="宋体" w:cs="宋体"/>
                <w:kern w:val="0"/>
                <w:sz w:val="24"/>
                <w:szCs w:val="24"/>
              </w:rPr>
              <w:t>；</w:t>
            </w:r>
          </w:p>
          <w:p>
            <w:pPr>
              <w:snapToGrid w:val="0"/>
              <w:spacing w:line="360" w:lineRule="auto"/>
              <w:contextualSpacing/>
              <w:jc w:val="both"/>
              <w:rPr>
                <w:rFonts w:hint="eastAsia" w:ascii="宋体" w:hAnsi="宋体" w:eastAsia="宋体" w:cs="宋体"/>
                <w:kern w:val="0"/>
                <w:sz w:val="24"/>
                <w:szCs w:val="24"/>
              </w:rPr>
            </w:pPr>
            <w:r>
              <w:rPr>
                <w:rFonts w:hint="eastAsia" w:ascii="宋体" w:hAnsi="宋体" w:eastAsia="宋体" w:cs="宋体"/>
                <w:kern w:val="0"/>
                <w:sz w:val="24"/>
                <w:szCs w:val="24"/>
              </w:rPr>
              <w:t>（3）样品的评审方法以及评审标准</w:t>
            </w:r>
            <w:r>
              <w:rPr>
                <w:rFonts w:hint="eastAsia" w:ascii="宋体" w:hAnsi="宋体" w:eastAsia="宋体" w:cs="宋体"/>
                <w:snapToGrid w:val="0"/>
                <w:kern w:val="28"/>
                <w:sz w:val="24"/>
                <w:szCs w:val="24"/>
              </w:rPr>
              <w:t>：详见</w:t>
            </w:r>
            <w:r>
              <w:rPr>
                <w:rFonts w:hint="eastAsia" w:ascii="宋体" w:hAnsi="宋体" w:eastAsia="宋体" w:cs="宋体"/>
                <w:sz w:val="24"/>
                <w:szCs w:val="24"/>
                <w:u w:val="single"/>
              </w:rPr>
              <w:t>评标办法</w:t>
            </w:r>
            <w:r>
              <w:rPr>
                <w:rFonts w:hint="eastAsia" w:ascii="宋体" w:hAnsi="宋体" w:eastAsia="宋体" w:cs="宋体"/>
                <w:kern w:val="0"/>
                <w:sz w:val="24"/>
                <w:szCs w:val="24"/>
              </w:rPr>
              <w:t>；</w:t>
            </w:r>
          </w:p>
          <w:p>
            <w:pPr>
              <w:snapToGrid w:val="0"/>
              <w:spacing w:line="360" w:lineRule="auto"/>
              <w:contextualSpacing/>
              <w:jc w:val="both"/>
              <w:rPr>
                <w:rFonts w:hint="eastAsia" w:ascii="宋体" w:hAnsi="宋体" w:eastAsia="宋体" w:cs="宋体"/>
                <w:kern w:val="0"/>
                <w:sz w:val="24"/>
                <w:szCs w:val="24"/>
              </w:rPr>
            </w:pPr>
            <w:r>
              <w:rPr>
                <w:rFonts w:hint="eastAsia" w:ascii="宋体" w:hAnsi="宋体" w:eastAsia="宋体" w:cs="宋体"/>
                <w:kern w:val="0"/>
                <w:sz w:val="24"/>
                <w:szCs w:val="24"/>
              </w:rPr>
              <w:t>（4）是否需要随样品提交检测报告：</w:t>
            </w:r>
            <w:r>
              <w:rPr>
                <w:rFonts w:hint="eastAsia" w:ascii="宋体" w:hAnsi="宋体" w:eastAsia="宋体" w:cs="宋体"/>
                <w:kern w:val="0"/>
                <w:sz w:val="24"/>
                <w:szCs w:val="24"/>
              </w:rPr>
              <w:sym w:font="Wingdings" w:char="00FE"/>
            </w:r>
            <w:r>
              <w:rPr>
                <w:rFonts w:hint="eastAsia" w:ascii="宋体" w:hAnsi="宋体" w:eastAsia="宋体" w:cs="宋体"/>
                <w:kern w:val="0"/>
                <w:sz w:val="24"/>
                <w:szCs w:val="24"/>
              </w:rPr>
              <w:t>否；☐是，检测机构的要求</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；检测内容</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w:t>
            </w:r>
          </w:p>
          <w:p>
            <w:pPr>
              <w:snapToGrid w:val="0"/>
              <w:spacing w:line="360" w:lineRule="auto"/>
              <w:contextualSpacing/>
              <w:jc w:val="both"/>
              <w:rPr>
                <w:rFonts w:hint="eastAsia" w:ascii="宋体" w:hAnsi="宋体" w:eastAsia="宋体" w:cs="宋体"/>
                <w:sz w:val="24"/>
                <w:szCs w:val="24"/>
              </w:rPr>
            </w:pPr>
            <w:r>
              <w:rPr>
                <w:rFonts w:hint="eastAsia" w:ascii="宋体" w:hAnsi="宋体" w:eastAsia="宋体" w:cs="宋体"/>
                <w:sz w:val="24"/>
                <w:szCs w:val="24"/>
              </w:rPr>
              <w:t>（5）提供样品的时间：</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2025年6月17日8:30-9:00</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；地点：</w:t>
            </w:r>
            <w:r>
              <w:rPr>
                <w:rFonts w:hint="eastAsia" w:ascii="宋体" w:hAnsi="宋体" w:eastAsia="宋体" w:cs="宋体"/>
                <w:sz w:val="24"/>
                <w:szCs w:val="24"/>
                <w:u w:val="single"/>
              </w:rPr>
              <w:t xml:space="preserve"> 嵊州市三江街道领带园二路和创园2号楼4楼2415 </w:t>
            </w:r>
            <w:r>
              <w:rPr>
                <w:rFonts w:hint="eastAsia" w:ascii="宋体" w:hAnsi="宋体" w:eastAsia="宋体" w:cs="宋体"/>
                <w:kern w:val="0"/>
                <w:sz w:val="24"/>
                <w:szCs w:val="24"/>
              </w:rPr>
              <w:t>；联系人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张工</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kern w:val="28"/>
                <w:sz w:val="24"/>
                <w:szCs w:val="24"/>
              </w:rPr>
              <w:t>联系电话：</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0575-89300689</w:t>
            </w:r>
            <w:r>
              <w:rPr>
                <w:rFonts w:hint="eastAsia" w:ascii="宋体" w:hAnsi="宋体" w:eastAsia="宋体" w:cs="宋体"/>
                <w:sz w:val="24"/>
                <w:szCs w:val="24"/>
                <w:u w:val="single"/>
              </w:rPr>
              <w:t xml:space="preserve">  </w:t>
            </w:r>
            <w:r>
              <w:rPr>
                <w:rFonts w:hint="eastAsia" w:ascii="宋体" w:hAnsi="宋体" w:eastAsia="宋体" w:cs="宋体"/>
                <w:sz w:val="24"/>
                <w:szCs w:val="24"/>
              </w:rPr>
              <w:t>。请投标人在上述时间内提供样品并按规定位置安装完毕。超过截止时间的，采购人或采购代理机构将不予接收，并将清场并封闭样品现场。</w:t>
            </w:r>
          </w:p>
          <w:p>
            <w:pPr>
              <w:snapToGrid w:val="0"/>
              <w:spacing w:line="360" w:lineRule="auto"/>
              <w:contextualSpacing/>
              <w:jc w:val="both"/>
              <w:rPr>
                <w:rFonts w:hint="eastAsia" w:ascii="宋体" w:hAnsi="宋体" w:eastAsia="宋体" w:cs="宋体"/>
                <w:sz w:val="24"/>
                <w:szCs w:val="24"/>
              </w:rPr>
            </w:pPr>
            <w:r>
              <w:rPr>
                <w:rFonts w:hint="eastAsia" w:ascii="宋体" w:hAnsi="宋体" w:eastAsia="宋体" w:cs="宋体"/>
                <w:sz w:val="24"/>
                <w:szCs w:val="24"/>
              </w:rPr>
              <w:t>（6）采购活动结束后，对于未</w:t>
            </w:r>
            <w:r>
              <w:rPr>
                <w:rFonts w:hint="eastAsia" w:ascii="宋体" w:hAnsi="宋体" w:eastAsia="宋体" w:cs="宋体"/>
                <w:sz w:val="24"/>
                <w:szCs w:val="24"/>
                <w:lang w:eastAsia="zh-CN"/>
              </w:rPr>
              <w:t>中标供应商</w:t>
            </w:r>
            <w:r>
              <w:rPr>
                <w:rFonts w:hint="eastAsia" w:ascii="宋体" w:hAnsi="宋体" w:eastAsia="宋体" w:cs="宋体"/>
                <w:sz w:val="24"/>
                <w:szCs w:val="24"/>
              </w:rPr>
              <w:t>提供的样品，采购人、采购机构将通知未</w:t>
            </w:r>
            <w:r>
              <w:rPr>
                <w:rFonts w:hint="eastAsia" w:ascii="宋体" w:hAnsi="宋体" w:eastAsia="宋体" w:cs="宋体"/>
                <w:sz w:val="24"/>
                <w:szCs w:val="24"/>
                <w:lang w:eastAsia="zh-CN"/>
              </w:rPr>
              <w:t>中标供应商</w:t>
            </w:r>
            <w:r>
              <w:rPr>
                <w:rFonts w:hint="eastAsia" w:ascii="宋体" w:hAnsi="宋体" w:eastAsia="宋体" w:cs="宋体"/>
                <w:sz w:val="24"/>
                <w:szCs w:val="24"/>
              </w:rPr>
              <w:t>在规定的时间内取回，逾期未取回的，采购人、采购机构不负保管义务；对于</w:t>
            </w:r>
            <w:r>
              <w:rPr>
                <w:rFonts w:hint="eastAsia" w:ascii="宋体" w:hAnsi="宋体" w:eastAsia="宋体" w:cs="宋体"/>
                <w:sz w:val="24"/>
                <w:szCs w:val="24"/>
                <w:lang w:eastAsia="zh-CN"/>
              </w:rPr>
              <w:t>中标供应商</w:t>
            </w:r>
            <w:r>
              <w:rPr>
                <w:rFonts w:hint="eastAsia" w:ascii="宋体" w:hAnsi="宋体" w:eastAsia="宋体" w:cs="宋体"/>
                <w:sz w:val="24"/>
                <w:szCs w:val="24"/>
              </w:rPr>
              <w:t>提供的样品，采购人将进行保管、封存，并作为履约验收的参考。</w:t>
            </w:r>
          </w:p>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9" w:hRule="atLeast"/>
          <w:jc w:val="center"/>
        </w:trPr>
        <w:tc>
          <w:tcPr>
            <w:tcW w:w="646" w:type="dxa"/>
            <w:vAlign w:val="center"/>
          </w:tcPr>
          <w:p>
            <w:pPr>
              <w:autoSpaceDE w:val="0"/>
              <w:autoSpaceDN w:val="0"/>
              <w:snapToGrid w:val="0"/>
              <w:spacing w:line="360" w:lineRule="exact"/>
              <w:jc w:val="center"/>
              <w:textAlignment w:val="bottom"/>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15</w:t>
            </w:r>
          </w:p>
        </w:tc>
        <w:tc>
          <w:tcPr>
            <w:tcW w:w="1788" w:type="dxa"/>
            <w:vAlign w:val="center"/>
          </w:tcPr>
          <w:p>
            <w:pPr>
              <w:autoSpaceDE w:val="0"/>
              <w:autoSpaceDN w:val="0"/>
              <w:snapToGrid w:val="0"/>
              <w:spacing w:line="400" w:lineRule="exact"/>
              <w:jc w:val="center"/>
              <w:textAlignment w:val="bottom"/>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投标保证金</w:t>
            </w:r>
          </w:p>
        </w:tc>
        <w:tc>
          <w:tcPr>
            <w:tcW w:w="7608" w:type="dxa"/>
            <w:vAlign w:val="center"/>
          </w:tcPr>
          <w:p>
            <w:pPr>
              <w:snapToGrid w:val="0"/>
              <w:spacing w:line="360" w:lineRule="auto"/>
              <w:contextualSpacing/>
              <w:jc w:val="both"/>
              <w:rPr>
                <w:rFonts w:hint="eastAsia" w:ascii="宋体" w:hAnsi="宋体" w:eastAsia="宋体" w:cs="宋体"/>
                <w:sz w:val="24"/>
                <w:szCs w:val="24"/>
              </w:rPr>
            </w:pPr>
            <w:r>
              <w:rPr>
                <w:rFonts w:hint="eastAsia" w:ascii="宋体" w:hAnsi="宋体" w:eastAsia="宋体" w:cs="宋体"/>
                <w:sz w:val="24"/>
                <w:szCs w:val="24"/>
              </w:rPr>
              <w:t>投标保证金：</w:t>
            </w:r>
            <w:r>
              <w:rPr>
                <w:rFonts w:hint="eastAsia" w:ascii="宋体" w:hAnsi="宋体" w:eastAsia="宋体" w:cs="宋体"/>
                <w:sz w:val="24"/>
                <w:szCs w:val="24"/>
                <w:lang w:val="en-US" w:eastAsia="zh-CN"/>
              </w:rPr>
              <w:t>30000</w:t>
            </w:r>
            <w:r>
              <w:rPr>
                <w:rFonts w:hint="eastAsia" w:ascii="宋体" w:hAnsi="宋体" w:eastAsia="宋体" w:cs="宋体"/>
                <w:sz w:val="24"/>
                <w:szCs w:val="24"/>
              </w:rPr>
              <w:t>元(大写：</w:t>
            </w:r>
            <w:r>
              <w:rPr>
                <w:rFonts w:hint="eastAsia" w:ascii="宋体" w:hAnsi="宋体" w:eastAsia="宋体" w:cs="宋体"/>
                <w:sz w:val="24"/>
                <w:szCs w:val="24"/>
                <w:lang w:val="en-US" w:eastAsia="zh-CN"/>
              </w:rPr>
              <w:t>叁</w:t>
            </w:r>
            <w:r>
              <w:rPr>
                <w:rFonts w:hint="eastAsia" w:ascii="宋体" w:hAnsi="宋体" w:eastAsia="宋体" w:cs="宋体"/>
                <w:sz w:val="24"/>
                <w:szCs w:val="24"/>
                <w:lang w:eastAsia="zh-CN"/>
              </w:rPr>
              <w:t>万</w:t>
            </w:r>
            <w:r>
              <w:rPr>
                <w:rFonts w:hint="eastAsia" w:ascii="宋体" w:hAnsi="宋体" w:eastAsia="宋体" w:cs="宋体"/>
                <w:sz w:val="24"/>
                <w:szCs w:val="24"/>
              </w:rPr>
              <w:t>元整)。转账(电汇) 或网银支付,由投标人自行选择。提交时间：投标保证金在开标前到账。如因投标人自身原因，造成投标单位保证金未及时到账，一律视为不响应招标文件，其投标文件不予接受。</w:t>
            </w:r>
          </w:p>
          <w:p>
            <w:pPr>
              <w:snapToGrid w:val="0"/>
              <w:spacing w:line="360" w:lineRule="auto"/>
              <w:contextualSpacing/>
              <w:jc w:val="both"/>
              <w:rPr>
                <w:rFonts w:hint="eastAsia" w:ascii="宋体" w:hAnsi="宋体" w:eastAsia="宋体" w:cs="宋体"/>
                <w:sz w:val="24"/>
                <w:szCs w:val="24"/>
              </w:rPr>
            </w:pPr>
            <w:r>
              <w:rPr>
                <w:rFonts w:hint="eastAsia" w:ascii="宋体" w:hAnsi="宋体" w:eastAsia="宋体" w:cs="宋体"/>
                <w:sz w:val="24"/>
                <w:szCs w:val="24"/>
              </w:rPr>
              <w:t>公司名称：</w:t>
            </w:r>
            <w:r>
              <w:rPr>
                <w:rFonts w:hint="eastAsia" w:ascii="宋体" w:hAnsi="宋体" w:eastAsia="宋体" w:cs="宋体"/>
                <w:sz w:val="24"/>
                <w:szCs w:val="24"/>
                <w:lang w:eastAsia="zh-CN"/>
              </w:rPr>
              <w:t>泾清项目管理有限公司</w:t>
            </w:r>
            <w:r>
              <w:rPr>
                <w:rFonts w:hint="eastAsia" w:ascii="宋体" w:hAnsi="宋体" w:eastAsia="宋体" w:cs="宋体"/>
                <w:sz w:val="24"/>
                <w:szCs w:val="24"/>
              </w:rPr>
              <w:t>嵊州分公司</w:t>
            </w:r>
          </w:p>
          <w:p>
            <w:pPr>
              <w:snapToGrid w:val="0"/>
              <w:spacing w:line="360" w:lineRule="auto"/>
              <w:contextualSpacing/>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开户行:中国工商银行嵊州市支行</w:t>
            </w:r>
          </w:p>
          <w:p>
            <w:pPr>
              <w:snapToGrid w:val="0"/>
              <w:spacing w:line="360" w:lineRule="auto"/>
              <w:contextualSpacing/>
              <w:jc w:val="both"/>
              <w:rPr>
                <w:rFonts w:hint="eastAsia" w:ascii="宋体" w:hAnsi="宋体" w:eastAsia="宋体" w:cs="宋体"/>
                <w:sz w:val="24"/>
                <w:szCs w:val="24"/>
              </w:rPr>
            </w:pPr>
            <w:r>
              <w:rPr>
                <w:rFonts w:hint="eastAsia" w:ascii="宋体" w:hAnsi="宋体" w:eastAsia="宋体" w:cs="宋体"/>
                <w:sz w:val="24"/>
                <w:szCs w:val="24"/>
                <w:lang w:val="en-US" w:eastAsia="zh-CN"/>
              </w:rPr>
              <w:t>账  号:1211026009200295337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646" w:type="dxa"/>
            <w:vAlign w:val="center"/>
          </w:tcPr>
          <w:p>
            <w:pPr>
              <w:autoSpaceDE w:val="0"/>
              <w:autoSpaceDN w:val="0"/>
              <w:snapToGrid w:val="0"/>
              <w:spacing w:line="360" w:lineRule="exact"/>
              <w:jc w:val="center"/>
              <w:textAlignment w:val="bottom"/>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6</w:t>
            </w:r>
          </w:p>
        </w:tc>
        <w:tc>
          <w:tcPr>
            <w:tcW w:w="1788" w:type="dxa"/>
            <w:vAlign w:val="center"/>
          </w:tcPr>
          <w:p>
            <w:pPr>
              <w:autoSpaceDE w:val="0"/>
              <w:autoSpaceDN w:val="0"/>
              <w:snapToGrid w:val="0"/>
              <w:spacing w:line="40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投标有效期</w:t>
            </w:r>
          </w:p>
        </w:tc>
        <w:tc>
          <w:tcPr>
            <w:tcW w:w="7608" w:type="dxa"/>
            <w:vAlign w:val="center"/>
          </w:tcPr>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投标截止时间后90天。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646" w:type="dxa"/>
            <w:vAlign w:val="center"/>
          </w:tcPr>
          <w:p>
            <w:pPr>
              <w:autoSpaceDE w:val="0"/>
              <w:autoSpaceDN w:val="0"/>
              <w:snapToGrid w:val="0"/>
              <w:spacing w:line="360" w:lineRule="exact"/>
              <w:jc w:val="center"/>
              <w:textAlignment w:val="bottom"/>
              <w:rPr>
                <w:rFonts w:hint="default" w:ascii="宋体" w:hAnsi="宋体" w:eastAsia="宋体" w:cs="宋体"/>
                <w:b/>
                <w:bCs/>
                <w:sz w:val="24"/>
                <w:szCs w:val="24"/>
                <w:highlight w:val="none"/>
                <w:lang w:val="en-US" w:eastAsia="zh-CN"/>
              </w:rPr>
            </w:pPr>
            <w:r>
              <w:rPr>
                <w:rFonts w:hint="eastAsia" w:ascii="宋体" w:hAnsi="宋体" w:cs="宋体"/>
                <w:sz w:val="24"/>
                <w:szCs w:val="24"/>
                <w:highlight w:val="none"/>
                <w:lang w:val="en-US" w:eastAsia="zh-CN"/>
              </w:rPr>
              <w:t>17</w:t>
            </w:r>
          </w:p>
        </w:tc>
        <w:tc>
          <w:tcPr>
            <w:tcW w:w="1788" w:type="dxa"/>
            <w:vAlign w:val="center"/>
          </w:tcPr>
          <w:p>
            <w:pPr>
              <w:autoSpaceDE w:val="0"/>
              <w:autoSpaceDN w:val="0"/>
              <w:snapToGrid w:val="0"/>
              <w:spacing w:line="40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开标时间和地点</w:t>
            </w:r>
          </w:p>
        </w:tc>
        <w:tc>
          <w:tcPr>
            <w:tcW w:w="7608" w:type="dxa"/>
            <w:vAlign w:val="center"/>
          </w:tcPr>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按“采购公告”规定。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646" w:type="dxa"/>
            <w:vAlign w:val="center"/>
          </w:tcPr>
          <w:p>
            <w:pPr>
              <w:autoSpaceDE w:val="0"/>
              <w:autoSpaceDN w:val="0"/>
              <w:snapToGrid w:val="0"/>
              <w:spacing w:line="360" w:lineRule="exact"/>
              <w:jc w:val="center"/>
              <w:textAlignment w:val="bottom"/>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18</w:t>
            </w:r>
          </w:p>
        </w:tc>
        <w:tc>
          <w:tcPr>
            <w:tcW w:w="1788" w:type="dxa"/>
            <w:vAlign w:val="center"/>
          </w:tcPr>
          <w:p>
            <w:pPr>
              <w:autoSpaceDE w:val="0"/>
              <w:autoSpaceDN w:val="0"/>
              <w:snapToGrid w:val="0"/>
              <w:spacing w:line="40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w:t>
            </w:r>
          </w:p>
        </w:tc>
        <w:tc>
          <w:tcPr>
            <w:tcW w:w="7608" w:type="dxa"/>
            <w:vAlign w:val="center"/>
          </w:tcPr>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中标金额的 1 %；收到中标通知书之日起5个工作日内缴纳履约保证金，项目验收合格并经采购人认可后30日内无息退还履约保证金。履约保证金支付方式：转账形式。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646" w:type="dxa"/>
            <w:vAlign w:val="center"/>
          </w:tcPr>
          <w:p>
            <w:pPr>
              <w:autoSpaceDE w:val="0"/>
              <w:autoSpaceDN w:val="0"/>
              <w:snapToGrid w:val="0"/>
              <w:spacing w:line="360" w:lineRule="exact"/>
              <w:jc w:val="center"/>
              <w:textAlignment w:val="bottom"/>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19</w:t>
            </w:r>
          </w:p>
        </w:tc>
        <w:tc>
          <w:tcPr>
            <w:tcW w:w="1788" w:type="dxa"/>
            <w:vAlign w:val="center"/>
          </w:tcPr>
          <w:p>
            <w:pPr>
              <w:autoSpaceDE w:val="0"/>
              <w:autoSpaceDN w:val="0"/>
              <w:snapToGrid w:val="0"/>
              <w:spacing w:line="40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7608" w:type="dxa"/>
            <w:vAlign w:val="center"/>
          </w:tcPr>
          <w:p>
            <w:pPr>
              <w:numPr>
                <w:ilvl w:val="0"/>
                <w:numId w:val="0"/>
              </w:numPr>
              <w:spacing w:line="500" w:lineRule="exact"/>
              <w:jc w:val="left"/>
              <w:rPr>
                <w:rFonts w:hint="eastAsia" w:ascii="宋体" w:hAnsi="宋体" w:eastAsia="宋体" w:cs="宋体"/>
                <w:sz w:val="24"/>
                <w:szCs w:val="24"/>
                <w:highlight w:val="none"/>
                <w:lang w:val="zh-TW" w:eastAsia="zh-CN"/>
              </w:rPr>
            </w:pPr>
            <w:r>
              <w:rPr>
                <w:rFonts w:hint="eastAsia" w:ascii="宋体" w:hAnsi="宋体" w:eastAsia="宋体" w:cs="宋体"/>
                <w:sz w:val="24"/>
                <w:szCs w:val="24"/>
                <w:highlight w:val="none"/>
                <w:lang w:val="zh-TW" w:eastAsia="zh-TW"/>
              </w:rPr>
              <w:t>（1）项目成果方案审核</w:t>
            </w:r>
            <w:r>
              <w:rPr>
                <w:rFonts w:hint="eastAsia" w:ascii="宋体" w:hAnsi="宋体" w:cs="宋体"/>
                <w:sz w:val="24"/>
                <w:szCs w:val="24"/>
                <w:highlight w:val="none"/>
                <w:lang w:val="zh-TW" w:eastAsia="zh-CN"/>
              </w:rPr>
              <w:t>通过</w:t>
            </w:r>
            <w:r>
              <w:rPr>
                <w:rFonts w:hint="eastAsia" w:ascii="宋体" w:hAnsi="宋体" w:eastAsia="宋体" w:cs="宋体"/>
                <w:sz w:val="24"/>
                <w:szCs w:val="24"/>
                <w:highlight w:val="none"/>
                <w:lang w:val="zh-TW" w:eastAsia="zh-TW"/>
              </w:rPr>
              <w:t>后</w:t>
            </w:r>
            <w:r>
              <w:rPr>
                <w:rFonts w:hint="eastAsia" w:ascii="宋体" w:hAnsi="宋体" w:cs="宋体"/>
                <w:sz w:val="24"/>
                <w:szCs w:val="24"/>
                <w:highlight w:val="none"/>
                <w:lang w:val="zh-TW" w:eastAsia="zh-CN"/>
              </w:rPr>
              <w:t>支付合同价</w:t>
            </w:r>
            <w:r>
              <w:rPr>
                <w:rFonts w:hint="eastAsia" w:ascii="宋体" w:hAnsi="宋体" w:eastAsia="宋体" w:cs="宋体"/>
                <w:sz w:val="24"/>
                <w:szCs w:val="24"/>
                <w:highlight w:val="none"/>
                <w:lang w:val="zh-TW" w:eastAsia="zh-TW"/>
              </w:rPr>
              <w:t>30%</w:t>
            </w:r>
            <w:r>
              <w:rPr>
                <w:rFonts w:hint="eastAsia" w:ascii="宋体" w:hAnsi="宋体" w:cs="宋体"/>
                <w:sz w:val="24"/>
                <w:szCs w:val="24"/>
                <w:highlight w:val="none"/>
                <w:lang w:val="zh-TW" w:eastAsia="zh-CN"/>
              </w:rPr>
              <w:t>；</w:t>
            </w:r>
          </w:p>
          <w:p>
            <w:pPr>
              <w:numPr>
                <w:ilvl w:val="0"/>
                <w:numId w:val="0"/>
              </w:numPr>
              <w:spacing w:line="500" w:lineRule="exact"/>
              <w:jc w:val="left"/>
              <w:rPr>
                <w:rFonts w:hint="eastAsia" w:ascii="宋体" w:hAnsi="宋体" w:eastAsia="宋体" w:cs="宋体"/>
                <w:sz w:val="24"/>
                <w:szCs w:val="24"/>
                <w:highlight w:val="none"/>
                <w:lang w:val="zh-TW" w:eastAsia="zh-CN"/>
              </w:rPr>
            </w:pPr>
            <w:r>
              <w:rPr>
                <w:rFonts w:hint="eastAsia" w:ascii="宋体" w:hAnsi="宋体" w:eastAsia="宋体" w:cs="宋体"/>
                <w:sz w:val="24"/>
                <w:szCs w:val="24"/>
                <w:highlight w:val="none"/>
                <w:lang w:val="zh-TW" w:eastAsia="zh-TW"/>
              </w:rPr>
              <w:t>（2）项目完工后</w:t>
            </w:r>
            <w:r>
              <w:rPr>
                <w:rFonts w:hint="eastAsia" w:ascii="宋体" w:hAnsi="宋体" w:cs="宋体"/>
                <w:sz w:val="24"/>
                <w:szCs w:val="24"/>
                <w:highlight w:val="none"/>
                <w:lang w:val="zh-TW" w:eastAsia="zh-CN"/>
              </w:rPr>
              <w:t>支付合同价</w:t>
            </w:r>
            <w:r>
              <w:rPr>
                <w:rFonts w:hint="eastAsia" w:ascii="宋体" w:hAnsi="宋体" w:eastAsia="宋体" w:cs="宋体"/>
                <w:sz w:val="24"/>
                <w:szCs w:val="24"/>
                <w:highlight w:val="none"/>
                <w:lang w:val="zh-TW" w:eastAsia="zh-TW"/>
              </w:rPr>
              <w:t>40%</w:t>
            </w:r>
            <w:r>
              <w:rPr>
                <w:rFonts w:hint="eastAsia" w:ascii="宋体" w:hAnsi="宋体" w:cs="宋体"/>
                <w:sz w:val="24"/>
                <w:szCs w:val="24"/>
                <w:highlight w:val="none"/>
                <w:lang w:val="zh-TW" w:eastAsia="zh-CN"/>
              </w:rPr>
              <w:t>；</w:t>
            </w:r>
          </w:p>
          <w:p>
            <w:pPr>
              <w:numPr>
                <w:ilvl w:val="0"/>
                <w:numId w:val="0"/>
              </w:numPr>
              <w:spacing w:line="50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TW"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zh-TW" w:eastAsia="zh-CN"/>
              </w:rPr>
              <w:t>）</w:t>
            </w:r>
            <w:r>
              <w:rPr>
                <w:rFonts w:hint="eastAsia" w:ascii="宋体" w:hAnsi="宋体" w:cs="宋体"/>
                <w:sz w:val="24"/>
                <w:szCs w:val="24"/>
                <w:highlight w:val="none"/>
                <w:lang w:val="zh-TW" w:eastAsia="zh-CN"/>
              </w:rPr>
              <w:t>项目经结算审核完成后支付至95%</w:t>
            </w:r>
            <w:r>
              <w:rPr>
                <w:rFonts w:hint="eastAsia" w:ascii="宋体" w:hAnsi="宋体" w:cs="宋体"/>
                <w:sz w:val="24"/>
                <w:szCs w:val="24"/>
                <w:highlight w:val="none"/>
                <w:lang w:val="en-US" w:eastAsia="zh-CN"/>
              </w:rPr>
              <w:t>；</w:t>
            </w:r>
          </w:p>
          <w:p>
            <w:pPr>
              <w:numPr>
                <w:ilvl w:val="0"/>
                <w:numId w:val="0"/>
              </w:numPr>
              <w:spacing w:line="5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zh-TW" w:eastAsia="zh-CN"/>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zh-TW" w:eastAsia="zh-CN"/>
              </w:rPr>
              <w:t>）</w:t>
            </w:r>
            <w:r>
              <w:rPr>
                <w:rFonts w:hint="eastAsia" w:ascii="宋体" w:hAnsi="宋体" w:cs="宋体"/>
                <w:sz w:val="24"/>
                <w:szCs w:val="24"/>
                <w:highlight w:val="none"/>
                <w:lang w:val="zh-TW" w:eastAsia="zh-CN"/>
              </w:rPr>
              <w:t>完工验收一年后支付剩余5%</w:t>
            </w:r>
            <w:r>
              <w:rPr>
                <w:rFonts w:hint="eastAsia" w:ascii="宋体" w:hAnsi="宋体" w:cs="宋体"/>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646" w:type="dxa"/>
            <w:vAlign w:val="center"/>
          </w:tcPr>
          <w:p>
            <w:pPr>
              <w:autoSpaceDE w:val="0"/>
              <w:autoSpaceDN w:val="0"/>
              <w:snapToGrid w:val="0"/>
              <w:spacing w:line="360" w:lineRule="exact"/>
              <w:jc w:val="center"/>
              <w:textAlignment w:val="bottom"/>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20</w:t>
            </w:r>
          </w:p>
        </w:tc>
        <w:tc>
          <w:tcPr>
            <w:tcW w:w="1788" w:type="dxa"/>
            <w:vAlign w:val="center"/>
          </w:tcPr>
          <w:p>
            <w:pPr>
              <w:autoSpaceDE w:val="0"/>
              <w:autoSpaceDN w:val="0"/>
              <w:snapToGrid w:val="0"/>
              <w:spacing w:line="40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投标人信用信息事项</w:t>
            </w:r>
          </w:p>
        </w:tc>
        <w:tc>
          <w:tcPr>
            <w:tcW w:w="7608" w:type="dxa"/>
            <w:vAlign w:val="center"/>
          </w:tcPr>
          <w:p>
            <w:pPr>
              <w:snapToGrid w:val="0"/>
              <w:spacing w:line="400" w:lineRule="exact"/>
              <w:rPr>
                <w:rFonts w:hint="eastAsia" w:ascii="宋体" w:hAnsi="宋体" w:eastAsia="宋体" w:cs="宋体"/>
                <w:sz w:val="24"/>
                <w:szCs w:val="24"/>
                <w:highlight w:val="none"/>
              </w:rPr>
            </w:pPr>
            <w:r>
              <w:rPr>
                <w:rFonts w:hint="eastAsia" w:ascii="宋体" w:hAnsi="宋体" w:eastAsia="宋体" w:cs="宋体"/>
                <w:b/>
                <w:sz w:val="24"/>
                <w:szCs w:val="24"/>
                <w:highlight w:val="none"/>
              </w:rPr>
              <w:t>信用信息查询渠道及截止时间：</w:t>
            </w:r>
            <w:r>
              <w:rPr>
                <w:rFonts w:hint="eastAsia" w:ascii="宋体" w:hAnsi="宋体" w:eastAsia="宋体" w:cs="宋体"/>
                <w:sz w:val="24"/>
                <w:szCs w:val="24"/>
                <w:highlight w:val="none"/>
              </w:rPr>
              <w:t>项目评审组织人员将通过“信用中国”网站(www.creditchina.gov.cn)、中国政府采购网(www.ccgp.gov.cn)渠道查询投标人</w:t>
            </w:r>
            <w:r>
              <w:rPr>
                <w:rFonts w:hint="eastAsia" w:ascii="宋体" w:hAnsi="宋体" w:eastAsia="宋体" w:cs="宋体"/>
                <w:b/>
                <w:sz w:val="24"/>
                <w:szCs w:val="24"/>
                <w:highlight w:val="none"/>
              </w:rPr>
              <w:t>投标截止时间前</w:t>
            </w:r>
            <w:r>
              <w:rPr>
                <w:rFonts w:hint="eastAsia" w:ascii="宋体" w:hAnsi="宋体" w:eastAsia="宋体" w:cs="宋体"/>
                <w:sz w:val="24"/>
                <w:szCs w:val="24"/>
                <w:highlight w:val="none"/>
              </w:rPr>
              <w:t>的信用记录。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646" w:type="dxa"/>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napToGrid w:val="0"/>
                <w:kern w:val="28"/>
                <w:sz w:val="24"/>
                <w:szCs w:val="24"/>
                <w:highlight w:val="none"/>
              </w:rPr>
              <w:t>2</w:t>
            </w:r>
            <w:r>
              <w:rPr>
                <w:rFonts w:hint="eastAsia" w:ascii="宋体" w:hAnsi="宋体" w:cs="宋体"/>
                <w:snapToGrid w:val="0"/>
                <w:kern w:val="28"/>
                <w:sz w:val="24"/>
                <w:szCs w:val="24"/>
                <w:highlight w:val="none"/>
                <w:lang w:val="en-US" w:eastAsia="zh-CN"/>
              </w:rPr>
              <w:t>1</w:t>
            </w:r>
          </w:p>
        </w:tc>
        <w:tc>
          <w:tcPr>
            <w:tcW w:w="1788" w:type="dxa"/>
            <w:vAlign w:val="center"/>
          </w:tcPr>
          <w:p>
            <w:pPr>
              <w:autoSpaceDE w:val="0"/>
              <w:autoSpaceDN w:val="0"/>
              <w:snapToGrid w:val="0"/>
              <w:spacing w:line="36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特别说明</w:t>
            </w:r>
          </w:p>
        </w:tc>
        <w:tc>
          <w:tcPr>
            <w:tcW w:w="7608" w:type="dxa"/>
            <w:vAlign w:val="center"/>
          </w:tcPr>
          <w:p>
            <w:pPr>
              <w:pStyle w:val="58"/>
              <w:widowControl w:val="0"/>
              <w:autoSpaceDE w:val="0"/>
              <w:autoSpaceDN w:val="0"/>
              <w:snapToGrid w:val="0"/>
              <w:spacing w:line="360" w:lineRule="exact"/>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jc w:val="center"/>
        </w:trPr>
        <w:tc>
          <w:tcPr>
            <w:tcW w:w="646" w:type="dxa"/>
            <w:vAlign w:val="center"/>
          </w:tcPr>
          <w:p>
            <w:pPr>
              <w:spacing w:line="360" w:lineRule="auto"/>
              <w:jc w:val="center"/>
              <w:rPr>
                <w:rFonts w:hint="eastAsia" w:ascii="宋体" w:hAnsi="宋体" w:eastAsia="宋体" w:cs="宋体"/>
                <w:snapToGrid w:val="0"/>
                <w:kern w:val="28"/>
                <w:sz w:val="24"/>
                <w:szCs w:val="24"/>
                <w:highlight w:val="none"/>
                <w:lang w:val="en-US" w:eastAsia="zh-CN"/>
              </w:rPr>
            </w:pPr>
            <w:r>
              <w:rPr>
                <w:rFonts w:hint="eastAsia" w:ascii="宋体" w:hAnsi="宋体" w:eastAsia="宋体" w:cs="宋体"/>
                <w:snapToGrid w:val="0"/>
                <w:kern w:val="28"/>
                <w:sz w:val="24"/>
                <w:szCs w:val="24"/>
                <w:highlight w:val="none"/>
              </w:rPr>
              <w:t>2</w:t>
            </w:r>
            <w:r>
              <w:rPr>
                <w:rFonts w:hint="eastAsia" w:ascii="宋体" w:hAnsi="宋体" w:cs="宋体"/>
                <w:snapToGrid w:val="0"/>
                <w:kern w:val="28"/>
                <w:sz w:val="24"/>
                <w:szCs w:val="24"/>
                <w:highlight w:val="none"/>
                <w:lang w:val="en-US" w:eastAsia="zh-CN"/>
              </w:rPr>
              <w:t>2</w:t>
            </w:r>
          </w:p>
        </w:tc>
        <w:tc>
          <w:tcPr>
            <w:tcW w:w="1788" w:type="dxa"/>
            <w:vAlign w:val="center"/>
          </w:tcPr>
          <w:p>
            <w:pPr>
              <w:keepNext w:val="0"/>
              <w:keepLines w:val="0"/>
              <w:numPr>
                <w:ilvl w:val="0"/>
                <w:numId w:val="0"/>
              </w:numPr>
              <w:suppressLineNumbers w:val="0"/>
              <w:spacing w:before="0" w:beforeAutospacing="0" w:after="0" w:afterAutospacing="0" w:line="4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代理服务费</w:t>
            </w:r>
          </w:p>
        </w:tc>
        <w:tc>
          <w:tcPr>
            <w:tcW w:w="7608" w:type="dxa"/>
            <w:vAlign w:val="center"/>
          </w:tcPr>
          <w:p>
            <w:pPr>
              <w:keepNext w:val="0"/>
              <w:keepLines w:val="0"/>
              <w:numPr>
                <w:ilvl w:val="0"/>
                <w:numId w:val="0"/>
              </w:numPr>
              <w:suppressLineNumbers w:val="0"/>
              <w:spacing w:before="0" w:beforeAutospacing="0" w:after="0" w:afterAutospacing="0" w:line="4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采购代理服务费：</w:t>
            </w:r>
          </w:p>
          <w:p>
            <w:pPr>
              <w:keepNext w:val="0"/>
              <w:keepLines w:val="0"/>
              <w:numPr>
                <w:ilvl w:val="0"/>
                <w:numId w:val="0"/>
              </w:numPr>
              <w:suppressLineNumbers w:val="0"/>
              <w:spacing w:before="0" w:beforeAutospacing="0" w:after="0" w:afterAutospacing="0" w:line="440" w:lineRule="exact"/>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采购人须向采购代理机构按如下标准和规定交纳成交服务费：</w:t>
            </w:r>
          </w:p>
          <w:p>
            <w:pPr>
              <w:keepNext w:val="0"/>
              <w:keepLines w:val="0"/>
              <w:numPr>
                <w:ilvl w:val="0"/>
                <w:numId w:val="0"/>
              </w:numPr>
              <w:suppressLineNumbers w:val="0"/>
              <w:spacing w:before="0" w:beforeAutospacing="0" w:after="0" w:afterAutospacing="0" w:line="4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①</w:t>
            </w:r>
            <w:r>
              <w:rPr>
                <w:rFonts w:hint="eastAsia" w:ascii="宋体" w:hAnsi="宋体" w:eastAsia="宋体" w:cs="宋体"/>
                <w:color w:val="auto"/>
                <w:sz w:val="24"/>
                <w:szCs w:val="24"/>
              </w:rPr>
              <w:t>采购代理服务费：以标项中标金额为计算基数，采用差额定率累进计费方式，按以下标准费率计算值收取</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费率标准如下：</w:t>
            </w:r>
          </w:p>
          <w:tbl>
            <w:tblPr>
              <w:tblStyle w:val="31"/>
              <w:tblW w:w="55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2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4" w:type="dxa"/>
                  <w:noWrap w:val="0"/>
                  <w:vAlign w:val="top"/>
                </w:tcPr>
                <w:p>
                  <w:pPr>
                    <w:keepNext w:val="0"/>
                    <w:keepLines w:val="0"/>
                    <w:numPr>
                      <w:ilvl w:val="0"/>
                      <w:numId w:val="0"/>
                    </w:numPr>
                    <w:suppressLineNumbers w:val="0"/>
                    <w:spacing w:before="0" w:beforeAutospacing="0" w:after="0" w:afterAutospacing="0" w:line="440" w:lineRule="exact"/>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金额（万元）</w:t>
                  </w:r>
                </w:p>
              </w:tc>
              <w:tc>
                <w:tcPr>
                  <w:tcW w:w="2838" w:type="dxa"/>
                  <w:noWrap w:val="0"/>
                  <w:vAlign w:val="top"/>
                </w:tcPr>
                <w:p>
                  <w:pPr>
                    <w:keepNext w:val="0"/>
                    <w:keepLines w:val="0"/>
                    <w:numPr>
                      <w:ilvl w:val="0"/>
                      <w:numId w:val="0"/>
                    </w:numPr>
                    <w:suppressLineNumbers w:val="0"/>
                    <w:spacing w:before="0" w:beforeAutospacing="0" w:after="0" w:afterAutospacing="0" w:line="440" w:lineRule="exact"/>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4" w:type="dxa"/>
                  <w:noWrap w:val="0"/>
                  <w:vAlign w:val="top"/>
                </w:tcPr>
                <w:p>
                  <w:pPr>
                    <w:keepNext w:val="0"/>
                    <w:keepLines w:val="0"/>
                    <w:numPr>
                      <w:ilvl w:val="0"/>
                      <w:numId w:val="0"/>
                    </w:numPr>
                    <w:suppressLineNumbers w:val="0"/>
                    <w:spacing w:before="0" w:beforeAutospacing="0" w:after="0" w:afterAutospacing="0" w:line="440" w:lineRule="exact"/>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100（含）及以下部分</w:t>
                  </w:r>
                </w:p>
              </w:tc>
              <w:tc>
                <w:tcPr>
                  <w:tcW w:w="2838" w:type="dxa"/>
                  <w:noWrap w:val="0"/>
                  <w:vAlign w:val="top"/>
                </w:tcPr>
                <w:p>
                  <w:pPr>
                    <w:keepNext w:val="0"/>
                    <w:keepLines w:val="0"/>
                    <w:numPr>
                      <w:ilvl w:val="0"/>
                      <w:numId w:val="0"/>
                    </w:numPr>
                    <w:suppressLineNumbers w:val="0"/>
                    <w:spacing w:before="0" w:beforeAutospacing="0" w:after="0" w:afterAutospacing="0" w:line="440" w:lineRule="exact"/>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4" w:type="dxa"/>
                  <w:noWrap w:val="0"/>
                  <w:vAlign w:val="top"/>
                </w:tcPr>
                <w:p>
                  <w:pPr>
                    <w:keepNext w:val="0"/>
                    <w:keepLines w:val="0"/>
                    <w:numPr>
                      <w:ilvl w:val="0"/>
                      <w:numId w:val="0"/>
                    </w:numPr>
                    <w:suppressLineNumbers w:val="0"/>
                    <w:spacing w:before="0" w:beforeAutospacing="0" w:after="0" w:afterAutospacing="0" w:line="440" w:lineRule="exact"/>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100～500 之间部分</w:t>
                  </w:r>
                </w:p>
              </w:tc>
              <w:tc>
                <w:tcPr>
                  <w:tcW w:w="2838" w:type="dxa"/>
                  <w:noWrap w:val="0"/>
                  <w:vAlign w:val="top"/>
                </w:tcPr>
                <w:p>
                  <w:pPr>
                    <w:keepNext w:val="0"/>
                    <w:keepLines w:val="0"/>
                    <w:numPr>
                      <w:ilvl w:val="0"/>
                      <w:numId w:val="0"/>
                    </w:numPr>
                    <w:suppressLineNumbers w:val="0"/>
                    <w:spacing w:before="0" w:beforeAutospacing="0" w:after="0" w:afterAutospacing="0" w:line="440" w:lineRule="exact"/>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4" w:type="dxa"/>
                  <w:noWrap w:val="0"/>
                  <w:vAlign w:val="top"/>
                </w:tcPr>
                <w:p>
                  <w:pPr>
                    <w:keepNext w:val="0"/>
                    <w:keepLines w:val="0"/>
                    <w:numPr>
                      <w:ilvl w:val="0"/>
                      <w:numId w:val="0"/>
                    </w:numPr>
                    <w:suppressLineNumbers w:val="0"/>
                    <w:spacing w:before="0" w:beforeAutospacing="0" w:after="0" w:afterAutospacing="0" w:line="440" w:lineRule="exact"/>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500～1000 之间部分</w:t>
                  </w:r>
                </w:p>
              </w:tc>
              <w:tc>
                <w:tcPr>
                  <w:tcW w:w="2838" w:type="dxa"/>
                  <w:noWrap w:val="0"/>
                  <w:vAlign w:val="top"/>
                </w:tcPr>
                <w:p>
                  <w:pPr>
                    <w:keepNext w:val="0"/>
                    <w:keepLines w:val="0"/>
                    <w:numPr>
                      <w:ilvl w:val="0"/>
                      <w:numId w:val="0"/>
                    </w:numPr>
                    <w:suppressLineNumbers w:val="0"/>
                    <w:spacing w:before="0" w:beforeAutospacing="0" w:after="0" w:afterAutospacing="0" w:line="440" w:lineRule="exact"/>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0.8%</w:t>
                  </w:r>
                </w:p>
              </w:tc>
            </w:tr>
          </w:tbl>
          <w:p>
            <w:pPr>
              <w:keepNext w:val="0"/>
              <w:keepLines w:val="0"/>
              <w:numPr>
                <w:ilvl w:val="0"/>
                <w:numId w:val="0"/>
              </w:numPr>
              <w:suppressLineNumbers w:val="0"/>
              <w:spacing w:before="0" w:beforeAutospacing="0" w:after="0" w:afterAutospacing="0" w:line="4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②用银行支票、电汇、现金等付款方式直接交纳代理服务费。</w:t>
            </w:r>
          </w:p>
          <w:p>
            <w:pPr>
              <w:keepNext w:val="0"/>
              <w:keepLines w:val="0"/>
              <w:numPr>
                <w:ilvl w:val="0"/>
                <w:numId w:val="0"/>
              </w:numPr>
              <w:suppressLineNumbers w:val="0"/>
              <w:spacing w:before="0" w:beforeAutospacing="0" w:after="0" w:afterAutospacing="0" w:line="440" w:lineRule="exact"/>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公司名称：泾清项目管理有限公司</w:t>
            </w:r>
            <w:r>
              <w:rPr>
                <w:rFonts w:hint="eastAsia" w:ascii="宋体" w:hAnsi="宋体" w:eastAsia="宋体" w:cs="宋体"/>
                <w:color w:val="auto"/>
                <w:sz w:val="24"/>
                <w:szCs w:val="24"/>
                <w:lang w:eastAsia="zh-CN"/>
              </w:rPr>
              <w:t>嵊州分公司</w:t>
            </w:r>
          </w:p>
          <w:p>
            <w:pPr>
              <w:keepNext w:val="0"/>
              <w:keepLines w:val="0"/>
              <w:numPr>
                <w:ilvl w:val="0"/>
                <w:numId w:val="0"/>
              </w:numPr>
              <w:suppressLineNumbers w:val="0"/>
              <w:spacing w:before="0" w:beforeAutospacing="0" w:after="0" w:afterAutospacing="0" w:line="4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开户行：中国工商银行嵊州市支行</w:t>
            </w:r>
          </w:p>
          <w:p>
            <w:pPr>
              <w:keepNext w:val="0"/>
              <w:keepLines w:val="0"/>
              <w:numPr>
                <w:ilvl w:val="0"/>
                <w:numId w:val="0"/>
              </w:numPr>
              <w:suppressLineNumbers w:val="0"/>
              <w:spacing w:before="0" w:beforeAutospacing="0" w:after="0" w:afterAutospacing="0" w:line="4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账  号：1211026009200295337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exact"/>
          <w:jc w:val="center"/>
        </w:trPr>
        <w:tc>
          <w:tcPr>
            <w:tcW w:w="646" w:type="dxa"/>
            <w:vAlign w:val="center"/>
          </w:tcPr>
          <w:p>
            <w:pPr>
              <w:spacing w:line="360" w:lineRule="auto"/>
              <w:jc w:val="center"/>
              <w:rPr>
                <w:rFonts w:hint="eastAsia" w:ascii="宋体" w:hAnsi="宋体" w:eastAsia="宋体" w:cs="宋体"/>
                <w:snapToGrid w:val="0"/>
                <w:kern w:val="28"/>
                <w:sz w:val="24"/>
                <w:szCs w:val="24"/>
                <w:highlight w:val="none"/>
                <w:lang w:val="en-US" w:eastAsia="zh-CN"/>
              </w:rPr>
            </w:pPr>
            <w:r>
              <w:rPr>
                <w:rFonts w:hint="eastAsia" w:ascii="宋体" w:hAnsi="宋体" w:eastAsia="宋体" w:cs="宋体"/>
                <w:snapToGrid w:val="0"/>
                <w:kern w:val="28"/>
                <w:sz w:val="24"/>
                <w:szCs w:val="24"/>
                <w:highlight w:val="none"/>
              </w:rPr>
              <w:t>2</w:t>
            </w:r>
            <w:r>
              <w:rPr>
                <w:rFonts w:hint="eastAsia" w:ascii="宋体" w:hAnsi="宋体" w:cs="宋体"/>
                <w:snapToGrid w:val="0"/>
                <w:kern w:val="28"/>
                <w:sz w:val="24"/>
                <w:szCs w:val="24"/>
                <w:highlight w:val="none"/>
                <w:lang w:val="en-US" w:eastAsia="zh-CN"/>
              </w:rPr>
              <w:t>3</w:t>
            </w:r>
          </w:p>
        </w:tc>
        <w:tc>
          <w:tcPr>
            <w:tcW w:w="1788" w:type="dxa"/>
            <w:vAlign w:val="center"/>
          </w:tcPr>
          <w:p>
            <w:pPr>
              <w:spacing w:line="360" w:lineRule="auto"/>
              <w:jc w:val="center"/>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解释</w:t>
            </w:r>
          </w:p>
        </w:tc>
        <w:tc>
          <w:tcPr>
            <w:tcW w:w="7608" w:type="dxa"/>
            <w:vAlign w:val="center"/>
          </w:tcPr>
          <w:p>
            <w:pPr>
              <w:spacing w:line="360" w:lineRule="auto"/>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凡涉及本文件的解释权属于采购人和采购代理机构。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0042" w:type="dxa"/>
            <w:gridSpan w:val="3"/>
            <w:vAlign w:val="center"/>
          </w:tcPr>
          <w:p>
            <w:pPr>
              <w:spacing w:line="360" w:lineRule="auto"/>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注：排名第一的预中标候选人放弃中标资格或因质疑、投诉被取消预中标资格或不能履行合同的，重新组织招标。</w:t>
            </w:r>
          </w:p>
        </w:tc>
      </w:tr>
    </w:tbl>
    <w:p>
      <w:pPr>
        <w:adjustRightInd/>
        <w:spacing w:line="500" w:lineRule="exact"/>
        <w:outlineLvl w:val="0"/>
        <w:rPr>
          <w:rFonts w:ascii="宋体" w:hAnsi="宋体" w:cs="宋体"/>
          <w:b/>
          <w:sz w:val="28"/>
          <w:szCs w:val="28"/>
          <w:highlight w:val="none"/>
        </w:rPr>
      </w:pPr>
    </w:p>
    <w:p>
      <w:pPr>
        <w:adjustRightInd/>
        <w:spacing w:line="500" w:lineRule="exact"/>
        <w:jc w:val="center"/>
        <w:outlineLvl w:val="0"/>
        <w:rPr>
          <w:rFonts w:ascii="宋体" w:hAnsi="宋体" w:cs="宋体"/>
          <w:b/>
          <w:sz w:val="28"/>
          <w:szCs w:val="28"/>
          <w:highlight w:val="none"/>
        </w:rPr>
      </w:pPr>
      <w:r>
        <w:rPr>
          <w:rFonts w:hint="eastAsia" w:ascii="宋体" w:hAnsi="宋体" w:cs="宋体"/>
          <w:b/>
          <w:sz w:val="28"/>
          <w:szCs w:val="28"/>
          <w:highlight w:val="none"/>
        </w:rPr>
        <w:t>一、总则</w:t>
      </w:r>
      <w:bookmarkEnd w:id="28"/>
      <w:bookmarkEnd w:id="29"/>
    </w:p>
    <w:p>
      <w:pPr>
        <w:snapToGrid w:val="0"/>
        <w:spacing w:line="500" w:lineRule="exact"/>
        <w:jc w:val="left"/>
        <w:outlineLvl w:val="1"/>
        <w:rPr>
          <w:rFonts w:ascii="宋体" w:hAnsi="宋体" w:cs="宋体"/>
          <w:b/>
          <w:sz w:val="24"/>
          <w:highlight w:val="none"/>
        </w:rPr>
      </w:pPr>
      <w:r>
        <w:rPr>
          <w:rFonts w:hint="eastAsia" w:ascii="宋体" w:hAnsi="宋体" w:cs="宋体"/>
          <w:b/>
          <w:sz w:val="24"/>
          <w:highlight w:val="none"/>
        </w:rPr>
        <w:t>1. 适用范围</w:t>
      </w:r>
    </w:p>
    <w:p>
      <w:pPr>
        <w:snapToGrid w:val="0"/>
        <w:spacing w:line="500" w:lineRule="exact"/>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本招标文件适用于该项目的招标、投标、开标、资格审查及信用信息查询、评标、合同、验收等行为（法律、法规另有规定的，从其规定）。</w:t>
      </w:r>
    </w:p>
    <w:p>
      <w:pPr>
        <w:adjustRightInd/>
        <w:spacing w:line="500" w:lineRule="exact"/>
        <w:outlineLvl w:val="0"/>
        <w:rPr>
          <w:rFonts w:ascii="宋体" w:hAnsi="宋体" w:cs="宋体"/>
          <w:b/>
          <w:sz w:val="24"/>
          <w:highlight w:val="none"/>
        </w:rPr>
      </w:pPr>
      <w:bookmarkStart w:id="32" w:name="_Toc15695"/>
      <w:bookmarkStart w:id="33" w:name="_Toc18330"/>
      <w:r>
        <w:rPr>
          <w:rFonts w:hint="eastAsia" w:ascii="宋体" w:hAnsi="宋体" w:cs="宋体"/>
          <w:b/>
          <w:sz w:val="24"/>
          <w:highlight w:val="none"/>
        </w:rPr>
        <w:t>2.定义</w:t>
      </w:r>
      <w:bookmarkEnd w:id="32"/>
      <w:bookmarkEnd w:id="33"/>
    </w:p>
    <w:p>
      <w:pPr>
        <w:spacing w:line="500" w:lineRule="exact"/>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pPr>
        <w:spacing w:line="500" w:lineRule="exact"/>
        <w:ind w:firstLine="480" w:firstLineChars="200"/>
        <w:rPr>
          <w:rFonts w:ascii="宋体" w:hAnsi="宋体" w:cs="宋体"/>
          <w:sz w:val="24"/>
          <w:highlight w:val="none"/>
        </w:rPr>
      </w:pPr>
      <w:r>
        <w:rPr>
          <w:rFonts w:hint="eastAsia" w:ascii="宋体" w:hAnsi="宋体" w:cs="宋体"/>
          <w:sz w:val="24"/>
          <w:highlight w:val="none"/>
        </w:rPr>
        <w:t>2.2 “采购代理机构”系指招标公告中载明的本项目的采购代理机构。</w:t>
      </w:r>
    </w:p>
    <w:p>
      <w:pPr>
        <w:spacing w:line="500" w:lineRule="exact"/>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pPr>
        <w:spacing w:line="500" w:lineRule="exact"/>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pPr>
        <w:spacing w:line="500" w:lineRule="exact"/>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w:t>
      </w:r>
    </w:p>
    <w:p>
      <w:pPr>
        <w:spacing w:line="500" w:lineRule="exact"/>
        <w:ind w:firstLine="480" w:firstLineChars="200"/>
        <w:rPr>
          <w:rFonts w:ascii="宋体" w:hAnsi="宋体" w:cs="宋体"/>
          <w:sz w:val="24"/>
          <w:highlight w:val="none"/>
        </w:rPr>
      </w:pPr>
      <w:r>
        <w:rPr>
          <w:rFonts w:hint="eastAsia" w:ascii="宋体" w:hAnsi="宋体" w:cs="宋体"/>
          <w:sz w:val="24"/>
          <w:highlight w:val="none"/>
        </w:rPr>
        <w:t>2.6“电子交易平台”是指本项目国企采购活动所依托的采购云平台（https://www.lecaiyun.com/）。</w:t>
      </w:r>
    </w:p>
    <w:p>
      <w:pPr>
        <w:spacing w:line="500" w:lineRule="exact"/>
        <w:ind w:firstLine="480" w:firstLineChars="200"/>
        <w:rPr>
          <w:rFonts w:ascii="宋体" w:hAnsi="宋体" w:cs="宋体"/>
          <w:b/>
          <w:sz w:val="24"/>
          <w:highlight w:val="none"/>
        </w:rPr>
      </w:pPr>
      <w:r>
        <w:rPr>
          <w:rFonts w:hint="eastAsia" w:ascii="宋体" w:hAnsi="宋体" w:cs="宋体"/>
          <w:sz w:val="24"/>
          <w:highlight w:val="none"/>
        </w:rPr>
        <w:t>2.7 “</w:t>
      </w:r>
      <w:r>
        <w:rPr>
          <w:rFonts w:hint="eastAsia" w:ascii="宋体" w:hAnsi="宋体" w:cs="宋体"/>
          <w:kern w:val="0"/>
          <w:sz w:val="24"/>
          <w:highlight w:val="none"/>
        </w:rPr>
        <w:t>★</w:t>
      </w:r>
      <w:r>
        <w:rPr>
          <w:rFonts w:hint="eastAsia" w:ascii="宋体" w:hAnsi="宋体" w:cs="宋体"/>
          <w:sz w:val="24"/>
          <w:highlight w:val="none"/>
        </w:rPr>
        <w:t>” 系指实质性要求条款。</w:t>
      </w:r>
      <w:r>
        <w:rPr>
          <w:rFonts w:hint="eastAsia" w:ascii="宋体" w:hAnsi="宋体" w:cs="宋体"/>
          <w:b/>
          <w:sz w:val="24"/>
          <w:highlight w:val="none"/>
        </w:rPr>
        <w:t>▲</w:t>
      </w:r>
      <w:r>
        <w:rPr>
          <w:rFonts w:hint="eastAsia" w:ascii="宋体" w:hAnsi="宋体" w:cs="宋体"/>
          <w:kern w:val="0"/>
          <w:sz w:val="24"/>
          <w:highlight w:val="none"/>
        </w:rPr>
        <w:t>为重要性指标。</w:t>
      </w:r>
    </w:p>
    <w:p>
      <w:pPr>
        <w:spacing w:line="500" w:lineRule="exact"/>
        <w:rPr>
          <w:rFonts w:ascii="宋体" w:hAnsi="宋体" w:cs="宋体"/>
          <w:b/>
          <w:sz w:val="24"/>
          <w:highlight w:val="none"/>
        </w:rPr>
      </w:pPr>
      <w:r>
        <w:rPr>
          <w:rFonts w:hint="eastAsia" w:ascii="宋体" w:hAnsi="宋体" w:cs="宋体"/>
          <w:b/>
          <w:sz w:val="24"/>
          <w:highlight w:val="none"/>
        </w:rPr>
        <w:t>3. 询问、质疑、投诉</w:t>
      </w:r>
    </w:p>
    <w:p>
      <w:pPr>
        <w:autoSpaceDE w:val="0"/>
        <w:autoSpaceDN w:val="0"/>
        <w:spacing w:line="500" w:lineRule="exact"/>
        <w:ind w:firstLine="240" w:firstLineChars="100"/>
        <w:jc w:val="left"/>
        <w:rPr>
          <w:rFonts w:ascii="宋体" w:hAnsi="宋体" w:cs="宋体"/>
          <w:kern w:val="0"/>
          <w:sz w:val="24"/>
          <w:highlight w:val="none"/>
          <w:lang w:val="zh-CN"/>
        </w:rPr>
      </w:pPr>
      <w:r>
        <w:rPr>
          <w:rFonts w:hint="eastAsia" w:ascii="宋体" w:hAnsi="宋体" w:cs="宋体"/>
          <w:kern w:val="0"/>
          <w:sz w:val="24"/>
          <w:highlight w:val="none"/>
        </w:rPr>
        <w:t>3</w:t>
      </w:r>
      <w:r>
        <w:rPr>
          <w:rFonts w:hint="eastAsia" w:ascii="宋体" w:hAnsi="宋体" w:cs="宋体"/>
          <w:kern w:val="0"/>
          <w:sz w:val="24"/>
          <w:highlight w:val="none"/>
          <w:lang w:val="zh-CN"/>
        </w:rPr>
        <w:t>.1投标人询问</w:t>
      </w:r>
    </w:p>
    <w:p>
      <w:pPr>
        <w:autoSpaceDE w:val="0"/>
        <w:autoSpaceDN w:val="0"/>
        <w:spacing w:line="500" w:lineRule="exact"/>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投标人对</w:t>
      </w:r>
      <w:r>
        <w:rPr>
          <w:rFonts w:hint="eastAsia" w:ascii="宋体" w:hAnsi="宋体" w:cs="宋体"/>
          <w:kern w:val="0"/>
          <w:sz w:val="24"/>
          <w:highlight w:val="none"/>
        </w:rPr>
        <w:t>国企</w:t>
      </w:r>
      <w:r>
        <w:rPr>
          <w:rFonts w:hint="eastAsia" w:ascii="宋体" w:hAnsi="宋体" w:cs="宋体"/>
          <w:kern w:val="0"/>
          <w:sz w:val="24"/>
          <w:highlight w:val="none"/>
          <w:lang w:val="zh-CN"/>
        </w:rPr>
        <w:t>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pPr>
        <w:autoSpaceDE w:val="0"/>
        <w:autoSpaceDN w:val="0"/>
        <w:spacing w:line="500" w:lineRule="exact"/>
        <w:ind w:firstLine="240" w:firstLineChars="100"/>
        <w:jc w:val="left"/>
        <w:rPr>
          <w:rFonts w:ascii="宋体" w:hAnsi="宋体" w:cs="宋体"/>
          <w:kern w:val="0"/>
          <w:sz w:val="24"/>
          <w:highlight w:val="none"/>
          <w:lang w:val="zh-CN"/>
        </w:rPr>
      </w:pPr>
      <w:r>
        <w:rPr>
          <w:rFonts w:hint="eastAsia" w:ascii="宋体" w:hAnsi="宋体" w:cs="宋体"/>
          <w:kern w:val="0"/>
          <w:sz w:val="24"/>
          <w:highlight w:val="none"/>
        </w:rPr>
        <w:t>3</w:t>
      </w:r>
      <w:r>
        <w:rPr>
          <w:rFonts w:hint="eastAsia" w:ascii="宋体" w:hAnsi="宋体" w:cs="宋体"/>
          <w:kern w:val="0"/>
          <w:sz w:val="24"/>
          <w:highlight w:val="none"/>
          <w:lang w:val="zh-CN"/>
        </w:rPr>
        <w:t>.2投标人质疑</w:t>
      </w:r>
    </w:p>
    <w:p>
      <w:pPr>
        <w:pStyle w:val="19"/>
        <w:spacing w:before="120" w:after="120" w:line="500" w:lineRule="exact"/>
        <w:ind w:firstLine="480" w:firstLineChars="200"/>
        <w:rPr>
          <w:rFonts w:hAnsi="宋体"/>
          <w:highlight w:val="none"/>
        </w:rPr>
      </w:pPr>
      <w:r>
        <w:rPr>
          <w:rFonts w:hint="eastAsia" w:hAnsi="宋体"/>
          <w:kern w:val="0"/>
          <w:highlight w:val="none"/>
        </w:rPr>
        <w:t>3</w:t>
      </w:r>
      <w:r>
        <w:rPr>
          <w:rFonts w:hint="eastAsia" w:hAnsi="宋体"/>
          <w:kern w:val="0"/>
          <w:highlight w:val="none"/>
          <w:lang w:val="zh-CN"/>
        </w:rPr>
        <w:t>.2</w:t>
      </w:r>
      <w:r>
        <w:rPr>
          <w:rFonts w:hint="eastAsia" w:hAnsi="宋体"/>
          <w:highlight w:val="none"/>
        </w:rPr>
        <w:t>.1提出质疑的投标人应当是参与所质疑项目采购活动的投标人。潜在投标人已依法获取其可质疑的招标文件的，可以对该文件提出质疑。</w:t>
      </w:r>
    </w:p>
    <w:p>
      <w:pPr>
        <w:pStyle w:val="19"/>
        <w:spacing w:before="120" w:after="120" w:line="500" w:lineRule="exact"/>
        <w:ind w:firstLine="480" w:firstLineChars="200"/>
        <w:rPr>
          <w:rFonts w:hAnsi="宋体"/>
          <w:highlight w:val="none"/>
        </w:rPr>
      </w:pPr>
      <w:r>
        <w:rPr>
          <w:rFonts w:hint="eastAsia" w:hAnsi="宋体"/>
          <w:kern w:val="0"/>
          <w:highlight w:val="none"/>
        </w:rPr>
        <w:t>3</w:t>
      </w:r>
      <w:r>
        <w:rPr>
          <w:rFonts w:hint="eastAsia" w:hAnsi="宋体"/>
          <w:kern w:val="0"/>
          <w:highlight w:val="none"/>
          <w:lang w:val="zh-CN"/>
        </w:rPr>
        <w:t>.2</w:t>
      </w:r>
      <w:r>
        <w:rPr>
          <w:rFonts w:hint="eastAsia" w:hAnsi="宋体"/>
          <w:highlight w:val="none"/>
        </w:rPr>
        <w:t>.2投标人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4"/>
        <w:spacing w:line="500" w:lineRule="exact"/>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3.2.2.1对招标文件提出质疑的，质疑期限为投标人获得招标文件之日或者招标文件公告期限届满之日起计算。</w:t>
      </w:r>
    </w:p>
    <w:p>
      <w:pPr>
        <w:pStyle w:val="19"/>
        <w:spacing w:before="120" w:after="120" w:line="500" w:lineRule="exact"/>
        <w:ind w:firstLine="480" w:firstLineChars="200"/>
        <w:rPr>
          <w:rFonts w:hAnsi="宋体"/>
          <w:highlight w:val="none"/>
        </w:rPr>
      </w:pPr>
      <w:r>
        <w:rPr>
          <w:rFonts w:hint="eastAsia" w:hAnsi="宋体"/>
          <w:highlight w:val="none"/>
        </w:rPr>
        <w:t>3.2.2.2对采购过程提出质疑的，质疑期限为各采购程序环节结束之日起计算。对同一采购程序环节的质疑，投标人须一次性提出。</w:t>
      </w:r>
    </w:p>
    <w:p>
      <w:pPr>
        <w:pStyle w:val="19"/>
        <w:spacing w:before="120" w:after="120" w:line="500" w:lineRule="exact"/>
        <w:ind w:firstLine="480" w:firstLineChars="200"/>
        <w:rPr>
          <w:rFonts w:hAnsi="宋体"/>
          <w:highlight w:val="none"/>
        </w:rPr>
      </w:pPr>
      <w:r>
        <w:rPr>
          <w:rFonts w:hint="eastAsia" w:hAnsi="宋体"/>
          <w:highlight w:val="none"/>
        </w:rPr>
        <w:t>3.2.2.3对采购结果提出质疑的，质疑期限自采购结果公告期限届满之日起计算。</w:t>
      </w:r>
    </w:p>
    <w:p>
      <w:pPr>
        <w:pStyle w:val="19"/>
        <w:spacing w:before="120" w:after="120" w:line="500" w:lineRule="exact"/>
        <w:ind w:firstLine="480" w:firstLineChars="200"/>
        <w:rPr>
          <w:rFonts w:hAnsi="宋体"/>
          <w:highlight w:val="none"/>
        </w:rPr>
      </w:pPr>
      <w:r>
        <w:rPr>
          <w:rFonts w:hint="eastAsia" w:hAnsi="宋体"/>
          <w:kern w:val="0"/>
          <w:highlight w:val="none"/>
        </w:rPr>
        <w:t>3</w:t>
      </w:r>
      <w:r>
        <w:rPr>
          <w:rFonts w:hint="eastAsia" w:hAnsi="宋体"/>
          <w:kern w:val="0"/>
          <w:highlight w:val="none"/>
          <w:lang w:val="zh-CN"/>
        </w:rPr>
        <w:t>.2.3</w:t>
      </w:r>
      <w:r>
        <w:rPr>
          <w:rFonts w:hint="eastAsia" w:hAnsi="宋体"/>
          <w:highlight w:val="none"/>
        </w:rPr>
        <w:t>投标人提出质疑应当提交质疑函和必要的证明材料。质疑函应当包括下列内容：</w:t>
      </w:r>
    </w:p>
    <w:p>
      <w:pPr>
        <w:pStyle w:val="19"/>
        <w:numPr>
          <w:ilvl w:val="0"/>
          <w:numId w:val="7"/>
        </w:numPr>
        <w:spacing w:before="120" w:after="120" w:line="500" w:lineRule="exact"/>
        <w:ind w:firstLine="480" w:firstLineChars="200"/>
        <w:rPr>
          <w:rFonts w:hAnsi="宋体"/>
          <w:kern w:val="0"/>
          <w:highlight w:val="none"/>
          <w:lang w:val="zh-CN"/>
        </w:rPr>
      </w:pPr>
      <w:r>
        <w:rPr>
          <w:rFonts w:hint="eastAsia" w:hAnsi="宋体"/>
          <w:kern w:val="0"/>
          <w:highlight w:val="none"/>
          <w:lang w:val="zh-CN"/>
        </w:rPr>
        <w:t>投标人的姓名或者名称、地址、邮编、联系人及联系电话；质疑项目的名称、编号；</w:t>
      </w:r>
    </w:p>
    <w:p>
      <w:pPr>
        <w:pStyle w:val="19"/>
        <w:numPr>
          <w:ilvl w:val="0"/>
          <w:numId w:val="7"/>
        </w:numPr>
        <w:spacing w:before="120" w:after="120" w:line="500" w:lineRule="exact"/>
        <w:ind w:firstLine="480" w:firstLineChars="200"/>
        <w:rPr>
          <w:rFonts w:hAnsi="宋体"/>
          <w:kern w:val="0"/>
          <w:highlight w:val="none"/>
          <w:lang w:val="zh-CN"/>
        </w:rPr>
      </w:pPr>
      <w:r>
        <w:rPr>
          <w:rFonts w:hint="eastAsia" w:hAnsi="宋体"/>
          <w:kern w:val="0"/>
          <w:highlight w:val="none"/>
          <w:lang w:val="zh-CN"/>
        </w:rPr>
        <w:t>具体、明确的质疑事项和与质疑事项相关的请求；</w:t>
      </w:r>
    </w:p>
    <w:p>
      <w:pPr>
        <w:pStyle w:val="19"/>
        <w:spacing w:before="120" w:after="120" w:line="500" w:lineRule="exact"/>
        <w:ind w:firstLine="480" w:firstLineChars="200"/>
        <w:rPr>
          <w:rFonts w:hAnsi="宋体"/>
          <w:kern w:val="0"/>
          <w:highlight w:val="none"/>
          <w:lang w:val="zh-CN"/>
        </w:rPr>
      </w:pPr>
      <w:r>
        <w:rPr>
          <w:rFonts w:hint="eastAsia" w:hAnsi="宋体"/>
          <w:kern w:val="0"/>
          <w:highlight w:val="none"/>
        </w:rPr>
        <w:t>（3）</w:t>
      </w:r>
      <w:r>
        <w:rPr>
          <w:rFonts w:hint="eastAsia" w:hAnsi="宋体"/>
          <w:kern w:val="0"/>
          <w:highlight w:val="none"/>
          <w:lang w:val="zh-CN"/>
        </w:rPr>
        <w:t>事实依据；</w:t>
      </w:r>
    </w:p>
    <w:p>
      <w:pPr>
        <w:pStyle w:val="19"/>
        <w:spacing w:before="120" w:after="120" w:line="500" w:lineRule="exact"/>
        <w:ind w:firstLine="480" w:firstLineChars="200"/>
        <w:rPr>
          <w:rFonts w:hAnsi="宋体"/>
          <w:kern w:val="0"/>
          <w:highlight w:val="none"/>
          <w:lang w:val="zh-CN"/>
        </w:rPr>
      </w:pPr>
      <w:r>
        <w:rPr>
          <w:rFonts w:hint="eastAsia" w:hAnsi="宋体"/>
          <w:kern w:val="0"/>
          <w:highlight w:val="none"/>
        </w:rPr>
        <w:t>（4）</w:t>
      </w:r>
      <w:r>
        <w:rPr>
          <w:rFonts w:hint="eastAsia" w:hAnsi="宋体"/>
          <w:kern w:val="0"/>
          <w:highlight w:val="none"/>
          <w:lang w:val="zh-CN"/>
        </w:rPr>
        <w:t>必要的法律依据；</w:t>
      </w:r>
    </w:p>
    <w:p>
      <w:pPr>
        <w:pStyle w:val="19"/>
        <w:spacing w:before="120" w:after="120" w:line="500" w:lineRule="exact"/>
        <w:ind w:firstLine="480" w:firstLineChars="200"/>
        <w:rPr>
          <w:rFonts w:hAnsi="宋体"/>
          <w:highlight w:val="none"/>
        </w:rPr>
      </w:pPr>
      <w:r>
        <w:rPr>
          <w:rFonts w:hint="eastAsia" w:hAnsi="宋体"/>
          <w:highlight w:val="none"/>
        </w:rPr>
        <w:t>投标人为自然人的，应当由本人签字；投标人为法人或者其他组织的，应当由法定代表人、主要负责人，或者其授权代表签字或者盖章，并加盖公章。</w:t>
      </w:r>
    </w:p>
    <w:p>
      <w:pPr>
        <w:pStyle w:val="19"/>
        <w:spacing w:before="120" w:after="120" w:line="500" w:lineRule="exact"/>
        <w:ind w:firstLine="480" w:firstLineChars="200"/>
        <w:rPr>
          <w:rFonts w:hAnsi="宋体"/>
          <w:highlight w:val="none"/>
        </w:rPr>
      </w:pPr>
      <w:r>
        <w:rPr>
          <w:rFonts w:hint="eastAsia" w:hAnsi="宋体"/>
          <w:highlight w:val="none"/>
        </w:rPr>
        <w:t>3</w:t>
      </w:r>
      <w:r>
        <w:rPr>
          <w:rFonts w:hint="eastAsia" w:hAnsi="宋体"/>
          <w:highlight w:val="none"/>
          <w:lang w:val="zh-CN"/>
        </w:rPr>
        <w:t>.2</w:t>
      </w:r>
      <w:r>
        <w:rPr>
          <w:rFonts w:hint="eastAsia" w:hAnsi="宋体"/>
          <w:highlight w:val="none"/>
        </w:rPr>
        <w:t>.4采购人或者采购代理机构应当在收到投标人的书面质疑后七个工作日内作出答复，并以书面形式通知质疑投标人和其他与质疑处理结果有利害关系的国企采购当事人，但答复的内容不得涉及商业秘密。</w:t>
      </w:r>
    </w:p>
    <w:p>
      <w:pPr>
        <w:pStyle w:val="19"/>
        <w:spacing w:before="120" w:after="120" w:line="500" w:lineRule="exact"/>
        <w:ind w:firstLine="480" w:firstLineChars="200"/>
        <w:rPr>
          <w:rFonts w:hAnsi="宋体"/>
          <w:highlight w:val="none"/>
        </w:rPr>
      </w:pPr>
      <w:r>
        <w:rPr>
          <w:rFonts w:hint="eastAsia" w:hAnsi="宋体"/>
          <w:highlight w:val="none"/>
        </w:rPr>
        <w:t>3</w:t>
      </w:r>
      <w:r>
        <w:rPr>
          <w:rFonts w:hint="eastAsia" w:hAnsi="宋体"/>
          <w:highlight w:val="none"/>
          <w:lang w:val="zh-CN"/>
        </w:rPr>
        <w:t>.2</w:t>
      </w:r>
      <w:r>
        <w:rPr>
          <w:rFonts w:hint="eastAsia" w:hAnsi="宋体"/>
          <w:highlight w:val="none"/>
        </w:rPr>
        <w:t>.5询问或者质疑事项可能影响采购结果的，采购人应当暂停签订合同，已经签订合同的，应当中止履行合同。</w:t>
      </w:r>
    </w:p>
    <w:p>
      <w:pPr>
        <w:pStyle w:val="19"/>
        <w:spacing w:before="120" w:after="120" w:line="500" w:lineRule="exact"/>
        <w:ind w:firstLine="480" w:firstLineChars="200"/>
        <w:rPr>
          <w:rFonts w:hAnsi="宋体"/>
          <w:highlight w:val="none"/>
          <w:lang w:val="zh-CN"/>
        </w:rPr>
      </w:pPr>
      <w:r>
        <w:rPr>
          <w:rFonts w:hint="eastAsia" w:hAnsi="宋体"/>
          <w:highlight w:val="none"/>
        </w:rPr>
        <w:t>3</w:t>
      </w:r>
      <w:r>
        <w:rPr>
          <w:rFonts w:hint="eastAsia" w:hAnsi="宋体"/>
          <w:highlight w:val="none"/>
          <w:lang w:val="zh-CN"/>
        </w:rPr>
        <w:t>.3投标人投诉</w:t>
      </w:r>
    </w:p>
    <w:p>
      <w:pPr>
        <w:pStyle w:val="43"/>
        <w:snapToGrid w:val="0"/>
        <w:spacing w:after="240" w:afterAutospacing="0" w:line="500" w:lineRule="exact"/>
        <w:ind w:firstLine="400"/>
        <w:contextualSpacing/>
        <w:rPr>
          <w:highlight w:val="none"/>
        </w:rPr>
      </w:pPr>
      <w:r>
        <w:rPr>
          <w:rFonts w:hint="eastAsia"/>
          <w:highlight w:val="none"/>
        </w:rPr>
        <w:t>3.3.1质疑投标人对采购人、采购代理机构的答复不满意或者采购人、采购代理机构未在规定的时间内作出答复的，可以在收到答复之日或答复期满后15个工作日内向依法向采购人监督管理机构投诉。</w:t>
      </w:r>
    </w:p>
    <w:p>
      <w:pPr>
        <w:pStyle w:val="43"/>
        <w:snapToGrid w:val="0"/>
        <w:spacing w:after="240" w:afterAutospacing="0" w:line="500" w:lineRule="exact"/>
        <w:ind w:firstLine="400"/>
        <w:contextualSpacing/>
        <w:rPr>
          <w:highlight w:val="none"/>
        </w:rPr>
      </w:pPr>
      <w:r>
        <w:rPr>
          <w:rFonts w:hint="eastAsia"/>
          <w:highlight w:val="none"/>
        </w:rPr>
        <w:t>3.3.</w:t>
      </w:r>
      <w:r>
        <w:rPr>
          <w:rFonts w:hint="eastAsia"/>
          <w:highlight w:val="none"/>
          <w:lang w:val="zh-CN"/>
        </w:rPr>
        <w:t>2</w:t>
      </w:r>
      <w:r>
        <w:rPr>
          <w:rFonts w:hint="eastAsia"/>
          <w:highlight w:val="none"/>
        </w:rPr>
        <w:t>投标人投诉的事项不得超出已质疑事项的范围，基于质疑答复内容提出的投诉事项除外。</w:t>
      </w:r>
    </w:p>
    <w:p>
      <w:pPr>
        <w:pStyle w:val="43"/>
        <w:shd w:val="clear" w:color="auto" w:fill="FFFFFF"/>
        <w:snapToGrid w:val="0"/>
        <w:spacing w:after="240" w:afterAutospacing="0" w:line="500" w:lineRule="exact"/>
        <w:ind w:firstLine="400"/>
        <w:contextualSpacing/>
        <w:rPr>
          <w:highlight w:val="none"/>
        </w:rPr>
      </w:pPr>
      <w:r>
        <w:rPr>
          <w:rFonts w:hint="eastAsia"/>
          <w:highlight w:val="none"/>
        </w:rPr>
        <w:t>3.3.3投标人投诉应当有明确的请求和必要的证明材料。</w:t>
      </w:r>
    </w:p>
    <w:p>
      <w:pPr>
        <w:pStyle w:val="43"/>
        <w:shd w:val="clear" w:color="auto" w:fill="FFFFFF"/>
        <w:snapToGrid w:val="0"/>
        <w:spacing w:after="240" w:afterAutospacing="0" w:line="500" w:lineRule="exact"/>
        <w:ind w:firstLine="400"/>
        <w:contextualSpacing/>
        <w:rPr>
          <w:highlight w:val="none"/>
        </w:rPr>
      </w:pPr>
      <w:r>
        <w:rPr>
          <w:rFonts w:hint="eastAsia"/>
          <w:highlight w:val="none"/>
        </w:rPr>
        <w:t>3.3.4 以联合体形式参加国企采购活动的，其投诉应当由组成联合体的所有投标人共同提出。</w:t>
      </w:r>
      <w:bookmarkStart w:id="34" w:name="_Toc16241"/>
      <w:bookmarkStart w:id="35" w:name="_Toc32329"/>
    </w:p>
    <w:p>
      <w:pPr>
        <w:pStyle w:val="43"/>
        <w:shd w:val="clear" w:color="auto" w:fill="FFFFFF"/>
        <w:snapToGrid w:val="0"/>
        <w:spacing w:after="240" w:afterAutospacing="0" w:line="500" w:lineRule="exact"/>
        <w:ind w:firstLine="400"/>
        <w:contextualSpacing/>
        <w:rPr>
          <w:highlight w:val="none"/>
        </w:rPr>
      </w:pPr>
      <w:r>
        <w:rPr>
          <w:rFonts w:hint="eastAsia"/>
          <w:highlight w:val="none"/>
          <w:shd w:val="clear" w:color="auto" w:fill="FFFFFF"/>
        </w:rPr>
        <w:t>3.4.质疑函范本、投诉书范本可到浙江政府采购网下载专区下载。</w:t>
      </w:r>
    </w:p>
    <w:p>
      <w:pPr>
        <w:adjustRightInd/>
        <w:spacing w:line="500" w:lineRule="exact"/>
        <w:outlineLvl w:val="0"/>
        <w:rPr>
          <w:rFonts w:ascii="宋体" w:hAnsi="宋体" w:cs="宋体"/>
          <w:b/>
          <w:sz w:val="28"/>
          <w:szCs w:val="28"/>
          <w:highlight w:val="none"/>
        </w:rPr>
      </w:pPr>
    </w:p>
    <w:p>
      <w:pPr>
        <w:adjustRightInd/>
        <w:spacing w:line="500" w:lineRule="exact"/>
        <w:jc w:val="center"/>
        <w:outlineLvl w:val="0"/>
        <w:rPr>
          <w:rFonts w:ascii="宋体" w:hAnsi="宋体" w:cs="宋体"/>
          <w:b/>
          <w:sz w:val="28"/>
          <w:szCs w:val="28"/>
          <w:highlight w:val="none"/>
        </w:rPr>
      </w:pPr>
      <w:r>
        <w:rPr>
          <w:rFonts w:hint="eastAsia" w:ascii="宋体" w:hAnsi="宋体" w:cs="宋体"/>
          <w:b/>
          <w:sz w:val="28"/>
          <w:szCs w:val="28"/>
          <w:highlight w:val="none"/>
        </w:rPr>
        <w:t>二、招标文件的构成、澄清、修改</w:t>
      </w:r>
      <w:bookmarkEnd w:id="34"/>
      <w:bookmarkEnd w:id="35"/>
    </w:p>
    <w:p>
      <w:pPr>
        <w:pStyle w:val="19"/>
        <w:spacing w:before="120" w:after="120" w:line="500" w:lineRule="exact"/>
        <w:rPr>
          <w:rFonts w:hAnsi="宋体"/>
          <w:b/>
          <w:highlight w:val="none"/>
        </w:rPr>
      </w:pPr>
      <w:r>
        <w:rPr>
          <w:rFonts w:hint="eastAsia" w:hAnsi="宋体"/>
          <w:b/>
          <w:highlight w:val="none"/>
        </w:rPr>
        <w:t>4．招标文件的构成</w:t>
      </w:r>
    </w:p>
    <w:p>
      <w:pPr>
        <w:pStyle w:val="19"/>
        <w:spacing w:before="120" w:after="120" w:line="500" w:lineRule="exact"/>
        <w:ind w:firstLine="480" w:firstLineChars="200"/>
        <w:rPr>
          <w:rFonts w:hAnsi="宋体"/>
          <w:highlight w:val="none"/>
        </w:rPr>
      </w:pPr>
      <w:r>
        <w:rPr>
          <w:rFonts w:hint="eastAsia" w:hAnsi="宋体"/>
          <w:highlight w:val="none"/>
        </w:rPr>
        <w:t>4.1 招标文件包括下列文件及附件：</w:t>
      </w:r>
    </w:p>
    <w:p>
      <w:pPr>
        <w:pStyle w:val="19"/>
        <w:tabs>
          <w:tab w:val="left" w:pos="840"/>
        </w:tabs>
        <w:spacing w:before="120" w:after="120" w:line="500" w:lineRule="exact"/>
        <w:ind w:firstLine="480" w:firstLineChars="200"/>
        <w:rPr>
          <w:rFonts w:hAnsi="宋体"/>
          <w:highlight w:val="none"/>
        </w:rPr>
      </w:pPr>
      <w:r>
        <w:rPr>
          <w:rFonts w:hint="eastAsia" w:hAnsi="宋体"/>
          <w:highlight w:val="none"/>
        </w:rPr>
        <w:t>4.1.1招标公告；</w:t>
      </w:r>
    </w:p>
    <w:p>
      <w:pPr>
        <w:pStyle w:val="19"/>
        <w:tabs>
          <w:tab w:val="left" w:pos="840"/>
        </w:tabs>
        <w:spacing w:before="120" w:after="120" w:line="500" w:lineRule="exact"/>
        <w:ind w:firstLine="480" w:firstLineChars="200"/>
        <w:rPr>
          <w:rFonts w:hAnsi="宋体"/>
          <w:highlight w:val="none"/>
        </w:rPr>
      </w:pPr>
      <w:r>
        <w:rPr>
          <w:rFonts w:hint="eastAsia" w:hAnsi="宋体"/>
          <w:highlight w:val="none"/>
        </w:rPr>
        <w:t>4.1.2投标人须知；</w:t>
      </w:r>
    </w:p>
    <w:p>
      <w:pPr>
        <w:pStyle w:val="19"/>
        <w:tabs>
          <w:tab w:val="left" w:pos="840"/>
        </w:tabs>
        <w:spacing w:before="120" w:after="120" w:line="500" w:lineRule="exact"/>
        <w:ind w:firstLine="480" w:firstLineChars="200"/>
        <w:rPr>
          <w:rFonts w:hAnsi="宋体"/>
          <w:highlight w:val="none"/>
        </w:rPr>
      </w:pPr>
      <w:r>
        <w:rPr>
          <w:rFonts w:hint="eastAsia" w:hAnsi="宋体"/>
          <w:highlight w:val="none"/>
        </w:rPr>
        <w:t>4.1.3采购需求；</w:t>
      </w:r>
    </w:p>
    <w:p>
      <w:pPr>
        <w:pStyle w:val="19"/>
        <w:tabs>
          <w:tab w:val="left" w:pos="840"/>
        </w:tabs>
        <w:spacing w:before="120" w:after="120" w:line="500" w:lineRule="exact"/>
        <w:ind w:firstLine="480" w:firstLineChars="200"/>
        <w:rPr>
          <w:rFonts w:hint="eastAsia" w:hAnsi="宋体"/>
          <w:highlight w:val="none"/>
        </w:rPr>
      </w:pPr>
      <w:r>
        <w:rPr>
          <w:rFonts w:hint="eastAsia" w:hAnsi="宋体"/>
          <w:highlight w:val="none"/>
        </w:rPr>
        <w:t>4.1.4评标办法；</w:t>
      </w:r>
    </w:p>
    <w:p>
      <w:pPr>
        <w:pStyle w:val="19"/>
        <w:tabs>
          <w:tab w:val="left" w:pos="840"/>
        </w:tabs>
        <w:spacing w:before="120" w:after="120" w:line="500" w:lineRule="exact"/>
        <w:ind w:firstLine="480" w:firstLineChars="200"/>
        <w:rPr>
          <w:rFonts w:hAnsi="宋体"/>
          <w:highlight w:val="none"/>
        </w:rPr>
      </w:pPr>
      <w:r>
        <w:rPr>
          <w:rFonts w:hint="eastAsia" w:hAnsi="宋体"/>
          <w:highlight w:val="none"/>
        </w:rPr>
        <w:t>4.1.5合同主要条款；</w:t>
      </w:r>
    </w:p>
    <w:p>
      <w:pPr>
        <w:pStyle w:val="19"/>
        <w:tabs>
          <w:tab w:val="left" w:pos="840"/>
        </w:tabs>
        <w:spacing w:before="120" w:after="120" w:line="500" w:lineRule="exact"/>
        <w:ind w:firstLine="480" w:firstLineChars="200"/>
        <w:rPr>
          <w:rFonts w:hAnsi="宋体"/>
          <w:highlight w:val="none"/>
        </w:rPr>
      </w:pPr>
      <w:r>
        <w:rPr>
          <w:rFonts w:hint="eastAsia" w:hAnsi="宋体"/>
          <w:highlight w:val="none"/>
        </w:rPr>
        <w:t>4.1.6投标文件格式。</w:t>
      </w:r>
    </w:p>
    <w:p>
      <w:pPr>
        <w:spacing w:line="500" w:lineRule="exact"/>
        <w:ind w:firstLine="480" w:firstLineChars="200"/>
        <w:rPr>
          <w:rFonts w:ascii="宋体" w:hAnsi="宋体" w:cs="宋体"/>
          <w:sz w:val="24"/>
          <w:highlight w:val="none"/>
        </w:rPr>
      </w:pPr>
      <w:r>
        <w:rPr>
          <w:rFonts w:hint="eastAsia" w:ascii="宋体" w:hAnsi="宋体" w:cs="宋体"/>
          <w:sz w:val="24"/>
          <w:highlight w:val="none"/>
        </w:rPr>
        <w:t>4.2与本项目有关的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pPr>
        <w:pStyle w:val="19"/>
        <w:spacing w:before="120" w:after="120" w:line="500" w:lineRule="exact"/>
        <w:rPr>
          <w:rFonts w:hAnsi="宋体"/>
          <w:b/>
          <w:highlight w:val="none"/>
        </w:rPr>
      </w:pPr>
      <w:r>
        <w:rPr>
          <w:rFonts w:hint="eastAsia" w:hAnsi="宋体"/>
          <w:b/>
          <w:highlight w:val="none"/>
        </w:rPr>
        <w:t>5. 招标文件的澄清、修改</w:t>
      </w:r>
    </w:p>
    <w:p>
      <w:pPr>
        <w:pStyle w:val="41"/>
        <w:snapToGrid w:val="0"/>
        <w:spacing w:before="0" w:line="500" w:lineRule="exact"/>
        <w:ind w:firstLine="480"/>
        <w:rPr>
          <w:rFonts w:ascii="宋体" w:hAnsi="宋体" w:cs="宋体"/>
          <w:highlight w:val="none"/>
        </w:rPr>
      </w:pPr>
      <w:r>
        <w:rPr>
          <w:rFonts w:hint="eastAsia" w:ascii="宋体" w:hAnsi="宋体" w:cs="宋体"/>
          <w:highlight w:val="none"/>
        </w:rPr>
        <w:t>5.1已获取招标文件的潜在投标人，若有问题需要澄清，应于投标截止时间前，以书面形式向采购代理机构提出。</w:t>
      </w:r>
    </w:p>
    <w:p>
      <w:pPr>
        <w:pStyle w:val="41"/>
        <w:snapToGrid w:val="0"/>
        <w:spacing w:before="0" w:line="500" w:lineRule="exact"/>
        <w:ind w:firstLine="480"/>
        <w:rPr>
          <w:rFonts w:ascii="宋体" w:hAnsi="宋体" w:cs="宋体"/>
          <w:sz w:val="18"/>
          <w:szCs w:val="18"/>
          <w:highlight w:val="none"/>
        </w:rPr>
      </w:pPr>
      <w:r>
        <w:rPr>
          <w:rFonts w:hint="eastAsia" w:ascii="宋体" w:hAnsi="宋体" w:cs="宋体"/>
          <w:highlight w:val="none"/>
        </w:rPr>
        <w:t>5.2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500" w:lineRule="exact"/>
        <w:jc w:val="left"/>
        <w:outlineLvl w:val="0"/>
        <w:rPr>
          <w:rFonts w:ascii="宋体" w:hAnsi="宋体" w:cs="宋体"/>
          <w:b/>
          <w:sz w:val="28"/>
          <w:szCs w:val="28"/>
          <w:highlight w:val="none"/>
        </w:rPr>
      </w:pPr>
      <w:bookmarkStart w:id="36" w:name="_Toc13467"/>
      <w:bookmarkStart w:id="37" w:name="_Toc4859"/>
      <w:r>
        <w:rPr>
          <w:rFonts w:hint="eastAsia" w:ascii="宋体" w:hAnsi="宋体" w:cs="宋体"/>
          <w:b/>
          <w:sz w:val="28"/>
          <w:szCs w:val="28"/>
          <w:highlight w:val="none"/>
        </w:rPr>
        <w:t xml:space="preserve">   </w:t>
      </w:r>
      <w:r>
        <w:rPr>
          <w:rFonts w:hint="eastAsia" w:ascii="宋体" w:hAnsi="宋体" w:cs="宋体"/>
          <w:b/>
          <w:sz w:val="24"/>
          <w:highlight w:val="none"/>
        </w:rPr>
        <w:t>★响应文件未按文件的澄清、修改的内容编制，又不符合实质性要求的，响应无效。</w:t>
      </w:r>
    </w:p>
    <w:p>
      <w:pPr>
        <w:adjustRightInd/>
        <w:spacing w:line="500" w:lineRule="exact"/>
        <w:jc w:val="center"/>
        <w:outlineLvl w:val="0"/>
        <w:rPr>
          <w:rFonts w:ascii="宋体" w:hAnsi="宋体" w:cs="宋体"/>
          <w:b/>
          <w:sz w:val="28"/>
          <w:szCs w:val="28"/>
          <w:highlight w:val="none"/>
        </w:rPr>
      </w:pPr>
    </w:p>
    <w:p>
      <w:pPr>
        <w:adjustRightInd/>
        <w:spacing w:line="500" w:lineRule="exact"/>
        <w:jc w:val="center"/>
        <w:outlineLvl w:val="0"/>
        <w:rPr>
          <w:rFonts w:ascii="宋体" w:hAnsi="宋体" w:cs="宋体"/>
          <w:b/>
          <w:sz w:val="28"/>
          <w:szCs w:val="28"/>
          <w:highlight w:val="none"/>
        </w:rPr>
      </w:pPr>
      <w:r>
        <w:rPr>
          <w:rFonts w:hint="eastAsia" w:ascii="宋体" w:hAnsi="宋体" w:cs="宋体"/>
          <w:b/>
          <w:sz w:val="28"/>
          <w:szCs w:val="28"/>
          <w:highlight w:val="none"/>
        </w:rPr>
        <w:t>三、投标</w:t>
      </w:r>
      <w:bookmarkEnd w:id="36"/>
      <w:bookmarkEnd w:id="37"/>
    </w:p>
    <w:p>
      <w:pPr>
        <w:pStyle w:val="19"/>
        <w:spacing w:before="120" w:after="120" w:line="500" w:lineRule="exact"/>
        <w:rPr>
          <w:rFonts w:hAnsi="宋体"/>
          <w:b/>
          <w:highlight w:val="none"/>
        </w:rPr>
      </w:pPr>
      <w:r>
        <w:rPr>
          <w:rFonts w:hint="eastAsia" w:hAnsi="宋体"/>
          <w:b/>
          <w:highlight w:val="none"/>
        </w:rPr>
        <w:t>6. 招标文件的获取</w:t>
      </w:r>
    </w:p>
    <w:p>
      <w:pPr>
        <w:spacing w:line="500" w:lineRule="exact"/>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w:t>
      </w:r>
    </w:p>
    <w:p>
      <w:pPr>
        <w:pStyle w:val="19"/>
        <w:spacing w:before="120" w:after="120" w:line="500" w:lineRule="exact"/>
        <w:rPr>
          <w:rFonts w:hAnsi="宋体"/>
          <w:b/>
          <w:highlight w:val="none"/>
        </w:rPr>
      </w:pPr>
      <w:r>
        <w:rPr>
          <w:rFonts w:hint="eastAsia" w:hAnsi="宋体"/>
          <w:b/>
          <w:highlight w:val="none"/>
        </w:rPr>
        <w:t>7.开标前答疑会或现场考察</w:t>
      </w:r>
    </w:p>
    <w:p>
      <w:pPr>
        <w:pStyle w:val="19"/>
        <w:spacing w:before="120" w:after="120" w:line="500" w:lineRule="exact"/>
        <w:ind w:firstLine="480" w:firstLineChars="200"/>
        <w:rPr>
          <w:rFonts w:hAnsi="宋体"/>
          <w:highlight w:val="none"/>
        </w:rPr>
      </w:pPr>
      <w:r>
        <w:rPr>
          <w:rFonts w:hint="eastAsia" w:hAnsi="宋体"/>
          <w:highlight w:val="none"/>
        </w:rPr>
        <w:t>不组织</w:t>
      </w:r>
    </w:p>
    <w:p>
      <w:pPr>
        <w:pStyle w:val="19"/>
        <w:spacing w:before="120" w:after="120" w:line="500" w:lineRule="exact"/>
        <w:rPr>
          <w:rFonts w:hAnsi="宋体"/>
          <w:b/>
          <w:highlight w:val="none"/>
        </w:rPr>
      </w:pPr>
      <w:r>
        <w:rPr>
          <w:rFonts w:hint="eastAsia" w:hAnsi="宋体"/>
          <w:b/>
          <w:kern w:val="28"/>
          <w:highlight w:val="none"/>
        </w:rPr>
        <w:t>8.投标保证金</w:t>
      </w:r>
    </w:p>
    <w:p>
      <w:pPr>
        <w:pStyle w:val="19"/>
        <w:spacing w:before="120" w:after="120" w:line="500" w:lineRule="exact"/>
        <w:rPr>
          <w:rFonts w:hint="eastAsia" w:hAnsi="宋体" w:cs="宋体"/>
          <w:color w:val="auto"/>
          <w:sz w:val="24"/>
          <w:highlight w:val="none"/>
          <w:lang w:val="en-US" w:eastAsia="zh-CN"/>
        </w:rPr>
      </w:pPr>
      <w:r>
        <w:rPr>
          <w:rFonts w:hint="eastAsia" w:hAnsi="宋体" w:cs="宋体"/>
          <w:color w:val="auto"/>
          <w:sz w:val="24"/>
          <w:highlight w:val="none"/>
          <w:lang w:val="en-US" w:eastAsia="zh-CN"/>
        </w:rPr>
        <w:t>/</w:t>
      </w:r>
    </w:p>
    <w:p>
      <w:pPr>
        <w:pStyle w:val="19"/>
        <w:spacing w:before="120" w:after="120" w:line="500" w:lineRule="exact"/>
        <w:rPr>
          <w:rFonts w:hAnsi="宋体"/>
          <w:b/>
          <w:highlight w:val="none"/>
        </w:rPr>
      </w:pPr>
      <w:r>
        <w:rPr>
          <w:rFonts w:hint="eastAsia" w:hAnsi="宋体"/>
          <w:b/>
          <w:highlight w:val="none"/>
        </w:rPr>
        <w:t>9. 投标文件的语言</w:t>
      </w:r>
    </w:p>
    <w:p>
      <w:pPr>
        <w:autoSpaceDE w:val="0"/>
        <w:autoSpaceDN w:val="0"/>
        <w:spacing w:line="500" w:lineRule="exact"/>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pPr>
        <w:pStyle w:val="19"/>
        <w:spacing w:before="120" w:after="120" w:line="500" w:lineRule="exact"/>
        <w:rPr>
          <w:rFonts w:hAnsi="宋体"/>
          <w:b/>
          <w:highlight w:val="none"/>
        </w:rPr>
      </w:pPr>
      <w:r>
        <w:rPr>
          <w:rFonts w:hint="eastAsia" w:hAnsi="宋体"/>
          <w:b/>
          <w:highlight w:val="none"/>
        </w:rPr>
        <w:t>10. 投标文件的组成</w:t>
      </w:r>
    </w:p>
    <w:p>
      <w:pPr>
        <w:spacing w:line="440" w:lineRule="exact"/>
        <w:ind w:firstLine="480" w:firstLineChars="200"/>
        <w:jc w:val="left"/>
        <w:rPr>
          <w:rFonts w:ascii="宋体" w:hAnsi="宋体" w:cs="宋体"/>
          <w:sz w:val="24"/>
          <w:highlight w:val="none"/>
        </w:rPr>
      </w:pPr>
      <w:r>
        <w:rPr>
          <w:rFonts w:hint="eastAsia" w:ascii="宋体" w:hAnsi="宋体" w:cs="宋体"/>
          <w:sz w:val="24"/>
          <w:highlight w:val="none"/>
        </w:rPr>
        <w:t>投标文件由“资格文件”、“资信技术文件”、“报价文件”三部分组成，其中</w:t>
      </w:r>
      <w:r>
        <w:rPr>
          <w:rFonts w:hint="eastAsia" w:ascii="宋体" w:hAnsi="宋体" w:cs="宋体"/>
          <w:b/>
          <w:sz w:val="24"/>
          <w:highlight w:val="none"/>
        </w:rPr>
        <w:t>电子投标文件中所须加盖公章部分均应采用电子CA公章。</w:t>
      </w:r>
    </w:p>
    <w:p>
      <w:pPr>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10.1</w:t>
      </w:r>
      <w:r>
        <w:rPr>
          <w:rFonts w:hint="eastAsia" w:ascii="宋体" w:hAnsi="宋体" w:cs="宋体"/>
          <w:b/>
          <w:sz w:val="24"/>
          <w:highlight w:val="none"/>
        </w:rPr>
        <w:t>资格文件</w:t>
      </w:r>
      <w:r>
        <w:rPr>
          <w:rFonts w:hint="eastAsia" w:ascii="宋体" w:hAnsi="宋体" w:cs="宋体"/>
          <w:sz w:val="24"/>
          <w:highlight w:val="none"/>
        </w:rPr>
        <w:t>：</w:t>
      </w:r>
    </w:p>
    <w:p>
      <w:pPr>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（1）营业执照扫描件；</w:t>
      </w:r>
    </w:p>
    <w:p>
      <w:pPr>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（2）符合参加国企采购活动应当具备的一般条件的承诺函；</w:t>
      </w:r>
    </w:p>
    <w:p>
      <w:pPr>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以上资料均需加盖CA公章。</w:t>
      </w:r>
    </w:p>
    <w:p>
      <w:pPr>
        <w:snapToGrid w:val="0"/>
        <w:spacing w:line="500" w:lineRule="exact"/>
        <w:ind w:firstLine="480" w:firstLineChars="200"/>
        <w:rPr>
          <w:rFonts w:ascii="宋体" w:hAnsi="宋体" w:cs="宋体"/>
          <w:b/>
          <w:bCs/>
          <w:sz w:val="24"/>
          <w:highlight w:val="none"/>
          <w:lang w:val="zh-CN"/>
        </w:rPr>
      </w:pPr>
      <w:r>
        <w:rPr>
          <w:rFonts w:hint="eastAsia" w:ascii="宋体" w:hAnsi="宋体" w:cs="宋体"/>
          <w:sz w:val="24"/>
          <w:highlight w:val="none"/>
          <w:lang w:val="zh-CN"/>
        </w:rPr>
        <w:t>1</w:t>
      </w:r>
      <w:r>
        <w:rPr>
          <w:rFonts w:hint="eastAsia" w:ascii="宋体" w:hAnsi="宋体" w:cs="宋体"/>
          <w:sz w:val="24"/>
          <w:highlight w:val="none"/>
        </w:rPr>
        <w:t>0</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b/>
          <w:bCs/>
          <w:sz w:val="24"/>
          <w:highlight w:val="none"/>
        </w:rPr>
        <w:t>资信技术</w:t>
      </w:r>
      <w:r>
        <w:rPr>
          <w:rFonts w:hint="eastAsia" w:ascii="宋体" w:hAnsi="宋体" w:cs="宋体"/>
          <w:b/>
          <w:bCs/>
          <w:sz w:val="24"/>
          <w:highlight w:val="none"/>
          <w:lang w:val="zh-CN"/>
        </w:rPr>
        <w:t>文件：</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（1）评分索引表；</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（2）投标函；</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（3）法定代表人授权书</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（4）法定代表人及其授权代表身份证复印件（复印件）</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（5）法定代表人身份证明书；</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（6）商务资信响应表；</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（7）技术偏离表；</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（8）投标人廉洁自律承诺书；</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（9）同类业绩；</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（10）项目实施方案；</w:t>
      </w:r>
    </w:p>
    <w:p>
      <w:pPr>
        <w:adjustRightInd/>
        <w:snapToGrid w:val="0"/>
        <w:spacing w:line="500" w:lineRule="exact"/>
        <w:ind w:firstLine="470" w:firstLineChars="196"/>
        <w:jc w:val="left"/>
        <w:rPr>
          <w:rFonts w:hint="eastAsia" w:ascii="宋体" w:hAnsi="宋体" w:eastAsia="宋体" w:cs="宋体"/>
          <w:sz w:val="24"/>
          <w:highlight w:val="none"/>
          <w:lang w:eastAsia="zh-CN"/>
        </w:rPr>
      </w:pPr>
      <w:r>
        <w:rPr>
          <w:rFonts w:hint="eastAsia" w:ascii="宋体" w:hAnsi="宋体" w:cs="宋体"/>
          <w:sz w:val="24"/>
          <w:highlight w:val="none"/>
        </w:rPr>
        <w:t>（1</w:t>
      </w:r>
      <w:r>
        <w:rPr>
          <w:rFonts w:hint="eastAsia" w:ascii="宋体" w:hAnsi="宋体" w:cs="宋体"/>
          <w:sz w:val="24"/>
          <w:highlight w:val="none"/>
          <w:lang w:val="en-US" w:eastAsia="zh-CN"/>
        </w:rPr>
        <w:t>1</w:t>
      </w:r>
      <w:r>
        <w:rPr>
          <w:rFonts w:hint="eastAsia" w:ascii="宋体" w:hAnsi="宋体" w:cs="宋体"/>
          <w:sz w:val="24"/>
          <w:highlight w:val="none"/>
        </w:rPr>
        <w:t>）未尽事宜请各投标单位按评分标准和相对应标项相关要求制作</w:t>
      </w:r>
      <w:r>
        <w:rPr>
          <w:rFonts w:hint="eastAsia" w:ascii="宋体" w:hAnsi="宋体" w:cs="宋体"/>
          <w:sz w:val="24"/>
          <w:highlight w:val="none"/>
          <w:lang w:eastAsia="zh-CN"/>
        </w:rPr>
        <w:t>；</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2</w:t>
      </w:r>
      <w:r>
        <w:rPr>
          <w:rFonts w:hint="eastAsia" w:ascii="宋体" w:hAnsi="宋体" w:cs="宋体"/>
          <w:sz w:val="24"/>
          <w:highlight w:val="none"/>
        </w:rPr>
        <w:t>）投标人认为需要提供的其他资料（如有）。</w:t>
      </w:r>
    </w:p>
    <w:p>
      <w:pPr>
        <w:snapToGrid w:val="0"/>
        <w:spacing w:line="500" w:lineRule="exact"/>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w:t>
      </w:r>
      <w:r>
        <w:rPr>
          <w:rFonts w:hint="eastAsia" w:ascii="宋体" w:hAnsi="宋体" w:cs="宋体"/>
          <w:kern w:val="0"/>
          <w:sz w:val="24"/>
          <w:highlight w:val="none"/>
        </w:rPr>
        <w:t>0</w:t>
      </w:r>
      <w:r>
        <w:rPr>
          <w:rFonts w:hint="eastAsia" w:ascii="宋体" w:hAnsi="宋体" w:cs="宋体"/>
          <w:kern w:val="0"/>
          <w:sz w:val="24"/>
          <w:highlight w:val="none"/>
          <w:lang w:val="zh-CN"/>
        </w:rPr>
        <w:t>.</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（1）开标一览表（报价表）；</w:t>
      </w:r>
    </w:p>
    <w:p>
      <w:pPr>
        <w:spacing w:line="500" w:lineRule="exact"/>
        <w:ind w:firstLine="720" w:firstLineChars="300"/>
        <w:rPr>
          <w:rFonts w:ascii="宋体" w:hAnsi="宋体" w:cs="宋体"/>
          <w:b/>
          <w:sz w:val="24"/>
          <w:highlight w:val="none"/>
        </w:rPr>
      </w:pPr>
      <w:r>
        <w:rPr>
          <w:rFonts w:hint="eastAsia" w:ascii="宋体" w:hAnsi="宋体" w:cs="宋体"/>
          <w:kern w:val="0"/>
          <w:sz w:val="24"/>
          <w:highlight w:val="none"/>
        </w:rPr>
        <w:t>★</w:t>
      </w:r>
      <w:r>
        <w:rPr>
          <w:rFonts w:hint="eastAsia" w:ascii="宋体" w:hAnsi="宋体" w:cs="宋体"/>
          <w:b/>
          <w:sz w:val="24"/>
          <w:highlight w:val="none"/>
        </w:rPr>
        <w:t>投标文件含有采购人不能接受的附加条件的，投标无效；</w:t>
      </w:r>
    </w:p>
    <w:p>
      <w:pPr>
        <w:spacing w:line="500" w:lineRule="exact"/>
        <w:ind w:firstLine="720" w:firstLineChars="300"/>
        <w:rPr>
          <w:rFonts w:ascii="宋体" w:hAnsi="宋体" w:cs="宋体"/>
          <w:b/>
          <w:sz w:val="24"/>
          <w:highlight w:val="none"/>
        </w:rPr>
      </w:pPr>
      <w:r>
        <w:rPr>
          <w:rFonts w:hint="eastAsia" w:ascii="宋体" w:hAnsi="宋体" w:cs="宋体"/>
          <w:kern w:val="0"/>
          <w:sz w:val="24"/>
          <w:highlight w:val="none"/>
        </w:rPr>
        <w:t>★</w:t>
      </w:r>
      <w:r>
        <w:rPr>
          <w:rFonts w:hint="eastAsia" w:ascii="宋体" w:hAnsi="宋体" w:cs="宋体"/>
          <w:b/>
          <w:sz w:val="24"/>
          <w:highlight w:val="none"/>
        </w:rPr>
        <w:t>投标人提供虚假材料投标的，投标无效。</w:t>
      </w:r>
    </w:p>
    <w:p>
      <w:pPr>
        <w:pStyle w:val="16"/>
        <w:widowControl w:val="0"/>
        <w:snapToGrid w:val="0"/>
        <w:spacing w:line="440" w:lineRule="exact"/>
        <w:ind w:firstLine="720" w:firstLineChars="300"/>
        <w:rPr>
          <w:rFonts w:ascii="宋体" w:hAnsi="宋体" w:cs="宋体"/>
          <w:color w:val="auto"/>
          <w:highlight w:val="none"/>
        </w:rPr>
      </w:pPr>
      <w:r>
        <w:rPr>
          <w:rFonts w:hint="eastAsia" w:ascii="宋体" w:hAnsi="宋体" w:cs="宋体"/>
          <w:color w:val="auto"/>
          <w:sz w:val="24"/>
          <w:highlight w:val="none"/>
          <w:u w:val="single"/>
          <w:lang w:val="zh-CN"/>
        </w:rPr>
        <w:t>投标文件结束解密后，投标人通过邮件形式将经授权代表签署的《采购活动现场确认声明书》（格式见采购文件最后一页内容）扫描件发至代理机构经办人邮箱（邮箱地址：</w:t>
      </w:r>
      <w:r>
        <w:rPr>
          <w:highlight w:val="none"/>
        </w:rPr>
        <w:fldChar w:fldCharType="begin"/>
      </w:r>
      <w:r>
        <w:rPr>
          <w:highlight w:val="none"/>
        </w:rPr>
        <w:instrText xml:space="preserve"> HYPERLINK "mailto:360745117@qq.com" \h </w:instrText>
      </w:r>
      <w:r>
        <w:rPr>
          <w:highlight w:val="none"/>
        </w:rPr>
        <w:fldChar w:fldCharType="separate"/>
      </w:r>
      <w:r>
        <w:rPr>
          <w:rFonts w:hint="eastAsia" w:ascii="宋体" w:hAnsi="宋体" w:cs="宋体"/>
          <w:color w:val="auto"/>
          <w:sz w:val="24"/>
          <w:highlight w:val="none"/>
          <w:u w:val="single"/>
          <w:lang w:val="zh-CN"/>
        </w:rPr>
        <w:t>892720605@qq.com</w:t>
      </w:r>
      <w:r>
        <w:rPr>
          <w:rFonts w:hint="eastAsia" w:ascii="宋体" w:hAnsi="宋体" w:cs="宋体"/>
          <w:color w:val="auto"/>
          <w:sz w:val="24"/>
          <w:highlight w:val="none"/>
          <w:u w:val="single"/>
          <w:lang w:val="zh-CN"/>
        </w:rPr>
        <w:fldChar w:fldCharType="end"/>
      </w:r>
      <w:r>
        <w:rPr>
          <w:rFonts w:hint="eastAsia" w:ascii="宋体" w:hAnsi="宋体" w:cs="宋体"/>
          <w:color w:val="auto"/>
          <w:sz w:val="24"/>
          <w:highlight w:val="none"/>
          <w:u w:val="single"/>
          <w:lang w:val="zh-CN"/>
        </w:rPr>
        <w:t>，联系人：张女士，电话：0575-89300689）。</w:t>
      </w:r>
    </w:p>
    <w:p>
      <w:pPr>
        <w:pStyle w:val="41"/>
        <w:snapToGrid w:val="0"/>
        <w:spacing w:before="0" w:line="500" w:lineRule="exact"/>
        <w:ind w:firstLine="0" w:firstLineChars="0"/>
        <w:outlineLvl w:val="0"/>
        <w:rPr>
          <w:rFonts w:ascii="宋体" w:hAnsi="宋体" w:cs="宋体"/>
          <w:b/>
          <w:szCs w:val="24"/>
          <w:highlight w:val="none"/>
        </w:rPr>
      </w:pPr>
      <w:bookmarkStart w:id="38" w:name="_Toc983"/>
      <w:bookmarkStart w:id="39" w:name="_Toc32092"/>
      <w:r>
        <w:rPr>
          <w:rFonts w:hint="eastAsia" w:ascii="宋体" w:hAnsi="宋体" w:cs="宋体"/>
          <w:b/>
          <w:szCs w:val="24"/>
          <w:highlight w:val="none"/>
        </w:rPr>
        <w:t>11</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bookmarkEnd w:id="38"/>
      <w:bookmarkEnd w:id="39"/>
    </w:p>
    <w:p>
      <w:pPr>
        <w:spacing w:line="500" w:lineRule="exact"/>
        <w:ind w:firstLine="480" w:firstLineChars="200"/>
        <w:rPr>
          <w:rFonts w:ascii="宋体" w:hAnsi="宋体" w:cs="宋体"/>
          <w:b/>
          <w:sz w:val="24"/>
          <w:highlight w:val="none"/>
        </w:rPr>
      </w:pPr>
      <w:r>
        <w:rPr>
          <w:rFonts w:hint="eastAsia" w:ascii="宋体" w:hAnsi="宋体" w:cs="宋体"/>
          <w:kern w:val="0"/>
          <w:sz w:val="24"/>
          <w:highlight w:val="none"/>
          <w:lang w:val="zh-CN"/>
        </w:rPr>
        <w:t>1</w:t>
      </w:r>
      <w:r>
        <w:rPr>
          <w:rFonts w:hint="eastAsia" w:ascii="宋体" w:hAnsi="宋体" w:cs="宋体"/>
          <w:kern w:val="0"/>
          <w:sz w:val="24"/>
          <w:highlight w:val="none"/>
        </w:rPr>
        <w:t>1</w:t>
      </w:r>
      <w:r>
        <w:rPr>
          <w:rFonts w:hint="eastAsia" w:ascii="宋体" w:hAnsi="宋体" w:cs="宋体"/>
          <w:kern w:val="0"/>
          <w:sz w:val="24"/>
          <w:highlight w:val="none"/>
          <w:lang w:val="zh-CN"/>
        </w:rPr>
        <w:t>.1投标文件分为</w:t>
      </w:r>
      <w:r>
        <w:rPr>
          <w:rFonts w:hint="eastAsia" w:ascii="宋体" w:hAnsi="宋体" w:cs="宋体"/>
          <w:b/>
          <w:bCs/>
          <w:kern w:val="0"/>
          <w:sz w:val="24"/>
          <w:highlight w:val="none"/>
          <w:lang w:val="zh-CN"/>
        </w:rPr>
        <w:t>资格文件、资信技术文件、报价文件三部分</w:t>
      </w:r>
      <w:r>
        <w:rPr>
          <w:rFonts w:hint="eastAsia" w:ascii="宋体" w:hAnsi="宋体" w:cs="宋体"/>
          <w:kern w:val="0"/>
          <w:sz w:val="24"/>
          <w:highlight w:val="none"/>
          <w:lang w:val="zh-CN"/>
        </w:rPr>
        <w:t>。各投标人在编制投标文件时请按照招标文件第六</w:t>
      </w:r>
      <w:r>
        <w:rPr>
          <w:rFonts w:hint="eastAsia" w:ascii="宋体" w:hAnsi="宋体" w:cs="宋体"/>
          <w:kern w:val="0"/>
          <w:sz w:val="24"/>
          <w:highlight w:val="none"/>
        </w:rPr>
        <w:t>章</w:t>
      </w:r>
      <w:r>
        <w:rPr>
          <w:rFonts w:hint="eastAsia" w:ascii="宋体" w:hAnsi="宋体" w:cs="宋体"/>
          <w:kern w:val="0"/>
          <w:sz w:val="24"/>
          <w:highlight w:val="none"/>
          <w:lang w:val="zh-CN"/>
        </w:rPr>
        <w:t>规定的格式进行，混乱的编排导致投标文件被误读或评标委员会查找不到有效文件是投标人的风险。</w:t>
      </w:r>
    </w:p>
    <w:p>
      <w:pPr>
        <w:spacing w:line="500" w:lineRule="exact"/>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rPr>
        <w:t>1</w:t>
      </w:r>
      <w:r>
        <w:rPr>
          <w:rFonts w:hint="eastAsia" w:ascii="宋体" w:hAnsi="宋体" w:cs="宋体"/>
          <w:kern w:val="0"/>
          <w:sz w:val="24"/>
          <w:highlight w:val="none"/>
          <w:lang w:val="zh-CN"/>
        </w:rPr>
        <w:t>.2投标人进行电子投标应安装客户端软件—“</w:t>
      </w:r>
      <w:r>
        <w:rPr>
          <w:rFonts w:hint="eastAsia" w:ascii="宋体" w:hAnsi="宋体" w:cs="宋体"/>
          <w:kern w:val="0"/>
          <w:sz w:val="24"/>
          <w:highlight w:val="none"/>
        </w:rPr>
        <w:t>乐</w:t>
      </w:r>
      <w:r>
        <w:rPr>
          <w:rFonts w:hint="eastAsia" w:ascii="宋体" w:hAnsi="宋体" w:cs="宋体"/>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500" w:lineRule="exact"/>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rPr>
        <w:t>1</w:t>
      </w:r>
      <w:r>
        <w:rPr>
          <w:rFonts w:hint="eastAsia" w:ascii="宋体" w:hAnsi="宋体" w:cs="宋体"/>
          <w:kern w:val="0"/>
          <w:sz w:val="24"/>
          <w:highlight w:val="none"/>
          <w:lang w:val="zh-CN"/>
        </w:rPr>
        <w:t>.3使用“</w:t>
      </w:r>
      <w:r>
        <w:rPr>
          <w:rFonts w:hint="eastAsia" w:ascii="宋体" w:hAnsi="宋体" w:cs="宋体"/>
          <w:kern w:val="0"/>
          <w:sz w:val="24"/>
          <w:highlight w:val="none"/>
        </w:rPr>
        <w:t>乐采云电子交易客户端</w:t>
      </w:r>
      <w:r>
        <w:rPr>
          <w:rFonts w:hint="eastAsia" w:ascii="宋体" w:hAnsi="宋体" w:cs="宋体"/>
          <w:kern w:val="0"/>
          <w:sz w:val="24"/>
          <w:highlight w:val="none"/>
          <w:lang w:val="zh-CN"/>
        </w:rPr>
        <w:t>”需要提前申领CA数字证书，申领流程请自行前往“浙江政府采购网-下载专区-电子交易客户端-CA驱动和申领流程”进行查阅。</w:t>
      </w:r>
    </w:p>
    <w:p>
      <w:pPr>
        <w:snapToGrid w:val="0"/>
        <w:spacing w:line="500" w:lineRule="exact"/>
        <w:rPr>
          <w:rFonts w:ascii="宋体" w:hAnsi="宋体" w:cs="宋体"/>
          <w:b/>
          <w:sz w:val="24"/>
          <w:highlight w:val="none"/>
        </w:rPr>
      </w:pPr>
      <w:r>
        <w:rPr>
          <w:rFonts w:hint="eastAsia" w:ascii="宋体" w:hAnsi="宋体" w:cs="宋体"/>
          <w:b/>
          <w:sz w:val="24"/>
          <w:highlight w:val="none"/>
        </w:rPr>
        <w:t>12.投标文件的签署、盖章</w:t>
      </w:r>
    </w:p>
    <w:p>
      <w:pPr>
        <w:pStyle w:val="41"/>
        <w:snapToGrid w:val="0"/>
        <w:spacing w:before="0" w:line="500" w:lineRule="exact"/>
        <w:ind w:firstLine="480"/>
        <w:rPr>
          <w:rFonts w:ascii="宋体" w:hAnsi="宋体" w:cs="宋体"/>
          <w:b/>
          <w:highlight w:val="none"/>
        </w:rPr>
      </w:pPr>
      <w:r>
        <w:rPr>
          <w:rFonts w:hint="eastAsia" w:ascii="宋体" w:hAnsi="宋体" w:cs="宋体"/>
          <w:szCs w:val="24"/>
          <w:highlight w:val="none"/>
        </w:rPr>
        <w:t>12.1投标文件按照招标文件第六章格式要</w:t>
      </w:r>
      <w:r>
        <w:rPr>
          <w:rFonts w:hint="eastAsia" w:ascii="宋体" w:hAnsi="宋体" w:cs="宋体"/>
          <w:highlight w:val="none"/>
        </w:rPr>
        <w:t>求进行签署、盖章。</w:t>
      </w:r>
      <w:r>
        <w:rPr>
          <w:rFonts w:hint="eastAsia" w:ascii="宋体" w:hAnsi="宋体" w:cs="宋体"/>
          <w:kern w:val="0"/>
          <w:sz w:val="24"/>
          <w:highlight w:val="none"/>
        </w:rPr>
        <w:t>★</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pPr>
        <w:pStyle w:val="41"/>
        <w:snapToGrid w:val="0"/>
        <w:spacing w:before="0" w:line="500" w:lineRule="exact"/>
        <w:ind w:firstLine="480"/>
        <w:rPr>
          <w:rFonts w:ascii="宋体" w:hAnsi="宋体" w:cs="宋体"/>
          <w:highlight w:val="none"/>
        </w:rPr>
      </w:pPr>
      <w:r>
        <w:rPr>
          <w:rFonts w:hint="eastAsia" w:ascii="宋体" w:hAnsi="宋体" w:cs="宋体"/>
          <w:highlight w:val="none"/>
        </w:rPr>
        <w:t>12.2为确保网上操作合法、有效和安全，投标人应当在投标截止时间前完成在“采购云平台”的身份认证，确保在电子投标过程中能够对相关数据电文进行加密和使用电子签名。</w:t>
      </w:r>
    </w:p>
    <w:p>
      <w:pPr>
        <w:pStyle w:val="41"/>
        <w:snapToGrid w:val="0"/>
        <w:spacing w:before="0" w:line="500" w:lineRule="exact"/>
        <w:ind w:firstLine="482"/>
        <w:rPr>
          <w:rFonts w:ascii="宋体" w:hAnsi="宋体" w:cs="宋体"/>
          <w:b/>
          <w:bCs/>
          <w:szCs w:val="24"/>
          <w:highlight w:val="none"/>
        </w:rPr>
      </w:pPr>
      <w:r>
        <w:rPr>
          <w:rFonts w:hint="eastAsia" w:ascii="宋体" w:hAnsi="宋体" w:cs="宋体"/>
          <w:b/>
          <w:bCs/>
          <w:highlight w:val="none"/>
        </w:rPr>
        <w:t>12.3招标文件对投标文件签署、盖章的要求适用于电子签名。</w:t>
      </w:r>
    </w:p>
    <w:p>
      <w:pPr>
        <w:pStyle w:val="41"/>
        <w:spacing w:before="0" w:line="500" w:lineRule="exact"/>
        <w:ind w:firstLine="0" w:firstLineChars="0"/>
        <w:rPr>
          <w:rFonts w:ascii="宋体" w:hAnsi="宋体" w:cs="宋体"/>
          <w:b/>
          <w:szCs w:val="24"/>
          <w:highlight w:val="none"/>
        </w:rPr>
      </w:pPr>
      <w:r>
        <w:rPr>
          <w:rFonts w:hint="eastAsia" w:ascii="宋体" w:hAnsi="宋体" w:cs="宋体"/>
          <w:b/>
          <w:szCs w:val="24"/>
          <w:highlight w:val="none"/>
        </w:rPr>
        <w:t>13.投标文件的提交、补充、修改、撤回</w:t>
      </w:r>
    </w:p>
    <w:p>
      <w:pPr>
        <w:pStyle w:val="41"/>
        <w:spacing w:line="500" w:lineRule="exact"/>
        <w:ind w:firstLine="480"/>
        <w:rPr>
          <w:rFonts w:ascii="宋体" w:hAnsi="宋体" w:cs="宋体"/>
          <w:szCs w:val="24"/>
          <w:highlight w:val="none"/>
        </w:rPr>
      </w:pPr>
      <w:r>
        <w:rPr>
          <w:rFonts w:hint="eastAsia" w:ascii="宋体" w:hAnsi="宋体" w:cs="宋体"/>
          <w:szCs w:val="24"/>
          <w:highlight w:val="none"/>
        </w:rPr>
        <w:t>13.1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41"/>
        <w:spacing w:before="0" w:line="500" w:lineRule="exact"/>
        <w:ind w:firstLine="480"/>
        <w:rPr>
          <w:rFonts w:ascii="宋体" w:hAnsi="宋体" w:cs="宋体"/>
          <w:szCs w:val="24"/>
          <w:highlight w:val="none"/>
        </w:rPr>
      </w:pPr>
      <w:r>
        <w:rPr>
          <w:rFonts w:hint="eastAsia" w:ascii="宋体" w:hAnsi="宋体" w:cs="宋体"/>
          <w:szCs w:val="24"/>
          <w:highlight w:val="none"/>
        </w:rPr>
        <w:t>13.2电子交易平台收到投标文件，将妥善保存并即时向投标人发出确认回执通知。在投标截止时间前，除投标人补充、修改或者撤回投标文件外，任何单位和个人不得解密或提取投标文件。</w:t>
      </w:r>
    </w:p>
    <w:p>
      <w:pPr>
        <w:pStyle w:val="41"/>
        <w:spacing w:before="0" w:line="500" w:lineRule="exact"/>
        <w:ind w:firstLine="480"/>
        <w:rPr>
          <w:rFonts w:ascii="宋体" w:hAnsi="宋体" w:cs="宋体"/>
          <w:szCs w:val="24"/>
          <w:highlight w:val="none"/>
        </w:rPr>
      </w:pPr>
      <w:r>
        <w:rPr>
          <w:rFonts w:hint="eastAsia" w:ascii="宋体" w:hAnsi="宋体" w:cs="宋体"/>
          <w:szCs w:val="24"/>
          <w:highlight w:val="none"/>
        </w:rPr>
        <w:t>13.3采购人、采购代理机构可以视情况延长投标文件提交的截止时间。在上述情况下，采购代理机构与投标人以前在投标截止期方面的全部权利、责任和义务，将适用于延长至新的投标截止期。</w:t>
      </w:r>
    </w:p>
    <w:p>
      <w:pPr>
        <w:pStyle w:val="19"/>
        <w:spacing w:before="120" w:after="120" w:line="500" w:lineRule="exact"/>
        <w:rPr>
          <w:rFonts w:hAnsi="宋体"/>
          <w:b/>
          <w:highlight w:val="none"/>
        </w:rPr>
      </w:pPr>
      <w:r>
        <w:rPr>
          <w:rFonts w:hint="eastAsia" w:hAnsi="宋体"/>
          <w:b/>
          <w:highlight w:val="none"/>
        </w:rPr>
        <w:t>14.备份投标文件</w:t>
      </w:r>
    </w:p>
    <w:p>
      <w:pPr>
        <w:pStyle w:val="19"/>
        <w:spacing w:before="120" w:after="120" w:line="500" w:lineRule="exact"/>
        <w:ind w:firstLine="360" w:firstLineChars="150"/>
        <w:rPr>
          <w:rFonts w:hAnsi="宋体"/>
          <w:b/>
          <w:highlight w:val="none"/>
        </w:rPr>
      </w:pPr>
      <w:r>
        <w:rPr>
          <w:rFonts w:hint="eastAsia" w:hAnsi="宋体"/>
          <w:highlight w:val="none"/>
        </w:rPr>
        <w:t xml:space="preserve"> 14.1投标人在电子交易平台传输递交投标文件后，还可以在投标截止时间前直接提交或者以顺丰快递（建议）方式递交备份投标文件1份，</w:t>
      </w:r>
      <w:r>
        <w:rPr>
          <w:rFonts w:hint="eastAsia" w:hAnsi="宋体"/>
          <w:b/>
          <w:highlight w:val="none"/>
        </w:rPr>
        <w:t>但采购人、采购代理机构不强制或变相强制投标人提交备份投标文件。</w:t>
      </w:r>
    </w:p>
    <w:p>
      <w:pPr>
        <w:pStyle w:val="19"/>
        <w:spacing w:before="120" w:after="120" w:line="500" w:lineRule="exact"/>
        <w:ind w:firstLine="480" w:firstLineChars="200"/>
        <w:rPr>
          <w:rFonts w:hAnsi="宋体"/>
          <w:b/>
          <w:highlight w:val="none"/>
        </w:rPr>
      </w:pPr>
      <w:r>
        <w:rPr>
          <w:rFonts w:hint="eastAsia" w:hAnsi="宋体"/>
          <w:highlight w:val="none"/>
        </w:rPr>
        <w:t>14.2备份投标文件须在“乐采云投标客户端”制作生成，并储存在U盘中。备份投标文件应当密封包装并在包装上加盖公章并注明投标项目名称。</w:t>
      </w:r>
      <w:r>
        <w:rPr>
          <w:rFonts w:hint="eastAsia" w:hAnsi="宋体"/>
          <w:b/>
          <w:highlight w:val="none"/>
        </w:rPr>
        <w:t>不符合上述制作、存储、密封规定的备份投标文件将被视为无效或者被拒绝接收。</w:t>
      </w:r>
    </w:p>
    <w:p>
      <w:pPr>
        <w:pStyle w:val="19"/>
        <w:spacing w:before="120" w:after="120" w:line="500" w:lineRule="exact"/>
        <w:ind w:firstLine="480" w:firstLineChars="200"/>
        <w:rPr>
          <w:rFonts w:hAnsi="宋体"/>
          <w:highlight w:val="none"/>
        </w:rPr>
      </w:pPr>
      <w:r>
        <w:rPr>
          <w:rFonts w:hint="eastAsia" w:hAnsi="宋体"/>
          <w:highlight w:val="none"/>
        </w:rPr>
        <w:t>14.3直接提交备份投标文件的，投标人应于投标截止时间前在招标公告中载明的开标地点将备份投标文件提交给采购代理机构，采购代理机构将拒绝接受逾期送达的备份投标文件。</w:t>
      </w:r>
    </w:p>
    <w:p>
      <w:pPr>
        <w:pStyle w:val="19"/>
        <w:spacing w:before="120" w:after="120" w:line="500" w:lineRule="exact"/>
        <w:ind w:firstLine="480" w:firstLineChars="200"/>
        <w:rPr>
          <w:rFonts w:hAnsi="宋体"/>
          <w:highlight w:val="none"/>
        </w:rPr>
      </w:pPr>
      <w:r>
        <w:rPr>
          <w:rFonts w:hint="eastAsia" w:hAnsi="宋体"/>
          <w:highlight w:val="none"/>
        </w:rPr>
        <w:t>14.4以顺丰快递（建议）方式递交备份投标文件的，投标人应先将备份投标文件按要求密封和标记，再进行顺丰快递（建议）包装后邮寄。备份投标文件须在投标截止时间之前送达招标文件第二章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19"/>
        <w:spacing w:before="120" w:after="120" w:line="500" w:lineRule="exact"/>
        <w:ind w:firstLine="479" w:firstLineChars="199"/>
        <w:rPr>
          <w:rFonts w:hAnsi="宋体"/>
          <w:b/>
          <w:highlight w:val="none"/>
        </w:rPr>
      </w:pPr>
      <w:r>
        <w:rPr>
          <w:rFonts w:hint="eastAsia" w:hAnsi="宋体"/>
          <w:b/>
          <w:highlight w:val="none"/>
        </w:rPr>
        <w:t>14.5投标人仅提交备份投标文件，没有在电子交易平台传输递交投标文件的，投标无效。</w:t>
      </w:r>
    </w:p>
    <w:p>
      <w:pPr>
        <w:pStyle w:val="41"/>
        <w:spacing w:before="0" w:line="500" w:lineRule="exact"/>
        <w:ind w:firstLine="0" w:firstLineChars="0"/>
        <w:rPr>
          <w:rFonts w:ascii="宋体" w:hAnsi="宋体" w:cs="宋体"/>
          <w:b/>
          <w:szCs w:val="24"/>
          <w:highlight w:val="none"/>
        </w:rPr>
      </w:pPr>
      <w:r>
        <w:rPr>
          <w:rFonts w:hint="eastAsia" w:ascii="宋体" w:hAnsi="宋体" w:cs="宋体"/>
          <w:b/>
          <w:szCs w:val="24"/>
          <w:highlight w:val="none"/>
        </w:rPr>
        <w:t>15.投标文件的无效处理</w:t>
      </w:r>
    </w:p>
    <w:p>
      <w:pPr>
        <w:pStyle w:val="5"/>
        <w:spacing w:line="500" w:lineRule="exact"/>
        <w:ind w:firstLine="348" w:firstLineChars="150"/>
        <w:rPr>
          <w:rFonts w:hAnsi="宋体"/>
          <w:sz w:val="24"/>
          <w:szCs w:val="24"/>
          <w:highlight w:val="none"/>
        </w:rPr>
      </w:pPr>
      <w:r>
        <w:rPr>
          <w:rFonts w:hint="eastAsia" w:hAnsi="宋体"/>
          <w:sz w:val="24"/>
          <w:szCs w:val="24"/>
          <w:highlight w:val="none"/>
        </w:rPr>
        <w:t>有招标文件本章第21.2项规定的情形之一的，投标无效</w:t>
      </w:r>
      <w:r>
        <w:rPr>
          <w:rFonts w:hint="eastAsia" w:hAnsi="宋体"/>
          <w:sz w:val="24"/>
          <w:szCs w:val="20"/>
          <w:highlight w:val="none"/>
        </w:rPr>
        <w:t>。</w:t>
      </w:r>
    </w:p>
    <w:p>
      <w:pPr>
        <w:pStyle w:val="41"/>
        <w:spacing w:before="0" w:line="500" w:lineRule="exact"/>
        <w:ind w:firstLine="0" w:firstLineChars="0"/>
        <w:rPr>
          <w:rFonts w:ascii="宋体" w:hAnsi="宋体" w:cs="宋体"/>
          <w:b/>
          <w:szCs w:val="24"/>
          <w:highlight w:val="none"/>
        </w:rPr>
      </w:pPr>
      <w:r>
        <w:rPr>
          <w:rFonts w:hint="eastAsia" w:ascii="宋体" w:hAnsi="宋体" w:cs="宋体"/>
          <w:b/>
          <w:szCs w:val="24"/>
          <w:highlight w:val="none"/>
        </w:rPr>
        <w:t>16.投标有效期</w:t>
      </w:r>
    </w:p>
    <w:p>
      <w:pPr>
        <w:spacing w:line="500" w:lineRule="exact"/>
        <w:ind w:firstLine="480" w:firstLineChars="200"/>
        <w:rPr>
          <w:rFonts w:ascii="宋体" w:hAnsi="宋体" w:cs="宋体"/>
          <w:b/>
          <w:sz w:val="24"/>
          <w:szCs w:val="21"/>
          <w:highlight w:val="none"/>
        </w:rPr>
      </w:pPr>
      <w:r>
        <w:rPr>
          <w:rFonts w:hint="eastAsia" w:ascii="宋体" w:hAnsi="宋体" w:cs="宋体"/>
          <w:sz w:val="24"/>
          <w:szCs w:val="20"/>
          <w:highlight w:val="none"/>
        </w:rPr>
        <w:t>16.1投标有效期为从提交投标文件的截止之日起90天。</w:t>
      </w:r>
      <w:r>
        <w:rPr>
          <w:rFonts w:hint="eastAsia" w:ascii="宋体" w:hAnsi="宋体" w:cs="宋体"/>
          <w:kern w:val="0"/>
          <w:sz w:val="24"/>
          <w:highlight w:val="none"/>
        </w:rPr>
        <w:t>★</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pPr>
        <w:pStyle w:val="41"/>
        <w:spacing w:before="0" w:line="500" w:lineRule="exact"/>
        <w:ind w:firstLine="480"/>
        <w:rPr>
          <w:rFonts w:ascii="宋体" w:hAnsi="宋体" w:cs="宋体"/>
          <w:highlight w:val="none"/>
        </w:rPr>
      </w:pPr>
      <w:r>
        <w:rPr>
          <w:rFonts w:hint="eastAsia" w:ascii="宋体" w:hAnsi="宋体" w:cs="宋体"/>
          <w:highlight w:val="none"/>
        </w:rPr>
        <w:t>16.2投标文件合格投递后，自投标截止日期起，在投标有效期内有效。</w:t>
      </w:r>
    </w:p>
    <w:p>
      <w:pPr>
        <w:pStyle w:val="41"/>
        <w:spacing w:before="0" w:line="500" w:lineRule="exact"/>
        <w:ind w:firstLine="480"/>
        <w:rPr>
          <w:rFonts w:ascii="宋体" w:hAnsi="宋体" w:cs="宋体"/>
          <w:highlight w:val="none"/>
        </w:rPr>
      </w:pPr>
      <w:r>
        <w:rPr>
          <w:rFonts w:hint="eastAsia" w:ascii="宋体" w:hAnsi="宋体" w:cs="宋体"/>
          <w:highlight w:val="none"/>
        </w:rPr>
        <w:t>16.3在原定投标有效期满之前，如果出现特殊情况，采购代理机构可以以书面形式通知投标人延长投标有效期。投标人同意延长的，不得要求或被允许修改其投标文件，投标人拒绝延长的，其投标无效。</w:t>
      </w:r>
    </w:p>
    <w:p>
      <w:pPr>
        <w:pStyle w:val="41"/>
        <w:spacing w:before="0" w:line="500" w:lineRule="exact"/>
        <w:ind w:firstLine="0" w:firstLineChars="0"/>
        <w:jc w:val="center"/>
        <w:rPr>
          <w:rFonts w:ascii="宋体" w:hAnsi="宋体" w:cs="宋体"/>
          <w:b/>
          <w:sz w:val="28"/>
          <w:szCs w:val="28"/>
          <w:highlight w:val="none"/>
        </w:rPr>
      </w:pPr>
      <w:r>
        <w:rPr>
          <w:rFonts w:hint="eastAsia" w:ascii="宋体" w:hAnsi="宋体" w:cs="宋体"/>
          <w:b/>
          <w:sz w:val="28"/>
          <w:szCs w:val="28"/>
          <w:highlight w:val="none"/>
        </w:rPr>
        <w:t>四、开标、资格审查与信用信息查询</w:t>
      </w:r>
    </w:p>
    <w:p>
      <w:pPr>
        <w:pStyle w:val="44"/>
        <w:spacing w:before="0" w:line="500" w:lineRule="exact"/>
        <w:ind w:left="0" w:firstLine="0"/>
        <w:contextualSpacing/>
        <w:rPr>
          <w:rFonts w:ascii="宋体" w:hAnsi="宋体" w:cs="宋体"/>
          <w:sz w:val="24"/>
          <w:highlight w:val="none"/>
        </w:rPr>
      </w:pPr>
      <w:r>
        <w:rPr>
          <w:rFonts w:hint="eastAsia" w:ascii="宋体" w:hAnsi="宋体" w:cs="宋体"/>
          <w:b/>
          <w:sz w:val="24"/>
          <w:szCs w:val="24"/>
          <w:highlight w:val="none"/>
        </w:rPr>
        <w:t>17.开标</w:t>
      </w:r>
      <w:r>
        <w:rPr>
          <w:rFonts w:hint="eastAsia" w:ascii="宋体" w:hAnsi="宋体" w:cs="宋体"/>
          <w:sz w:val="24"/>
          <w:highlight w:val="none"/>
        </w:rPr>
        <w:t xml:space="preserve"> </w:t>
      </w:r>
    </w:p>
    <w:p>
      <w:pPr>
        <w:pStyle w:val="44"/>
        <w:spacing w:before="0" w:line="500" w:lineRule="exact"/>
        <w:ind w:left="0" w:firstLine="480" w:firstLineChars="200"/>
        <w:contextualSpacing/>
        <w:rPr>
          <w:rFonts w:ascii="宋体" w:hAnsi="宋体" w:cs="宋体"/>
          <w:sz w:val="24"/>
          <w:highlight w:val="none"/>
        </w:rPr>
      </w:pPr>
      <w:r>
        <w:rPr>
          <w:rFonts w:hint="eastAsia" w:ascii="宋体" w:hAnsi="宋体" w:cs="宋体"/>
          <w:sz w:val="24"/>
          <w:highlight w:val="none"/>
        </w:rPr>
        <w:t>17.1采购代理机构按照招标文件规定的时间通过电子交易平台组织开标，所有投标人均应当准时在线参加。投标人不足3家的，不得开标。</w:t>
      </w:r>
    </w:p>
    <w:p>
      <w:pPr>
        <w:pStyle w:val="44"/>
        <w:spacing w:before="0" w:line="500" w:lineRule="exact"/>
        <w:ind w:left="0" w:firstLine="240" w:firstLineChars="100"/>
        <w:contextualSpacing/>
        <w:rPr>
          <w:rFonts w:ascii="宋体" w:hAnsi="宋体" w:cs="宋体"/>
          <w:sz w:val="24"/>
          <w:highlight w:val="none"/>
        </w:rPr>
      </w:pPr>
      <w:r>
        <w:rPr>
          <w:rFonts w:hint="eastAsia" w:ascii="宋体" w:hAnsi="宋体" w:cs="宋体"/>
          <w:sz w:val="24"/>
          <w:highlight w:val="none"/>
        </w:rPr>
        <w:t>　17.2开标时，电子交易平台按开标时间自动提取所有投标文件。采购代理机构依托电子交易平台发起开始解密指令，投标人按照平台提示和招标文件的规定在半小时内完成在线解密。</w:t>
      </w:r>
    </w:p>
    <w:p>
      <w:pPr>
        <w:pStyle w:val="44"/>
        <w:spacing w:before="0" w:line="500" w:lineRule="exact"/>
        <w:ind w:left="0" w:firstLine="240" w:firstLineChars="100"/>
        <w:contextualSpacing/>
        <w:rPr>
          <w:rFonts w:ascii="宋体" w:hAnsi="宋体" w:cs="宋体"/>
          <w:b/>
          <w:sz w:val="24"/>
          <w:highlight w:val="none"/>
        </w:rPr>
      </w:pPr>
      <w:r>
        <w:rPr>
          <w:rFonts w:hint="eastAsia" w:ascii="宋体" w:hAnsi="宋体" w:cs="宋体"/>
          <w:sz w:val="24"/>
          <w:highlight w:val="none"/>
        </w:rPr>
        <w:t>　17.3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500" w:lineRule="exact"/>
        <w:jc w:val="left"/>
        <w:rPr>
          <w:rFonts w:ascii="宋体" w:hAnsi="宋体" w:cs="宋体"/>
          <w:b/>
          <w:sz w:val="24"/>
          <w:szCs w:val="20"/>
          <w:highlight w:val="none"/>
        </w:rPr>
      </w:pPr>
      <w:r>
        <w:rPr>
          <w:rFonts w:hint="eastAsia" w:ascii="宋体" w:hAnsi="宋体" w:cs="宋体"/>
          <w:b/>
          <w:sz w:val="24"/>
          <w:szCs w:val="20"/>
          <w:highlight w:val="none"/>
        </w:rPr>
        <w:t>18.资格审查</w:t>
      </w:r>
    </w:p>
    <w:p>
      <w:pPr>
        <w:pStyle w:val="41"/>
        <w:spacing w:before="0" w:line="500" w:lineRule="exact"/>
        <w:ind w:firstLine="480"/>
        <w:rPr>
          <w:rFonts w:ascii="宋体" w:hAnsi="宋体" w:cs="宋体"/>
          <w:kern w:val="0"/>
          <w:szCs w:val="24"/>
          <w:highlight w:val="none"/>
        </w:rPr>
      </w:pPr>
      <w:r>
        <w:rPr>
          <w:rFonts w:hint="eastAsia" w:ascii="宋体" w:hAnsi="宋体" w:cs="宋体"/>
          <w:kern w:val="0"/>
          <w:szCs w:val="24"/>
          <w:highlight w:val="none"/>
        </w:rPr>
        <w:t>18.1开标后，采购人或采购代理机构将依法对投标人的资格进行审查。</w:t>
      </w:r>
    </w:p>
    <w:p>
      <w:pPr>
        <w:snapToGrid w:val="0"/>
        <w:spacing w:line="500" w:lineRule="exact"/>
        <w:ind w:firstLine="480" w:firstLineChars="200"/>
        <w:rPr>
          <w:rFonts w:ascii="宋体" w:hAnsi="宋体" w:cs="宋体"/>
          <w:sz w:val="24"/>
          <w:highlight w:val="none"/>
        </w:rPr>
      </w:pPr>
      <w:r>
        <w:rPr>
          <w:rFonts w:hint="eastAsia" w:ascii="宋体" w:hAnsi="宋体" w:cs="宋体"/>
          <w:kern w:val="0"/>
          <w:sz w:val="24"/>
          <w:highlight w:val="none"/>
        </w:rPr>
        <w:t>18.2</w:t>
      </w:r>
      <w:r>
        <w:rPr>
          <w:rFonts w:hint="eastAsia" w:ascii="宋体" w:hAnsi="宋体" w:cs="宋体"/>
          <w:sz w:val="24"/>
          <w:highlight w:val="none"/>
        </w:rPr>
        <w:t>采购人或采购代理机构依据法律法规和招标文件的规定，对投标人的基本资格条件、特定资格条件进行审查。</w:t>
      </w:r>
    </w:p>
    <w:p>
      <w:pPr>
        <w:pStyle w:val="41"/>
        <w:spacing w:before="0" w:line="500" w:lineRule="exact"/>
        <w:ind w:firstLine="480"/>
        <w:rPr>
          <w:rFonts w:ascii="宋体" w:hAnsi="宋体" w:cs="宋体"/>
          <w:highlight w:val="none"/>
        </w:rPr>
      </w:pPr>
      <w:r>
        <w:rPr>
          <w:rFonts w:hint="eastAsia" w:ascii="宋体" w:hAnsi="宋体" w:cs="宋体"/>
          <w:kern w:val="0"/>
          <w:szCs w:val="24"/>
          <w:highlight w:val="none"/>
        </w:rPr>
        <w:t>18.3投标人未按照招标文件要求提供与</w:t>
      </w:r>
      <w:r>
        <w:rPr>
          <w:rFonts w:hint="eastAsia" w:ascii="宋体" w:hAnsi="宋体" w:cs="宋体"/>
          <w:highlight w:val="none"/>
        </w:rPr>
        <w:t>基本资格条件、特定资格条件相应的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pPr>
        <w:pStyle w:val="41"/>
        <w:spacing w:before="0" w:line="500" w:lineRule="exact"/>
        <w:ind w:firstLine="480"/>
        <w:rPr>
          <w:rFonts w:ascii="宋体" w:hAnsi="宋体" w:cs="宋体"/>
          <w:highlight w:val="none"/>
        </w:rPr>
      </w:pPr>
      <w:r>
        <w:rPr>
          <w:rFonts w:hint="eastAsia" w:ascii="宋体" w:hAnsi="宋体" w:cs="宋体"/>
          <w:kern w:val="0"/>
          <w:szCs w:val="24"/>
          <w:highlight w:val="none"/>
        </w:rPr>
        <w:t>18.</w:t>
      </w:r>
      <w:r>
        <w:rPr>
          <w:rFonts w:hint="eastAsia" w:ascii="宋体" w:hAnsi="宋体" w:cs="宋体"/>
          <w:highlight w:val="none"/>
        </w:rPr>
        <w:t>4对未通过资格审查的投标人，采购人或采购代理机构告知其未通过的原因。</w:t>
      </w:r>
    </w:p>
    <w:p>
      <w:pPr>
        <w:pStyle w:val="41"/>
        <w:spacing w:before="0" w:line="500" w:lineRule="exact"/>
        <w:ind w:firstLine="480"/>
        <w:rPr>
          <w:rFonts w:ascii="宋体" w:hAnsi="宋体" w:cs="宋体"/>
          <w:highlight w:val="none"/>
        </w:rPr>
      </w:pPr>
      <w:r>
        <w:rPr>
          <w:rFonts w:hint="eastAsia" w:ascii="宋体" w:hAnsi="宋体" w:cs="宋体"/>
          <w:kern w:val="0"/>
          <w:szCs w:val="24"/>
          <w:highlight w:val="none"/>
        </w:rPr>
        <w:t>18.</w:t>
      </w:r>
      <w:r>
        <w:rPr>
          <w:rFonts w:hint="eastAsia" w:ascii="宋体" w:hAnsi="宋体" w:cs="宋体"/>
          <w:highlight w:val="none"/>
        </w:rPr>
        <w:t>5合格投标人不足3家的，不再评标。</w:t>
      </w:r>
    </w:p>
    <w:p>
      <w:pPr>
        <w:pStyle w:val="41"/>
        <w:spacing w:before="0" w:line="500" w:lineRule="exact"/>
        <w:ind w:firstLine="0" w:firstLineChars="0"/>
        <w:rPr>
          <w:rFonts w:ascii="宋体" w:hAnsi="宋体" w:cs="宋体"/>
          <w:b/>
          <w:szCs w:val="24"/>
          <w:highlight w:val="none"/>
        </w:rPr>
      </w:pPr>
      <w:r>
        <w:rPr>
          <w:rFonts w:hint="eastAsia" w:ascii="宋体" w:hAnsi="宋体" w:cs="宋体"/>
          <w:b/>
          <w:szCs w:val="24"/>
          <w:highlight w:val="none"/>
        </w:rPr>
        <w:t>19.信用信息查询</w:t>
      </w:r>
    </w:p>
    <w:p>
      <w:pPr>
        <w:pStyle w:val="41"/>
        <w:spacing w:before="0" w:line="500" w:lineRule="exact"/>
        <w:ind w:firstLine="495" w:firstLineChars="0"/>
        <w:rPr>
          <w:rFonts w:ascii="宋体" w:hAnsi="宋体" w:cs="宋体"/>
          <w:kern w:val="0"/>
          <w:szCs w:val="24"/>
          <w:highlight w:val="none"/>
        </w:rPr>
      </w:pPr>
      <w:r>
        <w:rPr>
          <w:rFonts w:hint="eastAsia" w:ascii="宋体" w:hAnsi="宋体" w:cs="宋体"/>
          <w:kern w:val="0"/>
          <w:szCs w:val="24"/>
          <w:highlight w:val="none"/>
        </w:rPr>
        <w:t>19.1信用信息查询渠道及截止时间：采购代理机构将通过“信用中国”网站(www.creditchina.gov.cn)、中国政府采购网(www.ccgp.gov.cn)渠道查询投标人投标截止时间当天的信用记录。</w:t>
      </w:r>
    </w:p>
    <w:p>
      <w:pPr>
        <w:pStyle w:val="41"/>
        <w:spacing w:before="0" w:line="500" w:lineRule="exact"/>
        <w:ind w:firstLine="495" w:firstLineChars="0"/>
        <w:rPr>
          <w:rFonts w:ascii="宋体" w:hAnsi="宋体" w:cs="宋体"/>
          <w:kern w:val="0"/>
          <w:szCs w:val="24"/>
          <w:highlight w:val="none"/>
        </w:rPr>
      </w:pPr>
      <w:r>
        <w:rPr>
          <w:rFonts w:hint="eastAsia" w:ascii="宋体" w:hAnsi="宋体" w:cs="宋体"/>
          <w:kern w:val="0"/>
          <w:szCs w:val="24"/>
          <w:highlight w:val="none"/>
        </w:rPr>
        <w:t>19.2信用信息查询记录和证据留存的具体方式：现场查询的投标人的信用记录、查询结果经确认后将与采购文件一起存档。</w:t>
      </w:r>
    </w:p>
    <w:p>
      <w:pPr>
        <w:pStyle w:val="41"/>
        <w:spacing w:before="0" w:line="500" w:lineRule="exact"/>
        <w:ind w:firstLine="495" w:firstLineChars="0"/>
        <w:rPr>
          <w:rFonts w:ascii="宋体" w:hAnsi="宋体" w:cs="宋体"/>
          <w:kern w:val="0"/>
          <w:szCs w:val="24"/>
          <w:highlight w:val="none"/>
        </w:rPr>
      </w:pPr>
      <w:r>
        <w:rPr>
          <w:rFonts w:hint="eastAsia" w:ascii="宋体" w:hAnsi="宋体" w:cs="宋体"/>
          <w:kern w:val="0"/>
          <w:szCs w:val="24"/>
          <w:highlight w:val="none"/>
        </w:rPr>
        <w:t>19.3信用信息的使用规则：经查询列入失信被执行人名单、重大税收违法案件当事人名单、政府采购严重违法失信行为记录名单的投标人将被拒绝参与政府采购活动。</w:t>
      </w:r>
    </w:p>
    <w:p>
      <w:pPr>
        <w:pStyle w:val="41"/>
        <w:spacing w:before="0" w:line="500" w:lineRule="exact"/>
        <w:ind w:firstLine="480"/>
        <w:rPr>
          <w:rFonts w:ascii="宋体" w:hAnsi="宋体" w:cs="宋体"/>
          <w:highlight w:val="none"/>
        </w:rPr>
      </w:pPr>
      <w:r>
        <w:rPr>
          <w:rFonts w:hint="eastAsia" w:ascii="宋体" w:hAnsi="宋体" w:cs="宋体"/>
          <w:kern w:val="0"/>
          <w:szCs w:val="24"/>
          <w:highlight w:val="none"/>
        </w:rPr>
        <w:t>19.4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pPr>
        <w:snapToGrid w:val="0"/>
        <w:spacing w:line="500" w:lineRule="exact"/>
        <w:outlineLvl w:val="0"/>
        <w:rPr>
          <w:rFonts w:ascii="宋体" w:hAnsi="宋体" w:cs="宋体"/>
          <w:b/>
          <w:sz w:val="28"/>
          <w:szCs w:val="28"/>
          <w:highlight w:val="none"/>
        </w:rPr>
      </w:pPr>
      <w:bookmarkStart w:id="40" w:name="_Toc26039"/>
      <w:bookmarkStart w:id="41" w:name="_Toc3240"/>
    </w:p>
    <w:p>
      <w:pPr>
        <w:snapToGrid w:val="0"/>
        <w:spacing w:line="500" w:lineRule="exact"/>
        <w:jc w:val="center"/>
        <w:outlineLvl w:val="0"/>
        <w:rPr>
          <w:rFonts w:ascii="宋体" w:hAnsi="宋体" w:cs="宋体"/>
          <w:b/>
          <w:sz w:val="28"/>
          <w:szCs w:val="28"/>
          <w:highlight w:val="none"/>
        </w:rPr>
      </w:pPr>
      <w:r>
        <w:rPr>
          <w:rFonts w:hint="eastAsia" w:ascii="宋体" w:hAnsi="宋体" w:cs="宋体"/>
          <w:b/>
          <w:sz w:val="28"/>
          <w:szCs w:val="28"/>
          <w:highlight w:val="none"/>
        </w:rPr>
        <w:t>五、评标</w:t>
      </w:r>
      <w:bookmarkEnd w:id="40"/>
      <w:bookmarkEnd w:id="41"/>
    </w:p>
    <w:p>
      <w:pPr>
        <w:spacing w:line="500" w:lineRule="exact"/>
        <w:ind w:firstLine="480" w:firstLineChars="200"/>
        <w:rPr>
          <w:rFonts w:ascii="宋体" w:hAnsi="宋体" w:cs="宋体"/>
          <w:b/>
          <w:sz w:val="24"/>
          <w:highlight w:val="none"/>
        </w:rPr>
      </w:pPr>
      <w:bookmarkStart w:id="42" w:name="_Toc91899903"/>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pPr>
        <w:spacing w:line="500" w:lineRule="exact"/>
        <w:outlineLvl w:val="0"/>
        <w:rPr>
          <w:rFonts w:ascii="宋体" w:hAnsi="宋体" w:cs="宋体"/>
          <w:b/>
          <w:bCs/>
          <w:sz w:val="24"/>
          <w:highlight w:val="none"/>
        </w:rPr>
      </w:pPr>
      <w:bookmarkStart w:id="43" w:name="_Toc15144"/>
      <w:bookmarkStart w:id="44" w:name="_Toc7882"/>
      <w:r>
        <w:rPr>
          <w:rFonts w:hint="eastAsia" w:ascii="宋体" w:hAnsi="宋体" w:cs="宋体"/>
          <w:b/>
          <w:bCs/>
          <w:sz w:val="24"/>
          <w:highlight w:val="none"/>
        </w:rPr>
        <w:t>20.评标程序</w:t>
      </w:r>
    </w:p>
    <w:p>
      <w:pPr>
        <w:spacing w:line="500" w:lineRule="exact"/>
        <w:ind w:firstLine="472" w:firstLineChars="196"/>
        <w:rPr>
          <w:rFonts w:ascii="宋体" w:hAnsi="宋体" w:cs="宋体"/>
          <w:kern w:val="0"/>
          <w:sz w:val="24"/>
          <w:highlight w:val="none"/>
        </w:rPr>
      </w:pPr>
      <w:r>
        <w:rPr>
          <w:rFonts w:hint="eastAsia" w:ascii="宋体" w:hAnsi="宋体" w:cs="宋体"/>
          <w:b/>
          <w:kern w:val="0"/>
          <w:sz w:val="24"/>
          <w:highlight w:val="none"/>
        </w:rPr>
        <w:t>20.1符合性审查。</w:t>
      </w:r>
      <w:r>
        <w:rPr>
          <w:rFonts w:hint="eastAsia" w:ascii="宋体" w:hAnsi="宋体" w:cs="宋体"/>
          <w:kern w:val="0"/>
          <w:sz w:val="24"/>
          <w:highlight w:val="none"/>
        </w:rPr>
        <w:t>评标委员会应当对通过资格审查的投标人的投标文件进行符合性审查，以确定其是否满足招标文件的实质性要求。不满足招标文件的实质性要求的，投标无效。</w:t>
      </w:r>
    </w:p>
    <w:p>
      <w:pPr>
        <w:spacing w:line="500" w:lineRule="exact"/>
        <w:ind w:firstLine="472" w:firstLineChars="196"/>
        <w:rPr>
          <w:rFonts w:ascii="宋体" w:hAnsi="宋体" w:cs="宋体"/>
          <w:kern w:val="0"/>
          <w:sz w:val="24"/>
          <w:highlight w:val="none"/>
        </w:rPr>
      </w:pPr>
      <w:r>
        <w:rPr>
          <w:rFonts w:hint="eastAsia" w:ascii="宋体" w:hAnsi="宋体" w:cs="宋体"/>
          <w:b/>
          <w:kern w:val="0"/>
          <w:sz w:val="24"/>
          <w:highlight w:val="none"/>
        </w:rPr>
        <w:t>20.2 比较与评价。</w:t>
      </w:r>
      <w:r>
        <w:rPr>
          <w:rFonts w:hint="eastAsia" w:ascii="宋体" w:hAnsi="宋体" w:cs="宋体"/>
          <w:kern w:val="0"/>
          <w:sz w:val="24"/>
          <w:highlight w:val="none"/>
        </w:rPr>
        <w:t>评标委员会应当按照招标文件中规定的评标方法和标准，对符合性审查合格的投标文件进行资信技术评估，综合比较与评价。</w:t>
      </w:r>
    </w:p>
    <w:p>
      <w:pPr>
        <w:spacing w:line="500" w:lineRule="exact"/>
        <w:ind w:firstLine="472" w:firstLineChars="196"/>
        <w:rPr>
          <w:rFonts w:ascii="宋体" w:hAnsi="宋体" w:cs="宋体"/>
          <w:kern w:val="0"/>
          <w:sz w:val="24"/>
          <w:highlight w:val="none"/>
        </w:rPr>
      </w:pPr>
      <w:r>
        <w:rPr>
          <w:rFonts w:hint="eastAsia" w:ascii="宋体" w:hAnsi="宋体" w:cs="宋体"/>
          <w:b/>
          <w:kern w:val="0"/>
          <w:sz w:val="24"/>
          <w:highlight w:val="none"/>
        </w:rPr>
        <w:t>20.3汇总资信技术得分。</w:t>
      </w:r>
      <w:r>
        <w:rPr>
          <w:rFonts w:hint="eastAsia" w:ascii="宋体" w:hAnsi="宋体" w:cs="宋体"/>
          <w:kern w:val="0"/>
          <w:sz w:val="24"/>
          <w:highlight w:val="none"/>
        </w:rPr>
        <w:t>评标委员会各成员应当独立对每个投标人的资信技术文件进行评价，并汇总资信技术得分情况。</w:t>
      </w:r>
    </w:p>
    <w:p>
      <w:pPr>
        <w:spacing w:line="500" w:lineRule="exact"/>
        <w:ind w:firstLine="472" w:firstLineChars="196"/>
        <w:rPr>
          <w:rFonts w:ascii="宋体" w:hAnsi="宋体" w:cs="宋体"/>
          <w:b/>
          <w:kern w:val="0"/>
          <w:sz w:val="24"/>
          <w:highlight w:val="none"/>
        </w:rPr>
      </w:pPr>
      <w:r>
        <w:rPr>
          <w:rFonts w:hint="eastAsia" w:ascii="宋体" w:hAnsi="宋体" w:cs="宋体"/>
          <w:b/>
          <w:kern w:val="0"/>
          <w:sz w:val="24"/>
          <w:highlight w:val="none"/>
        </w:rPr>
        <w:t>20.4报价评审。</w:t>
      </w:r>
    </w:p>
    <w:p>
      <w:pPr>
        <w:pStyle w:val="41"/>
        <w:spacing w:before="0" w:line="500" w:lineRule="exact"/>
        <w:ind w:firstLine="508" w:firstLineChars="212"/>
        <w:rPr>
          <w:rFonts w:ascii="宋体" w:hAnsi="宋体" w:cs="宋体"/>
          <w:kern w:val="0"/>
          <w:szCs w:val="24"/>
          <w:highlight w:val="none"/>
        </w:rPr>
      </w:pPr>
      <w:r>
        <w:rPr>
          <w:rFonts w:hint="eastAsia" w:ascii="宋体" w:hAnsi="宋体" w:cs="宋体"/>
          <w:kern w:val="0"/>
          <w:szCs w:val="24"/>
          <w:highlight w:val="none"/>
        </w:rPr>
        <w:t>20.4.1投标文件报价出现前后不一致的，按照下列规定修正：</w:t>
      </w:r>
    </w:p>
    <w:p>
      <w:pPr>
        <w:pStyle w:val="41"/>
        <w:spacing w:before="0" w:line="500" w:lineRule="exact"/>
        <w:ind w:firstLine="480"/>
        <w:rPr>
          <w:rFonts w:ascii="宋体" w:hAnsi="宋体" w:cs="宋体"/>
          <w:kern w:val="0"/>
          <w:szCs w:val="24"/>
          <w:highlight w:val="none"/>
        </w:rPr>
      </w:pPr>
      <w:r>
        <w:rPr>
          <w:rFonts w:hint="eastAsia" w:ascii="宋体" w:hAnsi="宋体" w:cs="宋体"/>
          <w:kern w:val="0"/>
          <w:szCs w:val="24"/>
          <w:highlight w:val="none"/>
        </w:rPr>
        <w:t>20.4.1.1投标文件中开标一览表(报价表)内容与投标文件中相应内容不一致的，以开标一览表(报价表)为准;</w:t>
      </w:r>
    </w:p>
    <w:p>
      <w:pPr>
        <w:pStyle w:val="41"/>
        <w:spacing w:before="0" w:line="500" w:lineRule="exact"/>
        <w:ind w:firstLine="480"/>
        <w:rPr>
          <w:rFonts w:ascii="宋体" w:hAnsi="宋体" w:cs="宋体"/>
          <w:kern w:val="0"/>
          <w:szCs w:val="24"/>
          <w:highlight w:val="none"/>
        </w:rPr>
      </w:pPr>
      <w:r>
        <w:rPr>
          <w:rFonts w:hint="eastAsia" w:ascii="宋体" w:hAnsi="宋体" w:cs="宋体"/>
          <w:kern w:val="0"/>
          <w:szCs w:val="24"/>
          <w:highlight w:val="none"/>
        </w:rPr>
        <w:t>20.4.1.2大写金额和小写金额不一致的，以大写金额为准;</w:t>
      </w:r>
    </w:p>
    <w:p>
      <w:pPr>
        <w:pStyle w:val="41"/>
        <w:spacing w:before="0" w:line="500" w:lineRule="exact"/>
        <w:ind w:firstLine="480"/>
        <w:rPr>
          <w:rFonts w:ascii="宋体" w:hAnsi="宋体" w:cs="宋体"/>
          <w:kern w:val="0"/>
          <w:szCs w:val="24"/>
          <w:highlight w:val="none"/>
        </w:rPr>
      </w:pPr>
      <w:r>
        <w:rPr>
          <w:rFonts w:hint="eastAsia" w:ascii="宋体" w:hAnsi="宋体" w:cs="宋体"/>
          <w:kern w:val="0"/>
          <w:szCs w:val="24"/>
          <w:highlight w:val="none"/>
        </w:rPr>
        <w:t>20.4.1.3单价金额小数点或者百分比有明显错位的，以开标一览表的总价为准，并修改单价;</w:t>
      </w:r>
    </w:p>
    <w:p>
      <w:pPr>
        <w:pStyle w:val="41"/>
        <w:spacing w:before="0" w:line="500" w:lineRule="exact"/>
        <w:ind w:firstLine="480"/>
        <w:rPr>
          <w:rFonts w:ascii="宋体" w:hAnsi="宋体" w:cs="宋体"/>
          <w:kern w:val="0"/>
          <w:szCs w:val="24"/>
          <w:highlight w:val="none"/>
        </w:rPr>
      </w:pPr>
      <w:r>
        <w:rPr>
          <w:rFonts w:hint="eastAsia" w:ascii="宋体" w:hAnsi="宋体" w:cs="宋体"/>
          <w:kern w:val="0"/>
          <w:szCs w:val="24"/>
          <w:highlight w:val="none"/>
        </w:rPr>
        <w:t>20.4.1.4总价金额与按单价汇总金额不一致的，以单价金额计算结果为准。</w:t>
      </w:r>
    </w:p>
    <w:p>
      <w:pPr>
        <w:pStyle w:val="41"/>
        <w:spacing w:before="0" w:line="500" w:lineRule="exact"/>
        <w:ind w:firstLine="480"/>
        <w:rPr>
          <w:rFonts w:ascii="宋体" w:hAnsi="宋体" w:cs="宋体"/>
          <w:kern w:val="0"/>
          <w:szCs w:val="24"/>
          <w:highlight w:val="none"/>
        </w:rPr>
      </w:pPr>
      <w:r>
        <w:rPr>
          <w:rFonts w:hint="eastAsia" w:ascii="宋体" w:hAnsi="宋体" w:cs="宋体"/>
          <w:kern w:val="0"/>
          <w:szCs w:val="24"/>
          <w:highlight w:val="none"/>
        </w:rPr>
        <w:t>20.4.1.5同时出现两种以上不一致的，按照20.4.1规定的顺序修正。投标人的澄清说明或者补正应当采用书面形式，并加盖公章，或者由法定代表人或其法定授权的代表签字。投标人的说明或者补正不得超出投标文件的范围或者改变投标文件实质性内容。</w:t>
      </w:r>
    </w:p>
    <w:p>
      <w:pPr>
        <w:snapToGrid w:val="0"/>
        <w:spacing w:line="50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20.4.2投标文件出现不是唯一的、有选择性投标报价的，投标无效。</w:t>
      </w:r>
    </w:p>
    <w:p>
      <w:pPr>
        <w:snapToGrid w:val="0"/>
        <w:spacing w:line="50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20.4.3投标报价超过招标文件中规定的预算金额的，投标无效。</w:t>
      </w:r>
    </w:p>
    <w:p>
      <w:pPr>
        <w:pStyle w:val="41"/>
        <w:spacing w:before="0" w:line="500" w:lineRule="exact"/>
        <w:ind w:firstLine="480"/>
        <w:rPr>
          <w:rFonts w:ascii="宋体" w:hAnsi="宋体" w:cs="宋体"/>
          <w:kern w:val="0"/>
          <w:szCs w:val="24"/>
          <w:highlight w:val="none"/>
        </w:rPr>
      </w:pPr>
      <w:r>
        <w:rPr>
          <w:rFonts w:hint="eastAsia" w:ascii="宋体" w:hAnsi="宋体" w:cs="宋体"/>
          <w:kern w:val="0"/>
          <w:szCs w:val="24"/>
          <w:highlight w:val="none"/>
        </w:rPr>
        <w:t>20.4.4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pacing w:line="500" w:lineRule="exact"/>
        <w:ind w:firstLine="482" w:firstLineChars="200"/>
        <w:rPr>
          <w:rFonts w:ascii="宋体" w:hAnsi="宋体" w:cs="宋体"/>
          <w:b/>
          <w:kern w:val="0"/>
          <w:sz w:val="24"/>
          <w:highlight w:val="none"/>
        </w:rPr>
      </w:pPr>
      <w:r>
        <w:rPr>
          <w:rFonts w:hint="eastAsia" w:ascii="宋体" w:hAnsi="宋体" w:cs="宋体"/>
          <w:b/>
          <w:bCs/>
          <w:kern w:val="0"/>
          <w:sz w:val="24"/>
          <w:highlight w:val="none"/>
        </w:rPr>
        <w:t>20.5评</w:t>
      </w:r>
      <w:r>
        <w:rPr>
          <w:rFonts w:hint="eastAsia" w:ascii="宋体" w:hAnsi="宋体" w:cs="宋体"/>
          <w:b/>
          <w:kern w:val="0"/>
          <w:sz w:val="24"/>
          <w:highlight w:val="none"/>
        </w:rPr>
        <w:t>标。</w:t>
      </w:r>
    </w:p>
    <w:p>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20.5.1评标委员会由招标采购单位依法组建，负责评标活动。评标委员会遵循公平、公正、科学合理、竞争择优的原则。</w:t>
      </w:r>
    </w:p>
    <w:p>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20.5.2评标委员会由采购人或采购代理机构依法组建，成员包括采购人代表和评审专家，成员人数为</w:t>
      </w:r>
      <w:r>
        <w:rPr>
          <w:rFonts w:hint="eastAsia" w:ascii="宋体" w:hAnsi="宋体" w:cs="宋体"/>
          <w:sz w:val="24"/>
          <w:highlight w:val="none"/>
          <w:lang w:val="en-US" w:eastAsia="zh-CN"/>
        </w:rPr>
        <w:t>5</w:t>
      </w:r>
      <w:r>
        <w:rPr>
          <w:rFonts w:hint="eastAsia" w:ascii="宋体" w:hAnsi="宋体" w:cs="宋体"/>
          <w:sz w:val="24"/>
          <w:highlight w:val="none"/>
        </w:rPr>
        <w:t>人，其中采购人代表1人。</w:t>
      </w:r>
    </w:p>
    <w:p>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20.5.3评标委员会可以要求投标人对其投标文件中含义不明确的内容作必要的澄清或者说明，但澄清或者说明不得超过投标文件的范围或者改变投标文件的实质性内容。</w:t>
      </w:r>
    </w:p>
    <w:p>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评审中需要投标人对投标、响应文件作出澄清、说明或者补正的，评标委员会和投标人应当通过乐采云平台交换数据电文。给予投标人提交澄清说明或补正的时间不少于半小时，投标人已经明确表示澄清说明或补正完毕的除外。</w:t>
      </w:r>
    </w:p>
    <w:p>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投标人通过乐采云平台交换的数据电文必须进行电子签章。</w:t>
      </w:r>
    </w:p>
    <w:p>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20.5.4评审小组组长组织评审人员独立评审。评审小组对拟认定为采购响应文件无效、投标人资格不符合的，应组织相关投标人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pPr>
        <w:snapToGrid w:val="0"/>
        <w:spacing w:line="440" w:lineRule="exact"/>
        <w:ind w:firstLine="480" w:firstLineChars="200"/>
        <w:jc w:val="left"/>
        <w:rPr>
          <w:rFonts w:ascii="宋体" w:hAnsi="宋体" w:cs="宋体"/>
          <w:b/>
          <w:kern w:val="0"/>
          <w:sz w:val="24"/>
          <w:highlight w:val="none"/>
        </w:rPr>
      </w:pPr>
      <w:r>
        <w:rPr>
          <w:rFonts w:hint="eastAsia" w:ascii="宋体" w:hAnsi="宋体" w:cs="宋体"/>
          <w:sz w:val="24"/>
          <w:highlight w:val="none"/>
        </w:rPr>
        <w:t>20.5.5评标委员会对投标文件的判定，只依据投标文件和招标文件内容本身，不依据任何外来证明。</w:t>
      </w:r>
    </w:p>
    <w:p>
      <w:pPr>
        <w:spacing w:line="500" w:lineRule="exact"/>
        <w:ind w:firstLine="472" w:firstLineChars="196"/>
        <w:rPr>
          <w:rFonts w:ascii="宋体" w:hAnsi="宋体" w:cs="宋体"/>
          <w:kern w:val="0"/>
          <w:sz w:val="24"/>
          <w:highlight w:val="none"/>
        </w:rPr>
      </w:pPr>
      <w:r>
        <w:rPr>
          <w:rFonts w:hint="eastAsia" w:ascii="宋体" w:hAnsi="宋体" w:cs="宋体"/>
          <w:b/>
          <w:kern w:val="0"/>
          <w:sz w:val="24"/>
          <w:highlight w:val="none"/>
        </w:rPr>
        <w:t>20.6评标报告由乐采云自动生成。</w:t>
      </w:r>
      <w:r>
        <w:rPr>
          <w:rFonts w:hint="eastAsia" w:ascii="宋体" w:hAnsi="宋体" w:cs="宋体"/>
          <w:kern w:val="0"/>
          <w:sz w:val="24"/>
          <w:highlight w:val="none"/>
        </w:rPr>
        <w:t>评标委员会成员在评标报告上签字。</w:t>
      </w:r>
    </w:p>
    <w:p>
      <w:pPr>
        <w:widowControl/>
        <w:adjustRightInd/>
        <w:spacing w:line="500" w:lineRule="exact"/>
        <w:jc w:val="left"/>
        <w:rPr>
          <w:rFonts w:ascii="宋体" w:hAnsi="宋体" w:cs="宋体"/>
          <w:b/>
          <w:sz w:val="24"/>
          <w:highlight w:val="none"/>
        </w:rPr>
      </w:pPr>
      <w:r>
        <w:rPr>
          <w:rFonts w:hint="eastAsia" w:ascii="宋体" w:hAnsi="宋体" w:cs="宋体"/>
          <w:b/>
          <w:sz w:val="24"/>
          <w:highlight w:val="none"/>
        </w:rPr>
        <w:t>21、评标中的其他事项</w:t>
      </w:r>
    </w:p>
    <w:p>
      <w:pPr>
        <w:pStyle w:val="41"/>
        <w:spacing w:before="0" w:line="500" w:lineRule="exact"/>
        <w:ind w:firstLine="472" w:firstLineChars="196"/>
        <w:rPr>
          <w:rFonts w:ascii="宋体" w:hAnsi="宋体" w:cs="宋体"/>
          <w:kern w:val="0"/>
          <w:szCs w:val="24"/>
          <w:highlight w:val="none"/>
        </w:rPr>
      </w:pPr>
      <w:r>
        <w:rPr>
          <w:rFonts w:hint="eastAsia" w:ascii="宋体" w:hAnsi="宋体" w:cs="宋体"/>
          <w:b/>
          <w:kern w:val="0"/>
          <w:szCs w:val="24"/>
          <w:highlight w:val="none"/>
        </w:rPr>
        <w:t>21.1投标人澄清、说明或者补正。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5"/>
        <w:spacing w:line="500" w:lineRule="exact"/>
        <w:ind w:left="542" w:leftChars="228" w:hanging="63" w:hangingChars="27"/>
        <w:rPr>
          <w:rFonts w:hAnsi="宋体"/>
          <w:b/>
          <w:kern w:val="0"/>
          <w:sz w:val="24"/>
          <w:szCs w:val="24"/>
          <w:highlight w:val="none"/>
        </w:rPr>
      </w:pPr>
      <w:r>
        <w:rPr>
          <w:rFonts w:hint="eastAsia" w:hAnsi="宋体"/>
          <w:b/>
          <w:kern w:val="0"/>
          <w:sz w:val="24"/>
          <w:szCs w:val="24"/>
          <w:highlight w:val="none"/>
        </w:rPr>
        <w:t>21.2投标无效。</w:t>
      </w:r>
    </w:p>
    <w:p>
      <w:pPr>
        <w:pStyle w:val="5"/>
        <w:spacing w:line="500" w:lineRule="exact"/>
        <w:ind w:left="542" w:leftChars="228" w:hanging="63" w:hangingChars="27"/>
        <w:rPr>
          <w:rFonts w:hAnsi="宋体"/>
          <w:b/>
          <w:bCs/>
          <w:sz w:val="24"/>
          <w:szCs w:val="24"/>
          <w:highlight w:val="none"/>
        </w:rPr>
      </w:pPr>
      <w:r>
        <w:rPr>
          <w:rFonts w:hint="eastAsia" w:hAnsi="宋体"/>
          <w:b/>
          <w:bCs/>
          <w:sz w:val="24"/>
          <w:szCs w:val="24"/>
          <w:highlight w:val="none"/>
        </w:rPr>
        <w:t>有下列情况之一的，投标无效：</w:t>
      </w:r>
    </w:p>
    <w:p>
      <w:pPr>
        <w:spacing w:line="50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21.2.1投标人不具备招标文件中规定的资格要求的（投标人未提供有效的资格文件的，视为投标人不具备招标文件中规定的资格要求）；</w:t>
      </w:r>
    </w:p>
    <w:p>
      <w:pPr>
        <w:spacing w:line="50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21.2.2投标文件未按照招标文件要求签署、盖章的；</w:t>
      </w:r>
    </w:p>
    <w:p>
      <w:pPr>
        <w:spacing w:line="50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21.2.4投标文件含有采购人不能接受的附加条件的；</w:t>
      </w:r>
    </w:p>
    <w:p>
      <w:pPr>
        <w:spacing w:line="50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21.2.5投标文件中承诺的投标有效期少于招标文件中载明的投标有效期的；</w:t>
      </w:r>
    </w:p>
    <w:p>
      <w:pPr>
        <w:snapToGrid w:val="0"/>
        <w:spacing w:line="500" w:lineRule="exact"/>
        <w:ind w:firstLine="120" w:firstLineChars="50"/>
        <w:jc w:val="left"/>
        <w:rPr>
          <w:rFonts w:ascii="宋体" w:hAnsi="宋体" w:cs="宋体"/>
          <w:b/>
          <w:bCs/>
          <w:kern w:val="0"/>
          <w:sz w:val="24"/>
          <w:highlight w:val="none"/>
        </w:rPr>
      </w:pPr>
      <w:r>
        <w:rPr>
          <w:rFonts w:hint="eastAsia" w:ascii="宋体" w:hAnsi="宋体" w:cs="宋体"/>
          <w:b/>
          <w:bCs/>
          <w:kern w:val="0"/>
          <w:sz w:val="24"/>
          <w:highlight w:val="none"/>
        </w:rPr>
        <w:t xml:space="preserve">   21.2.6投标文件出现不是唯一的、有选择性投标报价的；</w:t>
      </w:r>
    </w:p>
    <w:p>
      <w:pPr>
        <w:spacing w:line="50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21.2.7投标报价超过招标文件中规定的预算金额的；</w:t>
      </w:r>
    </w:p>
    <w:p>
      <w:pPr>
        <w:spacing w:line="50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21.2.8报价明显低于其他通过符合性审查投标人的报价，有可能影响产品质量或者不能诚信履约的，未能按要求提供书面说明或者提交相关证明材料，不能证明其报价合理性的;</w:t>
      </w:r>
    </w:p>
    <w:p>
      <w:pPr>
        <w:spacing w:line="50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21.2.9投标人对根据修正原则修正后的报价不确认的；</w:t>
      </w:r>
    </w:p>
    <w:p>
      <w:pPr>
        <w:spacing w:line="50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21.2.10投标人提供虚假材料投标的；</w:t>
      </w:r>
    </w:p>
    <w:p>
      <w:pPr>
        <w:spacing w:line="500" w:lineRule="exact"/>
        <w:ind w:firstLine="241" w:firstLineChars="100"/>
        <w:rPr>
          <w:rFonts w:ascii="宋体" w:hAnsi="宋体" w:cs="宋体"/>
          <w:b/>
          <w:bCs/>
          <w:kern w:val="0"/>
          <w:sz w:val="24"/>
          <w:highlight w:val="none"/>
        </w:rPr>
      </w:pPr>
      <w:r>
        <w:rPr>
          <w:rFonts w:hint="eastAsia" w:ascii="宋体" w:hAnsi="宋体" w:cs="宋体"/>
          <w:b/>
          <w:bCs/>
          <w:kern w:val="0"/>
          <w:sz w:val="24"/>
          <w:highlight w:val="none"/>
        </w:rPr>
        <w:t xml:space="preserve">  21.2.11投标人有恶意串通、妨碍其他投标人的竞争行为、损害采购人或者其他投标人的合法权益情形的；</w:t>
      </w:r>
    </w:p>
    <w:p>
      <w:pPr>
        <w:spacing w:line="50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21.2.12投标人仅提交备份投标文件，没有在电子交易平台传输递交投标文件的，投标无效；</w:t>
      </w:r>
    </w:p>
    <w:p>
      <w:pPr>
        <w:pStyle w:val="3"/>
        <w:spacing w:line="500" w:lineRule="exact"/>
        <w:ind w:left="489" w:leftChars="228" w:hanging="10" w:hangingChars="4"/>
        <w:rPr>
          <w:rFonts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rPr>
        <w:t>21.2.13 投标文件不满足招标文件的标注</w:t>
      </w:r>
      <w:r>
        <w:rPr>
          <w:rFonts w:hint="eastAsia" w:ascii="宋体" w:hAnsi="宋体" w:eastAsia="宋体" w:cs="宋体"/>
          <w:sz w:val="24"/>
          <w:highlight w:val="none"/>
        </w:rPr>
        <w:t>“</w:t>
      </w:r>
      <w:r>
        <w:rPr>
          <w:rFonts w:hint="eastAsia" w:ascii="宋体" w:hAnsi="宋体" w:cs="宋体"/>
          <w:kern w:val="0"/>
          <w:sz w:val="24"/>
          <w:highlight w:val="none"/>
        </w:rPr>
        <w:t>★</w:t>
      </w:r>
      <w:r>
        <w:rPr>
          <w:rFonts w:hint="eastAsia" w:ascii="宋体" w:hAnsi="宋体" w:eastAsia="宋体" w:cs="宋体"/>
          <w:sz w:val="24"/>
          <w:highlight w:val="none"/>
        </w:rPr>
        <w:t xml:space="preserve">” </w:t>
      </w:r>
      <w:r>
        <w:rPr>
          <w:rFonts w:hint="eastAsia" w:ascii="宋体" w:hAnsi="宋体" w:eastAsia="宋体" w:cs="宋体"/>
          <w:kern w:val="0"/>
          <w:sz w:val="24"/>
          <w:szCs w:val="24"/>
          <w:highlight w:val="none"/>
          <w:lang w:val="en-US"/>
        </w:rPr>
        <w:t>实质性条款要求的；</w:t>
      </w:r>
    </w:p>
    <w:p>
      <w:pPr>
        <w:spacing w:line="50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21.2.14法律、法规、规章（适用本市的）及省级以上规范性文件（适用本市的）规定的其他无效情形。</w:t>
      </w:r>
    </w:p>
    <w:p>
      <w:pPr>
        <w:pStyle w:val="5"/>
        <w:snapToGrid w:val="0"/>
        <w:spacing w:line="500" w:lineRule="exact"/>
        <w:ind w:left="420" w:firstLine="0"/>
        <w:rPr>
          <w:rFonts w:hAnsi="宋体"/>
          <w:b/>
          <w:sz w:val="24"/>
          <w:szCs w:val="24"/>
          <w:highlight w:val="none"/>
        </w:rPr>
      </w:pPr>
      <w:r>
        <w:rPr>
          <w:rFonts w:hint="eastAsia" w:hAnsi="宋体"/>
          <w:b/>
          <w:sz w:val="24"/>
          <w:szCs w:val="24"/>
          <w:highlight w:val="none"/>
        </w:rPr>
        <w:t>22.终止采购程序或废标。</w:t>
      </w:r>
    </w:p>
    <w:p>
      <w:pPr>
        <w:pStyle w:val="5"/>
        <w:snapToGrid w:val="0"/>
        <w:spacing w:line="500" w:lineRule="exact"/>
        <w:ind w:left="412" w:leftChars="196" w:firstLine="0"/>
        <w:rPr>
          <w:rFonts w:hAnsi="宋体"/>
          <w:sz w:val="24"/>
          <w:szCs w:val="24"/>
          <w:highlight w:val="none"/>
        </w:rPr>
      </w:pPr>
      <w:r>
        <w:rPr>
          <w:rFonts w:hint="eastAsia" w:hAnsi="宋体"/>
          <w:sz w:val="24"/>
          <w:szCs w:val="24"/>
          <w:highlight w:val="none"/>
        </w:rPr>
        <w:t>在采购中，出现下列情形之一的，应予终止采购程序或废标：</w:t>
      </w:r>
    </w:p>
    <w:p>
      <w:pPr>
        <w:pStyle w:val="5"/>
        <w:snapToGrid w:val="0"/>
        <w:spacing w:line="500" w:lineRule="exact"/>
        <w:rPr>
          <w:rFonts w:hAnsi="宋体"/>
          <w:sz w:val="24"/>
          <w:szCs w:val="24"/>
          <w:highlight w:val="none"/>
        </w:rPr>
      </w:pPr>
      <w:r>
        <w:rPr>
          <w:rFonts w:hint="eastAsia" w:hAnsi="宋体"/>
          <w:sz w:val="24"/>
          <w:szCs w:val="24"/>
          <w:highlight w:val="none"/>
        </w:rPr>
        <w:t>22.1符合专业条件的投标人或者对招标文件作实质响应的投标人不足3家的；</w:t>
      </w:r>
    </w:p>
    <w:p>
      <w:pPr>
        <w:pStyle w:val="5"/>
        <w:snapToGrid w:val="0"/>
        <w:spacing w:line="500" w:lineRule="exact"/>
        <w:rPr>
          <w:rFonts w:hAnsi="宋体"/>
          <w:sz w:val="24"/>
          <w:szCs w:val="24"/>
          <w:highlight w:val="none"/>
        </w:rPr>
      </w:pPr>
      <w:r>
        <w:rPr>
          <w:rFonts w:hint="eastAsia" w:hAnsi="宋体"/>
          <w:sz w:val="24"/>
          <w:szCs w:val="24"/>
          <w:highlight w:val="none"/>
        </w:rPr>
        <w:t>22.2出现影响采购公正的违法、违规行为的；</w:t>
      </w:r>
    </w:p>
    <w:p>
      <w:pPr>
        <w:pStyle w:val="5"/>
        <w:snapToGrid w:val="0"/>
        <w:spacing w:line="500" w:lineRule="exact"/>
        <w:rPr>
          <w:rFonts w:hAnsi="宋体"/>
          <w:sz w:val="24"/>
          <w:szCs w:val="24"/>
          <w:highlight w:val="none"/>
        </w:rPr>
      </w:pPr>
      <w:r>
        <w:rPr>
          <w:rFonts w:hint="eastAsia" w:hAnsi="宋体"/>
          <w:sz w:val="24"/>
          <w:szCs w:val="24"/>
          <w:highlight w:val="none"/>
        </w:rPr>
        <w:t>22.3投标人的报价均超过了采购预算；</w:t>
      </w:r>
    </w:p>
    <w:p>
      <w:pPr>
        <w:pStyle w:val="5"/>
        <w:snapToGrid w:val="0"/>
        <w:spacing w:line="500" w:lineRule="exact"/>
        <w:rPr>
          <w:rFonts w:hAnsi="宋体"/>
          <w:sz w:val="24"/>
          <w:szCs w:val="24"/>
          <w:highlight w:val="none"/>
        </w:rPr>
      </w:pPr>
      <w:r>
        <w:rPr>
          <w:rFonts w:hint="eastAsia" w:hAnsi="宋体"/>
          <w:sz w:val="24"/>
          <w:szCs w:val="24"/>
          <w:highlight w:val="none"/>
        </w:rPr>
        <w:t>22.4因重大变故，采购任务取消的。</w:t>
      </w:r>
      <w:bookmarkStart w:id="111" w:name="_GoBack"/>
      <w:bookmarkEnd w:id="111"/>
    </w:p>
    <w:p>
      <w:pPr>
        <w:pStyle w:val="5"/>
        <w:snapToGrid w:val="0"/>
        <w:spacing w:line="500" w:lineRule="exact"/>
        <w:rPr>
          <w:rFonts w:hAnsi="宋体"/>
          <w:sz w:val="24"/>
          <w:szCs w:val="24"/>
          <w:highlight w:val="none"/>
        </w:rPr>
      </w:pPr>
      <w:r>
        <w:rPr>
          <w:rFonts w:hint="eastAsia" w:hAnsi="宋体"/>
          <w:sz w:val="24"/>
          <w:szCs w:val="24"/>
          <w:highlight w:val="none"/>
        </w:rPr>
        <w:t>终止采购程序或废标后，采购代理机构应当将决定及相关理由通知所有投标人；评审现场废标决定由采购人根据评标委员会提出的废标意见作出；非评审现场废标决定原则上采购人主管部门作出，另有约定的除外。除采购任务取消情形外，应当重新组织招标。</w:t>
      </w:r>
    </w:p>
    <w:p>
      <w:pPr>
        <w:pStyle w:val="5"/>
        <w:snapToGrid w:val="0"/>
        <w:spacing w:line="600" w:lineRule="exact"/>
        <w:ind w:firstLine="571" w:firstLineChars="245"/>
        <w:rPr>
          <w:rFonts w:hAnsi="宋体"/>
          <w:sz w:val="24"/>
          <w:szCs w:val="24"/>
          <w:highlight w:val="none"/>
        </w:rPr>
      </w:pPr>
      <w:r>
        <w:rPr>
          <w:rFonts w:hint="eastAsia" w:hAnsi="宋体"/>
          <w:b/>
          <w:sz w:val="24"/>
          <w:szCs w:val="24"/>
          <w:highlight w:val="none"/>
        </w:rPr>
        <w:t>23.修改招标文件，重新组织采购活动。</w:t>
      </w:r>
      <w:r>
        <w:rPr>
          <w:rFonts w:hint="eastAsia" w:hAnsi="宋体"/>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5"/>
        <w:snapToGrid w:val="0"/>
        <w:spacing w:line="600" w:lineRule="exact"/>
        <w:ind w:firstLine="563" w:firstLineChars="243"/>
        <w:rPr>
          <w:rFonts w:hAnsi="宋体"/>
          <w:bCs/>
          <w:kern w:val="0"/>
          <w:sz w:val="24"/>
          <w:szCs w:val="24"/>
          <w:highlight w:val="none"/>
        </w:rPr>
      </w:pPr>
      <w:r>
        <w:rPr>
          <w:rFonts w:hint="eastAsia" w:hAnsi="宋体"/>
          <w:bCs/>
          <w:kern w:val="0"/>
          <w:sz w:val="24"/>
          <w:szCs w:val="24"/>
          <w:highlight w:val="none"/>
        </w:rPr>
        <w:t>24.出现影响采购公正的违法、违规行为影响中标、成交结果或者可能影响中标、成交结果的，按下列情况分别处理：</w:t>
      </w:r>
    </w:p>
    <w:p>
      <w:pPr>
        <w:pStyle w:val="5"/>
        <w:snapToGrid w:val="0"/>
        <w:spacing w:line="600" w:lineRule="exact"/>
        <w:rPr>
          <w:rFonts w:hAnsi="宋体"/>
          <w:sz w:val="24"/>
          <w:szCs w:val="24"/>
          <w:highlight w:val="none"/>
        </w:rPr>
      </w:pPr>
      <w:r>
        <w:rPr>
          <w:rFonts w:hint="eastAsia" w:hAnsi="宋体"/>
          <w:sz w:val="24"/>
          <w:szCs w:val="24"/>
          <w:highlight w:val="none"/>
        </w:rPr>
        <w:t>24.1未确定中标、成交投标人的，终止采购活动；</w:t>
      </w:r>
    </w:p>
    <w:p>
      <w:pPr>
        <w:pStyle w:val="5"/>
        <w:snapToGrid w:val="0"/>
        <w:spacing w:line="600" w:lineRule="exact"/>
        <w:rPr>
          <w:rFonts w:hAnsi="宋体"/>
          <w:sz w:val="24"/>
          <w:szCs w:val="24"/>
          <w:highlight w:val="none"/>
        </w:rPr>
      </w:pPr>
      <w:r>
        <w:rPr>
          <w:rFonts w:hint="eastAsia" w:hAnsi="宋体"/>
          <w:sz w:val="24"/>
          <w:szCs w:val="24"/>
          <w:highlight w:val="none"/>
        </w:rPr>
        <w:t>24.2中标、成交投标人已经确定但采购合同尚未履约的，撤销合同，重新组织采购；</w:t>
      </w:r>
    </w:p>
    <w:p>
      <w:pPr>
        <w:pStyle w:val="5"/>
        <w:snapToGrid w:val="0"/>
        <w:spacing w:line="600" w:lineRule="exact"/>
        <w:rPr>
          <w:rFonts w:hAnsi="宋体"/>
          <w:sz w:val="24"/>
          <w:szCs w:val="24"/>
          <w:highlight w:val="none"/>
        </w:rPr>
      </w:pPr>
      <w:r>
        <w:rPr>
          <w:rFonts w:hint="eastAsia" w:hAnsi="宋体"/>
          <w:sz w:val="24"/>
          <w:szCs w:val="24"/>
          <w:highlight w:val="none"/>
        </w:rPr>
        <w:t>24.3采购合同已经履行的，给采购人、投标人造成损失的，由责任人承担赔偿责任。</w:t>
      </w:r>
    </w:p>
    <w:p>
      <w:pPr>
        <w:pStyle w:val="5"/>
        <w:snapToGrid w:val="0"/>
        <w:spacing w:line="600" w:lineRule="exact"/>
        <w:ind w:firstLine="568" w:firstLineChars="245"/>
        <w:rPr>
          <w:rFonts w:hAnsi="宋体"/>
          <w:sz w:val="24"/>
          <w:szCs w:val="24"/>
          <w:highlight w:val="none"/>
        </w:rPr>
      </w:pPr>
    </w:p>
    <w:p>
      <w:pPr>
        <w:snapToGrid w:val="0"/>
        <w:spacing w:line="500" w:lineRule="exact"/>
        <w:jc w:val="center"/>
        <w:outlineLvl w:val="0"/>
        <w:rPr>
          <w:rFonts w:ascii="宋体" w:hAnsi="宋体" w:cs="宋体"/>
          <w:b/>
          <w:sz w:val="28"/>
          <w:szCs w:val="28"/>
          <w:highlight w:val="none"/>
        </w:rPr>
      </w:pPr>
      <w:r>
        <w:rPr>
          <w:rFonts w:hint="eastAsia" w:ascii="宋体" w:hAnsi="宋体" w:cs="宋体"/>
          <w:b/>
          <w:sz w:val="28"/>
          <w:szCs w:val="28"/>
          <w:highlight w:val="none"/>
        </w:rPr>
        <w:t>六、定 标</w:t>
      </w:r>
      <w:bookmarkEnd w:id="43"/>
      <w:bookmarkEnd w:id="44"/>
    </w:p>
    <w:p>
      <w:pPr>
        <w:pStyle w:val="5"/>
        <w:spacing w:line="500" w:lineRule="exact"/>
        <w:ind w:left="464" w:hanging="464" w:hangingChars="199"/>
        <w:rPr>
          <w:rFonts w:hAnsi="宋体"/>
          <w:b/>
          <w:sz w:val="24"/>
          <w:szCs w:val="24"/>
          <w:highlight w:val="none"/>
        </w:rPr>
      </w:pPr>
      <w:r>
        <w:rPr>
          <w:rFonts w:hint="eastAsia" w:hAnsi="宋体"/>
          <w:b/>
          <w:sz w:val="24"/>
          <w:szCs w:val="24"/>
          <w:highlight w:val="none"/>
        </w:rPr>
        <w:t>25.确定中标人</w:t>
      </w:r>
    </w:p>
    <w:p>
      <w:pPr>
        <w:pStyle w:val="41"/>
        <w:snapToGrid w:val="0"/>
        <w:spacing w:before="0" w:line="500" w:lineRule="exact"/>
        <w:ind w:firstLine="480"/>
        <w:rPr>
          <w:rFonts w:ascii="宋体" w:hAnsi="宋体" w:cs="宋体"/>
          <w:b/>
          <w:szCs w:val="24"/>
          <w:highlight w:val="none"/>
        </w:rPr>
      </w:pPr>
      <w:r>
        <w:rPr>
          <w:rFonts w:hint="eastAsia" w:ascii="宋体" w:hAnsi="宋体" w:cs="宋体"/>
          <w:szCs w:val="24"/>
          <w:highlight w:val="none"/>
        </w:rPr>
        <w:t>采购人将自收到评审报告之日起5个工作日内通过电子交易平台在评审报告推荐的中标候选人中按顺序确定中标人。</w:t>
      </w:r>
    </w:p>
    <w:p>
      <w:pPr>
        <w:pStyle w:val="41"/>
        <w:snapToGrid w:val="0"/>
        <w:spacing w:before="0" w:line="500" w:lineRule="exact"/>
        <w:ind w:firstLine="0" w:firstLineChars="0"/>
        <w:rPr>
          <w:rFonts w:ascii="宋体" w:hAnsi="宋体" w:cs="宋体"/>
          <w:b/>
          <w:szCs w:val="24"/>
          <w:highlight w:val="none"/>
        </w:rPr>
      </w:pPr>
      <w:r>
        <w:rPr>
          <w:rFonts w:hint="eastAsia" w:ascii="宋体" w:hAnsi="宋体" w:cs="宋体"/>
          <w:b/>
          <w:szCs w:val="24"/>
          <w:highlight w:val="none"/>
        </w:rPr>
        <w:t>26.中标通知与中标结果公告</w:t>
      </w:r>
    </w:p>
    <w:p>
      <w:pPr>
        <w:widowControl/>
        <w:shd w:val="clear" w:color="auto" w:fill="FFFFFF"/>
        <w:spacing w:line="500" w:lineRule="exact"/>
        <w:ind w:firstLine="480"/>
        <w:jc w:val="left"/>
        <w:rPr>
          <w:rFonts w:ascii="宋体" w:hAnsi="宋体" w:cs="宋体"/>
          <w:sz w:val="24"/>
          <w:highlight w:val="none"/>
        </w:rPr>
      </w:pPr>
      <w:r>
        <w:rPr>
          <w:rFonts w:hint="eastAsia" w:ascii="宋体" w:hAnsi="宋体" w:cs="宋体"/>
          <w:sz w:val="24"/>
          <w:highlight w:val="none"/>
        </w:rPr>
        <w:t>26.1自中标人确定之日起2个工作日内，采购代理机构编制发布采购结果公告，同时通过电子交易平台或纸质形式向中标人发出中标通知书。</w:t>
      </w:r>
    </w:p>
    <w:p>
      <w:pPr>
        <w:widowControl/>
        <w:shd w:val="clear" w:color="auto" w:fill="FFFFFF"/>
        <w:spacing w:line="500" w:lineRule="exact"/>
        <w:ind w:firstLine="480"/>
        <w:jc w:val="left"/>
        <w:rPr>
          <w:rFonts w:ascii="宋体" w:hAnsi="宋体" w:cs="宋体"/>
          <w:sz w:val="24"/>
          <w:highlight w:val="none"/>
        </w:rPr>
      </w:pPr>
      <w:r>
        <w:rPr>
          <w:rFonts w:hint="eastAsia" w:ascii="宋体" w:hAnsi="宋体" w:cs="宋体"/>
          <w:sz w:val="24"/>
          <w:highlight w:val="none"/>
        </w:rPr>
        <w:t>26.2中标结果公告内容包括但不限于招标项目名称、招标人、招标代理机构、招标公告日期、中标人、中标内容及价格等基本要素。招标公告、招标文件及中标结果在同一渠道公开。</w:t>
      </w:r>
    </w:p>
    <w:p>
      <w:pPr>
        <w:widowControl/>
        <w:shd w:val="clear" w:color="auto" w:fill="FFFFFF"/>
        <w:spacing w:line="500" w:lineRule="exact"/>
        <w:ind w:firstLine="480"/>
        <w:jc w:val="left"/>
        <w:rPr>
          <w:rFonts w:ascii="宋体" w:hAnsi="宋体" w:cs="宋体"/>
          <w:sz w:val="24"/>
          <w:highlight w:val="none"/>
        </w:rPr>
      </w:pPr>
      <w:r>
        <w:rPr>
          <w:rFonts w:hint="eastAsia" w:ascii="宋体" w:hAnsi="宋体" w:cs="宋体"/>
          <w:sz w:val="24"/>
          <w:highlight w:val="none"/>
        </w:rPr>
        <w:t>26.3公告期限为1个工作日。</w:t>
      </w:r>
    </w:p>
    <w:p>
      <w:pPr>
        <w:snapToGrid w:val="0"/>
        <w:spacing w:line="500" w:lineRule="exact"/>
        <w:jc w:val="both"/>
        <w:rPr>
          <w:rFonts w:ascii="宋体" w:hAnsi="宋体" w:cs="宋体"/>
          <w:b/>
          <w:sz w:val="28"/>
          <w:szCs w:val="28"/>
          <w:highlight w:val="none"/>
        </w:rPr>
      </w:pPr>
    </w:p>
    <w:p>
      <w:pPr>
        <w:snapToGrid w:val="0"/>
        <w:spacing w:line="500" w:lineRule="exact"/>
        <w:jc w:val="center"/>
        <w:rPr>
          <w:rFonts w:ascii="宋体" w:hAnsi="宋体" w:cs="宋体"/>
          <w:b/>
          <w:sz w:val="28"/>
          <w:szCs w:val="28"/>
          <w:highlight w:val="none"/>
        </w:rPr>
      </w:pPr>
      <w:r>
        <w:rPr>
          <w:rFonts w:hint="eastAsia" w:ascii="宋体" w:hAnsi="宋体" w:cs="宋体"/>
          <w:b/>
          <w:sz w:val="28"/>
          <w:szCs w:val="28"/>
          <w:highlight w:val="none"/>
        </w:rPr>
        <w:t>七、合同授予</w:t>
      </w:r>
    </w:p>
    <w:p>
      <w:pPr>
        <w:pStyle w:val="5"/>
        <w:spacing w:line="500" w:lineRule="exact"/>
        <w:ind w:left="464" w:hanging="464" w:hangingChars="199"/>
        <w:rPr>
          <w:rFonts w:hAnsi="宋体"/>
          <w:b/>
          <w:sz w:val="24"/>
          <w:szCs w:val="24"/>
          <w:highlight w:val="none"/>
        </w:rPr>
      </w:pPr>
      <w:r>
        <w:rPr>
          <w:rFonts w:hint="eastAsia" w:hAnsi="宋体"/>
          <w:b/>
          <w:sz w:val="24"/>
          <w:szCs w:val="24"/>
          <w:highlight w:val="none"/>
        </w:rPr>
        <w:t>27.</w:t>
      </w:r>
      <w:r>
        <w:rPr>
          <w:rFonts w:hint="eastAsia" w:hAnsi="宋体"/>
          <w:sz w:val="24"/>
          <w:szCs w:val="24"/>
          <w:highlight w:val="none"/>
        </w:rPr>
        <w:t>合同主要条款详见第五章合同主要条款。</w:t>
      </w:r>
    </w:p>
    <w:p>
      <w:pPr>
        <w:pStyle w:val="5"/>
        <w:spacing w:line="500" w:lineRule="exact"/>
        <w:ind w:left="464" w:hanging="464" w:hangingChars="199"/>
        <w:rPr>
          <w:rFonts w:hAnsi="宋体"/>
          <w:b/>
          <w:sz w:val="24"/>
          <w:szCs w:val="24"/>
          <w:highlight w:val="none"/>
        </w:rPr>
      </w:pPr>
      <w:r>
        <w:rPr>
          <w:rFonts w:hint="eastAsia" w:hAnsi="宋体"/>
          <w:b/>
          <w:sz w:val="24"/>
          <w:szCs w:val="24"/>
          <w:highlight w:val="none"/>
        </w:rPr>
        <w:t>28.合同的签订</w:t>
      </w:r>
    </w:p>
    <w:p>
      <w:pPr>
        <w:widowControl/>
        <w:shd w:val="clear" w:color="auto" w:fill="FFFFFF"/>
        <w:spacing w:line="500" w:lineRule="exact"/>
        <w:ind w:firstLine="480"/>
        <w:jc w:val="left"/>
        <w:rPr>
          <w:rFonts w:ascii="宋体" w:hAnsi="宋体" w:cs="宋体"/>
          <w:kern w:val="0"/>
          <w:sz w:val="24"/>
          <w:highlight w:val="none"/>
        </w:rPr>
      </w:pPr>
      <w:r>
        <w:rPr>
          <w:rFonts w:hint="eastAsia" w:ascii="宋体" w:hAnsi="宋体" w:cs="宋体"/>
          <w:sz w:val="24"/>
          <w:highlight w:val="none"/>
        </w:rPr>
        <w:t>28.1</w:t>
      </w:r>
      <w:r>
        <w:rPr>
          <w:rFonts w:hint="eastAsia" w:ascii="宋体" w:hAnsi="宋体" w:cs="宋体"/>
          <w:kern w:val="0"/>
          <w:sz w:val="24"/>
          <w:highlight w:val="none"/>
        </w:rPr>
        <w:t xml:space="preserve"> 采购人与中标人应当通过电子交易平台在中标通知书发出之日起三十日内，按照招标文件确定的事项签订国企采购合同，并在合同签订之日起2个工作日内依法发布合同公告。</w:t>
      </w:r>
    </w:p>
    <w:p>
      <w:pPr>
        <w:pStyle w:val="41"/>
        <w:snapToGrid w:val="0"/>
        <w:spacing w:before="0" w:line="500" w:lineRule="exact"/>
        <w:ind w:firstLine="480"/>
        <w:rPr>
          <w:rFonts w:ascii="宋体" w:hAnsi="宋体" w:cs="宋体"/>
          <w:kern w:val="0"/>
          <w:szCs w:val="24"/>
          <w:highlight w:val="none"/>
        </w:rPr>
      </w:pPr>
      <w:r>
        <w:rPr>
          <w:rFonts w:hint="eastAsia" w:ascii="宋体" w:hAnsi="宋体" w:cs="宋体"/>
          <w:kern w:val="0"/>
          <w:szCs w:val="24"/>
          <w:highlight w:val="none"/>
          <w:lang w:val="zh-CN"/>
        </w:rPr>
        <w:t>2</w:t>
      </w:r>
      <w:r>
        <w:rPr>
          <w:rFonts w:hint="eastAsia" w:ascii="宋体" w:hAnsi="宋体" w:cs="宋体"/>
          <w:kern w:val="0"/>
          <w:szCs w:val="24"/>
          <w:highlight w:val="none"/>
        </w:rPr>
        <w:t>8</w:t>
      </w:r>
      <w:r>
        <w:rPr>
          <w:rFonts w:hint="eastAsia" w:ascii="宋体" w:hAnsi="宋体" w:cs="宋体"/>
          <w:kern w:val="0"/>
          <w:szCs w:val="24"/>
          <w:highlight w:val="none"/>
          <w:lang w:val="zh-CN"/>
        </w:rPr>
        <w:t>.2中标人按规定的日期、时间、地点，由法定代表人或其授权代表与采购人代表签订合同。</w:t>
      </w:r>
    </w:p>
    <w:p>
      <w:pPr>
        <w:pStyle w:val="41"/>
        <w:snapToGrid w:val="0"/>
        <w:spacing w:before="0" w:line="500" w:lineRule="exact"/>
        <w:ind w:firstLine="480"/>
        <w:rPr>
          <w:rFonts w:ascii="宋体" w:hAnsi="宋体" w:cs="宋体"/>
          <w:szCs w:val="24"/>
          <w:highlight w:val="none"/>
        </w:rPr>
      </w:pPr>
      <w:r>
        <w:rPr>
          <w:rFonts w:hint="eastAsia" w:ascii="宋体" w:hAnsi="宋体" w:cs="宋体"/>
          <w:szCs w:val="24"/>
          <w:highlight w:val="none"/>
        </w:rPr>
        <w:t>28.3如签订合同并生效后，投标人无故拒绝或延期，除按照合同条款处理外，列入不良行为记录一次，并给予通报。</w:t>
      </w:r>
    </w:p>
    <w:p>
      <w:pPr>
        <w:pStyle w:val="41"/>
        <w:snapToGrid w:val="0"/>
        <w:spacing w:before="0" w:line="500" w:lineRule="exact"/>
        <w:ind w:firstLine="480"/>
        <w:rPr>
          <w:rFonts w:ascii="宋体" w:hAnsi="宋体" w:cs="宋体"/>
          <w:szCs w:val="24"/>
          <w:highlight w:val="none"/>
        </w:rPr>
      </w:pPr>
      <w:r>
        <w:rPr>
          <w:rFonts w:hint="eastAsia" w:ascii="宋体" w:hAnsi="宋体" w:cs="宋体"/>
          <w:szCs w:val="24"/>
          <w:highlight w:val="none"/>
        </w:rPr>
        <w:t>28.4</w:t>
      </w:r>
      <w:r>
        <w:rPr>
          <w:rFonts w:hint="eastAsia" w:ascii="宋体" w:hAnsi="宋体" w:cs="宋体"/>
          <w:b/>
          <w:szCs w:val="24"/>
          <w:highlight w:val="none"/>
        </w:rPr>
        <w:t>中标人放弃中标资格或因质疑、投诉被取消中标资格或不能履行合同的，本项目重新组织采购。</w:t>
      </w:r>
    </w:p>
    <w:p>
      <w:pPr>
        <w:pStyle w:val="41"/>
        <w:snapToGrid w:val="0"/>
        <w:spacing w:before="0" w:after="120" w:line="500" w:lineRule="exact"/>
        <w:ind w:firstLine="480"/>
        <w:rPr>
          <w:rFonts w:ascii="宋体" w:hAnsi="宋体" w:cs="宋体"/>
          <w:szCs w:val="24"/>
          <w:highlight w:val="none"/>
        </w:rPr>
      </w:pPr>
      <w:r>
        <w:rPr>
          <w:rFonts w:hint="eastAsia" w:ascii="宋体" w:hAnsi="宋体" w:cs="宋体"/>
          <w:szCs w:val="24"/>
          <w:highlight w:val="none"/>
        </w:rPr>
        <w:t>28.5采购合同由采购人与中标人根据招标文件、投标文件等内容的约定进行合同签订，并提交（代理机构或采购人）进行备案。</w:t>
      </w:r>
    </w:p>
    <w:p>
      <w:pPr>
        <w:pStyle w:val="5"/>
        <w:spacing w:line="500" w:lineRule="exact"/>
        <w:ind w:left="464" w:hanging="464" w:hangingChars="199"/>
        <w:rPr>
          <w:rFonts w:hAnsi="宋体"/>
          <w:b/>
          <w:sz w:val="24"/>
          <w:szCs w:val="24"/>
          <w:highlight w:val="none"/>
        </w:rPr>
      </w:pPr>
      <w:r>
        <w:rPr>
          <w:rFonts w:hint="eastAsia" w:hAnsi="宋体"/>
          <w:b/>
          <w:sz w:val="24"/>
          <w:szCs w:val="24"/>
          <w:highlight w:val="none"/>
        </w:rPr>
        <w:t>29.履约保证金</w:t>
      </w:r>
    </w:p>
    <w:p>
      <w:pPr>
        <w:pStyle w:val="41"/>
        <w:snapToGrid w:val="0"/>
        <w:spacing w:before="0" w:after="120" w:line="500" w:lineRule="exact"/>
        <w:ind w:firstLine="480"/>
        <w:rPr>
          <w:rFonts w:ascii="宋体" w:hAnsi="宋体" w:cs="宋体"/>
          <w:szCs w:val="24"/>
          <w:highlight w:val="none"/>
        </w:rPr>
      </w:pPr>
      <w:r>
        <w:rPr>
          <w:rFonts w:hint="eastAsia" w:ascii="宋体" w:hAnsi="宋体" w:cs="宋体"/>
          <w:szCs w:val="24"/>
          <w:highlight w:val="none"/>
        </w:rPr>
        <w:t>中标金额的1%；收到中标通知书之日起5个工作日内缴纳履约保证金，项目验收合格并经采购人认可后30日内无息退还履约保证金。履约保证金支付方式：转账形式。</w:t>
      </w:r>
    </w:p>
    <w:p>
      <w:pPr>
        <w:snapToGrid w:val="0"/>
        <w:spacing w:line="500" w:lineRule="exact"/>
        <w:ind w:firstLine="2937" w:firstLineChars="1045"/>
        <w:rPr>
          <w:rFonts w:ascii="宋体" w:hAnsi="宋体" w:cs="宋体"/>
          <w:b/>
          <w:sz w:val="28"/>
          <w:szCs w:val="28"/>
          <w:highlight w:val="none"/>
        </w:rPr>
      </w:pPr>
      <w:r>
        <w:rPr>
          <w:rFonts w:hint="eastAsia" w:ascii="宋体" w:hAnsi="宋体" w:cs="宋体"/>
          <w:b/>
          <w:sz w:val="28"/>
          <w:szCs w:val="28"/>
          <w:highlight w:val="none"/>
        </w:rPr>
        <w:t>八、电子交易活动的中止</w:t>
      </w:r>
    </w:p>
    <w:p>
      <w:pPr>
        <w:pStyle w:val="41"/>
        <w:snapToGrid w:val="0"/>
        <w:spacing w:before="0" w:line="500" w:lineRule="exact"/>
        <w:ind w:firstLine="0" w:firstLineChars="0"/>
        <w:rPr>
          <w:rFonts w:ascii="宋体" w:hAnsi="宋体" w:cs="宋体"/>
          <w:b/>
          <w:szCs w:val="24"/>
          <w:highlight w:val="none"/>
        </w:rPr>
      </w:pPr>
      <w:r>
        <w:rPr>
          <w:rFonts w:hint="eastAsia" w:ascii="宋体" w:hAnsi="宋体" w:cs="宋体"/>
          <w:b/>
          <w:bCs/>
          <w:szCs w:val="24"/>
          <w:highlight w:val="none"/>
        </w:rPr>
        <w:t>30</w:t>
      </w:r>
      <w:r>
        <w:rPr>
          <w:rFonts w:hint="eastAsia" w:ascii="宋体" w:hAnsi="宋体" w:cs="宋体"/>
          <w:b/>
          <w:szCs w:val="24"/>
          <w:highlight w:val="none"/>
        </w:rPr>
        <w:t>. 电子交易活动的中止。</w:t>
      </w:r>
    </w:p>
    <w:p>
      <w:pPr>
        <w:pStyle w:val="41"/>
        <w:snapToGrid w:val="0"/>
        <w:spacing w:before="0" w:line="500" w:lineRule="exact"/>
        <w:ind w:firstLine="480"/>
        <w:rPr>
          <w:rFonts w:ascii="宋体" w:hAnsi="宋体" w:cs="宋体"/>
          <w:sz w:val="24"/>
          <w:szCs w:val="24"/>
          <w:highlight w:val="none"/>
        </w:rPr>
      </w:pPr>
      <w:r>
        <w:rPr>
          <w:rFonts w:hint="eastAsia" w:ascii="宋体" w:hAnsi="宋体" w:cs="宋体"/>
          <w:sz w:val="24"/>
          <w:szCs w:val="24"/>
          <w:highlight w:val="none"/>
        </w:rPr>
        <w:t>采购过程中出现以下情形，导致电子交易平台无法正常运行，或者无法保证电子交易的公平、公正和安全时，采购代理机构可中止电子交易活动：</w:t>
      </w:r>
    </w:p>
    <w:p>
      <w:pPr>
        <w:pStyle w:val="41"/>
        <w:snapToGrid w:val="0"/>
        <w:spacing w:before="0" w:line="500" w:lineRule="exact"/>
        <w:ind w:firstLine="480"/>
        <w:rPr>
          <w:rFonts w:ascii="宋体" w:hAnsi="宋体" w:cs="宋体"/>
          <w:sz w:val="24"/>
          <w:szCs w:val="24"/>
          <w:highlight w:val="none"/>
        </w:rPr>
      </w:pPr>
      <w:r>
        <w:rPr>
          <w:rFonts w:hint="eastAsia" w:ascii="宋体" w:hAnsi="宋体" w:cs="宋体"/>
          <w:sz w:val="24"/>
          <w:szCs w:val="24"/>
          <w:highlight w:val="none"/>
        </w:rPr>
        <w:t xml:space="preserve">30.1电子交易平台发生故障而无法登录访问的； </w:t>
      </w:r>
    </w:p>
    <w:p>
      <w:pPr>
        <w:pStyle w:val="41"/>
        <w:snapToGrid w:val="0"/>
        <w:spacing w:before="0" w:line="500" w:lineRule="exact"/>
        <w:ind w:firstLine="480"/>
        <w:rPr>
          <w:rFonts w:ascii="宋体" w:hAnsi="宋体" w:cs="宋体"/>
          <w:sz w:val="24"/>
          <w:szCs w:val="24"/>
          <w:highlight w:val="none"/>
        </w:rPr>
      </w:pPr>
      <w:r>
        <w:rPr>
          <w:rFonts w:hint="eastAsia" w:ascii="宋体" w:hAnsi="宋体" w:cs="宋体"/>
          <w:sz w:val="24"/>
          <w:szCs w:val="24"/>
          <w:highlight w:val="none"/>
        </w:rPr>
        <w:t>30.2电子交易平台应用或数据库出现错误，不能进行正常操作的；</w:t>
      </w:r>
    </w:p>
    <w:p>
      <w:pPr>
        <w:pStyle w:val="41"/>
        <w:snapToGrid w:val="0"/>
        <w:spacing w:before="0" w:line="500" w:lineRule="exact"/>
        <w:ind w:firstLine="480"/>
        <w:rPr>
          <w:rFonts w:ascii="宋体" w:hAnsi="宋体" w:cs="宋体"/>
          <w:sz w:val="24"/>
          <w:szCs w:val="24"/>
          <w:highlight w:val="none"/>
        </w:rPr>
      </w:pPr>
      <w:r>
        <w:rPr>
          <w:rFonts w:hint="eastAsia" w:ascii="宋体" w:hAnsi="宋体" w:cs="宋体"/>
          <w:sz w:val="24"/>
          <w:szCs w:val="24"/>
          <w:highlight w:val="none"/>
        </w:rPr>
        <w:t>30.3电子交易平台发现严重安全漏洞，有潜在泄密危险的；</w:t>
      </w:r>
    </w:p>
    <w:p>
      <w:pPr>
        <w:pStyle w:val="41"/>
        <w:snapToGrid w:val="0"/>
        <w:spacing w:before="0" w:line="500" w:lineRule="exact"/>
        <w:ind w:firstLine="480"/>
        <w:rPr>
          <w:rFonts w:ascii="宋体" w:hAnsi="宋体" w:cs="宋体"/>
          <w:sz w:val="24"/>
          <w:szCs w:val="24"/>
          <w:highlight w:val="none"/>
        </w:rPr>
      </w:pPr>
      <w:r>
        <w:rPr>
          <w:rFonts w:hint="eastAsia" w:ascii="宋体" w:hAnsi="宋体" w:cs="宋体"/>
          <w:sz w:val="24"/>
          <w:szCs w:val="24"/>
          <w:highlight w:val="none"/>
        </w:rPr>
        <w:t xml:space="preserve">30.4病毒发作导致不能进行正常操作的； </w:t>
      </w:r>
    </w:p>
    <w:p>
      <w:pPr>
        <w:pStyle w:val="41"/>
        <w:snapToGrid w:val="0"/>
        <w:spacing w:before="0" w:line="500" w:lineRule="exact"/>
        <w:ind w:firstLine="480"/>
        <w:rPr>
          <w:rFonts w:ascii="宋体" w:hAnsi="宋体" w:cs="宋体"/>
          <w:sz w:val="24"/>
          <w:szCs w:val="24"/>
          <w:highlight w:val="none"/>
        </w:rPr>
      </w:pPr>
      <w:r>
        <w:rPr>
          <w:rFonts w:hint="eastAsia" w:ascii="宋体" w:hAnsi="宋体" w:cs="宋体"/>
          <w:sz w:val="24"/>
          <w:szCs w:val="24"/>
          <w:highlight w:val="none"/>
        </w:rPr>
        <w:t>30.5其他无法保证电子交易的公平、公正和安全的情况。</w:t>
      </w:r>
    </w:p>
    <w:p>
      <w:pPr>
        <w:pStyle w:val="41"/>
        <w:snapToGrid w:val="0"/>
        <w:spacing w:before="0" w:line="500" w:lineRule="exact"/>
        <w:ind w:firstLine="480"/>
        <w:rPr>
          <w:rFonts w:hint="eastAsia" w:ascii="宋体" w:hAnsi="宋体" w:cs="宋体"/>
          <w:b/>
          <w:bCs/>
          <w:sz w:val="32"/>
          <w:szCs w:val="32"/>
          <w:highlight w:val="none"/>
        </w:rPr>
      </w:pPr>
      <w:r>
        <w:rPr>
          <w:rFonts w:hint="eastAsia" w:ascii="宋体" w:hAnsi="宋体" w:cs="宋体"/>
          <w:sz w:val="24"/>
          <w:szCs w:val="24"/>
          <w:highlight w:val="none"/>
        </w:rPr>
        <w:t>31.出现以上情形，不影响采购公平、公正性的，采购组织机构可以待上述情形消除后继续组织电子交易活动，也可以决定某些环节以纸质形式进行；影响或可能影响采购公平、公正性的，应当重新采购。</w:t>
      </w:r>
      <w:bookmarkEnd w:id="30"/>
      <w:bookmarkEnd w:id="31"/>
      <w:bookmarkEnd w:id="42"/>
      <w:bookmarkStart w:id="45" w:name="_Toc10076"/>
      <w:bookmarkStart w:id="46" w:name="_Toc12075"/>
      <w:bookmarkStart w:id="47" w:name="_Toc31687"/>
      <w:bookmarkStart w:id="48" w:name="_Toc872"/>
    </w:p>
    <w:p>
      <w:pPr>
        <w:snapToGrid w:val="0"/>
        <w:spacing w:line="360" w:lineRule="auto"/>
        <w:jc w:val="center"/>
        <w:outlineLvl w:val="0"/>
        <w:rPr>
          <w:rFonts w:hint="eastAsia" w:ascii="宋体" w:hAnsi="宋体" w:cs="宋体"/>
          <w:b/>
          <w:bCs/>
          <w:sz w:val="32"/>
          <w:szCs w:val="32"/>
          <w:highlight w:val="none"/>
        </w:rPr>
      </w:pPr>
    </w:p>
    <w:p>
      <w:pPr>
        <w:snapToGrid w:val="0"/>
        <w:spacing w:line="360" w:lineRule="auto"/>
        <w:jc w:val="center"/>
        <w:outlineLvl w:val="0"/>
        <w:rPr>
          <w:rFonts w:hint="eastAsia" w:ascii="宋体" w:hAnsi="宋体" w:cs="宋体"/>
          <w:b/>
          <w:bCs/>
          <w:sz w:val="32"/>
          <w:szCs w:val="32"/>
          <w:highlight w:val="none"/>
        </w:rPr>
      </w:pPr>
    </w:p>
    <w:p>
      <w:pPr>
        <w:snapToGrid w:val="0"/>
        <w:spacing w:line="360" w:lineRule="auto"/>
        <w:jc w:val="center"/>
        <w:outlineLvl w:val="0"/>
        <w:rPr>
          <w:rFonts w:hint="eastAsia" w:ascii="宋体" w:hAnsi="宋体" w:cs="宋体"/>
          <w:b/>
          <w:bCs/>
          <w:sz w:val="32"/>
          <w:szCs w:val="32"/>
          <w:highlight w:val="none"/>
        </w:rPr>
      </w:pPr>
    </w:p>
    <w:p>
      <w:pPr>
        <w:snapToGrid w:val="0"/>
        <w:spacing w:line="360" w:lineRule="auto"/>
        <w:jc w:val="center"/>
        <w:outlineLvl w:val="0"/>
        <w:rPr>
          <w:rFonts w:hint="eastAsia" w:ascii="宋体" w:hAnsi="宋体" w:cs="宋体"/>
          <w:b/>
          <w:bCs/>
          <w:sz w:val="32"/>
          <w:szCs w:val="32"/>
          <w:highlight w:val="none"/>
        </w:rPr>
      </w:pPr>
    </w:p>
    <w:p>
      <w:pPr>
        <w:snapToGrid w:val="0"/>
        <w:spacing w:line="360" w:lineRule="auto"/>
        <w:jc w:val="center"/>
        <w:outlineLvl w:val="0"/>
        <w:rPr>
          <w:rFonts w:hint="eastAsia" w:ascii="宋体" w:hAnsi="宋体" w:cs="宋体"/>
          <w:b/>
          <w:bCs/>
          <w:sz w:val="32"/>
          <w:szCs w:val="32"/>
          <w:highlight w:val="none"/>
        </w:rPr>
      </w:pPr>
    </w:p>
    <w:p>
      <w:pPr>
        <w:pStyle w:val="2"/>
        <w:rPr>
          <w:rFonts w:hint="eastAsia" w:ascii="宋体" w:hAnsi="宋体" w:cs="宋体"/>
          <w:b/>
          <w:bCs/>
          <w:sz w:val="32"/>
          <w:szCs w:val="32"/>
          <w:highlight w:val="none"/>
        </w:rPr>
      </w:pPr>
    </w:p>
    <w:p>
      <w:pPr>
        <w:rPr>
          <w:rFonts w:hint="eastAsia" w:ascii="宋体" w:hAnsi="宋体" w:cs="宋体"/>
          <w:b/>
          <w:bCs/>
          <w:sz w:val="32"/>
          <w:szCs w:val="32"/>
          <w:highlight w:val="none"/>
        </w:rPr>
      </w:pPr>
    </w:p>
    <w:p>
      <w:pPr>
        <w:snapToGrid w:val="0"/>
        <w:spacing w:line="360" w:lineRule="auto"/>
        <w:jc w:val="center"/>
        <w:outlineLvl w:val="0"/>
        <w:rPr>
          <w:rFonts w:ascii="宋体" w:hAnsi="宋体" w:cs="宋体"/>
          <w:b/>
          <w:bCs/>
          <w:sz w:val="32"/>
          <w:szCs w:val="32"/>
          <w:highlight w:val="none"/>
        </w:rPr>
      </w:pPr>
      <w:r>
        <w:rPr>
          <w:rFonts w:hint="eastAsia" w:ascii="宋体" w:hAnsi="宋体" w:cs="宋体"/>
          <w:b/>
          <w:bCs/>
          <w:sz w:val="32"/>
          <w:szCs w:val="32"/>
          <w:highlight w:val="none"/>
        </w:rPr>
        <w:t xml:space="preserve">第三章 </w:t>
      </w:r>
      <w:bookmarkEnd w:id="45"/>
      <w:r>
        <w:rPr>
          <w:rFonts w:hint="eastAsia" w:ascii="宋体" w:hAnsi="宋体" w:cs="宋体"/>
          <w:b/>
          <w:bCs/>
          <w:sz w:val="32"/>
          <w:szCs w:val="32"/>
          <w:highlight w:val="none"/>
        </w:rPr>
        <w:t>采购需求</w:t>
      </w:r>
      <w:bookmarkEnd w:id="46"/>
      <w:bookmarkEnd w:id="47"/>
      <w:bookmarkEnd w:id="48"/>
    </w:p>
    <w:p>
      <w:pPr>
        <w:spacing w:line="360" w:lineRule="auto"/>
        <w:ind w:firstLine="482" w:firstLineChars="200"/>
        <w:rPr>
          <w:rFonts w:hint="eastAsia" w:ascii="宋体" w:hAnsi="宋体" w:eastAsia="宋体" w:cs="微软雅黑"/>
          <w:b/>
          <w:sz w:val="24"/>
          <w:szCs w:val="24"/>
          <w:lang w:eastAsia="zh-CN"/>
        </w:rPr>
      </w:pPr>
      <w:bookmarkStart w:id="49" w:name="_Toc1067"/>
      <w:bookmarkStart w:id="50" w:name="_Toc13216"/>
      <w:r>
        <w:rPr>
          <w:rFonts w:hint="eastAsia" w:ascii="宋体" w:hAnsi="宋体" w:eastAsia="宋体" w:cs="微软雅黑"/>
          <w:b/>
          <w:sz w:val="24"/>
          <w:szCs w:val="24"/>
        </w:rPr>
        <w:t>一、项目概况</w:t>
      </w:r>
    </w:p>
    <w:p>
      <w:pPr>
        <w:spacing w:line="500" w:lineRule="exact"/>
        <w:ind w:firstLine="480" w:firstLineChars="200"/>
        <w:rPr>
          <w:rFonts w:hint="eastAsia" w:ascii="宋体" w:hAnsi="宋体" w:eastAsia="宋体" w:cs="宋体"/>
          <w:bCs/>
          <w:sz w:val="24"/>
          <w:szCs w:val="24"/>
          <w:highlight w:val="none"/>
          <w:lang w:eastAsia="zh-CN"/>
        </w:rPr>
      </w:pPr>
      <w:bookmarkStart w:id="51" w:name="OLE_LINK5"/>
      <w:r>
        <w:rPr>
          <w:rFonts w:hint="eastAsia" w:ascii="宋体" w:hAnsi="宋体" w:eastAsia="宋体" w:cs="宋体"/>
          <w:bCs/>
          <w:sz w:val="24"/>
          <w:szCs w:val="24"/>
          <w:highlight w:val="none"/>
        </w:rPr>
        <w:t>1、项目名称：</w:t>
      </w:r>
      <w:r>
        <w:rPr>
          <w:rFonts w:hint="eastAsia" w:ascii="宋体" w:hAnsi="宋体" w:eastAsia="宋体" w:cs="宋体"/>
          <w:bCs/>
          <w:sz w:val="24"/>
          <w:szCs w:val="24"/>
          <w:highlight w:val="none"/>
          <w:lang w:eastAsia="zh-CN"/>
        </w:rPr>
        <w:t>嵊州市仙岩镇云上舜皇文旅开发项目-提升改造（茶文化中心）空间提升及布展文化项目</w:t>
      </w:r>
    </w:p>
    <w:p>
      <w:pPr>
        <w:spacing w:line="500" w:lineRule="exact"/>
        <w:ind w:left="479" w:leftChars="228" w:firstLine="0" w:firstLineChars="0"/>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lang w:val="en-US" w:eastAsia="zh-CN"/>
        </w:rPr>
        <w:t>2、项目地点：</w:t>
      </w:r>
      <w:bookmarkStart w:id="52" w:name="OLE_LINK14"/>
      <w:r>
        <w:rPr>
          <w:rFonts w:hint="eastAsia" w:ascii="宋体" w:hAnsi="宋体" w:eastAsia="宋体" w:cs="宋体"/>
          <w:bCs/>
          <w:sz w:val="24"/>
          <w:szCs w:val="24"/>
          <w:highlight w:val="none"/>
          <w:lang w:val="en-US" w:eastAsia="zh-CN"/>
        </w:rPr>
        <w:t>舜皇山村</w:t>
      </w:r>
      <w:bookmarkEnd w:id="52"/>
      <w:r>
        <w:rPr>
          <w:rFonts w:hint="eastAsia" w:ascii="宋体" w:hAnsi="宋体" w:eastAsia="宋体" w:cs="宋体"/>
          <w:bCs/>
          <w:sz w:val="24"/>
          <w:szCs w:val="24"/>
          <w:highlight w:val="none"/>
          <w:lang w:val="en-US" w:eastAsia="zh-CN"/>
        </w:rPr>
        <w:br w:type="textWrapping"/>
      </w:r>
      <w:r>
        <w:rPr>
          <w:rFonts w:hint="eastAsia" w:ascii="宋体" w:hAnsi="宋体" w:cs="宋体"/>
          <w:bCs/>
          <w:sz w:val="24"/>
          <w:szCs w:val="24"/>
          <w:highlight w:val="none"/>
          <w:lang w:val="en-US" w:eastAsia="zh-CN"/>
        </w:rPr>
        <w:t>3、项目总面积：</w:t>
      </w:r>
    </w:p>
    <w:tbl>
      <w:tblPr>
        <w:tblStyle w:val="30"/>
        <w:tblpPr w:leftFromText="180" w:rightFromText="180" w:vertAnchor="text" w:horzAnchor="page" w:tblpXSpec="center" w:tblpY="408"/>
        <w:tblOverlap w:val="never"/>
        <w:tblW w:w="84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3"/>
        <w:gridCol w:w="2278"/>
        <w:gridCol w:w="4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21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r>
              <w:rPr>
                <w:rFonts w:hint="eastAsia" w:ascii="宋体" w:hAnsi="宋体" w:cs="宋体"/>
                <w:bCs/>
                <w:sz w:val="22"/>
                <w:szCs w:val="22"/>
                <w:highlight w:val="none"/>
              </w:rPr>
              <w:t>场所</w:t>
            </w:r>
          </w:p>
        </w:tc>
        <w:tc>
          <w:tcPr>
            <w:tcW w:w="22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r>
              <w:rPr>
                <w:rFonts w:hint="eastAsia" w:ascii="宋体" w:hAnsi="宋体" w:cs="宋体"/>
                <w:bCs/>
                <w:sz w:val="22"/>
                <w:szCs w:val="22"/>
                <w:highlight w:val="none"/>
              </w:rPr>
              <w:t>文化布展区域</w:t>
            </w:r>
          </w:p>
        </w:tc>
        <w:tc>
          <w:tcPr>
            <w:tcW w:w="40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r>
              <w:rPr>
                <w:rFonts w:hint="eastAsia" w:ascii="宋体" w:hAnsi="宋体" w:cs="宋体"/>
                <w:bCs/>
                <w:sz w:val="22"/>
                <w:szCs w:val="22"/>
                <w:highlight w:val="none"/>
              </w:rPr>
              <w:t>空间面积不小于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7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r>
              <w:rPr>
                <w:rFonts w:hint="eastAsia" w:ascii="宋体" w:hAnsi="宋体" w:cs="宋体"/>
                <w:bCs/>
                <w:sz w:val="22"/>
                <w:szCs w:val="22"/>
                <w:highlight w:val="none"/>
              </w:rPr>
              <w:t>茶创中心一层</w:t>
            </w:r>
          </w:p>
        </w:tc>
        <w:tc>
          <w:tcPr>
            <w:tcW w:w="22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r>
              <w:rPr>
                <w:rFonts w:hint="eastAsia" w:ascii="宋体" w:hAnsi="宋体" w:cs="宋体"/>
                <w:bCs/>
                <w:sz w:val="22"/>
                <w:szCs w:val="22"/>
                <w:highlight w:val="none"/>
              </w:rPr>
              <w:t>门厅</w:t>
            </w:r>
          </w:p>
        </w:tc>
        <w:tc>
          <w:tcPr>
            <w:tcW w:w="40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r>
              <w:rPr>
                <w:rFonts w:hint="eastAsia" w:ascii="宋体" w:hAnsi="宋体" w:cs="宋体"/>
                <w:bCs/>
                <w:sz w:val="22"/>
                <w:szCs w:val="22"/>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7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p>
        </w:tc>
        <w:tc>
          <w:tcPr>
            <w:tcW w:w="22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r>
              <w:rPr>
                <w:rFonts w:hint="eastAsia" w:ascii="宋体" w:hAnsi="宋体" w:cs="宋体"/>
                <w:bCs/>
                <w:sz w:val="22"/>
                <w:szCs w:val="22"/>
                <w:highlight w:val="none"/>
              </w:rPr>
              <w:t>展示区域</w:t>
            </w:r>
          </w:p>
        </w:tc>
        <w:tc>
          <w:tcPr>
            <w:tcW w:w="40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r>
              <w:rPr>
                <w:rFonts w:hint="eastAsia" w:ascii="宋体" w:hAnsi="宋体" w:cs="宋体"/>
                <w:bCs/>
                <w:sz w:val="22"/>
                <w:szCs w:val="22"/>
                <w:highlight w:val="none"/>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7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p>
        </w:tc>
        <w:tc>
          <w:tcPr>
            <w:tcW w:w="22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r>
              <w:rPr>
                <w:rFonts w:hint="eastAsia" w:ascii="宋体" w:hAnsi="宋体" w:cs="宋体"/>
                <w:bCs/>
                <w:sz w:val="22"/>
                <w:szCs w:val="22"/>
                <w:highlight w:val="none"/>
              </w:rPr>
              <w:t>休闲区域</w:t>
            </w:r>
          </w:p>
        </w:tc>
        <w:tc>
          <w:tcPr>
            <w:tcW w:w="40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r>
              <w:rPr>
                <w:rFonts w:hint="eastAsia" w:ascii="宋体" w:hAnsi="宋体" w:cs="宋体"/>
                <w:bCs/>
                <w:sz w:val="22"/>
                <w:szCs w:val="22"/>
                <w:highlight w:val="none"/>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7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p>
        </w:tc>
        <w:tc>
          <w:tcPr>
            <w:tcW w:w="22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r>
              <w:rPr>
                <w:rFonts w:hint="eastAsia" w:ascii="宋体" w:hAnsi="宋体" w:cs="宋体"/>
                <w:bCs/>
                <w:sz w:val="22"/>
                <w:szCs w:val="22"/>
                <w:highlight w:val="none"/>
              </w:rPr>
              <w:t>卫生间</w:t>
            </w:r>
          </w:p>
        </w:tc>
        <w:tc>
          <w:tcPr>
            <w:tcW w:w="40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r>
              <w:rPr>
                <w:rFonts w:hint="eastAsia" w:ascii="宋体" w:hAnsi="宋体" w:cs="宋体"/>
                <w:bCs/>
                <w:sz w:val="22"/>
                <w:szCs w:val="22"/>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7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p>
        </w:tc>
        <w:tc>
          <w:tcPr>
            <w:tcW w:w="22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r>
              <w:rPr>
                <w:rFonts w:hint="eastAsia" w:ascii="宋体" w:hAnsi="宋体" w:cs="宋体"/>
                <w:bCs/>
                <w:sz w:val="22"/>
                <w:szCs w:val="22"/>
                <w:highlight w:val="none"/>
              </w:rPr>
              <w:t>仓库</w:t>
            </w:r>
          </w:p>
        </w:tc>
        <w:tc>
          <w:tcPr>
            <w:tcW w:w="40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r>
              <w:rPr>
                <w:rFonts w:hint="eastAsia" w:ascii="宋体" w:hAnsi="宋体" w:cs="宋体"/>
                <w:bCs/>
                <w:sz w:val="22"/>
                <w:szCs w:val="22"/>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73" w:type="dxa"/>
            <w:vMerge w:val="restart"/>
            <w:tcBorders>
              <w:top w:val="single" w:color="auto" w:sz="4" w:space="0"/>
              <w:left w:val="single" w:color="auto" w:sz="4" w:space="0"/>
              <w:right w:val="single" w:color="auto" w:sz="4" w:space="0"/>
            </w:tcBorders>
            <w:vAlign w:val="center"/>
          </w:tcPr>
          <w:p>
            <w:pPr>
              <w:jc w:val="center"/>
              <w:rPr>
                <w:rFonts w:ascii="宋体" w:hAnsi="宋体" w:cs="宋体"/>
                <w:bCs/>
                <w:highlight w:val="none"/>
              </w:rPr>
            </w:pPr>
            <w:r>
              <w:rPr>
                <w:rFonts w:hint="eastAsia" w:ascii="宋体" w:hAnsi="宋体" w:cs="宋体"/>
                <w:bCs/>
                <w:sz w:val="22"/>
                <w:szCs w:val="22"/>
                <w:highlight w:val="none"/>
              </w:rPr>
              <w:t>茶创中心二层</w:t>
            </w:r>
          </w:p>
        </w:tc>
        <w:tc>
          <w:tcPr>
            <w:tcW w:w="22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r>
              <w:rPr>
                <w:rFonts w:hint="eastAsia" w:ascii="宋体" w:hAnsi="宋体" w:cs="宋体"/>
                <w:bCs/>
                <w:sz w:val="22"/>
                <w:szCs w:val="22"/>
                <w:highlight w:val="none"/>
              </w:rPr>
              <w:t>多功能会议室</w:t>
            </w:r>
          </w:p>
        </w:tc>
        <w:tc>
          <w:tcPr>
            <w:tcW w:w="40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r>
              <w:rPr>
                <w:rFonts w:hint="eastAsia" w:ascii="宋体" w:hAnsi="宋体" w:cs="宋体"/>
                <w:bCs/>
                <w:sz w:val="22"/>
                <w:szCs w:val="22"/>
                <w:highlight w:val="none"/>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73" w:type="dxa"/>
            <w:vMerge w:val="continue"/>
            <w:tcBorders>
              <w:left w:val="single" w:color="auto" w:sz="4" w:space="0"/>
              <w:right w:val="single" w:color="auto" w:sz="4" w:space="0"/>
            </w:tcBorders>
            <w:vAlign w:val="center"/>
          </w:tcPr>
          <w:p>
            <w:pPr>
              <w:jc w:val="center"/>
              <w:rPr>
                <w:rFonts w:ascii="宋体" w:hAnsi="宋体" w:cs="宋体"/>
                <w:bCs/>
                <w:sz w:val="22"/>
                <w:szCs w:val="22"/>
                <w:highlight w:val="none"/>
              </w:rPr>
            </w:pPr>
          </w:p>
        </w:tc>
        <w:tc>
          <w:tcPr>
            <w:tcW w:w="22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r>
              <w:rPr>
                <w:rFonts w:hint="eastAsia" w:ascii="宋体" w:hAnsi="宋体" w:cs="宋体"/>
                <w:bCs/>
                <w:sz w:val="22"/>
                <w:szCs w:val="22"/>
                <w:highlight w:val="none"/>
              </w:rPr>
              <w:t>展览及开放式休闲区</w:t>
            </w:r>
          </w:p>
        </w:tc>
        <w:tc>
          <w:tcPr>
            <w:tcW w:w="40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r>
              <w:rPr>
                <w:rFonts w:hint="eastAsia" w:ascii="宋体" w:hAnsi="宋体" w:cs="宋体"/>
                <w:bCs/>
                <w:sz w:val="22"/>
                <w:szCs w:val="22"/>
                <w:highlight w:val="none"/>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73" w:type="dxa"/>
            <w:vMerge w:val="continue"/>
            <w:tcBorders>
              <w:left w:val="single" w:color="auto" w:sz="4" w:space="0"/>
              <w:right w:val="single" w:color="auto" w:sz="4" w:space="0"/>
            </w:tcBorders>
            <w:vAlign w:val="center"/>
          </w:tcPr>
          <w:p>
            <w:pPr>
              <w:jc w:val="center"/>
              <w:rPr>
                <w:rFonts w:ascii="宋体" w:hAnsi="宋体" w:cs="宋体"/>
                <w:bCs/>
                <w:sz w:val="22"/>
                <w:szCs w:val="22"/>
                <w:highlight w:val="none"/>
              </w:rPr>
            </w:pPr>
          </w:p>
        </w:tc>
        <w:tc>
          <w:tcPr>
            <w:tcW w:w="22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r>
              <w:rPr>
                <w:rFonts w:hint="eastAsia" w:ascii="宋体" w:hAnsi="宋体" w:cs="宋体"/>
                <w:bCs/>
                <w:sz w:val="22"/>
                <w:szCs w:val="22"/>
                <w:highlight w:val="none"/>
              </w:rPr>
              <w:t>独立会议室</w:t>
            </w:r>
          </w:p>
        </w:tc>
        <w:tc>
          <w:tcPr>
            <w:tcW w:w="40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r>
              <w:rPr>
                <w:rFonts w:hint="eastAsia" w:ascii="宋体" w:hAnsi="宋体" w:cs="宋体"/>
                <w:bCs/>
                <w:sz w:val="22"/>
                <w:szCs w:val="22"/>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73" w:type="dxa"/>
            <w:vMerge w:val="continue"/>
            <w:tcBorders>
              <w:left w:val="single" w:color="auto" w:sz="4" w:space="0"/>
              <w:right w:val="single" w:color="auto" w:sz="4" w:space="0"/>
            </w:tcBorders>
            <w:vAlign w:val="center"/>
          </w:tcPr>
          <w:p>
            <w:pPr>
              <w:jc w:val="center"/>
              <w:rPr>
                <w:rFonts w:ascii="宋体" w:hAnsi="宋体" w:cs="宋体"/>
                <w:bCs/>
                <w:sz w:val="22"/>
                <w:szCs w:val="22"/>
                <w:highlight w:val="none"/>
              </w:rPr>
            </w:pPr>
          </w:p>
        </w:tc>
        <w:tc>
          <w:tcPr>
            <w:tcW w:w="22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r>
              <w:rPr>
                <w:rFonts w:hint="eastAsia" w:ascii="宋体" w:hAnsi="宋体" w:cs="宋体"/>
                <w:bCs/>
                <w:sz w:val="22"/>
                <w:szCs w:val="22"/>
                <w:highlight w:val="none"/>
              </w:rPr>
              <w:t>卫生间</w:t>
            </w:r>
          </w:p>
        </w:tc>
        <w:tc>
          <w:tcPr>
            <w:tcW w:w="40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r>
              <w:rPr>
                <w:rFonts w:hint="eastAsia" w:ascii="宋体" w:hAnsi="宋体" w:cs="宋体"/>
                <w:bCs/>
                <w:sz w:val="22"/>
                <w:szCs w:val="22"/>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73" w:type="dxa"/>
            <w:vMerge w:val="continue"/>
            <w:tcBorders>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p>
        </w:tc>
        <w:tc>
          <w:tcPr>
            <w:tcW w:w="22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r>
              <w:rPr>
                <w:rFonts w:hint="eastAsia" w:ascii="宋体" w:hAnsi="宋体" w:cs="宋体"/>
                <w:bCs/>
                <w:sz w:val="22"/>
                <w:szCs w:val="22"/>
                <w:highlight w:val="none"/>
              </w:rPr>
              <w:t>仓库</w:t>
            </w:r>
          </w:p>
        </w:tc>
        <w:tc>
          <w:tcPr>
            <w:tcW w:w="40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szCs w:val="22"/>
                <w:highlight w:val="none"/>
              </w:rPr>
            </w:pPr>
            <w:r>
              <w:rPr>
                <w:rFonts w:hint="eastAsia" w:ascii="宋体" w:hAnsi="宋体" w:cs="宋体"/>
                <w:bCs/>
                <w:sz w:val="22"/>
                <w:szCs w:val="22"/>
                <w:highlight w:val="none"/>
              </w:rPr>
              <w:t>15㎡</w:t>
            </w:r>
          </w:p>
        </w:tc>
      </w:tr>
    </w:tbl>
    <w:p>
      <w:pPr>
        <w:spacing w:line="500" w:lineRule="exact"/>
        <w:ind w:left="479" w:leftChars="228" w:firstLine="0" w:firstLineChars="0"/>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lang w:val="en-US" w:eastAsia="zh-CN"/>
        </w:rPr>
        <w:br w:type="textWrapping"/>
      </w:r>
      <w:r>
        <w:rPr>
          <w:rFonts w:hint="eastAsia" w:ascii="宋体" w:hAnsi="宋体" w:cs="宋体"/>
          <w:bCs/>
          <w:sz w:val="24"/>
          <w:szCs w:val="24"/>
          <w:highlight w:val="none"/>
          <w:lang w:val="en-US" w:eastAsia="zh-CN"/>
        </w:rPr>
        <w:t>4</w:t>
      </w:r>
      <w:r>
        <w:rPr>
          <w:rFonts w:hint="eastAsia" w:ascii="宋体" w:hAnsi="宋体" w:eastAsia="宋体" w:cs="宋体"/>
          <w:bCs/>
          <w:sz w:val="24"/>
          <w:szCs w:val="24"/>
          <w:highlight w:val="none"/>
          <w:lang w:val="en-US" w:eastAsia="zh-CN"/>
        </w:rPr>
        <w:t>、项目</w:t>
      </w:r>
      <w:r>
        <w:rPr>
          <w:rFonts w:hint="eastAsia" w:ascii="宋体" w:hAnsi="宋体" w:cs="宋体"/>
          <w:bCs/>
          <w:sz w:val="24"/>
          <w:szCs w:val="24"/>
          <w:highlight w:val="none"/>
          <w:lang w:val="en-US" w:eastAsia="zh-CN"/>
        </w:rPr>
        <w:t>内容</w:t>
      </w:r>
    </w:p>
    <w:p>
      <w:pPr>
        <w:spacing w:line="500" w:lineRule="exact"/>
        <w:ind w:firstLine="480" w:firstLineChars="200"/>
        <w:rPr>
          <w:rFonts w:hint="eastAsia" w:ascii="宋体" w:hAnsi="宋体" w:eastAsia="宋体" w:cs="宋体"/>
          <w:bCs/>
          <w:sz w:val="24"/>
          <w:szCs w:val="24"/>
          <w:highlight w:val="none"/>
          <w:lang w:val="en-US" w:eastAsia="zh-CN"/>
        </w:rPr>
      </w:pPr>
      <w:bookmarkStart w:id="53" w:name="OLE_LINK15"/>
      <w:r>
        <w:rPr>
          <w:rFonts w:hint="eastAsia" w:ascii="宋体" w:hAnsi="宋体" w:eastAsia="宋体" w:cs="宋体"/>
          <w:bCs/>
          <w:sz w:val="24"/>
          <w:szCs w:val="24"/>
          <w:highlight w:val="none"/>
          <w:lang w:val="en-US" w:eastAsia="zh-CN"/>
        </w:rPr>
        <w:t>本次招标具体内容包括展陈部分的内容深化、施工图设计、展陈作品的设计制作、设施设备物料等采购、安装调试运行、项目移交等内容及质保期内的维护、配合现</w:t>
      </w:r>
      <w:r>
        <w:rPr>
          <w:rFonts w:hint="eastAsia" w:ascii="宋体" w:hAnsi="宋体" w:cs="宋体"/>
          <w:bCs/>
          <w:sz w:val="24"/>
          <w:szCs w:val="24"/>
          <w:highlight w:val="none"/>
          <w:lang w:val="en-US" w:eastAsia="zh-CN"/>
        </w:rPr>
        <w:t>场</w:t>
      </w:r>
      <w:r>
        <w:rPr>
          <w:rFonts w:hint="eastAsia" w:ascii="宋体" w:hAnsi="宋体" w:eastAsia="宋体" w:cs="宋体"/>
          <w:bCs/>
          <w:sz w:val="24"/>
          <w:szCs w:val="24"/>
          <w:highlight w:val="none"/>
          <w:lang w:val="en-US" w:eastAsia="zh-CN"/>
        </w:rPr>
        <w:t>施工单位完成本项目需要的所有事项和为符合游客中心功能需求，提升卫生间形象设计及配套功能完善落地的所有事项。</w:t>
      </w:r>
    </w:p>
    <w:bookmarkEnd w:id="51"/>
    <w:bookmarkEnd w:id="53"/>
    <w:p>
      <w:pPr>
        <w:pStyle w:val="37"/>
        <w:numPr>
          <w:ilvl w:val="0"/>
          <w:numId w:val="0"/>
        </w:numPr>
        <w:ind w:left="480" w:leftChars="0"/>
        <w:rPr>
          <w:rFonts w:hint="eastAsia"/>
          <w:lang w:val="en-US" w:eastAsia="zh-CN"/>
        </w:rPr>
      </w:pPr>
    </w:p>
    <w:p>
      <w:pPr>
        <w:pStyle w:val="38"/>
        <w:rPr>
          <w:rFonts w:hint="eastAsia"/>
          <w:lang w:val="en-US" w:eastAsia="zh-CN"/>
        </w:rPr>
      </w:pPr>
    </w:p>
    <w:p>
      <w:pPr>
        <w:rPr>
          <w:rFonts w:hint="eastAsia"/>
          <w:lang w:val="en-US" w:eastAsia="zh-CN"/>
        </w:rPr>
      </w:pPr>
    </w:p>
    <w:p>
      <w:pPr>
        <w:numPr>
          <w:ilvl w:val="0"/>
          <w:numId w:val="8"/>
        </w:numPr>
        <w:spacing w:line="500" w:lineRule="exact"/>
        <w:ind w:left="479" w:leftChars="228" w:firstLine="0" w:firstLineChars="0"/>
        <w:rPr>
          <w:rFonts w:hint="eastAsia" w:ascii="宋体" w:hAnsi="宋体" w:cs="宋体"/>
          <w:bCs/>
          <w:sz w:val="24"/>
          <w:szCs w:val="24"/>
          <w:highlight w:val="none"/>
          <w:lang w:val="en-US" w:eastAsia="zh-CN"/>
        </w:rPr>
      </w:pPr>
      <w:r>
        <w:rPr>
          <w:rFonts w:hint="eastAsia" w:ascii="宋体" w:hAnsi="宋体" w:cs="宋体"/>
          <w:bCs/>
          <w:sz w:val="24"/>
          <w:szCs w:val="24"/>
          <w:highlight w:val="none"/>
          <w:lang w:val="en-US" w:eastAsia="zh-CN"/>
        </w:rPr>
        <w:t>清单</w:t>
      </w:r>
    </w:p>
    <w:tbl>
      <w:tblPr>
        <w:tblStyle w:val="30"/>
        <w:tblW w:w="8722" w:type="dxa"/>
        <w:tblInd w:w="0" w:type="dxa"/>
        <w:shd w:val="clear" w:color="auto" w:fill="auto"/>
        <w:tblLayout w:type="fixed"/>
        <w:tblCellMar>
          <w:top w:w="0" w:type="dxa"/>
          <w:left w:w="0" w:type="dxa"/>
          <w:bottom w:w="0" w:type="dxa"/>
          <w:right w:w="0" w:type="dxa"/>
        </w:tblCellMar>
      </w:tblPr>
      <w:tblGrid>
        <w:gridCol w:w="528"/>
        <w:gridCol w:w="2457"/>
        <w:gridCol w:w="712"/>
        <w:gridCol w:w="8"/>
        <w:gridCol w:w="705"/>
        <w:gridCol w:w="4312"/>
      </w:tblGrid>
      <w:tr>
        <w:tblPrEx>
          <w:shd w:val="clear" w:color="auto" w:fill="auto"/>
          <w:tblLayout w:type="fixed"/>
          <w:tblCellMar>
            <w:top w:w="0" w:type="dxa"/>
            <w:left w:w="0" w:type="dxa"/>
            <w:bottom w:w="0" w:type="dxa"/>
            <w:right w:w="0" w:type="dxa"/>
          </w:tblCellMar>
        </w:tblPrEx>
        <w:trPr>
          <w:trHeight w:val="523"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数量</w:t>
            </w:r>
          </w:p>
        </w:tc>
        <w:tc>
          <w:tcPr>
            <w:tcW w:w="43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tblPrEx>
          <w:tblLayout w:type="fixed"/>
          <w:tblCellMar>
            <w:top w:w="0" w:type="dxa"/>
            <w:left w:w="0" w:type="dxa"/>
            <w:bottom w:w="0" w:type="dxa"/>
            <w:right w:w="0" w:type="dxa"/>
          </w:tblCellMar>
        </w:tblPrEx>
        <w:trPr>
          <w:trHeight w:val="439" w:hRule="atLeast"/>
        </w:trPr>
        <w:tc>
          <w:tcPr>
            <w:tcW w:w="8722" w:type="dxa"/>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一、茶文化中心一层顶面形象模块展示</w:t>
            </w:r>
          </w:p>
        </w:tc>
      </w:tr>
      <w:tr>
        <w:tblPrEx>
          <w:tblLayout w:type="fixed"/>
          <w:tblCellMar>
            <w:top w:w="0" w:type="dxa"/>
            <w:left w:w="0" w:type="dxa"/>
            <w:bottom w:w="0" w:type="dxa"/>
            <w:right w:w="0" w:type="dxa"/>
          </w:tblCellMar>
        </w:tblPrEx>
        <w:trPr>
          <w:trHeight w:val="10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定制异形吊顶模块</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152.00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1.木龙骨或轻钢龙骨+环保阻燃板基层                                                                                                                                                                                    2.定制异形或造型处用九厘板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3.面层纸面石膏板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4.面积按展开面积计算</w:t>
            </w:r>
          </w:p>
        </w:tc>
      </w:tr>
      <w:tr>
        <w:tblPrEx>
          <w:tblLayout w:type="fixed"/>
          <w:tblCellMar>
            <w:top w:w="0" w:type="dxa"/>
            <w:left w:w="0" w:type="dxa"/>
            <w:bottom w:w="0" w:type="dxa"/>
            <w:right w:w="0" w:type="dxa"/>
          </w:tblCellMar>
        </w:tblPrEx>
        <w:trPr>
          <w:trHeight w:val="96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定制木饰面模块</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280.00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1.木龙骨或轻钢龙骨+环保阻燃板基层                                                               2.定制异形或造型处用九厘板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3.定制成品木饰面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4.面积按展开面积计算</w:t>
            </w:r>
          </w:p>
        </w:tc>
      </w:tr>
      <w:tr>
        <w:tblPrEx>
          <w:tblLayout w:type="fixed"/>
          <w:tblCellMar>
            <w:top w:w="0" w:type="dxa"/>
            <w:left w:w="0" w:type="dxa"/>
            <w:bottom w:w="0" w:type="dxa"/>
            <w:right w:w="0" w:type="dxa"/>
          </w:tblCellMar>
        </w:tblPrEx>
        <w:trPr>
          <w:trHeight w:val="9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定制集成吊顶模块</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61.00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1.600*600铝扣板                                                              2.配套换气及照明</w:t>
            </w:r>
          </w:p>
        </w:tc>
      </w:tr>
      <w:tr>
        <w:tblPrEx>
          <w:tblLayout w:type="fixed"/>
          <w:tblCellMar>
            <w:top w:w="0" w:type="dxa"/>
            <w:left w:w="0" w:type="dxa"/>
            <w:bottom w:w="0" w:type="dxa"/>
            <w:right w:w="0" w:type="dxa"/>
          </w:tblCellMar>
        </w:tblPrEx>
        <w:trPr>
          <w:trHeight w:val="439" w:hRule="atLeast"/>
        </w:trPr>
        <w:tc>
          <w:tcPr>
            <w:tcW w:w="8722" w:type="dxa"/>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二、茶文化中心二层顶面形象模块展示</w:t>
            </w:r>
          </w:p>
        </w:tc>
      </w:tr>
      <w:tr>
        <w:tblPrEx>
          <w:tblLayout w:type="fixed"/>
          <w:tblCellMar>
            <w:top w:w="0" w:type="dxa"/>
            <w:left w:w="0" w:type="dxa"/>
            <w:bottom w:w="0" w:type="dxa"/>
            <w:right w:w="0" w:type="dxa"/>
          </w:tblCellMar>
        </w:tblPrEx>
        <w:trPr>
          <w:trHeight w:val="10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定制异形吊顶模块</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78.00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1.木龙骨或轻钢龙骨+环保阻燃板基层                                                                                                                                                                                    2.定制异形或造型处用九厘板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3.面层纸面石膏板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4.面积按展开面积计算</w:t>
            </w:r>
          </w:p>
        </w:tc>
      </w:tr>
      <w:tr>
        <w:tblPrEx>
          <w:tblLayout w:type="fixed"/>
          <w:tblCellMar>
            <w:top w:w="0" w:type="dxa"/>
            <w:left w:w="0" w:type="dxa"/>
            <w:bottom w:w="0" w:type="dxa"/>
            <w:right w:w="0" w:type="dxa"/>
          </w:tblCellMar>
        </w:tblPrEx>
        <w:trPr>
          <w:trHeight w:val="10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定制木饰面模块</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347.00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1.木龙骨或轻钢龙骨+环保阻燃板基层                                                               2.定制异形或造型处用九厘板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3.定制成品木饰面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4.面积按展开面积计算</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定制集成吊顶模块</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1.600*600铝扣板                                                              2.配套换气及照明</w:t>
            </w:r>
          </w:p>
        </w:tc>
      </w:tr>
      <w:tr>
        <w:tblPrEx>
          <w:tblLayout w:type="fixed"/>
          <w:tblCellMar>
            <w:top w:w="0" w:type="dxa"/>
            <w:left w:w="0" w:type="dxa"/>
            <w:bottom w:w="0" w:type="dxa"/>
            <w:right w:w="0" w:type="dxa"/>
          </w:tblCellMar>
        </w:tblPrEx>
        <w:trPr>
          <w:trHeight w:val="52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中庭艺术透光玻璃造型顶</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102.00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39" w:hRule="atLeast"/>
        </w:trPr>
        <w:tc>
          <w:tcPr>
            <w:tcW w:w="8722" w:type="dxa"/>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三、茶文化中心一层地面优化展示</w:t>
            </w:r>
          </w:p>
        </w:tc>
      </w:tr>
      <w:tr>
        <w:tblPrEx>
          <w:tblLayout w:type="fixed"/>
          <w:tblCellMar>
            <w:top w:w="0" w:type="dxa"/>
            <w:left w:w="0" w:type="dxa"/>
            <w:bottom w:w="0" w:type="dxa"/>
            <w:right w:w="0" w:type="dxa"/>
          </w:tblCellMar>
        </w:tblPrEx>
        <w:trPr>
          <w:trHeight w:val="535"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水泥砂浆地面找平</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158.00 </w:t>
            </w:r>
          </w:p>
        </w:tc>
        <w:tc>
          <w:tcPr>
            <w:tcW w:w="43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地面水泥砂浆找平，厚度在5CM内</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定制双层地台</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384.00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1.内置龙骨结构+环保阻燃板基层                                                               2.定制异形或造型处用九厘板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3.面积按展开面积计算</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定制实木复合地板</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384.00 </w:t>
            </w:r>
          </w:p>
        </w:tc>
        <w:tc>
          <w:tcPr>
            <w:tcW w:w="43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1.定制15mm厚复合地板，忆林地板，卓客地板，鑫帝地板等同档次品牌</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地面防水</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45.00 </w:t>
            </w:r>
          </w:p>
        </w:tc>
        <w:tc>
          <w:tcPr>
            <w:tcW w:w="43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1、基层清理干净，涂刷环保防水涂料两遍；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2、做闭水试验24小时</w:t>
            </w:r>
          </w:p>
        </w:tc>
      </w:tr>
      <w:tr>
        <w:tblPrEx>
          <w:tblLayout w:type="fixed"/>
          <w:tblCellMar>
            <w:top w:w="0" w:type="dxa"/>
            <w:left w:w="0" w:type="dxa"/>
            <w:bottom w:w="0" w:type="dxa"/>
            <w:right w:w="0" w:type="dxa"/>
          </w:tblCellMar>
        </w:tblPrEx>
        <w:trPr>
          <w:trHeight w:val="37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楼梯改造</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地面造景</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3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1.定制仿生绿植                                                                                                                                                              2.铺设鹅软石及石块点缀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3.灯光模块</w:t>
            </w:r>
          </w:p>
        </w:tc>
      </w:tr>
      <w:tr>
        <w:tblPrEx>
          <w:tblLayout w:type="fixed"/>
          <w:tblCellMar>
            <w:top w:w="0" w:type="dxa"/>
            <w:left w:w="0" w:type="dxa"/>
            <w:bottom w:w="0" w:type="dxa"/>
            <w:right w:w="0" w:type="dxa"/>
          </w:tblCellMar>
        </w:tblPrEx>
        <w:trPr>
          <w:trHeight w:val="685"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地面铺设600*1200防滑地砖</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61.00 </w:t>
            </w:r>
          </w:p>
        </w:tc>
        <w:tc>
          <w:tcPr>
            <w:tcW w:w="43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600*1200地砖，磨卡瓷砖，豪思曼瓷砖，阿迪达瓷砖等同档次品牌</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地面铺设750*1500地砖</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141.00 </w:t>
            </w:r>
          </w:p>
        </w:tc>
        <w:tc>
          <w:tcPr>
            <w:tcW w:w="43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750*1500地砖，磨卡瓷砖，豪思曼瓷砖，阿迪达瓷砖等同档次品牌</w:t>
            </w:r>
          </w:p>
        </w:tc>
      </w:tr>
      <w:tr>
        <w:tblPrEx>
          <w:tblLayout w:type="fixed"/>
          <w:tblCellMar>
            <w:top w:w="0" w:type="dxa"/>
            <w:left w:w="0" w:type="dxa"/>
            <w:bottom w:w="0" w:type="dxa"/>
            <w:right w:w="0" w:type="dxa"/>
          </w:tblCellMar>
        </w:tblPrEx>
        <w:trPr>
          <w:trHeight w:val="439" w:hRule="atLeast"/>
        </w:trPr>
        <w:tc>
          <w:tcPr>
            <w:tcW w:w="8722" w:type="dxa"/>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四、茶文化中心二层地面优化展示</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钢结构阁层</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1.钢结构隔层300mm工字钢                                                     2.钢结构立柱100mm-200mm工字钢                                                                3.金属瓦楞板规格5m*1m</w:t>
            </w:r>
          </w:p>
        </w:tc>
      </w:tr>
      <w:tr>
        <w:tblPrEx>
          <w:tblLayout w:type="fixed"/>
          <w:tblCellMar>
            <w:top w:w="0" w:type="dxa"/>
            <w:left w:w="0" w:type="dxa"/>
            <w:bottom w:w="0" w:type="dxa"/>
            <w:right w:w="0" w:type="dxa"/>
          </w:tblCellMar>
        </w:tblPrEx>
        <w:trPr>
          <w:trHeight w:val="46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钢筋混凝土浇筑楼板</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厚度10-12cm，钢筋规格10mm，按网状双层地面铺设</w:t>
            </w:r>
          </w:p>
        </w:tc>
      </w:tr>
      <w:tr>
        <w:tblPrEx>
          <w:tblLayout w:type="fixed"/>
          <w:tblCellMar>
            <w:top w:w="0" w:type="dxa"/>
            <w:left w:w="0" w:type="dxa"/>
            <w:bottom w:w="0" w:type="dxa"/>
            <w:right w:w="0" w:type="dxa"/>
          </w:tblCellMar>
        </w:tblPrEx>
        <w:trPr>
          <w:trHeight w:val="4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水泥砂浆地面找平</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514.00 </w:t>
            </w:r>
          </w:p>
        </w:tc>
        <w:tc>
          <w:tcPr>
            <w:tcW w:w="43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地面水泥砂浆找平，厚度在5CM内</w:t>
            </w:r>
          </w:p>
        </w:tc>
      </w:tr>
      <w:tr>
        <w:tblPrEx>
          <w:tblLayout w:type="fixed"/>
          <w:tblCellMar>
            <w:top w:w="0" w:type="dxa"/>
            <w:left w:w="0" w:type="dxa"/>
            <w:bottom w:w="0" w:type="dxa"/>
            <w:right w:w="0" w:type="dxa"/>
          </w:tblCellMar>
        </w:tblPrEx>
        <w:trPr>
          <w:trHeight w:val="51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地面防水</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73.00 </w:t>
            </w:r>
          </w:p>
        </w:tc>
        <w:tc>
          <w:tcPr>
            <w:tcW w:w="43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1、基层清理干净，涂刷环保防水涂料两遍；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2、做闭水试验24小时</w:t>
            </w:r>
          </w:p>
        </w:tc>
      </w:tr>
      <w:tr>
        <w:tblPrEx>
          <w:tblLayout w:type="fixed"/>
          <w:tblCellMar>
            <w:top w:w="0" w:type="dxa"/>
            <w:left w:w="0" w:type="dxa"/>
            <w:bottom w:w="0" w:type="dxa"/>
            <w:right w:w="0" w:type="dxa"/>
          </w:tblCellMar>
        </w:tblPrEx>
        <w:trPr>
          <w:trHeight w:val="57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地面铺设600*1200防滑地砖</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48.00 </w:t>
            </w:r>
          </w:p>
        </w:tc>
        <w:tc>
          <w:tcPr>
            <w:tcW w:w="43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600*1200地砖，磨卡瓷砖，豪思曼瓷砖，阿迪达瓷砖等同档次品牌</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地面铺设750*1500地砖</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466.00 </w:t>
            </w:r>
          </w:p>
        </w:tc>
        <w:tc>
          <w:tcPr>
            <w:tcW w:w="43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750*1500地砖，磨卡瓷砖，豪思曼瓷砖，阿迪达瓷砖等同档次品牌</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休闲区卡座周围双层地台</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Style w:val="76"/>
                <w:rFonts w:ascii="宋体" w:hAnsi="宋体" w:eastAsia="宋体" w:cs="宋体"/>
                <w:sz w:val="24"/>
                <w:szCs w:val="24"/>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1.内置龙骨结构+环保阻燃板基层                                                               2.定制异形或造型处用九厘板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3.面积按展开面积计算</w:t>
            </w:r>
          </w:p>
        </w:tc>
      </w:tr>
      <w:tr>
        <w:tblPrEx>
          <w:tblLayout w:type="fixed"/>
          <w:tblCellMar>
            <w:top w:w="0" w:type="dxa"/>
            <w:left w:w="0" w:type="dxa"/>
            <w:bottom w:w="0" w:type="dxa"/>
            <w:right w:w="0" w:type="dxa"/>
          </w:tblCellMar>
        </w:tblPrEx>
        <w:trPr>
          <w:trHeight w:val="9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阳台造景</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3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1.定制绿植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2.休息石凳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3.氛围灯光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4.地面鹅卵石及石板</w:t>
            </w:r>
          </w:p>
        </w:tc>
      </w:tr>
      <w:tr>
        <w:tblPrEx>
          <w:tblLayout w:type="fixed"/>
          <w:tblCellMar>
            <w:top w:w="0" w:type="dxa"/>
            <w:left w:w="0" w:type="dxa"/>
            <w:bottom w:w="0" w:type="dxa"/>
            <w:right w:w="0" w:type="dxa"/>
          </w:tblCellMar>
        </w:tblPrEx>
        <w:trPr>
          <w:trHeight w:val="439" w:hRule="atLeast"/>
        </w:trPr>
        <w:tc>
          <w:tcPr>
            <w:tcW w:w="8722" w:type="dxa"/>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五、茶文化中心一层视觉文化及形象展示墙</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一楼门头文字标识</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不锈钢金属字，数控切割焊接打磨，单个字高≥80cm，吊车安装</w:t>
            </w:r>
          </w:p>
        </w:tc>
      </w:tr>
      <w:tr>
        <w:tblPrEx>
          <w:tblLayout w:type="fixed"/>
          <w:tblCellMar>
            <w:top w:w="0" w:type="dxa"/>
            <w:left w:w="0" w:type="dxa"/>
            <w:bottom w:w="0" w:type="dxa"/>
            <w:right w:w="0" w:type="dxa"/>
          </w:tblCellMar>
        </w:tblPrEx>
        <w:trPr>
          <w:trHeight w:val="595"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一楼金属烤漆索引牌</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金属雕刻烤漆工艺制作</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一楼进门主形象墙</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面</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定制凹凸造型+木饰面+金属收边+局部灯光+亚克力烤漆字+亚克力文化装饰+亚克力发光字+LED屏幕氛围营造</w:t>
            </w:r>
          </w:p>
        </w:tc>
      </w:tr>
      <w:tr>
        <w:tblPrEx>
          <w:tblLayout w:type="fixed"/>
          <w:tblCellMar>
            <w:top w:w="0" w:type="dxa"/>
            <w:left w:w="0" w:type="dxa"/>
            <w:bottom w:w="0" w:type="dxa"/>
            <w:right w:w="0" w:type="dxa"/>
          </w:tblCellMar>
        </w:tblPrEx>
        <w:trPr>
          <w:trHeight w:val="655"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一楼进门文化墙背景墙</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面</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定制凹凸造型+局部灯光+文化内容装饰</w:t>
            </w:r>
          </w:p>
        </w:tc>
      </w:tr>
      <w:tr>
        <w:tblPrEx>
          <w:tblLayout w:type="fixed"/>
          <w:tblCellMar>
            <w:top w:w="0" w:type="dxa"/>
            <w:left w:w="0" w:type="dxa"/>
            <w:bottom w:w="0" w:type="dxa"/>
            <w:right w:w="0" w:type="dxa"/>
          </w:tblCellMar>
        </w:tblPrEx>
        <w:trPr>
          <w:trHeight w:val="655"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一楼中庭（西面）背景墙</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面</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定制凹凸曲线造型+局部灯光+文化内容装饰</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一楼中庭（北面）背景墙</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面</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定制立体模型造型+局部灯光+文化内容装饰</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一楼中庭（东面）背景墙</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面</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1.定制凹凸造型+局部灯光+文化内容装饰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2.互动一体机，尺寸不小于2215*1319*95.7mm</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互动茶叶包装置</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1.尺寸：2760*2500*300mm</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2.机械传输结构，包含LED屏幕互动</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3.装置体验流程包含且不限于茶叶采摘，炒制</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一楼水吧区文化墙</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定制凹凸造型+局部灯光+文化内容装饰</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一楼过道（西面）文化展示墙</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定制凹凸造型+局部灯光+文化内容装饰</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5-11</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一楼最美会议室文化墙</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定制凹凸造型+局部灯光+文化内容装饰</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5-12</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一楼农产品展示</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1.特色农产品定制模型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2.展示台7900mm*600mm*350~550mm</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5-13</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一楼展示区文化布置</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定制凹凸造型+局部灯光+墙面文化软装布置+文化内容装饰</w:t>
            </w:r>
          </w:p>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18"/>
                <w:szCs w:val="18"/>
                <w:u w:val="none"/>
                <w:lang w:val="en-US" w:eastAsia="zh-CN" w:bidi="ar"/>
              </w:rPr>
              <w:t>根据卮山仙踪的整体规划要求并结合仙岩全域特色亮点及舜皇村特色资源进行展示。重点围绕文旅、共富两个主题进行整体策划（展示</w:t>
            </w:r>
            <w:r>
              <w:rPr>
                <w:rFonts w:hint="eastAsia" w:ascii="宋体" w:hAnsi="宋体" w:eastAsia="宋体" w:cs="宋体"/>
                <w:i w:val="0"/>
                <w:color w:val="000000"/>
                <w:kern w:val="0"/>
                <w:sz w:val="18"/>
                <w:szCs w:val="18"/>
                <w:u w:val="none"/>
                <w:lang w:val="zh-CN" w:eastAsia="zh-CN" w:bidi="ar"/>
              </w:rPr>
              <w:t>舜皇村茶叶</w:t>
            </w:r>
            <w:r>
              <w:rPr>
                <w:rFonts w:hint="eastAsia" w:ascii="宋体" w:hAnsi="宋体" w:eastAsia="宋体" w:cs="宋体"/>
                <w:i w:val="0"/>
                <w:color w:val="000000"/>
                <w:kern w:val="0"/>
                <w:sz w:val="18"/>
                <w:szCs w:val="18"/>
                <w:u w:val="none"/>
                <w:lang w:val="en-US" w:eastAsia="zh-CN" w:bidi="ar"/>
              </w:rPr>
              <w:t>相关的个人荣誉及</w:t>
            </w:r>
            <w:r>
              <w:rPr>
                <w:rFonts w:hint="eastAsia" w:ascii="宋体" w:hAnsi="宋体" w:eastAsia="宋体" w:cs="宋体"/>
                <w:i w:val="0"/>
                <w:color w:val="000000"/>
                <w:kern w:val="0"/>
                <w:sz w:val="18"/>
                <w:szCs w:val="18"/>
                <w:u w:val="none"/>
                <w:lang w:val="zh-CN" w:eastAsia="zh-CN" w:bidi="ar"/>
              </w:rPr>
              <w:t>共富</w:t>
            </w:r>
            <w:r>
              <w:rPr>
                <w:rFonts w:hint="eastAsia" w:ascii="宋体" w:hAnsi="宋体" w:eastAsia="宋体" w:cs="宋体"/>
                <w:i w:val="0"/>
                <w:color w:val="000000"/>
                <w:kern w:val="0"/>
                <w:sz w:val="18"/>
                <w:szCs w:val="18"/>
                <w:u w:val="none"/>
                <w:lang w:val="en-US" w:eastAsia="zh-CN" w:bidi="ar"/>
              </w:rPr>
              <w:t>工坊</w:t>
            </w:r>
            <w:r>
              <w:rPr>
                <w:rFonts w:hint="eastAsia" w:ascii="宋体" w:hAnsi="宋体" w:eastAsia="宋体" w:cs="宋体"/>
                <w:i w:val="0"/>
                <w:color w:val="000000"/>
                <w:kern w:val="0"/>
                <w:sz w:val="18"/>
                <w:szCs w:val="18"/>
                <w:u w:val="none"/>
                <w:lang w:val="zh-CN" w:eastAsia="zh-CN" w:bidi="ar"/>
              </w:rPr>
              <w:t>荣誉</w:t>
            </w:r>
            <w:r>
              <w:rPr>
                <w:rFonts w:hint="eastAsia" w:ascii="宋体" w:hAnsi="宋体" w:eastAsia="宋体" w:cs="宋体"/>
                <w:i w:val="0"/>
                <w:color w:val="000000"/>
                <w:kern w:val="0"/>
                <w:sz w:val="18"/>
                <w:szCs w:val="18"/>
                <w:u w:val="none"/>
                <w:lang w:val="en-US" w:eastAsia="zh-CN" w:bidi="ar"/>
              </w:rPr>
              <w:t>），整个展区需要体现较高标准的互动性、展示性和体验性。</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5-14</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一楼至二楼楼梯文化造型墙</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3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定制文化装饰+凹凸造型+pvc或亚克力雕刻+暗藏氛围灯带</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5-15</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一楼墙面防水</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70.20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1.基层清理干净，涂刷环保防水涂料两遍；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2.24小时闭水实验</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5-16</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一楼墙面铺设600*1200大理石通体砖</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117.00 </w:t>
            </w:r>
          </w:p>
        </w:tc>
        <w:tc>
          <w:tcPr>
            <w:tcW w:w="43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600*1200墙砖，磨卡瓷砖，豪思曼瓷砖，阿迪达瓷砖等同档次品牌</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5-17</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一楼普通科室牌</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1.定制多层彩色亚克力或金属可更换标识牌</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5-18</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一楼各空间制度牌</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1.定制金属边框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2.定制高密度高清UV画面可更换制度牌</w:t>
            </w:r>
          </w:p>
        </w:tc>
      </w:tr>
      <w:tr>
        <w:tblPrEx>
          <w:tblLayout w:type="fixed"/>
          <w:tblCellMar>
            <w:top w:w="0" w:type="dxa"/>
            <w:left w:w="0" w:type="dxa"/>
            <w:bottom w:w="0" w:type="dxa"/>
            <w:right w:w="0" w:type="dxa"/>
          </w:tblCellMar>
        </w:tblPrEx>
        <w:trPr>
          <w:trHeight w:val="96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5-19</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一楼墙面成品木饰面定制</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125.00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1.木龙骨或轻钢龙骨+环保阻燃板基层                                                               2.定制异形或造型处用九厘板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3.定制成品木饰面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4.面积按展开面积计算</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一楼定制成品踢脚线</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350.00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定制成品踢脚线</w:t>
            </w:r>
          </w:p>
        </w:tc>
      </w:tr>
      <w:tr>
        <w:tblPrEx>
          <w:tblLayout w:type="fixed"/>
          <w:tblCellMar>
            <w:top w:w="0" w:type="dxa"/>
            <w:left w:w="0" w:type="dxa"/>
            <w:bottom w:w="0" w:type="dxa"/>
            <w:right w:w="0" w:type="dxa"/>
          </w:tblCellMar>
        </w:tblPrEx>
        <w:trPr>
          <w:trHeight w:val="439" w:hRule="atLeast"/>
        </w:trPr>
        <w:tc>
          <w:tcPr>
            <w:tcW w:w="8722" w:type="dxa"/>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六、茶文化中心二层视觉文化及形象展示墙</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二楼茶水间文化布置</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3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定制凹凸造型+氛围灯带+墙面文化软装布置</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二楼大会议室文化布置</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定制凹凸造型+氛围灯带+墙面文化软装布置</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二楼开放式休闲空间文化布置</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定制凹凸造型+氛围灯带+壁挂展示架+小品布置+木饰面</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二楼独立休闲空间文化布置</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间</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定制凹凸造型+氛围灯带+墙面文化软装布置</w:t>
            </w:r>
          </w:p>
        </w:tc>
      </w:tr>
      <w:tr>
        <w:tblPrEx>
          <w:tblLayout w:type="fixed"/>
          <w:tblCellMar>
            <w:top w:w="0" w:type="dxa"/>
            <w:left w:w="0" w:type="dxa"/>
            <w:bottom w:w="0" w:type="dxa"/>
            <w:right w:w="0" w:type="dxa"/>
          </w:tblCellMar>
        </w:tblPrEx>
        <w:trPr>
          <w:trHeight w:val="96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二楼墙面成品木饰面定制</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75.00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1.木龙骨或轻钢龙骨+环保阻燃板基层                                                               2.定制异形或造型处用九厘板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3.定制成品木饰面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4.面积按展开面积计算</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二楼景观节点布置</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定制环保泡沫成型+仿真绿植花艺+小品+摆件+装饰画等</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二楼高清uv防水墙布</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高清精喷全彩UV+环保面料，不含墙面批灰</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二楼空间标识及指引系统（洗手间/功能室）</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定制亚克力或金属标识牌或不干胶</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二楼墙面防水</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77.40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1.基层清理干净，涂刷环保防水涂料两遍；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2.24小时闭水实验</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二楼墙面铺设600*1200大理石通体砖</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129.00 </w:t>
            </w:r>
          </w:p>
        </w:tc>
        <w:tc>
          <w:tcPr>
            <w:tcW w:w="43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600*1200墙砖，磨卡瓷砖，豪思曼瓷砖，阿迪达瓷砖等同档次品牌</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6-11</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二楼定制成品踢脚线</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220.00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定制成品踢脚线</w:t>
            </w:r>
          </w:p>
        </w:tc>
      </w:tr>
      <w:tr>
        <w:tblPrEx>
          <w:tblLayout w:type="fixed"/>
          <w:tblCellMar>
            <w:top w:w="0" w:type="dxa"/>
            <w:left w:w="0" w:type="dxa"/>
            <w:bottom w:w="0" w:type="dxa"/>
            <w:right w:w="0" w:type="dxa"/>
          </w:tblCellMar>
        </w:tblPrEx>
        <w:trPr>
          <w:trHeight w:val="439" w:hRule="atLeast"/>
        </w:trPr>
        <w:tc>
          <w:tcPr>
            <w:tcW w:w="8722" w:type="dxa"/>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七、茶文化中心一层定制门、隔断、家具及集成系统</w:t>
            </w:r>
          </w:p>
        </w:tc>
      </w:tr>
      <w:tr>
        <w:tblPrEx>
          <w:tblLayout w:type="fixed"/>
          <w:tblCellMar>
            <w:top w:w="0" w:type="dxa"/>
            <w:left w:w="0" w:type="dxa"/>
            <w:bottom w:w="0" w:type="dxa"/>
            <w:right w:w="0" w:type="dxa"/>
          </w:tblCellMar>
        </w:tblPrEx>
        <w:trPr>
          <w:trHeight w:val="116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定制艺术门头及有框玻璃造型门</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1.尺寸：8000mm长*40mm宽*3000mm高                                                                                                                                                                                                         2.定制40mm*60mm镀锌钢管框架                                                                                                                                                                                                  3.预埋静音地弹簧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4.定制黑钛金包边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5.12mm钢化玻璃                                                               </w:t>
            </w:r>
          </w:p>
        </w:tc>
      </w:tr>
      <w:tr>
        <w:tblPrEx>
          <w:shd w:val="clear" w:color="auto" w:fill="auto"/>
          <w:tblLayout w:type="fixed"/>
          <w:tblCellMar>
            <w:top w:w="0" w:type="dxa"/>
            <w:left w:w="0" w:type="dxa"/>
            <w:bottom w:w="0" w:type="dxa"/>
            <w:right w:w="0" w:type="dxa"/>
          </w:tblCellMar>
        </w:tblPrEx>
        <w:trPr>
          <w:trHeight w:val="142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定制服务台</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 xml:space="preserve">.00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1.服务台尺寸：5000mm长*700mm宽*800mm高，                                                                                                                                                                                                                                                                                                                                                                                                           2.定制环保等级≥E1级实木多层柜体                                                                                                                                                                                      3.定制环保等级≥E1级实木多层门板</w:t>
            </w:r>
            <w:r>
              <w:rPr>
                <w:rFonts w:hint="eastAsia" w:ascii="宋体" w:hAnsi="宋体" w:eastAsia="宋体" w:cs="宋体"/>
                <w:i w:val="0"/>
                <w:color w:val="000000"/>
                <w:sz w:val="18"/>
                <w:szCs w:val="18"/>
                <w:u w:val="none"/>
                <w:lang w:val="en-US" w:eastAsia="zh-CN"/>
              </w:rPr>
              <w:br w:type="textWrapping"/>
            </w:r>
            <w:r>
              <w:rPr>
                <w:rFonts w:hint="eastAsia" w:ascii="宋体" w:hAnsi="宋体" w:eastAsia="宋体" w:cs="宋体"/>
                <w:i w:val="0"/>
                <w:color w:val="000000"/>
                <w:sz w:val="18"/>
                <w:szCs w:val="18"/>
                <w:u w:val="none"/>
                <w:lang w:val="en-US" w:eastAsia="zh-CN"/>
              </w:rPr>
              <w:t>4.定制15mm厚石材台面，外挂40mm</w:t>
            </w:r>
            <w:r>
              <w:rPr>
                <w:rFonts w:hint="eastAsia" w:ascii="宋体" w:hAnsi="宋体" w:eastAsia="宋体" w:cs="宋体"/>
                <w:i w:val="0"/>
                <w:color w:val="000000"/>
                <w:sz w:val="18"/>
                <w:szCs w:val="18"/>
                <w:u w:val="none"/>
                <w:lang w:val="en-US" w:eastAsia="zh-CN"/>
              </w:rPr>
              <w:br w:type="textWrapping"/>
            </w:r>
            <w:r>
              <w:rPr>
                <w:rFonts w:hint="eastAsia" w:ascii="宋体" w:hAnsi="宋体" w:eastAsia="宋体" w:cs="宋体"/>
                <w:i w:val="0"/>
                <w:color w:val="000000"/>
                <w:sz w:val="18"/>
                <w:szCs w:val="18"/>
                <w:u w:val="none"/>
                <w:lang w:val="en-US" w:eastAsia="zh-CN"/>
              </w:rPr>
              <w:t>5.定制暗藏氛围灯条</w:t>
            </w:r>
          </w:p>
        </w:tc>
      </w:tr>
      <w:tr>
        <w:tblPrEx>
          <w:shd w:val="clear" w:color="auto" w:fill="auto"/>
          <w:tblLayout w:type="fixed"/>
          <w:tblCellMar>
            <w:top w:w="0" w:type="dxa"/>
            <w:left w:w="0" w:type="dxa"/>
            <w:bottom w:w="0" w:type="dxa"/>
            <w:right w:w="0" w:type="dxa"/>
          </w:tblCellMar>
        </w:tblPrEx>
        <w:trPr>
          <w:trHeight w:val="152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中庭定制数字化沙盘</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1.规格尺寸：4800mm长*3400mm宽*400-800mm高，                                                                                                                                                                                          2.包含定制底座                                                                                                                                                                                                               3.体现剡溪两岸风情的仿真微缩沙盘（仙岩段）                                                                                                                                                                                  4.定制电子交互组件；LED灯带/光纤动态场景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5.触摸屏玻璃面板：集成方式：嵌入沙盘边框，联动GIS数据实时显示海拔等信息。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6.定制暗藏氛围灯条                                                                                                                                                                                                </w:t>
            </w:r>
          </w:p>
        </w:tc>
      </w:tr>
      <w:tr>
        <w:tblPrEx>
          <w:shd w:val="clear" w:color="auto" w:fill="auto"/>
          <w:tblLayout w:type="fixed"/>
          <w:tblCellMar>
            <w:top w:w="0" w:type="dxa"/>
            <w:left w:w="0" w:type="dxa"/>
            <w:bottom w:w="0" w:type="dxa"/>
            <w:right w:w="0" w:type="dxa"/>
          </w:tblCellMar>
        </w:tblPrEx>
        <w:trPr>
          <w:trHeight w:val="1125"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定制吧台+吊眉</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3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1.长度4300mm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2.按设计需求定制，E1级及以上成品定制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3.石材台面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4.吊眉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5.暗藏灯带</w:t>
            </w:r>
          </w:p>
        </w:tc>
      </w:tr>
      <w:tr>
        <w:tblPrEx>
          <w:tblLayout w:type="fixed"/>
          <w:tblCellMar>
            <w:top w:w="0" w:type="dxa"/>
            <w:left w:w="0" w:type="dxa"/>
            <w:bottom w:w="0" w:type="dxa"/>
            <w:right w:w="0" w:type="dxa"/>
          </w:tblCellMar>
        </w:tblPrEx>
        <w:trPr>
          <w:trHeight w:val="78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吧台区装饰柜</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Style w:val="76"/>
                <w:rFonts w:ascii="宋体" w:hAnsi="宋体" w:eastAsia="宋体" w:cs="宋体"/>
                <w:sz w:val="24"/>
                <w:szCs w:val="24"/>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18.30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1.尺寸：6100mm*450mm*3000mm；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2.E1级及以上成品定制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3.暗藏灯带</w:t>
            </w:r>
          </w:p>
        </w:tc>
      </w:tr>
      <w:tr>
        <w:tblPrEx>
          <w:tblLayout w:type="fixed"/>
          <w:tblCellMar>
            <w:top w:w="0" w:type="dxa"/>
            <w:left w:w="0" w:type="dxa"/>
            <w:bottom w:w="0" w:type="dxa"/>
            <w:right w:w="0" w:type="dxa"/>
          </w:tblCellMar>
        </w:tblPrEx>
        <w:trPr>
          <w:trHeight w:val="78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水吧台区域休闲椅子</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1.椅子：450mm长*450mm宽*650～750mm高                                                                                                                                                      2.E1级及以上成品定制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3.定制环保皮质或布艺坐垫</w:t>
            </w:r>
          </w:p>
        </w:tc>
      </w:tr>
      <w:tr>
        <w:tblPrEx>
          <w:shd w:val="clear" w:color="auto" w:fill="auto"/>
          <w:tblLayout w:type="fixed"/>
          <w:tblCellMar>
            <w:top w:w="0" w:type="dxa"/>
            <w:left w:w="0" w:type="dxa"/>
            <w:bottom w:w="0" w:type="dxa"/>
            <w:right w:w="0" w:type="dxa"/>
          </w:tblCellMar>
        </w:tblPrEx>
        <w:trPr>
          <w:trHeight w:val="45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最美会议室桌子</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1.E1级及以上成品定制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2.桌子尺寸：4900mm*1500mm*750~850mm</w:t>
            </w:r>
          </w:p>
        </w:tc>
      </w:tr>
      <w:tr>
        <w:tblPrEx>
          <w:tblLayout w:type="fixed"/>
          <w:tblCellMar>
            <w:top w:w="0" w:type="dxa"/>
            <w:left w:w="0" w:type="dxa"/>
            <w:bottom w:w="0" w:type="dxa"/>
            <w:right w:w="0" w:type="dxa"/>
          </w:tblCellMar>
        </w:tblPrEx>
        <w:trPr>
          <w:trHeight w:val="675"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最美会议室椅子</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1.椅子：450mm长*450mm宽*650～750mm高                                                                                                                                                      2.E1级及以上成品定制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3.定制环保皮质或布艺坐垫</w:t>
            </w:r>
          </w:p>
        </w:tc>
      </w:tr>
      <w:tr>
        <w:tblPrEx>
          <w:shd w:val="clear" w:color="auto" w:fill="auto"/>
          <w:tblLayout w:type="fixed"/>
          <w:tblCellMar>
            <w:top w:w="0" w:type="dxa"/>
            <w:left w:w="0" w:type="dxa"/>
            <w:bottom w:w="0" w:type="dxa"/>
            <w:right w:w="0" w:type="dxa"/>
          </w:tblCellMar>
        </w:tblPrEx>
        <w:trPr>
          <w:trHeight w:val="675"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最美会议室电视机柜</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Style w:val="76"/>
                <w:rFonts w:ascii="宋体" w:hAnsi="宋体" w:eastAsia="宋体" w:cs="宋体"/>
                <w:sz w:val="24"/>
                <w:szCs w:val="24"/>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14.40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1.尺寸：4800mm*3000mm；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2.E1级及以上成品定制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3.不锈钢电视机框</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7-10</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休闲区氛围格栅</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Style w:val="76"/>
                <w:rFonts w:ascii="宋体" w:hAnsi="宋体" w:eastAsia="宋体" w:cs="宋体"/>
                <w:sz w:val="24"/>
                <w:szCs w:val="24"/>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1.E1级及以上成品定制</w:t>
            </w:r>
          </w:p>
        </w:tc>
      </w:tr>
      <w:tr>
        <w:tblPrEx>
          <w:tblLayout w:type="fixed"/>
          <w:tblCellMar>
            <w:top w:w="0" w:type="dxa"/>
            <w:left w:w="0" w:type="dxa"/>
            <w:bottom w:w="0" w:type="dxa"/>
            <w:right w:w="0" w:type="dxa"/>
          </w:tblCellMar>
        </w:tblPrEx>
        <w:trPr>
          <w:trHeight w:val="7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7-11</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休闲区卡座</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1.椅子：12000mm长*800mm宽*350～550mm高                                                                                                                                                      2.E1级及以上成品定制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3.定制环保皮质或布艺坐垫</w:t>
            </w:r>
          </w:p>
        </w:tc>
      </w:tr>
      <w:tr>
        <w:tblPrEx>
          <w:shd w:val="clear" w:color="auto" w:fill="auto"/>
          <w:tblLayout w:type="fixed"/>
          <w:tblCellMar>
            <w:top w:w="0" w:type="dxa"/>
            <w:left w:w="0" w:type="dxa"/>
            <w:bottom w:w="0" w:type="dxa"/>
            <w:right w:w="0" w:type="dxa"/>
          </w:tblCellMar>
        </w:tblPrEx>
        <w:trPr>
          <w:trHeight w:val="7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7-12</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休闲区卡座茶几</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1.沙发：R100mm长，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2.E1级及以上成品定制</w:t>
            </w:r>
          </w:p>
        </w:tc>
      </w:tr>
      <w:tr>
        <w:tblPrEx>
          <w:tblLayout w:type="fixed"/>
          <w:tblCellMar>
            <w:top w:w="0" w:type="dxa"/>
            <w:left w:w="0" w:type="dxa"/>
            <w:bottom w:w="0" w:type="dxa"/>
            <w:right w:w="0" w:type="dxa"/>
          </w:tblCellMar>
        </w:tblPrEx>
        <w:trPr>
          <w:trHeight w:val="7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7-13</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定制电井暗门</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1.尺寸：850mm长*40mm宽*2200高                                                 2.定制环保等级≥E1级实木多层板门体                                            3.定制环保等级≥E1级实木多层免漆板门面</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定制成品门（单开）</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1.尺寸：950mm长*40mm宽*2500mm高                                                 2.定制环保等级≥E1级实木多层板门体                                            3.定制环保等级≥E1级实木多层免漆板门面</w:t>
            </w:r>
          </w:p>
        </w:tc>
      </w:tr>
      <w:tr>
        <w:tblPrEx>
          <w:tblLayout w:type="fixed"/>
          <w:tblCellMar>
            <w:top w:w="0" w:type="dxa"/>
            <w:left w:w="0" w:type="dxa"/>
            <w:bottom w:w="0" w:type="dxa"/>
            <w:right w:w="0" w:type="dxa"/>
          </w:tblCellMar>
        </w:tblPrEx>
        <w:trPr>
          <w:trHeight w:val="10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7-15</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定制玻璃门（双开）</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1.尺寸：1000mm长*40mm宽*2500mm高                                                                                                                                                  2.预埋静音地弹簧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3.定制黑钛金包边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4.10mm钢化玻璃</w:t>
            </w:r>
          </w:p>
        </w:tc>
      </w:tr>
      <w:tr>
        <w:tblPrEx>
          <w:shd w:val="clear" w:color="auto" w:fill="auto"/>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7-16</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定制门禁系统</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门禁（防水+指纹+密码+刷卡+考勤+小程序）</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7-17</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锁具及五金</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1.双孔门锁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2.静音合页及门吸</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7-18</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定制艺术纱帘</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定制艺术纱帘，按展开面积计算</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7-19</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定制百叶</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按展开面积计算</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窗帘普通轨道</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定制静音轨道</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7-21</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断桥中空玻璃窗</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Style w:val="76"/>
                <w:rFonts w:ascii="宋体" w:hAnsi="宋体" w:eastAsia="宋体" w:cs="宋体"/>
                <w:sz w:val="24"/>
                <w:szCs w:val="24"/>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按展开面积计算</w:t>
            </w:r>
          </w:p>
        </w:tc>
      </w:tr>
      <w:tr>
        <w:tblPrEx>
          <w:tblLayout w:type="fixed"/>
          <w:tblCellMar>
            <w:top w:w="0" w:type="dxa"/>
            <w:left w:w="0" w:type="dxa"/>
            <w:bottom w:w="0" w:type="dxa"/>
            <w:right w:w="0" w:type="dxa"/>
          </w:tblCellMar>
        </w:tblPrEx>
        <w:trPr>
          <w:trHeight w:val="439" w:hRule="atLeast"/>
        </w:trPr>
        <w:tc>
          <w:tcPr>
            <w:tcW w:w="8722" w:type="dxa"/>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八、二层定制门、隔断、家具及集成系统</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多功能会议室培训桌</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1.桌子：1200mm长*400mm宽*750～800mm高                                                                     3.定制环保等级≥E1级实木多层免漆板培训桌                                                     4.定制金属脚</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多功能会议室培训椅子</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1.尺寸：560mm长*500mm宽*650～750mm高</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2.定制环保等级≥E1级实木框架椅子</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水吧区茶水柜</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6.30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1.尺寸：5300mm长*800mm宽*1000mm高                                                           2.定制环保等级≥E1级实木多层免漆板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3.石英石台面</w:t>
            </w:r>
          </w:p>
        </w:tc>
      </w:tr>
      <w:tr>
        <w:tblPrEx>
          <w:tblLayout w:type="fixed"/>
          <w:tblCellMar>
            <w:top w:w="0" w:type="dxa"/>
            <w:left w:w="0" w:type="dxa"/>
            <w:bottom w:w="0" w:type="dxa"/>
            <w:right w:w="0" w:type="dxa"/>
          </w:tblCellMar>
        </w:tblPrEx>
        <w:trPr>
          <w:trHeight w:val="1125"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休闲区三层阶梯</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1.E1级及以上成品定制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2.定制环保皮质或布艺坐垫</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3.暗藏灯光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4.局部石材台阶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5.加固钢架基层</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水吧区大板桌</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1.E1级及以上成品定制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2.定制环保皮质或布艺坐垫</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水吧区椅子</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1.椅子：450mm长*450mm宽*650～750mm高                                                                                                                                                      2.E1级及以上成品定制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3.定制环保皮质或布艺坐垫</w:t>
            </w:r>
          </w:p>
        </w:tc>
      </w:tr>
      <w:tr>
        <w:tblPrEx>
          <w:shd w:val="clear" w:color="auto" w:fill="auto"/>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休闲区独立卡座</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1.尺寸：13000mm长*800mm宽*1000mm高                                                           2.定制环保等级≥E1级实木多层免漆板</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休闲区壁炉</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1.烟道排布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2.进口玻璃，耐温耐火防爆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3.黑色钢板主体</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休闲区靠墙书柜</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Style w:val="76"/>
                <w:rFonts w:ascii="宋体" w:hAnsi="宋体" w:eastAsia="宋体" w:cs="宋体"/>
                <w:sz w:val="24"/>
                <w:szCs w:val="24"/>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7.5</w:t>
            </w:r>
            <w:r>
              <w:rPr>
                <w:rFonts w:hint="eastAsia" w:ascii="宋体" w:hAnsi="宋体" w:eastAsia="宋体" w:cs="宋体"/>
                <w:i w:val="0"/>
                <w:color w:val="000000"/>
                <w:kern w:val="0"/>
                <w:sz w:val="18"/>
                <w:szCs w:val="18"/>
                <w:u w:val="none"/>
                <w:lang w:val="en-US" w:eastAsia="zh-CN" w:bidi="ar"/>
              </w:rPr>
              <w:t xml:space="preserve">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1.尺寸：3000mm长*350mm宽*2500mm高                                                           2.定制环保等级≥E1级实木多层免漆板</w:t>
            </w:r>
            <w:r>
              <w:rPr>
                <w:rFonts w:hint="eastAsia" w:ascii="宋体" w:hAnsi="宋体" w:eastAsia="宋体" w:cs="宋体"/>
                <w:i w:val="0"/>
                <w:color w:val="000000"/>
                <w:sz w:val="18"/>
                <w:szCs w:val="18"/>
                <w:u w:val="none"/>
                <w:lang w:val="en-US" w:eastAsia="zh-CN"/>
              </w:rPr>
              <w:br w:type="textWrapping"/>
            </w:r>
            <w:r>
              <w:rPr>
                <w:rFonts w:hint="eastAsia" w:ascii="宋体" w:hAnsi="宋体" w:eastAsia="宋体" w:cs="宋体"/>
                <w:i w:val="0"/>
                <w:color w:val="000000"/>
                <w:sz w:val="18"/>
                <w:szCs w:val="18"/>
                <w:u w:val="none"/>
                <w:lang w:val="en-US" w:eastAsia="zh-CN"/>
              </w:rPr>
              <w:t>3.定制灯光</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8-10</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领导接待室沙发及茶水柜</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1.定制环保等级≥E1级实木多层免漆板柜体                                        2.定制环保等级≥E1级实木多层免漆板门板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3.定制环保皮质或布艺坐垫</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8-11</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运营办公室柜子</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Style w:val="76"/>
                <w:rFonts w:ascii="宋体" w:hAnsi="宋体" w:eastAsia="宋体" w:cs="宋体"/>
                <w:sz w:val="24"/>
                <w:szCs w:val="24"/>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1.定制环保等级≥E1级实木多层免漆板柜体                                        2.定制环保等级≥E1级实木多层免漆板门板</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8-12</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运营办公室一桌一椅</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1.桌子：1400mm长*600mm宽*750～800mm高                                                                                                                                                      2.定制环保等级≥E1级实木多层免漆板办公桌                                                                                                                                                3.定制定制金属脚</w:t>
            </w:r>
          </w:p>
        </w:tc>
      </w:tr>
      <w:tr>
        <w:tblPrEx>
          <w:shd w:val="clear" w:color="auto" w:fill="auto"/>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8-13</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定制成品门（双开）</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1.尺寸：1800mm长*40mm宽*2100高                                                 2.定制环保等级≥E1级实木多层板门体                                            3.定制环保等级≥E1级实木多层免漆板门面</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8-14</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定制成品门（单开）</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1.尺寸：850mm长*40mm宽*2100高                                                 2.定制环保等级≥E1级实木多层板门体                                            3.定制环保等级≥E1级实木多层免漆板门面</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8-15</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定制电井暗门</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1.尺寸：850mm长*40mm宽*2200高                                                 2.定制环保等级≥E1级实木多层板门体                                            3.定制环保等级≥E1级实木多层免漆板门面</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8-16</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锁具及五金</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1.双孔门锁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2.静音合页及门吸</w:t>
            </w:r>
          </w:p>
        </w:tc>
      </w:tr>
      <w:tr>
        <w:tblPrEx>
          <w:tblLayout w:type="fixed"/>
          <w:tblCellMar>
            <w:top w:w="0" w:type="dxa"/>
            <w:left w:w="0" w:type="dxa"/>
            <w:bottom w:w="0" w:type="dxa"/>
            <w:right w:w="0" w:type="dxa"/>
          </w:tblCellMar>
        </w:tblPrEx>
        <w:trPr>
          <w:trHeight w:val="106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8-17</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玻璃隔断</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Style w:val="76"/>
                <w:rFonts w:ascii="宋体" w:hAnsi="宋体" w:eastAsia="宋体" w:cs="宋体"/>
                <w:sz w:val="24"/>
                <w:szCs w:val="24"/>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1.上下环保阻燃板基层（内夹玻璃）                                                               2.定制异形或造型处用九厘板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3.定制黑钛金包边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4.10mm钢化玻璃</w:t>
            </w:r>
          </w:p>
        </w:tc>
      </w:tr>
      <w:tr>
        <w:tblPrEx>
          <w:tblLayout w:type="fixed"/>
          <w:tblCellMar>
            <w:top w:w="0" w:type="dxa"/>
            <w:left w:w="0" w:type="dxa"/>
            <w:bottom w:w="0" w:type="dxa"/>
            <w:right w:w="0" w:type="dxa"/>
          </w:tblCellMar>
        </w:tblPrEx>
        <w:trPr>
          <w:trHeight w:val="10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8-18</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定制玻璃门（单开）</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1.尺寸：1000mm长*40mm宽*2500mm高                                                                                                                                                  2.预埋静音地弹簧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3.定制黑钛金包边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4.10mm钢化玻璃</w:t>
            </w:r>
          </w:p>
        </w:tc>
      </w:tr>
      <w:tr>
        <w:tblPrEx>
          <w:shd w:val="clear" w:color="auto" w:fill="auto"/>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8-19</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定制艺术窗帘</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47.00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定制遮光窗帘，按展开面积计算</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8-20</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定制艺术纱帘</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94.00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定制艺术纱帘，按展开面积计算</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8-21</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窗帘普通轨道</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141.00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定制静音轨道</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8-22</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定制异形栏杆扶手</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1.尺寸：1200mm高</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2.木饰面装饰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3.定制环保等级≥E1级</w:t>
            </w:r>
          </w:p>
        </w:tc>
      </w:tr>
      <w:tr>
        <w:tblPrEx>
          <w:tblLayout w:type="fixed"/>
          <w:tblCellMar>
            <w:top w:w="0" w:type="dxa"/>
            <w:left w:w="0" w:type="dxa"/>
            <w:bottom w:w="0" w:type="dxa"/>
            <w:right w:w="0" w:type="dxa"/>
          </w:tblCellMar>
        </w:tblPrEx>
        <w:trPr>
          <w:trHeight w:val="439" w:hRule="atLeast"/>
        </w:trPr>
        <w:tc>
          <w:tcPr>
            <w:tcW w:w="8722" w:type="dxa"/>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九、墙顶面油漆</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w:t>
            </w:r>
          </w:p>
        </w:tc>
        <w:tc>
          <w:tcPr>
            <w:tcW w:w="2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披刮墙顶面腻子</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墙面基层清理干净，含腻子批嵌、打磨</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2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披刮墙顶面腻子乳胶漆</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2980.00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墙面基层清理干净，含腻子批嵌、打磨、1道底涂、2道面涂</w:t>
            </w:r>
          </w:p>
        </w:tc>
      </w:tr>
      <w:tr>
        <w:tblPrEx>
          <w:tblLayout w:type="fixed"/>
          <w:tblCellMar>
            <w:top w:w="0" w:type="dxa"/>
            <w:left w:w="0" w:type="dxa"/>
            <w:bottom w:w="0" w:type="dxa"/>
            <w:right w:w="0" w:type="dxa"/>
          </w:tblCellMar>
        </w:tblPrEx>
        <w:trPr>
          <w:trHeight w:val="439" w:hRule="atLeast"/>
        </w:trPr>
        <w:tc>
          <w:tcPr>
            <w:tcW w:w="8722" w:type="dxa"/>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十、智能化强弱电及水系统布置</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数字化强弱电铺管穿线</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1300.00 </w:t>
            </w:r>
          </w:p>
        </w:tc>
        <w:tc>
          <w:tcPr>
            <w:tcW w:w="43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强电：国标电线，弱电：六类千兆网线（按建筑面积计算）。</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w:t>
            </w:r>
          </w:p>
        </w:tc>
        <w:tc>
          <w:tcPr>
            <w:tcW w:w="2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数字化强弱电箱及空开漏保</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 </w:t>
            </w:r>
          </w:p>
        </w:tc>
        <w:tc>
          <w:tcPr>
            <w:tcW w:w="43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国标电箱及空开</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w:t>
            </w:r>
          </w:p>
        </w:tc>
        <w:tc>
          <w:tcPr>
            <w:tcW w:w="2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数字化电缆总线（50平方进线）</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国标4芯50平方</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水电墙地面开槽</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墙地面开槽</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给排水点位</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台盆区，水吧需要接给排水点位</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卫生间给排水增加</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间</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数字化开关面板插座</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3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根据设计需求定制（定制个性化开关面板插座）</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数字化照明电器</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根据设计需求定制（含筒灯；射灯；艺术吊灯；灯带）</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w:t>
            </w:r>
          </w:p>
        </w:tc>
        <w:tc>
          <w:tcPr>
            <w:tcW w:w="2457"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全自动一体感应小便器</w:t>
            </w:r>
          </w:p>
        </w:tc>
        <w:tc>
          <w:tcPr>
            <w:tcW w:w="720"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43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挂墙式悬空全自动一体感应小便器</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w:t>
            </w:r>
          </w:p>
        </w:tc>
        <w:tc>
          <w:tcPr>
            <w:tcW w:w="2457"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小便池助残扶手配件</w:t>
            </w:r>
          </w:p>
        </w:tc>
        <w:tc>
          <w:tcPr>
            <w:tcW w:w="720"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3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成品配件及安装</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10-11</w:t>
            </w:r>
          </w:p>
        </w:tc>
        <w:tc>
          <w:tcPr>
            <w:tcW w:w="2457"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小便斗隔断</w:t>
            </w:r>
          </w:p>
        </w:tc>
        <w:tc>
          <w:tcPr>
            <w:tcW w:w="720"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18mm抗倍特板，按设计需求定制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环保等级≥E1级标准</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10-12</w:t>
            </w:r>
          </w:p>
        </w:tc>
        <w:tc>
          <w:tcPr>
            <w:tcW w:w="2457"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蹲便器+玻璃水箱</w:t>
            </w:r>
          </w:p>
        </w:tc>
        <w:tc>
          <w:tcPr>
            <w:tcW w:w="720"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43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后排带弯蹲便+玻璃水箱</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10-13</w:t>
            </w:r>
          </w:p>
        </w:tc>
        <w:tc>
          <w:tcPr>
            <w:tcW w:w="2457"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预埋蹲坑</w:t>
            </w:r>
          </w:p>
        </w:tc>
        <w:tc>
          <w:tcPr>
            <w:tcW w:w="720"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43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地面预埋</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10-14</w:t>
            </w:r>
          </w:p>
        </w:tc>
        <w:tc>
          <w:tcPr>
            <w:tcW w:w="2457"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助残马桶，含扶手配件</w:t>
            </w:r>
          </w:p>
        </w:tc>
        <w:tc>
          <w:tcPr>
            <w:tcW w:w="720"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43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含辅料及安装</w:t>
            </w:r>
          </w:p>
        </w:tc>
      </w:tr>
      <w:tr>
        <w:tblPrEx>
          <w:tblLayout w:type="fixed"/>
          <w:tblCellMar>
            <w:top w:w="0" w:type="dxa"/>
            <w:left w:w="0" w:type="dxa"/>
            <w:bottom w:w="0" w:type="dxa"/>
            <w:right w:w="0" w:type="dxa"/>
          </w:tblCellMar>
        </w:tblPrEx>
        <w:trPr>
          <w:trHeight w:val="75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10-15</w:t>
            </w:r>
          </w:p>
        </w:tc>
        <w:tc>
          <w:tcPr>
            <w:tcW w:w="2457"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拖把池</w:t>
            </w:r>
          </w:p>
        </w:tc>
        <w:tc>
          <w:tcPr>
            <w:tcW w:w="720"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43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含龙头及配件</w:t>
            </w:r>
          </w:p>
        </w:tc>
      </w:tr>
      <w:tr>
        <w:tblPrEx>
          <w:tblLayout w:type="fixed"/>
          <w:tblCellMar>
            <w:top w:w="0" w:type="dxa"/>
            <w:left w:w="0" w:type="dxa"/>
            <w:bottom w:w="0" w:type="dxa"/>
            <w:right w:w="0" w:type="dxa"/>
          </w:tblCellMar>
        </w:tblPrEx>
        <w:trPr>
          <w:trHeight w:val="10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10-16</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一楼定制台盆柜</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1.台盆柜尺寸：6600mm长*600mm宽*400高，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2.定制15mm厚石材台面，外挂40mm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3.不锈钢一体化水槽</w:t>
            </w:r>
          </w:p>
        </w:tc>
      </w:tr>
      <w:tr>
        <w:tblPrEx>
          <w:tblLayout w:type="fixed"/>
          <w:tblCellMar>
            <w:top w:w="0" w:type="dxa"/>
            <w:left w:w="0" w:type="dxa"/>
            <w:bottom w:w="0" w:type="dxa"/>
            <w:right w:w="0" w:type="dxa"/>
          </w:tblCellMar>
        </w:tblPrEx>
        <w:trPr>
          <w:trHeight w:val="305"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10-17</w:t>
            </w:r>
          </w:p>
        </w:tc>
        <w:tc>
          <w:tcPr>
            <w:tcW w:w="2457" w:type="dxa"/>
            <w:tcBorders>
              <w:top w:val="single" w:color="000000" w:sz="4" w:space="0"/>
              <w:left w:val="single" w:color="000000" w:sz="4" w:space="0"/>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一楼定制龙头</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龙头及配件</w:t>
            </w:r>
          </w:p>
        </w:tc>
      </w:tr>
      <w:tr>
        <w:tblPrEx>
          <w:tblLayout w:type="fixed"/>
          <w:tblCellMar>
            <w:top w:w="0" w:type="dxa"/>
            <w:left w:w="0" w:type="dxa"/>
            <w:bottom w:w="0" w:type="dxa"/>
            <w:right w:w="0" w:type="dxa"/>
          </w:tblCellMar>
        </w:tblPrEx>
        <w:trPr>
          <w:trHeight w:val="10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10-18</w:t>
            </w:r>
          </w:p>
        </w:tc>
        <w:tc>
          <w:tcPr>
            <w:tcW w:w="2457" w:type="dxa"/>
            <w:tcBorders>
              <w:top w:val="single" w:color="000000" w:sz="4" w:space="0"/>
              <w:left w:val="single" w:color="000000" w:sz="4" w:space="0"/>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二楼定制台盆柜</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1.台盆柜尺寸：400mm长*600mm宽*800高，                                                                                          2.定制15mm厚石材台面，外挂40mm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3.定制环保等级≥E1级实木多层免漆板柜体                                        4.定制环保等级≥E1级实木多层免漆板门板</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10-19</w:t>
            </w:r>
          </w:p>
        </w:tc>
        <w:tc>
          <w:tcPr>
            <w:tcW w:w="2457"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台盆及龙头</w:t>
            </w:r>
          </w:p>
        </w:tc>
        <w:tc>
          <w:tcPr>
            <w:tcW w:w="720"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43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含台盆、龙头及配件</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10-20</w:t>
            </w:r>
          </w:p>
        </w:tc>
        <w:tc>
          <w:tcPr>
            <w:tcW w:w="2457"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卫生间小五金安装</w:t>
            </w:r>
          </w:p>
        </w:tc>
        <w:tc>
          <w:tcPr>
            <w:tcW w:w="720"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43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门锁，合页，地漏，阀门等</w:t>
            </w:r>
          </w:p>
        </w:tc>
      </w:tr>
      <w:tr>
        <w:tblPrEx>
          <w:tblLayout w:type="fixed"/>
          <w:tblCellMar>
            <w:top w:w="0" w:type="dxa"/>
            <w:left w:w="0" w:type="dxa"/>
            <w:bottom w:w="0" w:type="dxa"/>
            <w:right w:w="0" w:type="dxa"/>
          </w:tblCellMar>
        </w:tblPrEx>
        <w:trPr>
          <w:trHeight w:val="8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10-21</w:t>
            </w:r>
          </w:p>
        </w:tc>
        <w:tc>
          <w:tcPr>
            <w:tcW w:w="2457"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成品卫生间隔断，18MM抗倍特板（选样）</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98.00</w:t>
            </w:r>
          </w:p>
        </w:tc>
        <w:tc>
          <w:tcPr>
            <w:tcW w:w="43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18MM抗倍特板</w:t>
            </w:r>
          </w:p>
        </w:tc>
      </w:tr>
      <w:tr>
        <w:tblPrEx>
          <w:tblLayout w:type="fixed"/>
          <w:tblCellMar>
            <w:top w:w="0" w:type="dxa"/>
            <w:left w:w="0" w:type="dxa"/>
            <w:bottom w:w="0" w:type="dxa"/>
            <w:right w:w="0" w:type="dxa"/>
          </w:tblCellMar>
        </w:tblPrEx>
        <w:trPr>
          <w:trHeight w:val="63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10-22</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一楼中庭+二楼会议室LED显示屏</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1、▲像素点间距≤2.0mm（提供由CMA、CNAS、ILAC-MRA认证的第三方专业机构出具的检测报告复印件并加盖原厂公章）</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2、▲整屏平整度≤0.04mm，模组平整度≤0.03mm，拼接缝≤0.03mm（提供由CMA、CNAS、ILAC-MRA认证的第三方专业机构出具的检测报告复印件并加盖原厂公章）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3、亮度≥600Cd/m²</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4、亮度均匀性≥99%</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5、▲色温1000-20000K（提供由CMA、CNAS、ILAC-MRA认证的第三方专业机构出具的检测报告复印件并加盖原厂公章）</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6、▲刷新率达到≥4200Hz，对比度≥11500：1（提供由CMA、CNAS、ILAC-MRA认证的第三方专业机构出具的检测报告复印件并加盖原厂公章）</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7、像素失控率&lt;0.01%</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8、▲发光点中心偏距＜0.8%，反光率≤1%，衰减率≤10%（工作3年）（提供由CMA、CNAS、ILAC-MRA认证的第三方专业机构出具的检测报告复印件并加盖原厂公章）</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9、画面延时≤500ns（纳秒级）</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10、噪声1m范围内，测试4个位置（前后左右）噪音＜1.5dB，信噪比≥47dB</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11、峰值功耗≤240W/m² 平均功耗≤80W/m²（提供由CMA、CNAS、ILAC-MRA认证的第三方专业机构出具的检测报告复印件并加盖原厂公章）</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12、漏电流≤0.1mA</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13、▲能源效率≥3cd/W，睡眠功率≤30W/m²（提供由CMA、CNAS、ILAC-MRA认证的第三方专业机构出具的检测报告复印件并加盖原厂公章）</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14、机械强度≥30Mpa，抗拉强度≥230Mpa，屈服强度≥170Mpa</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15、▲5000米海拔环境下，产品可以正常运行无障碍。（提供由CMA、CNAS、ILAC-MRA认证的第三方专业机构出具的检测报告复印件并加盖原厂公章）</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防信号远程窃密技术，具有良好的抗还原性能，具有良好的覆盖性，实现无缝干扰，覆盖范围广，抑制传导辐射，对视频信息无二次转发于加强作用（提供由CMA、CNAS、ILAC-MRA认证的第三方专业机构出具的检测报告复印件并加盖原厂公章）</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发光芯片和印制板采用环氧树脂密封，处于绝缘环境，防止静电损伤，与空气完全隔绝，防止屏体氧化，外物碰撞不会对屏体产生影响。（提供由CMA、CNAS、ILAC-MRA认证的第三方专业机构出具的检测报告复印件并加盖原厂公章）</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18、▲信息传输线符合YD/T 1019-2013 《数字通信用聚烯烃绝缘水平对绞电缆》标准，时延差应符合≤45ns/100m的技术要求，最大相时延应符合≤534+36/f½  ns/100m的技术要求，特性阻抗应符合100±15Ω（提供相应证明文件复印件加盖制造厂商公章）</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19、▲LED显示屏制造厂商满足“国家认定的企业技术中心”同等资质实力（提供相应证明文件复印件加盖制造厂商公章）</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▲LED显示屏生产制造商具备良好的绿色制造体系，其绿色制造能力符合国家绿色工厂要求（提供证明文件复印件并加盖制造厂商公章）</w:t>
            </w:r>
          </w:p>
        </w:tc>
      </w:tr>
      <w:tr>
        <w:tblPrEx>
          <w:tblLayout w:type="fixed"/>
          <w:tblCellMar>
            <w:top w:w="0" w:type="dxa"/>
            <w:left w:w="0" w:type="dxa"/>
            <w:bottom w:w="0" w:type="dxa"/>
            <w:right w:w="0" w:type="dxa"/>
          </w:tblCellMar>
        </w:tblPrEx>
        <w:trPr>
          <w:trHeight w:val="675"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10-23</w:t>
            </w:r>
          </w:p>
        </w:tc>
        <w:tc>
          <w:tcPr>
            <w:tcW w:w="2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视频处理器</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1U机箱，支持 DVI、HDMI、USB信号输入，支持 4096 x 2160@60Hz 超高清信号采集，520万像素带载，8网口输出、2光口输出；最高8192像素、最宽8192像素；支持3图层画面窗口任意布局；</w:t>
            </w:r>
          </w:p>
        </w:tc>
      </w:tr>
      <w:tr>
        <w:tblPrEx>
          <w:tblLayout w:type="fixed"/>
          <w:tblCellMar>
            <w:top w:w="0" w:type="dxa"/>
            <w:left w:w="0" w:type="dxa"/>
            <w:bottom w:w="0" w:type="dxa"/>
            <w:right w:w="0" w:type="dxa"/>
          </w:tblCellMar>
        </w:tblPrEx>
        <w:trPr>
          <w:trHeight w:val="266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10-24</w:t>
            </w:r>
          </w:p>
        </w:tc>
        <w:tc>
          <w:tcPr>
            <w:tcW w:w="2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专业会议前主箱12寸</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3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15MM进口高密度板材；防锈钢网；频率响应：40Hz-21KHz（-3dB）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灵敏度：102dB(1M/1W)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最大声压级：136dB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标称阻抗：8</w:t>
            </w:r>
            <w:r>
              <w:rPr>
                <w:rFonts w:ascii="Calibri" w:hAnsi="Calibri" w:eastAsia="宋体" w:cs="Calibri"/>
                <w:i w:val="0"/>
                <w:color w:val="000000"/>
                <w:kern w:val="0"/>
                <w:sz w:val="18"/>
                <w:szCs w:val="18"/>
                <w:u w:val="none"/>
                <w:lang w:val="en-US" w:eastAsia="zh-CN" w:bidi="ar"/>
              </w:rPr>
              <w:t>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低频单元：1x12"(180磁75芯）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高频单元：1x1.3"（46芯）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额定功率：480W（AES）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最大功率：1300w（PROG）</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指向性：90°(H)x40°(V)(-6dB)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连接插口：2Neutrik NL4MP connectors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分频点：1.8KHz</w:t>
            </w:r>
          </w:p>
        </w:tc>
      </w:tr>
      <w:tr>
        <w:tblPrEx>
          <w:tblLayout w:type="fixed"/>
          <w:tblCellMar>
            <w:top w:w="0" w:type="dxa"/>
            <w:left w:w="0" w:type="dxa"/>
            <w:bottom w:w="0" w:type="dxa"/>
            <w:right w:w="0" w:type="dxa"/>
          </w:tblCellMar>
        </w:tblPrEx>
        <w:trPr>
          <w:trHeight w:val="306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10-25</w:t>
            </w:r>
          </w:p>
        </w:tc>
        <w:tc>
          <w:tcPr>
            <w:tcW w:w="2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专业会议后辅箱10寸</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3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15MM进口高密度板材；防锈钢网；频率响应：40Hz-21KHz（-3dB）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灵敏度：102dB(1M/1W)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最大声压级：136dB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标称阻抗：8</w:t>
            </w:r>
            <w:r>
              <w:rPr>
                <w:rFonts w:ascii="Calibri" w:hAnsi="Calibri" w:eastAsia="宋体" w:cs="Calibri"/>
                <w:i w:val="0"/>
                <w:color w:val="000000"/>
                <w:kern w:val="0"/>
                <w:sz w:val="18"/>
                <w:szCs w:val="18"/>
                <w:u w:val="none"/>
                <w:lang w:val="en-US" w:eastAsia="zh-CN" w:bidi="ar"/>
              </w:rPr>
              <w:t>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低频单元：1x12"(180磁75芯）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高频单元：1x1.3"（46芯）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额定功率：400W（AES）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最大功率：900w（PROG）</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指向性：90°(H)x40°(V)(-6dB)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连接插口：2Neutrik NL4MP connectors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分频点：1.8KHz</w:t>
            </w:r>
          </w:p>
        </w:tc>
      </w:tr>
      <w:tr>
        <w:tblPrEx>
          <w:tblLayout w:type="fixed"/>
          <w:tblCellMar>
            <w:top w:w="0" w:type="dxa"/>
            <w:left w:w="0" w:type="dxa"/>
            <w:bottom w:w="0" w:type="dxa"/>
            <w:right w:w="0" w:type="dxa"/>
          </w:tblCellMar>
        </w:tblPrEx>
        <w:trPr>
          <w:trHeight w:val="207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10-26</w:t>
            </w:r>
          </w:p>
        </w:tc>
        <w:tc>
          <w:tcPr>
            <w:tcW w:w="2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专业级前主功放</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3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立体声双声道模式（8</w:t>
            </w:r>
            <w:r>
              <w:rPr>
                <w:rFonts w:ascii="Calibri" w:hAnsi="Calibri" w:eastAsia="宋体" w:cs="Calibri"/>
                <w:i w:val="0"/>
                <w:color w:val="000000"/>
                <w:kern w:val="0"/>
                <w:sz w:val="18"/>
                <w:szCs w:val="18"/>
                <w:u w:val="none"/>
                <w:lang w:val="en-US" w:eastAsia="zh-CN" w:bidi="ar"/>
              </w:rPr>
              <w:t>Ω</w:t>
            </w:r>
            <w:r>
              <w:rPr>
                <w:rFonts w:hint="eastAsia" w:ascii="宋体" w:hAnsi="宋体" w:eastAsia="宋体" w:cs="宋体"/>
                <w:i w:val="0"/>
                <w:color w:val="000000"/>
                <w:kern w:val="0"/>
                <w:sz w:val="18"/>
                <w:szCs w:val="18"/>
                <w:u w:val="none"/>
                <w:lang w:val="en-US" w:eastAsia="zh-CN" w:bidi="ar"/>
              </w:rPr>
              <w:t>/通道）：2*500W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桥接：1000W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峰值:1000W*2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阻抗8</w:t>
            </w:r>
            <w:r>
              <w:rPr>
                <w:rFonts w:ascii="Calibri" w:hAnsi="Calibri" w:eastAsia="宋体" w:cs="Calibri"/>
                <w:i w:val="0"/>
                <w:color w:val="000000"/>
                <w:kern w:val="0"/>
                <w:sz w:val="18"/>
                <w:szCs w:val="18"/>
                <w:u w:val="none"/>
                <w:lang w:val="en-US" w:eastAsia="zh-CN" w:bidi="ar"/>
              </w:rPr>
              <w:t>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频率响应：20hZ-20KHz±0.5db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输入灵敏度：0.77V：1V：1.5V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总谐波失真：&lt;0.5%1KHz 8</w:t>
            </w:r>
            <w:r>
              <w:rPr>
                <w:rFonts w:ascii="Calibri" w:hAnsi="Calibri" w:eastAsia="宋体" w:cs="Calibri"/>
                <w:i w:val="0"/>
                <w:color w:val="000000"/>
                <w:kern w:val="0"/>
                <w:sz w:val="18"/>
                <w:szCs w:val="18"/>
                <w:u w:val="none"/>
                <w:lang w:val="en-US" w:eastAsia="zh-CN" w:bidi="ar"/>
              </w:rPr>
              <w:t>Ω</w:t>
            </w:r>
            <w:r>
              <w:rPr>
                <w:rFonts w:hint="eastAsia" w:ascii="宋体" w:hAnsi="宋体" w:eastAsia="宋体" w:cs="宋体"/>
                <w:i w:val="0"/>
                <w:color w:val="000000"/>
                <w:kern w:val="0"/>
                <w:sz w:val="18"/>
                <w:szCs w:val="18"/>
                <w:u w:val="none"/>
                <w:lang w:val="en-US" w:eastAsia="zh-CN" w:bidi="ar"/>
              </w:rPr>
              <w:t xml:space="preserve"> 1/3Rateb power</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信噪比： 》94dB  额定电源：220V-50Hz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保护方式：功率保护、温度功率控制、功放输出短路、过载保护、输出直流保护</w:t>
            </w:r>
          </w:p>
        </w:tc>
      </w:tr>
      <w:tr>
        <w:tblPrEx>
          <w:tblLayout w:type="fixed"/>
          <w:tblCellMar>
            <w:top w:w="0" w:type="dxa"/>
            <w:left w:w="0" w:type="dxa"/>
            <w:bottom w:w="0" w:type="dxa"/>
            <w:right w:w="0" w:type="dxa"/>
          </w:tblCellMar>
        </w:tblPrEx>
        <w:trPr>
          <w:trHeight w:val="207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10-27</w:t>
            </w:r>
          </w:p>
        </w:tc>
        <w:tc>
          <w:tcPr>
            <w:tcW w:w="2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专业级后辅功放</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3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立体声双声道模式（8</w:t>
            </w:r>
            <w:r>
              <w:rPr>
                <w:rFonts w:ascii="Calibri" w:hAnsi="Calibri" w:eastAsia="宋体" w:cs="Calibri"/>
                <w:i w:val="0"/>
                <w:color w:val="000000"/>
                <w:kern w:val="0"/>
                <w:sz w:val="18"/>
                <w:szCs w:val="18"/>
                <w:u w:val="none"/>
                <w:lang w:val="en-US" w:eastAsia="zh-CN" w:bidi="ar"/>
              </w:rPr>
              <w:t>Ω</w:t>
            </w:r>
            <w:r>
              <w:rPr>
                <w:rFonts w:hint="eastAsia" w:ascii="宋体" w:hAnsi="宋体" w:eastAsia="宋体" w:cs="宋体"/>
                <w:i w:val="0"/>
                <w:color w:val="000000"/>
                <w:kern w:val="0"/>
                <w:sz w:val="18"/>
                <w:szCs w:val="18"/>
                <w:u w:val="none"/>
                <w:lang w:val="en-US" w:eastAsia="zh-CN" w:bidi="ar"/>
              </w:rPr>
              <w:t>/通道）：2*350W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桥接：700W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峰值:1000W*2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阻抗8</w:t>
            </w:r>
            <w:r>
              <w:rPr>
                <w:rFonts w:ascii="Calibri" w:hAnsi="Calibri" w:eastAsia="宋体" w:cs="Calibri"/>
                <w:i w:val="0"/>
                <w:color w:val="000000"/>
                <w:kern w:val="0"/>
                <w:sz w:val="18"/>
                <w:szCs w:val="18"/>
                <w:u w:val="none"/>
                <w:lang w:val="en-US" w:eastAsia="zh-CN" w:bidi="ar"/>
              </w:rPr>
              <w:t>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频率响应：20hZ-20KHz±0.5db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输入灵敏度：0.77V：1V：1.5V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总谐波失真：&lt;0.5%1KHz 8</w:t>
            </w:r>
            <w:r>
              <w:rPr>
                <w:rFonts w:ascii="Calibri" w:hAnsi="Calibri" w:eastAsia="宋体" w:cs="Calibri"/>
                <w:i w:val="0"/>
                <w:color w:val="000000"/>
                <w:kern w:val="0"/>
                <w:sz w:val="18"/>
                <w:szCs w:val="18"/>
                <w:u w:val="none"/>
                <w:lang w:val="en-US" w:eastAsia="zh-CN" w:bidi="ar"/>
              </w:rPr>
              <w:t>Ω</w:t>
            </w:r>
            <w:r>
              <w:rPr>
                <w:rFonts w:hint="eastAsia" w:ascii="宋体" w:hAnsi="宋体" w:eastAsia="宋体" w:cs="宋体"/>
                <w:i w:val="0"/>
                <w:color w:val="000000"/>
                <w:kern w:val="0"/>
                <w:sz w:val="18"/>
                <w:szCs w:val="18"/>
                <w:u w:val="none"/>
                <w:lang w:val="en-US" w:eastAsia="zh-CN" w:bidi="ar"/>
              </w:rPr>
              <w:t xml:space="preserve"> 1/3Rateb power</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信噪比： 》94dB  额定电源：220V-50Hz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保护方式：功率保护、温度功率控制、功放输出短路、过载保护、输出直流保护</w:t>
            </w:r>
          </w:p>
        </w:tc>
      </w:tr>
      <w:tr>
        <w:tblPrEx>
          <w:tblLayout w:type="fixed"/>
          <w:tblCellMar>
            <w:top w:w="0" w:type="dxa"/>
            <w:left w:w="0" w:type="dxa"/>
            <w:bottom w:w="0" w:type="dxa"/>
            <w:right w:w="0" w:type="dxa"/>
          </w:tblCellMar>
        </w:tblPrEx>
        <w:trPr>
          <w:trHeight w:val="336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10-28</w:t>
            </w:r>
          </w:p>
        </w:tc>
        <w:tc>
          <w:tcPr>
            <w:tcW w:w="2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音频处理器</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3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-输入连接器 1/4 TRS 平衡 -输入连接器 RCA 不平衡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-输入阻抗2K 欧姆 -输入阻抗30K 欧姆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-频率响应20Hz至30kHz+/-1dB(max/min) -频率响应20Hz至30kHz+/-1dB(max/min)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-总谐波失真0.015%in+4dBu1kHz -总谐波失真0.015%in +4dBu,1kHz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-噪音&lt;-80 dB - 噪音&lt;-85dB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-高频均衡器+/-10dB/10kHz -高频均衡器+/-10dB/10kHz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-中频均衡器+/-10dB/2kHz -中频均衡器+/-10dB/2kHz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-低频均衡器+/-10dB/100Hz -低频均衡器+/-10dB/100Hz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输出连接 低音输出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-线路输出RCA -调整低频30Hz-300Hz-18dB/oct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-输出阻抗 20k 欧姆 -THD扭曲0.015%in+4dBu1kHz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-输出灵敏度 0.775V -输出阻抗100ohms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电源:AC110~240V:50或60Hz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功率:15W</w:t>
            </w:r>
          </w:p>
        </w:tc>
      </w:tr>
      <w:tr>
        <w:tblPrEx>
          <w:shd w:val="clear" w:color="auto" w:fill="auto"/>
          <w:tblLayout w:type="fixed"/>
          <w:tblCellMar>
            <w:top w:w="0" w:type="dxa"/>
            <w:left w:w="0" w:type="dxa"/>
            <w:bottom w:w="0" w:type="dxa"/>
            <w:right w:w="0" w:type="dxa"/>
          </w:tblCellMar>
        </w:tblPrEx>
        <w:trPr>
          <w:trHeight w:val="43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10-29</w:t>
            </w:r>
          </w:p>
        </w:tc>
        <w:tc>
          <w:tcPr>
            <w:tcW w:w="2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8路调音台</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3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最大输入电平    麦克风+24dBu线路+24dBu</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最大输出电平    XLR卡侬+26dBu</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主电平表        10段发光二极管，-24dB到CLIP</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声道电平表      1个发光二极管，峰值显示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频率响应        20Hz到30KHz 土0.5dB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总诣波失真(THD+N)    &lt;0.01%(声道输入到混音输出)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串音 (1kHz)      推子关闭 &gt;85dB声道之间 &gt;82dB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噪音(22Hz到 22KHz)    等效输入噪声-122dBu剩余输出噪音&lt;-90dBu</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单声道均衡器材    高频，帚型，+/-15dB，12hKz高中频，峰谷型，+/-15dB，2.5KHz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低频，帚型，+/-15dB，80Hz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单声道   XLR平衡式，2针热端，2Kohm 灵敏度-60到+14dBuTRS平衡式，尖端热端 10Kohm 灵敏度-40到+14dBuXLR幻象电源+48V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2轨返回    RCA莲花座，非平衡式，4Kohm，-2dBu</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2轨传送     RCA莲花座，非平衡式，&lt;75ohm，-2dBu</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L/R输出     TRS，不平衡式，尖端热端，&lt;75ohm，-2dBu，最大+18dBu</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FX/AUX输出   TRS，尖端L,环R，推荐30到600 ohm的耳机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最大电源输入功率  15W</w:t>
            </w:r>
          </w:p>
        </w:tc>
      </w:tr>
      <w:tr>
        <w:tblPrEx>
          <w:shd w:val="clear" w:color="auto" w:fill="auto"/>
          <w:tblLayout w:type="fixed"/>
          <w:tblCellMar>
            <w:top w:w="0" w:type="dxa"/>
            <w:left w:w="0" w:type="dxa"/>
            <w:bottom w:w="0" w:type="dxa"/>
            <w:right w:w="0" w:type="dxa"/>
          </w:tblCellMar>
        </w:tblPrEx>
        <w:trPr>
          <w:trHeight w:val="1125"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10-30</w:t>
            </w:r>
          </w:p>
        </w:tc>
        <w:tc>
          <w:tcPr>
            <w:tcW w:w="2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电源时序器</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3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输入电压:交流110-220V50~60hz 继电器:30A/250W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电压显示:显示当地电压伏数 万能座:磷铜13A/250W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供电电源:内置开关电源板 时序总功率:6600W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控制路数:8路(带指示灯) 不可控电源:2路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单路输出:2200W 开启时间:每路动作延时1秒</w:t>
            </w:r>
          </w:p>
        </w:tc>
      </w:tr>
      <w:tr>
        <w:tblPrEx>
          <w:tblLayout w:type="fixed"/>
          <w:tblCellMar>
            <w:top w:w="0" w:type="dxa"/>
            <w:left w:w="0" w:type="dxa"/>
            <w:bottom w:w="0" w:type="dxa"/>
            <w:right w:w="0" w:type="dxa"/>
          </w:tblCellMar>
        </w:tblPrEx>
        <w:trPr>
          <w:trHeight w:val="95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10-31</w:t>
            </w:r>
          </w:p>
        </w:tc>
        <w:tc>
          <w:tcPr>
            <w:tcW w:w="2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专业箱托架</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付</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3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1.晶体锁频和信号增益技术，特殊处理高硬度话筒管体，咪芯灵敏度超高，性能稳定，不断频，半径100米以上有效距离；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2.大宽体金属机箱，整体美观大方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3.2通道UHF无线系统，每通道100个频点可选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4.配有LCD液晶显示，实时反馈系统工作状态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5.采用数字音码锁定技术，有效阻隔使用环境中的杂讯干扰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6.采用最新红外线自动对频（lR）与自动选频（AFS)技术，设定和操作更简便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7.2支话筒可互换使用，手持管使用金属材质，经久耐用，性能稳定，可选配手持式/领夹式/头戴式话筒；工作频率：730MHz-790MHz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频率稳定度：±0.003%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最大偏移：±40KHz,水平限度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综合信噪比：≥96dB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综合失真：≤0.03%</w:t>
            </w:r>
          </w:p>
        </w:tc>
      </w:tr>
      <w:tr>
        <w:tblPrEx>
          <w:shd w:val="clear" w:color="auto" w:fill="auto"/>
          <w:tblLayout w:type="fixed"/>
          <w:tblCellMar>
            <w:top w:w="0" w:type="dxa"/>
            <w:left w:w="0" w:type="dxa"/>
            <w:bottom w:w="0" w:type="dxa"/>
            <w:right w:w="0" w:type="dxa"/>
          </w:tblCellMar>
        </w:tblPrEx>
        <w:trPr>
          <w:trHeight w:val="165"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10-32</w:t>
            </w:r>
          </w:p>
        </w:tc>
        <w:tc>
          <w:tcPr>
            <w:tcW w:w="2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音箱线</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43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600支</w:t>
            </w:r>
          </w:p>
        </w:tc>
      </w:tr>
      <w:tr>
        <w:tblPrEx>
          <w:tblLayout w:type="fixed"/>
          <w:tblCellMar>
            <w:top w:w="0" w:type="dxa"/>
            <w:left w:w="0" w:type="dxa"/>
            <w:bottom w:w="0" w:type="dxa"/>
            <w:right w:w="0" w:type="dxa"/>
          </w:tblCellMar>
        </w:tblPrEx>
        <w:trPr>
          <w:trHeight w:val="12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10-33</w:t>
            </w:r>
          </w:p>
        </w:tc>
        <w:tc>
          <w:tcPr>
            <w:tcW w:w="2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1米机柜</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3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标准1m机柜</w:t>
            </w:r>
          </w:p>
        </w:tc>
      </w:tr>
      <w:tr>
        <w:tblPrEx>
          <w:tblLayout w:type="fixed"/>
          <w:tblCellMar>
            <w:top w:w="0" w:type="dxa"/>
            <w:left w:w="0" w:type="dxa"/>
            <w:bottom w:w="0" w:type="dxa"/>
            <w:right w:w="0" w:type="dxa"/>
          </w:tblCellMar>
        </w:tblPrEx>
        <w:trPr>
          <w:trHeight w:val="135"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10-34</w:t>
            </w:r>
          </w:p>
        </w:tc>
        <w:tc>
          <w:tcPr>
            <w:tcW w:w="2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显示屏隐形框架</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43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LED显示屏定制框架结构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屏体外框尺寸</w:t>
            </w:r>
          </w:p>
        </w:tc>
      </w:tr>
      <w:tr>
        <w:tblPrEx>
          <w:tblLayout w:type="fixed"/>
          <w:tblCellMar>
            <w:top w:w="0" w:type="dxa"/>
            <w:left w:w="0" w:type="dxa"/>
            <w:bottom w:w="0" w:type="dxa"/>
            <w:right w:w="0" w:type="dxa"/>
          </w:tblCellMar>
        </w:tblPrEx>
        <w:trPr>
          <w:trHeight w:val="7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10-35</w:t>
            </w:r>
          </w:p>
        </w:tc>
        <w:tc>
          <w:tcPr>
            <w:tcW w:w="2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LED专用配电柜</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3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LED专用配电柜，可成整个显示屏系统的供电分配，具有综保功能，对过压、过流、短路等异常情况具有自动保护功能。</w:t>
            </w:r>
          </w:p>
        </w:tc>
      </w:tr>
      <w:tr>
        <w:tblPrEx>
          <w:tblLayout w:type="fixed"/>
          <w:tblCellMar>
            <w:top w:w="0" w:type="dxa"/>
            <w:left w:w="0" w:type="dxa"/>
            <w:bottom w:w="0" w:type="dxa"/>
            <w:right w:w="0" w:type="dxa"/>
          </w:tblCellMar>
        </w:tblPrEx>
        <w:trPr>
          <w:trHeight w:val="7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10-36</w:t>
            </w:r>
          </w:p>
        </w:tc>
        <w:tc>
          <w:tcPr>
            <w:tcW w:w="2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辅材</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3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电子屏内部安装所需辅材，例如走线所需要的管材，固定框体的角铁，内部所需的电源线、电源一拖二线、RVV线材，卡供电源线、连接片、排线等。</w:t>
            </w:r>
          </w:p>
        </w:tc>
      </w:tr>
      <w:tr>
        <w:tblPrEx>
          <w:tblLayout w:type="fixed"/>
          <w:tblCellMar>
            <w:top w:w="0" w:type="dxa"/>
            <w:left w:w="0" w:type="dxa"/>
            <w:bottom w:w="0" w:type="dxa"/>
            <w:right w:w="0" w:type="dxa"/>
          </w:tblCellMar>
        </w:tblPrEx>
        <w:trPr>
          <w:trHeight w:val="9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10-37</w:t>
            </w:r>
          </w:p>
        </w:tc>
        <w:tc>
          <w:tcPr>
            <w:tcW w:w="2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安装及运输</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43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以上项目安装、调试、培训等及运输费用</w:t>
            </w:r>
          </w:p>
        </w:tc>
      </w:tr>
      <w:tr>
        <w:tblPrEx>
          <w:tblLayout w:type="fixed"/>
          <w:tblCellMar>
            <w:top w:w="0" w:type="dxa"/>
            <w:left w:w="0" w:type="dxa"/>
            <w:bottom w:w="0" w:type="dxa"/>
            <w:right w:w="0" w:type="dxa"/>
          </w:tblCellMar>
        </w:tblPrEx>
        <w:trPr>
          <w:trHeight w:val="9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10-38</w:t>
            </w:r>
          </w:p>
        </w:tc>
        <w:tc>
          <w:tcPr>
            <w:tcW w:w="2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一楼展示区多媒体触控屏（85寸）含设计画面</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 </w:t>
            </w:r>
          </w:p>
        </w:tc>
        <w:tc>
          <w:tcPr>
            <w:tcW w:w="43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1、面板尺寸：86" 16:9 A规级LCD</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2、亮度：320 cd/㎡</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3、分辨率：3840*2160P@60Hz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4、可视角度：水平：178°；垂直：178°</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5、对比度：5000：1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6、色彩：16.7M (8-bit色深)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7、响应时间：8 ms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8、背光类型：D-LED</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9、显示寿命：30000 h</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10、主板类型：工控主板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11、内存：2GB DDR3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12、存储：16GB EMMC</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13、操作系统：Android 8.1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14、有线网络：1个RJ45 10M/100M/1000M自适应以太网口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15、无线网络： 内置WIFI，支持IEEE 802.11b/g/n协议，支持无线热点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16、设备接口： USB2.0 x2；TF x1;HDMI IN x1;3.5mm音频接口(Line IN/LineOUT)*1；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17、支持红外遥控，遥控器需另配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18、全金属一体化机身，正面覆盖3mm钢化玻璃，黑色面板银色边框，支持横向/竖向显示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19、设备电源：AC 100-240 V ~ 50/60 Hz 2.5A,160W Max</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20、支持4K高清编解码，支持IPC解码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21、 支持图片、音频、视频、文档（Word、Excel、PPT、TXT、PDF）、网页、网络直播、滚动字幕、信息通知等多种类型素材；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22、支持素材自由编排分区显示，支持按天、按周、按月执行普通计划，支持按时长、按次数设置紧急插播计划，支持轮播和垫片等多种播放形式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23、支持通过平台对终端进行统一管理和远程控制，支持定时开关机、远程开关屏、重启、试听调节等，支持网络远程下发节目和无网络本地（U盘）节目更新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24、支持素材、节目、日程三级审核，支持终端屏保密码功能，保障系统播出内容安全，支持数据加密传输，保障数据安全</w:t>
            </w:r>
          </w:p>
        </w:tc>
      </w:tr>
      <w:tr>
        <w:tblPrEx>
          <w:shd w:val="clear" w:color="auto" w:fill="auto"/>
          <w:tblLayout w:type="fixed"/>
          <w:tblCellMar>
            <w:top w:w="0" w:type="dxa"/>
            <w:left w:w="0" w:type="dxa"/>
            <w:bottom w:w="0" w:type="dxa"/>
            <w:right w:w="0" w:type="dxa"/>
          </w:tblCellMar>
        </w:tblPrEx>
        <w:trPr>
          <w:trHeight w:val="78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10-39</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一楼展示区触摸互动一体机</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1.43寸                                                                                                                                                                                                               2.式电容触摸 I5+4+128                                                                                                                                                                                                                    3.设计画面</w:t>
            </w:r>
          </w:p>
        </w:tc>
      </w:tr>
      <w:tr>
        <w:tblPrEx>
          <w:shd w:val="clear" w:color="auto" w:fill="auto"/>
          <w:tblLayout w:type="fixed"/>
          <w:tblCellMar>
            <w:top w:w="0" w:type="dxa"/>
            <w:left w:w="0" w:type="dxa"/>
            <w:bottom w:w="0" w:type="dxa"/>
            <w:right w:w="0" w:type="dxa"/>
          </w:tblCellMar>
        </w:tblPrEx>
        <w:trPr>
          <w:trHeight w:val="1125"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10-40</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一楼最美会议室98寸多媒体触控屏含设计画面</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1.双系统(win+安卓）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2.I5四代8+256/4+32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3.4K画质，防眩光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4.可无线投屏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5.全屏可书写，满足各大场景讲解需求</w:t>
            </w:r>
          </w:p>
        </w:tc>
      </w:tr>
      <w:tr>
        <w:tblPrEx>
          <w:tblLayout w:type="fixed"/>
          <w:tblCellMar>
            <w:top w:w="0" w:type="dxa"/>
            <w:left w:w="0" w:type="dxa"/>
            <w:bottom w:w="0" w:type="dxa"/>
            <w:right w:w="0" w:type="dxa"/>
          </w:tblCellMar>
        </w:tblPrEx>
        <w:trPr>
          <w:trHeight w:val="1575"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10-41</w:t>
            </w:r>
          </w:p>
        </w:tc>
        <w:tc>
          <w:tcPr>
            <w:tcW w:w="2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二楼休闲区投影设备及音响系统</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1.幕布尺寸：3780mm长*2140mm宽  170寸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2.分辨率：4K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3.COMPONENTS/结构 TWO WAY/两路两分频音箱                                                                                                                      SPEAKER/单元 1×10英寸低音单元，1×1.4英寸高音单元                                    4.音响额定功率：300W                                                                 5.分频点：2.5KHz                                                                         6.投影仪：3400流明  对比度：500000:1   透射比：1.21-1.59   带智能系统               </w:t>
            </w:r>
          </w:p>
        </w:tc>
      </w:tr>
      <w:tr>
        <w:tblPrEx>
          <w:shd w:val="clear" w:color="auto" w:fill="auto"/>
          <w:tblLayout w:type="fixed"/>
          <w:tblCellMar>
            <w:top w:w="0" w:type="dxa"/>
            <w:left w:w="0" w:type="dxa"/>
            <w:bottom w:w="0" w:type="dxa"/>
            <w:right w:w="0" w:type="dxa"/>
          </w:tblCellMar>
        </w:tblPrEx>
        <w:trPr>
          <w:trHeight w:val="2805"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10-42</w:t>
            </w:r>
          </w:p>
        </w:tc>
        <w:tc>
          <w:tcPr>
            <w:tcW w:w="2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二楼会议室一拖四无线话筒主机</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3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1.低调端庄稳重。电容咪芯高保真音质完美：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2.4通道UHF无线系统，每通道50个频率可选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3.配有LCD液晶显示，实时反馈系统工作状态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4.开阔地带有效距离100米以上，接收机采用抗干扰，灵敏度高的双中频接受电路：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5.采用最新红外线自动对频（IR）与自动选频(AFS)技术设定和操作更简便；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6.4支话筒可互换使用，手持管使用金属材质，经久难用，性能稳定，可选配手持式/领夹式/头戴式话筒； 工作频率：730MHz-790MHz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频率稳定度：±0.003%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最大偏移：±40KHz,水平限度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综合信噪比：≥96dB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综合失真：≤0.03%</w:t>
            </w:r>
          </w:p>
        </w:tc>
      </w:tr>
      <w:tr>
        <w:tblPrEx>
          <w:shd w:val="clear" w:color="auto" w:fill="auto"/>
          <w:tblLayout w:type="fixed"/>
          <w:tblCellMar>
            <w:top w:w="0" w:type="dxa"/>
            <w:left w:w="0" w:type="dxa"/>
            <w:bottom w:w="0" w:type="dxa"/>
            <w:right w:w="0" w:type="dxa"/>
          </w:tblCellMar>
        </w:tblPrEx>
        <w:trPr>
          <w:trHeight w:val="1125"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10-43</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二楼会议室98寸多媒体触控屏含设计画面</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1.双系统(win+安卓）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2.I5四代8+256/4+32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3.4K画质，防眩光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4.可无线投屏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5.全屏可书写，满足各大场景讲解需求</w:t>
            </w:r>
          </w:p>
        </w:tc>
      </w:tr>
      <w:tr>
        <w:tblPrEx>
          <w:tblLayout w:type="fixed"/>
          <w:tblCellMar>
            <w:top w:w="0" w:type="dxa"/>
            <w:left w:w="0" w:type="dxa"/>
            <w:bottom w:w="0" w:type="dxa"/>
            <w:right w:w="0" w:type="dxa"/>
          </w:tblCellMar>
        </w:tblPrEx>
        <w:trPr>
          <w:trHeight w:val="495"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10-44</w:t>
            </w:r>
          </w:p>
        </w:tc>
        <w:tc>
          <w:tcPr>
            <w:tcW w:w="2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监控级硬盘</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6TB-256MB-5400RPM-3.5英寸-3.5-英寸-SATA接口-SATA接口-标准盘</w:t>
            </w:r>
          </w:p>
        </w:tc>
      </w:tr>
      <w:tr>
        <w:tblPrEx>
          <w:tblLayout w:type="fixed"/>
          <w:tblCellMar>
            <w:top w:w="0" w:type="dxa"/>
            <w:left w:w="0" w:type="dxa"/>
            <w:bottom w:w="0" w:type="dxa"/>
            <w:right w:w="0" w:type="dxa"/>
          </w:tblCellMar>
        </w:tblPrEx>
        <w:trPr>
          <w:trHeight w:val="19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10-45</w:t>
            </w:r>
          </w:p>
        </w:tc>
        <w:tc>
          <w:tcPr>
            <w:tcW w:w="2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监控设备（6个点位）</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1192D"/>
                <w:sz w:val="18"/>
                <w:szCs w:val="18"/>
                <w:u w:val="none"/>
              </w:rPr>
            </w:pPr>
            <w:r>
              <w:rPr>
                <w:rFonts w:hint="eastAsia" w:ascii="宋体" w:hAnsi="宋体" w:eastAsia="宋体" w:cs="宋体"/>
                <w:i w:val="0"/>
                <w:color w:val="11192D"/>
                <w:kern w:val="0"/>
                <w:sz w:val="18"/>
                <w:szCs w:val="18"/>
                <w:u w:val="none"/>
                <w:lang w:val="en-US" w:eastAsia="zh-CN" w:bidi="ar"/>
              </w:rPr>
              <w:t>3路串联有线摄像头设备套装监控器</w:t>
            </w:r>
            <w:r>
              <w:rPr>
                <w:rStyle w:val="77"/>
                <w:lang w:val="en-US" w:eastAsia="zh-CN" w:bidi="ar"/>
              </w:rPr>
              <w:t>4K高清全彩夜视</w:t>
            </w:r>
          </w:p>
        </w:tc>
      </w:tr>
      <w:tr>
        <w:tblPrEx>
          <w:tblLayout w:type="fixed"/>
          <w:tblCellMar>
            <w:top w:w="0" w:type="dxa"/>
            <w:left w:w="0" w:type="dxa"/>
            <w:bottom w:w="0" w:type="dxa"/>
            <w:right w:w="0" w:type="dxa"/>
          </w:tblCellMar>
        </w:tblPrEx>
        <w:trPr>
          <w:trHeight w:val="225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10-46</w:t>
            </w:r>
          </w:p>
        </w:tc>
        <w:tc>
          <w:tcPr>
            <w:tcW w:w="2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无线WIFI</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10口全千兆PoE路由器，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固化10个千兆电口（含8个PoE口），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推荐带宽1Gbps，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整机PoE最大输出功率110W，单端口最大输出功率30W，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内置AC功能，支持管理200个AP；</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支持IPSec VPN、L2TP VPN，</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支持固定IP地址、DHCP自动获取地址、PPPoE拨号等多种方式、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支持短信、微信公众号、账号等多种接入认证方式，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支持应用流控、应用阻断，</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支持云简平台与小贝APP管理1</w:t>
            </w:r>
          </w:p>
        </w:tc>
      </w:tr>
      <w:tr>
        <w:tblPrEx>
          <w:tblLayout w:type="fixed"/>
          <w:tblCellMar>
            <w:top w:w="0" w:type="dxa"/>
            <w:left w:w="0" w:type="dxa"/>
            <w:bottom w:w="0" w:type="dxa"/>
            <w:right w:w="0" w:type="dxa"/>
          </w:tblCellMar>
        </w:tblPrEx>
        <w:trPr>
          <w:trHeight w:val="21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10-47</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3P风管机（含辅料配件及安装）</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内机参数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APF≥3.19</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制冷量≥7.2KW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制冷功耗≤2.65kw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制热量≥8.6KW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制热功耗≤2.75kw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风量≥1100m²/h</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内机噪音≤40dB(A)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外机噪音≤55dB(A)</w:t>
            </w:r>
          </w:p>
        </w:tc>
      </w:tr>
      <w:tr>
        <w:tblPrEx>
          <w:tblLayout w:type="fixed"/>
          <w:tblCellMar>
            <w:top w:w="0" w:type="dxa"/>
            <w:left w:w="0" w:type="dxa"/>
            <w:bottom w:w="0" w:type="dxa"/>
            <w:right w:w="0" w:type="dxa"/>
          </w:tblCellMar>
        </w:tblPrEx>
        <w:trPr>
          <w:trHeight w:val="315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10-48</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10P一拖二（含辅料配件及安装）</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内机参数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制冷量≥12.5KW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制热量≥14KW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功耗≤146W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风量≥1800m²/h</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噪音≤44dB(A)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外机参数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APF≥4.8</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制冷量≥25KW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制冷功耗≤8.2kw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制热量≥28KW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制热功耗≤7.85kw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风量≥9300m²/h</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噪音≤60dB(A)</w:t>
            </w:r>
          </w:p>
        </w:tc>
      </w:tr>
      <w:tr>
        <w:tblPrEx>
          <w:tblLayout w:type="fixed"/>
          <w:tblCellMar>
            <w:top w:w="0" w:type="dxa"/>
            <w:left w:w="0" w:type="dxa"/>
            <w:bottom w:w="0" w:type="dxa"/>
            <w:right w:w="0" w:type="dxa"/>
          </w:tblCellMar>
        </w:tblPrEx>
        <w:trPr>
          <w:trHeight w:val="67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10-49</w:t>
            </w:r>
          </w:p>
        </w:tc>
        <w:tc>
          <w:tcPr>
            <w:tcW w:w="2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线控器</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KJR-86S/BK  制冷制热转换、双温度显示、遥控功能、</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10-50</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铜管</w:t>
            </w:r>
          </w:p>
        </w:tc>
        <w:tc>
          <w:tcPr>
            <w:tcW w:w="720"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120.00 </w:t>
            </w:r>
          </w:p>
        </w:tc>
        <w:tc>
          <w:tcPr>
            <w:tcW w:w="43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加厚风管机紫铜管</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10-51</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线形风口</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75.00 </w:t>
            </w:r>
          </w:p>
        </w:tc>
        <w:tc>
          <w:tcPr>
            <w:tcW w:w="43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1.尺寸：不超3000mm长*120～150mm高</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2.根据设计需求调整</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10-52</w:t>
            </w:r>
          </w:p>
        </w:tc>
        <w:tc>
          <w:tcPr>
            <w:tcW w:w="2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风管机空调或中央空调外机6平方线增加</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175.00 </w:t>
            </w:r>
          </w:p>
        </w:tc>
        <w:tc>
          <w:tcPr>
            <w:tcW w:w="43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BV阻燃ZR-BV6平方塑铜线</w:t>
            </w:r>
          </w:p>
        </w:tc>
      </w:tr>
      <w:tr>
        <w:tblPrEx>
          <w:tblLayout w:type="fixed"/>
          <w:tblCellMar>
            <w:top w:w="0" w:type="dxa"/>
            <w:left w:w="0" w:type="dxa"/>
            <w:bottom w:w="0" w:type="dxa"/>
            <w:right w:w="0" w:type="dxa"/>
          </w:tblCellMar>
        </w:tblPrEx>
        <w:trPr>
          <w:trHeight w:val="439" w:hRule="atLeast"/>
        </w:trPr>
        <w:tc>
          <w:tcPr>
            <w:tcW w:w="8722" w:type="dxa"/>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十一、室内及其他优化项目</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原墙地砖拆除及垃圾外运</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3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根据设计需求</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原顶面集成吊顶拆除及垃圾外运</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3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根据设计需求</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原砖墙体拆除及垃圾外运</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3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根据设计需求</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原玻璃房拆除</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3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根据设计需求</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100cm门洞过梁</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43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水泥预制</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200cm门洞过梁</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 </w:t>
            </w:r>
          </w:p>
        </w:tc>
        <w:tc>
          <w:tcPr>
            <w:tcW w:w="43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水泥预制</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新建轻质砖墙体</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Style w:val="76"/>
                <w:rFonts w:ascii="宋体" w:hAnsi="宋体" w:eastAsia="宋体" w:cs="宋体"/>
                <w:sz w:val="24"/>
                <w:szCs w:val="24"/>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156.00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100标准轻质砖墙</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墙面抹灰</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312.00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根据设计需求</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美缝打胶</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3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根据设计需求</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11-10</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垃圾清理及搬运费</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1315.00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垃圾清理及垃圾外运费用</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11-11</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壁挂式电视PVC Q75套管</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 </w:t>
            </w:r>
          </w:p>
        </w:tc>
        <w:tc>
          <w:tcPr>
            <w:tcW w:w="43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pvc管</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11-12</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地面成品保护</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1250.00 </w:t>
            </w:r>
          </w:p>
        </w:tc>
        <w:tc>
          <w:tcPr>
            <w:tcW w:w="43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石膏板铺设</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11-13</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精保洁</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1350.00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整体墙面，地面，玻璃精保洁。</w:t>
            </w: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11-14</w:t>
            </w:r>
          </w:p>
        </w:tc>
        <w:tc>
          <w:tcPr>
            <w:tcW w:w="24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脚手架</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3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11-15</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模拟全彩效果图制作费</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c>
          <w:tcPr>
            <w:tcW w:w="4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18"/>
                <w:szCs w:val="18"/>
                <w:u w:val="none"/>
              </w:rPr>
            </w:pPr>
          </w:p>
        </w:tc>
      </w:tr>
    </w:tbl>
    <w:p>
      <w:pPr>
        <w:numPr>
          <w:ilvl w:val="0"/>
          <w:numId w:val="8"/>
        </w:numPr>
        <w:spacing w:line="500" w:lineRule="exact"/>
        <w:ind w:left="479" w:leftChars="228" w:firstLine="0" w:firstLineChars="0"/>
        <w:rPr>
          <w:rFonts w:hint="eastAsia" w:ascii="宋体" w:hAnsi="宋体" w:cs="宋体"/>
          <w:bCs/>
          <w:sz w:val="24"/>
          <w:szCs w:val="24"/>
          <w:highlight w:val="none"/>
          <w:lang w:val="en-US" w:eastAsia="zh-CN"/>
        </w:rPr>
      </w:pPr>
      <w:r>
        <w:rPr>
          <w:rFonts w:hint="eastAsia" w:ascii="宋体" w:hAnsi="宋体" w:cs="宋体"/>
          <w:bCs/>
          <w:sz w:val="24"/>
          <w:szCs w:val="24"/>
          <w:highlight w:val="none"/>
          <w:lang w:val="en-US" w:eastAsia="zh-CN"/>
        </w:rPr>
        <w:t>商务资信要求表</w:t>
      </w:r>
    </w:p>
    <w:p>
      <w:pPr>
        <w:pStyle w:val="29"/>
        <w:widowControl w:val="0"/>
        <w:numPr>
          <w:ilvl w:val="0"/>
          <w:numId w:val="0"/>
        </w:numPr>
        <w:adjustRightInd w:val="0"/>
        <w:spacing w:line="200" w:lineRule="exact"/>
        <w:jc w:val="both"/>
        <w:rPr>
          <w:rFonts w:hint="eastAsia"/>
          <w:lang w:val="en-US" w:eastAsia="zh-CN"/>
        </w:rPr>
      </w:pPr>
    </w:p>
    <w:tbl>
      <w:tblPr>
        <w:tblStyle w:val="31"/>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50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服务期</w:t>
            </w:r>
          </w:p>
        </w:tc>
        <w:tc>
          <w:tcPr>
            <w:tcW w:w="7560" w:type="dxa"/>
            <w:vAlign w:val="center"/>
          </w:tcPr>
          <w:p>
            <w:pPr>
              <w:ind w:firstLine="420" w:firstLineChars="200"/>
              <w:jc w:val="left"/>
              <w:rPr>
                <w:rFonts w:hint="eastAsia"/>
                <w:sz w:val="21"/>
                <w:szCs w:val="21"/>
                <w:vertAlign w:val="baseline"/>
                <w:lang w:val="en-US" w:eastAsia="zh-CN"/>
              </w:rPr>
            </w:pPr>
            <w:bookmarkStart w:id="54" w:name="OLE_LINK8"/>
            <w:r>
              <w:rPr>
                <w:rFonts w:hint="eastAsia"/>
                <w:sz w:val="21"/>
                <w:szCs w:val="21"/>
                <w:vertAlign w:val="baseline"/>
                <w:lang w:val="en-US" w:eastAsia="zh-CN"/>
              </w:rPr>
              <w:t>90日历天，进度需同装修施工同步。</w:t>
            </w:r>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2" w:hRule="atLeast"/>
        </w:trPr>
        <w:tc>
          <w:tcPr>
            <w:tcW w:w="1503" w:type="dxa"/>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履约保证金</w:t>
            </w:r>
          </w:p>
        </w:tc>
        <w:tc>
          <w:tcPr>
            <w:tcW w:w="7560" w:type="dxa"/>
            <w:vAlign w:val="center"/>
          </w:tcPr>
          <w:p>
            <w:pPr>
              <w:spacing w:line="360" w:lineRule="auto"/>
              <w:ind w:firstLine="420" w:firstLineChars="200"/>
              <w:jc w:val="left"/>
              <w:rPr>
                <w:rFonts w:hint="eastAsia"/>
                <w:sz w:val="21"/>
                <w:szCs w:val="21"/>
                <w:vertAlign w:val="baseline"/>
                <w:lang w:val="en-US" w:eastAsia="zh-CN"/>
              </w:rPr>
            </w:pPr>
            <w:r>
              <w:rPr>
                <w:rFonts w:hint="eastAsia" w:ascii="宋体" w:hAnsi="宋体" w:cs="宋体"/>
                <w:sz w:val="21"/>
                <w:szCs w:val="21"/>
                <w:highlight w:val="none"/>
              </w:rPr>
              <w:t>中标金额的 1 %；收到中标通知书之日起5个工作日内缴纳履约保证金，项目验收合格并经采购人认可后30日内无息退还履约保证金。履约保证金支付方式：转账形式。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3" w:hRule="atLeast"/>
        </w:trPr>
        <w:tc>
          <w:tcPr>
            <w:tcW w:w="1503"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付款方式</w:t>
            </w:r>
          </w:p>
        </w:tc>
        <w:tc>
          <w:tcPr>
            <w:tcW w:w="7560" w:type="dxa"/>
            <w:vAlign w:val="center"/>
          </w:tcPr>
          <w:p>
            <w:pPr>
              <w:spacing w:line="360" w:lineRule="auto"/>
              <w:ind w:firstLine="420" w:firstLineChars="200"/>
              <w:jc w:val="left"/>
              <w:rPr>
                <w:rFonts w:hint="eastAsia" w:ascii="宋体" w:hAnsi="宋体" w:cs="宋体"/>
                <w:sz w:val="21"/>
                <w:szCs w:val="21"/>
                <w:highlight w:val="none"/>
                <w:lang w:val="zh-TW" w:eastAsia="zh-CN"/>
              </w:rPr>
            </w:pPr>
            <w:r>
              <w:rPr>
                <w:rFonts w:hint="eastAsia" w:ascii="宋体" w:hAnsi="宋体" w:cs="宋体"/>
                <w:sz w:val="21"/>
                <w:szCs w:val="21"/>
                <w:highlight w:val="none"/>
                <w:lang w:val="zh-TW" w:eastAsia="zh-TW"/>
              </w:rPr>
              <w:t>（1）项目成果方案审核</w:t>
            </w:r>
            <w:r>
              <w:rPr>
                <w:rFonts w:hint="eastAsia" w:ascii="宋体" w:hAnsi="宋体" w:cs="宋体"/>
                <w:sz w:val="21"/>
                <w:szCs w:val="21"/>
                <w:highlight w:val="none"/>
                <w:lang w:val="zh-TW" w:eastAsia="zh-CN"/>
              </w:rPr>
              <w:t>通过</w:t>
            </w:r>
            <w:r>
              <w:rPr>
                <w:rFonts w:hint="eastAsia" w:ascii="宋体" w:hAnsi="宋体" w:cs="宋体"/>
                <w:sz w:val="21"/>
                <w:szCs w:val="21"/>
                <w:highlight w:val="none"/>
                <w:lang w:val="zh-TW" w:eastAsia="zh-TW"/>
              </w:rPr>
              <w:t>后</w:t>
            </w:r>
            <w:r>
              <w:rPr>
                <w:rFonts w:hint="eastAsia" w:ascii="宋体" w:hAnsi="宋体" w:cs="宋体"/>
                <w:sz w:val="21"/>
                <w:szCs w:val="21"/>
                <w:highlight w:val="none"/>
                <w:lang w:val="zh-TW" w:eastAsia="zh-CN"/>
              </w:rPr>
              <w:t>支付合同价</w:t>
            </w:r>
            <w:r>
              <w:rPr>
                <w:rFonts w:hint="eastAsia" w:ascii="宋体" w:hAnsi="宋体" w:cs="宋体"/>
                <w:sz w:val="21"/>
                <w:szCs w:val="21"/>
                <w:highlight w:val="none"/>
                <w:lang w:val="zh-TW" w:eastAsia="zh-TW"/>
              </w:rPr>
              <w:t>30%</w:t>
            </w:r>
            <w:r>
              <w:rPr>
                <w:rFonts w:hint="eastAsia" w:ascii="宋体" w:hAnsi="宋体" w:cs="宋体"/>
                <w:sz w:val="21"/>
                <w:szCs w:val="21"/>
                <w:highlight w:val="none"/>
                <w:lang w:val="zh-TW" w:eastAsia="zh-CN"/>
              </w:rPr>
              <w:t>；</w:t>
            </w:r>
          </w:p>
          <w:p>
            <w:pPr>
              <w:spacing w:line="360" w:lineRule="auto"/>
              <w:ind w:firstLine="420" w:firstLineChars="200"/>
              <w:jc w:val="left"/>
              <w:rPr>
                <w:rFonts w:hint="eastAsia" w:ascii="宋体" w:hAnsi="宋体" w:cs="宋体"/>
                <w:sz w:val="21"/>
                <w:szCs w:val="21"/>
                <w:highlight w:val="none"/>
                <w:lang w:val="zh-TW" w:eastAsia="zh-CN"/>
              </w:rPr>
            </w:pPr>
            <w:r>
              <w:rPr>
                <w:rFonts w:hint="eastAsia" w:ascii="宋体" w:hAnsi="宋体" w:cs="宋体"/>
                <w:sz w:val="21"/>
                <w:szCs w:val="21"/>
                <w:highlight w:val="none"/>
                <w:lang w:val="zh-TW" w:eastAsia="zh-TW"/>
              </w:rPr>
              <w:t>（2）项目完工后</w:t>
            </w:r>
            <w:r>
              <w:rPr>
                <w:rFonts w:hint="eastAsia" w:ascii="宋体" w:hAnsi="宋体" w:cs="宋体"/>
                <w:sz w:val="21"/>
                <w:szCs w:val="21"/>
                <w:highlight w:val="none"/>
                <w:lang w:val="zh-TW" w:eastAsia="zh-CN"/>
              </w:rPr>
              <w:t>支付合同价</w:t>
            </w:r>
            <w:r>
              <w:rPr>
                <w:rFonts w:hint="eastAsia" w:ascii="宋体" w:hAnsi="宋体" w:cs="宋体"/>
                <w:sz w:val="21"/>
                <w:szCs w:val="21"/>
                <w:highlight w:val="none"/>
                <w:lang w:val="zh-TW" w:eastAsia="zh-TW"/>
              </w:rPr>
              <w:t>40%</w:t>
            </w:r>
            <w:r>
              <w:rPr>
                <w:rFonts w:hint="eastAsia" w:ascii="宋体" w:hAnsi="宋体" w:cs="宋体"/>
                <w:sz w:val="21"/>
                <w:szCs w:val="21"/>
                <w:highlight w:val="none"/>
                <w:lang w:val="zh-TW" w:eastAsia="zh-CN"/>
              </w:rPr>
              <w:t>；</w:t>
            </w:r>
          </w:p>
          <w:p>
            <w:pPr>
              <w:spacing w:line="360" w:lineRule="auto"/>
              <w:ind w:firstLine="420" w:firstLineChars="200"/>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zh-TW" w:eastAsia="zh-CN"/>
              </w:rPr>
              <w:t>（</w:t>
            </w:r>
            <w:r>
              <w:rPr>
                <w:rFonts w:hint="eastAsia" w:ascii="宋体" w:hAnsi="宋体" w:cs="宋体"/>
                <w:sz w:val="21"/>
                <w:szCs w:val="21"/>
                <w:highlight w:val="none"/>
                <w:lang w:val="en-US" w:eastAsia="zh-CN"/>
              </w:rPr>
              <w:t>3</w:t>
            </w:r>
            <w:r>
              <w:rPr>
                <w:rFonts w:hint="eastAsia" w:ascii="宋体" w:hAnsi="宋体" w:cs="宋体"/>
                <w:sz w:val="21"/>
                <w:szCs w:val="21"/>
                <w:highlight w:val="none"/>
                <w:lang w:val="zh-TW" w:eastAsia="zh-CN"/>
              </w:rPr>
              <w:t>）项目经结算审核完成后支付至95%</w:t>
            </w:r>
            <w:r>
              <w:rPr>
                <w:rFonts w:hint="eastAsia" w:ascii="宋体" w:hAnsi="宋体" w:cs="宋体"/>
                <w:sz w:val="21"/>
                <w:szCs w:val="21"/>
                <w:highlight w:val="none"/>
                <w:lang w:val="en-US" w:eastAsia="zh-CN"/>
              </w:rPr>
              <w:t>；</w:t>
            </w:r>
          </w:p>
          <w:p>
            <w:pPr>
              <w:spacing w:line="360" w:lineRule="auto"/>
              <w:ind w:firstLine="420" w:firstLineChars="200"/>
              <w:jc w:val="left"/>
              <w:rPr>
                <w:rFonts w:hint="eastAsia"/>
                <w:sz w:val="21"/>
                <w:szCs w:val="21"/>
                <w:vertAlign w:val="baseline"/>
                <w:lang w:val="en-US" w:eastAsia="zh-CN"/>
              </w:rPr>
            </w:pPr>
            <w:r>
              <w:rPr>
                <w:rFonts w:hint="eastAsia" w:ascii="宋体" w:hAnsi="宋体" w:cs="宋体"/>
                <w:sz w:val="21"/>
                <w:szCs w:val="21"/>
                <w:highlight w:val="none"/>
                <w:lang w:val="zh-TW" w:eastAsia="zh-CN"/>
              </w:rPr>
              <w:t>（</w:t>
            </w:r>
            <w:r>
              <w:rPr>
                <w:rFonts w:hint="eastAsia" w:ascii="宋体" w:hAnsi="宋体" w:cs="宋体"/>
                <w:sz w:val="21"/>
                <w:szCs w:val="21"/>
                <w:highlight w:val="none"/>
                <w:lang w:val="en-US" w:eastAsia="zh-CN"/>
              </w:rPr>
              <w:t>4</w:t>
            </w:r>
            <w:r>
              <w:rPr>
                <w:rFonts w:hint="eastAsia" w:ascii="宋体" w:hAnsi="宋体" w:cs="宋体"/>
                <w:sz w:val="21"/>
                <w:szCs w:val="21"/>
                <w:highlight w:val="none"/>
                <w:lang w:val="zh-TW" w:eastAsia="zh-CN"/>
              </w:rPr>
              <w:t>）完工验收一年后支付剩余5%</w:t>
            </w:r>
            <w:r>
              <w:rPr>
                <w:rFonts w:hint="eastAsia" w:ascii="宋体" w:hAnsi="宋体" w:cs="宋体"/>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1503" w:type="dxa"/>
            <w:shd w:val="clear" w:color="auto" w:fill="auto"/>
            <w:vAlign w:val="center"/>
          </w:tcPr>
          <w:p>
            <w:pPr>
              <w:numPr>
                <w:ilvl w:val="0"/>
                <w:numId w:val="0"/>
              </w:num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结算方式</w:t>
            </w:r>
          </w:p>
        </w:tc>
        <w:tc>
          <w:tcPr>
            <w:tcW w:w="7560" w:type="dxa"/>
            <w:shd w:val="clear" w:color="auto" w:fill="auto"/>
            <w:vAlign w:val="center"/>
          </w:tcPr>
          <w:p>
            <w:pPr>
              <w:numPr>
                <w:ilvl w:val="0"/>
                <w:numId w:val="0"/>
              </w:numPr>
              <w:spacing w:line="360" w:lineRule="auto"/>
              <w:ind w:firstLine="420" w:firstLineChars="20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本项目采用固定单价合同，数量按实结算，合同单价不予调整。超过合同价按合同价结算。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1503" w:type="dxa"/>
            <w:shd w:val="clear" w:color="auto" w:fill="auto"/>
            <w:vAlign w:val="center"/>
          </w:tcPr>
          <w:p>
            <w:pPr>
              <w:numPr>
                <w:ilvl w:val="0"/>
                <w:numId w:val="0"/>
              </w:num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质保期</w:t>
            </w:r>
          </w:p>
        </w:tc>
        <w:tc>
          <w:tcPr>
            <w:tcW w:w="7560" w:type="dxa"/>
            <w:shd w:val="clear" w:color="auto" w:fill="auto"/>
            <w:vAlign w:val="center"/>
          </w:tcPr>
          <w:p>
            <w:pPr>
              <w:numPr>
                <w:ilvl w:val="0"/>
                <w:numId w:val="0"/>
              </w:numPr>
              <w:spacing w:line="36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本项目整体质保期为三年。质保期内如出现系统设备故障（除人为原因造成外）中标供应商无条件免费维修。</w:t>
            </w:r>
          </w:p>
        </w:tc>
      </w:tr>
    </w:tbl>
    <w:p>
      <w:pPr>
        <w:rPr>
          <w:rFonts w:hint="eastAsia"/>
          <w:lang w:val="en-US" w:eastAsia="zh-CN"/>
        </w:rPr>
        <w:sectPr>
          <w:headerReference r:id="rId8" w:type="default"/>
          <w:footerReference r:id="rId9" w:type="default"/>
          <w:pgSz w:w="11906" w:h="16838"/>
          <w:pgMar w:top="1417" w:right="1797" w:bottom="1417" w:left="1417" w:header="851" w:footer="851" w:gutter="0"/>
          <w:cols w:space="720" w:num="1"/>
          <w:docGrid w:linePitch="312" w:charSpace="0"/>
        </w:sectPr>
      </w:pPr>
    </w:p>
    <w:p>
      <w:pPr>
        <w:spacing w:line="360" w:lineRule="auto"/>
        <w:jc w:val="center"/>
        <w:outlineLvl w:val="0"/>
        <w:rPr>
          <w:rFonts w:ascii="宋体" w:hAnsi="宋体" w:cs="宋体"/>
          <w:b/>
          <w:kern w:val="1"/>
          <w:sz w:val="24"/>
          <w:highlight w:val="none"/>
        </w:rPr>
      </w:pPr>
      <w:r>
        <w:rPr>
          <w:rFonts w:hint="eastAsia" w:ascii="宋体" w:hAnsi="宋体" w:cs="宋体"/>
          <w:b/>
          <w:kern w:val="1"/>
          <w:sz w:val="32"/>
          <w:szCs w:val="32"/>
          <w:highlight w:val="none"/>
        </w:rPr>
        <w:t>第四章 评标办法</w:t>
      </w:r>
      <w:bookmarkEnd w:id="49"/>
      <w:bookmarkEnd w:id="50"/>
    </w:p>
    <w:p>
      <w:pPr>
        <w:spacing w:line="360" w:lineRule="auto"/>
        <w:outlineLvl w:val="1"/>
        <w:rPr>
          <w:rFonts w:ascii="宋体" w:hAnsi="宋体" w:cs="宋体"/>
          <w:b/>
          <w:sz w:val="24"/>
          <w:highlight w:val="none"/>
        </w:rPr>
      </w:pPr>
      <w:bookmarkStart w:id="55" w:name="_Toc24743"/>
      <w:r>
        <w:rPr>
          <w:rFonts w:hint="eastAsia" w:ascii="宋体" w:hAnsi="宋体" w:cs="宋体"/>
          <w:b/>
          <w:sz w:val="24"/>
          <w:highlight w:val="none"/>
        </w:rPr>
        <w:t>一、评标办法及标准</w:t>
      </w:r>
    </w:p>
    <w:p>
      <w:pPr>
        <w:spacing w:line="440" w:lineRule="exact"/>
        <w:jc w:val="left"/>
        <w:rPr>
          <w:rFonts w:ascii="宋体" w:hAnsi="宋体" w:cs="宋体"/>
          <w:b/>
          <w:sz w:val="24"/>
          <w:highlight w:val="none"/>
        </w:rPr>
      </w:pPr>
      <w:r>
        <w:rPr>
          <w:rFonts w:hint="eastAsia" w:ascii="宋体" w:hAnsi="宋体" w:cs="宋体"/>
          <w:b/>
          <w:sz w:val="24"/>
          <w:highlight w:val="none"/>
        </w:rPr>
        <w:t>1、评标方法：</w:t>
      </w:r>
    </w:p>
    <w:p>
      <w:pPr>
        <w:spacing w:line="5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pPr>
        <w:numPr>
          <w:ilvl w:val="0"/>
          <w:numId w:val="0"/>
        </w:numPr>
        <w:spacing w:line="440" w:lineRule="exact"/>
        <w:jc w:val="left"/>
      </w:pPr>
      <w:r>
        <w:rPr>
          <w:rFonts w:hint="eastAsia" w:ascii="宋体" w:hAnsi="宋体" w:cs="宋体"/>
          <w:b/>
          <w:sz w:val="24"/>
          <w:szCs w:val="24"/>
          <w:highlight w:val="none"/>
          <w:lang w:val="en-US" w:eastAsia="zh-CN"/>
        </w:rPr>
        <w:t>2</w:t>
      </w:r>
      <w:r>
        <w:rPr>
          <w:rFonts w:hint="eastAsia" w:ascii="宋体" w:hAnsi="宋体" w:cs="宋体"/>
          <w:b/>
          <w:sz w:val="24"/>
          <w:highlight w:val="none"/>
        </w:rPr>
        <w:t>、</w:t>
      </w:r>
      <w:r>
        <w:rPr>
          <w:rFonts w:hint="eastAsia" w:ascii="宋体" w:hAnsi="宋体" w:cs="宋体"/>
          <w:b/>
          <w:sz w:val="24"/>
          <w:szCs w:val="24"/>
          <w:highlight w:val="none"/>
        </w:rPr>
        <w:t>评分标准：</w:t>
      </w:r>
      <w:r>
        <w:rPr>
          <w:rFonts w:hint="eastAsia" w:ascii="宋体" w:hAnsi="宋体" w:eastAsia="宋体" w:cs="宋体"/>
          <w:bCs/>
          <w:sz w:val="24"/>
          <w:szCs w:val="24"/>
          <w:highlight w:val="none"/>
        </w:rPr>
        <w:t>共100分，其中资信技术分</w:t>
      </w:r>
      <w:r>
        <w:rPr>
          <w:rFonts w:hint="eastAsia" w:ascii="宋体" w:hAnsi="宋体" w:cs="宋体"/>
          <w:bCs/>
          <w:sz w:val="24"/>
          <w:szCs w:val="24"/>
          <w:highlight w:val="none"/>
          <w:lang w:val="en-US" w:eastAsia="zh-CN"/>
        </w:rPr>
        <w:t>70</w:t>
      </w:r>
      <w:r>
        <w:rPr>
          <w:rFonts w:hint="eastAsia" w:ascii="宋体" w:hAnsi="宋体" w:eastAsia="宋体" w:cs="宋体"/>
          <w:bCs/>
          <w:sz w:val="24"/>
          <w:szCs w:val="24"/>
          <w:highlight w:val="none"/>
        </w:rPr>
        <w:t>分，价格分</w:t>
      </w:r>
      <w:r>
        <w:rPr>
          <w:rFonts w:hint="eastAsia" w:ascii="宋体" w:hAnsi="宋体" w:cs="宋体"/>
          <w:bCs/>
          <w:sz w:val="24"/>
          <w:szCs w:val="24"/>
          <w:highlight w:val="none"/>
          <w:lang w:val="en-US" w:eastAsia="zh-CN"/>
        </w:rPr>
        <w:t>30</w:t>
      </w:r>
      <w:r>
        <w:rPr>
          <w:rFonts w:hint="eastAsia" w:ascii="宋体" w:hAnsi="宋体" w:eastAsia="宋体" w:cs="宋体"/>
          <w:bCs/>
          <w:sz w:val="24"/>
          <w:szCs w:val="24"/>
          <w:highlight w:val="none"/>
        </w:rPr>
        <w:t>分。评分依下述所列为评标评分依据，分值如下（计算分值时，按其算术平均值保留小数2位）。</w:t>
      </w:r>
    </w:p>
    <w:p>
      <w:pPr>
        <w:numPr>
          <w:ilvl w:val="0"/>
          <w:numId w:val="9"/>
        </w:numPr>
        <w:spacing w:line="440" w:lineRule="exact"/>
        <w:ind w:left="420" w:leftChars="0" w:firstLineChars="0"/>
        <w:rPr>
          <w:rFonts w:hint="eastAsia" w:ascii="宋体" w:hAnsi="宋体" w:eastAsia="宋体" w:cs="宋体"/>
          <w:b/>
          <w:sz w:val="24"/>
          <w:highlight w:val="none"/>
          <w:lang w:val="en-US" w:eastAsia="zh-CN"/>
        </w:rPr>
      </w:pPr>
      <w:r>
        <w:rPr>
          <w:rFonts w:hint="eastAsia" w:ascii="宋体" w:hAnsi="宋体" w:eastAsia="宋体" w:cs="宋体"/>
          <w:b/>
          <w:sz w:val="24"/>
          <w:highlight w:val="none"/>
        </w:rPr>
        <w:t>评分细则</w:t>
      </w:r>
      <w:bookmarkEnd w:id="55"/>
      <w:r>
        <w:rPr>
          <w:rFonts w:hint="eastAsia" w:ascii="宋体" w:hAnsi="宋体" w:eastAsia="宋体" w:cs="宋体"/>
          <w:b/>
          <w:sz w:val="24"/>
          <w:highlight w:val="none"/>
          <w:lang w:val="en-US" w:eastAsia="zh-CN"/>
        </w:rPr>
        <w:t xml:space="preserve">  </w:t>
      </w:r>
    </w:p>
    <w:p>
      <w:pPr>
        <w:numPr>
          <w:ilvl w:val="0"/>
          <w:numId w:val="0"/>
        </w:numPr>
        <w:spacing w:line="440" w:lineRule="exact"/>
        <w:jc w:val="left"/>
        <w:rPr>
          <w:rFonts w:hint="eastAsia" w:ascii="宋体" w:hAnsi="宋体" w:cs="宋体"/>
          <w:b/>
          <w:bCs/>
          <w:iCs/>
          <w:sz w:val="24"/>
          <w:highlight w:val="none"/>
          <w:lang w:val="en-US" w:eastAsia="zh-CN"/>
        </w:rPr>
      </w:pP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技术</w:t>
      </w:r>
      <w:r>
        <w:rPr>
          <w:rFonts w:hint="eastAsia" w:ascii="宋体" w:hAnsi="宋体" w:eastAsia="宋体" w:cs="宋体"/>
          <w:bCs/>
          <w:sz w:val="24"/>
          <w:szCs w:val="24"/>
          <w:highlight w:val="none"/>
          <w:lang w:eastAsia="zh-CN"/>
        </w:rPr>
        <w:t>及</w:t>
      </w:r>
      <w:r>
        <w:rPr>
          <w:rFonts w:hint="eastAsia" w:ascii="宋体" w:hAnsi="宋体" w:eastAsia="宋体" w:cs="宋体"/>
          <w:bCs/>
          <w:sz w:val="24"/>
          <w:szCs w:val="24"/>
          <w:highlight w:val="none"/>
        </w:rPr>
        <w:t>资信分</w:t>
      </w:r>
      <w:r>
        <w:rPr>
          <w:rFonts w:hint="eastAsia" w:ascii="宋体" w:hAnsi="宋体" w:cs="宋体"/>
          <w:bCs/>
          <w:sz w:val="24"/>
          <w:szCs w:val="24"/>
          <w:highlight w:val="none"/>
          <w:lang w:val="en-US" w:eastAsia="zh-CN"/>
        </w:rPr>
        <w:t>70</w:t>
      </w:r>
      <w:r>
        <w:rPr>
          <w:rFonts w:hint="eastAsia" w:ascii="宋体" w:hAnsi="宋体" w:eastAsia="宋体" w:cs="宋体"/>
          <w:bCs/>
          <w:sz w:val="24"/>
          <w:szCs w:val="24"/>
          <w:highlight w:val="none"/>
        </w:rPr>
        <w:t>分。</w:t>
      </w:r>
      <w:bookmarkStart w:id="56" w:name="_Toc3938"/>
      <w:bookmarkStart w:id="57" w:name="_Toc2033"/>
    </w:p>
    <w:tbl>
      <w:tblPr>
        <w:tblStyle w:val="30"/>
        <w:tblW w:w="94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287"/>
        <w:gridCol w:w="6138"/>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19" w:type="dxa"/>
            <w:noWrap w:val="0"/>
            <w:vAlign w:val="center"/>
          </w:tcPr>
          <w:p>
            <w:pPr>
              <w:widowControl/>
              <w:spacing w:line="360" w:lineRule="auto"/>
              <w:jc w:val="center"/>
              <w:rPr>
                <w:rFonts w:hint="eastAsia" w:ascii="宋体" w:hAnsi="宋体" w:eastAsia="宋体" w:cs="宋体"/>
                <w:b/>
                <w:bCs/>
                <w:kern w:val="0"/>
                <w:sz w:val="24"/>
                <w:lang w:eastAsia="zh-CN"/>
              </w:rPr>
            </w:pPr>
            <w:bookmarkStart w:id="58" w:name="_Toc51922720"/>
            <w:bookmarkStart w:id="59" w:name="_Toc358295733"/>
            <w:r>
              <w:rPr>
                <w:rFonts w:hint="eastAsia" w:ascii="宋体" w:hAnsi="宋体" w:cs="宋体"/>
                <w:b/>
                <w:bCs/>
                <w:kern w:val="0"/>
                <w:sz w:val="24"/>
                <w:lang w:eastAsia="zh-CN"/>
              </w:rPr>
              <w:t>序号</w:t>
            </w:r>
          </w:p>
        </w:tc>
        <w:tc>
          <w:tcPr>
            <w:tcW w:w="7425" w:type="dxa"/>
            <w:gridSpan w:val="2"/>
            <w:noWrap w:val="0"/>
            <w:vAlign w:val="center"/>
          </w:tcPr>
          <w:p>
            <w:pPr>
              <w:widowControl/>
              <w:spacing w:line="360" w:lineRule="auto"/>
              <w:jc w:val="center"/>
              <w:rPr>
                <w:rFonts w:hint="eastAsia" w:ascii="宋体" w:hAnsi="宋体" w:eastAsia="宋体" w:cs="宋体"/>
                <w:sz w:val="24"/>
              </w:rPr>
            </w:pPr>
            <w:r>
              <w:rPr>
                <w:rFonts w:hint="eastAsia" w:ascii="宋体" w:hAnsi="宋体" w:eastAsia="宋体" w:cs="宋体"/>
                <w:b/>
                <w:bCs/>
                <w:kern w:val="0"/>
                <w:sz w:val="24"/>
              </w:rPr>
              <w:t>评审内容</w:t>
            </w:r>
          </w:p>
        </w:tc>
        <w:tc>
          <w:tcPr>
            <w:tcW w:w="1188" w:type="dxa"/>
            <w:noWrap w:val="0"/>
            <w:vAlign w:val="center"/>
          </w:tcPr>
          <w:p>
            <w:pPr>
              <w:widowControl/>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评分范围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19" w:type="dxa"/>
            <w:noWrap w:val="0"/>
            <w:vAlign w:val="center"/>
          </w:tcPr>
          <w:p>
            <w:pPr>
              <w:widowControl/>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w:t>
            </w:r>
          </w:p>
        </w:tc>
        <w:tc>
          <w:tcPr>
            <w:tcW w:w="1287" w:type="dxa"/>
            <w:noWrap w:val="0"/>
            <w:vAlign w:val="center"/>
          </w:tcPr>
          <w:p>
            <w:pPr>
              <w:widowControl/>
              <w:spacing w:line="360" w:lineRule="auto"/>
              <w:jc w:val="center"/>
              <w:rPr>
                <w:rFonts w:hint="eastAsia" w:ascii="宋体" w:hAnsi="宋体" w:eastAsia="宋体" w:cs="宋体"/>
                <w:b/>
                <w:bCs/>
                <w:kern w:val="0"/>
                <w:sz w:val="24"/>
              </w:rPr>
            </w:pPr>
            <w:bookmarkStart w:id="60" w:name="OLE_LINK25"/>
            <w:r>
              <w:rPr>
                <w:rFonts w:hint="eastAsia" w:ascii="宋体" w:hAnsi="宋体" w:eastAsia="宋体" w:cs="宋体"/>
                <w:sz w:val="24"/>
              </w:rPr>
              <w:t>供应商业绩</w:t>
            </w:r>
            <w:bookmarkEnd w:id="60"/>
          </w:p>
        </w:tc>
        <w:tc>
          <w:tcPr>
            <w:tcW w:w="6138" w:type="dxa"/>
            <w:noWrap w:val="0"/>
            <w:vAlign w:val="center"/>
          </w:tcPr>
          <w:p>
            <w:pPr>
              <w:spacing w:line="360" w:lineRule="auto"/>
              <w:jc w:val="left"/>
              <w:rPr>
                <w:rFonts w:hint="eastAsia" w:ascii="宋体" w:hAnsi="宋体" w:eastAsia="宋体" w:cs="宋体"/>
                <w:b/>
                <w:bCs/>
                <w:kern w:val="0"/>
                <w:sz w:val="24"/>
              </w:rPr>
            </w:pPr>
            <w:bookmarkStart w:id="61" w:name="OLE_LINK26"/>
            <w:r>
              <w:rPr>
                <w:rFonts w:hint="eastAsia" w:ascii="宋体" w:hAnsi="宋体" w:eastAsia="宋体" w:cs="宋体"/>
                <w:sz w:val="24"/>
              </w:rPr>
              <w:t>供应商自202</w:t>
            </w:r>
            <w:r>
              <w:rPr>
                <w:rFonts w:hint="eastAsia" w:ascii="宋体" w:hAnsi="宋体" w:eastAsia="宋体" w:cs="宋体"/>
                <w:sz w:val="24"/>
                <w:lang w:val="en-US" w:eastAsia="zh-CN"/>
              </w:rPr>
              <w:t>2</w:t>
            </w:r>
            <w:r>
              <w:rPr>
                <w:rFonts w:hint="eastAsia" w:ascii="宋体" w:hAnsi="宋体" w:eastAsia="宋体" w:cs="宋体"/>
                <w:sz w:val="24"/>
              </w:rPr>
              <w:t>年1月1日以来承接过</w:t>
            </w:r>
            <w:bookmarkStart w:id="62" w:name="OLE_LINK13"/>
            <w:r>
              <w:rPr>
                <w:rFonts w:hint="eastAsia" w:ascii="宋体" w:hAnsi="宋体" w:eastAsia="宋体" w:cs="宋体"/>
                <w:sz w:val="24"/>
              </w:rPr>
              <w:t>类似</w:t>
            </w:r>
            <w:r>
              <w:rPr>
                <w:rFonts w:hint="eastAsia" w:ascii="宋体" w:hAnsi="宋体" w:cs="宋体"/>
                <w:sz w:val="24"/>
                <w:lang w:eastAsia="zh-CN"/>
              </w:rPr>
              <w:t>项目</w:t>
            </w:r>
            <w:r>
              <w:rPr>
                <w:rFonts w:hint="eastAsia" w:ascii="宋体" w:hAnsi="宋体" w:eastAsia="宋体" w:cs="宋体"/>
                <w:sz w:val="24"/>
              </w:rPr>
              <w:t>业绩的每个得1分</w:t>
            </w:r>
            <w:bookmarkEnd w:id="62"/>
            <w:r>
              <w:rPr>
                <w:rFonts w:hint="eastAsia" w:ascii="宋体" w:hAnsi="宋体" w:eastAsia="宋体" w:cs="宋体"/>
                <w:sz w:val="24"/>
              </w:rPr>
              <w:t>，最高得2分；</w:t>
            </w:r>
            <w:r>
              <w:rPr>
                <w:rFonts w:hint="eastAsia" w:ascii="宋体" w:hAnsi="宋体" w:eastAsia="宋体" w:cs="宋体"/>
                <w:b/>
                <w:bCs/>
                <w:kern w:val="0"/>
                <w:sz w:val="24"/>
              </w:rPr>
              <w:t>提供合同复印件加盖CA签章，以合同签订时间为准。</w:t>
            </w:r>
            <w:bookmarkEnd w:id="61"/>
          </w:p>
        </w:tc>
        <w:tc>
          <w:tcPr>
            <w:tcW w:w="1188"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jc w:val="center"/>
        </w:trPr>
        <w:tc>
          <w:tcPr>
            <w:tcW w:w="819" w:type="dxa"/>
            <w:noWrap w:val="0"/>
            <w:vAlign w:val="center"/>
          </w:tcPr>
          <w:p>
            <w:pPr>
              <w:widowControl/>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w:t>
            </w:r>
          </w:p>
        </w:tc>
        <w:tc>
          <w:tcPr>
            <w:tcW w:w="1287" w:type="dxa"/>
            <w:noWrap w:val="0"/>
            <w:vAlign w:val="center"/>
          </w:tcPr>
          <w:p>
            <w:pPr>
              <w:spacing w:line="360" w:lineRule="auto"/>
              <w:jc w:val="center"/>
              <w:rPr>
                <w:rFonts w:hint="eastAsia" w:ascii="宋体" w:hAnsi="宋体" w:eastAsia="宋体" w:cs="宋体"/>
                <w:sz w:val="24"/>
              </w:rPr>
            </w:pPr>
            <w:bookmarkStart w:id="63" w:name="OLE_LINK27"/>
            <w:r>
              <w:rPr>
                <w:rFonts w:hint="eastAsia" w:ascii="宋体" w:hAnsi="宋体" w:eastAsia="宋体" w:cs="宋体"/>
                <w:kern w:val="0"/>
                <w:sz w:val="24"/>
              </w:rPr>
              <w:t>项目组人员配置</w:t>
            </w:r>
            <w:bookmarkEnd w:id="63"/>
          </w:p>
        </w:tc>
        <w:tc>
          <w:tcPr>
            <w:tcW w:w="6138" w:type="dxa"/>
            <w:noWrap w:val="0"/>
            <w:vAlign w:val="center"/>
          </w:tcPr>
          <w:p>
            <w:pPr>
              <w:spacing w:line="360" w:lineRule="auto"/>
              <w:jc w:val="left"/>
              <w:rPr>
                <w:rFonts w:hint="eastAsia" w:ascii="宋体" w:hAnsi="宋体" w:eastAsia="宋体" w:cs="宋体"/>
                <w:sz w:val="24"/>
              </w:rPr>
            </w:pPr>
            <w:bookmarkStart w:id="64" w:name="OLE_LINK28"/>
            <w:r>
              <w:rPr>
                <w:rFonts w:hint="eastAsia" w:ascii="宋体" w:hAnsi="宋体" w:eastAsia="宋体" w:cs="宋体"/>
                <w:sz w:val="24"/>
              </w:rPr>
              <w:t>根</w:t>
            </w:r>
            <w:r>
              <w:rPr>
                <w:rFonts w:hint="eastAsia" w:ascii="宋体" w:hAnsi="宋体" w:eastAsia="宋体" w:cs="宋体"/>
                <w:color w:val="auto"/>
                <w:sz w:val="24"/>
              </w:rPr>
              <w:t>据供应商对本项目的人员安排以及职责划分方案的全面性</w:t>
            </w:r>
            <w:r>
              <w:rPr>
                <w:rFonts w:hint="eastAsia" w:ascii="宋体" w:hAnsi="宋体" w:cs="宋体"/>
                <w:color w:val="auto"/>
                <w:sz w:val="24"/>
                <w:lang w:eastAsia="zh-CN"/>
              </w:rPr>
              <w:t>进行评分。</w:t>
            </w:r>
            <w:r>
              <w:rPr>
                <w:rFonts w:hint="eastAsia" w:ascii="宋体" w:hAnsi="宋体" w:eastAsia="宋体" w:cs="宋体"/>
                <w:sz w:val="24"/>
              </w:rPr>
              <w:t>（</w:t>
            </w:r>
            <w:r>
              <w:rPr>
                <w:rFonts w:hint="eastAsia" w:ascii="宋体" w:hAnsi="宋体" w:cs="宋体"/>
                <w:sz w:val="24"/>
                <w:lang w:val="en-US" w:eastAsia="zh-CN"/>
              </w:rPr>
              <w:t>2,1.5,1,0.5,0</w:t>
            </w:r>
            <w:r>
              <w:rPr>
                <w:rFonts w:hint="eastAsia" w:ascii="宋体" w:hAnsi="宋体" w:eastAsia="宋体" w:cs="宋体"/>
                <w:sz w:val="24"/>
              </w:rPr>
              <w:t>分）</w:t>
            </w:r>
          </w:p>
          <w:p>
            <w:pPr>
              <w:spacing w:line="360" w:lineRule="auto"/>
              <w:jc w:val="left"/>
              <w:rPr>
                <w:rFonts w:hint="eastAsia" w:ascii="宋体" w:hAnsi="宋体" w:eastAsia="宋体" w:cs="宋体"/>
                <w:sz w:val="24"/>
              </w:rPr>
            </w:pPr>
            <w:r>
              <w:rPr>
                <w:rFonts w:hint="eastAsia" w:ascii="宋体" w:hAnsi="宋体" w:eastAsia="宋体" w:cs="宋体"/>
                <w:b/>
                <w:bCs/>
                <w:kern w:val="0"/>
                <w:sz w:val="24"/>
              </w:rPr>
              <w:t>提供证明资料和近三个月社保证明加盖CA签章。</w:t>
            </w:r>
            <w:bookmarkEnd w:id="64"/>
          </w:p>
        </w:tc>
        <w:tc>
          <w:tcPr>
            <w:tcW w:w="1188"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0-</w:t>
            </w:r>
            <w:r>
              <w:rPr>
                <w:rFonts w:hint="eastAsia" w:ascii="宋体" w:hAnsi="宋体" w:cs="宋体"/>
                <w:sz w:val="24"/>
                <w:lang w:val="en-US" w:eastAsia="zh-CN"/>
              </w:rPr>
              <w:t>2</w:t>
            </w:r>
            <w:r>
              <w:rPr>
                <w:rFonts w:hint="eastAsia" w:ascii="宋体" w:hAnsi="宋体" w:eastAsia="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19" w:type="dxa"/>
            <w:noWrap w:val="0"/>
            <w:vAlign w:val="center"/>
          </w:tcPr>
          <w:p>
            <w:pPr>
              <w:widowControl/>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w:t>
            </w:r>
          </w:p>
        </w:tc>
        <w:tc>
          <w:tcPr>
            <w:tcW w:w="1287" w:type="dxa"/>
            <w:noWrap w:val="0"/>
            <w:vAlign w:val="center"/>
          </w:tcPr>
          <w:p>
            <w:pPr>
              <w:widowControl/>
              <w:spacing w:line="360" w:lineRule="auto"/>
              <w:jc w:val="center"/>
              <w:rPr>
                <w:rFonts w:hint="eastAsia" w:ascii="宋体" w:hAnsi="宋体" w:eastAsia="宋体" w:cs="宋体"/>
                <w:kern w:val="0"/>
                <w:sz w:val="24"/>
              </w:rPr>
            </w:pPr>
            <w:bookmarkStart w:id="65" w:name="OLE_LINK29"/>
            <w:r>
              <w:rPr>
                <w:rFonts w:hint="eastAsia" w:ascii="宋体" w:hAnsi="宋体" w:eastAsia="宋体" w:cs="宋体"/>
                <w:kern w:val="0"/>
                <w:sz w:val="24"/>
              </w:rPr>
              <w:t>设计理念</w:t>
            </w:r>
            <w:bookmarkEnd w:id="65"/>
          </w:p>
        </w:tc>
        <w:tc>
          <w:tcPr>
            <w:tcW w:w="6138" w:type="dxa"/>
            <w:noWrap w:val="0"/>
            <w:vAlign w:val="center"/>
          </w:tcPr>
          <w:p>
            <w:pPr>
              <w:spacing w:line="360" w:lineRule="auto"/>
              <w:jc w:val="left"/>
              <w:rPr>
                <w:rFonts w:hint="eastAsia" w:ascii="宋体" w:hAnsi="宋体" w:eastAsia="宋体" w:cs="宋体"/>
                <w:sz w:val="24"/>
              </w:rPr>
            </w:pPr>
            <w:bookmarkStart w:id="66" w:name="OLE_LINK30"/>
            <w:r>
              <w:rPr>
                <w:rFonts w:hint="eastAsia" w:ascii="宋体" w:hAnsi="宋体" w:eastAsia="宋体" w:cs="宋体"/>
                <w:sz w:val="24"/>
                <w:lang w:val="zh-CN"/>
              </w:rPr>
              <w:t>根据供应商提供</w:t>
            </w:r>
            <w:r>
              <w:rPr>
                <w:rFonts w:hint="eastAsia" w:ascii="宋体" w:hAnsi="宋体" w:eastAsia="宋体" w:cs="宋体"/>
                <w:sz w:val="24"/>
              </w:rPr>
              <w:t>的方案设计定位是否新颖、独特，能否解决项目现有痛点及增加项目亮点；同时考察设计深度是否足够，能否为项目实施提供充分的依据和指导进行综合评分。（</w:t>
            </w:r>
            <w:r>
              <w:rPr>
                <w:rFonts w:hint="eastAsia" w:ascii="宋体" w:hAnsi="宋体" w:eastAsia="宋体" w:cs="宋体"/>
                <w:sz w:val="24"/>
                <w:lang w:val="en-US" w:eastAsia="zh-CN"/>
              </w:rPr>
              <w:t>5,4,3,2,1,0</w:t>
            </w:r>
            <w:r>
              <w:rPr>
                <w:rFonts w:hint="eastAsia" w:ascii="宋体" w:hAnsi="宋体" w:eastAsia="宋体" w:cs="宋体"/>
                <w:sz w:val="24"/>
              </w:rPr>
              <w:t>分）</w:t>
            </w:r>
            <w:bookmarkEnd w:id="66"/>
          </w:p>
        </w:tc>
        <w:tc>
          <w:tcPr>
            <w:tcW w:w="1188"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jc w:val="center"/>
        </w:trPr>
        <w:tc>
          <w:tcPr>
            <w:tcW w:w="819" w:type="dxa"/>
            <w:vMerge w:val="restart"/>
            <w:noWrap w:val="0"/>
            <w:vAlign w:val="center"/>
          </w:tcPr>
          <w:p>
            <w:pPr>
              <w:widowControl/>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w:t>
            </w:r>
          </w:p>
        </w:tc>
        <w:tc>
          <w:tcPr>
            <w:tcW w:w="1287" w:type="dxa"/>
            <w:vMerge w:val="restart"/>
            <w:noWrap w:val="0"/>
            <w:vAlign w:val="center"/>
          </w:tcPr>
          <w:p>
            <w:pPr>
              <w:spacing w:line="360" w:lineRule="auto"/>
              <w:jc w:val="center"/>
              <w:rPr>
                <w:rFonts w:hint="eastAsia" w:ascii="宋体" w:hAnsi="宋体" w:eastAsia="宋体" w:cs="宋体"/>
                <w:sz w:val="24"/>
                <w:lang w:val="zh-CN"/>
              </w:rPr>
            </w:pPr>
            <w:bookmarkStart w:id="67" w:name="OLE_LINK31"/>
            <w:r>
              <w:rPr>
                <w:rFonts w:hint="eastAsia" w:ascii="宋体" w:hAnsi="宋体" w:eastAsia="宋体" w:cs="宋体"/>
                <w:sz w:val="24"/>
                <w:lang w:val="zh-CN"/>
              </w:rPr>
              <w:t>布局合理、功能完善</w:t>
            </w:r>
            <w:bookmarkEnd w:id="67"/>
          </w:p>
        </w:tc>
        <w:tc>
          <w:tcPr>
            <w:tcW w:w="6138" w:type="dxa"/>
            <w:noWrap w:val="0"/>
            <w:vAlign w:val="center"/>
          </w:tcPr>
          <w:p>
            <w:pPr>
              <w:spacing w:line="360" w:lineRule="auto"/>
              <w:jc w:val="left"/>
              <w:rPr>
                <w:rFonts w:hint="eastAsia" w:ascii="宋体" w:hAnsi="宋体" w:eastAsia="宋体" w:cs="宋体"/>
                <w:sz w:val="24"/>
              </w:rPr>
            </w:pPr>
            <w:bookmarkStart w:id="68" w:name="OLE_LINK32"/>
            <w:r>
              <w:rPr>
                <w:rFonts w:hint="eastAsia" w:ascii="宋体" w:hAnsi="宋体" w:eastAsia="宋体" w:cs="宋体"/>
                <w:sz w:val="24"/>
                <w:lang w:val="zh-CN"/>
              </w:rPr>
              <w:t>根据供应商提供的方案布局规划是否合理，能否充分利用现有条件，实现空间的最大化利用；分区是否明确，能否满足</w:t>
            </w:r>
            <w:r>
              <w:rPr>
                <w:rFonts w:hint="eastAsia" w:ascii="宋体" w:hAnsi="宋体" w:cs="宋体"/>
                <w:sz w:val="24"/>
                <w:lang w:val="en-US" w:eastAsia="zh-CN"/>
              </w:rPr>
              <w:t>实际使用</w:t>
            </w:r>
            <w:r>
              <w:rPr>
                <w:rFonts w:hint="eastAsia" w:ascii="宋体" w:hAnsi="宋体" w:eastAsia="宋体" w:cs="宋体"/>
                <w:sz w:val="24"/>
                <w:lang w:val="zh-CN"/>
              </w:rPr>
              <w:t>需求进行评分</w:t>
            </w:r>
            <w:r>
              <w:rPr>
                <w:rFonts w:hint="eastAsia" w:ascii="宋体" w:hAnsi="宋体" w:cs="宋体"/>
                <w:sz w:val="24"/>
                <w:lang w:val="zh-CN"/>
              </w:rPr>
              <w:t>。</w:t>
            </w:r>
            <w:r>
              <w:rPr>
                <w:rFonts w:hint="eastAsia" w:ascii="宋体" w:hAnsi="宋体" w:eastAsia="宋体" w:cs="宋体"/>
                <w:sz w:val="24"/>
                <w:lang w:val="zh-CN"/>
              </w:rPr>
              <w:t>（</w:t>
            </w:r>
            <w:r>
              <w:rPr>
                <w:rFonts w:hint="eastAsia" w:ascii="宋体" w:hAnsi="宋体" w:eastAsia="宋体" w:cs="宋体"/>
                <w:sz w:val="24"/>
                <w:lang w:val="en-US" w:eastAsia="zh-CN"/>
              </w:rPr>
              <w:t>5,4,3,2,1,0</w:t>
            </w:r>
            <w:r>
              <w:rPr>
                <w:rFonts w:hint="eastAsia" w:ascii="宋体" w:hAnsi="宋体" w:eastAsia="宋体" w:cs="宋体"/>
                <w:sz w:val="24"/>
              </w:rPr>
              <w:t>分</w:t>
            </w:r>
            <w:r>
              <w:rPr>
                <w:rFonts w:hint="eastAsia" w:ascii="宋体" w:hAnsi="宋体" w:eastAsia="宋体" w:cs="宋体"/>
                <w:sz w:val="24"/>
                <w:lang w:val="zh-CN"/>
              </w:rPr>
              <w:t>）</w:t>
            </w:r>
            <w:bookmarkEnd w:id="68"/>
          </w:p>
        </w:tc>
        <w:tc>
          <w:tcPr>
            <w:tcW w:w="1188"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0-</w:t>
            </w:r>
            <w:r>
              <w:rPr>
                <w:rFonts w:hint="eastAsia" w:ascii="宋体" w:hAnsi="宋体" w:eastAsia="宋体" w:cs="宋体"/>
                <w:sz w:val="24"/>
                <w:lang w:val="en-US" w:eastAsia="zh-CN"/>
              </w:rPr>
              <w:t>5</w:t>
            </w:r>
            <w:r>
              <w:rPr>
                <w:rFonts w:hint="eastAsia" w:ascii="宋体" w:hAnsi="宋体" w:eastAsia="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819" w:type="dxa"/>
            <w:vMerge w:val="continue"/>
            <w:noWrap w:val="0"/>
            <w:vAlign w:val="center"/>
          </w:tcPr>
          <w:p>
            <w:pPr>
              <w:widowControl/>
              <w:spacing w:line="360" w:lineRule="auto"/>
              <w:jc w:val="center"/>
              <w:rPr>
                <w:rFonts w:hint="eastAsia" w:ascii="宋体" w:hAnsi="宋体" w:eastAsia="宋体" w:cs="宋体"/>
                <w:kern w:val="0"/>
                <w:sz w:val="24"/>
                <w:lang w:val="en-US" w:eastAsia="zh-CN"/>
              </w:rPr>
            </w:pPr>
          </w:p>
        </w:tc>
        <w:tc>
          <w:tcPr>
            <w:tcW w:w="1287" w:type="dxa"/>
            <w:vMerge w:val="continue"/>
            <w:noWrap w:val="0"/>
            <w:vAlign w:val="center"/>
          </w:tcPr>
          <w:p>
            <w:pPr>
              <w:widowControl/>
              <w:spacing w:line="360" w:lineRule="auto"/>
              <w:jc w:val="left"/>
              <w:rPr>
                <w:rFonts w:hint="eastAsia" w:ascii="宋体" w:hAnsi="宋体" w:eastAsia="宋体" w:cs="宋体"/>
                <w:kern w:val="0"/>
                <w:sz w:val="24"/>
              </w:rPr>
            </w:pPr>
          </w:p>
        </w:tc>
        <w:tc>
          <w:tcPr>
            <w:tcW w:w="6138" w:type="dxa"/>
            <w:noWrap w:val="0"/>
            <w:vAlign w:val="center"/>
          </w:tcPr>
          <w:p>
            <w:pPr>
              <w:spacing w:line="360" w:lineRule="auto"/>
              <w:jc w:val="left"/>
              <w:rPr>
                <w:rFonts w:hint="eastAsia" w:ascii="宋体" w:hAnsi="宋体" w:eastAsia="宋体" w:cs="宋体"/>
                <w:sz w:val="24"/>
                <w:lang w:val="zh-CN"/>
              </w:rPr>
            </w:pPr>
            <w:bookmarkStart w:id="69" w:name="OLE_LINK33"/>
            <w:r>
              <w:rPr>
                <w:rFonts w:hint="eastAsia" w:ascii="宋体" w:hAnsi="宋体" w:eastAsia="宋体" w:cs="宋体"/>
                <w:sz w:val="24"/>
              </w:rPr>
              <w:t>根据供应商提供的各区平面布局图和流线图的连贯性及便捷性进行评分。</w:t>
            </w:r>
            <w:r>
              <w:rPr>
                <w:rFonts w:hint="eastAsia" w:ascii="宋体" w:hAnsi="宋体" w:eastAsia="宋体" w:cs="宋体"/>
                <w:sz w:val="24"/>
                <w:lang w:val="zh-CN"/>
              </w:rPr>
              <w:t>（</w:t>
            </w:r>
            <w:r>
              <w:rPr>
                <w:rFonts w:hint="eastAsia" w:ascii="宋体" w:hAnsi="宋体" w:eastAsia="宋体" w:cs="宋体"/>
                <w:sz w:val="24"/>
                <w:lang w:val="en-US" w:eastAsia="zh-CN"/>
              </w:rPr>
              <w:t>5,4,3,2,1,0</w:t>
            </w:r>
            <w:r>
              <w:rPr>
                <w:rFonts w:hint="eastAsia" w:ascii="宋体" w:hAnsi="宋体" w:eastAsia="宋体" w:cs="宋体"/>
                <w:sz w:val="24"/>
              </w:rPr>
              <w:t>分</w:t>
            </w:r>
            <w:r>
              <w:rPr>
                <w:rFonts w:hint="eastAsia" w:ascii="宋体" w:hAnsi="宋体" w:eastAsia="宋体" w:cs="宋体"/>
                <w:sz w:val="24"/>
                <w:lang w:val="zh-CN"/>
              </w:rPr>
              <w:t>）</w:t>
            </w:r>
            <w:bookmarkEnd w:id="69"/>
          </w:p>
        </w:tc>
        <w:tc>
          <w:tcPr>
            <w:tcW w:w="1188"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0-</w:t>
            </w:r>
            <w:r>
              <w:rPr>
                <w:rFonts w:hint="eastAsia" w:ascii="宋体" w:hAnsi="宋体" w:eastAsia="宋体" w:cs="宋体"/>
                <w:sz w:val="24"/>
                <w:lang w:val="en-US" w:eastAsia="zh-CN"/>
              </w:rPr>
              <w:t>5</w:t>
            </w:r>
            <w:r>
              <w:rPr>
                <w:rFonts w:hint="eastAsia" w:ascii="宋体" w:hAnsi="宋体" w:eastAsia="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819" w:type="dxa"/>
            <w:noWrap w:val="0"/>
            <w:vAlign w:val="center"/>
          </w:tcPr>
          <w:p>
            <w:pPr>
              <w:widowControl/>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5</w:t>
            </w:r>
          </w:p>
        </w:tc>
        <w:tc>
          <w:tcPr>
            <w:tcW w:w="1287" w:type="dxa"/>
            <w:noWrap w:val="0"/>
            <w:vAlign w:val="center"/>
          </w:tcPr>
          <w:p>
            <w:pPr>
              <w:spacing w:line="360" w:lineRule="auto"/>
              <w:jc w:val="center"/>
              <w:rPr>
                <w:rFonts w:hint="default" w:ascii="宋体" w:hAnsi="宋体" w:eastAsia="宋体" w:cs="宋体"/>
                <w:sz w:val="24"/>
                <w:lang w:val="en-US" w:eastAsia="zh-CN"/>
              </w:rPr>
            </w:pPr>
            <w:bookmarkStart w:id="70" w:name="OLE_LINK34"/>
            <w:r>
              <w:rPr>
                <w:rFonts w:hint="eastAsia" w:ascii="宋体" w:hAnsi="宋体" w:cs="宋体"/>
                <w:sz w:val="24"/>
                <w:lang w:val="en-US" w:eastAsia="zh-CN"/>
              </w:rPr>
              <w:t>效果演示</w:t>
            </w:r>
            <w:bookmarkEnd w:id="70"/>
          </w:p>
        </w:tc>
        <w:tc>
          <w:tcPr>
            <w:tcW w:w="6138" w:type="dxa"/>
            <w:noWrap w:val="0"/>
            <w:vAlign w:val="center"/>
          </w:tcPr>
          <w:p>
            <w:pPr>
              <w:spacing w:line="360" w:lineRule="auto"/>
              <w:jc w:val="left"/>
              <w:rPr>
                <w:rFonts w:hint="default" w:ascii="宋体" w:hAnsi="宋体" w:eastAsia="宋体" w:cs="宋体"/>
                <w:sz w:val="24"/>
                <w:lang w:val="en-US" w:eastAsia="zh-CN"/>
              </w:rPr>
            </w:pPr>
            <w:bookmarkStart w:id="71" w:name="OLE_LINK35"/>
            <w:r>
              <w:rPr>
                <w:rFonts w:hint="eastAsia" w:ascii="宋体" w:hAnsi="宋体" w:eastAsia="宋体" w:cs="宋体"/>
                <w:sz w:val="24"/>
                <w:lang w:val="zh-CN"/>
              </w:rPr>
              <w:t>根据投标人针对本项目提供的“茶文化中心”以360全景三维立体效果进行打分。（</w:t>
            </w:r>
            <w:r>
              <w:rPr>
                <w:rFonts w:hint="eastAsia" w:ascii="宋体" w:hAnsi="宋体" w:cs="宋体"/>
                <w:sz w:val="24"/>
                <w:lang w:val="en-US" w:eastAsia="zh-CN"/>
              </w:rPr>
              <w:t>10，8，6，4，2，0</w:t>
            </w:r>
            <w:r>
              <w:rPr>
                <w:rFonts w:hint="eastAsia" w:ascii="宋体" w:hAnsi="宋体" w:eastAsia="宋体" w:cs="宋体"/>
                <w:sz w:val="24"/>
                <w:lang w:val="zh-CN"/>
              </w:rPr>
              <w:t>）</w:t>
            </w:r>
            <w:r>
              <w:rPr>
                <w:rFonts w:hint="eastAsia" w:ascii="宋体" w:hAnsi="宋体" w:eastAsia="宋体" w:cs="宋体"/>
                <w:sz w:val="24"/>
                <w:lang w:val="zh-CN"/>
              </w:rPr>
              <w:br w:type="textWrapping"/>
            </w:r>
            <w:r>
              <w:rPr>
                <w:rFonts w:hint="eastAsia" w:eastAsia="宋体"/>
                <w:color w:val="auto"/>
                <w:highlight w:val="none"/>
                <w:lang w:val="en-US" w:eastAsia="zh-CN"/>
              </w:rPr>
              <w:t>演示视频采用通用格式，Ｕ盘存储，因视频格式及存储问题导致不能播放，后果由投标人承担。未提供视频演示或不能满足要求的不得分，演示时间不超过5分钟，超过5分钟扣2分。</w:t>
            </w:r>
            <w:bookmarkEnd w:id="71"/>
          </w:p>
        </w:tc>
        <w:tc>
          <w:tcPr>
            <w:tcW w:w="1188"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0</w:t>
            </w:r>
            <w:r>
              <w:rPr>
                <w:rFonts w:hint="eastAsia" w:ascii="宋体" w:hAnsi="宋体" w:cs="宋体"/>
                <w:sz w:val="24"/>
                <w:lang w:val="en-US" w:eastAsia="zh-CN"/>
              </w:rPr>
              <w:t>-10</w:t>
            </w:r>
            <w:r>
              <w:rPr>
                <w:rFonts w:hint="eastAsia" w:ascii="宋体" w:hAnsi="宋体" w:eastAsia="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819" w:type="dxa"/>
            <w:noWrap w:val="0"/>
            <w:vAlign w:val="center"/>
          </w:tcPr>
          <w:p>
            <w:pPr>
              <w:widowControl/>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6</w:t>
            </w:r>
          </w:p>
        </w:tc>
        <w:tc>
          <w:tcPr>
            <w:tcW w:w="1287" w:type="dxa"/>
            <w:noWrap w:val="0"/>
            <w:vAlign w:val="center"/>
          </w:tcPr>
          <w:p>
            <w:pPr>
              <w:widowControl/>
              <w:spacing w:line="360" w:lineRule="auto"/>
              <w:jc w:val="left"/>
              <w:rPr>
                <w:rFonts w:hint="eastAsia" w:ascii="宋体" w:hAnsi="宋体" w:eastAsia="宋体" w:cs="宋体"/>
                <w:sz w:val="24"/>
              </w:rPr>
            </w:pPr>
            <w:bookmarkStart w:id="72" w:name="OLE_LINK36"/>
            <w:r>
              <w:rPr>
                <w:rFonts w:hint="eastAsia" w:ascii="宋体" w:hAnsi="宋体" w:eastAsia="宋体" w:cs="宋体"/>
                <w:sz w:val="24"/>
              </w:rPr>
              <w:t>技术指标响应程度</w:t>
            </w:r>
            <w:bookmarkEnd w:id="72"/>
          </w:p>
        </w:tc>
        <w:tc>
          <w:tcPr>
            <w:tcW w:w="6138" w:type="dxa"/>
            <w:noWrap w:val="0"/>
            <w:vAlign w:val="center"/>
          </w:tcPr>
          <w:p>
            <w:pPr>
              <w:widowControl/>
              <w:spacing w:line="360" w:lineRule="auto"/>
              <w:jc w:val="left"/>
              <w:rPr>
                <w:rFonts w:hint="eastAsia" w:ascii="宋体" w:hAnsi="宋体" w:eastAsia="宋体" w:cs="宋体"/>
                <w:sz w:val="24"/>
                <w:lang w:val="zh-CN"/>
              </w:rPr>
            </w:pPr>
            <w:bookmarkStart w:id="73" w:name="OLE_LINK37"/>
            <w:r>
              <w:rPr>
                <w:rFonts w:hint="eastAsia" w:ascii="宋体" w:hAnsi="宋体" w:eastAsia="宋体" w:cs="宋体"/>
                <w:sz w:val="24"/>
              </w:rPr>
              <w:t>完全满足招标文件主要清单中技术参数配置要求的得3分，打“▲”的指标出现负偏离或缺漏项的每项扣</w:t>
            </w:r>
            <w:r>
              <w:rPr>
                <w:rFonts w:hint="eastAsia" w:ascii="宋体" w:hAnsi="宋体" w:eastAsia="宋体" w:cs="宋体"/>
                <w:sz w:val="24"/>
                <w:lang w:val="en-US" w:eastAsia="zh-CN"/>
              </w:rPr>
              <w:t>0.5</w:t>
            </w:r>
            <w:r>
              <w:rPr>
                <w:rFonts w:hint="eastAsia" w:ascii="宋体" w:hAnsi="宋体" w:eastAsia="宋体" w:cs="宋体"/>
                <w:sz w:val="24"/>
              </w:rPr>
              <w:t>分</w:t>
            </w:r>
            <w:r>
              <w:rPr>
                <w:rFonts w:hint="eastAsia" w:ascii="宋体" w:hAnsi="宋体" w:eastAsia="宋体" w:cs="宋体"/>
                <w:sz w:val="24"/>
                <w:lang w:eastAsia="zh-CN"/>
              </w:rPr>
              <w:t>，</w:t>
            </w:r>
            <w:r>
              <w:rPr>
                <w:rFonts w:hint="eastAsia" w:ascii="宋体" w:hAnsi="宋体" w:eastAsia="宋体" w:cs="宋体"/>
                <w:sz w:val="24"/>
                <w:lang w:val="en-US" w:eastAsia="zh-CN"/>
              </w:rPr>
              <w:t>扣完为止</w:t>
            </w:r>
            <w:r>
              <w:rPr>
                <w:rFonts w:hint="eastAsia" w:ascii="宋体" w:hAnsi="宋体" w:eastAsia="宋体" w:cs="宋体"/>
                <w:sz w:val="24"/>
              </w:rPr>
              <w:t>。</w:t>
            </w:r>
            <w:bookmarkEnd w:id="73"/>
          </w:p>
        </w:tc>
        <w:tc>
          <w:tcPr>
            <w:tcW w:w="1188" w:type="dxa"/>
            <w:noWrap w:val="0"/>
            <w:vAlign w:val="center"/>
          </w:tcPr>
          <w:p>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819" w:type="dxa"/>
            <w:noWrap w:val="0"/>
            <w:vAlign w:val="center"/>
          </w:tcPr>
          <w:p>
            <w:pPr>
              <w:widowControl/>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7</w:t>
            </w:r>
          </w:p>
        </w:tc>
        <w:tc>
          <w:tcPr>
            <w:tcW w:w="1287" w:type="dxa"/>
            <w:noWrap w:val="0"/>
            <w:vAlign w:val="center"/>
          </w:tcPr>
          <w:p>
            <w:pPr>
              <w:spacing w:line="360" w:lineRule="auto"/>
              <w:jc w:val="center"/>
              <w:rPr>
                <w:rFonts w:hint="eastAsia" w:ascii="宋体" w:hAnsi="宋体" w:eastAsia="宋体" w:cs="宋体"/>
                <w:sz w:val="24"/>
              </w:rPr>
            </w:pPr>
            <w:bookmarkStart w:id="74" w:name="OLE_LINK38"/>
            <w:r>
              <w:rPr>
                <w:rFonts w:hint="eastAsia" w:ascii="宋体" w:hAnsi="宋体" w:eastAsia="宋体" w:cs="宋体"/>
                <w:sz w:val="24"/>
              </w:rPr>
              <w:t>图纸</w:t>
            </w:r>
            <w:bookmarkEnd w:id="74"/>
          </w:p>
        </w:tc>
        <w:tc>
          <w:tcPr>
            <w:tcW w:w="6138" w:type="dxa"/>
            <w:noWrap w:val="0"/>
            <w:vAlign w:val="center"/>
          </w:tcPr>
          <w:p>
            <w:pPr>
              <w:spacing w:line="360" w:lineRule="auto"/>
              <w:jc w:val="left"/>
              <w:rPr>
                <w:rFonts w:hint="eastAsia" w:ascii="宋体" w:hAnsi="宋体" w:eastAsia="宋体" w:cs="宋体"/>
                <w:sz w:val="24"/>
              </w:rPr>
            </w:pPr>
            <w:bookmarkStart w:id="75" w:name="OLE_LINK39"/>
            <w:r>
              <w:rPr>
                <w:rFonts w:hint="eastAsia" w:ascii="宋体" w:hAnsi="宋体" w:eastAsia="宋体" w:cs="宋体"/>
                <w:sz w:val="24"/>
                <w:lang w:val="zh-CN"/>
              </w:rPr>
              <w:t>根据供应商提供的</w:t>
            </w:r>
            <w:r>
              <w:rPr>
                <w:rFonts w:hint="eastAsia" w:ascii="宋体" w:hAnsi="宋体" w:eastAsia="宋体" w:cs="宋体"/>
                <w:sz w:val="24"/>
              </w:rPr>
              <w:t>图纸是否</w:t>
            </w:r>
            <w:r>
              <w:rPr>
                <w:rFonts w:hint="eastAsia" w:ascii="宋体" w:hAnsi="宋体" w:eastAsia="宋体" w:cs="宋体"/>
                <w:sz w:val="24"/>
                <w:lang w:val="zh-CN"/>
              </w:rPr>
              <w:t>符合现场实际情况，内容</w:t>
            </w:r>
            <w:r>
              <w:rPr>
                <w:rFonts w:hint="eastAsia" w:ascii="宋体" w:hAnsi="宋体" w:eastAsia="宋体" w:cs="宋体"/>
                <w:sz w:val="24"/>
              </w:rPr>
              <w:t>是否详细</w:t>
            </w:r>
            <w:r>
              <w:rPr>
                <w:rFonts w:hint="eastAsia" w:ascii="宋体" w:hAnsi="宋体" w:eastAsia="宋体" w:cs="宋体"/>
                <w:sz w:val="24"/>
                <w:lang w:val="zh-CN"/>
              </w:rPr>
              <w:t>、</w:t>
            </w:r>
            <w:r>
              <w:rPr>
                <w:rFonts w:hint="eastAsia" w:ascii="宋体" w:hAnsi="宋体" w:eastAsia="宋体" w:cs="宋体"/>
                <w:sz w:val="24"/>
              </w:rPr>
              <w:t>图纸是否齐全</w:t>
            </w:r>
            <w:r>
              <w:rPr>
                <w:rFonts w:hint="eastAsia" w:ascii="宋体" w:hAnsi="宋体" w:eastAsia="宋体" w:cs="宋体"/>
                <w:sz w:val="24"/>
                <w:lang w:val="zh-CN"/>
              </w:rPr>
              <w:t>、节点</w:t>
            </w:r>
            <w:r>
              <w:rPr>
                <w:rFonts w:hint="eastAsia" w:ascii="宋体" w:hAnsi="宋体" w:eastAsia="宋体" w:cs="宋体"/>
                <w:sz w:val="24"/>
              </w:rPr>
              <w:t>是否</w:t>
            </w:r>
            <w:r>
              <w:rPr>
                <w:rFonts w:hint="eastAsia" w:ascii="宋体" w:hAnsi="宋体" w:eastAsia="宋体" w:cs="宋体"/>
                <w:sz w:val="24"/>
                <w:lang w:val="zh-CN"/>
              </w:rPr>
              <w:t>清晰</w:t>
            </w:r>
            <w:r>
              <w:rPr>
                <w:rFonts w:hint="eastAsia" w:ascii="宋体" w:hAnsi="宋体" w:eastAsia="宋体" w:cs="宋体"/>
                <w:sz w:val="24"/>
              </w:rPr>
              <w:t>，对图纸的可行性，可操作性进行评分。</w:t>
            </w:r>
            <w:bookmarkStart w:id="76" w:name="OLE_LINK1"/>
            <w:r>
              <w:rPr>
                <w:rFonts w:hint="eastAsia" w:ascii="宋体" w:hAnsi="宋体" w:eastAsia="宋体" w:cs="宋体"/>
                <w:sz w:val="24"/>
                <w:lang w:val="zh-CN"/>
              </w:rPr>
              <w:t>（</w:t>
            </w:r>
            <w:r>
              <w:rPr>
                <w:rFonts w:hint="eastAsia" w:ascii="宋体" w:hAnsi="宋体" w:eastAsia="宋体" w:cs="宋体"/>
                <w:sz w:val="24"/>
                <w:lang w:val="en-US" w:eastAsia="zh-CN"/>
              </w:rPr>
              <w:t>5</w:t>
            </w:r>
            <w:bookmarkStart w:id="77" w:name="OLE_LINK4"/>
            <w:r>
              <w:rPr>
                <w:rFonts w:hint="eastAsia" w:ascii="宋体" w:hAnsi="宋体" w:eastAsia="宋体" w:cs="宋体"/>
                <w:sz w:val="24"/>
                <w:lang w:val="en-US" w:eastAsia="zh-CN"/>
              </w:rPr>
              <w:t>,</w:t>
            </w:r>
            <w:bookmarkEnd w:id="77"/>
            <w:r>
              <w:rPr>
                <w:rFonts w:hint="eastAsia" w:ascii="宋体" w:hAnsi="宋体" w:eastAsia="宋体" w:cs="宋体"/>
                <w:sz w:val="24"/>
                <w:lang w:val="en-US" w:eastAsia="zh-CN"/>
              </w:rPr>
              <w:t>4,3,2,1,0</w:t>
            </w:r>
            <w:r>
              <w:rPr>
                <w:rFonts w:hint="eastAsia" w:ascii="宋体" w:hAnsi="宋体" w:eastAsia="宋体" w:cs="宋体"/>
                <w:sz w:val="24"/>
              </w:rPr>
              <w:t>分</w:t>
            </w:r>
            <w:r>
              <w:rPr>
                <w:rFonts w:hint="eastAsia" w:ascii="宋体" w:hAnsi="宋体" w:eastAsia="宋体" w:cs="宋体"/>
                <w:sz w:val="24"/>
                <w:lang w:val="zh-CN"/>
              </w:rPr>
              <w:t>）</w:t>
            </w:r>
            <w:bookmarkEnd w:id="75"/>
            <w:bookmarkEnd w:id="76"/>
          </w:p>
        </w:tc>
        <w:tc>
          <w:tcPr>
            <w:tcW w:w="1188"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0-</w:t>
            </w:r>
            <w:r>
              <w:rPr>
                <w:rFonts w:hint="eastAsia" w:ascii="宋体" w:hAnsi="宋体" w:cs="宋体"/>
                <w:sz w:val="24"/>
                <w:lang w:val="en-US" w:eastAsia="zh-CN"/>
              </w:rPr>
              <w:t>5</w:t>
            </w:r>
            <w:r>
              <w:rPr>
                <w:rFonts w:hint="eastAsia" w:ascii="宋体" w:hAnsi="宋体" w:eastAsia="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819" w:type="dxa"/>
            <w:noWrap w:val="0"/>
            <w:vAlign w:val="center"/>
          </w:tcPr>
          <w:p>
            <w:pPr>
              <w:widowControl/>
              <w:spacing w:line="360" w:lineRule="auto"/>
              <w:jc w:val="center"/>
              <w:rPr>
                <w:rFonts w:hint="default" w:ascii="宋体" w:hAnsi="宋体" w:cs="宋体"/>
                <w:kern w:val="0"/>
                <w:sz w:val="24"/>
                <w:lang w:val="en-US" w:eastAsia="zh-CN"/>
              </w:rPr>
            </w:pPr>
            <w:r>
              <w:rPr>
                <w:rFonts w:hint="eastAsia" w:ascii="宋体" w:hAnsi="宋体" w:cs="宋体"/>
                <w:kern w:val="0"/>
                <w:sz w:val="24"/>
                <w:lang w:val="en-US" w:eastAsia="zh-CN"/>
              </w:rPr>
              <w:t>8</w:t>
            </w:r>
          </w:p>
        </w:tc>
        <w:tc>
          <w:tcPr>
            <w:tcW w:w="1287" w:type="dxa"/>
            <w:noWrap w:val="0"/>
            <w:vAlign w:val="center"/>
          </w:tcPr>
          <w:p>
            <w:pPr>
              <w:spacing w:line="360" w:lineRule="auto"/>
              <w:jc w:val="center"/>
              <w:rPr>
                <w:rFonts w:hint="eastAsia" w:ascii="宋体" w:hAnsi="宋体" w:eastAsia="宋体" w:cs="宋体"/>
                <w:sz w:val="24"/>
              </w:rPr>
            </w:pPr>
            <w:bookmarkStart w:id="78" w:name="OLE_LINK40"/>
            <w:r>
              <w:rPr>
                <w:rFonts w:hint="eastAsia" w:ascii="宋体" w:hAnsi="宋体" w:eastAsia="宋体" w:cs="宋体"/>
                <w:sz w:val="24"/>
              </w:rPr>
              <w:t>样品</w:t>
            </w:r>
            <w:bookmarkEnd w:id="78"/>
          </w:p>
        </w:tc>
        <w:tc>
          <w:tcPr>
            <w:tcW w:w="6138" w:type="dxa"/>
            <w:noWrap w:val="0"/>
            <w:vAlign w:val="center"/>
          </w:tcPr>
          <w:p>
            <w:pPr>
              <w:spacing w:line="360" w:lineRule="auto"/>
              <w:jc w:val="left"/>
              <w:rPr>
                <w:rFonts w:hint="eastAsia" w:ascii="宋体" w:hAnsi="宋体" w:eastAsia="宋体" w:cs="宋体"/>
                <w:sz w:val="24"/>
                <w:lang w:val="zh-CN"/>
              </w:rPr>
            </w:pPr>
            <w:bookmarkStart w:id="79" w:name="OLE_LINK41"/>
            <w:r>
              <w:rPr>
                <w:rFonts w:hint="eastAsia" w:ascii="宋体" w:hAnsi="宋体" w:eastAsia="宋体" w:cs="宋体"/>
                <w:sz w:val="24"/>
                <w:lang w:val="zh-CN"/>
              </w:rPr>
              <w:t>体现剡溪两岸风情的仿真微缩沙盘（包含仙岩段）</w:t>
            </w:r>
          </w:p>
          <w:p>
            <w:pPr>
              <w:spacing w:line="360" w:lineRule="auto"/>
              <w:jc w:val="left"/>
              <w:rPr>
                <w:rFonts w:hint="eastAsia" w:ascii="宋体" w:hAnsi="宋体" w:eastAsia="宋体" w:cs="宋体"/>
                <w:sz w:val="24"/>
                <w:lang w:val="zh-CN"/>
              </w:rPr>
            </w:pPr>
            <w:r>
              <w:rPr>
                <w:rFonts w:hint="eastAsia" w:ascii="宋体" w:hAnsi="宋体" w:eastAsia="宋体" w:cs="宋体"/>
                <w:sz w:val="24"/>
              </w:rPr>
              <w:t>尺寸：不小于4平方</w:t>
            </w:r>
            <w:r>
              <w:rPr>
                <w:rFonts w:hint="eastAsia" w:ascii="宋体" w:hAnsi="宋体" w:eastAsia="宋体" w:cs="宋体"/>
                <w:sz w:val="24"/>
                <w:lang w:eastAsia="zh-CN"/>
              </w:rPr>
              <w:t>。</w:t>
            </w:r>
            <w:r>
              <w:rPr>
                <w:rFonts w:hint="eastAsia" w:ascii="宋体" w:hAnsi="宋体" w:eastAsia="宋体" w:cs="宋体"/>
                <w:sz w:val="24"/>
                <w:lang w:val="en-US" w:eastAsia="zh-CN"/>
              </w:rPr>
              <w:t>根据</w:t>
            </w:r>
            <w:r>
              <w:rPr>
                <w:rFonts w:hint="eastAsia" w:ascii="宋体" w:hAnsi="宋体" w:cs="宋体"/>
                <w:sz w:val="24"/>
                <w:lang w:val="en-US" w:eastAsia="zh-CN"/>
              </w:rPr>
              <w:t>造型、</w:t>
            </w:r>
            <w:r>
              <w:rPr>
                <w:rFonts w:hint="eastAsia" w:ascii="宋体" w:hAnsi="宋体" w:eastAsia="宋体" w:cs="宋体"/>
                <w:sz w:val="24"/>
                <w:lang w:val="en-US" w:eastAsia="zh-CN"/>
              </w:rPr>
              <w:t>材质、工艺、效果进行打分。</w:t>
            </w:r>
            <w:r>
              <w:rPr>
                <w:rFonts w:hint="eastAsia" w:ascii="宋体" w:hAnsi="宋体" w:eastAsia="宋体" w:cs="宋体"/>
                <w:sz w:val="24"/>
                <w:lang w:val="zh-CN"/>
              </w:rPr>
              <w:t>（</w:t>
            </w:r>
            <w:r>
              <w:rPr>
                <w:rFonts w:hint="eastAsia" w:ascii="宋体" w:hAnsi="宋体" w:cs="宋体"/>
                <w:sz w:val="24"/>
                <w:lang w:val="en-US" w:eastAsia="zh-CN"/>
              </w:rPr>
              <w:t>10,8,6</w:t>
            </w:r>
            <w:r>
              <w:rPr>
                <w:rFonts w:hint="eastAsia" w:ascii="宋体" w:hAnsi="宋体" w:eastAsia="宋体" w:cs="宋体"/>
                <w:sz w:val="24"/>
                <w:lang w:val="en-US" w:eastAsia="zh-CN"/>
              </w:rPr>
              <w:t>,</w:t>
            </w:r>
            <w:r>
              <w:rPr>
                <w:rFonts w:hint="eastAsia" w:ascii="宋体" w:hAnsi="宋体" w:cs="宋体"/>
                <w:sz w:val="24"/>
                <w:lang w:val="en-US" w:eastAsia="zh-CN"/>
              </w:rPr>
              <w:t>4,2,0</w:t>
            </w:r>
            <w:r>
              <w:rPr>
                <w:rFonts w:hint="eastAsia" w:ascii="宋体" w:hAnsi="宋体" w:eastAsia="宋体" w:cs="宋体"/>
                <w:sz w:val="24"/>
              </w:rPr>
              <w:t>分</w:t>
            </w:r>
            <w:r>
              <w:rPr>
                <w:rFonts w:hint="eastAsia" w:ascii="宋体" w:hAnsi="宋体" w:eastAsia="宋体" w:cs="宋体"/>
                <w:sz w:val="24"/>
                <w:lang w:val="zh-CN"/>
              </w:rPr>
              <w:t>）</w:t>
            </w:r>
            <w:bookmarkEnd w:id="79"/>
          </w:p>
        </w:tc>
        <w:tc>
          <w:tcPr>
            <w:tcW w:w="1188" w:type="dxa"/>
            <w:noWrap w:val="0"/>
            <w:vAlign w:val="center"/>
          </w:tcPr>
          <w:p>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819" w:type="dxa"/>
            <w:vMerge w:val="restart"/>
            <w:noWrap w:val="0"/>
            <w:vAlign w:val="center"/>
          </w:tcPr>
          <w:p>
            <w:pPr>
              <w:widowControl/>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9</w:t>
            </w:r>
          </w:p>
        </w:tc>
        <w:tc>
          <w:tcPr>
            <w:tcW w:w="1287" w:type="dxa"/>
            <w:vMerge w:val="restart"/>
            <w:noWrap w:val="0"/>
            <w:vAlign w:val="center"/>
          </w:tcPr>
          <w:p>
            <w:pPr>
              <w:spacing w:line="360" w:lineRule="auto"/>
              <w:jc w:val="center"/>
              <w:rPr>
                <w:rFonts w:hint="eastAsia" w:ascii="宋体" w:hAnsi="宋体" w:cs="宋体"/>
                <w:sz w:val="24"/>
                <w:lang w:eastAsia="zh-CN"/>
              </w:rPr>
            </w:pPr>
            <w:bookmarkStart w:id="80" w:name="OLE_LINK42"/>
            <w:r>
              <w:rPr>
                <w:rFonts w:hint="eastAsia" w:ascii="宋体" w:hAnsi="宋体" w:cs="宋体"/>
                <w:sz w:val="24"/>
                <w:lang w:eastAsia="zh-CN"/>
              </w:rPr>
              <w:t>供货方案</w:t>
            </w:r>
            <w:bookmarkEnd w:id="80"/>
          </w:p>
        </w:tc>
        <w:tc>
          <w:tcPr>
            <w:tcW w:w="6138" w:type="dxa"/>
            <w:noWrap w:val="0"/>
            <w:vAlign w:val="center"/>
          </w:tcPr>
          <w:p>
            <w:pPr>
              <w:spacing w:line="360" w:lineRule="auto"/>
              <w:jc w:val="left"/>
              <w:rPr>
                <w:rFonts w:hint="eastAsia" w:ascii="宋体" w:hAnsi="宋体" w:eastAsia="宋体" w:cs="宋体"/>
                <w:sz w:val="24"/>
                <w:lang w:val="zh-CN"/>
              </w:rPr>
            </w:pPr>
            <w:bookmarkStart w:id="81" w:name="OLE_LINK18"/>
            <w:bookmarkStart w:id="82" w:name="OLE_LINK43"/>
            <w:r>
              <w:rPr>
                <w:rFonts w:hint="eastAsia" w:ascii="宋体" w:hAnsi="宋体" w:eastAsia="宋体" w:cs="宋体"/>
                <w:sz w:val="24"/>
                <w:lang w:val="zh-CN"/>
              </w:rPr>
              <w:t>根据供应商对本项目的</w:t>
            </w:r>
            <w:r>
              <w:rPr>
                <w:rFonts w:hint="eastAsia" w:ascii="宋体" w:hAnsi="宋体" w:eastAsia="宋体" w:cs="宋体"/>
                <w:b w:val="0"/>
                <w:bCs w:val="0"/>
                <w:color w:val="auto"/>
                <w:kern w:val="2"/>
                <w:sz w:val="24"/>
                <w:szCs w:val="24"/>
                <w:highlight w:val="none"/>
                <w:lang w:val="en-US" w:eastAsia="zh-CN" w:bidi="ar-SA"/>
              </w:rPr>
              <w:t>设备、材料采购方案进行综合评分。</w:t>
            </w:r>
            <w:bookmarkEnd w:id="81"/>
            <w:r>
              <w:rPr>
                <w:rFonts w:hint="eastAsia" w:ascii="宋体" w:hAnsi="宋体" w:eastAsia="宋体" w:cs="宋体"/>
                <w:sz w:val="24"/>
              </w:rPr>
              <w:t>（</w:t>
            </w:r>
            <w:r>
              <w:rPr>
                <w:rFonts w:hint="eastAsia" w:ascii="宋体" w:hAnsi="宋体" w:eastAsia="宋体" w:cs="宋体"/>
                <w:sz w:val="24"/>
                <w:lang w:val="en-US" w:eastAsia="zh-CN"/>
              </w:rPr>
              <w:t>4,3,2,1,0</w:t>
            </w:r>
            <w:r>
              <w:rPr>
                <w:rFonts w:hint="eastAsia" w:ascii="宋体" w:hAnsi="宋体" w:eastAsia="宋体" w:cs="宋体"/>
                <w:sz w:val="24"/>
              </w:rPr>
              <w:t>分）</w:t>
            </w:r>
            <w:bookmarkEnd w:id="82"/>
          </w:p>
        </w:tc>
        <w:tc>
          <w:tcPr>
            <w:tcW w:w="1188"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0-</w:t>
            </w:r>
            <w:r>
              <w:rPr>
                <w:rFonts w:hint="eastAsia" w:ascii="宋体" w:hAnsi="宋体" w:eastAsia="宋体" w:cs="宋体"/>
                <w:sz w:val="24"/>
                <w:lang w:val="en-US" w:eastAsia="zh-CN"/>
              </w:rPr>
              <w:t>4</w:t>
            </w:r>
            <w:r>
              <w:rPr>
                <w:rFonts w:hint="eastAsia" w:ascii="宋体" w:hAnsi="宋体" w:eastAsia="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819" w:type="dxa"/>
            <w:vMerge w:val="continue"/>
            <w:noWrap w:val="0"/>
            <w:vAlign w:val="center"/>
          </w:tcPr>
          <w:p>
            <w:pPr>
              <w:widowControl/>
              <w:spacing w:line="360" w:lineRule="auto"/>
              <w:jc w:val="center"/>
              <w:rPr>
                <w:rFonts w:hint="default" w:ascii="宋体" w:hAnsi="宋体" w:eastAsia="宋体" w:cs="宋体"/>
                <w:kern w:val="0"/>
                <w:sz w:val="24"/>
                <w:lang w:val="en-US" w:eastAsia="zh-CN"/>
              </w:rPr>
            </w:pPr>
          </w:p>
        </w:tc>
        <w:tc>
          <w:tcPr>
            <w:tcW w:w="1287" w:type="dxa"/>
            <w:vMerge w:val="continue"/>
            <w:noWrap w:val="0"/>
            <w:vAlign w:val="center"/>
          </w:tcPr>
          <w:p>
            <w:pPr>
              <w:spacing w:line="360" w:lineRule="auto"/>
              <w:jc w:val="center"/>
            </w:pPr>
          </w:p>
        </w:tc>
        <w:tc>
          <w:tcPr>
            <w:tcW w:w="6138" w:type="dxa"/>
            <w:noWrap w:val="0"/>
            <w:vAlign w:val="center"/>
          </w:tcPr>
          <w:p>
            <w:pPr>
              <w:spacing w:line="360" w:lineRule="auto"/>
              <w:jc w:val="left"/>
              <w:rPr>
                <w:rFonts w:hint="eastAsia" w:ascii="宋体" w:hAnsi="宋体" w:eastAsia="宋体" w:cs="宋体"/>
                <w:sz w:val="24"/>
                <w:lang w:val="zh-CN"/>
              </w:rPr>
            </w:pPr>
            <w:bookmarkStart w:id="83" w:name="OLE_LINK44"/>
            <w:r>
              <w:rPr>
                <w:rFonts w:hint="eastAsia" w:ascii="宋体" w:hAnsi="宋体" w:eastAsia="宋体" w:cs="宋体"/>
                <w:sz w:val="24"/>
                <w:lang w:val="zh-CN"/>
              </w:rPr>
              <w:t>根据供应商对本项目的</w:t>
            </w:r>
            <w:r>
              <w:rPr>
                <w:rFonts w:hint="eastAsia" w:ascii="宋体" w:hAnsi="宋体" w:eastAsia="宋体" w:cs="宋体"/>
                <w:b w:val="0"/>
                <w:bCs w:val="0"/>
                <w:color w:val="auto"/>
                <w:kern w:val="2"/>
                <w:sz w:val="24"/>
                <w:szCs w:val="24"/>
                <w:highlight w:val="none"/>
                <w:lang w:val="en-US" w:eastAsia="zh-CN" w:bidi="ar-SA"/>
              </w:rPr>
              <w:t>安装、调试</w:t>
            </w:r>
            <w:r>
              <w:rPr>
                <w:rFonts w:hint="eastAsia" w:ascii="宋体" w:hAnsi="宋体" w:cs="宋体"/>
                <w:b w:val="0"/>
                <w:bCs w:val="0"/>
                <w:color w:val="auto"/>
                <w:kern w:val="2"/>
                <w:sz w:val="24"/>
                <w:szCs w:val="24"/>
                <w:highlight w:val="none"/>
                <w:lang w:val="en-US" w:eastAsia="zh-CN" w:bidi="ar-SA"/>
              </w:rPr>
              <w:t>方案</w:t>
            </w:r>
            <w:r>
              <w:rPr>
                <w:rFonts w:hint="eastAsia" w:ascii="宋体" w:hAnsi="宋体" w:eastAsia="宋体" w:cs="宋体"/>
                <w:b w:val="0"/>
                <w:bCs w:val="0"/>
                <w:color w:val="auto"/>
                <w:kern w:val="2"/>
                <w:sz w:val="24"/>
                <w:szCs w:val="24"/>
                <w:highlight w:val="none"/>
                <w:lang w:val="en-US" w:eastAsia="zh-CN" w:bidi="ar-SA"/>
              </w:rPr>
              <w:t>进行综合评分。</w:t>
            </w:r>
            <w:r>
              <w:rPr>
                <w:rFonts w:hint="eastAsia" w:ascii="宋体" w:hAnsi="宋体" w:eastAsia="宋体" w:cs="宋体"/>
                <w:sz w:val="24"/>
              </w:rPr>
              <w:t>（</w:t>
            </w:r>
            <w:r>
              <w:rPr>
                <w:rFonts w:hint="eastAsia" w:ascii="宋体" w:hAnsi="宋体" w:eastAsia="宋体" w:cs="宋体"/>
                <w:sz w:val="24"/>
                <w:lang w:val="en-US" w:eastAsia="zh-CN"/>
              </w:rPr>
              <w:t>4,3,2,1,0</w:t>
            </w:r>
            <w:r>
              <w:rPr>
                <w:rFonts w:hint="eastAsia" w:ascii="宋体" w:hAnsi="宋体" w:eastAsia="宋体" w:cs="宋体"/>
                <w:sz w:val="24"/>
              </w:rPr>
              <w:t>分）</w:t>
            </w:r>
            <w:bookmarkEnd w:id="83"/>
          </w:p>
        </w:tc>
        <w:tc>
          <w:tcPr>
            <w:tcW w:w="1188" w:type="dxa"/>
            <w:noWrap w:val="0"/>
            <w:vAlign w:val="center"/>
          </w:tcPr>
          <w:p>
            <w:pPr>
              <w:spacing w:line="360" w:lineRule="auto"/>
              <w:jc w:val="center"/>
              <w:rPr>
                <w:rFonts w:hint="eastAsia" w:ascii="宋体" w:hAnsi="宋体" w:eastAsia="宋体" w:cs="宋体"/>
                <w:sz w:val="24"/>
                <w:lang w:val="zh-CN"/>
              </w:rPr>
            </w:pPr>
            <w:r>
              <w:rPr>
                <w:rFonts w:hint="eastAsia" w:ascii="宋体" w:hAnsi="宋体" w:eastAsia="宋体" w:cs="宋体"/>
                <w:sz w:val="24"/>
              </w:rPr>
              <w:t>0-</w:t>
            </w:r>
            <w:r>
              <w:rPr>
                <w:rFonts w:hint="eastAsia" w:ascii="宋体" w:hAnsi="宋体" w:eastAsia="宋体" w:cs="宋体"/>
                <w:sz w:val="24"/>
                <w:lang w:val="en-US" w:eastAsia="zh-CN"/>
              </w:rPr>
              <w:t>4</w:t>
            </w:r>
            <w:r>
              <w:rPr>
                <w:rFonts w:hint="eastAsia" w:ascii="宋体" w:hAnsi="宋体" w:eastAsia="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819" w:type="dxa"/>
            <w:vMerge w:val="continue"/>
            <w:noWrap w:val="0"/>
            <w:vAlign w:val="center"/>
          </w:tcPr>
          <w:p>
            <w:pPr>
              <w:widowControl/>
              <w:spacing w:line="360" w:lineRule="auto"/>
              <w:jc w:val="center"/>
              <w:rPr>
                <w:rFonts w:hint="eastAsia" w:ascii="宋体" w:hAnsi="宋体" w:eastAsia="宋体" w:cs="宋体"/>
                <w:kern w:val="0"/>
                <w:sz w:val="24"/>
                <w:lang w:val="zh-CN" w:eastAsia="zh-CN"/>
              </w:rPr>
            </w:pPr>
          </w:p>
        </w:tc>
        <w:tc>
          <w:tcPr>
            <w:tcW w:w="1287" w:type="dxa"/>
            <w:vMerge w:val="continue"/>
            <w:noWrap w:val="0"/>
            <w:vAlign w:val="center"/>
          </w:tcPr>
          <w:p>
            <w:pPr>
              <w:spacing w:line="360" w:lineRule="auto"/>
              <w:jc w:val="center"/>
              <w:rPr>
                <w:rFonts w:hint="eastAsia" w:ascii="宋体" w:hAnsi="宋体" w:eastAsia="宋体" w:cs="宋体"/>
                <w:sz w:val="24"/>
                <w:lang w:val="zh-CN"/>
              </w:rPr>
            </w:pPr>
          </w:p>
        </w:tc>
        <w:tc>
          <w:tcPr>
            <w:tcW w:w="6138" w:type="dxa"/>
            <w:noWrap w:val="0"/>
            <w:vAlign w:val="center"/>
          </w:tcPr>
          <w:p>
            <w:pPr>
              <w:spacing w:line="360" w:lineRule="auto"/>
              <w:jc w:val="left"/>
              <w:rPr>
                <w:rFonts w:hint="eastAsia" w:ascii="宋体" w:hAnsi="宋体" w:eastAsia="宋体" w:cs="宋体"/>
                <w:sz w:val="24"/>
                <w:lang w:val="zh-CN"/>
              </w:rPr>
            </w:pPr>
            <w:bookmarkStart w:id="84" w:name="OLE_LINK45"/>
            <w:r>
              <w:rPr>
                <w:rFonts w:hint="eastAsia" w:ascii="宋体" w:hAnsi="宋体" w:eastAsia="宋体" w:cs="宋体"/>
                <w:sz w:val="24"/>
                <w:lang w:val="zh-CN"/>
              </w:rPr>
              <w:t>根据供应商对本项目的</w:t>
            </w:r>
            <w:r>
              <w:rPr>
                <w:rFonts w:hint="eastAsia" w:ascii="宋体" w:hAnsi="宋体" w:eastAsia="宋体" w:cs="宋体"/>
                <w:b w:val="0"/>
                <w:bCs w:val="0"/>
                <w:color w:val="auto"/>
                <w:kern w:val="2"/>
                <w:sz w:val="24"/>
                <w:szCs w:val="24"/>
                <w:highlight w:val="none"/>
                <w:lang w:val="en-US" w:eastAsia="zh-CN" w:bidi="ar-SA"/>
              </w:rPr>
              <w:t>验收方法</w:t>
            </w:r>
            <w:r>
              <w:rPr>
                <w:rFonts w:hint="eastAsia" w:ascii="宋体" w:hAnsi="宋体" w:cs="宋体"/>
                <w:b w:val="0"/>
                <w:bCs w:val="0"/>
                <w:color w:val="auto"/>
                <w:kern w:val="2"/>
                <w:sz w:val="24"/>
                <w:szCs w:val="24"/>
                <w:highlight w:val="none"/>
                <w:lang w:val="en-US" w:eastAsia="zh-CN" w:bidi="ar-SA"/>
              </w:rPr>
              <w:t>方案</w:t>
            </w:r>
            <w:r>
              <w:rPr>
                <w:rFonts w:hint="eastAsia" w:ascii="宋体" w:hAnsi="宋体" w:eastAsia="宋体" w:cs="宋体"/>
                <w:b w:val="0"/>
                <w:bCs w:val="0"/>
                <w:color w:val="auto"/>
                <w:kern w:val="2"/>
                <w:sz w:val="24"/>
                <w:szCs w:val="24"/>
                <w:highlight w:val="none"/>
                <w:lang w:val="en-US" w:eastAsia="zh-CN" w:bidi="ar-SA"/>
              </w:rPr>
              <w:t>进行综合评分。</w:t>
            </w:r>
            <w:r>
              <w:rPr>
                <w:rFonts w:hint="eastAsia" w:ascii="宋体" w:hAnsi="宋体" w:eastAsia="宋体" w:cs="宋体"/>
                <w:sz w:val="24"/>
              </w:rPr>
              <w:t>（</w:t>
            </w:r>
            <w:r>
              <w:rPr>
                <w:rFonts w:hint="eastAsia" w:ascii="宋体" w:hAnsi="宋体" w:eastAsia="宋体" w:cs="宋体"/>
                <w:sz w:val="24"/>
                <w:lang w:val="en-US" w:eastAsia="zh-CN"/>
              </w:rPr>
              <w:t>4,3,2,1,0</w:t>
            </w:r>
            <w:r>
              <w:rPr>
                <w:rFonts w:hint="eastAsia" w:ascii="宋体" w:hAnsi="宋体" w:eastAsia="宋体" w:cs="宋体"/>
                <w:sz w:val="24"/>
              </w:rPr>
              <w:t>分）</w:t>
            </w:r>
            <w:bookmarkEnd w:id="84"/>
          </w:p>
        </w:tc>
        <w:tc>
          <w:tcPr>
            <w:tcW w:w="1188" w:type="dxa"/>
            <w:noWrap w:val="0"/>
            <w:vAlign w:val="center"/>
          </w:tcPr>
          <w:p>
            <w:pPr>
              <w:spacing w:line="360" w:lineRule="auto"/>
              <w:jc w:val="center"/>
              <w:rPr>
                <w:rFonts w:hint="eastAsia" w:ascii="宋体" w:hAnsi="宋体" w:eastAsia="宋体" w:cs="宋体"/>
                <w:sz w:val="24"/>
                <w:lang w:val="zh-CN"/>
              </w:rPr>
            </w:pPr>
            <w:r>
              <w:rPr>
                <w:rFonts w:hint="eastAsia" w:ascii="宋体" w:hAnsi="宋体" w:eastAsia="宋体" w:cs="宋体"/>
                <w:sz w:val="24"/>
              </w:rPr>
              <w:t>0-</w:t>
            </w:r>
            <w:r>
              <w:rPr>
                <w:rFonts w:hint="eastAsia" w:ascii="宋体" w:hAnsi="宋体" w:eastAsia="宋体" w:cs="宋体"/>
                <w:sz w:val="24"/>
                <w:lang w:val="en-US" w:eastAsia="zh-CN"/>
              </w:rPr>
              <w:t>4</w:t>
            </w:r>
            <w:r>
              <w:rPr>
                <w:rFonts w:hint="eastAsia" w:ascii="宋体" w:hAnsi="宋体" w:eastAsia="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819" w:type="dxa"/>
            <w:noWrap w:val="0"/>
            <w:vAlign w:val="center"/>
          </w:tcPr>
          <w:p>
            <w:pPr>
              <w:widowControl/>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1287" w:type="dxa"/>
            <w:noWrap w:val="0"/>
            <w:vAlign w:val="center"/>
          </w:tcPr>
          <w:p>
            <w:pPr>
              <w:spacing w:line="360" w:lineRule="auto"/>
              <w:jc w:val="center"/>
              <w:rPr>
                <w:rFonts w:hint="eastAsia" w:ascii="宋体" w:hAnsi="宋体" w:eastAsia="宋体" w:cs="宋体"/>
                <w:sz w:val="24"/>
              </w:rPr>
            </w:pPr>
            <w:bookmarkStart w:id="85" w:name="OLE_LINK46"/>
            <w:r>
              <w:rPr>
                <w:rFonts w:hint="eastAsia" w:ascii="宋体" w:hAnsi="宋体" w:eastAsia="宋体" w:cs="宋体"/>
                <w:sz w:val="24"/>
              </w:rPr>
              <w:t>进度计划</w:t>
            </w:r>
            <w:bookmarkEnd w:id="85"/>
          </w:p>
        </w:tc>
        <w:tc>
          <w:tcPr>
            <w:tcW w:w="6138" w:type="dxa"/>
            <w:noWrap w:val="0"/>
            <w:vAlign w:val="center"/>
          </w:tcPr>
          <w:p>
            <w:pPr>
              <w:spacing w:line="360" w:lineRule="auto"/>
              <w:jc w:val="left"/>
              <w:rPr>
                <w:rFonts w:hint="eastAsia" w:ascii="宋体" w:hAnsi="宋体" w:eastAsia="宋体" w:cs="宋体"/>
              </w:rPr>
            </w:pPr>
            <w:bookmarkStart w:id="86" w:name="OLE_LINK16"/>
            <w:r>
              <w:rPr>
                <w:rFonts w:hint="eastAsia" w:ascii="宋体" w:hAnsi="宋体" w:eastAsia="宋体" w:cs="宋体"/>
                <w:sz w:val="24"/>
                <w:lang w:val="zh-CN"/>
              </w:rPr>
              <w:t>根据供应商对本项目的</w:t>
            </w:r>
            <w:bookmarkEnd w:id="86"/>
            <w:r>
              <w:rPr>
                <w:rFonts w:hint="eastAsia" w:ascii="宋体" w:hAnsi="宋体" w:eastAsia="宋体" w:cs="宋体"/>
                <w:sz w:val="24"/>
                <w:lang w:val="zh-CN"/>
              </w:rPr>
              <w:t>进度安排、</w:t>
            </w:r>
            <w:r>
              <w:rPr>
                <w:rFonts w:hint="eastAsia" w:ascii="宋体" w:hAnsi="宋体" w:eastAsia="宋体" w:cs="宋体"/>
                <w:sz w:val="24"/>
              </w:rPr>
              <w:t>服务</w:t>
            </w:r>
            <w:r>
              <w:rPr>
                <w:rFonts w:hint="eastAsia" w:ascii="宋体" w:hAnsi="宋体" w:eastAsia="宋体" w:cs="宋体"/>
                <w:sz w:val="24"/>
                <w:lang w:val="zh-CN"/>
              </w:rPr>
              <w:t>期承诺</w:t>
            </w:r>
            <w:r>
              <w:rPr>
                <w:rFonts w:hint="eastAsia" w:ascii="宋体" w:hAnsi="宋体" w:eastAsia="宋体" w:cs="宋体"/>
                <w:sz w:val="24"/>
              </w:rPr>
              <w:t>以及进度</w:t>
            </w:r>
            <w:r>
              <w:rPr>
                <w:rFonts w:hint="eastAsia" w:ascii="宋体" w:hAnsi="宋体" w:eastAsia="宋体" w:cs="宋体"/>
                <w:sz w:val="24"/>
                <w:lang w:val="zh-CN"/>
              </w:rPr>
              <w:t>保障措施的科学性、合理性</w:t>
            </w:r>
            <w:r>
              <w:rPr>
                <w:rFonts w:hint="eastAsia" w:ascii="宋体" w:hAnsi="宋体" w:eastAsia="宋体" w:cs="宋体"/>
                <w:sz w:val="24"/>
              </w:rPr>
              <w:t>进行综合评分</w:t>
            </w:r>
            <w:r>
              <w:rPr>
                <w:rFonts w:hint="eastAsia" w:ascii="宋体" w:hAnsi="宋体" w:cs="宋体"/>
                <w:sz w:val="24"/>
                <w:lang w:eastAsia="zh-CN"/>
              </w:rPr>
              <w:t>。</w:t>
            </w:r>
            <w:r>
              <w:rPr>
                <w:rFonts w:hint="eastAsia" w:ascii="宋体" w:hAnsi="宋体" w:eastAsia="宋体" w:cs="宋体"/>
                <w:sz w:val="24"/>
              </w:rPr>
              <w:t>（</w:t>
            </w:r>
            <w:r>
              <w:rPr>
                <w:rFonts w:hint="eastAsia" w:ascii="宋体" w:hAnsi="宋体" w:eastAsia="宋体" w:cs="宋体"/>
                <w:sz w:val="24"/>
                <w:lang w:val="en-US" w:eastAsia="zh-CN"/>
              </w:rPr>
              <w:t>4,3,2,1,0</w:t>
            </w:r>
            <w:r>
              <w:rPr>
                <w:rFonts w:hint="eastAsia" w:ascii="宋体" w:hAnsi="宋体" w:eastAsia="宋体" w:cs="宋体"/>
                <w:sz w:val="24"/>
              </w:rPr>
              <w:t>分）</w:t>
            </w:r>
          </w:p>
        </w:tc>
        <w:tc>
          <w:tcPr>
            <w:tcW w:w="1188"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0-</w:t>
            </w:r>
            <w:r>
              <w:rPr>
                <w:rFonts w:hint="eastAsia" w:ascii="宋体" w:hAnsi="宋体" w:eastAsia="宋体" w:cs="宋体"/>
                <w:sz w:val="24"/>
                <w:lang w:val="en-US" w:eastAsia="zh-CN"/>
              </w:rPr>
              <w:t>4</w:t>
            </w:r>
            <w:r>
              <w:rPr>
                <w:rFonts w:hint="eastAsia" w:ascii="宋体" w:hAnsi="宋体" w:eastAsia="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jc w:val="center"/>
        </w:trPr>
        <w:tc>
          <w:tcPr>
            <w:tcW w:w="819" w:type="dxa"/>
            <w:noWrap w:val="0"/>
            <w:vAlign w:val="center"/>
          </w:tcPr>
          <w:p>
            <w:pPr>
              <w:widowControl/>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11</w:t>
            </w:r>
          </w:p>
        </w:tc>
        <w:tc>
          <w:tcPr>
            <w:tcW w:w="1287" w:type="dxa"/>
            <w:noWrap w:val="0"/>
            <w:vAlign w:val="center"/>
          </w:tcPr>
          <w:p>
            <w:pPr>
              <w:widowControl/>
              <w:spacing w:line="360" w:lineRule="auto"/>
              <w:jc w:val="center"/>
              <w:rPr>
                <w:rFonts w:hint="eastAsia" w:ascii="宋体" w:hAnsi="宋体" w:eastAsia="宋体" w:cs="宋体"/>
                <w:sz w:val="24"/>
              </w:rPr>
            </w:pPr>
            <w:r>
              <w:rPr>
                <w:rFonts w:hint="eastAsia" w:ascii="宋体" w:hAnsi="宋体" w:eastAsia="宋体" w:cs="宋体"/>
                <w:sz w:val="24"/>
              </w:rPr>
              <w:t>重点、难点及解决措施</w:t>
            </w:r>
          </w:p>
        </w:tc>
        <w:tc>
          <w:tcPr>
            <w:tcW w:w="6138" w:type="dxa"/>
            <w:noWrap w:val="0"/>
            <w:vAlign w:val="center"/>
          </w:tcPr>
          <w:p>
            <w:pPr>
              <w:widowControl/>
              <w:spacing w:line="360" w:lineRule="auto"/>
              <w:jc w:val="left"/>
              <w:rPr>
                <w:rFonts w:hint="eastAsia" w:ascii="宋体" w:hAnsi="宋体" w:eastAsia="宋体" w:cs="宋体"/>
                <w:sz w:val="24"/>
              </w:rPr>
            </w:pPr>
            <w:r>
              <w:rPr>
                <w:rFonts w:hint="eastAsia" w:ascii="宋体" w:hAnsi="宋体" w:eastAsia="宋体" w:cs="宋体"/>
                <w:sz w:val="24"/>
              </w:rPr>
              <w:t>根据供应商对本项目现状、存在问题的重点、难点分析及解决措施方案进行综合评分</w:t>
            </w:r>
            <w:bookmarkStart w:id="87" w:name="OLE_LINK17"/>
            <w:r>
              <w:rPr>
                <w:rFonts w:hint="eastAsia" w:ascii="宋体" w:hAnsi="宋体" w:cs="宋体"/>
                <w:sz w:val="24"/>
                <w:lang w:eastAsia="zh-CN"/>
              </w:rPr>
              <w:t>。</w:t>
            </w:r>
            <w:r>
              <w:rPr>
                <w:rFonts w:hint="eastAsia" w:ascii="宋体" w:hAnsi="宋体" w:eastAsia="宋体" w:cs="宋体"/>
                <w:sz w:val="24"/>
              </w:rPr>
              <w:t>（</w:t>
            </w:r>
            <w:r>
              <w:rPr>
                <w:rFonts w:hint="eastAsia" w:ascii="宋体" w:hAnsi="宋体" w:eastAsia="宋体" w:cs="宋体"/>
                <w:sz w:val="24"/>
                <w:lang w:val="en-US" w:eastAsia="zh-CN"/>
              </w:rPr>
              <w:t>4,3,2,1,0</w:t>
            </w:r>
            <w:r>
              <w:rPr>
                <w:rFonts w:hint="eastAsia" w:ascii="宋体" w:hAnsi="宋体" w:eastAsia="宋体" w:cs="宋体"/>
                <w:sz w:val="24"/>
              </w:rPr>
              <w:t>分）</w:t>
            </w:r>
            <w:bookmarkEnd w:id="87"/>
          </w:p>
        </w:tc>
        <w:tc>
          <w:tcPr>
            <w:tcW w:w="1188" w:type="dxa"/>
            <w:noWrap w:val="0"/>
            <w:vAlign w:val="center"/>
          </w:tcPr>
          <w:p>
            <w:pPr>
              <w:spacing w:line="360" w:lineRule="auto"/>
              <w:jc w:val="center"/>
              <w:rPr>
                <w:rFonts w:hint="eastAsia" w:ascii="宋体" w:hAnsi="宋体" w:eastAsia="宋体" w:cs="宋体"/>
                <w:sz w:val="24"/>
              </w:rPr>
            </w:pPr>
            <w:bookmarkStart w:id="88" w:name="OLE_LINK19"/>
            <w:r>
              <w:rPr>
                <w:rFonts w:hint="eastAsia" w:ascii="宋体" w:hAnsi="宋体" w:eastAsia="宋体" w:cs="宋体"/>
                <w:sz w:val="24"/>
              </w:rPr>
              <w:t>0-</w:t>
            </w:r>
            <w:r>
              <w:rPr>
                <w:rFonts w:hint="eastAsia" w:ascii="宋体" w:hAnsi="宋体" w:cs="宋体"/>
                <w:sz w:val="24"/>
                <w:lang w:val="en-US" w:eastAsia="zh-CN"/>
              </w:rPr>
              <w:t>4</w:t>
            </w:r>
            <w:r>
              <w:rPr>
                <w:rFonts w:hint="eastAsia" w:ascii="宋体" w:hAnsi="宋体" w:eastAsia="宋体" w:cs="宋体"/>
                <w:sz w:val="24"/>
              </w:rPr>
              <w:t>分</w:t>
            </w:r>
            <w:bookmarkEnd w:id="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819" w:type="dxa"/>
            <w:noWrap w:val="0"/>
            <w:vAlign w:val="center"/>
          </w:tcPr>
          <w:p>
            <w:pPr>
              <w:widowControl/>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12</w:t>
            </w:r>
          </w:p>
        </w:tc>
        <w:tc>
          <w:tcPr>
            <w:tcW w:w="1287" w:type="dxa"/>
            <w:noWrap w:val="0"/>
            <w:vAlign w:val="center"/>
          </w:tcPr>
          <w:p>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售后服务</w:t>
            </w:r>
          </w:p>
        </w:tc>
        <w:tc>
          <w:tcPr>
            <w:tcW w:w="6138" w:type="dxa"/>
            <w:noWrap w:val="0"/>
            <w:vAlign w:val="center"/>
          </w:tcPr>
          <w:p>
            <w:pPr>
              <w:widowControl/>
              <w:spacing w:line="360" w:lineRule="auto"/>
              <w:jc w:val="left"/>
              <w:rPr>
                <w:rFonts w:hint="eastAsia" w:ascii="宋体" w:hAnsi="宋体" w:eastAsia="宋体" w:cs="宋体"/>
                <w:kern w:val="0"/>
                <w:sz w:val="24"/>
              </w:rPr>
            </w:pPr>
            <w:r>
              <w:rPr>
                <w:rFonts w:hint="eastAsia" w:ascii="宋体" w:hAnsi="宋体" w:eastAsia="宋体" w:cs="宋体"/>
                <w:sz w:val="24"/>
                <w:lang w:val="zh-CN"/>
              </w:rPr>
              <w:t>根据供应商提供针对本项目的</w:t>
            </w:r>
            <w:r>
              <w:rPr>
                <w:rFonts w:hint="eastAsia" w:ascii="宋体" w:hAnsi="宋体" w:eastAsia="宋体" w:cs="宋体"/>
                <w:sz w:val="24"/>
              </w:rPr>
              <w:t>售后服务方案进行打分，包括但不限于售后服务方式、服务响应时间、服务及时性和便捷性等情况进行综合评分</w:t>
            </w:r>
            <w:r>
              <w:rPr>
                <w:rFonts w:hint="eastAsia" w:ascii="宋体" w:hAnsi="宋体" w:cs="宋体"/>
                <w:sz w:val="24"/>
                <w:lang w:eastAsia="zh-CN"/>
              </w:rPr>
              <w:t>。</w:t>
            </w:r>
            <w:r>
              <w:rPr>
                <w:rFonts w:hint="eastAsia" w:ascii="宋体" w:hAnsi="宋体" w:eastAsia="宋体" w:cs="宋体"/>
                <w:sz w:val="24"/>
              </w:rPr>
              <w:t>（</w:t>
            </w:r>
            <w:r>
              <w:rPr>
                <w:rFonts w:hint="eastAsia" w:ascii="宋体" w:hAnsi="宋体" w:eastAsia="宋体" w:cs="宋体"/>
                <w:sz w:val="24"/>
                <w:lang w:val="en-US" w:eastAsia="zh-CN"/>
              </w:rPr>
              <w:t>3,2,1,0</w:t>
            </w:r>
            <w:r>
              <w:rPr>
                <w:rFonts w:hint="eastAsia" w:ascii="宋体" w:hAnsi="宋体" w:eastAsia="宋体" w:cs="宋体"/>
                <w:sz w:val="24"/>
              </w:rPr>
              <w:t>分）</w:t>
            </w:r>
          </w:p>
        </w:tc>
        <w:tc>
          <w:tcPr>
            <w:tcW w:w="1188"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0-</w:t>
            </w:r>
            <w:r>
              <w:rPr>
                <w:rFonts w:hint="eastAsia" w:ascii="宋体" w:hAnsi="宋体" w:cs="宋体"/>
                <w:sz w:val="24"/>
                <w:lang w:val="en-US" w:eastAsia="zh-CN"/>
              </w:rPr>
              <w:t>3</w:t>
            </w:r>
            <w:r>
              <w:rPr>
                <w:rFonts w:hint="eastAsia" w:ascii="宋体" w:hAnsi="宋体" w:eastAsia="宋体" w:cs="宋体"/>
                <w:sz w:val="24"/>
              </w:rPr>
              <w:t>分</w:t>
            </w:r>
          </w:p>
        </w:tc>
      </w:tr>
      <w:bookmarkEnd w:id="58"/>
      <w:bookmarkEnd w:id="59"/>
    </w:tbl>
    <w:p>
      <w:pPr>
        <w:pStyle w:val="37"/>
        <w:rPr>
          <w:rFonts w:hint="eastAsia" w:ascii="宋体" w:hAnsi="宋体" w:cs="宋体"/>
          <w:b/>
          <w:bCs/>
          <w:iCs/>
          <w:sz w:val="24"/>
          <w:highlight w:val="none"/>
          <w:lang w:val="en-US" w:eastAsia="zh-CN"/>
        </w:rPr>
      </w:pPr>
    </w:p>
    <w:p>
      <w:pPr>
        <w:pStyle w:val="38"/>
        <w:ind w:left="0" w:leftChars="0" w:firstLine="0" w:firstLineChars="0"/>
        <w:rPr>
          <w:rFonts w:hint="eastAsia"/>
          <w:lang w:val="en-US" w:eastAsia="zh-CN"/>
        </w:rPr>
      </w:pPr>
    </w:p>
    <w:p>
      <w:pPr>
        <w:spacing w:line="440" w:lineRule="exact"/>
        <w:rPr>
          <w:rFonts w:ascii="宋体" w:hAnsi="宋体" w:cs="宋体"/>
          <w:b/>
          <w:bCs/>
          <w:iCs/>
          <w:sz w:val="24"/>
          <w:highlight w:val="none"/>
        </w:rPr>
      </w:pPr>
      <w:r>
        <w:rPr>
          <w:rFonts w:hint="eastAsia" w:ascii="宋体" w:hAnsi="宋体" w:cs="宋体"/>
          <w:b/>
          <w:bCs/>
          <w:iCs/>
          <w:sz w:val="24"/>
          <w:highlight w:val="none"/>
        </w:rPr>
        <w:t>2、价格分（</w:t>
      </w:r>
      <w:r>
        <w:rPr>
          <w:rFonts w:hint="eastAsia" w:ascii="宋体" w:hAnsi="宋体" w:cs="宋体"/>
          <w:b/>
          <w:bCs/>
          <w:iCs/>
          <w:sz w:val="24"/>
          <w:highlight w:val="none"/>
          <w:u w:val="single"/>
          <w:lang w:val="en-US" w:eastAsia="zh-CN"/>
        </w:rPr>
        <w:t>30</w:t>
      </w:r>
      <w:r>
        <w:rPr>
          <w:rFonts w:hint="eastAsia" w:ascii="宋体" w:hAnsi="宋体" w:cs="宋体"/>
          <w:b/>
          <w:bCs/>
          <w:iCs/>
          <w:sz w:val="24"/>
          <w:highlight w:val="none"/>
        </w:rPr>
        <w:t>分）</w:t>
      </w:r>
    </w:p>
    <w:p>
      <w:pPr>
        <w:spacing w:line="440" w:lineRule="exact"/>
        <w:rPr>
          <w:rFonts w:ascii="宋体" w:hAnsi="宋体" w:cs="宋体"/>
          <w:bCs/>
          <w:iCs/>
          <w:sz w:val="24"/>
          <w:highlight w:val="none"/>
        </w:rPr>
      </w:pPr>
      <w:r>
        <w:rPr>
          <w:rFonts w:hint="eastAsia" w:ascii="宋体" w:hAnsi="宋体" w:cs="宋体"/>
          <w:bCs/>
          <w:iCs/>
          <w:sz w:val="24"/>
          <w:highlight w:val="none"/>
        </w:rPr>
        <w:t>2.1评标基准价：即满足招标文件要求且投标价格最低的投标报价为评标基准价，其价格分为满分。</w:t>
      </w:r>
    </w:p>
    <w:p>
      <w:pPr>
        <w:spacing w:line="440" w:lineRule="exact"/>
        <w:rPr>
          <w:rFonts w:ascii="宋体" w:hAnsi="宋体" w:cs="宋体"/>
          <w:bCs/>
          <w:iCs/>
          <w:sz w:val="24"/>
          <w:highlight w:val="none"/>
        </w:rPr>
      </w:pPr>
      <w:r>
        <w:rPr>
          <w:rFonts w:hint="eastAsia" w:ascii="宋体" w:hAnsi="宋体" w:cs="宋体"/>
          <w:bCs/>
          <w:iCs/>
          <w:sz w:val="24"/>
          <w:highlight w:val="none"/>
        </w:rPr>
        <w:t>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宋体" w:hAnsi="宋体" w:cs="宋体"/>
          <w:bCs/>
          <w:iCs/>
          <w:sz w:val="24"/>
          <w:highlight w:val="none"/>
        </w:rPr>
      </w:pPr>
      <w:r>
        <w:rPr>
          <w:rFonts w:hint="eastAsia" w:ascii="宋体" w:hAnsi="宋体" w:cs="宋体"/>
          <w:bCs/>
          <w:iCs/>
          <w:sz w:val="24"/>
          <w:highlight w:val="none"/>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宋体" w:hAnsi="宋体" w:cs="宋体"/>
          <w:bCs/>
          <w:iCs/>
          <w:sz w:val="24"/>
          <w:highlight w:val="none"/>
        </w:rPr>
      </w:pPr>
      <w:r>
        <w:rPr>
          <w:rFonts w:hint="eastAsia" w:ascii="宋体" w:hAnsi="宋体" w:cs="宋体"/>
          <w:bCs/>
          <w:iCs/>
          <w:sz w:val="24"/>
          <w:highlight w:val="none"/>
        </w:rPr>
        <w:t>即：投标报价得分=(评标基准价／投标报价)×</w:t>
      </w:r>
      <w:r>
        <w:rPr>
          <w:rFonts w:hint="eastAsia" w:ascii="宋体" w:hAnsi="宋体" w:cs="宋体"/>
          <w:bCs/>
          <w:iCs/>
          <w:sz w:val="24"/>
          <w:highlight w:val="none"/>
          <w:u w:val="single"/>
          <w:lang w:val="en-US" w:eastAsia="zh-CN"/>
        </w:rPr>
        <w:t>3</w:t>
      </w:r>
      <w:r>
        <w:rPr>
          <w:rFonts w:hint="eastAsia" w:ascii="宋体" w:hAnsi="宋体" w:cs="宋体"/>
          <w:bCs/>
          <w:iCs/>
          <w:sz w:val="24"/>
          <w:highlight w:val="none"/>
          <w:u w:val="single"/>
        </w:rPr>
        <w:t>0%</w:t>
      </w:r>
      <w:r>
        <w:rPr>
          <w:rFonts w:hint="eastAsia" w:ascii="宋体" w:hAnsi="宋体" w:cs="宋体"/>
          <w:bCs/>
          <w:iCs/>
          <w:sz w:val="24"/>
          <w:highlight w:val="none"/>
        </w:rPr>
        <w:t>×100</w:t>
      </w:r>
    </w:p>
    <w:p>
      <w:pPr>
        <w:pStyle w:val="19"/>
        <w:snapToGrid w:val="0"/>
        <w:spacing w:beforeLines="0" w:afterLines="0" w:line="500" w:lineRule="exact"/>
        <w:ind w:firstLine="480" w:firstLineChars="200"/>
        <w:jc w:val="left"/>
        <w:rPr>
          <w:rFonts w:hAnsi="宋体"/>
          <w:snapToGrid w:val="0"/>
          <w:kern w:val="0"/>
          <w:highlight w:val="none"/>
        </w:rPr>
      </w:pPr>
      <w:r>
        <w:rPr>
          <w:rFonts w:hint="eastAsia" w:hAnsi="宋体"/>
          <w:snapToGrid w:val="0"/>
          <w:kern w:val="0"/>
          <w:highlight w:val="none"/>
        </w:rPr>
        <w:t>投标人必须对本项目的全部内容进行报价，如有缺漏，其响应文件作无效处理。</w:t>
      </w:r>
    </w:p>
    <w:p>
      <w:pPr>
        <w:pStyle w:val="19"/>
        <w:snapToGrid w:val="0"/>
        <w:spacing w:beforeLines="0" w:afterLines="0" w:line="500" w:lineRule="exact"/>
        <w:ind w:firstLine="480" w:firstLineChars="200"/>
        <w:jc w:val="left"/>
        <w:rPr>
          <w:rFonts w:hAnsi="宋体"/>
          <w:snapToGrid w:val="0"/>
          <w:kern w:val="0"/>
          <w:highlight w:val="none"/>
        </w:rPr>
      </w:pPr>
      <w:r>
        <w:rPr>
          <w:rFonts w:hint="eastAsia" w:hAnsi="宋体"/>
          <w:snapToGrid w:val="0"/>
          <w:kern w:val="0"/>
          <w:highlight w:val="none"/>
        </w:rPr>
        <w:t>报价应为人民币含税全包价，包括设计图纸和采购所需产生的所有费用、利润、规费、税金、预留金、招标代理费、评审费以及合同包含的所有风险、责任等各项应有费用。</w:t>
      </w:r>
    </w:p>
    <w:p>
      <w:pPr>
        <w:pStyle w:val="19"/>
        <w:snapToGrid w:val="0"/>
        <w:spacing w:beforeLines="0" w:afterLines="0" w:line="500" w:lineRule="exact"/>
        <w:ind w:firstLine="482" w:firstLineChars="200"/>
        <w:jc w:val="left"/>
        <w:rPr>
          <w:rFonts w:hAnsi="宋体"/>
          <w:b/>
          <w:bCs/>
          <w:highlight w:val="none"/>
        </w:rPr>
      </w:pPr>
      <w:r>
        <w:rPr>
          <w:rFonts w:hint="eastAsia" w:hAnsi="宋体"/>
          <w:b/>
          <w:bCs/>
          <w:highlight w:val="none"/>
        </w:rPr>
        <w:t>本项目最高限价为</w:t>
      </w:r>
      <w:r>
        <w:rPr>
          <w:rFonts w:hint="eastAsia" w:hAnsi="宋体"/>
          <w:b/>
          <w:bCs/>
          <w:highlight w:val="none"/>
          <w:lang w:val="en-US" w:eastAsia="zh-CN"/>
        </w:rPr>
        <w:t>3983756</w:t>
      </w:r>
      <w:r>
        <w:rPr>
          <w:rFonts w:hint="eastAsia" w:hAnsi="宋体"/>
          <w:b/>
          <w:bCs/>
          <w:highlight w:val="none"/>
        </w:rPr>
        <w:t>元</w:t>
      </w:r>
      <w:r>
        <w:rPr>
          <w:rFonts w:hint="eastAsia" w:hAnsi="宋体"/>
          <w:b/>
          <w:bCs/>
          <w:highlight w:val="none"/>
          <w:lang w:val="en-US" w:eastAsia="zh-CN"/>
        </w:rPr>
        <w:t>,</w:t>
      </w:r>
      <w:r>
        <w:rPr>
          <w:rFonts w:hint="eastAsia" w:hAnsi="宋体"/>
          <w:b/>
          <w:bCs/>
          <w:highlight w:val="none"/>
        </w:rPr>
        <w:t>设风险控制价为</w:t>
      </w:r>
      <w:r>
        <w:rPr>
          <w:rFonts w:hint="eastAsia" w:hAnsi="宋体"/>
          <w:b/>
          <w:bCs/>
          <w:highlight w:val="none"/>
          <w:lang w:val="en-US" w:eastAsia="zh-CN"/>
        </w:rPr>
        <w:t>3386192.6</w:t>
      </w:r>
      <w:r>
        <w:rPr>
          <w:rFonts w:hint="eastAsia" w:hAnsi="宋体"/>
          <w:b/>
          <w:bCs/>
          <w:highlight w:val="none"/>
        </w:rPr>
        <w:t>元（最高限价的8</w:t>
      </w:r>
      <w:r>
        <w:rPr>
          <w:rFonts w:hint="eastAsia" w:hAnsi="宋体"/>
          <w:b/>
          <w:bCs/>
          <w:highlight w:val="none"/>
          <w:lang w:val="en-US" w:eastAsia="zh-CN"/>
        </w:rPr>
        <w:t>5</w:t>
      </w:r>
      <w:r>
        <w:rPr>
          <w:rFonts w:hint="eastAsia" w:hAnsi="宋体"/>
          <w:b/>
          <w:bCs/>
          <w:highlight w:val="none"/>
        </w:rPr>
        <w:t>%）,若中标单位低于风险控制价的，</w:t>
      </w:r>
      <w:bookmarkStart w:id="89" w:name="OLE_LINK12"/>
      <w:r>
        <w:rPr>
          <w:rFonts w:hint="eastAsia" w:hAnsi="宋体"/>
          <w:b/>
          <w:bCs/>
          <w:highlight w:val="none"/>
        </w:rPr>
        <w:t>中标人应在提缴履约保证金的同时必须额外补交中</w:t>
      </w:r>
      <w:bookmarkEnd w:id="89"/>
      <w:r>
        <w:rPr>
          <w:rFonts w:hint="eastAsia" w:hAnsi="宋体"/>
          <w:b/>
          <w:bCs/>
          <w:highlight w:val="none"/>
        </w:rPr>
        <w:t>标总价与风险控制价之差额（保证金支付方式：转帐形式），中标人不提缴的视为放弃中标。差额保证金在项目验收合格并经采购人认可后30日内无息退还。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2" w:firstLineChars="200"/>
        <w:rPr>
          <w:rFonts w:hint="eastAsia" w:ascii="宋体" w:hAnsi="宋体" w:cs="宋体"/>
          <w:b/>
          <w:bCs/>
          <w:sz w:val="24"/>
          <w:highlight w:val="none"/>
        </w:rPr>
      </w:pPr>
      <w:r>
        <w:rPr>
          <w:rFonts w:hint="eastAsia" w:ascii="宋体" w:hAnsi="宋体" w:cs="宋体"/>
          <w:b/>
          <w:bCs/>
          <w:sz w:val="24"/>
          <w:highlight w:val="none"/>
        </w:rPr>
        <w:t>评标委员会认为投标人的报价明显低于其他通过符合性审查投标人的报价，有可能影响</w:t>
      </w:r>
      <w:r>
        <w:rPr>
          <w:rFonts w:hint="eastAsia" w:ascii="宋体" w:hAnsi="宋体" w:cs="宋体"/>
          <w:b/>
          <w:bCs/>
          <w:sz w:val="24"/>
          <w:highlight w:val="none"/>
          <w:lang w:eastAsia="zh-CN"/>
        </w:rPr>
        <w:t>服务</w:t>
      </w:r>
      <w:r>
        <w:rPr>
          <w:rFonts w:hint="eastAsia" w:ascii="宋体" w:hAnsi="宋体" w:cs="宋体"/>
          <w:b/>
          <w:bCs/>
          <w:sz w:val="24"/>
          <w:highlight w:val="none"/>
        </w:rPr>
        <w:t>质量或者不能诚信履约的，应当要求其在评标现场合理的时间内通过乐采云平台提供线上说明，必要时提交相关证明材料。投标人不能在规定时间内合理说明原因并提供证明材料的，评标委员会应当将该投标人的投标文件作无效处理，并在评审报告中说明。</w:t>
      </w:r>
      <w:bookmarkEnd w:id="56"/>
      <w:bookmarkEnd w:id="57"/>
      <w:bookmarkStart w:id="90" w:name="_Toc8096"/>
      <w:bookmarkStart w:id="91" w:name="_Toc29887"/>
    </w:p>
    <w:p>
      <w:pPr>
        <w:pStyle w:val="29"/>
        <w:rPr>
          <w:rFonts w:hint="eastAsia"/>
        </w:rPr>
      </w:pPr>
    </w:p>
    <w:p>
      <w:pPr>
        <w:pStyle w:val="29"/>
        <w:rPr>
          <w:rFonts w:hint="eastAsia"/>
        </w:rPr>
      </w:pPr>
    </w:p>
    <w:p>
      <w:pPr>
        <w:pStyle w:val="29"/>
        <w:rPr>
          <w:rFonts w:hint="eastAsia"/>
        </w:rPr>
      </w:pPr>
    </w:p>
    <w:p>
      <w:pPr>
        <w:pStyle w:val="29"/>
        <w:rPr>
          <w:rFonts w:hint="eastAsia"/>
        </w:rPr>
      </w:pPr>
    </w:p>
    <w:p>
      <w:pPr>
        <w:pStyle w:val="29"/>
        <w:rPr>
          <w:rFonts w:hint="eastAsia"/>
        </w:rPr>
      </w:pPr>
    </w:p>
    <w:p>
      <w:pPr>
        <w:pStyle w:val="29"/>
      </w:pPr>
    </w:p>
    <w:p>
      <w:pPr>
        <w:jc w:val="center"/>
        <w:outlineLvl w:val="0"/>
        <w:rPr>
          <w:rFonts w:ascii="宋体" w:hAnsi="宋体" w:cs="宋体"/>
          <w:b/>
          <w:bCs/>
          <w:sz w:val="32"/>
          <w:szCs w:val="32"/>
          <w:highlight w:val="none"/>
        </w:rPr>
      </w:pPr>
    </w:p>
    <w:p>
      <w:pPr>
        <w:pStyle w:val="37"/>
        <w:rPr>
          <w:rFonts w:ascii="宋体" w:hAnsi="宋体" w:cs="宋体"/>
          <w:b/>
          <w:bCs/>
          <w:sz w:val="32"/>
          <w:szCs w:val="32"/>
          <w:highlight w:val="none"/>
        </w:rPr>
      </w:pPr>
    </w:p>
    <w:p>
      <w:pPr>
        <w:pStyle w:val="38"/>
        <w:rPr>
          <w:rFonts w:ascii="宋体" w:hAnsi="宋体" w:cs="宋体"/>
          <w:b/>
          <w:bCs/>
          <w:sz w:val="32"/>
          <w:szCs w:val="32"/>
          <w:highlight w:val="none"/>
        </w:rPr>
      </w:pPr>
    </w:p>
    <w:p>
      <w:pPr>
        <w:rPr>
          <w:rFonts w:ascii="宋体" w:hAnsi="宋体" w:cs="宋体"/>
          <w:b/>
          <w:bCs/>
          <w:sz w:val="32"/>
          <w:szCs w:val="32"/>
          <w:highlight w:val="none"/>
        </w:rPr>
      </w:pPr>
    </w:p>
    <w:p>
      <w:pPr>
        <w:pStyle w:val="29"/>
        <w:rPr>
          <w:rFonts w:ascii="宋体" w:hAnsi="宋体" w:cs="宋体"/>
          <w:b/>
          <w:bCs/>
          <w:sz w:val="32"/>
          <w:szCs w:val="32"/>
          <w:highlight w:val="none"/>
        </w:rPr>
      </w:pPr>
    </w:p>
    <w:p>
      <w:pPr>
        <w:rPr>
          <w:rFonts w:ascii="宋体" w:hAnsi="宋体" w:cs="宋体"/>
          <w:b/>
          <w:bCs/>
          <w:sz w:val="32"/>
          <w:szCs w:val="32"/>
          <w:highlight w:val="none"/>
        </w:rPr>
      </w:pPr>
    </w:p>
    <w:p>
      <w:pPr>
        <w:pStyle w:val="29"/>
        <w:rPr>
          <w:rFonts w:ascii="宋体" w:hAnsi="宋体" w:cs="宋体"/>
          <w:b/>
          <w:bCs/>
          <w:sz w:val="32"/>
          <w:szCs w:val="32"/>
          <w:highlight w:val="none"/>
        </w:rPr>
      </w:pPr>
    </w:p>
    <w:p>
      <w:pPr>
        <w:rPr>
          <w:rFonts w:ascii="宋体" w:hAnsi="宋体" w:cs="宋体"/>
          <w:b/>
          <w:bCs/>
          <w:sz w:val="32"/>
          <w:szCs w:val="32"/>
          <w:highlight w:val="none"/>
        </w:rPr>
      </w:pPr>
    </w:p>
    <w:p>
      <w:pPr>
        <w:pStyle w:val="29"/>
        <w:rPr>
          <w:rFonts w:ascii="宋体" w:hAnsi="宋体" w:cs="宋体"/>
          <w:b/>
          <w:bCs/>
          <w:sz w:val="32"/>
          <w:szCs w:val="32"/>
          <w:highlight w:val="none"/>
        </w:rPr>
      </w:pPr>
    </w:p>
    <w:p>
      <w:pPr>
        <w:rPr>
          <w:rFonts w:ascii="宋体" w:hAnsi="宋体" w:cs="宋体"/>
          <w:b/>
          <w:bCs/>
          <w:sz w:val="32"/>
          <w:szCs w:val="32"/>
          <w:highlight w:val="none"/>
        </w:rPr>
      </w:pPr>
    </w:p>
    <w:p>
      <w:pPr>
        <w:pStyle w:val="29"/>
        <w:rPr>
          <w:rFonts w:ascii="宋体" w:hAnsi="宋体" w:cs="宋体"/>
          <w:b/>
          <w:bCs/>
          <w:sz w:val="32"/>
          <w:szCs w:val="32"/>
          <w:highlight w:val="none"/>
        </w:rPr>
      </w:pPr>
    </w:p>
    <w:p>
      <w:pPr>
        <w:pStyle w:val="29"/>
        <w:rPr>
          <w:rFonts w:ascii="宋体" w:hAnsi="宋体" w:cs="宋体"/>
          <w:b/>
          <w:bCs/>
          <w:sz w:val="32"/>
          <w:szCs w:val="32"/>
          <w:highlight w:val="none"/>
        </w:rPr>
      </w:pPr>
    </w:p>
    <w:p>
      <w:pPr>
        <w:pStyle w:val="29"/>
        <w:rPr>
          <w:rFonts w:ascii="宋体" w:hAnsi="宋体" w:cs="宋体"/>
          <w:b/>
          <w:bCs/>
          <w:sz w:val="32"/>
          <w:szCs w:val="32"/>
          <w:highlight w:val="none"/>
        </w:rPr>
      </w:pPr>
    </w:p>
    <w:p>
      <w:pPr>
        <w:pStyle w:val="29"/>
        <w:rPr>
          <w:rFonts w:ascii="宋体" w:hAnsi="宋体" w:cs="宋体"/>
          <w:b/>
          <w:bCs/>
          <w:sz w:val="32"/>
          <w:szCs w:val="32"/>
          <w:highlight w:val="none"/>
        </w:rPr>
      </w:pPr>
    </w:p>
    <w:p>
      <w:pPr>
        <w:pStyle w:val="29"/>
        <w:rPr>
          <w:rFonts w:ascii="宋体" w:hAnsi="宋体" w:cs="宋体"/>
          <w:b/>
          <w:bCs/>
          <w:sz w:val="32"/>
          <w:szCs w:val="32"/>
          <w:highlight w:val="none"/>
        </w:rPr>
      </w:pPr>
    </w:p>
    <w:p>
      <w:pPr>
        <w:pStyle w:val="29"/>
        <w:rPr>
          <w:rFonts w:ascii="宋体" w:hAnsi="宋体" w:cs="宋体"/>
          <w:b/>
          <w:bCs/>
          <w:sz w:val="32"/>
          <w:szCs w:val="32"/>
          <w:highlight w:val="none"/>
        </w:rPr>
      </w:pPr>
      <w:r>
        <w:rPr>
          <w:rFonts w:ascii="宋体" w:hAnsi="宋体" w:cs="宋体"/>
          <w:b/>
          <w:bCs/>
          <w:sz w:val="32"/>
          <w:szCs w:val="32"/>
          <w:highlight w:val="none"/>
        </w:rPr>
        <w:br w:type="textWrapping"/>
      </w:r>
    </w:p>
    <w:p>
      <w:pPr>
        <w:ind w:firstLine="2891" w:firstLineChars="900"/>
        <w:jc w:val="both"/>
        <w:rPr>
          <w:rFonts w:ascii="宋体" w:hAnsi="宋体" w:cs="宋体"/>
          <w:b/>
          <w:bCs/>
          <w:sz w:val="32"/>
          <w:szCs w:val="32"/>
          <w:highlight w:val="none"/>
        </w:rPr>
      </w:pPr>
      <w:r>
        <w:rPr>
          <w:rFonts w:hint="eastAsia" w:ascii="宋体" w:hAnsi="宋体" w:cs="宋体"/>
          <w:b/>
          <w:bCs/>
          <w:sz w:val="32"/>
          <w:szCs w:val="32"/>
          <w:highlight w:val="none"/>
        </w:rPr>
        <w:t>第五章  合同主要条款</w:t>
      </w:r>
      <w:bookmarkEnd w:id="90"/>
      <w:bookmarkEnd w:id="91"/>
    </w:p>
    <w:p>
      <w:pPr>
        <w:pStyle w:val="19"/>
        <w:spacing w:before="120" w:after="120"/>
        <w:jc w:val="center"/>
        <w:rPr>
          <w:rFonts w:hAnsi="宋体"/>
          <w:b/>
          <w:bCs/>
          <w:highlight w:val="none"/>
        </w:rPr>
      </w:pPr>
      <w:r>
        <w:rPr>
          <w:rFonts w:hint="eastAsia" w:hAnsi="宋体"/>
          <w:b/>
          <w:bCs/>
          <w:sz w:val="21"/>
          <w:szCs w:val="21"/>
          <w:highlight w:val="none"/>
        </w:rPr>
        <w:t>（</w:t>
      </w:r>
      <w:r>
        <w:rPr>
          <w:rFonts w:hint="eastAsia" w:hAnsi="宋体"/>
          <w:b/>
          <w:bCs/>
          <w:highlight w:val="none"/>
        </w:rPr>
        <w:t>本合同为合同样稿，最终稿由双方协商后确定）</w:t>
      </w:r>
    </w:p>
    <w:p>
      <w:pPr>
        <w:spacing w:line="380" w:lineRule="exact"/>
        <w:ind w:firstLine="480" w:firstLineChars="200"/>
        <w:jc w:val="left"/>
        <w:rPr>
          <w:rFonts w:ascii="宋体" w:hAnsi="宋体" w:cs="宋体"/>
          <w:sz w:val="24"/>
          <w:highlight w:val="none"/>
        </w:rPr>
      </w:pPr>
      <w:r>
        <w:rPr>
          <w:rFonts w:hint="eastAsia" w:ascii="宋体" w:hAnsi="宋体" w:cs="宋体"/>
          <w:sz w:val="24"/>
          <w:highlight w:val="none"/>
        </w:rPr>
        <w:t>甲方（</w:t>
      </w:r>
      <w:r>
        <w:rPr>
          <w:rFonts w:hint="eastAsia" w:ascii="宋体" w:hAnsi="宋体" w:cs="宋体"/>
          <w:sz w:val="24"/>
          <w:highlight w:val="none"/>
          <w:lang w:eastAsia="zh-CN"/>
        </w:rPr>
        <w:t>采购</w:t>
      </w:r>
      <w:r>
        <w:rPr>
          <w:rFonts w:hint="eastAsia" w:ascii="宋体" w:hAnsi="宋体" w:cs="宋体"/>
          <w:sz w:val="24"/>
          <w:highlight w:val="none"/>
        </w:rPr>
        <w:t>方）：</w:t>
      </w:r>
    </w:p>
    <w:p>
      <w:pPr>
        <w:spacing w:line="380" w:lineRule="exact"/>
        <w:ind w:firstLine="480" w:firstLineChars="200"/>
        <w:jc w:val="left"/>
        <w:rPr>
          <w:rFonts w:ascii="宋体" w:hAnsi="宋体" w:cs="宋体"/>
          <w:sz w:val="24"/>
          <w:highlight w:val="none"/>
        </w:rPr>
      </w:pPr>
      <w:r>
        <w:rPr>
          <w:rFonts w:hint="eastAsia" w:ascii="宋体" w:hAnsi="宋体" w:cs="宋体"/>
          <w:sz w:val="24"/>
          <w:highlight w:val="none"/>
        </w:rPr>
        <w:t>乙方（中标方）：</w:t>
      </w:r>
    </w:p>
    <w:p>
      <w:pPr>
        <w:spacing w:line="500" w:lineRule="exact"/>
        <w:ind w:firstLine="480" w:firstLineChars="200"/>
        <w:jc w:val="left"/>
        <w:rPr>
          <w:rFonts w:ascii="宋体" w:hAnsi="宋体" w:cs="宋体"/>
          <w:sz w:val="24"/>
          <w:highlight w:val="none"/>
        </w:rPr>
      </w:pPr>
      <w:bookmarkStart w:id="92" w:name="_Toc19146"/>
      <w:bookmarkStart w:id="93" w:name="_Toc269217275"/>
      <w:bookmarkStart w:id="94" w:name="_Toc340321917"/>
      <w:bookmarkStart w:id="95" w:name="_Toc339302133"/>
      <w:bookmarkStart w:id="96" w:name="_Toc480884136"/>
      <w:bookmarkStart w:id="97" w:name="_Toc340322172"/>
      <w:r>
        <w:rPr>
          <w:rFonts w:hint="eastAsia" w:ascii="宋体" w:hAnsi="宋体" w:cs="宋体"/>
          <w:sz w:val="24"/>
          <w:highlight w:val="none"/>
        </w:rPr>
        <w:t>参照《中华人民共和国民法典》等有关法律法规精神，甲方经过公开招标采购方式确定乙方为</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嵊州市仙岩镇云上舜皇文旅开发项目-提升改造（茶文化中心）空间提升及布展文化项目</w:t>
      </w:r>
      <w:r>
        <w:rPr>
          <w:rFonts w:hint="eastAsia" w:ascii="宋体" w:hAnsi="宋体" w:cs="宋体"/>
          <w:sz w:val="24"/>
          <w:highlight w:val="none"/>
          <w:u w:val="single"/>
        </w:rPr>
        <w:t xml:space="preserve"> </w:t>
      </w:r>
      <w:r>
        <w:rPr>
          <w:rFonts w:hint="eastAsia" w:ascii="宋体" w:hAnsi="宋体" w:cs="宋体"/>
          <w:sz w:val="24"/>
          <w:highlight w:val="none"/>
        </w:rPr>
        <w:t>的中标人，双方经协商达成以下条款：</w:t>
      </w:r>
    </w:p>
    <w:bookmarkEnd w:id="92"/>
    <w:bookmarkEnd w:id="93"/>
    <w:bookmarkEnd w:id="94"/>
    <w:bookmarkEnd w:id="95"/>
    <w:bookmarkEnd w:id="96"/>
    <w:bookmarkEnd w:id="97"/>
    <w:p>
      <w:pPr>
        <w:numPr>
          <w:ilvl w:val="0"/>
          <w:numId w:val="10"/>
        </w:numPr>
        <w:spacing w:line="500" w:lineRule="exact"/>
        <w:jc w:val="left"/>
        <w:rPr>
          <w:rFonts w:hint="default" w:ascii="宋体" w:hAnsi="宋体" w:eastAsia="宋体" w:cs="宋体"/>
          <w:b/>
          <w:bCs/>
          <w:sz w:val="24"/>
          <w:highlight w:val="none"/>
          <w:lang w:val="en-US" w:eastAsia="zh-CN"/>
        </w:rPr>
      </w:pPr>
      <w:r>
        <w:rPr>
          <w:rFonts w:hint="eastAsia" w:ascii="宋体" w:hAnsi="宋体" w:cs="宋体"/>
          <w:b/>
          <w:bCs/>
          <w:sz w:val="24"/>
          <w:highlight w:val="none"/>
          <w:lang w:eastAsia="zh-CN"/>
        </w:rPr>
        <w:t>项目地点：</w:t>
      </w:r>
      <w:r>
        <w:rPr>
          <w:rFonts w:hint="eastAsia" w:ascii="宋体" w:hAnsi="宋体" w:eastAsia="宋体" w:cs="宋体"/>
          <w:bCs/>
          <w:sz w:val="24"/>
          <w:szCs w:val="24"/>
          <w:highlight w:val="none"/>
          <w:lang w:val="en-US" w:eastAsia="zh-CN"/>
        </w:rPr>
        <w:t>舜皇山村</w:t>
      </w:r>
    </w:p>
    <w:p>
      <w:pPr>
        <w:numPr>
          <w:ilvl w:val="0"/>
          <w:numId w:val="0"/>
        </w:numPr>
        <w:spacing w:line="500" w:lineRule="exact"/>
        <w:jc w:val="left"/>
        <w:rPr>
          <w:rFonts w:hint="default" w:ascii="宋体" w:hAnsi="宋体" w:eastAsia="宋体" w:cs="宋体"/>
          <w:b/>
          <w:bCs/>
          <w:sz w:val="24"/>
          <w:highlight w:val="none"/>
          <w:lang w:val="en-US" w:eastAsia="zh-CN"/>
        </w:rPr>
      </w:pPr>
      <w:r>
        <w:rPr>
          <w:rFonts w:hint="eastAsia" w:ascii="宋体" w:hAnsi="宋体" w:cs="宋体"/>
          <w:b/>
          <w:bCs/>
          <w:sz w:val="24"/>
          <w:highlight w:val="none"/>
          <w:lang w:eastAsia="zh-CN"/>
        </w:rPr>
        <w:t>二</w:t>
      </w:r>
      <w:r>
        <w:rPr>
          <w:rFonts w:hint="eastAsia" w:ascii="宋体" w:hAnsi="宋体" w:cs="宋体"/>
          <w:b/>
          <w:bCs/>
          <w:sz w:val="24"/>
          <w:highlight w:val="none"/>
        </w:rPr>
        <w:t>、</w:t>
      </w:r>
      <w:r>
        <w:rPr>
          <w:rFonts w:hint="eastAsia" w:ascii="宋体" w:hAnsi="宋体" w:cs="宋体"/>
          <w:b/>
          <w:bCs/>
          <w:sz w:val="24"/>
          <w:highlight w:val="none"/>
          <w:lang w:eastAsia="zh-CN"/>
        </w:rPr>
        <w:t>服务内容</w:t>
      </w:r>
    </w:p>
    <w:p>
      <w:pPr>
        <w:spacing w:line="5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本次招标具体内容包括展陈部分的内容深化、施工图设计、展陈作品的设计制作、设施设备物料等采购、安装调试运行、项目移交等内容及质保期内的维护、配合现</w:t>
      </w:r>
      <w:r>
        <w:rPr>
          <w:rFonts w:hint="eastAsia" w:ascii="宋体" w:hAnsi="宋体" w:cs="宋体"/>
          <w:bCs/>
          <w:sz w:val="24"/>
          <w:szCs w:val="24"/>
          <w:highlight w:val="none"/>
          <w:lang w:val="en-US" w:eastAsia="zh-CN"/>
        </w:rPr>
        <w:t>场</w:t>
      </w:r>
      <w:r>
        <w:rPr>
          <w:rFonts w:hint="eastAsia" w:ascii="宋体" w:hAnsi="宋体" w:eastAsia="宋体" w:cs="宋体"/>
          <w:bCs/>
          <w:sz w:val="24"/>
          <w:szCs w:val="24"/>
          <w:highlight w:val="none"/>
          <w:lang w:val="en-US" w:eastAsia="zh-CN"/>
        </w:rPr>
        <w:t>施工单位完成本项目需要的所有事项。</w:t>
      </w:r>
    </w:p>
    <w:p>
      <w:pPr>
        <w:numPr>
          <w:ilvl w:val="0"/>
          <w:numId w:val="0"/>
        </w:numPr>
        <w:spacing w:line="500" w:lineRule="exact"/>
        <w:rPr>
          <w:rFonts w:hint="eastAsia" w:ascii="宋体" w:hAnsi="宋体" w:cs="宋体"/>
          <w:b/>
          <w:bCs/>
          <w:sz w:val="24"/>
          <w:highlight w:val="none"/>
          <w:lang w:eastAsia="zh-CN"/>
        </w:rPr>
      </w:pPr>
      <w:r>
        <w:rPr>
          <w:rFonts w:hint="eastAsia" w:ascii="宋体" w:hAnsi="宋体" w:cs="宋体"/>
          <w:b/>
          <w:bCs/>
          <w:sz w:val="24"/>
          <w:highlight w:val="none"/>
          <w:lang w:eastAsia="zh-CN"/>
        </w:rPr>
        <w:t>三、服务期</w:t>
      </w:r>
    </w:p>
    <w:p>
      <w:pPr>
        <w:spacing w:line="500" w:lineRule="exact"/>
        <w:ind w:firstLine="480" w:firstLineChars="20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90日历天，进度需同装修施工同步。</w:t>
      </w:r>
    </w:p>
    <w:p>
      <w:pPr>
        <w:numPr>
          <w:ilvl w:val="0"/>
          <w:numId w:val="0"/>
        </w:numPr>
        <w:adjustRightInd w:val="0"/>
        <w:snapToGrid w:val="0"/>
        <w:rPr>
          <w:rFonts w:hint="eastAsia" w:ascii="宋体" w:hAnsi="宋体" w:cs="宋体"/>
          <w:b/>
          <w:bCs/>
          <w:sz w:val="24"/>
          <w:highlight w:val="none"/>
          <w:lang w:eastAsia="zh-CN"/>
        </w:rPr>
      </w:pPr>
      <w:bookmarkStart w:id="98" w:name="_Toc28139"/>
      <w:bookmarkStart w:id="99" w:name="_Toc340321922"/>
      <w:bookmarkStart w:id="100" w:name="_Toc339302138"/>
      <w:bookmarkStart w:id="101" w:name="_Toc340322177"/>
      <w:bookmarkStart w:id="102" w:name="_Toc269217281"/>
      <w:r>
        <w:rPr>
          <w:rFonts w:hint="eastAsia" w:ascii="宋体" w:hAnsi="宋体" w:cs="宋体"/>
          <w:b/>
          <w:bCs/>
          <w:sz w:val="24"/>
          <w:highlight w:val="none"/>
          <w:lang w:eastAsia="zh-CN"/>
        </w:rPr>
        <w:t>四、验收标准</w:t>
      </w:r>
    </w:p>
    <w:p>
      <w:pPr>
        <w:spacing w:line="500" w:lineRule="exact"/>
        <w:ind w:firstLine="480"/>
        <w:rPr>
          <w:rFonts w:hint="eastAsia" w:ascii="宋体" w:hAnsi="宋体" w:cs="宋体"/>
          <w:bCs/>
          <w:sz w:val="24"/>
          <w:highlight w:val="none"/>
          <w:lang w:eastAsia="zh-CN"/>
        </w:rPr>
      </w:pPr>
      <w:r>
        <w:rPr>
          <w:rFonts w:hint="eastAsia" w:ascii="宋体" w:hAnsi="宋体" w:cs="宋体"/>
          <w:bCs/>
          <w:sz w:val="24"/>
          <w:highlight w:val="none"/>
          <w:lang w:val="en-US" w:eastAsia="zh-CN"/>
        </w:rPr>
        <w:t>中间成果和最终成果经甲方或者甲方组织的会议审查验收通过。</w:t>
      </w:r>
    </w:p>
    <w:bookmarkEnd w:id="98"/>
    <w:bookmarkEnd w:id="99"/>
    <w:bookmarkEnd w:id="100"/>
    <w:bookmarkEnd w:id="101"/>
    <w:bookmarkEnd w:id="102"/>
    <w:p>
      <w:pPr>
        <w:spacing w:line="500" w:lineRule="exact"/>
        <w:jc w:val="left"/>
        <w:rPr>
          <w:rFonts w:hint="eastAsia" w:ascii="宋体" w:hAnsi="宋体" w:cs="宋体"/>
          <w:b/>
          <w:bCs/>
          <w:sz w:val="24"/>
          <w:highlight w:val="none"/>
          <w:lang w:eastAsia="zh-CN"/>
        </w:rPr>
      </w:pPr>
      <w:r>
        <w:rPr>
          <w:rFonts w:hint="eastAsia" w:ascii="宋体" w:hAnsi="宋体" w:cs="宋体"/>
          <w:b/>
          <w:bCs/>
          <w:sz w:val="24"/>
          <w:highlight w:val="none"/>
          <w:lang w:eastAsia="zh-CN"/>
        </w:rPr>
        <w:t>五、费用</w:t>
      </w:r>
    </w:p>
    <w:p>
      <w:pPr>
        <w:spacing w:line="500" w:lineRule="exact"/>
        <w:ind w:firstLine="480"/>
        <w:rPr>
          <w:rFonts w:hint="eastAsia" w:ascii="宋体" w:hAnsi="宋体" w:cs="宋体"/>
          <w:bCs/>
          <w:sz w:val="24"/>
          <w:highlight w:val="none"/>
          <w:lang w:eastAsia="zh-CN"/>
        </w:rPr>
      </w:pPr>
      <w:r>
        <w:rPr>
          <w:rFonts w:hint="eastAsia" w:ascii="宋体" w:hAnsi="宋体" w:cs="宋体"/>
          <w:bCs/>
          <w:sz w:val="24"/>
          <w:highlight w:val="none"/>
          <w:lang w:eastAsia="zh-CN"/>
        </w:rPr>
        <w:t>中标价：</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lang w:eastAsia="zh-CN"/>
        </w:rPr>
        <w:t>（大写）</w:t>
      </w:r>
      <w:r>
        <w:rPr>
          <w:rFonts w:hint="eastAsia" w:ascii="宋体" w:hAnsi="宋体" w:cs="宋体"/>
          <w:bCs/>
          <w:sz w:val="24"/>
          <w:highlight w:val="none"/>
          <w:u w:val="single"/>
          <w:lang w:eastAsia="zh-CN"/>
        </w:rPr>
        <w:t xml:space="preserve">     </w:t>
      </w:r>
      <w:r>
        <w:rPr>
          <w:rFonts w:hint="eastAsia" w:ascii="宋体" w:hAnsi="宋体" w:cs="宋体"/>
          <w:bCs/>
          <w:sz w:val="24"/>
          <w:highlight w:val="none"/>
          <w:lang w:eastAsia="zh-CN"/>
        </w:rPr>
        <w:t>。</w:t>
      </w:r>
    </w:p>
    <w:p>
      <w:pPr>
        <w:spacing w:line="500" w:lineRule="exact"/>
        <w:jc w:val="left"/>
        <w:rPr>
          <w:rFonts w:ascii="宋体" w:hAnsi="宋体" w:cs="宋体"/>
          <w:b/>
          <w:bCs/>
          <w:sz w:val="24"/>
          <w:highlight w:val="none"/>
        </w:rPr>
      </w:pPr>
      <w:r>
        <w:rPr>
          <w:rFonts w:hint="eastAsia" w:ascii="宋体" w:hAnsi="宋体" w:cs="宋体"/>
          <w:b/>
          <w:bCs/>
          <w:sz w:val="24"/>
          <w:highlight w:val="none"/>
          <w:lang w:eastAsia="zh-CN"/>
        </w:rPr>
        <w:t>六</w:t>
      </w:r>
      <w:r>
        <w:rPr>
          <w:rFonts w:hint="eastAsia" w:ascii="宋体" w:hAnsi="宋体" w:cs="宋体"/>
          <w:b/>
          <w:bCs/>
          <w:sz w:val="24"/>
          <w:highlight w:val="none"/>
        </w:rPr>
        <w:t>、履约保证金</w:t>
      </w:r>
    </w:p>
    <w:p>
      <w:pPr>
        <w:spacing w:line="500" w:lineRule="exact"/>
        <w:ind w:firstLine="480" w:firstLineChars="200"/>
        <w:jc w:val="left"/>
        <w:rPr>
          <w:rFonts w:ascii="宋体" w:hAnsi="宋体" w:cs="宋体"/>
          <w:sz w:val="24"/>
          <w:highlight w:val="none"/>
        </w:rPr>
      </w:pPr>
      <w:bookmarkStart w:id="103" w:name="OLE_LINK3"/>
      <w:bookmarkStart w:id="104" w:name="_Toc340322179"/>
      <w:bookmarkStart w:id="105" w:name="_Toc340321924"/>
      <w:bookmarkStart w:id="106" w:name="_Toc339302140"/>
      <w:r>
        <w:rPr>
          <w:rFonts w:hint="eastAsia" w:ascii="宋体" w:hAnsi="宋体" w:cs="宋体"/>
          <w:sz w:val="24"/>
          <w:highlight w:val="none"/>
        </w:rPr>
        <w:t>中标金额的 1 %；收到中标通知书之日起5个工作日内缴纳履约保证金，项目验收合格并经采购人认可后30日内无息退还履约保证金。履约保证金支付方式：转账形式。</w:t>
      </w:r>
    </w:p>
    <w:bookmarkEnd w:id="103"/>
    <w:bookmarkEnd w:id="104"/>
    <w:bookmarkEnd w:id="105"/>
    <w:bookmarkEnd w:id="106"/>
    <w:p>
      <w:pPr>
        <w:spacing w:line="500" w:lineRule="exact"/>
        <w:jc w:val="left"/>
        <w:rPr>
          <w:rFonts w:ascii="宋体" w:hAnsi="宋体" w:cs="宋体"/>
          <w:b/>
          <w:bCs/>
          <w:sz w:val="24"/>
          <w:highlight w:val="none"/>
        </w:rPr>
      </w:pPr>
      <w:r>
        <w:rPr>
          <w:rFonts w:hint="eastAsia" w:ascii="宋体" w:hAnsi="宋体" w:cs="宋体"/>
          <w:b/>
          <w:bCs/>
          <w:sz w:val="24"/>
          <w:highlight w:val="none"/>
          <w:lang w:eastAsia="zh-CN"/>
        </w:rPr>
        <w:t>七</w:t>
      </w:r>
      <w:r>
        <w:rPr>
          <w:rFonts w:hint="eastAsia" w:ascii="宋体" w:hAnsi="宋体" w:cs="宋体"/>
          <w:b/>
          <w:bCs/>
          <w:sz w:val="24"/>
          <w:highlight w:val="none"/>
        </w:rPr>
        <w:t>、付款方式</w:t>
      </w:r>
    </w:p>
    <w:p>
      <w:pPr>
        <w:numPr>
          <w:ilvl w:val="0"/>
          <w:numId w:val="0"/>
        </w:numPr>
        <w:spacing w:line="500" w:lineRule="exact"/>
        <w:ind w:firstLine="480" w:firstLineChars="200"/>
        <w:jc w:val="left"/>
        <w:rPr>
          <w:rFonts w:hint="eastAsia" w:ascii="宋体" w:hAnsi="宋体" w:cs="宋体"/>
          <w:sz w:val="24"/>
          <w:highlight w:val="none"/>
          <w:lang w:val="zh-TW" w:eastAsia="zh-TW"/>
        </w:rPr>
      </w:pPr>
      <w:r>
        <w:rPr>
          <w:rFonts w:hint="eastAsia" w:ascii="宋体" w:hAnsi="宋体" w:cs="宋体"/>
          <w:sz w:val="24"/>
          <w:highlight w:val="none"/>
          <w:lang w:val="zh-TW" w:eastAsia="zh-TW"/>
        </w:rPr>
        <w:t>（1）项目成果方案审核通过后支付合同价30%；</w:t>
      </w:r>
    </w:p>
    <w:p>
      <w:pPr>
        <w:numPr>
          <w:ilvl w:val="0"/>
          <w:numId w:val="0"/>
        </w:numPr>
        <w:spacing w:line="500" w:lineRule="exact"/>
        <w:ind w:firstLine="480" w:firstLineChars="200"/>
        <w:jc w:val="left"/>
        <w:rPr>
          <w:rFonts w:hint="eastAsia" w:ascii="宋体" w:hAnsi="宋体" w:cs="宋体"/>
          <w:sz w:val="24"/>
          <w:highlight w:val="none"/>
          <w:lang w:val="zh-TW" w:eastAsia="zh-TW"/>
        </w:rPr>
      </w:pPr>
      <w:r>
        <w:rPr>
          <w:rFonts w:hint="eastAsia" w:ascii="宋体" w:hAnsi="宋体" w:cs="宋体"/>
          <w:sz w:val="24"/>
          <w:highlight w:val="none"/>
          <w:lang w:val="zh-TW" w:eastAsia="zh-TW"/>
        </w:rPr>
        <w:t>（2）项目完工后支付合同价40%；</w:t>
      </w:r>
    </w:p>
    <w:p>
      <w:pPr>
        <w:numPr>
          <w:ilvl w:val="0"/>
          <w:numId w:val="0"/>
        </w:numPr>
        <w:spacing w:line="500" w:lineRule="exact"/>
        <w:ind w:firstLine="480" w:firstLineChars="200"/>
        <w:jc w:val="left"/>
        <w:rPr>
          <w:rFonts w:hint="eastAsia" w:ascii="宋体" w:hAnsi="宋体" w:cs="宋体"/>
          <w:sz w:val="24"/>
          <w:highlight w:val="none"/>
          <w:lang w:val="zh-TW" w:eastAsia="zh-TW"/>
        </w:rPr>
      </w:pPr>
      <w:r>
        <w:rPr>
          <w:rFonts w:hint="eastAsia" w:ascii="宋体" w:hAnsi="宋体" w:cs="宋体"/>
          <w:sz w:val="24"/>
          <w:highlight w:val="none"/>
          <w:lang w:val="zh-TW" w:eastAsia="zh-TW"/>
        </w:rPr>
        <w:t>（3）项目经结算审核完成后支付至95%；</w:t>
      </w:r>
    </w:p>
    <w:p>
      <w:pPr>
        <w:numPr>
          <w:ilvl w:val="0"/>
          <w:numId w:val="0"/>
        </w:numPr>
        <w:spacing w:line="500" w:lineRule="exact"/>
        <w:ind w:firstLine="480" w:firstLineChars="200"/>
        <w:jc w:val="left"/>
        <w:rPr>
          <w:rFonts w:hint="eastAsia" w:ascii="宋体" w:hAnsi="宋体" w:cs="宋体"/>
          <w:sz w:val="24"/>
          <w:highlight w:val="none"/>
          <w:lang w:val="zh-TW" w:eastAsia="zh-TW"/>
        </w:rPr>
      </w:pPr>
      <w:r>
        <w:rPr>
          <w:rFonts w:hint="eastAsia" w:ascii="宋体" w:hAnsi="宋体" w:cs="宋体"/>
          <w:sz w:val="24"/>
          <w:highlight w:val="none"/>
          <w:lang w:val="zh-TW" w:eastAsia="zh-TW"/>
        </w:rPr>
        <w:t>（4）</w:t>
      </w:r>
      <w:r>
        <w:rPr>
          <w:rFonts w:hint="eastAsia" w:ascii="宋体" w:hAnsi="宋体" w:cs="宋体"/>
          <w:sz w:val="24"/>
          <w:highlight w:val="none"/>
          <w:lang w:val="zh-TW" w:eastAsia="zh-CN"/>
        </w:rPr>
        <w:t>完工验收一年后支付剩余5%</w:t>
      </w:r>
      <w:r>
        <w:rPr>
          <w:rFonts w:hint="eastAsia" w:ascii="宋体" w:hAnsi="宋体" w:cs="宋体"/>
          <w:sz w:val="24"/>
          <w:highlight w:val="none"/>
          <w:lang w:val="zh-TW" w:eastAsia="zh-TW"/>
        </w:rPr>
        <w:t>。</w:t>
      </w:r>
    </w:p>
    <w:p>
      <w:pPr>
        <w:numPr>
          <w:ilvl w:val="0"/>
          <w:numId w:val="0"/>
        </w:numPr>
        <w:spacing w:line="500" w:lineRule="exact"/>
        <w:jc w:val="left"/>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八、结算方式</w:t>
      </w:r>
    </w:p>
    <w:p>
      <w:pPr>
        <w:spacing w:line="500" w:lineRule="exact"/>
        <w:ind w:firstLine="480" w:firstLineChars="200"/>
        <w:jc w:val="left"/>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本项目采用固定单价合同，数量按实结算，合同单价不予调整。超过合同价按合同价结算。</w:t>
      </w:r>
    </w:p>
    <w:p>
      <w:pPr>
        <w:numPr>
          <w:ilvl w:val="0"/>
          <w:numId w:val="0"/>
        </w:numPr>
        <w:spacing w:line="500" w:lineRule="exact"/>
        <w:jc w:val="left"/>
        <w:rPr>
          <w:rFonts w:hint="eastAsia" w:ascii="宋体" w:hAnsi="宋体" w:cs="宋体"/>
          <w:b/>
          <w:bCs/>
          <w:sz w:val="24"/>
          <w:highlight w:val="none"/>
        </w:rPr>
      </w:pPr>
      <w:r>
        <w:rPr>
          <w:rFonts w:hint="eastAsia" w:ascii="宋体" w:hAnsi="宋体" w:cs="宋体"/>
          <w:b/>
          <w:bCs/>
          <w:sz w:val="24"/>
          <w:highlight w:val="none"/>
          <w:lang w:val="en-US" w:eastAsia="zh-CN"/>
        </w:rPr>
        <w:t>九</w:t>
      </w:r>
      <w:r>
        <w:rPr>
          <w:rFonts w:hint="eastAsia" w:ascii="宋体" w:hAnsi="宋体" w:cs="宋体"/>
          <w:b/>
          <w:bCs/>
          <w:sz w:val="24"/>
          <w:highlight w:val="none"/>
          <w:lang w:eastAsia="zh-CN"/>
        </w:rPr>
        <w:t>、</w:t>
      </w:r>
      <w:r>
        <w:rPr>
          <w:rFonts w:hint="eastAsia" w:ascii="宋体" w:hAnsi="宋体" w:cs="宋体"/>
          <w:b/>
          <w:bCs/>
          <w:sz w:val="24"/>
          <w:highlight w:val="none"/>
        </w:rPr>
        <w:t>违约责任</w:t>
      </w:r>
    </w:p>
    <w:p>
      <w:pPr>
        <w:spacing w:line="500" w:lineRule="exact"/>
        <w:ind w:firstLine="480" w:firstLineChars="200"/>
        <w:jc w:val="left"/>
        <w:rPr>
          <w:rFonts w:hint="eastAsia" w:ascii="宋体" w:hAnsi="宋体" w:cs="宋体"/>
          <w:sz w:val="24"/>
          <w:highlight w:val="none"/>
        </w:rPr>
      </w:pPr>
      <w:r>
        <w:rPr>
          <w:rFonts w:hint="eastAsia" w:ascii="宋体" w:hAnsi="宋体" w:cs="宋体"/>
          <w:sz w:val="24"/>
          <w:highlight w:val="none"/>
        </w:rPr>
        <w:t>在合同生效七个工作日以后，甲方或乙方要求终止或解除合同，双方应协商处理，并就终止或解除合同达成一致。</w:t>
      </w:r>
    </w:p>
    <w:p>
      <w:pPr>
        <w:spacing w:line="500" w:lineRule="exact"/>
        <w:ind w:firstLine="480" w:firstLineChars="200"/>
        <w:jc w:val="left"/>
        <w:rPr>
          <w:rFonts w:hint="eastAsia" w:ascii="宋体" w:hAnsi="宋体" w:cs="宋体"/>
          <w:sz w:val="24"/>
          <w:highlight w:val="none"/>
        </w:rPr>
      </w:pPr>
      <w:r>
        <w:rPr>
          <w:rFonts w:hint="eastAsia" w:ascii="宋体" w:hAnsi="宋体" w:cs="宋体"/>
          <w:sz w:val="24"/>
          <w:highlight w:val="none"/>
        </w:rPr>
        <w:t>甲方应按本合同规定的时间和金额向乙方支付</w:t>
      </w:r>
      <w:r>
        <w:rPr>
          <w:rFonts w:hint="eastAsia" w:ascii="宋体" w:hAnsi="宋体" w:cs="宋体"/>
          <w:sz w:val="24"/>
          <w:highlight w:val="none"/>
          <w:lang w:eastAsia="zh-CN"/>
        </w:rPr>
        <w:t>费用</w:t>
      </w:r>
      <w:r>
        <w:rPr>
          <w:rFonts w:hint="eastAsia" w:ascii="宋体" w:hAnsi="宋体" w:cs="宋体"/>
          <w:sz w:val="24"/>
          <w:highlight w:val="none"/>
        </w:rPr>
        <w:t>。因甲方原因,造成项目延期或中止,甲方应出具书面说明,责任由甲方承担，并与乙方协商处理办法。</w:t>
      </w:r>
    </w:p>
    <w:p>
      <w:pPr>
        <w:spacing w:line="500" w:lineRule="exact"/>
        <w:ind w:firstLine="480" w:firstLineChars="200"/>
        <w:jc w:val="left"/>
        <w:rPr>
          <w:rFonts w:hint="eastAsia" w:ascii="宋体" w:hAnsi="宋体" w:cs="宋体"/>
          <w:sz w:val="24"/>
          <w:highlight w:val="none"/>
        </w:rPr>
      </w:pPr>
      <w:r>
        <w:rPr>
          <w:rFonts w:hint="eastAsia" w:ascii="宋体" w:hAnsi="宋体" w:cs="宋体"/>
          <w:sz w:val="24"/>
          <w:highlight w:val="none"/>
        </w:rPr>
        <w:t>乙方应按本合同约定的时间</w:t>
      </w:r>
      <w:r>
        <w:rPr>
          <w:rFonts w:hint="eastAsia" w:ascii="宋体" w:hAnsi="宋体" w:cs="宋体"/>
          <w:sz w:val="24"/>
          <w:highlight w:val="none"/>
          <w:lang w:eastAsia="zh-CN"/>
        </w:rPr>
        <w:t>完成项目</w:t>
      </w:r>
      <w:r>
        <w:rPr>
          <w:rFonts w:hint="eastAsia" w:ascii="宋体" w:hAnsi="宋体" w:cs="宋体"/>
          <w:sz w:val="24"/>
          <w:highlight w:val="none"/>
        </w:rPr>
        <w:t>。因乙方原因,造成项目延期或中止,乙方应出具书面说明,责任由乙方承担，并与甲方协商处理办法。</w:t>
      </w:r>
    </w:p>
    <w:p>
      <w:pPr>
        <w:spacing w:line="500" w:lineRule="exact"/>
        <w:jc w:val="left"/>
        <w:rPr>
          <w:rFonts w:hint="eastAsia"/>
          <w:lang w:val="en-US" w:eastAsia="zh-CN"/>
        </w:rPr>
      </w:pPr>
      <w:r>
        <w:rPr>
          <w:rFonts w:hint="eastAsia" w:ascii="宋体" w:hAnsi="宋体" w:cs="宋体"/>
          <w:b/>
          <w:bCs/>
          <w:sz w:val="24"/>
          <w:highlight w:val="none"/>
          <w:lang w:val="en-US" w:eastAsia="zh-CN"/>
        </w:rPr>
        <w:t>十</w:t>
      </w:r>
      <w:r>
        <w:rPr>
          <w:rFonts w:hint="eastAsia" w:ascii="宋体" w:hAnsi="宋体" w:cs="宋体"/>
          <w:b/>
          <w:bCs/>
          <w:sz w:val="24"/>
          <w:highlight w:val="none"/>
        </w:rPr>
        <w:t>、</w:t>
      </w:r>
      <w:r>
        <w:rPr>
          <w:rFonts w:hint="eastAsia" w:ascii="宋体" w:hAnsi="宋体" w:cs="宋体"/>
          <w:b/>
          <w:bCs/>
          <w:sz w:val="24"/>
          <w:highlight w:val="none"/>
          <w:lang w:eastAsia="zh-CN"/>
        </w:rPr>
        <w:t>质保期</w:t>
      </w:r>
    </w:p>
    <w:p>
      <w:pPr>
        <w:spacing w:line="500" w:lineRule="exact"/>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本项目整体质保期为三年。质保期内如出现系统设备故障（除人为原因造成外）中标供应商无条件免费维修。</w:t>
      </w:r>
    </w:p>
    <w:p>
      <w:pPr>
        <w:spacing w:line="500" w:lineRule="exact"/>
        <w:jc w:val="left"/>
        <w:rPr>
          <w:rFonts w:ascii="宋体" w:hAnsi="宋体" w:cs="宋体"/>
          <w:b/>
          <w:bCs/>
          <w:sz w:val="24"/>
          <w:highlight w:val="none"/>
        </w:rPr>
      </w:pPr>
      <w:r>
        <w:rPr>
          <w:rFonts w:hint="eastAsia" w:ascii="宋体" w:hAnsi="宋体" w:cs="宋体"/>
          <w:b/>
          <w:bCs/>
          <w:sz w:val="24"/>
          <w:highlight w:val="none"/>
          <w:lang w:val="en-US" w:eastAsia="zh-CN"/>
        </w:rPr>
        <w:t>十一</w:t>
      </w:r>
      <w:r>
        <w:rPr>
          <w:rFonts w:hint="eastAsia" w:ascii="宋体" w:hAnsi="宋体" w:cs="宋体"/>
          <w:b/>
          <w:bCs/>
          <w:sz w:val="24"/>
          <w:highlight w:val="none"/>
        </w:rPr>
        <w:t>、争议解决</w:t>
      </w:r>
    </w:p>
    <w:p>
      <w:pPr>
        <w:spacing w:line="500" w:lineRule="exact"/>
        <w:ind w:firstLine="480" w:firstLineChars="200"/>
        <w:jc w:val="left"/>
        <w:rPr>
          <w:rFonts w:ascii="宋体" w:hAnsi="宋体" w:cs="宋体"/>
          <w:sz w:val="24"/>
          <w:highlight w:val="none"/>
          <w:lang w:val="zh-CN"/>
        </w:rPr>
      </w:pPr>
      <w:r>
        <w:rPr>
          <w:rFonts w:hint="eastAsia" w:ascii="宋体" w:hAnsi="宋体" w:cs="宋体"/>
          <w:sz w:val="24"/>
          <w:highlight w:val="none"/>
          <w:lang w:val="zh-CN"/>
        </w:rPr>
        <w:t>本合同在履行中若发生争议，</w:t>
      </w:r>
      <w:r>
        <w:rPr>
          <w:rFonts w:hint="eastAsia" w:ascii="宋体" w:hAnsi="宋体" w:cs="宋体"/>
          <w:sz w:val="24"/>
          <w:highlight w:val="none"/>
        </w:rPr>
        <w:t>双方</w:t>
      </w:r>
      <w:r>
        <w:rPr>
          <w:rFonts w:hint="eastAsia" w:ascii="宋体" w:hAnsi="宋体" w:cs="宋体"/>
          <w:sz w:val="24"/>
          <w:highlight w:val="none"/>
          <w:lang w:val="zh-CN"/>
        </w:rPr>
        <w:t>应协商解决。协商不成时，按下列方式</w:t>
      </w:r>
      <w:r>
        <w:rPr>
          <w:rFonts w:hint="eastAsia" w:ascii="宋体" w:hAnsi="宋体" w:cs="宋体"/>
          <w:sz w:val="24"/>
          <w:highlight w:val="none"/>
          <w:u w:val="single"/>
        </w:rPr>
        <w:t xml:space="preserve">（2） </w:t>
      </w:r>
      <w:r>
        <w:rPr>
          <w:rFonts w:hint="eastAsia" w:ascii="宋体" w:hAnsi="宋体" w:cs="宋体"/>
          <w:sz w:val="24"/>
          <w:highlight w:val="none"/>
          <w:lang w:val="zh-CN"/>
        </w:rPr>
        <w:t>处理：</w:t>
      </w:r>
    </w:p>
    <w:p>
      <w:pPr>
        <w:spacing w:line="500" w:lineRule="exact"/>
        <w:ind w:firstLine="480" w:firstLineChars="200"/>
        <w:jc w:val="left"/>
        <w:rPr>
          <w:rFonts w:ascii="宋体" w:hAnsi="宋体" w:cs="宋体"/>
          <w:sz w:val="24"/>
          <w:highlight w:val="none"/>
          <w:lang w:val="zh-CN"/>
        </w:rPr>
      </w:pPr>
      <w:r>
        <w:rPr>
          <w:rFonts w:hint="eastAsia" w:ascii="宋体" w:hAnsi="宋体" w:cs="宋体"/>
          <w:sz w:val="24"/>
          <w:highlight w:val="none"/>
        </w:rPr>
        <w:t>（1）</w:t>
      </w:r>
      <w:r>
        <w:rPr>
          <w:rFonts w:hint="eastAsia" w:ascii="宋体" w:hAnsi="宋体" w:cs="宋体"/>
          <w:sz w:val="24"/>
          <w:highlight w:val="none"/>
          <w:lang w:val="zh-CN"/>
        </w:rPr>
        <w:t xml:space="preserve">提交绍兴市仲裁委员会仲裁。    </w:t>
      </w:r>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依法向嵊州市人民法院起诉</w:t>
      </w:r>
      <w:r>
        <w:rPr>
          <w:rFonts w:hint="eastAsia" w:ascii="宋体" w:hAnsi="宋体" w:cs="宋体"/>
          <w:sz w:val="24"/>
          <w:highlight w:val="none"/>
        </w:rPr>
        <w:t>。</w:t>
      </w:r>
    </w:p>
    <w:p>
      <w:pPr>
        <w:spacing w:line="500" w:lineRule="exact"/>
        <w:jc w:val="left"/>
        <w:rPr>
          <w:rFonts w:ascii="宋体" w:hAnsi="宋体" w:cs="宋体"/>
          <w:b/>
          <w:bCs/>
          <w:sz w:val="24"/>
          <w:highlight w:val="none"/>
        </w:rPr>
      </w:pPr>
      <w:r>
        <w:rPr>
          <w:rFonts w:hint="eastAsia" w:ascii="宋体" w:hAnsi="宋体" w:cs="宋体"/>
          <w:b/>
          <w:bCs/>
          <w:sz w:val="24"/>
          <w:highlight w:val="none"/>
        </w:rPr>
        <w:t>十</w:t>
      </w:r>
      <w:r>
        <w:rPr>
          <w:rFonts w:hint="eastAsia" w:ascii="宋体" w:hAnsi="宋体" w:cs="宋体"/>
          <w:b/>
          <w:bCs/>
          <w:sz w:val="24"/>
          <w:highlight w:val="none"/>
          <w:lang w:val="en-US" w:eastAsia="zh-CN"/>
        </w:rPr>
        <w:t>二</w:t>
      </w:r>
      <w:r>
        <w:rPr>
          <w:rFonts w:hint="eastAsia" w:ascii="宋体" w:hAnsi="宋体" w:cs="宋体"/>
          <w:b/>
          <w:bCs/>
          <w:sz w:val="24"/>
          <w:highlight w:val="none"/>
        </w:rPr>
        <w:t>、免责条款</w:t>
      </w:r>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因自然灾害和不可抗力因素导致甲方或一方不能履行或不能完全履行本协议项下有关义务时，双方相互不承担违约责任。但遇有不可抗力的一方或双方应于不可抗力发生后15日内将情况告知对方，并提供有关部门的证明。在不可抗力影响消除后的合理时间内，一方或双方应当继续履行协议。由于不可抗力导致协议不能或者没有必要继续履行的，本协议可由双方协商解除。</w:t>
      </w:r>
    </w:p>
    <w:p>
      <w:pPr>
        <w:spacing w:line="500" w:lineRule="exact"/>
        <w:jc w:val="left"/>
        <w:rPr>
          <w:rFonts w:ascii="宋体" w:hAnsi="宋体" w:cs="宋体"/>
          <w:b/>
          <w:bCs/>
          <w:sz w:val="24"/>
          <w:highlight w:val="none"/>
        </w:rPr>
      </w:pPr>
      <w:r>
        <w:rPr>
          <w:rFonts w:hint="eastAsia" w:ascii="宋体" w:hAnsi="宋体" w:cs="宋体"/>
          <w:b/>
          <w:bCs/>
          <w:sz w:val="24"/>
          <w:highlight w:val="none"/>
        </w:rPr>
        <w:t>十</w:t>
      </w:r>
      <w:r>
        <w:rPr>
          <w:rFonts w:hint="eastAsia" w:ascii="宋体" w:hAnsi="宋体" w:cs="宋体"/>
          <w:b/>
          <w:bCs/>
          <w:sz w:val="24"/>
          <w:highlight w:val="none"/>
          <w:lang w:val="en-US" w:eastAsia="zh-CN"/>
        </w:rPr>
        <w:t>三</w:t>
      </w:r>
      <w:r>
        <w:rPr>
          <w:rFonts w:hint="eastAsia" w:ascii="宋体" w:hAnsi="宋体" w:cs="宋体"/>
          <w:b/>
          <w:bCs/>
          <w:sz w:val="24"/>
          <w:highlight w:val="none"/>
        </w:rPr>
        <w:t>、合同生效及其它</w:t>
      </w:r>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1.招标文件、投标文件、更正公告、中标通知书、承诺函等均作为本合同组成部分，具有同等效力</w:t>
      </w:r>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2.未经甲方书面确认，任何一方不得自行变更或修改本协议。</w:t>
      </w:r>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3..本协议及所含附件自签署之日起有效。</w:t>
      </w:r>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4.在仲裁和诉讼期间，除正在进行裁定的部分外，本合同其他部分应继续执行。</w:t>
      </w:r>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5.合同应在双方签字盖章，后开始生效。</w:t>
      </w:r>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6.本合同未尽事宜，遵照《民法典》有关条文执行。</w:t>
      </w:r>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7.本合同正本一式</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lang w:eastAsia="zh-CN"/>
        </w:rPr>
        <w:t>陆</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份，具有同等法律效力，甲乙</w:t>
      </w:r>
      <w:r>
        <w:rPr>
          <w:rFonts w:hint="eastAsia" w:ascii="宋体" w:hAnsi="宋体" w:cs="宋体"/>
          <w:sz w:val="24"/>
          <w:highlight w:val="none"/>
          <w:lang w:eastAsia="zh-CN"/>
        </w:rPr>
        <w:t>三</w:t>
      </w:r>
      <w:r>
        <w:rPr>
          <w:rFonts w:hint="eastAsia" w:ascii="宋体" w:hAnsi="宋体" w:cs="宋体"/>
          <w:sz w:val="24"/>
          <w:highlight w:val="none"/>
        </w:rPr>
        <w:t>方各执</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lang w:eastAsia="zh-CN"/>
        </w:rPr>
        <w:t>贰</w:t>
      </w:r>
      <w:r>
        <w:rPr>
          <w:rFonts w:hint="eastAsia" w:ascii="宋体" w:hAnsi="宋体" w:cs="宋体"/>
          <w:sz w:val="24"/>
          <w:highlight w:val="none"/>
          <w:u w:val="single"/>
        </w:rPr>
        <w:t xml:space="preserve"> </w:t>
      </w:r>
      <w:r>
        <w:rPr>
          <w:rFonts w:hint="eastAsia" w:ascii="宋体" w:hAnsi="宋体" w:cs="宋体"/>
          <w:sz w:val="24"/>
          <w:highlight w:val="none"/>
        </w:rPr>
        <w:t>份。</w:t>
      </w:r>
    </w:p>
    <w:p>
      <w:pPr>
        <w:spacing w:line="500" w:lineRule="exact"/>
        <w:ind w:firstLine="480" w:firstLineChars="200"/>
        <w:jc w:val="left"/>
        <w:rPr>
          <w:rFonts w:hint="eastAsia" w:ascii="宋体" w:hAnsi="宋体" w:eastAsia="宋体" w:cs="宋体"/>
          <w:sz w:val="24"/>
          <w:highlight w:val="none"/>
          <w:lang w:eastAsia="zh-CN"/>
        </w:rPr>
      </w:pPr>
      <w:r>
        <w:rPr>
          <w:rFonts w:hint="eastAsia" w:ascii="宋体" w:hAnsi="宋体" w:cs="宋体"/>
          <w:sz w:val="24"/>
          <w:highlight w:val="none"/>
        </w:rPr>
        <w:t>本协议自双方法定代表或授权委托人签字并加盖公章之日起生效</w:t>
      </w:r>
      <w:r>
        <w:rPr>
          <w:rFonts w:hint="eastAsia" w:ascii="宋体" w:hAnsi="宋体" w:cs="宋体"/>
          <w:sz w:val="24"/>
          <w:highlight w:val="none"/>
          <w:lang w:eastAsia="zh-CN"/>
        </w:rPr>
        <w:t>。</w:t>
      </w:r>
    </w:p>
    <w:p>
      <w:pPr>
        <w:pStyle w:val="37"/>
      </w:pPr>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 xml:space="preserve">甲方（盖章）：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  </w:t>
      </w:r>
      <w:r>
        <w:rPr>
          <w:rFonts w:hint="eastAsia" w:ascii="宋体" w:hAnsi="宋体" w:cs="宋体"/>
          <w:sz w:val="24"/>
          <w:highlight w:val="none"/>
          <w:lang w:eastAsia="zh-CN"/>
        </w:rPr>
        <w:t>乙方</w:t>
      </w:r>
      <w:r>
        <w:rPr>
          <w:rFonts w:hint="eastAsia" w:ascii="宋体" w:hAnsi="宋体" w:cs="宋体"/>
          <w:sz w:val="24"/>
          <w:highlight w:val="none"/>
        </w:rPr>
        <w:t>（盖章）：</w:t>
      </w:r>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 xml:space="preserve">联系地址：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           联系地址：   </w:t>
      </w:r>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法定（授权）代表人：                    法定（授权）代表人：</w:t>
      </w:r>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 xml:space="preserve">开户银行：                              开户银行：  </w:t>
      </w:r>
    </w:p>
    <w:p>
      <w:pPr>
        <w:spacing w:line="500" w:lineRule="exact"/>
        <w:ind w:firstLine="480" w:firstLineChars="200"/>
        <w:jc w:val="left"/>
        <w:rPr>
          <w:rFonts w:hint="eastAsia" w:ascii="宋体" w:hAnsi="宋体" w:cs="宋体"/>
          <w:sz w:val="24"/>
          <w:highlight w:val="none"/>
        </w:rPr>
      </w:pPr>
      <w:r>
        <w:rPr>
          <w:rFonts w:hint="eastAsia" w:ascii="宋体" w:hAnsi="宋体" w:cs="宋体"/>
          <w:sz w:val="24"/>
          <w:highlight w:val="none"/>
        </w:rPr>
        <w:t xml:space="preserve">账  号：                                账  号：       </w:t>
      </w:r>
    </w:p>
    <w:p>
      <w:pPr>
        <w:spacing w:line="500" w:lineRule="exact"/>
        <w:ind w:firstLine="480" w:firstLineChars="200"/>
        <w:jc w:val="left"/>
        <w:rPr>
          <w:rFonts w:hint="eastAsia" w:ascii="宋体" w:hAnsi="宋体" w:cs="宋体"/>
          <w:sz w:val="24"/>
          <w:highlight w:val="none"/>
        </w:rPr>
      </w:pPr>
    </w:p>
    <w:p>
      <w:pPr>
        <w:spacing w:line="500" w:lineRule="exact"/>
        <w:ind w:firstLine="480" w:firstLineChars="200"/>
        <w:jc w:val="left"/>
        <w:rPr>
          <w:rFonts w:hint="eastAsia" w:ascii="宋体" w:hAnsi="宋体" w:cs="宋体"/>
          <w:sz w:val="24"/>
          <w:highlight w:val="none"/>
        </w:rPr>
      </w:pPr>
    </w:p>
    <w:p>
      <w:pPr>
        <w:spacing w:line="500" w:lineRule="exact"/>
        <w:ind w:firstLine="480" w:firstLineChars="200"/>
        <w:jc w:val="left"/>
        <w:rPr>
          <w:rFonts w:hint="eastAsia" w:ascii="宋体" w:hAnsi="宋体" w:cs="宋体"/>
          <w:sz w:val="24"/>
          <w:highlight w:val="none"/>
        </w:rPr>
      </w:pPr>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 xml:space="preserve">   </w:t>
      </w:r>
    </w:p>
    <w:p>
      <w:pPr>
        <w:spacing w:line="500" w:lineRule="exact"/>
        <w:jc w:val="left"/>
        <w:rPr>
          <w:rFonts w:ascii="宋体" w:hAnsi="宋体" w:cs="宋体"/>
          <w:sz w:val="24"/>
          <w:highlight w:val="none"/>
        </w:rPr>
      </w:pPr>
    </w:p>
    <w:p>
      <w:pPr>
        <w:spacing w:line="500" w:lineRule="exact"/>
        <w:ind w:firstLine="480" w:firstLineChars="200"/>
        <w:jc w:val="left"/>
        <w:rPr>
          <w:rFonts w:ascii="宋体" w:hAnsi="宋体" w:cs="宋体"/>
          <w:sz w:val="24"/>
          <w:highlight w:val="none"/>
        </w:rPr>
      </w:pPr>
    </w:p>
    <w:p>
      <w:pPr>
        <w:spacing w:line="500" w:lineRule="exact"/>
        <w:ind w:firstLine="480" w:firstLineChars="200"/>
        <w:jc w:val="left"/>
        <w:rPr>
          <w:rFonts w:ascii="宋体" w:hAnsi="宋体" w:cs="宋体"/>
          <w:b/>
          <w:sz w:val="24"/>
          <w:highlight w:val="none"/>
        </w:rPr>
      </w:pPr>
      <w:r>
        <w:rPr>
          <w:rFonts w:hint="eastAsia" w:ascii="宋体" w:hAnsi="宋体" w:cs="宋体"/>
          <w:sz w:val="24"/>
          <w:highlight w:val="none"/>
        </w:rPr>
        <w:t xml:space="preserve">                                        签订日期：    年    月    日</w:t>
      </w:r>
    </w:p>
    <w:p>
      <w:pPr>
        <w:pStyle w:val="29"/>
        <w:spacing w:line="480" w:lineRule="exact"/>
        <w:rPr>
          <w:rFonts w:hAnsi="宋体"/>
          <w:kern w:val="0"/>
          <w:sz w:val="24"/>
          <w:szCs w:val="24"/>
          <w:highlight w:val="none"/>
        </w:rPr>
      </w:pPr>
    </w:p>
    <w:p>
      <w:pPr>
        <w:rPr>
          <w:rFonts w:ascii="宋体" w:hAnsi="宋体" w:cs="宋体"/>
          <w:highlight w:val="none"/>
        </w:rPr>
      </w:pPr>
      <w:bookmarkStart w:id="107" w:name="_Toc1188"/>
      <w:bookmarkStart w:id="108" w:name="_Toc8187"/>
    </w:p>
    <w:p>
      <w:pPr>
        <w:ind w:firstLine="3200" w:firstLineChars="1000"/>
        <w:jc w:val="both"/>
        <w:rPr>
          <w:rFonts w:hint="eastAsia" w:ascii="宋体" w:hAnsi="宋体" w:cs="宋体"/>
          <w:sz w:val="32"/>
          <w:szCs w:val="32"/>
          <w:highlight w:val="none"/>
        </w:rPr>
      </w:pPr>
    </w:p>
    <w:p>
      <w:pPr>
        <w:ind w:firstLine="3200" w:firstLineChars="1000"/>
        <w:jc w:val="both"/>
        <w:rPr>
          <w:rFonts w:hint="eastAsia" w:ascii="宋体" w:hAnsi="宋体" w:cs="宋体"/>
          <w:sz w:val="32"/>
          <w:szCs w:val="32"/>
          <w:highlight w:val="none"/>
        </w:rPr>
      </w:pPr>
    </w:p>
    <w:p>
      <w:pPr>
        <w:pStyle w:val="2"/>
        <w:rPr>
          <w:rFonts w:hint="eastAsia" w:ascii="宋体" w:hAnsi="宋体" w:cs="宋体"/>
          <w:sz w:val="32"/>
          <w:szCs w:val="32"/>
          <w:highlight w:val="none"/>
        </w:rPr>
      </w:pPr>
    </w:p>
    <w:p>
      <w:pPr>
        <w:rPr>
          <w:rFonts w:hint="eastAsia" w:ascii="宋体" w:hAnsi="宋体" w:cs="宋体"/>
          <w:sz w:val="32"/>
          <w:szCs w:val="32"/>
          <w:highlight w:val="none"/>
        </w:rPr>
      </w:pPr>
    </w:p>
    <w:p>
      <w:pPr>
        <w:pStyle w:val="2"/>
        <w:rPr>
          <w:rFonts w:hint="eastAsia" w:ascii="宋体" w:hAnsi="宋体" w:cs="宋体"/>
          <w:sz w:val="32"/>
          <w:szCs w:val="32"/>
          <w:highlight w:val="none"/>
        </w:rPr>
      </w:pPr>
      <w:r>
        <w:rPr>
          <w:rFonts w:hint="eastAsia" w:ascii="宋体" w:hAnsi="宋体" w:cs="宋体"/>
          <w:sz w:val="32"/>
          <w:szCs w:val="32"/>
          <w:highlight w:val="none"/>
        </w:rPr>
        <w:br w:type="textWrapping"/>
      </w:r>
    </w:p>
    <w:p>
      <w:pPr>
        <w:rPr>
          <w:rFonts w:hint="eastAsia" w:ascii="宋体" w:hAnsi="宋体" w:cs="宋体"/>
          <w:sz w:val="32"/>
          <w:szCs w:val="32"/>
          <w:highlight w:val="none"/>
        </w:rPr>
      </w:pPr>
    </w:p>
    <w:p>
      <w:pPr>
        <w:pStyle w:val="2"/>
        <w:rPr>
          <w:rFonts w:hint="eastAsia"/>
        </w:rPr>
      </w:pPr>
    </w:p>
    <w:p>
      <w:pPr>
        <w:jc w:val="both"/>
        <w:rPr>
          <w:rFonts w:hint="eastAsia" w:ascii="宋体" w:hAnsi="宋体" w:cs="宋体"/>
          <w:sz w:val="32"/>
          <w:szCs w:val="32"/>
          <w:highlight w:val="none"/>
        </w:rPr>
      </w:pPr>
    </w:p>
    <w:p>
      <w:pPr>
        <w:ind w:firstLine="3200" w:firstLineChars="1000"/>
        <w:jc w:val="both"/>
        <w:rPr>
          <w:rFonts w:hint="eastAsia" w:ascii="宋体" w:hAnsi="宋体" w:cs="宋体"/>
          <w:sz w:val="32"/>
          <w:szCs w:val="32"/>
          <w:highlight w:val="none"/>
        </w:rPr>
      </w:pPr>
    </w:p>
    <w:p>
      <w:pPr>
        <w:spacing w:line="500" w:lineRule="exact"/>
        <w:ind w:firstLine="720" w:firstLineChars="200"/>
        <w:jc w:val="center"/>
        <w:rPr>
          <w:rFonts w:hint="eastAsia" w:ascii="宋体" w:hAnsi="宋体" w:cs="宋体"/>
          <w:sz w:val="36"/>
          <w:szCs w:val="36"/>
          <w:highlight w:val="none"/>
        </w:rPr>
      </w:pPr>
      <w:r>
        <w:rPr>
          <w:rFonts w:hint="eastAsia" w:ascii="宋体" w:hAnsi="宋体" w:cs="宋体"/>
          <w:sz w:val="36"/>
          <w:szCs w:val="36"/>
          <w:highlight w:val="none"/>
        </w:rPr>
        <w:t>第六章 投标文件格式</w:t>
      </w:r>
      <w:bookmarkEnd w:id="107"/>
      <w:bookmarkEnd w:id="108"/>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本附件所有格式仅供制作投标文件时参考，投标人应根据行业特点，结合本项目的相关要求，对有关内容、表格可进行补充或修改，但不得对实质性内容做出变动。</w:t>
      </w:r>
    </w:p>
    <w:p>
      <w:pPr>
        <w:snapToGrid w:val="0"/>
        <w:spacing w:beforeLines="50" w:after="50" w:line="360" w:lineRule="auto"/>
        <w:rPr>
          <w:rFonts w:ascii="宋体" w:hAnsi="宋体" w:cs="宋体"/>
          <w:b/>
          <w:bCs/>
          <w:sz w:val="24"/>
          <w:highlight w:val="none"/>
        </w:rPr>
      </w:pPr>
      <w:r>
        <w:rPr>
          <w:rFonts w:hint="eastAsia" w:ascii="宋体" w:hAnsi="宋体" w:cs="宋体"/>
          <w:b/>
          <w:bCs/>
          <w:sz w:val="24"/>
          <w:highlight w:val="none"/>
        </w:rPr>
        <w:t xml:space="preserve">封面格式 </w:t>
      </w:r>
    </w:p>
    <w:p>
      <w:pPr>
        <w:snapToGrid w:val="0"/>
        <w:spacing w:beforeLines="50" w:after="50" w:line="360" w:lineRule="auto"/>
        <w:rPr>
          <w:rFonts w:ascii="宋体" w:hAnsi="宋体" w:cs="宋体"/>
          <w:sz w:val="24"/>
          <w:highlight w:val="none"/>
        </w:rPr>
      </w:pPr>
      <w:r>
        <w:rPr>
          <w:rFonts w:hint="eastAsia" w:ascii="宋体" w:hAnsi="宋体" w:cs="宋体"/>
          <w:sz w:val="24"/>
          <w:highlight w:val="none"/>
        </w:rPr>
        <w:t xml:space="preserve">                                               </w:t>
      </w:r>
    </w:p>
    <w:p>
      <w:pPr>
        <w:snapToGrid w:val="0"/>
        <w:spacing w:beforeLines="50" w:after="50" w:line="360" w:lineRule="auto"/>
        <w:jc w:val="right"/>
        <w:rPr>
          <w:rFonts w:ascii="宋体" w:hAnsi="宋体" w:cs="宋体"/>
          <w:b/>
          <w:bCs/>
          <w:sz w:val="52"/>
          <w:szCs w:val="52"/>
          <w:highlight w:val="none"/>
        </w:rPr>
      </w:pPr>
      <w:r>
        <w:rPr>
          <w:rFonts w:hint="eastAsia" w:ascii="宋体" w:hAnsi="宋体" w:cs="宋体"/>
          <w:sz w:val="32"/>
          <w:szCs w:val="32"/>
          <w:highlight w:val="none"/>
        </w:rPr>
        <w:t>正本或副本</w:t>
      </w:r>
      <w:r>
        <w:rPr>
          <w:rFonts w:hint="eastAsia" w:ascii="宋体" w:hAnsi="宋体" w:cs="宋体"/>
          <w:b/>
          <w:bCs/>
          <w:sz w:val="52"/>
          <w:szCs w:val="52"/>
          <w:highlight w:val="none"/>
        </w:rPr>
        <w:t xml:space="preserve"> </w:t>
      </w:r>
    </w:p>
    <w:p>
      <w:pPr>
        <w:snapToGrid w:val="0"/>
        <w:spacing w:beforeLines="50" w:after="50" w:line="360" w:lineRule="auto"/>
        <w:jc w:val="center"/>
        <w:rPr>
          <w:rFonts w:ascii="宋体" w:hAnsi="宋体" w:cs="宋体"/>
          <w:b/>
          <w:bCs/>
          <w:sz w:val="52"/>
          <w:szCs w:val="52"/>
          <w:highlight w:val="none"/>
        </w:rPr>
      </w:pPr>
    </w:p>
    <w:p>
      <w:pPr>
        <w:snapToGrid w:val="0"/>
        <w:spacing w:beforeLines="50" w:after="50" w:line="360" w:lineRule="auto"/>
        <w:jc w:val="center"/>
        <w:rPr>
          <w:rFonts w:ascii="宋体" w:hAnsi="宋体" w:cs="宋体"/>
          <w:b/>
          <w:bCs/>
          <w:sz w:val="52"/>
          <w:szCs w:val="52"/>
          <w:highlight w:val="none"/>
        </w:rPr>
      </w:pPr>
      <w:r>
        <w:rPr>
          <w:rFonts w:hint="eastAsia" w:ascii="宋体" w:hAnsi="宋体" w:cs="宋体"/>
          <w:b/>
          <w:bCs/>
          <w:sz w:val="52"/>
          <w:szCs w:val="52"/>
          <w:highlight w:val="none"/>
        </w:rPr>
        <w:t>资格文件/资信技术文件/报价文件</w:t>
      </w:r>
    </w:p>
    <w:p>
      <w:pPr>
        <w:snapToGrid w:val="0"/>
        <w:spacing w:beforeLines="50" w:after="50" w:line="360" w:lineRule="auto"/>
        <w:rPr>
          <w:rFonts w:ascii="宋体" w:hAnsi="宋体" w:cs="宋体"/>
          <w:sz w:val="24"/>
          <w:highlight w:val="none"/>
        </w:rPr>
      </w:pPr>
    </w:p>
    <w:p>
      <w:pPr>
        <w:snapToGrid w:val="0"/>
        <w:spacing w:beforeLines="50" w:after="50" w:line="360" w:lineRule="auto"/>
        <w:rPr>
          <w:rFonts w:ascii="宋体" w:hAnsi="宋体" w:cs="宋体"/>
          <w:sz w:val="24"/>
          <w:highlight w:val="none"/>
        </w:rPr>
      </w:pPr>
      <w:r>
        <w:rPr>
          <w:rFonts w:hint="eastAsia" w:ascii="宋体" w:hAnsi="宋体" w:cs="宋体"/>
          <w:sz w:val="24"/>
          <w:highlight w:val="none"/>
        </w:rPr>
        <w:t xml:space="preserve"> </w:t>
      </w:r>
    </w:p>
    <w:p>
      <w:pPr>
        <w:snapToGrid w:val="0"/>
        <w:spacing w:beforeLines="50" w:after="50" w:line="360" w:lineRule="auto"/>
        <w:rPr>
          <w:rFonts w:ascii="宋体" w:hAnsi="宋体" w:cs="宋体"/>
          <w:sz w:val="24"/>
          <w:highlight w:val="none"/>
        </w:rPr>
      </w:pPr>
    </w:p>
    <w:p>
      <w:pPr>
        <w:snapToGrid w:val="0"/>
        <w:spacing w:beforeLines="50" w:after="50" w:line="360" w:lineRule="auto"/>
        <w:rPr>
          <w:rFonts w:ascii="宋体" w:hAnsi="宋体" w:cs="宋体"/>
          <w:sz w:val="24"/>
          <w:highlight w:val="none"/>
        </w:rPr>
      </w:pPr>
      <w:r>
        <w:rPr>
          <w:rFonts w:hint="eastAsia" w:ascii="宋体" w:hAnsi="宋体" w:cs="宋体"/>
          <w:sz w:val="24"/>
          <w:highlight w:val="none"/>
        </w:rPr>
        <w:t xml:space="preserve"> </w:t>
      </w:r>
    </w:p>
    <w:p>
      <w:pPr>
        <w:snapToGrid w:val="0"/>
        <w:spacing w:beforeLines="50" w:after="50" w:line="360" w:lineRule="auto"/>
        <w:rPr>
          <w:rFonts w:ascii="宋体" w:hAnsi="宋体" w:cs="宋体"/>
          <w:sz w:val="24"/>
          <w:highlight w:val="none"/>
        </w:rPr>
      </w:pPr>
      <w:r>
        <w:rPr>
          <w:rFonts w:hint="eastAsia" w:ascii="宋体" w:hAnsi="宋体" w:cs="宋体"/>
          <w:sz w:val="24"/>
          <w:highlight w:val="none"/>
        </w:rPr>
        <w:t xml:space="preserve"> </w:t>
      </w:r>
    </w:p>
    <w:p>
      <w:pPr>
        <w:pStyle w:val="18"/>
        <w:ind w:left="0" w:right="-252"/>
        <w:rPr>
          <w:rFonts w:hint="default" w:cs="宋体"/>
          <w:szCs w:val="28"/>
          <w:highlight w:val="none"/>
        </w:rPr>
      </w:pPr>
    </w:p>
    <w:p>
      <w:pPr>
        <w:snapToGrid w:val="0"/>
        <w:spacing w:beforeLines="50" w:after="50" w:line="360" w:lineRule="auto"/>
        <w:ind w:firstLine="2520" w:firstLineChars="900"/>
        <w:jc w:val="left"/>
        <w:rPr>
          <w:rFonts w:ascii="宋体" w:hAnsi="宋体" w:cs="宋体"/>
          <w:sz w:val="28"/>
          <w:szCs w:val="28"/>
          <w:highlight w:val="none"/>
          <w:u w:val="single"/>
        </w:rPr>
      </w:pPr>
      <w:r>
        <w:rPr>
          <w:rFonts w:hint="eastAsia" w:ascii="宋体" w:hAnsi="宋体" w:cs="宋体"/>
          <w:sz w:val="28"/>
          <w:szCs w:val="28"/>
          <w:highlight w:val="none"/>
        </w:rPr>
        <w:t>项目名称：</w:t>
      </w:r>
      <w:r>
        <w:rPr>
          <w:rFonts w:hint="eastAsia" w:ascii="宋体" w:hAnsi="宋体" w:cs="宋体"/>
          <w:sz w:val="28"/>
          <w:szCs w:val="28"/>
          <w:highlight w:val="none"/>
          <w:u w:val="single"/>
        </w:rPr>
        <w:t xml:space="preserve">                   </w:t>
      </w:r>
    </w:p>
    <w:p>
      <w:pPr>
        <w:snapToGrid w:val="0"/>
        <w:spacing w:beforeLines="50" w:after="50" w:line="360" w:lineRule="auto"/>
        <w:ind w:firstLine="2520" w:firstLineChars="900"/>
        <w:jc w:val="left"/>
        <w:rPr>
          <w:rFonts w:ascii="宋体" w:hAnsi="宋体" w:cs="宋体"/>
          <w:highlight w:val="none"/>
        </w:rPr>
      </w:pPr>
      <w:r>
        <w:rPr>
          <w:rFonts w:hint="eastAsia" w:ascii="宋体" w:hAnsi="宋体" w:cs="宋体"/>
          <w:sz w:val="28"/>
          <w:szCs w:val="28"/>
          <w:highlight w:val="none"/>
        </w:rPr>
        <w:t>项目编号：</w:t>
      </w:r>
      <w:r>
        <w:rPr>
          <w:rFonts w:hint="eastAsia" w:ascii="宋体" w:hAnsi="宋体" w:cs="宋体"/>
          <w:highlight w:val="none"/>
          <w:u w:val="single"/>
        </w:rPr>
        <w:t xml:space="preserve">                          </w:t>
      </w:r>
    </w:p>
    <w:p>
      <w:pPr>
        <w:snapToGrid w:val="0"/>
        <w:spacing w:beforeLines="50" w:after="50" w:line="360" w:lineRule="auto"/>
        <w:ind w:firstLine="2520" w:firstLineChars="900"/>
        <w:jc w:val="left"/>
        <w:rPr>
          <w:rFonts w:ascii="宋体" w:hAnsi="宋体" w:cs="宋体"/>
          <w:sz w:val="28"/>
          <w:szCs w:val="28"/>
          <w:highlight w:val="none"/>
        </w:rPr>
      </w:pPr>
      <w:r>
        <w:rPr>
          <w:rFonts w:hint="eastAsia" w:ascii="宋体" w:hAnsi="宋体" w:cs="宋体"/>
          <w:sz w:val="28"/>
          <w:szCs w:val="28"/>
          <w:highlight w:val="none"/>
        </w:rPr>
        <w:t>投标人名称：</w:t>
      </w:r>
      <w:r>
        <w:rPr>
          <w:rFonts w:hint="eastAsia" w:ascii="宋体" w:hAnsi="宋体" w:cs="宋体"/>
          <w:sz w:val="28"/>
          <w:szCs w:val="28"/>
          <w:highlight w:val="none"/>
          <w:u w:val="single"/>
        </w:rPr>
        <w:t xml:space="preserve"> （全称）（加盖公章） </w:t>
      </w:r>
    </w:p>
    <w:p>
      <w:pPr>
        <w:pStyle w:val="4"/>
        <w:spacing w:before="50" w:after="50" w:line="360" w:lineRule="auto"/>
        <w:ind w:firstLine="2520" w:firstLineChars="900"/>
        <w:jc w:val="left"/>
        <w:rPr>
          <w:rFonts w:hAnsi="宋体" w:cs="宋体"/>
          <w:color w:val="auto"/>
          <w:szCs w:val="28"/>
          <w:highlight w:val="none"/>
        </w:rPr>
      </w:pPr>
      <w:r>
        <w:rPr>
          <w:rFonts w:hint="eastAsia" w:hAnsi="宋体" w:cs="宋体"/>
          <w:color w:val="auto"/>
          <w:szCs w:val="28"/>
          <w:highlight w:val="none"/>
        </w:rPr>
        <w:t>投标人地址：</w:t>
      </w:r>
      <w:r>
        <w:rPr>
          <w:rFonts w:hint="eastAsia" w:hAnsi="宋体" w:cs="宋体"/>
          <w:color w:val="auto"/>
          <w:szCs w:val="28"/>
          <w:highlight w:val="none"/>
          <w:u w:val="single"/>
        </w:rPr>
        <w:t xml:space="preserve">                  </w:t>
      </w:r>
    </w:p>
    <w:p>
      <w:pPr>
        <w:pStyle w:val="4"/>
        <w:spacing w:before="50" w:after="50" w:line="360" w:lineRule="auto"/>
        <w:ind w:firstLine="3920" w:firstLineChars="1400"/>
        <w:jc w:val="left"/>
        <w:rPr>
          <w:rFonts w:hAnsi="宋体" w:cs="宋体"/>
          <w:color w:val="auto"/>
          <w:sz w:val="24"/>
          <w:szCs w:val="24"/>
          <w:highlight w:val="none"/>
        </w:rPr>
      </w:pPr>
      <w:r>
        <w:rPr>
          <w:rFonts w:hint="eastAsia" w:hAnsi="宋体" w:cs="宋体"/>
          <w:color w:val="auto"/>
          <w:szCs w:val="28"/>
          <w:highlight w:val="none"/>
        </w:rPr>
        <w:t>年  月  日</w:t>
      </w:r>
    </w:p>
    <w:p>
      <w:pPr>
        <w:jc w:val="left"/>
        <w:rPr>
          <w:rFonts w:ascii="宋体" w:hAnsi="宋体" w:cs="宋体"/>
          <w:highlight w:val="none"/>
        </w:rPr>
      </w:pPr>
      <w:r>
        <w:rPr>
          <w:rFonts w:hint="eastAsia" w:ascii="宋体" w:hAnsi="宋体" w:cs="宋体"/>
          <w:highlight w:val="none"/>
        </w:rPr>
        <w:br w:type="page"/>
      </w:r>
    </w:p>
    <w:p>
      <w:pPr>
        <w:jc w:val="center"/>
        <w:rPr>
          <w:rFonts w:ascii="宋体" w:hAnsi="宋体" w:cs="宋体"/>
          <w:b/>
          <w:bCs/>
          <w:sz w:val="32"/>
          <w:szCs w:val="32"/>
          <w:highlight w:val="none"/>
        </w:rPr>
      </w:pPr>
      <w:r>
        <w:rPr>
          <w:rFonts w:hint="eastAsia" w:ascii="宋体" w:hAnsi="宋体" w:cs="宋体"/>
          <w:b/>
          <w:bCs/>
          <w:sz w:val="32"/>
          <w:szCs w:val="32"/>
          <w:highlight w:val="none"/>
        </w:rPr>
        <w:t>资格文件目录</w:t>
      </w:r>
    </w:p>
    <w:p>
      <w:pPr>
        <w:jc w:val="left"/>
        <w:rPr>
          <w:rFonts w:ascii="宋体" w:hAnsi="宋体" w:cs="宋体"/>
          <w:highlight w:val="none"/>
        </w:rPr>
      </w:pPr>
    </w:p>
    <w:p>
      <w:pPr>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（1）营业执照扫描件；</w:t>
      </w:r>
    </w:p>
    <w:p>
      <w:pPr>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（2）符合参加国企采购活动应当具备的一般条件的承诺函；</w:t>
      </w:r>
    </w:p>
    <w:p>
      <w:pPr>
        <w:snapToGrid w:val="0"/>
        <w:spacing w:line="500" w:lineRule="exact"/>
        <w:ind w:firstLine="480" w:firstLineChars="200"/>
        <w:rPr>
          <w:rFonts w:hint="eastAsia" w:ascii="宋体" w:hAnsi="宋体" w:cs="宋体"/>
          <w:sz w:val="24"/>
          <w:highlight w:val="none"/>
          <w:u w:val="none"/>
        </w:rPr>
      </w:pPr>
      <w:r>
        <w:rPr>
          <w:rFonts w:hint="eastAsia" w:ascii="宋体" w:hAnsi="宋体" w:cs="宋体"/>
          <w:sz w:val="24"/>
          <w:highlight w:val="none"/>
          <w:u w:val="none"/>
        </w:rPr>
        <w:t>以上资料均需加盖CA公章。</w:t>
      </w:r>
    </w:p>
    <w:p>
      <w:pPr>
        <w:pStyle w:val="29"/>
        <w:rPr>
          <w:rFonts w:hint="eastAsia"/>
        </w:rPr>
      </w:pPr>
    </w:p>
    <w:p>
      <w:pPr>
        <w:pStyle w:val="29"/>
        <w:rPr>
          <w:rFonts w:hint="eastAsia"/>
        </w:rPr>
      </w:pPr>
    </w:p>
    <w:p>
      <w:pPr>
        <w:pStyle w:val="29"/>
        <w:rPr>
          <w:rFonts w:hint="eastAsia"/>
        </w:rPr>
      </w:pPr>
    </w:p>
    <w:p>
      <w:pPr>
        <w:pStyle w:val="29"/>
        <w:rPr>
          <w:rFonts w:hint="eastAsia"/>
        </w:rPr>
      </w:pPr>
    </w:p>
    <w:p>
      <w:pPr>
        <w:pStyle w:val="29"/>
        <w:rPr>
          <w:rFonts w:hint="eastAsia"/>
        </w:rPr>
      </w:pPr>
    </w:p>
    <w:p>
      <w:pPr>
        <w:pStyle w:val="29"/>
        <w:rPr>
          <w:rFonts w:hint="eastAsia"/>
        </w:rPr>
      </w:pPr>
    </w:p>
    <w:p>
      <w:pPr>
        <w:pStyle w:val="29"/>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pStyle w:val="40"/>
        <w:spacing w:before="120"/>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snapToGrid w:val="0"/>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lang w:eastAsia="zh-CN"/>
        </w:rPr>
        <w:t>一、</w:t>
      </w:r>
      <w:r>
        <w:rPr>
          <w:rFonts w:hint="eastAsia" w:ascii="宋体" w:hAnsi="宋体" w:cs="宋体"/>
          <w:b/>
          <w:sz w:val="28"/>
          <w:szCs w:val="28"/>
          <w:highlight w:val="none"/>
        </w:rPr>
        <w:t>营业执照扫描件</w:t>
      </w:r>
    </w:p>
    <w:p>
      <w:pPr>
        <w:snapToGrid w:val="0"/>
        <w:spacing w:line="360" w:lineRule="auto"/>
        <w:jc w:val="center"/>
        <w:rPr>
          <w:rFonts w:hint="eastAsia" w:ascii="宋体" w:hAnsi="宋体" w:cs="宋体"/>
          <w:b/>
          <w:sz w:val="28"/>
          <w:szCs w:val="28"/>
          <w:highlight w:val="none"/>
        </w:rPr>
      </w:pPr>
    </w:p>
    <w:p>
      <w:pPr>
        <w:snapToGrid w:val="0"/>
        <w:spacing w:line="360" w:lineRule="auto"/>
        <w:jc w:val="center"/>
        <w:rPr>
          <w:rFonts w:ascii="宋体" w:hAnsi="宋体" w:cs="宋体"/>
          <w:b/>
          <w:sz w:val="28"/>
          <w:szCs w:val="28"/>
          <w:highlight w:val="none"/>
        </w:rPr>
      </w:pPr>
      <w:r>
        <w:rPr>
          <w:rFonts w:hint="eastAsia" w:ascii="宋体" w:hAnsi="宋体" w:cs="宋体"/>
          <w:b/>
          <w:sz w:val="28"/>
          <w:szCs w:val="28"/>
          <w:highlight w:val="none"/>
          <w:lang w:eastAsia="zh-CN"/>
        </w:rPr>
        <w:t>二、</w:t>
      </w:r>
      <w:r>
        <w:rPr>
          <w:rFonts w:hint="eastAsia" w:ascii="宋体" w:hAnsi="宋体" w:cs="宋体"/>
          <w:b/>
          <w:sz w:val="28"/>
          <w:szCs w:val="28"/>
          <w:highlight w:val="none"/>
        </w:rPr>
        <w:t>符合参加国企采购活动应当具备的一般条件的承诺函</w:t>
      </w:r>
    </w:p>
    <w:p>
      <w:pPr>
        <w:snapToGrid w:val="0"/>
        <w:spacing w:line="360" w:lineRule="auto"/>
        <w:rPr>
          <w:rFonts w:ascii="宋体" w:hAnsi="宋体" w:cs="宋体"/>
          <w:b/>
          <w:bCs/>
          <w:sz w:val="24"/>
          <w:highlight w:val="none"/>
        </w:rPr>
      </w:pPr>
    </w:p>
    <w:p>
      <w:pPr>
        <w:snapToGrid w:val="0"/>
        <w:spacing w:line="500" w:lineRule="exact"/>
        <w:rPr>
          <w:rFonts w:ascii="宋体" w:hAnsi="宋体" w:cs="宋体"/>
          <w:sz w:val="24"/>
          <w:highlight w:val="none"/>
          <w:u w:val="single"/>
        </w:rPr>
      </w:pPr>
      <w:r>
        <w:rPr>
          <w:rFonts w:hint="eastAsia" w:ascii="宋体" w:hAnsi="宋体" w:cs="宋体"/>
          <w:sz w:val="24"/>
          <w:highlight w:val="none"/>
          <w:u w:val="single"/>
        </w:rPr>
        <w:t>（采购人）、（采购代理机构）：</w:t>
      </w:r>
    </w:p>
    <w:p>
      <w:pPr>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宋体"/>
          <w:sz w:val="24"/>
          <w:highlight w:val="none"/>
          <w:u w:val="single"/>
        </w:rPr>
        <w:t xml:space="preserve">                              </w:t>
      </w:r>
      <w:r>
        <w:rPr>
          <w:rFonts w:hint="eastAsia" w:ascii="宋体" w:hAnsi="宋体" w:cs="宋体"/>
          <w:sz w:val="24"/>
          <w:highlight w:val="none"/>
        </w:rPr>
        <w:t>（项目名称）【项目编号：</w:t>
      </w:r>
      <w:r>
        <w:rPr>
          <w:rFonts w:hint="eastAsia" w:ascii="宋体" w:hAnsi="宋体" w:cs="宋体"/>
          <w:sz w:val="24"/>
          <w:highlight w:val="none"/>
          <w:u w:val="single"/>
        </w:rPr>
        <w:t xml:space="preserve">         </w:t>
      </w:r>
      <w:r>
        <w:rPr>
          <w:rFonts w:hint="eastAsia" w:ascii="宋体" w:hAnsi="宋体" w:cs="宋体"/>
          <w:sz w:val="24"/>
          <w:highlight w:val="none"/>
        </w:rPr>
        <w:t>】采购活动，郑重承诺：</w:t>
      </w:r>
    </w:p>
    <w:p>
      <w:pPr>
        <w:adjustRightInd/>
        <w:spacing w:line="500" w:lineRule="exact"/>
        <w:ind w:firstLine="480" w:firstLineChars="200"/>
        <w:rPr>
          <w:rFonts w:ascii="宋体" w:hAnsi="宋体" w:cs="宋体"/>
          <w:kern w:val="0"/>
          <w:sz w:val="24"/>
          <w:highlight w:val="none"/>
        </w:rPr>
      </w:pPr>
      <w:r>
        <w:rPr>
          <w:rFonts w:hint="eastAsia" w:ascii="宋体" w:hAnsi="宋体" w:cs="宋体"/>
          <w:kern w:val="0"/>
          <w:sz w:val="24"/>
          <w:highlight w:val="none"/>
        </w:rPr>
        <w:t>1.具有独立承担民事责任的能力；</w:t>
      </w:r>
    </w:p>
    <w:p>
      <w:pPr>
        <w:adjustRightInd/>
        <w:spacing w:line="500" w:lineRule="exact"/>
        <w:ind w:firstLine="480" w:firstLineChars="200"/>
        <w:rPr>
          <w:rFonts w:ascii="宋体" w:hAnsi="宋体" w:cs="宋体"/>
          <w:highlight w:val="none"/>
        </w:rPr>
      </w:pPr>
      <w:r>
        <w:rPr>
          <w:rFonts w:hint="eastAsia" w:ascii="宋体" w:hAnsi="宋体" w:cs="宋体"/>
          <w:kern w:val="0"/>
          <w:sz w:val="24"/>
          <w:highlight w:val="none"/>
        </w:rPr>
        <w:t>2.具有良好的商业信誉；</w:t>
      </w:r>
    </w:p>
    <w:p>
      <w:pPr>
        <w:adjustRightInd/>
        <w:spacing w:line="500" w:lineRule="exact"/>
        <w:ind w:firstLine="480" w:firstLineChars="200"/>
        <w:rPr>
          <w:rFonts w:ascii="宋体" w:hAnsi="宋体" w:cs="宋体"/>
          <w:kern w:val="0"/>
          <w:sz w:val="24"/>
          <w:highlight w:val="none"/>
        </w:rPr>
      </w:pPr>
      <w:r>
        <w:rPr>
          <w:rFonts w:hint="eastAsia" w:ascii="宋体" w:hAnsi="宋体" w:cs="宋体"/>
          <w:kern w:val="0"/>
          <w:sz w:val="24"/>
          <w:highlight w:val="none"/>
        </w:rPr>
        <w:t>3.具有履行合同所必需的设备和专业技术、售后保障等能力；</w:t>
      </w:r>
    </w:p>
    <w:p>
      <w:pPr>
        <w:adjustRightInd/>
        <w:spacing w:line="500" w:lineRule="exact"/>
        <w:ind w:firstLine="480" w:firstLineChars="200"/>
        <w:rPr>
          <w:rFonts w:ascii="宋体" w:hAnsi="宋体" w:cs="宋体"/>
          <w:kern w:val="0"/>
          <w:sz w:val="24"/>
          <w:highlight w:val="none"/>
        </w:rPr>
      </w:pPr>
      <w:r>
        <w:rPr>
          <w:rFonts w:hint="eastAsia" w:ascii="宋体" w:hAnsi="宋体" w:cs="宋体"/>
          <w:kern w:val="0"/>
          <w:sz w:val="24"/>
          <w:highlight w:val="none"/>
        </w:rPr>
        <w:t>4.有依法缴纳税收和社会保障资金的良好记录；</w:t>
      </w:r>
    </w:p>
    <w:p>
      <w:pPr>
        <w:adjustRightInd/>
        <w:spacing w:line="500" w:lineRule="exact"/>
        <w:ind w:firstLine="480" w:firstLineChars="200"/>
        <w:rPr>
          <w:rFonts w:ascii="宋体" w:hAnsi="宋体" w:cs="宋体"/>
          <w:kern w:val="0"/>
          <w:sz w:val="24"/>
          <w:highlight w:val="none"/>
        </w:rPr>
      </w:pPr>
      <w:r>
        <w:rPr>
          <w:rFonts w:hint="eastAsia" w:ascii="宋体" w:hAnsi="宋体" w:cs="宋体"/>
          <w:kern w:val="0"/>
          <w:sz w:val="24"/>
          <w:highlight w:val="none"/>
        </w:rPr>
        <w:t>5.参加采购活动前三年内，没有重大违法记录、严重失信行为和行贿记录；</w:t>
      </w:r>
    </w:p>
    <w:p>
      <w:pPr>
        <w:adjustRightInd/>
        <w:spacing w:line="500" w:lineRule="exact"/>
        <w:ind w:firstLine="480" w:firstLineChars="200"/>
        <w:rPr>
          <w:rFonts w:ascii="宋体" w:hAnsi="宋体" w:cs="宋体"/>
          <w:kern w:val="0"/>
          <w:sz w:val="24"/>
          <w:highlight w:val="none"/>
        </w:rPr>
      </w:pPr>
      <w:r>
        <w:rPr>
          <w:rFonts w:hint="eastAsia" w:ascii="宋体" w:hAnsi="宋体" w:cs="宋体"/>
          <w:kern w:val="0"/>
          <w:sz w:val="24"/>
          <w:highlight w:val="none"/>
        </w:rPr>
        <w:t>6.法律、行政法规规定的其他条件；</w:t>
      </w:r>
    </w:p>
    <w:p>
      <w:pPr>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pPr>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（三）不存在以下情况：</w:t>
      </w:r>
    </w:p>
    <w:p>
      <w:pPr>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1.单位负责人为同一人或者存在直接控股、管理关系的不同投标人参加同一合同项下的国企采购活动的；</w:t>
      </w:r>
    </w:p>
    <w:p>
      <w:pPr>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pPr>
        <w:snapToGrid w:val="0"/>
        <w:spacing w:line="360" w:lineRule="auto"/>
        <w:ind w:firstLine="480" w:firstLineChars="200"/>
        <w:rPr>
          <w:rFonts w:ascii="宋体" w:hAnsi="宋体" w:cs="宋体"/>
          <w:sz w:val="24"/>
          <w:highlight w:val="none"/>
        </w:rPr>
      </w:pPr>
    </w:p>
    <w:p>
      <w:pPr>
        <w:snapToGrid w:val="0"/>
        <w:spacing w:line="360" w:lineRule="auto"/>
        <w:ind w:firstLine="480" w:firstLineChars="200"/>
        <w:rPr>
          <w:rFonts w:ascii="宋体" w:hAnsi="宋体" w:cs="宋体"/>
          <w:sz w:val="24"/>
          <w:highlight w:val="none"/>
        </w:rPr>
      </w:pP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投标人(电子签章)：</w:t>
      </w:r>
    </w:p>
    <w:p>
      <w:pPr>
        <w:tabs>
          <w:tab w:val="left" w:pos="5580"/>
        </w:tabs>
        <w:spacing w:line="360" w:lineRule="auto"/>
        <w:ind w:firstLine="600" w:firstLineChars="250"/>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center"/>
        <w:rPr>
          <w:rFonts w:ascii="宋体" w:hAnsi="宋体" w:cs="宋体"/>
          <w:b/>
          <w:bCs/>
          <w:sz w:val="32"/>
          <w:szCs w:val="32"/>
          <w:highlight w:val="none"/>
        </w:rPr>
      </w:pPr>
      <w:r>
        <w:rPr>
          <w:rFonts w:hint="eastAsia" w:ascii="宋体" w:hAnsi="宋体" w:cs="宋体"/>
          <w:b/>
          <w:bCs/>
          <w:sz w:val="32"/>
          <w:szCs w:val="32"/>
          <w:highlight w:val="none"/>
        </w:rPr>
        <w:t>资信技术文件目录</w:t>
      </w:r>
    </w:p>
    <w:p>
      <w:pPr>
        <w:adjustRightInd/>
        <w:snapToGrid w:val="0"/>
        <w:spacing w:line="600" w:lineRule="exact"/>
        <w:ind w:firstLine="470" w:firstLineChars="196"/>
        <w:jc w:val="left"/>
        <w:rPr>
          <w:rFonts w:ascii="宋体" w:hAnsi="宋体" w:cs="宋体"/>
          <w:sz w:val="24"/>
          <w:highlight w:val="none"/>
        </w:rPr>
      </w:pP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（1）评分索引表；</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（2）投标函；</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（3）法定代表人授权书</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（4）法定代表人及其授权代表身份证复印件（复印件）</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（5）法定代表人身份证明书；</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（6）商务资信响应表；</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（7）技术偏离表；</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（8）</w:t>
      </w:r>
      <w:r>
        <w:rPr>
          <w:rFonts w:hint="eastAsia" w:ascii="宋体" w:hAnsi="宋体" w:cs="宋体"/>
          <w:sz w:val="24"/>
          <w:highlight w:val="none"/>
          <w:lang w:eastAsia="zh-CN"/>
        </w:rPr>
        <w:t>投标人</w:t>
      </w:r>
      <w:r>
        <w:rPr>
          <w:rFonts w:hint="eastAsia" w:ascii="宋体" w:hAnsi="宋体" w:cs="宋体"/>
          <w:sz w:val="24"/>
          <w:highlight w:val="none"/>
          <w:lang w:val="zh-CN"/>
        </w:rPr>
        <w:t>廉洁自律承诺书</w:t>
      </w:r>
      <w:r>
        <w:rPr>
          <w:rFonts w:hint="eastAsia" w:ascii="宋体" w:hAnsi="宋体" w:cs="宋体"/>
          <w:sz w:val="24"/>
          <w:highlight w:val="none"/>
        </w:rPr>
        <w:t>；</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（9）同类业绩；</w:t>
      </w:r>
    </w:p>
    <w:p>
      <w:pPr>
        <w:adjustRightInd/>
        <w:snapToGrid w:val="0"/>
        <w:spacing w:line="500" w:lineRule="exact"/>
        <w:ind w:firstLine="470" w:firstLineChars="196"/>
        <w:jc w:val="left"/>
        <w:rPr>
          <w:rFonts w:ascii="宋体" w:hAnsi="宋体" w:cs="宋体"/>
          <w:highlight w:val="none"/>
        </w:rPr>
      </w:pPr>
      <w:r>
        <w:rPr>
          <w:rFonts w:hint="eastAsia" w:ascii="宋体" w:hAnsi="宋体" w:cs="宋体"/>
          <w:sz w:val="24"/>
          <w:highlight w:val="none"/>
        </w:rPr>
        <w:t>（10）项目实施方案；</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1</w:t>
      </w:r>
      <w:r>
        <w:rPr>
          <w:rFonts w:hint="eastAsia" w:ascii="宋体" w:hAnsi="宋体" w:cs="宋体"/>
          <w:sz w:val="24"/>
          <w:highlight w:val="none"/>
        </w:rPr>
        <w:t>）未尽事宜请各投标单位按评分标准和相对应标项相关要求制作</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2</w:t>
      </w:r>
      <w:r>
        <w:rPr>
          <w:rFonts w:hint="eastAsia" w:ascii="宋体" w:hAnsi="宋体" w:cs="宋体"/>
          <w:sz w:val="24"/>
          <w:highlight w:val="none"/>
        </w:rPr>
        <w:t>）投标人认为需要提供的其他资料（如有）。</w:t>
      </w:r>
    </w:p>
    <w:p>
      <w:pPr>
        <w:jc w:val="left"/>
        <w:rPr>
          <w:rFonts w:ascii="宋体" w:hAnsi="宋体" w:cs="宋体"/>
          <w:b/>
          <w:bCs/>
          <w:sz w:val="24"/>
          <w:highlight w:val="none"/>
        </w:rPr>
      </w:pPr>
    </w:p>
    <w:p>
      <w:pPr>
        <w:jc w:val="left"/>
        <w:rPr>
          <w:rFonts w:ascii="宋体" w:hAnsi="宋体" w:cs="宋体"/>
          <w:b/>
          <w:bCs/>
          <w:sz w:val="24"/>
          <w:highlight w:val="none"/>
        </w:rPr>
      </w:pPr>
      <w:r>
        <w:rPr>
          <w:rFonts w:hint="eastAsia" w:ascii="宋体" w:hAnsi="宋体" w:cs="宋体"/>
          <w:b/>
          <w:bCs/>
          <w:sz w:val="24"/>
          <w:highlight w:val="none"/>
        </w:rPr>
        <w:t>注：无格式的投标人可自拟。</w:t>
      </w: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sz w:val="24"/>
          <w:highlight w:val="none"/>
        </w:rPr>
      </w:pPr>
    </w:p>
    <w:p>
      <w:pPr>
        <w:pStyle w:val="40"/>
        <w:spacing w:before="120"/>
        <w:rPr>
          <w:rFonts w:ascii="宋体" w:hAnsi="宋体" w:cs="宋体"/>
          <w:highlight w:val="none"/>
        </w:rPr>
      </w:pPr>
    </w:p>
    <w:p>
      <w:pPr>
        <w:pStyle w:val="40"/>
        <w:spacing w:before="120"/>
        <w:rPr>
          <w:rFonts w:ascii="宋体" w:hAnsi="宋体" w:cs="宋体"/>
          <w:highlight w:val="none"/>
        </w:rPr>
      </w:pPr>
    </w:p>
    <w:p>
      <w:pPr>
        <w:pStyle w:val="40"/>
        <w:spacing w:before="120"/>
        <w:rPr>
          <w:rFonts w:ascii="宋体" w:hAnsi="宋体" w:cs="宋体"/>
          <w:highlight w:val="none"/>
        </w:rPr>
      </w:pPr>
    </w:p>
    <w:p>
      <w:pPr>
        <w:jc w:val="left"/>
        <w:rPr>
          <w:rFonts w:ascii="宋体" w:hAnsi="宋体" w:cs="宋体"/>
          <w:sz w:val="24"/>
          <w:highlight w:val="none"/>
        </w:rPr>
      </w:pPr>
    </w:p>
    <w:p>
      <w:pPr>
        <w:jc w:val="left"/>
        <w:rPr>
          <w:rFonts w:ascii="宋体" w:hAnsi="宋体" w:cs="宋体"/>
          <w:sz w:val="24"/>
          <w:highlight w:val="none"/>
        </w:rPr>
      </w:pPr>
    </w:p>
    <w:p>
      <w:pPr>
        <w:jc w:val="left"/>
        <w:rPr>
          <w:rFonts w:ascii="宋体" w:hAnsi="宋体" w:cs="宋体"/>
          <w:sz w:val="24"/>
          <w:highlight w:val="none"/>
        </w:rPr>
      </w:pPr>
    </w:p>
    <w:p>
      <w:pPr>
        <w:jc w:val="left"/>
        <w:rPr>
          <w:rFonts w:ascii="宋体" w:hAnsi="宋体" w:cs="宋体"/>
          <w:sz w:val="24"/>
          <w:highlight w:val="none"/>
        </w:rPr>
      </w:pPr>
    </w:p>
    <w:p>
      <w:pPr>
        <w:rPr>
          <w:rFonts w:ascii="宋体" w:hAnsi="宋体" w:cs="宋体"/>
          <w:b/>
          <w:bCs/>
          <w:sz w:val="32"/>
          <w:szCs w:val="32"/>
          <w:highlight w:val="none"/>
        </w:rPr>
      </w:pPr>
      <w:r>
        <w:rPr>
          <w:rFonts w:hint="eastAsia" w:ascii="宋体" w:hAnsi="宋体" w:cs="宋体"/>
          <w:b/>
          <w:bCs/>
          <w:sz w:val="32"/>
          <w:szCs w:val="32"/>
          <w:highlight w:val="none"/>
        </w:rPr>
        <w:br w:type="page"/>
      </w:r>
    </w:p>
    <w:p>
      <w:pPr>
        <w:jc w:val="center"/>
        <w:rPr>
          <w:rFonts w:ascii="宋体" w:hAnsi="宋体" w:cs="宋体"/>
          <w:b/>
          <w:bCs/>
          <w:sz w:val="32"/>
          <w:szCs w:val="32"/>
          <w:highlight w:val="none"/>
        </w:rPr>
      </w:pPr>
      <w:r>
        <w:rPr>
          <w:rFonts w:hint="eastAsia" w:ascii="宋体" w:hAnsi="宋体" w:cs="宋体"/>
          <w:b/>
          <w:bCs/>
          <w:sz w:val="32"/>
          <w:szCs w:val="32"/>
          <w:highlight w:val="none"/>
          <w:lang w:eastAsia="zh-CN"/>
        </w:rPr>
        <w:t>一、</w:t>
      </w:r>
      <w:r>
        <w:rPr>
          <w:rFonts w:hint="eastAsia" w:ascii="宋体" w:hAnsi="宋体" w:cs="宋体"/>
          <w:b/>
          <w:bCs/>
          <w:sz w:val="32"/>
          <w:szCs w:val="32"/>
          <w:highlight w:val="none"/>
        </w:rPr>
        <w:t>评分索引表</w:t>
      </w:r>
    </w:p>
    <w:p>
      <w:pPr>
        <w:jc w:val="left"/>
        <w:rPr>
          <w:rFonts w:ascii="宋体" w:hAnsi="宋体" w:cs="宋体"/>
          <w:b/>
          <w:bCs/>
          <w:sz w:val="24"/>
          <w:highlight w:val="none"/>
        </w:rPr>
      </w:pPr>
    </w:p>
    <w:tbl>
      <w:tblPr>
        <w:tblStyle w:val="30"/>
        <w:tblW w:w="8674" w:type="dxa"/>
        <w:tblInd w:w="2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283"/>
        <w:gridCol w:w="4254"/>
        <w:gridCol w:w="1038"/>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1" w:hRule="atLeast"/>
        </w:trPr>
        <w:tc>
          <w:tcPr>
            <w:tcW w:w="76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highlight w:val="none"/>
              </w:rPr>
            </w:pPr>
            <w:r>
              <w:rPr>
                <w:rFonts w:hint="eastAsia" w:ascii="宋体" w:hAnsi="宋体" w:cs="宋体"/>
                <w:sz w:val="24"/>
                <w:highlight w:val="none"/>
              </w:rPr>
              <w:t>序号</w:t>
            </w:r>
          </w:p>
        </w:tc>
        <w:tc>
          <w:tcPr>
            <w:tcW w:w="1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highlight w:val="none"/>
              </w:rPr>
            </w:pPr>
            <w:r>
              <w:rPr>
                <w:rFonts w:hint="eastAsia" w:ascii="宋体" w:hAnsi="宋体" w:cs="宋体"/>
                <w:sz w:val="24"/>
                <w:highlight w:val="none"/>
              </w:rPr>
              <w:t>评分项目</w:t>
            </w:r>
          </w:p>
        </w:tc>
        <w:tc>
          <w:tcPr>
            <w:tcW w:w="42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highlight w:val="none"/>
              </w:rPr>
            </w:pPr>
            <w:r>
              <w:rPr>
                <w:rFonts w:hint="eastAsia" w:ascii="宋体" w:hAnsi="宋体" w:cs="宋体"/>
                <w:sz w:val="24"/>
                <w:highlight w:val="none"/>
              </w:rPr>
              <w:t>评标标准及说明</w:t>
            </w:r>
          </w:p>
        </w:tc>
        <w:tc>
          <w:tcPr>
            <w:tcW w:w="103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highlight w:val="none"/>
              </w:rPr>
            </w:pPr>
            <w:r>
              <w:rPr>
                <w:rFonts w:hint="eastAsia" w:ascii="宋体" w:hAnsi="宋体" w:cs="宋体"/>
                <w:sz w:val="24"/>
                <w:highlight w:val="none"/>
              </w:rPr>
              <w:t>分值</w:t>
            </w:r>
          </w:p>
        </w:tc>
        <w:tc>
          <w:tcPr>
            <w:tcW w:w="133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highlight w:val="none"/>
              </w:rPr>
            </w:pPr>
            <w:r>
              <w:rPr>
                <w:rFonts w:hint="eastAsia" w:ascii="宋体" w:hAnsi="宋体" w:cs="宋体"/>
                <w:sz w:val="24"/>
                <w:highlight w:val="none"/>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trPr>
        <w:tc>
          <w:tcPr>
            <w:tcW w:w="763" w:type="dxa"/>
            <w:tcBorders>
              <w:top w:val="single" w:color="auto" w:sz="4" w:space="0"/>
              <w:left w:val="single" w:color="auto" w:sz="4" w:space="0"/>
              <w:right w:val="single" w:color="auto" w:sz="4" w:space="0"/>
            </w:tcBorders>
            <w:vAlign w:val="center"/>
          </w:tcPr>
          <w:p>
            <w:pPr>
              <w:spacing w:line="300" w:lineRule="exact"/>
              <w:jc w:val="center"/>
              <w:rPr>
                <w:rFonts w:ascii="宋体" w:hAnsi="宋体" w:cs="宋体"/>
                <w:sz w:val="24"/>
                <w:highlight w:val="none"/>
              </w:rPr>
            </w:pPr>
            <w:r>
              <w:rPr>
                <w:rFonts w:hint="eastAsia" w:ascii="宋体" w:hAnsi="宋体" w:cs="宋体"/>
                <w:sz w:val="24"/>
                <w:highlight w:val="none"/>
              </w:rPr>
              <w:t>1</w:t>
            </w:r>
          </w:p>
        </w:tc>
        <w:tc>
          <w:tcPr>
            <w:tcW w:w="1283" w:type="dxa"/>
            <w:tcBorders>
              <w:top w:val="single" w:color="auto" w:sz="4" w:space="0"/>
              <w:left w:val="single" w:color="auto" w:sz="4" w:space="0"/>
              <w:right w:val="single" w:color="auto" w:sz="4" w:space="0"/>
            </w:tcBorders>
            <w:vAlign w:val="center"/>
          </w:tcPr>
          <w:p>
            <w:pPr>
              <w:spacing w:line="300" w:lineRule="exact"/>
              <w:rPr>
                <w:rFonts w:ascii="宋体" w:hAnsi="宋体" w:cs="宋体"/>
                <w:sz w:val="24"/>
                <w:highlight w:val="none"/>
              </w:rPr>
            </w:pPr>
          </w:p>
        </w:tc>
        <w:tc>
          <w:tcPr>
            <w:tcW w:w="4254" w:type="dxa"/>
            <w:tcBorders>
              <w:top w:val="single" w:color="auto" w:sz="4" w:space="0"/>
              <w:left w:val="single" w:color="auto" w:sz="4" w:space="0"/>
              <w:right w:val="single" w:color="auto" w:sz="4" w:space="0"/>
            </w:tcBorders>
            <w:vAlign w:val="center"/>
          </w:tcPr>
          <w:p>
            <w:pPr>
              <w:spacing w:line="300" w:lineRule="exact"/>
              <w:ind w:firstLine="240" w:firstLineChars="100"/>
              <w:jc w:val="left"/>
              <w:rPr>
                <w:rFonts w:ascii="宋体" w:hAnsi="宋体" w:cs="宋体"/>
                <w:sz w:val="24"/>
                <w:highlight w:val="none"/>
              </w:rPr>
            </w:pPr>
          </w:p>
        </w:tc>
        <w:tc>
          <w:tcPr>
            <w:tcW w:w="10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trPr>
        <w:tc>
          <w:tcPr>
            <w:tcW w:w="763" w:type="dxa"/>
            <w:tcBorders>
              <w:top w:val="single" w:color="auto" w:sz="4" w:space="0"/>
              <w:left w:val="single" w:color="auto" w:sz="4" w:space="0"/>
              <w:right w:val="single" w:color="auto" w:sz="4" w:space="0"/>
            </w:tcBorders>
            <w:vAlign w:val="center"/>
          </w:tcPr>
          <w:p>
            <w:pPr>
              <w:spacing w:line="300" w:lineRule="exact"/>
              <w:jc w:val="center"/>
              <w:rPr>
                <w:rFonts w:ascii="宋体" w:hAnsi="宋体" w:cs="宋体"/>
                <w:sz w:val="24"/>
                <w:highlight w:val="none"/>
              </w:rPr>
            </w:pPr>
            <w:r>
              <w:rPr>
                <w:rFonts w:hint="eastAsia" w:ascii="宋体" w:hAnsi="宋体" w:cs="宋体"/>
                <w:sz w:val="24"/>
                <w:highlight w:val="none"/>
              </w:rPr>
              <w:t>2</w:t>
            </w:r>
          </w:p>
        </w:tc>
        <w:tc>
          <w:tcPr>
            <w:tcW w:w="1283" w:type="dxa"/>
            <w:tcBorders>
              <w:top w:val="single" w:color="auto" w:sz="4" w:space="0"/>
              <w:left w:val="single" w:color="auto" w:sz="4" w:space="0"/>
              <w:right w:val="single" w:color="auto" w:sz="4" w:space="0"/>
            </w:tcBorders>
            <w:vAlign w:val="center"/>
          </w:tcPr>
          <w:p>
            <w:pPr>
              <w:spacing w:line="300" w:lineRule="exact"/>
              <w:jc w:val="center"/>
              <w:rPr>
                <w:rFonts w:ascii="宋体" w:hAnsi="宋体" w:cs="宋体"/>
                <w:sz w:val="24"/>
                <w:highlight w:val="none"/>
              </w:rPr>
            </w:pPr>
          </w:p>
        </w:tc>
        <w:tc>
          <w:tcPr>
            <w:tcW w:w="4254" w:type="dxa"/>
            <w:tcBorders>
              <w:top w:val="single" w:color="auto" w:sz="4" w:space="0"/>
              <w:left w:val="single" w:color="auto" w:sz="4" w:space="0"/>
              <w:right w:val="single" w:color="auto" w:sz="4" w:space="0"/>
            </w:tcBorders>
            <w:vAlign w:val="center"/>
          </w:tcPr>
          <w:p>
            <w:pPr>
              <w:spacing w:line="300" w:lineRule="exact"/>
              <w:ind w:firstLine="240" w:firstLineChars="100"/>
              <w:jc w:val="left"/>
              <w:rPr>
                <w:rFonts w:ascii="宋体" w:hAnsi="宋体" w:cs="宋体"/>
                <w:sz w:val="24"/>
                <w:highlight w:val="none"/>
                <w:lang w:val="zh-CN"/>
              </w:rPr>
            </w:pPr>
          </w:p>
        </w:tc>
        <w:tc>
          <w:tcPr>
            <w:tcW w:w="10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trPr>
        <w:tc>
          <w:tcPr>
            <w:tcW w:w="763" w:type="dxa"/>
            <w:tcBorders>
              <w:top w:val="single" w:color="auto" w:sz="4" w:space="0"/>
              <w:left w:val="single" w:color="auto" w:sz="4" w:space="0"/>
              <w:right w:val="single" w:color="auto" w:sz="4" w:space="0"/>
            </w:tcBorders>
            <w:vAlign w:val="center"/>
          </w:tcPr>
          <w:p>
            <w:pPr>
              <w:spacing w:line="300" w:lineRule="exact"/>
              <w:jc w:val="center"/>
              <w:rPr>
                <w:rFonts w:ascii="宋体" w:hAnsi="宋体" w:cs="宋体"/>
                <w:sz w:val="24"/>
                <w:highlight w:val="none"/>
              </w:rPr>
            </w:pPr>
            <w:r>
              <w:rPr>
                <w:rFonts w:hint="eastAsia" w:ascii="宋体" w:hAnsi="宋体" w:cs="宋体"/>
                <w:sz w:val="24"/>
                <w:highlight w:val="none"/>
              </w:rPr>
              <w:t>3</w:t>
            </w:r>
          </w:p>
        </w:tc>
        <w:tc>
          <w:tcPr>
            <w:tcW w:w="1283" w:type="dxa"/>
            <w:tcBorders>
              <w:top w:val="single" w:color="auto" w:sz="4" w:space="0"/>
              <w:left w:val="single" w:color="auto" w:sz="4" w:space="0"/>
              <w:right w:val="single" w:color="auto" w:sz="4" w:space="0"/>
            </w:tcBorders>
            <w:vAlign w:val="center"/>
          </w:tcPr>
          <w:p>
            <w:pPr>
              <w:spacing w:line="300" w:lineRule="exact"/>
              <w:jc w:val="center"/>
              <w:rPr>
                <w:rFonts w:ascii="宋体" w:hAnsi="宋体" w:cs="宋体"/>
                <w:sz w:val="24"/>
                <w:highlight w:val="none"/>
              </w:rPr>
            </w:pPr>
          </w:p>
        </w:tc>
        <w:tc>
          <w:tcPr>
            <w:tcW w:w="4254" w:type="dxa"/>
            <w:tcBorders>
              <w:top w:val="single" w:color="auto" w:sz="4" w:space="0"/>
              <w:left w:val="single" w:color="auto" w:sz="4" w:space="0"/>
              <w:right w:val="single" w:color="auto" w:sz="4" w:space="0"/>
            </w:tcBorders>
            <w:vAlign w:val="center"/>
          </w:tcPr>
          <w:p>
            <w:pPr>
              <w:spacing w:line="300" w:lineRule="exact"/>
              <w:ind w:firstLine="240" w:firstLineChars="100"/>
              <w:jc w:val="left"/>
              <w:rPr>
                <w:rFonts w:ascii="宋体" w:hAnsi="宋体" w:cs="宋体"/>
                <w:sz w:val="24"/>
                <w:highlight w:val="none"/>
              </w:rPr>
            </w:pPr>
          </w:p>
        </w:tc>
        <w:tc>
          <w:tcPr>
            <w:tcW w:w="10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763" w:type="dxa"/>
            <w:tcBorders>
              <w:left w:val="single" w:color="auto" w:sz="4" w:space="0"/>
              <w:right w:val="single" w:color="auto" w:sz="4" w:space="0"/>
            </w:tcBorders>
            <w:vAlign w:val="center"/>
          </w:tcPr>
          <w:p>
            <w:pPr>
              <w:spacing w:line="300" w:lineRule="exact"/>
              <w:jc w:val="center"/>
              <w:rPr>
                <w:rFonts w:ascii="宋体" w:hAnsi="宋体" w:cs="宋体"/>
                <w:sz w:val="24"/>
                <w:highlight w:val="none"/>
              </w:rPr>
            </w:pPr>
            <w:r>
              <w:rPr>
                <w:rFonts w:hint="eastAsia" w:ascii="宋体" w:hAnsi="宋体" w:cs="宋体"/>
                <w:sz w:val="24"/>
                <w:highlight w:val="none"/>
              </w:rPr>
              <w:t>4</w:t>
            </w:r>
          </w:p>
        </w:tc>
        <w:tc>
          <w:tcPr>
            <w:tcW w:w="1283" w:type="dxa"/>
            <w:tcBorders>
              <w:left w:val="single" w:color="auto" w:sz="4" w:space="0"/>
              <w:right w:val="single" w:color="auto" w:sz="4" w:space="0"/>
            </w:tcBorders>
            <w:vAlign w:val="center"/>
          </w:tcPr>
          <w:p>
            <w:pPr>
              <w:spacing w:line="300" w:lineRule="exact"/>
              <w:jc w:val="center"/>
              <w:rPr>
                <w:rFonts w:ascii="宋体" w:hAnsi="宋体" w:cs="宋体"/>
                <w:sz w:val="24"/>
                <w:highlight w:val="none"/>
              </w:rPr>
            </w:pPr>
          </w:p>
        </w:tc>
        <w:tc>
          <w:tcPr>
            <w:tcW w:w="4254" w:type="dxa"/>
            <w:tcBorders>
              <w:top w:val="single" w:color="auto" w:sz="4" w:space="0"/>
              <w:left w:val="single" w:color="auto" w:sz="4" w:space="0"/>
              <w:right w:val="single" w:color="auto" w:sz="4" w:space="0"/>
            </w:tcBorders>
            <w:vAlign w:val="center"/>
          </w:tcPr>
          <w:p>
            <w:pPr>
              <w:spacing w:line="320" w:lineRule="exact"/>
              <w:ind w:firstLine="240" w:firstLineChars="100"/>
              <w:jc w:val="left"/>
              <w:rPr>
                <w:rFonts w:ascii="宋体" w:hAnsi="宋体" w:cs="宋体"/>
                <w:sz w:val="24"/>
                <w:highlight w:val="none"/>
              </w:rPr>
            </w:pPr>
          </w:p>
        </w:tc>
        <w:tc>
          <w:tcPr>
            <w:tcW w:w="1038" w:type="dxa"/>
            <w:tcBorders>
              <w:top w:val="single" w:color="auto" w:sz="4" w:space="0"/>
              <w:left w:val="single" w:color="auto" w:sz="4" w:space="0"/>
              <w:bottom w:val="single" w:color="auto" w:sz="4" w:space="0"/>
              <w:right w:val="single" w:color="auto" w:sz="4" w:space="0"/>
            </w:tcBorders>
            <w:vAlign w:val="center"/>
          </w:tcPr>
          <w:p>
            <w:pPr>
              <w:adjustRightInd/>
              <w:jc w:val="left"/>
              <w:rPr>
                <w:rFonts w:ascii="宋体" w:hAnsi="宋体" w:cs="宋体"/>
                <w:sz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adjustRightInd/>
              <w:jc w:val="lef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763" w:type="dxa"/>
            <w:tcBorders>
              <w:left w:val="single" w:color="auto" w:sz="4" w:space="0"/>
              <w:right w:val="single" w:color="auto" w:sz="4" w:space="0"/>
            </w:tcBorders>
            <w:vAlign w:val="center"/>
          </w:tcPr>
          <w:p>
            <w:pPr>
              <w:spacing w:line="300" w:lineRule="exact"/>
              <w:jc w:val="center"/>
              <w:rPr>
                <w:rFonts w:ascii="宋体" w:hAnsi="宋体" w:cs="宋体"/>
                <w:sz w:val="24"/>
                <w:highlight w:val="none"/>
              </w:rPr>
            </w:pPr>
            <w:r>
              <w:rPr>
                <w:rFonts w:hint="eastAsia" w:ascii="宋体" w:hAnsi="宋体" w:cs="宋体"/>
                <w:sz w:val="24"/>
                <w:highlight w:val="none"/>
              </w:rPr>
              <w:t>5</w:t>
            </w:r>
          </w:p>
        </w:tc>
        <w:tc>
          <w:tcPr>
            <w:tcW w:w="1283" w:type="dxa"/>
            <w:tcBorders>
              <w:left w:val="single" w:color="auto" w:sz="4" w:space="0"/>
              <w:right w:val="single" w:color="auto" w:sz="4" w:space="0"/>
            </w:tcBorders>
            <w:vAlign w:val="center"/>
          </w:tcPr>
          <w:p>
            <w:pPr>
              <w:spacing w:line="300" w:lineRule="exact"/>
              <w:jc w:val="center"/>
              <w:rPr>
                <w:rFonts w:ascii="宋体" w:hAnsi="宋体" w:cs="宋体"/>
                <w:sz w:val="24"/>
                <w:highlight w:val="none"/>
              </w:rPr>
            </w:pPr>
          </w:p>
        </w:tc>
        <w:tc>
          <w:tcPr>
            <w:tcW w:w="4254" w:type="dxa"/>
            <w:tcBorders>
              <w:top w:val="single" w:color="auto" w:sz="4" w:space="0"/>
              <w:left w:val="single" w:color="auto" w:sz="4" w:space="0"/>
              <w:right w:val="single" w:color="auto" w:sz="4" w:space="0"/>
            </w:tcBorders>
            <w:vAlign w:val="center"/>
          </w:tcPr>
          <w:p>
            <w:pPr>
              <w:adjustRightInd/>
              <w:ind w:firstLine="240" w:firstLineChars="100"/>
              <w:jc w:val="left"/>
              <w:rPr>
                <w:rFonts w:ascii="宋体" w:hAnsi="宋体" w:cs="宋体"/>
                <w:sz w:val="24"/>
                <w:highlight w:val="none"/>
              </w:rPr>
            </w:pPr>
          </w:p>
        </w:tc>
        <w:tc>
          <w:tcPr>
            <w:tcW w:w="10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trPr>
        <w:tc>
          <w:tcPr>
            <w:tcW w:w="763" w:type="dxa"/>
            <w:tcBorders>
              <w:left w:val="single" w:color="auto" w:sz="4" w:space="0"/>
              <w:right w:val="single" w:color="auto" w:sz="4" w:space="0"/>
            </w:tcBorders>
            <w:vAlign w:val="center"/>
          </w:tcPr>
          <w:p>
            <w:pPr>
              <w:spacing w:line="300" w:lineRule="exact"/>
              <w:jc w:val="center"/>
              <w:rPr>
                <w:rFonts w:ascii="宋体" w:hAnsi="宋体" w:cs="宋体"/>
                <w:sz w:val="24"/>
                <w:highlight w:val="none"/>
              </w:rPr>
            </w:pPr>
            <w:r>
              <w:rPr>
                <w:rFonts w:hint="eastAsia" w:ascii="宋体" w:hAnsi="宋体" w:cs="宋体"/>
                <w:sz w:val="24"/>
                <w:highlight w:val="none"/>
              </w:rPr>
              <w:t>....</w:t>
            </w:r>
          </w:p>
        </w:tc>
        <w:tc>
          <w:tcPr>
            <w:tcW w:w="1283" w:type="dxa"/>
            <w:tcBorders>
              <w:left w:val="single" w:color="auto" w:sz="4" w:space="0"/>
              <w:right w:val="single" w:color="auto" w:sz="4" w:space="0"/>
            </w:tcBorders>
            <w:vAlign w:val="center"/>
          </w:tcPr>
          <w:p>
            <w:pPr>
              <w:spacing w:line="300" w:lineRule="exact"/>
              <w:jc w:val="center"/>
              <w:rPr>
                <w:rFonts w:ascii="宋体" w:hAnsi="宋体" w:cs="宋体"/>
                <w:sz w:val="24"/>
                <w:highlight w:val="none"/>
              </w:rPr>
            </w:pPr>
          </w:p>
        </w:tc>
        <w:tc>
          <w:tcPr>
            <w:tcW w:w="4254" w:type="dxa"/>
            <w:tcBorders>
              <w:top w:val="single" w:color="auto" w:sz="4" w:space="0"/>
              <w:left w:val="single" w:color="auto" w:sz="4" w:space="0"/>
              <w:right w:val="single" w:color="auto" w:sz="4" w:space="0"/>
            </w:tcBorders>
            <w:vAlign w:val="center"/>
          </w:tcPr>
          <w:p>
            <w:pPr>
              <w:adjustRightInd/>
              <w:ind w:firstLine="240" w:firstLineChars="100"/>
              <w:jc w:val="left"/>
              <w:rPr>
                <w:rFonts w:ascii="宋体" w:hAnsi="宋体" w:cs="宋体"/>
                <w:sz w:val="24"/>
                <w:highlight w:val="none"/>
              </w:rPr>
            </w:pPr>
          </w:p>
        </w:tc>
        <w:tc>
          <w:tcPr>
            <w:tcW w:w="10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highlight w:val="none"/>
              </w:rPr>
            </w:pPr>
          </w:p>
        </w:tc>
      </w:tr>
    </w:tbl>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sz w:val="24"/>
          <w:highlight w:val="none"/>
        </w:rPr>
      </w:pPr>
    </w:p>
    <w:p>
      <w:pPr>
        <w:rPr>
          <w:rFonts w:ascii="宋体" w:hAnsi="宋体" w:cs="宋体"/>
          <w:b/>
          <w:kern w:val="0"/>
          <w:sz w:val="32"/>
          <w:szCs w:val="32"/>
          <w:highlight w:val="none"/>
        </w:rPr>
      </w:pPr>
      <w:r>
        <w:rPr>
          <w:rFonts w:hint="eastAsia" w:ascii="宋体" w:hAnsi="宋体" w:cs="宋体"/>
          <w:b/>
          <w:kern w:val="0"/>
          <w:sz w:val="32"/>
          <w:szCs w:val="32"/>
          <w:highlight w:val="none"/>
        </w:rPr>
        <w:br w:type="page"/>
      </w:r>
    </w:p>
    <w:p>
      <w:pPr>
        <w:snapToGrid w:val="0"/>
        <w:spacing w:line="360" w:lineRule="auto"/>
        <w:jc w:val="center"/>
        <w:outlineLvl w:val="0"/>
        <w:rPr>
          <w:rFonts w:ascii="宋体" w:hAnsi="宋体" w:cs="宋体"/>
          <w:b/>
          <w:sz w:val="32"/>
          <w:szCs w:val="32"/>
          <w:highlight w:val="none"/>
        </w:rPr>
      </w:pPr>
      <w:r>
        <w:rPr>
          <w:rFonts w:hint="eastAsia" w:ascii="宋体" w:hAnsi="宋体" w:cs="宋体"/>
          <w:b/>
          <w:kern w:val="0"/>
          <w:sz w:val="32"/>
          <w:szCs w:val="32"/>
          <w:highlight w:val="none"/>
          <w:lang w:eastAsia="zh-CN"/>
        </w:rPr>
        <w:t>二</w:t>
      </w:r>
      <w:r>
        <w:rPr>
          <w:rFonts w:hint="eastAsia" w:ascii="宋体" w:hAnsi="宋体" w:cs="宋体"/>
          <w:b/>
          <w:kern w:val="0"/>
          <w:sz w:val="32"/>
          <w:szCs w:val="32"/>
          <w:highlight w:val="none"/>
        </w:rPr>
        <w:t>、投标</w:t>
      </w:r>
      <w:r>
        <w:rPr>
          <w:rFonts w:hint="eastAsia" w:ascii="宋体" w:hAnsi="宋体" w:cs="宋体"/>
          <w:b/>
          <w:sz w:val="32"/>
          <w:szCs w:val="32"/>
          <w:highlight w:val="none"/>
        </w:rPr>
        <w:t>函</w:t>
      </w:r>
    </w:p>
    <w:p>
      <w:pPr>
        <w:pStyle w:val="68"/>
        <w:spacing w:after="120" w:line="312" w:lineRule="auto"/>
        <w:ind w:firstLine="0" w:firstLineChars="0"/>
        <w:rPr>
          <w:rFonts w:ascii="宋体" w:hAnsi="宋体" w:cs="宋体"/>
          <w:szCs w:val="24"/>
          <w:highlight w:val="none"/>
        </w:rPr>
      </w:pPr>
      <w:r>
        <w:rPr>
          <w:rFonts w:hint="eastAsia" w:ascii="宋体" w:hAnsi="宋体" w:cs="宋体"/>
          <w:szCs w:val="24"/>
          <w:highlight w:val="none"/>
        </w:rPr>
        <w:t>致：</w:t>
      </w:r>
      <w:r>
        <w:rPr>
          <w:rFonts w:hint="eastAsia" w:ascii="宋体" w:hAnsi="宋体" w:cs="宋体"/>
          <w:szCs w:val="24"/>
          <w:highlight w:val="none"/>
          <w:u w:val="single"/>
        </w:rPr>
        <w:t xml:space="preserve">              </w:t>
      </w:r>
    </w:p>
    <w:p>
      <w:pPr>
        <w:pStyle w:val="68"/>
        <w:spacing w:after="120" w:line="312" w:lineRule="auto"/>
        <w:ind w:firstLine="480"/>
        <w:rPr>
          <w:rFonts w:ascii="宋体" w:hAnsi="宋体" w:cs="宋体"/>
          <w:szCs w:val="24"/>
          <w:highlight w:val="none"/>
        </w:rPr>
      </w:pPr>
      <w:r>
        <w:rPr>
          <w:rFonts w:hint="eastAsia" w:ascii="宋体" w:hAnsi="宋体" w:cs="宋体"/>
          <w:szCs w:val="24"/>
          <w:highlight w:val="none"/>
        </w:rPr>
        <w:t>根据贵方招标文件（</w:t>
      </w:r>
      <w:r>
        <w:rPr>
          <w:rFonts w:hint="eastAsia" w:ascii="宋体" w:hAnsi="宋体" w:cs="宋体"/>
          <w:b/>
          <w:szCs w:val="24"/>
          <w:highlight w:val="none"/>
          <w:u w:val="single"/>
        </w:rPr>
        <w:t>填写招标编号：</w:t>
      </w:r>
      <w:r>
        <w:rPr>
          <w:rFonts w:hint="eastAsia" w:ascii="宋体" w:hAnsi="宋体" w:cs="宋体"/>
          <w:szCs w:val="24"/>
          <w:highlight w:val="none"/>
        </w:rPr>
        <w:t>）的要求，正式授权</w:t>
      </w:r>
      <w:r>
        <w:rPr>
          <w:rFonts w:hint="eastAsia" w:ascii="宋体" w:hAnsi="宋体" w:cs="宋体"/>
          <w:b/>
          <w:szCs w:val="24"/>
          <w:highlight w:val="none"/>
          <w:u w:val="single"/>
        </w:rPr>
        <w:t>（全权代表姓名    、单位    、职务   ）</w:t>
      </w:r>
      <w:r>
        <w:rPr>
          <w:rFonts w:hint="eastAsia" w:ascii="宋体" w:hAnsi="宋体" w:cs="宋体"/>
          <w:szCs w:val="24"/>
          <w:highlight w:val="none"/>
        </w:rPr>
        <w:t>代表投标人</w:t>
      </w:r>
      <w:r>
        <w:rPr>
          <w:rFonts w:hint="eastAsia" w:ascii="宋体" w:hAnsi="宋体" w:cs="宋体"/>
          <w:szCs w:val="24"/>
          <w:highlight w:val="none"/>
          <w:u w:val="single"/>
        </w:rPr>
        <w:t>（</w:t>
      </w:r>
      <w:r>
        <w:rPr>
          <w:rFonts w:hint="eastAsia" w:ascii="宋体" w:hAnsi="宋体" w:cs="宋体"/>
          <w:b/>
          <w:szCs w:val="24"/>
          <w:highlight w:val="none"/>
          <w:u w:val="single"/>
        </w:rPr>
        <w:t xml:space="preserve">填写单位    、地址   </w:t>
      </w:r>
      <w:r>
        <w:rPr>
          <w:rFonts w:hint="eastAsia" w:ascii="宋体" w:hAnsi="宋体" w:cs="宋体"/>
          <w:szCs w:val="24"/>
          <w:highlight w:val="none"/>
          <w:u w:val="single"/>
        </w:rPr>
        <w:t>）</w:t>
      </w:r>
      <w:r>
        <w:rPr>
          <w:rFonts w:hint="eastAsia" w:ascii="宋体" w:hAnsi="宋体" w:cs="宋体"/>
          <w:szCs w:val="24"/>
          <w:highlight w:val="none"/>
        </w:rPr>
        <w:t>提交投标文件。</w:t>
      </w:r>
    </w:p>
    <w:p>
      <w:pPr>
        <w:pStyle w:val="68"/>
        <w:spacing w:after="120" w:line="312" w:lineRule="auto"/>
        <w:ind w:firstLine="480"/>
        <w:rPr>
          <w:rFonts w:ascii="宋体" w:hAnsi="宋体" w:cs="宋体"/>
          <w:szCs w:val="24"/>
          <w:highlight w:val="none"/>
        </w:rPr>
      </w:pPr>
      <w:r>
        <w:rPr>
          <w:rFonts w:hint="eastAsia" w:ascii="宋体" w:hAnsi="宋体" w:cs="宋体"/>
          <w:szCs w:val="24"/>
          <w:highlight w:val="none"/>
        </w:rPr>
        <w:t>我方已完全明白招标文件的所有条款要求，兹声明同意如下：</w:t>
      </w:r>
    </w:p>
    <w:p>
      <w:pPr>
        <w:pStyle w:val="68"/>
        <w:spacing w:after="120" w:line="312" w:lineRule="auto"/>
        <w:ind w:firstLine="480"/>
        <w:rPr>
          <w:rFonts w:ascii="宋体" w:hAnsi="宋体" w:cs="宋体"/>
          <w:szCs w:val="24"/>
          <w:highlight w:val="none"/>
        </w:rPr>
      </w:pPr>
      <w:r>
        <w:rPr>
          <w:rFonts w:hint="eastAsia" w:ascii="宋体" w:hAnsi="宋体" w:cs="宋体"/>
          <w:szCs w:val="24"/>
          <w:highlight w:val="none"/>
        </w:rPr>
        <w:t>1.我方已详细审查全部招标文件，同意招标文件的各项要求。</w:t>
      </w:r>
    </w:p>
    <w:p>
      <w:pPr>
        <w:pStyle w:val="68"/>
        <w:spacing w:after="120" w:line="312" w:lineRule="auto"/>
        <w:ind w:firstLine="480"/>
        <w:rPr>
          <w:rFonts w:ascii="宋体" w:hAnsi="宋体" w:cs="宋体"/>
          <w:szCs w:val="24"/>
          <w:highlight w:val="none"/>
        </w:rPr>
      </w:pPr>
      <w:r>
        <w:rPr>
          <w:rFonts w:hint="eastAsia" w:ascii="宋体" w:hAnsi="宋体" w:cs="宋体"/>
          <w:szCs w:val="24"/>
          <w:highlight w:val="none"/>
        </w:rPr>
        <w:t>2.我方投标文件中填列的技术参数、配置、服务、数量等相关内容都是真实、准确的。</w:t>
      </w:r>
    </w:p>
    <w:p>
      <w:pPr>
        <w:pStyle w:val="68"/>
        <w:spacing w:after="120" w:line="312" w:lineRule="auto"/>
        <w:ind w:firstLine="480"/>
        <w:rPr>
          <w:rFonts w:ascii="宋体" w:hAnsi="宋体" w:cs="宋体"/>
          <w:szCs w:val="24"/>
          <w:highlight w:val="none"/>
        </w:rPr>
      </w:pPr>
      <w:r>
        <w:rPr>
          <w:rFonts w:hint="eastAsia" w:ascii="宋体" w:hAnsi="宋体" w:cs="宋体"/>
          <w:szCs w:val="24"/>
          <w:highlight w:val="none"/>
        </w:rPr>
        <w:t>3.若中标，我方将按照招标文件规定履行合同责任和义务。</w:t>
      </w:r>
    </w:p>
    <w:p>
      <w:pPr>
        <w:pStyle w:val="68"/>
        <w:spacing w:after="120" w:line="312" w:lineRule="auto"/>
        <w:ind w:firstLine="480"/>
        <w:rPr>
          <w:rFonts w:ascii="宋体" w:hAnsi="宋体" w:cs="宋体"/>
          <w:szCs w:val="24"/>
          <w:highlight w:val="none"/>
        </w:rPr>
      </w:pPr>
      <w:r>
        <w:rPr>
          <w:rFonts w:hint="eastAsia" w:ascii="宋体" w:hAnsi="宋体" w:cs="宋体"/>
          <w:szCs w:val="24"/>
          <w:highlight w:val="none"/>
        </w:rPr>
        <w:t>4.我方不是采购人的附属机构；在获知本项目采购信息后，与采购人聘请的为此项目提供咨询服务的公司及其附属机构没有任何联系。</w:t>
      </w:r>
    </w:p>
    <w:p>
      <w:pPr>
        <w:pStyle w:val="68"/>
        <w:spacing w:after="120" w:line="312" w:lineRule="auto"/>
        <w:ind w:firstLine="480"/>
        <w:rPr>
          <w:rFonts w:ascii="宋体" w:hAnsi="宋体" w:cs="宋体"/>
          <w:szCs w:val="24"/>
          <w:highlight w:val="none"/>
        </w:rPr>
      </w:pPr>
      <w:r>
        <w:rPr>
          <w:rFonts w:hint="eastAsia" w:ascii="宋体" w:hAnsi="宋体" w:cs="宋体"/>
          <w:szCs w:val="24"/>
          <w:highlight w:val="none"/>
        </w:rPr>
        <w:t>5.本投标自开标之日（投标截止之日）起90天内有效。</w:t>
      </w:r>
    </w:p>
    <w:p>
      <w:pPr>
        <w:snapToGrid w:val="0"/>
        <w:spacing w:line="312" w:lineRule="auto"/>
        <w:ind w:firstLine="480" w:firstLineChars="200"/>
        <w:rPr>
          <w:rFonts w:ascii="宋体" w:hAnsi="宋体" w:cs="宋体"/>
          <w:sz w:val="24"/>
          <w:highlight w:val="none"/>
        </w:rPr>
      </w:pPr>
      <w:r>
        <w:rPr>
          <w:rFonts w:hint="eastAsia" w:ascii="宋体" w:hAnsi="宋体" w:cs="宋体"/>
          <w:sz w:val="24"/>
          <w:highlight w:val="none"/>
        </w:rPr>
        <w:t>6.以上事项如有虚假或隐瞒，我方愿意承担一切后果，并不再寻求任何旨在减轻或免除法律责任的辩解。</w:t>
      </w:r>
    </w:p>
    <w:p>
      <w:pPr>
        <w:pStyle w:val="68"/>
        <w:spacing w:after="120" w:line="312" w:lineRule="auto"/>
        <w:ind w:firstLine="480"/>
        <w:rPr>
          <w:rFonts w:ascii="宋体" w:hAnsi="宋体" w:cs="宋体"/>
          <w:szCs w:val="24"/>
          <w:highlight w:val="none"/>
        </w:rPr>
      </w:pPr>
    </w:p>
    <w:p>
      <w:pPr>
        <w:pStyle w:val="68"/>
        <w:spacing w:after="120" w:line="312" w:lineRule="auto"/>
        <w:ind w:firstLine="480"/>
        <w:rPr>
          <w:rFonts w:ascii="宋体" w:hAnsi="宋体" w:cs="宋体"/>
          <w:szCs w:val="24"/>
          <w:highlight w:val="none"/>
        </w:rPr>
      </w:pPr>
    </w:p>
    <w:p>
      <w:pPr>
        <w:pStyle w:val="68"/>
        <w:spacing w:after="120" w:line="312" w:lineRule="auto"/>
        <w:ind w:firstLine="480"/>
        <w:rPr>
          <w:rFonts w:ascii="宋体" w:hAnsi="宋体" w:cs="宋体"/>
          <w:szCs w:val="24"/>
          <w:highlight w:val="none"/>
        </w:rPr>
      </w:pP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投标人(电子签章)：</w:t>
      </w:r>
    </w:p>
    <w:p>
      <w:pPr>
        <w:snapToGrid w:val="0"/>
        <w:spacing w:line="312" w:lineRule="auto"/>
        <w:ind w:firstLine="480" w:firstLineChars="200"/>
        <w:jc w:val="right"/>
        <w:rPr>
          <w:rFonts w:ascii="宋体" w:hAnsi="宋体" w:cs="宋体"/>
          <w:sz w:val="24"/>
          <w:highlight w:val="none"/>
        </w:rPr>
      </w:pPr>
      <w:r>
        <w:rPr>
          <w:rFonts w:hint="eastAsia" w:ascii="宋体" w:hAnsi="宋体" w:cs="宋体"/>
          <w:sz w:val="24"/>
          <w:highlight w:val="none"/>
        </w:rPr>
        <w:t>　　　　　　　　　</w:t>
      </w: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wordWrap w:val="0"/>
        <w:snapToGrid w:val="0"/>
        <w:spacing w:line="312" w:lineRule="auto"/>
        <w:ind w:firstLine="480" w:firstLineChars="200"/>
        <w:jc w:val="center"/>
        <w:rPr>
          <w:rFonts w:ascii="宋体" w:hAnsi="宋体" w:cs="宋体"/>
          <w:b/>
          <w:kern w:val="0"/>
          <w:sz w:val="32"/>
          <w:szCs w:val="32"/>
          <w:highlight w:val="none"/>
        </w:rPr>
      </w:pPr>
      <w:r>
        <w:rPr>
          <w:rFonts w:hint="eastAsia" w:ascii="宋体" w:hAnsi="宋体" w:cs="宋体"/>
          <w:sz w:val="24"/>
          <w:highlight w:val="none"/>
        </w:rPr>
        <w:t xml:space="preserve">            </w:t>
      </w:r>
    </w:p>
    <w:p>
      <w:pPr>
        <w:pageBreakBefore/>
        <w:spacing w:line="800" w:lineRule="exact"/>
        <w:jc w:val="center"/>
        <w:rPr>
          <w:rFonts w:ascii="宋体" w:hAnsi="宋体" w:cs="宋体"/>
          <w:b/>
          <w:sz w:val="30"/>
          <w:szCs w:val="30"/>
          <w:highlight w:val="none"/>
        </w:rPr>
      </w:pPr>
      <w:r>
        <w:rPr>
          <w:rFonts w:hint="eastAsia" w:ascii="宋体" w:hAnsi="宋体" w:cs="宋体"/>
          <w:b/>
          <w:sz w:val="30"/>
          <w:szCs w:val="30"/>
          <w:highlight w:val="none"/>
          <w:lang w:eastAsia="zh-CN"/>
        </w:rPr>
        <w:t>三</w:t>
      </w:r>
      <w:r>
        <w:rPr>
          <w:rFonts w:hint="eastAsia" w:ascii="宋体" w:hAnsi="宋体" w:cs="宋体"/>
          <w:b/>
          <w:sz w:val="30"/>
          <w:szCs w:val="30"/>
          <w:highlight w:val="none"/>
        </w:rPr>
        <w:t xml:space="preserve">、法定代表人授权委托书（格式） </w:t>
      </w:r>
    </w:p>
    <w:p>
      <w:pPr>
        <w:jc w:val="center"/>
        <w:rPr>
          <w:rFonts w:ascii="宋体" w:hAnsi="宋体" w:cs="宋体"/>
          <w:b/>
          <w:sz w:val="24"/>
          <w:highlight w:val="none"/>
        </w:rPr>
      </w:pPr>
    </w:p>
    <w:p>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本授权委托书声明：我</w:t>
      </w:r>
      <w:r>
        <w:rPr>
          <w:rFonts w:hint="eastAsia" w:ascii="宋体" w:hAnsi="宋体" w:cs="宋体"/>
          <w:sz w:val="24"/>
          <w:highlight w:val="none"/>
          <w:u w:val="single"/>
        </w:rPr>
        <w:t xml:space="preserve">         (填写姓名)</w:t>
      </w:r>
      <w:r>
        <w:rPr>
          <w:rFonts w:hint="eastAsia" w:ascii="宋体" w:hAnsi="宋体" w:cs="宋体"/>
          <w:sz w:val="24"/>
          <w:highlight w:val="none"/>
        </w:rPr>
        <w:t>系</w:t>
      </w:r>
      <w:r>
        <w:rPr>
          <w:rFonts w:hint="eastAsia" w:ascii="宋体" w:hAnsi="宋体" w:cs="宋体"/>
          <w:sz w:val="24"/>
          <w:highlight w:val="none"/>
          <w:u w:val="single"/>
        </w:rPr>
        <w:t xml:space="preserve">                   （填写投标人单位全称）</w:t>
      </w:r>
      <w:r>
        <w:rPr>
          <w:rFonts w:hint="eastAsia" w:ascii="宋体" w:hAnsi="宋体" w:cs="宋体"/>
          <w:sz w:val="24"/>
          <w:highlight w:val="none"/>
        </w:rPr>
        <w:t>的法定代表人，现授权委托</w:t>
      </w:r>
      <w:r>
        <w:rPr>
          <w:rFonts w:hint="eastAsia" w:ascii="宋体" w:hAnsi="宋体" w:cs="宋体"/>
          <w:sz w:val="24"/>
          <w:highlight w:val="none"/>
          <w:u w:val="single"/>
        </w:rPr>
        <w:t xml:space="preserve">                  （填写单位全称）</w:t>
      </w:r>
      <w:r>
        <w:rPr>
          <w:rFonts w:hint="eastAsia" w:ascii="宋体" w:hAnsi="宋体" w:cs="宋体"/>
          <w:sz w:val="24"/>
          <w:highlight w:val="none"/>
        </w:rPr>
        <w:t>的（填写姓名）为我公司授权代表，</w:t>
      </w:r>
      <w:r>
        <w:rPr>
          <w:rFonts w:hint="eastAsia" w:ascii="宋体" w:hAnsi="宋体" w:cs="宋体"/>
          <w:sz w:val="24"/>
          <w:highlight w:val="none"/>
          <w:u w:val="single"/>
        </w:rPr>
        <w:t>（填写身份证号码：                       ）</w:t>
      </w:r>
      <w:r>
        <w:rPr>
          <w:rFonts w:hint="eastAsia" w:ascii="宋体" w:hAnsi="宋体" w:cs="宋体"/>
          <w:sz w:val="24"/>
          <w:highlight w:val="none"/>
        </w:rPr>
        <w:t>。以本公司的名义参加</w:t>
      </w:r>
      <w:r>
        <w:rPr>
          <w:rFonts w:hint="eastAsia" w:ascii="宋体" w:hAnsi="宋体" w:cs="宋体"/>
          <w:sz w:val="24"/>
          <w:highlight w:val="none"/>
          <w:u w:val="single"/>
        </w:rPr>
        <w:t xml:space="preserve">               </w:t>
      </w:r>
      <w:r>
        <w:rPr>
          <w:rFonts w:hint="eastAsia" w:ascii="宋体" w:hAnsi="宋体" w:cs="宋体"/>
          <w:sz w:val="24"/>
          <w:highlight w:val="none"/>
        </w:rPr>
        <w:t>组织的</w:t>
      </w:r>
      <w:r>
        <w:rPr>
          <w:rFonts w:hint="eastAsia" w:ascii="宋体" w:hAnsi="宋体" w:cs="宋体"/>
          <w:sz w:val="24"/>
          <w:highlight w:val="none"/>
          <w:u w:val="single"/>
        </w:rPr>
        <w:t xml:space="preserve">                     </w:t>
      </w:r>
      <w:r>
        <w:rPr>
          <w:rFonts w:hint="eastAsia" w:ascii="宋体" w:hAnsi="宋体" w:cs="宋体"/>
          <w:sz w:val="24"/>
          <w:highlight w:val="none"/>
        </w:rPr>
        <w:t>投标活动。授权代表在开标、评标、合同谈判过程中所签署的一切文件和处理与之有关的一切事务，我均予以承认。</w:t>
      </w:r>
    </w:p>
    <w:p>
      <w:pPr>
        <w:snapToGrid w:val="0"/>
        <w:spacing w:line="560" w:lineRule="exact"/>
        <w:ind w:firstLine="480" w:firstLineChars="200"/>
        <w:jc w:val="left"/>
        <w:rPr>
          <w:rFonts w:ascii="宋体" w:hAnsi="宋体" w:cs="宋体"/>
          <w:sz w:val="24"/>
          <w:highlight w:val="none"/>
        </w:rPr>
      </w:pPr>
      <w:r>
        <w:rPr>
          <w:rFonts w:hint="eastAsia" w:ascii="宋体" w:hAnsi="宋体" w:cs="宋体"/>
          <w:sz w:val="24"/>
          <w:highlight w:val="none"/>
        </w:rPr>
        <w:t>在撤销授权的书面通知以前，本授权书一直有效。全权代表在授权书有效期内签署的所有文件不因授权的撤销而失效。</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授权代表无转委托权。特此委托。</w:t>
      </w:r>
    </w:p>
    <w:p>
      <w:pPr>
        <w:snapToGrid w:val="0"/>
        <w:spacing w:line="600" w:lineRule="exact"/>
        <w:jc w:val="left"/>
        <w:rPr>
          <w:rFonts w:ascii="宋体" w:hAnsi="宋体" w:cs="宋体"/>
          <w:sz w:val="24"/>
          <w:highlight w:val="none"/>
        </w:rPr>
      </w:pPr>
    </w:p>
    <w:p>
      <w:pPr>
        <w:spacing w:line="360" w:lineRule="exact"/>
        <w:rPr>
          <w:rFonts w:ascii="宋体" w:hAnsi="宋体" w:cs="宋体"/>
          <w:sz w:val="24"/>
          <w:highlight w:val="none"/>
        </w:rPr>
      </w:pPr>
      <w:r>
        <w:rPr>
          <w:rFonts w:hint="eastAsia" w:ascii="宋体" w:hAnsi="宋体" w:cs="宋体"/>
          <w:sz w:val="24"/>
          <w:highlight w:val="none"/>
        </w:rPr>
        <w:t>授权代表姓名：              性别：               年龄：</w:t>
      </w:r>
    </w:p>
    <w:p>
      <w:pPr>
        <w:spacing w:line="360" w:lineRule="exact"/>
        <w:rPr>
          <w:rFonts w:ascii="宋体" w:hAnsi="宋体" w:cs="宋体"/>
          <w:sz w:val="24"/>
          <w:highlight w:val="none"/>
        </w:rPr>
      </w:pPr>
    </w:p>
    <w:p>
      <w:pPr>
        <w:spacing w:line="360" w:lineRule="exact"/>
        <w:rPr>
          <w:rFonts w:ascii="宋体" w:hAnsi="宋体" w:cs="宋体"/>
          <w:sz w:val="24"/>
          <w:highlight w:val="none"/>
        </w:rPr>
      </w:pPr>
      <w:r>
        <w:rPr>
          <w:rFonts w:hint="eastAsia" w:ascii="宋体" w:hAnsi="宋体" w:cs="宋体"/>
          <w:sz w:val="24"/>
          <w:highlight w:val="none"/>
        </w:rPr>
        <w:t>单位：                      部门：               职务：</w:t>
      </w:r>
    </w:p>
    <w:p>
      <w:pPr>
        <w:spacing w:line="360" w:lineRule="exact"/>
        <w:rPr>
          <w:rFonts w:ascii="宋体" w:hAnsi="宋体" w:cs="宋体"/>
          <w:sz w:val="24"/>
          <w:highlight w:val="none"/>
        </w:rPr>
      </w:pPr>
    </w:p>
    <w:p>
      <w:pPr>
        <w:widowControl/>
        <w:snapToGrid w:val="0"/>
        <w:spacing w:line="440" w:lineRule="exact"/>
        <w:rPr>
          <w:rFonts w:ascii="宋体" w:hAnsi="宋体" w:cs="宋体"/>
          <w:sz w:val="24"/>
          <w:highlight w:val="none"/>
        </w:rPr>
      </w:pPr>
      <w:r>
        <w:rPr>
          <w:rFonts w:hint="eastAsia" w:ascii="宋体" w:hAnsi="宋体" w:cs="宋体"/>
          <w:kern w:val="0"/>
          <w:sz w:val="24"/>
          <w:highlight w:val="none"/>
        </w:rPr>
        <w:t>办公地址：                  联系电话：           传真：</w:t>
      </w:r>
    </w:p>
    <w:p>
      <w:pPr>
        <w:spacing w:line="360" w:lineRule="exact"/>
        <w:rPr>
          <w:rFonts w:ascii="宋体" w:hAnsi="宋体" w:cs="宋体"/>
          <w:sz w:val="24"/>
          <w:highlight w:val="none"/>
        </w:rPr>
      </w:pPr>
    </w:p>
    <w:p>
      <w:pPr>
        <w:spacing w:line="360" w:lineRule="exact"/>
        <w:rPr>
          <w:rFonts w:ascii="宋体" w:hAnsi="宋体" w:cs="宋体"/>
          <w:sz w:val="24"/>
          <w:highlight w:val="none"/>
        </w:rPr>
      </w:pP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投标人(电子签章)：</w:t>
      </w:r>
    </w:p>
    <w:p>
      <w:pPr>
        <w:spacing w:line="360" w:lineRule="exact"/>
        <w:rPr>
          <w:rFonts w:ascii="宋体" w:hAnsi="宋体" w:cs="宋体"/>
          <w:sz w:val="24"/>
          <w:highlight w:val="none"/>
        </w:rPr>
      </w:pPr>
    </w:p>
    <w:p>
      <w:pPr>
        <w:spacing w:line="360" w:lineRule="exact"/>
        <w:rPr>
          <w:rFonts w:ascii="宋体" w:hAnsi="宋体" w:cs="宋体"/>
          <w:sz w:val="24"/>
          <w:highlight w:val="none"/>
        </w:rPr>
      </w:pPr>
    </w:p>
    <w:p>
      <w:pPr>
        <w:spacing w:line="360" w:lineRule="exact"/>
        <w:rPr>
          <w:rFonts w:ascii="宋体" w:hAnsi="宋体" w:cs="宋体"/>
          <w:sz w:val="24"/>
          <w:highlight w:val="none"/>
        </w:rPr>
      </w:pPr>
      <w:r>
        <w:rPr>
          <w:rFonts w:hint="eastAsia" w:ascii="宋体" w:hAnsi="宋体" w:cs="宋体"/>
          <w:sz w:val="24"/>
          <w:highlight w:val="none"/>
        </w:rPr>
        <w:t>法定代表人（签字或盖章）：</w:t>
      </w:r>
    </w:p>
    <w:p>
      <w:pPr>
        <w:spacing w:line="360" w:lineRule="exact"/>
        <w:rPr>
          <w:rFonts w:ascii="宋体" w:hAnsi="宋体" w:cs="宋体"/>
          <w:sz w:val="24"/>
          <w:highlight w:val="none"/>
        </w:rPr>
      </w:pPr>
    </w:p>
    <w:p>
      <w:pPr>
        <w:spacing w:line="360" w:lineRule="exact"/>
        <w:rPr>
          <w:rFonts w:ascii="宋体" w:hAnsi="宋体" w:cs="宋体"/>
          <w:sz w:val="24"/>
          <w:highlight w:val="none"/>
        </w:rPr>
      </w:pP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jc w:val="left"/>
        <w:rPr>
          <w:rFonts w:ascii="仿宋" w:hAnsi="仿宋" w:eastAsia="仿宋" w:cs="仿宋"/>
          <w:sz w:val="24"/>
          <w:highlight w:val="none"/>
        </w:rPr>
      </w:pPr>
      <w:r>
        <w:rPr>
          <w:rFonts w:hint="eastAsia" w:ascii="宋体" w:hAnsi="宋体" w:cs="宋体"/>
          <w:sz w:val="24"/>
          <w:highlight w:val="none"/>
        </w:rPr>
        <w:t xml:space="preserve"> </w:t>
      </w:r>
    </w:p>
    <w:p>
      <w:pPr>
        <w:jc w:val="left"/>
        <w:rPr>
          <w:rFonts w:ascii="宋体" w:hAnsi="宋体" w:cs="宋体"/>
          <w:sz w:val="24"/>
          <w:highlight w:val="none"/>
        </w:rPr>
      </w:pPr>
    </w:p>
    <w:p>
      <w:pPr>
        <w:jc w:val="left"/>
        <w:rPr>
          <w:rFonts w:ascii="宋体" w:hAnsi="宋体" w:cs="宋体"/>
          <w:sz w:val="24"/>
          <w:highlight w:val="none"/>
        </w:rPr>
      </w:pPr>
    </w:p>
    <w:p>
      <w:pPr>
        <w:jc w:val="left"/>
        <w:rPr>
          <w:rFonts w:ascii="宋体" w:hAnsi="宋体" w:cs="宋体"/>
          <w:sz w:val="24"/>
          <w:highlight w:val="none"/>
        </w:rPr>
      </w:pPr>
    </w:p>
    <w:p>
      <w:pPr>
        <w:jc w:val="left"/>
        <w:rPr>
          <w:rFonts w:ascii="宋体" w:hAnsi="宋体" w:cs="宋体"/>
          <w:sz w:val="24"/>
          <w:highlight w:val="none"/>
        </w:rPr>
      </w:pPr>
    </w:p>
    <w:p>
      <w:pPr>
        <w:jc w:val="left"/>
        <w:rPr>
          <w:rFonts w:ascii="宋体" w:hAnsi="宋体" w:cs="宋体"/>
          <w:sz w:val="24"/>
          <w:highlight w:val="none"/>
        </w:rPr>
      </w:pPr>
    </w:p>
    <w:p>
      <w:pPr>
        <w:jc w:val="left"/>
        <w:rPr>
          <w:rFonts w:ascii="宋体" w:hAnsi="宋体" w:cs="宋体"/>
          <w:sz w:val="24"/>
          <w:highlight w:val="none"/>
        </w:rPr>
      </w:pPr>
    </w:p>
    <w:p>
      <w:pPr>
        <w:jc w:val="left"/>
        <w:rPr>
          <w:rFonts w:ascii="宋体" w:hAnsi="宋体" w:cs="宋体"/>
          <w:sz w:val="24"/>
          <w:highlight w:val="none"/>
        </w:rPr>
      </w:pPr>
    </w:p>
    <w:p>
      <w:pPr>
        <w:spacing w:line="800" w:lineRule="exact"/>
        <w:jc w:val="center"/>
        <w:rPr>
          <w:rFonts w:ascii="宋体" w:hAnsi="宋体" w:cs="宋体"/>
          <w:b/>
          <w:sz w:val="30"/>
          <w:szCs w:val="30"/>
          <w:highlight w:val="none"/>
        </w:rPr>
      </w:pPr>
      <w:r>
        <w:rPr>
          <w:rFonts w:hint="eastAsia" w:ascii="宋体" w:hAnsi="宋体" w:cs="宋体"/>
          <w:b/>
          <w:sz w:val="30"/>
          <w:szCs w:val="30"/>
          <w:highlight w:val="none"/>
          <w:lang w:eastAsia="zh-CN"/>
        </w:rPr>
        <w:t>四</w:t>
      </w:r>
      <w:r>
        <w:rPr>
          <w:rFonts w:hint="eastAsia" w:ascii="宋体" w:hAnsi="宋体" w:cs="宋体"/>
          <w:b/>
          <w:sz w:val="30"/>
          <w:szCs w:val="30"/>
          <w:highlight w:val="none"/>
        </w:rPr>
        <w:t>、法定代表人及其授权代表身份证复印件（正反面）</w:t>
      </w:r>
    </w:p>
    <w:p>
      <w:pPr>
        <w:spacing w:line="500" w:lineRule="exact"/>
        <w:jc w:val="center"/>
        <w:rPr>
          <w:rFonts w:ascii="宋体" w:hAnsi="宋体" w:cs="宋体"/>
          <w:b/>
          <w:bCs/>
          <w:kern w:val="0"/>
          <w:sz w:val="30"/>
          <w:szCs w:val="30"/>
          <w:highlight w:val="none"/>
        </w:rPr>
      </w:pPr>
      <w:r>
        <w:rPr>
          <w:rFonts w:hint="eastAsia" w:ascii="宋体" w:hAnsi="宋体" w:cs="宋体"/>
          <w:b/>
          <w:bCs/>
          <w:kern w:val="0"/>
          <w:sz w:val="30"/>
          <w:szCs w:val="30"/>
          <w:highlight w:val="none"/>
        </w:rPr>
        <w:t xml:space="preserve"> </w:t>
      </w:r>
    </w:p>
    <w:p>
      <w:pPr>
        <w:spacing w:line="800" w:lineRule="exact"/>
        <w:jc w:val="center"/>
        <w:rPr>
          <w:rFonts w:ascii="宋体" w:hAnsi="宋体" w:cs="宋体"/>
          <w:b/>
          <w:sz w:val="30"/>
          <w:szCs w:val="30"/>
          <w:highlight w:val="none"/>
        </w:rPr>
      </w:pPr>
    </w:p>
    <w:p>
      <w:pPr>
        <w:numPr>
          <w:ilvl w:val="0"/>
          <w:numId w:val="0"/>
        </w:numPr>
        <w:spacing w:line="800" w:lineRule="exact"/>
        <w:jc w:val="center"/>
        <w:rPr>
          <w:rFonts w:hint="eastAsia" w:ascii="宋体" w:hAnsi="宋体" w:cs="宋体"/>
          <w:b/>
          <w:sz w:val="30"/>
          <w:szCs w:val="30"/>
          <w:highlight w:val="none"/>
        </w:rPr>
      </w:pPr>
      <w:r>
        <w:rPr>
          <w:rFonts w:hint="eastAsia" w:ascii="宋体" w:hAnsi="宋体" w:cs="宋体"/>
          <w:b/>
          <w:sz w:val="30"/>
          <w:szCs w:val="30"/>
          <w:highlight w:val="none"/>
          <w:lang w:eastAsia="zh-CN"/>
        </w:rPr>
        <w:t>五、</w:t>
      </w:r>
      <w:r>
        <w:rPr>
          <w:rFonts w:hint="eastAsia" w:ascii="宋体" w:hAnsi="宋体" w:cs="宋体"/>
          <w:b/>
          <w:sz w:val="30"/>
          <w:szCs w:val="30"/>
          <w:highlight w:val="none"/>
        </w:rPr>
        <w:t>法定代表人身份证明书(格式)</w:t>
      </w:r>
    </w:p>
    <w:p>
      <w:pPr>
        <w:pStyle w:val="3"/>
        <w:numPr>
          <w:ilvl w:val="0"/>
          <w:numId w:val="0"/>
        </w:numPr>
        <w:ind w:leftChars="0"/>
      </w:pPr>
    </w:p>
    <w:p>
      <w:pPr>
        <w:spacing w:line="440" w:lineRule="exact"/>
        <w:rPr>
          <w:rFonts w:ascii="宋体" w:hAnsi="宋体" w:cs="宋体"/>
          <w:sz w:val="24"/>
          <w:highlight w:val="none"/>
        </w:rPr>
      </w:pPr>
      <w:r>
        <w:rPr>
          <w:rFonts w:hint="eastAsia" w:ascii="宋体" w:hAnsi="宋体" w:cs="宋体"/>
          <w:sz w:val="24"/>
          <w:highlight w:val="none"/>
        </w:rPr>
        <w:t>投 标 单 位：</w:t>
      </w:r>
      <w:r>
        <w:rPr>
          <w:rFonts w:hint="eastAsia" w:ascii="宋体" w:hAnsi="宋体" w:cs="宋体"/>
          <w:sz w:val="24"/>
          <w:highlight w:val="none"/>
          <w:u w:val="single"/>
        </w:rPr>
        <w:t xml:space="preserve">                          </w:t>
      </w:r>
    </w:p>
    <w:p>
      <w:pPr>
        <w:spacing w:line="440" w:lineRule="exact"/>
        <w:rPr>
          <w:rFonts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 xml:space="preserve">                          </w:t>
      </w:r>
    </w:p>
    <w:p>
      <w:pPr>
        <w:spacing w:line="440" w:lineRule="exact"/>
        <w:ind w:right="281" w:rightChars="134"/>
        <w:rPr>
          <w:rFonts w:ascii="宋体" w:hAnsi="宋体" w:cs="宋体"/>
          <w:sz w:val="24"/>
          <w:highlight w:val="none"/>
          <w:u w:val="single"/>
        </w:rPr>
      </w:pPr>
      <w:r>
        <w:rPr>
          <w:rFonts w:hint="eastAsia" w:ascii="宋体" w:hAnsi="宋体" w:cs="宋体"/>
          <w:sz w:val="24"/>
          <w:highlight w:val="none"/>
        </w:rPr>
        <w:t>姓    名：</w:t>
      </w:r>
      <w:r>
        <w:rPr>
          <w:rFonts w:hint="eastAsia" w:ascii="宋体" w:hAnsi="宋体" w:cs="宋体"/>
          <w:sz w:val="24"/>
          <w:highlight w:val="none"/>
          <w:u w:val="single"/>
        </w:rPr>
        <w:t xml:space="preserve">                          </w:t>
      </w:r>
    </w:p>
    <w:p>
      <w:pPr>
        <w:spacing w:line="440" w:lineRule="exact"/>
        <w:ind w:right="281" w:rightChars="134"/>
        <w:rPr>
          <w:rFonts w:ascii="宋体" w:hAnsi="宋体" w:cs="宋体"/>
          <w:sz w:val="24"/>
          <w:highlight w:val="none"/>
          <w:u w:val="singl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pPr>
        <w:spacing w:line="440" w:lineRule="exact"/>
        <w:ind w:right="281" w:rightChars="134"/>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p>
    <w:p>
      <w:pPr>
        <w:spacing w:line="440" w:lineRule="exact"/>
        <w:rPr>
          <w:rFonts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 xml:space="preserve">                           （填写投标人名称）</w:t>
      </w:r>
      <w:r>
        <w:rPr>
          <w:rFonts w:hint="eastAsia" w:ascii="宋体" w:hAnsi="宋体" w:cs="宋体"/>
          <w:sz w:val="24"/>
          <w:highlight w:val="none"/>
        </w:rPr>
        <w:t>的法定代表人。</w:t>
      </w:r>
    </w:p>
    <w:p>
      <w:pPr>
        <w:spacing w:line="440" w:lineRule="exact"/>
        <w:rPr>
          <w:rFonts w:ascii="宋体" w:hAnsi="宋体" w:cs="宋体"/>
          <w:sz w:val="24"/>
          <w:highlight w:val="none"/>
        </w:rPr>
      </w:pPr>
      <w:r>
        <w:rPr>
          <w:rFonts w:hint="eastAsia" w:ascii="宋体" w:hAnsi="宋体" w:cs="宋体"/>
          <w:sz w:val="24"/>
          <w:highlight w:val="none"/>
        </w:rPr>
        <w:t>特此证明。</w:t>
      </w:r>
    </w:p>
    <w:p>
      <w:pPr>
        <w:spacing w:line="440" w:lineRule="exact"/>
        <w:rPr>
          <w:rFonts w:ascii="宋体" w:hAnsi="宋体" w:cs="宋体"/>
          <w:sz w:val="24"/>
          <w:highlight w:val="none"/>
        </w:rPr>
      </w:pP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投标人(电子签章)：</w:t>
      </w:r>
    </w:p>
    <w:p>
      <w:pPr>
        <w:spacing w:line="440" w:lineRule="exact"/>
        <w:ind w:right="480"/>
        <w:rPr>
          <w:rFonts w:ascii="宋体" w:hAnsi="宋体" w:cs="宋体"/>
          <w:sz w:val="24"/>
          <w:highlight w:val="none"/>
        </w:rPr>
      </w:pP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pacing w:line="440" w:lineRule="exact"/>
        <w:ind w:right="720"/>
        <w:jc w:val="center"/>
        <w:rPr>
          <w:rFonts w:ascii="宋体" w:hAnsi="宋体" w:cs="宋体"/>
          <w:sz w:val="24"/>
          <w:highlight w:val="none"/>
        </w:rPr>
      </w:pPr>
    </w:p>
    <w:p>
      <w:pPr>
        <w:spacing w:beforeLines="50" w:afterLines="50" w:line="440" w:lineRule="exact"/>
        <w:rPr>
          <w:rFonts w:ascii="宋体" w:hAnsi="宋体" w:cs="宋体"/>
          <w:b/>
          <w:bCs/>
          <w:sz w:val="24"/>
          <w:highlight w:val="none"/>
        </w:rPr>
      </w:pPr>
      <w:r>
        <w:rPr>
          <w:rFonts w:hint="eastAsia" w:ascii="宋体" w:hAnsi="宋体" w:cs="宋体"/>
          <w:b/>
          <w:bCs/>
          <w:sz w:val="24"/>
          <w:highlight w:val="none"/>
        </w:rPr>
        <w:t xml:space="preserve"> </w:t>
      </w:r>
    </w:p>
    <w:p>
      <w:pPr>
        <w:spacing w:beforeLines="50" w:afterLines="50" w:line="440" w:lineRule="exact"/>
        <w:jc w:val="center"/>
        <w:rPr>
          <w:rFonts w:ascii="宋体" w:hAnsi="宋体" w:cs="宋体"/>
          <w:b/>
          <w:bCs/>
          <w:sz w:val="24"/>
          <w:highlight w:val="none"/>
        </w:rPr>
      </w:pPr>
      <w:r>
        <w:rPr>
          <w:rFonts w:hint="eastAsia" w:ascii="宋体" w:hAnsi="宋体" w:cs="宋体"/>
          <w:b/>
          <w:bCs/>
          <w:sz w:val="24"/>
          <w:highlight w:val="none"/>
        </w:rPr>
        <w:t xml:space="preserve"> </w:t>
      </w:r>
    </w:p>
    <w:p>
      <w:pPr>
        <w:jc w:val="center"/>
        <w:rPr>
          <w:rFonts w:ascii="宋体" w:hAnsi="宋体" w:cs="宋体"/>
          <w:b/>
          <w:sz w:val="30"/>
          <w:szCs w:val="30"/>
          <w:highlight w:val="none"/>
          <w:lang w:val="zh-CN"/>
        </w:rPr>
      </w:pPr>
      <w:r>
        <w:rPr>
          <w:rFonts w:hint="eastAsia" w:ascii="宋体" w:hAnsi="宋体" w:cs="宋体"/>
          <w:b/>
          <w:bCs/>
          <w:highlight w:val="none"/>
        </w:rPr>
        <w:br w:type="page"/>
      </w:r>
      <w:bookmarkStart w:id="109" w:name="_Toc452965651"/>
      <w:bookmarkEnd w:id="109"/>
      <w:r>
        <w:rPr>
          <w:rFonts w:hint="eastAsia" w:ascii="宋体" w:hAnsi="宋体" w:cs="宋体"/>
          <w:b/>
          <w:sz w:val="30"/>
          <w:szCs w:val="30"/>
          <w:highlight w:val="none"/>
          <w:lang w:val="zh-CN"/>
        </w:rPr>
        <w:t>六、商务资信响应表</w:t>
      </w:r>
    </w:p>
    <w:p>
      <w:pPr>
        <w:spacing w:line="360" w:lineRule="auto"/>
        <w:ind w:firstLine="480" w:firstLineChars="200"/>
        <w:jc w:val="center"/>
        <w:rPr>
          <w:rFonts w:ascii="宋体" w:hAnsi="宋体" w:cs="宋体"/>
          <w:sz w:val="24"/>
          <w:highlight w:val="none"/>
        </w:rPr>
      </w:pPr>
      <w:r>
        <w:rPr>
          <w:rFonts w:hint="eastAsia" w:ascii="宋体" w:hAnsi="宋体" w:cs="宋体"/>
          <w:sz w:val="24"/>
          <w:highlight w:val="none"/>
        </w:rPr>
        <w:t>（由投标人根据采购需求及采购文件要求编制）</w:t>
      </w:r>
    </w:p>
    <w:tbl>
      <w:tblPr>
        <w:tblStyle w:val="30"/>
        <w:tblpPr w:leftFromText="180" w:rightFromText="180" w:vertAnchor="text" w:horzAnchor="page" w:tblpX="1632" w:tblpY="391"/>
        <w:tblOverlap w:val="never"/>
        <w:tblW w:w="9125"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75"/>
        <w:gridCol w:w="3262"/>
        <w:gridCol w:w="2399"/>
        <w:gridCol w:w="258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42" w:hRule="atLeast"/>
        </w:trPr>
        <w:tc>
          <w:tcPr>
            <w:tcW w:w="875" w:type="dxa"/>
            <w:tcBorders>
              <w:top w:val="single" w:color="auto" w:sz="4" w:space="0"/>
              <w:left w:val="single" w:color="auto" w:sz="4" w:space="0"/>
              <w:bottom w:val="single" w:color="auto" w:sz="4" w:space="0"/>
              <w:right w:val="single" w:color="auto" w:sz="4" w:space="0"/>
            </w:tcBorders>
            <w:vAlign w:val="center"/>
          </w:tcPr>
          <w:p>
            <w:pPr>
              <w:adjustRightInd/>
              <w:snapToGrid w:val="0"/>
              <w:spacing w:line="440" w:lineRule="exact"/>
              <w:jc w:val="center"/>
              <w:rPr>
                <w:rFonts w:ascii="宋体" w:hAnsi="宋体" w:cs="宋体"/>
                <w:b/>
                <w:bCs/>
                <w:szCs w:val="21"/>
                <w:highlight w:val="none"/>
              </w:rPr>
            </w:pPr>
            <w:r>
              <w:rPr>
                <w:rFonts w:hint="eastAsia" w:ascii="宋体" w:hAnsi="宋体" w:cs="宋体"/>
                <w:b/>
                <w:bCs/>
                <w:szCs w:val="21"/>
                <w:highlight w:val="none"/>
              </w:rPr>
              <w:t>序号</w:t>
            </w:r>
          </w:p>
        </w:tc>
        <w:tc>
          <w:tcPr>
            <w:tcW w:w="3262" w:type="dxa"/>
            <w:tcBorders>
              <w:top w:val="single" w:color="auto" w:sz="4" w:space="0"/>
              <w:left w:val="single" w:color="auto" w:sz="4" w:space="0"/>
              <w:bottom w:val="single" w:color="auto" w:sz="4" w:space="0"/>
              <w:right w:val="single" w:color="auto" w:sz="4" w:space="0"/>
            </w:tcBorders>
            <w:vAlign w:val="center"/>
          </w:tcPr>
          <w:p>
            <w:pPr>
              <w:adjustRightInd/>
              <w:snapToGrid w:val="0"/>
              <w:spacing w:line="440" w:lineRule="exact"/>
              <w:jc w:val="center"/>
              <w:rPr>
                <w:rFonts w:ascii="宋体" w:hAnsi="宋体" w:cs="宋体"/>
                <w:b/>
                <w:bCs/>
                <w:szCs w:val="21"/>
                <w:highlight w:val="none"/>
              </w:rPr>
            </w:pPr>
            <w:r>
              <w:rPr>
                <w:rFonts w:hint="eastAsia" w:ascii="宋体" w:hAnsi="宋体" w:cs="宋体"/>
                <w:b/>
                <w:bCs/>
                <w:szCs w:val="21"/>
                <w:highlight w:val="none"/>
              </w:rPr>
              <w:t>采购文件要求</w:t>
            </w:r>
          </w:p>
        </w:tc>
        <w:tc>
          <w:tcPr>
            <w:tcW w:w="2399" w:type="dxa"/>
            <w:tcBorders>
              <w:top w:val="single" w:color="auto" w:sz="4" w:space="0"/>
              <w:left w:val="single" w:color="auto" w:sz="4" w:space="0"/>
              <w:bottom w:val="single" w:color="auto" w:sz="4" w:space="0"/>
              <w:right w:val="single" w:color="auto" w:sz="4" w:space="0"/>
            </w:tcBorders>
            <w:vAlign w:val="center"/>
          </w:tcPr>
          <w:p>
            <w:pPr>
              <w:adjustRightInd/>
              <w:snapToGrid w:val="0"/>
              <w:spacing w:line="440" w:lineRule="exact"/>
              <w:jc w:val="center"/>
              <w:rPr>
                <w:rFonts w:ascii="宋体" w:hAnsi="宋体" w:cs="宋体"/>
                <w:b/>
                <w:bCs/>
                <w:szCs w:val="21"/>
                <w:highlight w:val="none"/>
              </w:rPr>
            </w:pPr>
            <w:r>
              <w:rPr>
                <w:rFonts w:hint="eastAsia" w:ascii="宋体" w:hAnsi="宋体" w:cs="宋体"/>
                <w:b/>
                <w:bCs/>
                <w:szCs w:val="21"/>
                <w:highlight w:val="none"/>
              </w:rPr>
              <w:t>是否响应</w:t>
            </w:r>
          </w:p>
        </w:tc>
        <w:tc>
          <w:tcPr>
            <w:tcW w:w="2589" w:type="dxa"/>
            <w:tcBorders>
              <w:top w:val="single" w:color="auto" w:sz="4" w:space="0"/>
              <w:left w:val="single" w:color="auto" w:sz="4" w:space="0"/>
              <w:bottom w:val="single" w:color="auto" w:sz="4" w:space="0"/>
              <w:right w:val="single" w:color="auto" w:sz="4" w:space="0"/>
            </w:tcBorders>
            <w:vAlign w:val="center"/>
          </w:tcPr>
          <w:p>
            <w:pPr>
              <w:adjustRightInd/>
              <w:snapToGrid w:val="0"/>
              <w:spacing w:line="440" w:lineRule="exact"/>
              <w:jc w:val="center"/>
              <w:rPr>
                <w:rFonts w:ascii="宋体" w:hAnsi="宋体" w:cs="宋体"/>
                <w:b/>
                <w:bCs/>
                <w:szCs w:val="21"/>
                <w:highlight w:val="none"/>
              </w:rPr>
            </w:pPr>
            <w:r>
              <w:rPr>
                <w:rFonts w:hint="eastAsia" w:ascii="宋体" w:hAnsi="宋体" w:cs="宋体"/>
                <w:b/>
                <w:bCs/>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33"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szCs w:val="21"/>
                <w:highlight w:val="none"/>
              </w:rPr>
            </w:pPr>
          </w:p>
        </w:tc>
        <w:tc>
          <w:tcPr>
            <w:tcW w:w="3262"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szCs w:val="21"/>
                <w:highlight w:val="none"/>
              </w:rPr>
            </w:pPr>
          </w:p>
        </w:tc>
        <w:tc>
          <w:tcPr>
            <w:tcW w:w="239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ind w:left="43"/>
              <w:jc w:val="center"/>
              <w:rPr>
                <w:rFonts w:ascii="宋体" w:hAnsi="宋体" w:cs="宋体"/>
                <w:szCs w:val="21"/>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ind w:left="43"/>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00"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szCs w:val="21"/>
                <w:highlight w:val="none"/>
              </w:rPr>
            </w:pPr>
          </w:p>
        </w:tc>
        <w:tc>
          <w:tcPr>
            <w:tcW w:w="3262"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szCs w:val="21"/>
                <w:highlight w:val="none"/>
              </w:rPr>
            </w:pPr>
          </w:p>
        </w:tc>
        <w:tc>
          <w:tcPr>
            <w:tcW w:w="239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szCs w:val="21"/>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08"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szCs w:val="21"/>
                <w:highlight w:val="none"/>
              </w:rPr>
            </w:pPr>
          </w:p>
        </w:tc>
        <w:tc>
          <w:tcPr>
            <w:tcW w:w="3262"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szCs w:val="21"/>
                <w:highlight w:val="none"/>
              </w:rPr>
            </w:pPr>
          </w:p>
        </w:tc>
        <w:tc>
          <w:tcPr>
            <w:tcW w:w="239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szCs w:val="21"/>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08" w:hRule="atLeast"/>
        </w:trPr>
        <w:tc>
          <w:tcPr>
            <w:tcW w:w="875"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szCs w:val="21"/>
                <w:highlight w:val="none"/>
              </w:rPr>
            </w:pPr>
          </w:p>
        </w:tc>
        <w:tc>
          <w:tcPr>
            <w:tcW w:w="3262"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szCs w:val="21"/>
                <w:highlight w:val="none"/>
              </w:rPr>
            </w:pPr>
            <w:r>
              <w:rPr>
                <w:rFonts w:hint="eastAsia" w:ascii="宋体" w:hAnsi="宋体" w:cs="宋体"/>
                <w:szCs w:val="21"/>
                <w:highlight w:val="none"/>
              </w:rPr>
              <w:t>......</w:t>
            </w:r>
          </w:p>
        </w:tc>
        <w:tc>
          <w:tcPr>
            <w:tcW w:w="239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szCs w:val="21"/>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szCs w:val="21"/>
                <w:highlight w:val="none"/>
              </w:rPr>
            </w:pPr>
          </w:p>
        </w:tc>
      </w:tr>
    </w:tbl>
    <w:p>
      <w:pPr>
        <w:snapToGrid w:val="0"/>
        <w:spacing w:line="360" w:lineRule="auto"/>
        <w:ind w:left="5880" w:leftChars="2300" w:hanging="1050" w:hangingChars="500"/>
        <w:rPr>
          <w:rFonts w:ascii="宋体" w:hAnsi="宋体" w:cs="宋体"/>
          <w:kern w:val="0"/>
          <w:sz w:val="24"/>
          <w:highlight w:val="none"/>
        </w:rPr>
      </w:pPr>
      <w:r>
        <w:rPr>
          <w:rFonts w:hint="eastAsia" w:ascii="宋体" w:hAnsi="宋体" w:cs="宋体"/>
          <w:szCs w:val="21"/>
          <w:highlight w:val="none"/>
        </w:rPr>
        <w:t xml:space="preserve">                          </w:t>
      </w:r>
      <w:r>
        <w:rPr>
          <w:rFonts w:hint="eastAsia" w:ascii="宋体" w:hAnsi="宋体" w:cs="仿宋_GB2312"/>
          <w:kern w:val="0"/>
          <w:sz w:val="24"/>
          <w:highlight w:val="none"/>
        </w:rPr>
        <w:t xml:space="preserve">                     </w:t>
      </w:r>
      <w:r>
        <w:rPr>
          <w:rFonts w:hint="eastAsia" w:ascii="宋体" w:hAnsi="宋体" w:cs="宋体"/>
          <w:kern w:val="0"/>
          <w:sz w:val="24"/>
          <w:highlight w:val="none"/>
          <w:lang w:val="zh-CN"/>
        </w:rPr>
        <w:t>投标人(电子签章)：</w:t>
      </w:r>
    </w:p>
    <w:p>
      <w:pPr>
        <w:snapToGrid w:val="0"/>
        <w:spacing w:before="50" w:after="50" w:line="600" w:lineRule="exact"/>
        <w:rPr>
          <w:rFonts w:ascii="宋体" w:hAnsi="宋体" w:cs="仿宋_GB2312"/>
          <w:kern w:val="0"/>
          <w:sz w:val="24"/>
          <w:highlight w:val="none"/>
        </w:rPr>
      </w:pPr>
      <w:r>
        <w:rPr>
          <w:rFonts w:hint="eastAsia" w:ascii="宋体" w:hAnsi="宋体" w:cs="仿宋_GB2312"/>
          <w:kern w:val="0"/>
          <w:sz w:val="24"/>
          <w:highlight w:val="none"/>
        </w:rPr>
        <w:t xml:space="preserve">                      </w:t>
      </w:r>
    </w:p>
    <w:p>
      <w:pPr>
        <w:snapToGrid w:val="0"/>
        <w:spacing w:line="360" w:lineRule="auto"/>
        <w:rPr>
          <w:rFonts w:ascii="宋体" w:hAnsi="宋体" w:cs="宋体"/>
          <w:kern w:val="0"/>
          <w:sz w:val="24"/>
          <w:highlight w:val="none"/>
        </w:rPr>
      </w:pPr>
      <w:r>
        <w:rPr>
          <w:rFonts w:hint="eastAsia" w:ascii="宋体" w:hAnsi="宋体" w:cs="仿宋_GB2312"/>
          <w:kern w:val="0"/>
          <w:sz w:val="24"/>
          <w:highlight w:val="none"/>
        </w:rPr>
        <w:t xml:space="preserve">                                             </w:t>
      </w:r>
      <w:r>
        <w:rPr>
          <w:rFonts w:hint="eastAsia" w:ascii="宋体" w:hAnsi="宋体" w:cs="仿宋_GB2312"/>
          <w:kern w:val="0"/>
          <w:sz w:val="24"/>
          <w:highlight w:val="none"/>
          <w:lang w:val="en-US" w:eastAsia="zh-CN"/>
        </w:rPr>
        <w:t xml:space="preserve">  </w:t>
      </w:r>
      <w:r>
        <w:rPr>
          <w:rFonts w:hint="eastAsia" w:ascii="宋体" w:hAnsi="宋体" w:cs="仿宋_GB2312"/>
          <w:kern w:val="0"/>
          <w:sz w:val="24"/>
          <w:highlight w:val="none"/>
        </w:rPr>
        <w:t xml:space="preserve"> </w:t>
      </w:r>
      <w:r>
        <w:rPr>
          <w:rFonts w:hint="eastAsia" w:ascii="宋体" w:hAnsi="宋体" w:cs="仿宋_GB2312"/>
          <w:kern w:val="0"/>
          <w:sz w:val="24"/>
          <w:highlight w:val="none"/>
          <w:lang w:val="en-US" w:eastAsia="zh-CN"/>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pacing w:line="360" w:lineRule="auto"/>
        <w:rPr>
          <w:rFonts w:ascii="宋体" w:hAnsi="宋体" w:cs="仿宋_GB2312"/>
          <w:b/>
          <w:bCs/>
          <w:sz w:val="24"/>
          <w:highlight w:val="none"/>
        </w:rPr>
      </w:pPr>
      <w:r>
        <w:rPr>
          <w:rFonts w:hint="eastAsia" w:ascii="宋体" w:hAnsi="宋体" w:cs="仿宋_GB2312"/>
          <w:kern w:val="0"/>
          <w:sz w:val="24"/>
          <w:highlight w:val="none"/>
        </w:rPr>
        <w:t xml:space="preserve">  </w:t>
      </w:r>
    </w:p>
    <w:p>
      <w:pPr>
        <w:pStyle w:val="5"/>
        <w:jc w:val="center"/>
        <w:rPr>
          <w:rFonts w:hAnsi="宋体" w:cs="仿宋_GB2312"/>
          <w:b/>
          <w:bCs/>
          <w:sz w:val="30"/>
          <w:szCs w:val="30"/>
          <w:highlight w:val="none"/>
        </w:rPr>
      </w:pPr>
    </w:p>
    <w:p>
      <w:pPr>
        <w:pStyle w:val="5"/>
        <w:jc w:val="center"/>
        <w:rPr>
          <w:rFonts w:hAnsi="宋体" w:cs="仿宋_GB2312"/>
          <w:b/>
          <w:bCs/>
          <w:sz w:val="30"/>
          <w:szCs w:val="30"/>
          <w:highlight w:val="none"/>
        </w:rPr>
      </w:pPr>
    </w:p>
    <w:p>
      <w:pPr>
        <w:pStyle w:val="5"/>
        <w:spacing w:beforeLines="77"/>
        <w:jc w:val="center"/>
        <w:rPr>
          <w:rFonts w:hint="eastAsia" w:hAnsi="宋体"/>
          <w:b/>
          <w:spacing w:val="0"/>
          <w:sz w:val="30"/>
          <w:szCs w:val="30"/>
          <w:highlight w:val="none"/>
        </w:rPr>
      </w:pPr>
    </w:p>
    <w:p>
      <w:pPr>
        <w:pStyle w:val="5"/>
        <w:spacing w:beforeLines="77"/>
        <w:jc w:val="center"/>
        <w:rPr>
          <w:rFonts w:hint="eastAsia" w:hAnsi="宋体"/>
          <w:b/>
          <w:spacing w:val="0"/>
          <w:sz w:val="30"/>
          <w:szCs w:val="30"/>
          <w:highlight w:val="none"/>
        </w:rPr>
      </w:pPr>
    </w:p>
    <w:p>
      <w:pPr>
        <w:pStyle w:val="5"/>
        <w:spacing w:beforeLines="77"/>
        <w:jc w:val="center"/>
        <w:rPr>
          <w:rFonts w:hint="eastAsia" w:hAnsi="宋体"/>
          <w:b/>
          <w:spacing w:val="0"/>
          <w:sz w:val="30"/>
          <w:szCs w:val="30"/>
          <w:highlight w:val="none"/>
        </w:rPr>
      </w:pPr>
    </w:p>
    <w:p>
      <w:pPr>
        <w:pStyle w:val="5"/>
        <w:spacing w:beforeLines="77"/>
        <w:jc w:val="center"/>
        <w:rPr>
          <w:rFonts w:hint="eastAsia" w:hAnsi="宋体"/>
          <w:b/>
          <w:spacing w:val="0"/>
          <w:sz w:val="30"/>
          <w:szCs w:val="30"/>
          <w:highlight w:val="none"/>
        </w:rPr>
      </w:pPr>
    </w:p>
    <w:p>
      <w:pPr>
        <w:pStyle w:val="5"/>
        <w:spacing w:beforeLines="77"/>
        <w:jc w:val="center"/>
        <w:rPr>
          <w:rFonts w:hint="eastAsia" w:hAnsi="宋体"/>
          <w:b/>
          <w:spacing w:val="0"/>
          <w:sz w:val="30"/>
          <w:szCs w:val="30"/>
          <w:highlight w:val="none"/>
        </w:rPr>
      </w:pPr>
    </w:p>
    <w:p>
      <w:pPr>
        <w:pStyle w:val="5"/>
        <w:spacing w:beforeLines="77"/>
        <w:jc w:val="center"/>
        <w:rPr>
          <w:rFonts w:hint="eastAsia" w:hAnsi="宋体"/>
          <w:b/>
          <w:spacing w:val="0"/>
          <w:sz w:val="30"/>
          <w:szCs w:val="30"/>
          <w:highlight w:val="none"/>
        </w:rPr>
      </w:pPr>
    </w:p>
    <w:p>
      <w:pPr>
        <w:pStyle w:val="5"/>
        <w:spacing w:beforeLines="77"/>
        <w:jc w:val="center"/>
        <w:rPr>
          <w:rFonts w:hint="eastAsia" w:hAnsi="宋体"/>
          <w:b/>
          <w:spacing w:val="0"/>
          <w:sz w:val="30"/>
          <w:szCs w:val="30"/>
          <w:highlight w:val="none"/>
        </w:rPr>
      </w:pPr>
    </w:p>
    <w:p>
      <w:pPr>
        <w:pStyle w:val="5"/>
        <w:spacing w:beforeLines="77"/>
        <w:jc w:val="center"/>
        <w:rPr>
          <w:rFonts w:hint="eastAsia" w:hAnsi="宋体"/>
          <w:b/>
          <w:spacing w:val="0"/>
          <w:sz w:val="30"/>
          <w:szCs w:val="30"/>
          <w:highlight w:val="none"/>
        </w:rPr>
      </w:pPr>
    </w:p>
    <w:p>
      <w:pPr>
        <w:pStyle w:val="5"/>
        <w:spacing w:beforeLines="77"/>
        <w:jc w:val="center"/>
        <w:rPr>
          <w:rFonts w:hint="eastAsia" w:hAnsi="宋体"/>
          <w:b/>
          <w:spacing w:val="0"/>
          <w:sz w:val="30"/>
          <w:szCs w:val="30"/>
          <w:highlight w:val="none"/>
        </w:rPr>
      </w:pPr>
    </w:p>
    <w:p>
      <w:pPr>
        <w:pStyle w:val="5"/>
        <w:spacing w:beforeLines="77"/>
        <w:jc w:val="center"/>
        <w:rPr>
          <w:rFonts w:hint="eastAsia" w:hAnsi="宋体"/>
          <w:b/>
          <w:spacing w:val="0"/>
          <w:sz w:val="30"/>
          <w:szCs w:val="30"/>
          <w:highlight w:val="none"/>
        </w:rPr>
      </w:pPr>
    </w:p>
    <w:p>
      <w:pPr>
        <w:pStyle w:val="5"/>
        <w:spacing w:beforeLines="77"/>
        <w:jc w:val="center"/>
        <w:rPr>
          <w:rFonts w:hint="eastAsia" w:hAnsi="宋体"/>
          <w:b/>
          <w:spacing w:val="0"/>
          <w:sz w:val="30"/>
          <w:szCs w:val="30"/>
          <w:highlight w:val="none"/>
        </w:rPr>
      </w:pPr>
    </w:p>
    <w:p>
      <w:pPr>
        <w:pStyle w:val="5"/>
        <w:spacing w:beforeLines="77"/>
        <w:jc w:val="center"/>
        <w:rPr>
          <w:rFonts w:hint="eastAsia" w:hAnsi="宋体"/>
          <w:b/>
          <w:spacing w:val="0"/>
          <w:sz w:val="30"/>
          <w:szCs w:val="30"/>
          <w:highlight w:val="none"/>
        </w:rPr>
      </w:pPr>
    </w:p>
    <w:p>
      <w:pPr>
        <w:pStyle w:val="5"/>
        <w:spacing w:beforeLines="77"/>
        <w:jc w:val="center"/>
        <w:rPr>
          <w:rFonts w:hint="eastAsia" w:hAnsi="宋体"/>
          <w:b/>
          <w:spacing w:val="0"/>
          <w:sz w:val="30"/>
          <w:szCs w:val="30"/>
          <w:highlight w:val="none"/>
        </w:rPr>
      </w:pPr>
    </w:p>
    <w:p>
      <w:pPr>
        <w:pStyle w:val="5"/>
        <w:spacing w:beforeLines="77"/>
        <w:jc w:val="center"/>
        <w:rPr>
          <w:rFonts w:hint="eastAsia" w:hAnsi="宋体"/>
          <w:b/>
          <w:spacing w:val="0"/>
          <w:sz w:val="30"/>
          <w:szCs w:val="30"/>
          <w:highlight w:val="none"/>
        </w:rPr>
      </w:pPr>
    </w:p>
    <w:p>
      <w:pPr>
        <w:pStyle w:val="5"/>
        <w:spacing w:beforeLines="77"/>
        <w:jc w:val="center"/>
        <w:rPr>
          <w:rFonts w:hint="eastAsia" w:hAnsi="宋体"/>
          <w:b/>
          <w:spacing w:val="0"/>
          <w:sz w:val="30"/>
          <w:szCs w:val="30"/>
          <w:highlight w:val="none"/>
        </w:rPr>
      </w:pPr>
    </w:p>
    <w:p>
      <w:pPr>
        <w:pStyle w:val="5"/>
        <w:spacing w:beforeLines="77"/>
        <w:ind w:left="0" w:leftChars="0" w:firstLine="0" w:firstLineChars="0"/>
        <w:jc w:val="both"/>
        <w:rPr>
          <w:rFonts w:hint="eastAsia" w:hAnsi="宋体"/>
          <w:b/>
          <w:spacing w:val="0"/>
          <w:sz w:val="30"/>
          <w:szCs w:val="30"/>
          <w:highlight w:val="none"/>
        </w:rPr>
      </w:pPr>
    </w:p>
    <w:p>
      <w:pPr>
        <w:pStyle w:val="5"/>
        <w:spacing w:beforeLines="77"/>
        <w:ind w:left="0" w:leftChars="0" w:firstLine="0" w:firstLineChars="0"/>
        <w:jc w:val="both"/>
        <w:rPr>
          <w:rFonts w:hint="eastAsia" w:hAnsi="宋体"/>
          <w:b/>
          <w:spacing w:val="0"/>
          <w:sz w:val="30"/>
          <w:szCs w:val="30"/>
          <w:highlight w:val="none"/>
        </w:rPr>
      </w:pPr>
    </w:p>
    <w:p>
      <w:pPr>
        <w:pStyle w:val="5"/>
        <w:spacing w:beforeLines="77"/>
        <w:ind w:left="0" w:leftChars="0" w:firstLine="0" w:firstLineChars="0"/>
        <w:jc w:val="center"/>
        <w:rPr>
          <w:rFonts w:hAnsi="宋体"/>
          <w:b/>
          <w:spacing w:val="0"/>
          <w:sz w:val="30"/>
          <w:szCs w:val="30"/>
          <w:highlight w:val="none"/>
          <w:lang w:val="zh-CN"/>
        </w:rPr>
      </w:pPr>
      <w:r>
        <w:rPr>
          <w:rFonts w:hint="eastAsia" w:hAnsi="宋体"/>
          <w:b/>
          <w:spacing w:val="0"/>
          <w:sz w:val="30"/>
          <w:szCs w:val="30"/>
          <w:highlight w:val="none"/>
          <w:lang w:eastAsia="zh-CN"/>
        </w:rPr>
        <w:t>七</w:t>
      </w:r>
      <w:r>
        <w:rPr>
          <w:rFonts w:hint="eastAsia" w:hAnsi="宋体"/>
          <w:b/>
          <w:spacing w:val="0"/>
          <w:sz w:val="30"/>
          <w:szCs w:val="30"/>
          <w:highlight w:val="none"/>
        </w:rPr>
        <w:t>、技术响应</w:t>
      </w:r>
      <w:r>
        <w:rPr>
          <w:rFonts w:hint="eastAsia" w:hAnsi="宋体"/>
          <w:b/>
          <w:spacing w:val="0"/>
          <w:sz w:val="30"/>
          <w:szCs w:val="30"/>
          <w:highlight w:val="none"/>
          <w:lang w:val="zh-CN"/>
        </w:rPr>
        <w:t>偏离表</w:t>
      </w:r>
    </w:p>
    <w:p>
      <w:pPr>
        <w:spacing w:line="360" w:lineRule="auto"/>
        <w:ind w:firstLine="240" w:firstLineChars="100"/>
        <w:jc w:val="center"/>
        <w:rPr>
          <w:rFonts w:ascii="宋体" w:hAnsi="宋体" w:cs="宋体"/>
          <w:b/>
          <w:bCs/>
          <w:sz w:val="24"/>
          <w:highlight w:val="none"/>
        </w:rPr>
      </w:pPr>
      <w:r>
        <w:rPr>
          <w:rFonts w:hint="eastAsia" w:ascii="宋体" w:hAnsi="宋体" w:cs="宋体"/>
          <w:sz w:val="24"/>
          <w:highlight w:val="none"/>
        </w:rPr>
        <w:t>（由投标人根据采购需求及采购文件要求编制）</w:t>
      </w:r>
    </w:p>
    <w:tbl>
      <w:tblPr>
        <w:tblStyle w:val="30"/>
        <w:tblW w:w="89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274"/>
        <w:gridCol w:w="2388"/>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r>
              <w:rPr>
                <w:rFonts w:hint="eastAsia" w:ascii="宋体" w:hAnsi="宋体" w:cs="宋体"/>
                <w:szCs w:val="21"/>
                <w:highlight w:val="none"/>
              </w:rPr>
              <w:t>序号</w:t>
            </w:r>
          </w:p>
        </w:tc>
        <w:tc>
          <w:tcPr>
            <w:tcW w:w="3274"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r>
              <w:rPr>
                <w:rFonts w:hint="eastAsia" w:ascii="宋体" w:hAnsi="宋体" w:cs="宋体"/>
                <w:szCs w:val="21"/>
                <w:highlight w:val="none"/>
              </w:rPr>
              <w:t>采购文件要求</w:t>
            </w:r>
          </w:p>
        </w:tc>
        <w:tc>
          <w:tcPr>
            <w:tcW w:w="238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r>
              <w:rPr>
                <w:rFonts w:hint="eastAsia" w:ascii="宋体" w:hAnsi="宋体" w:cs="宋体"/>
                <w:szCs w:val="21"/>
                <w:highlight w:val="none"/>
              </w:rPr>
              <w:t>是否响应</w:t>
            </w:r>
          </w:p>
        </w:tc>
        <w:tc>
          <w:tcPr>
            <w:tcW w:w="24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r>
              <w:rPr>
                <w:rFonts w:hint="eastAsia" w:ascii="宋体" w:hAnsi="宋体" w:cs="宋体"/>
                <w:szCs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p>
        </w:tc>
        <w:tc>
          <w:tcPr>
            <w:tcW w:w="3274"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highlight w:val="none"/>
              </w:rPr>
            </w:pPr>
          </w:p>
        </w:tc>
        <w:tc>
          <w:tcPr>
            <w:tcW w:w="238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highlight w:val="none"/>
              </w:rPr>
            </w:pPr>
          </w:p>
        </w:tc>
        <w:tc>
          <w:tcPr>
            <w:tcW w:w="24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p>
        </w:tc>
        <w:tc>
          <w:tcPr>
            <w:tcW w:w="3274"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highlight w:val="none"/>
              </w:rPr>
            </w:pPr>
          </w:p>
        </w:tc>
        <w:tc>
          <w:tcPr>
            <w:tcW w:w="238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highlight w:val="none"/>
              </w:rPr>
            </w:pPr>
          </w:p>
        </w:tc>
        <w:tc>
          <w:tcPr>
            <w:tcW w:w="24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p>
        </w:tc>
        <w:tc>
          <w:tcPr>
            <w:tcW w:w="3274"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highlight w:val="none"/>
              </w:rPr>
            </w:pPr>
          </w:p>
        </w:tc>
        <w:tc>
          <w:tcPr>
            <w:tcW w:w="238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highlight w:val="none"/>
              </w:rPr>
            </w:pPr>
          </w:p>
        </w:tc>
        <w:tc>
          <w:tcPr>
            <w:tcW w:w="24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p>
        </w:tc>
        <w:tc>
          <w:tcPr>
            <w:tcW w:w="3274"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highlight w:val="none"/>
              </w:rPr>
            </w:pPr>
          </w:p>
        </w:tc>
        <w:tc>
          <w:tcPr>
            <w:tcW w:w="238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highlight w:val="none"/>
              </w:rPr>
            </w:pPr>
          </w:p>
        </w:tc>
        <w:tc>
          <w:tcPr>
            <w:tcW w:w="24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p>
        </w:tc>
        <w:tc>
          <w:tcPr>
            <w:tcW w:w="3274"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highlight w:val="none"/>
              </w:rPr>
            </w:pPr>
          </w:p>
        </w:tc>
        <w:tc>
          <w:tcPr>
            <w:tcW w:w="238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highlight w:val="none"/>
              </w:rPr>
            </w:pPr>
          </w:p>
        </w:tc>
        <w:tc>
          <w:tcPr>
            <w:tcW w:w="24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p>
        </w:tc>
      </w:tr>
    </w:tbl>
    <w:p>
      <w:pPr>
        <w:tabs>
          <w:tab w:val="left" w:pos="570"/>
        </w:tabs>
        <w:spacing w:line="440" w:lineRule="exact"/>
        <w:ind w:firstLine="120" w:firstLineChars="50"/>
        <w:jc w:val="left"/>
        <w:rPr>
          <w:rFonts w:ascii="宋体" w:hAnsi="宋体" w:cs="宋体"/>
          <w:sz w:val="24"/>
          <w:highlight w:val="none"/>
        </w:rPr>
      </w:pPr>
      <w:r>
        <w:rPr>
          <w:rFonts w:hint="eastAsia" w:ascii="宋体" w:hAnsi="宋体" w:cs="宋体"/>
          <w:sz w:val="24"/>
          <w:highlight w:val="none"/>
        </w:rPr>
        <w:t>注：1、此表须与</w:t>
      </w:r>
      <w:r>
        <w:rPr>
          <w:rFonts w:hint="eastAsia" w:ascii="宋体" w:hAnsi="宋体" w:cs="宋体"/>
          <w:kern w:val="0"/>
          <w:sz w:val="24"/>
          <w:highlight w:val="none"/>
        </w:rPr>
        <w:t>采购文件“采购</w:t>
      </w:r>
      <w:r>
        <w:rPr>
          <w:rFonts w:hint="eastAsia" w:ascii="宋体" w:hAnsi="宋体" w:cs="宋体"/>
          <w:sz w:val="24"/>
          <w:highlight w:val="none"/>
        </w:rPr>
        <w:t>项目说明及要求</w:t>
      </w:r>
      <w:r>
        <w:rPr>
          <w:rFonts w:hint="eastAsia" w:ascii="宋体" w:hAnsi="宋体" w:cs="宋体"/>
          <w:kern w:val="0"/>
          <w:sz w:val="24"/>
          <w:highlight w:val="none"/>
        </w:rPr>
        <w:t>”</w:t>
      </w:r>
      <w:r>
        <w:rPr>
          <w:rFonts w:hint="eastAsia" w:ascii="宋体" w:hAnsi="宋体" w:cs="宋体"/>
          <w:sz w:val="24"/>
          <w:highlight w:val="none"/>
        </w:rPr>
        <w:t>相应标项内的所有服务要求相比较且一一对应真实逐条填列。</w:t>
      </w:r>
    </w:p>
    <w:p>
      <w:pPr>
        <w:tabs>
          <w:tab w:val="left" w:pos="570"/>
        </w:tabs>
        <w:spacing w:line="440" w:lineRule="exact"/>
        <w:ind w:firstLine="480" w:firstLineChars="200"/>
        <w:jc w:val="left"/>
        <w:rPr>
          <w:rFonts w:ascii="宋体" w:hAnsi="宋体" w:cs="宋体"/>
          <w:sz w:val="24"/>
          <w:highlight w:val="none"/>
        </w:rPr>
      </w:pPr>
      <w:r>
        <w:rPr>
          <w:rFonts w:hint="eastAsia" w:ascii="宋体" w:hAnsi="宋体" w:cs="宋体"/>
          <w:sz w:val="24"/>
          <w:highlight w:val="none"/>
        </w:rPr>
        <w:t>2、投标人递交的技术规格书中必须真实逐条列明，否则由投标人自行承担相关风险。</w:t>
      </w:r>
    </w:p>
    <w:p>
      <w:pPr>
        <w:snapToGrid w:val="0"/>
        <w:spacing w:before="50" w:after="50" w:line="360" w:lineRule="auto"/>
        <w:ind w:firstLine="4320" w:firstLineChars="1800"/>
        <w:rPr>
          <w:rFonts w:ascii="宋体" w:hAnsi="宋体" w:cs="仿宋_GB2312"/>
          <w:kern w:val="0"/>
          <w:sz w:val="24"/>
          <w:highlight w:val="none"/>
        </w:rPr>
      </w:pP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  </w:t>
      </w:r>
      <w:r>
        <w:rPr>
          <w:rFonts w:hint="eastAsia" w:ascii="宋体" w:hAnsi="宋体" w:cs="仿宋_GB2312"/>
          <w:kern w:val="0"/>
          <w:sz w:val="24"/>
          <w:highlight w:val="none"/>
        </w:rPr>
        <w:t>投标人（</w:t>
      </w:r>
      <w:r>
        <w:rPr>
          <w:rFonts w:hint="eastAsia" w:ascii="宋体" w:hAnsi="宋体" w:cs="仿宋_GB2312"/>
          <w:kern w:val="0"/>
          <w:sz w:val="24"/>
          <w:highlight w:val="none"/>
          <w:lang w:val="zh-CN"/>
        </w:rPr>
        <w:t>电子签章</w:t>
      </w:r>
      <w:r>
        <w:rPr>
          <w:rFonts w:hint="eastAsia" w:ascii="宋体" w:hAnsi="宋体" w:cs="仿宋_GB2312"/>
          <w:kern w:val="0"/>
          <w:sz w:val="24"/>
          <w:highlight w:val="none"/>
        </w:rPr>
        <w:t xml:space="preserve">）：                       </w:t>
      </w:r>
    </w:p>
    <w:p>
      <w:pPr>
        <w:snapToGrid w:val="0"/>
        <w:spacing w:line="360" w:lineRule="auto"/>
        <w:ind w:left="5746" w:leftChars="2736" w:firstLine="0" w:firstLineChars="0"/>
        <w:rPr>
          <w:rFonts w:ascii="宋体" w:hAnsi="宋体" w:cs="宋体"/>
          <w:kern w:val="0"/>
          <w:sz w:val="24"/>
          <w:highlight w:val="none"/>
        </w:rPr>
      </w:pPr>
      <w:r>
        <w:rPr>
          <w:rFonts w:hint="eastAsia" w:ascii="宋体" w:hAnsi="宋体" w:cs="仿宋_GB2312"/>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napToGrid w:val="0"/>
        <w:spacing w:line="360" w:lineRule="auto"/>
        <w:ind w:left="480" w:hanging="480" w:hangingChars="200"/>
        <w:rPr>
          <w:rFonts w:ascii="宋体" w:hAnsi="宋体" w:cs="宋体"/>
          <w:sz w:val="24"/>
          <w:highlight w:val="none"/>
        </w:rPr>
      </w:pPr>
      <w:r>
        <w:rPr>
          <w:rFonts w:hint="eastAsia" w:ascii="宋体" w:hAnsi="宋体" w:cs="仿宋_GB2312"/>
          <w:kern w:val="0"/>
          <w:sz w:val="24"/>
          <w:highlight w:val="none"/>
        </w:rPr>
        <w:t xml:space="preserve"> </w:t>
      </w:r>
    </w:p>
    <w:p>
      <w:pPr>
        <w:snapToGrid w:val="0"/>
        <w:ind w:left="480" w:hanging="480" w:hangingChars="200"/>
        <w:rPr>
          <w:rFonts w:ascii="宋体" w:hAnsi="宋体" w:cs="宋体"/>
          <w:sz w:val="24"/>
          <w:highlight w:val="none"/>
        </w:rPr>
      </w:pPr>
    </w:p>
    <w:p>
      <w:pPr>
        <w:snapToGrid w:val="0"/>
        <w:ind w:left="480" w:hanging="480" w:hangingChars="200"/>
        <w:rPr>
          <w:rFonts w:ascii="宋体" w:hAnsi="宋体" w:cs="宋体"/>
          <w:sz w:val="24"/>
          <w:highlight w:val="none"/>
        </w:rPr>
      </w:pPr>
    </w:p>
    <w:p>
      <w:pPr>
        <w:snapToGrid w:val="0"/>
        <w:ind w:left="480" w:hanging="480" w:hangingChars="200"/>
        <w:rPr>
          <w:rFonts w:ascii="宋体" w:hAnsi="宋体" w:cs="宋体"/>
          <w:sz w:val="24"/>
          <w:highlight w:val="none"/>
        </w:rPr>
      </w:pPr>
    </w:p>
    <w:p>
      <w:pPr>
        <w:snapToGrid w:val="0"/>
        <w:ind w:left="480" w:hanging="480" w:hangingChars="200"/>
        <w:rPr>
          <w:rFonts w:ascii="宋体" w:hAnsi="宋体" w:cs="宋体"/>
          <w:sz w:val="24"/>
          <w:highlight w:val="none"/>
        </w:rPr>
      </w:pPr>
    </w:p>
    <w:p>
      <w:pPr>
        <w:widowControl/>
        <w:adjustRightInd/>
        <w:jc w:val="center"/>
        <w:rPr>
          <w:rFonts w:hint="eastAsia" w:ascii="宋体" w:hAnsi="宋体" w:cs="宋体"/>
          <w:b/>
          <w:bCs/>
          <w:sz w:val="32"/>
          <w:szCs w:val="32"/>
          <w:highlight w:val="none"/>
        </w:rPr>
      </w:pPr>
    </w:p>
    <w:p>
      <w:pPr>
        <w:widowControl/>
        <w:adjustRightInd/>
        <w:jc w:val="center"/>
        <w:rPr>
          <w:rFonts w:hint="eastAsia" w:ascii="宋体" w:hAnsi="宋体" w:cs="宋体"/>
          <w:b/>
          <w:bCs/>
          <w:sz w:val="32"/>
          <w:szCs w:val="32"/>
          <w:highlight w:val="none"/>
        </w:rPr>
      </w:pPr>
    </w:p>
    <w:p>
      <w:pPr>
        <w:widowControl/>
        <w:adjustRightInd/>
        <w:jc w:val="center"/>
        <w:rPr>
          <w:rFonts w:hint="eastAsia" w:ascii="宋体" w:hAnsi="宋体" w:cs="宋体"/>
          <w:b/>
          <w:bCs/>
          <w:sz w:val="32"/>
          <w:szCs w:val="32"/>
          <w:highlight w:val="none"/>
        </w:rPr>
      </w:pPr>
    </w:p>
    <w:p>
      <w:pPr>
        <w:widowControl/>
        <w:adjustRightInd/>
        <w:jc w:val="center"/>
        <w:rPr>
          <w:rFonts w:hint="eastAsia" w:ascii="宋体" w:hAnsi="宋体" w:cs="宋体"/>
          <w:b/>
          <w:bCs/>
          <w:sz w:val="32"/>
          <w:szCs w:val="32"/>
          <w:highlight w:val="none"/>
        </w:rPr>
      </w:pPr>
    </w:p>
    <w:p>
      <w:pPr>
        <w:widowControl/>
        <w:adjustRightInd/>
        <w:jc w:val="center"/>
        <w:rPr>
          <w:rFonts w:hint="eastAsia" w:ascii="宋体" w:hAnsi="宋体" w:cs="宋体"/>
          <w:b/>
          <w:bCs/>
          <w:sz w:val="32"/>
          <w:szCs w:val="32"/>
          <w:highlight w:val="none"/>
        </w:rPr>
      </w:pPr>
    </w:p>
    <w:p>
      <w:pPr>
        <w:widowControl/>
        <w:adjustRightInd/>
        <w:jc w:val="center"/>
        <w:rPr>
          <w:rFonts w:hint="eastAsia" w:ascii="宋体" w:hAnsi="宋体" w:cs="宋体"/>
          <w:b/>
          <w:bCs/>
          <w:sz w:val="32"/>
          <w:szCs w:val="32"/>
          <w:highlight w:val="none"/>
        </w:rPr>
      </w:pPr>
    </w:p>
    <w:p>
      <w:pPr>
        <w:widowControl/>
        <w:adjustRightInd/>
        <w:jc w:val="center"/>
        <w:rPr>
          <w:rFonts w:hint="eastAsia" w:ascii="宋体" w:hAnsi="宋体" w:cs="宋体"/>
          <w:b/>
          <w:bCs/>
          <w:sz w:val="32"/>
          <w:szCs w:val="32"/>
          <w:highlight w:val="none"/>
        </w:rPr>
      </w:pPr>
    </w:p>
    <w:p>
      <w:pPr>
        <w:widowControl/>
        <w:adjustRightInd/>
        <w:jc w:val="center"/>
        <w:rPr>
          <w:rFonts w:hint="eastAsia" w:ascii="宋体" w:hAnsi="宋体" w:cs="宋体"/>
          <w:b/>
          <w:bCs/>
          <w:sz w:val="32"/>
          <w:szCs w:val="32"/>
          <w:highlight w:val="none"/>
        </w:rPr>
      </w:pPr>
    </w:p>
    <w:p>
      <w:pPr>
        <w:widowControl/>
        <w:adjustRightInd/>
        <w:jc w:val="center"/>
        <w:rPr>
          <w:rFonts w:hint="eastAsia" w:ascii="宋体" w:hAnsi="宋体" w:cs="宋体"/>
          <w:b/>
          <w:bCs/>
          <w:sz w:val="32"/>
          <w:szCs w:val="32"/>
          <w:highlight w:val="none"/>
        </w:rPr>
      </w:pPr>
    </w:p>
    <w:p>
      <w:pPr>
        <w:widowControl/>
        <w:adjustRightInd/>
        <w:jc w:val="both"/>
        <w:rPr>
          <w:rFonts w:hint="eastAsia" w:ascii="宋体" w:hAnsi="宋体" w:cs="宋体"/>
          <w:b/>
          <w:bCs/>
          <w:sz w:val="32"/>
          <w:szCs w:val="32"/>
          <w:highlight w:val="none"/>
        </w:rPr>
      </w:pPr>
    </w:p>
    <w:p>
      <w:pPr>
        <w:widowControl/>
        <w:adjustRightInd/>
        <w:jc w:val="center"/>
        <w:rPr>
          <w:rFonts w:hint="eastAsia" w:ascii="宋体" w:hAnsi="宋体" w:cs="宋体"/>
          <w:b/>
          <w:bCs/>
          <w:sz w:val="32"/>
          <w:szCs w:val="32"/>
          <w:highlight w:val="none"/>
        </w:rPr>
      </w:pPr>
    </w:p>
    <w:p>
      <w:pPr>
        <w:widowControl/>
        <w:adjustRightInd/>
        <w:jc w:val="center"/>
        <w:rPr>
          <w:rFonts w:ascii="宋体" w:hAnsi="宋体" w:cs="宋体"/>
          <w:b/>
          <w:kern w:val="0"/>
          <w:sz w:val="32"/>
          <w:szCs w:val="32"/>
          <w:highlight w:val="none"/>
        </w:rPr>
      </w:pPr>
      <w:r>
        <w:rPr>
          <w:rFonts w:hint="eastAsia" w:ascii="宋体" w:hAnsi="宋体" w:cs="宋体"/>
          <w:b/>
          <w:bCs/>
          <w:sz w:val="32"/>
          <w:szCs w:val="32"/>
          <w:highlight w:val="none"/>
          <w:lang w:eastAsia="zh-CN"/>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廉洁自律承诺书</w:t>
      </w:r>
    </w:p>
    <w:p>
      <w:pPr>
        <w:snapToGrid w:val="0"/>
        <w:spacing w:line="360" w:lineRule="auto"/>
        <w:rPr>
          <w:rFonts w:ascii="宋体" w:hAnsi="宋体" w:cs="宋体"/>
          <w:sz w:val="24"/>
          <w:highlight w:val="none"/>
        </w:rPr>
      </w:pPr>
    </w:p>
    <w:p>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leftChars="1" w:right="1120" w:firstLine="5520" w:firstLineChars="2300"/>
        <w:jc w:val="left"/>
        <w:rPr>
          <w:rFonts w:ascii="宋体" w:hAnsi="宋体" w:cs="宋体"/>
          <w:kern w:val="0"/>
          <w:sz w:val="24"/>
          <w:highlight w:val="none"/>
          <w:lang w:val="zh-CN"/>
        </w:rPr>
      </w:pPr>
      <w:r>
        <w:rPr>
          <w:rFonts w:hint="eastAsia" w:ascii="宋体" w:hAnsi="宋体" w:cs="宋体"/>
          <w:kern w:val="0"/>
          <w:sz w:val="24"/>
          <w:highlight w:val="none"/>
          <w:lang w:val="zh-CN"/>
        </w:rPr>
        <w:t>投标人（</w:t>
      </w:r>
      <w:r>
        <w:rPr>
          <w:rFonts w:hint="eastAsia" w:ascii="宋体" w:hAnsi="宋体" w:cs="宋体"/>
          <w:sz w:val="24"/>
          <w:highlight w:val="none"/>
        </w:rPr>
        <w:t>电子签章</w:t>
      </w:r>
      <w:r>
        <w:rPr>
          <w:rFonts w:hint="eastAsia" w:ascii="宋体" w:hAnsi="宋体" w:cs="宋体"/>
          <w:kern w:val="0"/>
          <w:sz w:val="24"/>
          <w:highlight w:val="none"/>
          <w:lang w:val="zh-CN"/>
        </w:rPr>
        <w:t xml:space="preserve">）：                                                                                                                                                                                                               </w:t>
      </w: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pacing w:line="360" w:lineRule="auto"/>
        <w:ind w:firstLine="5520" w:firstLineChars="2300"/>
        <w:rPr>
          <w:rFonts w:ascii="宋体" w:hAnsi="宋体" w:cs="宋体"/>
          <w:sz w:val="24"/>
          <w:highlight w:val="none"/>
        </w:rPr>
      </w:pPr>
      <w:r>
        <w:rPr>
          <w:rFonts w:hint="eastAsia" w:ascii="宋体" w:hAnsi="宋体" w:cs="宋体"/>
          <w:kern w:val="0"/>
          <w:sz w:val="24"/>
          <w:highlight w:val="none"/>
          <w:lang w:val="zh-CN"/>
        </w:rPr>
        <w:t xml:space="preserve">  </w:t>
      </w:r>
    </w:p>
    <w:p>
      <w:pPr>
        <w:spacing w:line="360" w:lineRule="auto"/>
        <w:jc w:val="center"/>
        <w:rPr>
          <w:rFonts w:ascii="宋体" w:hAnsi="宋体" w:cs="宋体"/>
          <w:b/>
          <w:bCs/>
          <w:sz w:val="24"/>
          <w:highlight w:val="non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snapToGrid w:val="0"/>
        <w:ind w:left="480" w:hanging="480" w:hangingChars="200"/>
        <w:rPr>
          <w:rFonts w:ascii="宋体" w:hAnsi="宋体" w:cs="宋体"/>
          <w:sz w:val="24"/>
          <w:highlight w:val="none"/>
        </w:rPr>
      </w:pPr>
    </w:p>
    <w:p>
      <w:pPr>
        <w:snapToGrid w:val="0"/>
        <w:ind w:left="480" w:hanging="480" w:hangingChars="200"/>
        <w:rPr>
          <w:rFonts w:ascii="宋体" w:hAnsi="宋体" w:cs="宋体"/>
          <w:sz w:val="24"/>
          <w:highlight w:val="none"/>
        </w:rPr>
      </w:pPr>
    </w:p>
    <w:p>
      <w:pPr>
        <w:pStyle w:val="37"/>
        <w:rPr>
          <w:rFonts w:ascii="宋体" w:hAnsi="宋体" w:cs="宋体"/>
          <w:sz w:val="24"/>
          <w:highlight w:val="none"/>
        </w:rPr>
      </w:pPr>
    </w:p>
    <w:p>
      <w:pPr>
        <w:pStyle w:val="38"/>
        <w:rPr>
          <w:rFonts w:ascii="宋体" w:hAnsi="宋体" w:cs="宋体"/>
          <w:sz w:val="24"/>
          <w:highlight w:val="none"/>
        </w:rPr>
      </w:pPr>
    </w:p>
    <w:p>
      <w:pPr>
        <w:rPr>
          <w:rFonts w:ascii="宋体" w:hAnsi="宋体" w:cs="宋体"/>
          <w:sz w:val="24"/>
          <w:highlight w:val="none"/>
        </w:rPr>
      </w:pPr>
    </w:p>
    <w:p>
      <w:pPr>
        <w:pStyle w:val="37"/>
      </w:pPr>
    </w:p>
    <w:p>
      <w:pPr>
        <w:rPr>
          <w:rFonts w:ascii="宋体" w:hAnsi="宋体" w:cs="宋体"/>
          <w:b/>
          <w:sz w:val="28"/>
          <w:szCs w:val="28"/>
          <w:highlight w:val="none"/>
        </w:rPr>
      </w:pPr>
    </w:p>
    <w:p>
      <w:pPr>
        <w:widowControl/>
        <w:adjustRightInd/>
        <w:jc w:val="center"/>
        <w:rPr>
          <w:rFonts w:hint="eastAsia" w:ascii="宋体" w:hAnsi="宋体" w:eastAsia="宋体" w:cs="宋体"/>
          <w:b/>
          <w:bCs/>
          <w:sz w:val="32"/>
          <w:szCs w:val="32"/>
          <w:highlight w:val="none"/>
          <w:lang w:eastAsia="zh-CN"/>
        </w:rPr>
      </w:pPr>
      <w:r>
        <w:rPr>
          <w:rFonts w:hint="eastAsia" w:ascii="宋体" w:hAnsi="宋体" w:cs="宋体"/>
          <w:b/>
          <w:bCs/>
          <w:sz w:val="32"/>
          <w:szCs w:val="32"/>
          <w:highlight w:val="none"/>
          <w:lang w:eastAsia="zh-CN"/>
        </w:rPr>
        <w:t>九</w:t>
      </w:r>
      <w:r>
        <w:rPr>
          <w:rFonts w:hint="eastAsia" w:ascii="宋体" w:hAnsi="宋体" w:cs="宋体"/>
          <w:b/>
          <w:bCs/>
          <w:sz w:val="32"/>
          <w:szCs w:val="32"/>
          <w:highlight w:val="none"/>
        </w:rPr>
        <w:t>、同类</w:t>
      </w:r>
      <w:r>
        <w:rPr>
          <w:rFonts w:hint="eastAsia" w:ascii="宋体" w:hAnsi="宋体" w:cs="宋体"/>
          <w:b/>
          <w:bCs/>
          <w:sz w:val="32"/>
          <w:szCs w:val="32"/>
          <w:highlight w:val="none"/>
          <w:lang w:eastAsia="zh-CN"/>
        </w:rPr>
        <w:t>业绩</w:t>
      </w:r>
    </w:p>
    <w:p>
      <w:pPr>
        <w:widowControl/>
        <w:adjustRightInd/>
        <w:jc w:val="center"/>
        <w:rPr>
          <w:rFonts w:ascii="宋体" w:hAnsi="宋体" w:cs="宋体"/>
          <w:b/>
          <w:bCs/>
          <w:sz w:val="32"/>
          <w:szCs w:val="32"/>
          <w:highlight w:val="none"/>
        </w:rPr>
      </w:pPr>
    </w:p>
    <w:p>
      <w:pPr>
        <w:spacing w:after="120"/>
        <w:rPr>
          <w:rFonts w:ascii="宋体" w:hAnsi="宋体" w:cs="宋体"/>
          <w:sz w:val="24"/>
          <w:highlight w:val="none"/>
        </w:rPr>
      </w:pPr>
      <w:r>
        <w:rPr>
          <w:rFonts w:hint="eastAsia" w:ascii="宋体" w:hAnsi="宋体" w:cs="宋体"/>
          <w:sz w:val="24"/>
          <w:highlight w:val="none"/>
        </w:rPr>
        <w:t>项目名称：</w:t>
      </w:r>
    </w:p>
    <w:p>
      <w:pPr>
        <w:pStyle w:val="40"/>
        <w:spacing w:before="120"/>
        <w:ind w:firstLine="0" w:firstLineChars="0"/>
        <w:rPr>
          <w:rFonts w:ascii="宋体" w:hAnsi="宋体" w:cs="宋体"/>
          <w:highlight w:val="none"/>
        </w:rPr>
      </w:pPr>
      <w:r>
        <w:rPr>
          <w:rFonts w:hint="eastAsia" w:ascii="宋体" w:hAnsi="宋体" w:cs="宋体"/>
          <w:highlight w:val="none"/>
        </w:rPr>
        <w:t>项目编号：</w:t>
      </w:r>
    </w:p>
    <w:tbl>
      <w:tblPr>
        <w:tblStyle w:val="30"/>
        <w:tblpPr w:leftFromText="180" w:rightFromText="180" w:vertAnchor="text" w:horzAnchor="page" w:tblpX="1468" w:tblpY="408"/>
        <w:tblOverlap w:val="never"/>
        <w:tblW w:w="883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2"/>
        <w:gridCol w:w="1854"/>
        <w:gridCol w:w="1730"/>
        <w:gridCol w:w="1075"/>
        <w:gridCol w:w="1238"/>
        <w:gridCol w:w="13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69" w:hRule="atLeast"/>
        </w:trPr>
        <w:tc>
          <w:tcPr>
            <w:tcW w:w="15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jc w:val="center"/>
              <w:rPr>
                <w:rFonts w:ascii="宋体" w:hAnsi="宋体" w:cs="宋体"/>
                <w:sz w:val="24"/>
                <w:highlight w:val="none"/>
              </w:rPr>
            </w:pPr>
            <w:r>
              <w:rPr>
                <w:rFonts w:hint="eastAsia" w:ascii="宋体" w:hAnsi="宋体" w:cs="宋体"/>
                <w:sz w:val="24"/>
                <w:highlight w:val="none"/>
              </w:rPr>
              <w:t>采购单位</w:t>
            </w:r>
          </w:p>
          <w:p>
            <w:pPr>
              <w:snapToGrid w:val="0"/>
              <w:spacing w:beforeLines="50"/>
              <w:jc w:val="center"/>
              <w:rPr>
                <w:rFonts w:ascii="宋体" w:hAnsi="宋体" w:cs="宋体"/>
                <w:sz w:val="24"/>
                <w:highlight w:val="none"/>
              </w:rPr>
            </w:pPr>
            <w:r>
              <w:rPr>
                <w:rFonts w:hint="eastAsia" w:ascii="宋体" w:hAnsi="宋体" w:cs="宋体"/>
                <w:sz w:val="24"/>
                <w:highlight w:val="none"/>
              </w:rPr>
              <w:t>名称</w:t>
            </w:r>
          </w:p>
        </w:tc>
        <w:tc>
          <w:tcPr>
            <w:tcW w:w="18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jc w:val="center"/>
              <w:rPr>
                <w:rFonts w:ascii="宋体" w:hAnsi="宋体" w:cs="宋体"/>
                <w:sz w:val="24"/>
                <w:highlight w:val="none"/>
              </w:rPr>
            </w:pPr>
            <w:r>
              <w:rPr>
                <w:rFonts w:hint="eastAsia" w:ascii="宋体" w:hAnsi="宋体" w:cs="宋体"/>
                <w:sz w:val="24"/>
                <w:highlight w:val="none"/>
              </w:rPr>
              <w:t>合同签定</w:t>
            </w:r>
          </w:p>
          <w:p>
            <w:pPr>
              <w:snapToGrid w:val="0"/>
              <w:spacing w:beforeLines="50"/>
              <w:jc w:val="center"/>
              <w:rPr>
                <w:rFonts w:ascii="宋体" w:hAnsi="宋体" w:cs="宋体"/>
                <w:sz w:val="24"/>
                <w:highlight w:val="none"/>
              </w:rPr>
            </w:pPr>
            <w:r>
              <w:rPr>
                <w:rFonts w:hint="eastAsia" w:ascii="宋体" w:hAnsi="宋体" w:cs="宋体"/>
                <w:sz w:val="24"/>
                <w:highlight w:val="none"/>
              </w:rPr>
              <w:t>时间</w:t>
            </w:r>
          </w:p>
        </w:tc>
        <w:tc>
          <w:tcPr>
            <w:tcW w:w="173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s="宋体"/>
                <w:sz w:val="24"/>
                <w:highlight w:val="none"/>
              </w:rPr>
            </w:pPr>
            <w:r>
              <w:rPr>
                <w:rFonts w:hint="eastAsia" w:ascii="宋体" w:hAnsi="宋体" w:cs="宋体"/>
                <w:sz w:val="24"/>
                <w:highlight w:val="none"/>
              </w:rPr>
              <w:t>项目名称</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s="宋体"/>
                <w:sz w:val="24"/>
                <w:highlight w:val="none"/>
              </w:rPr>
            </w:pPr>
            <w:r>
              <w:rPr>
                <w:rFonts w:hint="eastAsia" w:ascii="宋体" w:hAnsi="宋体" w:cs="宋体"/>
                <w:sz w:val="24"/>
                <w:highlight w:val="none"/>
              </w:rPr>
              <w:t>合同</w:t>
            </w:r>
          </w:p>
          <w:p>
            <w:pPr>
              <w:snapToGrid w:val="0"/>
              <w:spacing w:beforeLines="50"/>
              <w:jc w:val="center"/>
              <w:rPr>
                <w:rFonts w:ascii="宋体" w:hAnsi="宋体" w:cs="宋体"/>
                <w:sz w:val="24"/>
                <w:highlight w:val="none"/>
              </w:rPr>
            </w:pPr>
            <w:r>
              <w:rPr>
                <w:rFonts w:hint="eastAsia" w:ascii="宋体" w:hAnsi="宋体" w:cs="宋体"/>
                <w:sz w:val="24"/>
                <w:highlight w:val="none"/>
              </w:rPr>
              <w:t>金额</w:t>
            </w:r>
          </w:p>
        </w:tc>
        <w:tc>
          <w:tcPr>
            <w:tcW w:w="123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s="宋体"/>
                <w:sz w:val="24"/>
                <w:highlight w:val="none"/>
              </w:rPr>
            </w:pPr>
            <w:r>
              <w:rPr>
                <w:rFonts w:hint="eastAsia" w:ascii="宋体" w:hAnsi="宋体" w:cs="宋体"/>
                <w:sz w:val="24"/>
                <w:highlight w:val="none"/>
              </w:rPr>
              <w:t>附件页码</w:t>
            </w:r>
          </w:p>
        </w:tc>
        <w:tc>
          <w:tcPr>
            <w:tcW w:w="138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s="宋体"/>
                <w:sz w:val="24"/>
                <w:highlight w:val="none"/>
              </w:rPr>
            </w:pPr>
            <w:r>
              <w:rPr>
                <w:rFonts w:hint="eastAsia" w:ascii="宋体" w:hAnsi="宋体" w:cs="宋体"/>
                <w:sz w:val="24"/>
                <w:highlight w:val="none"/>
              </w:rPr>
              <w:t>采购单位联系人及</w:t>
            </w:r>
          </w:p>
          <w:p>
            <w:pPr>
              <w:snapToGrid w:val="0"/>
              <w:spacing w:beforeLines="50"/>
              <w:jc w:val="center"/>
              <w:rPr>
                <w:rFonts w:ascii="宋体" w:hAnsi="宋体" w:cs="宋体"/>
                <w:sz w:val="24"/>
                <w:highlight w:val="none"/>
              </w:rPr>
            </w:pPr>
            <w:r>
              <w:rPr>
                <w:rFonts w:hint="eastAsia" w:ascii="宋体" w:hAnsi="宋体" w:cs="宋体"/>
                <w:sz w:val="24"/>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238" w:hRule="atLeast"/>
        </w:trPr>
        <w:tc>
          <w:tcPr>
            <w:tcW w:w="15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sz w:val="28"/>
                <w:szCs w:val="28"/>
                <w:highlight w:val="none"/>
              </w:rPr>
            </w:pPr>
          </w:p>
        </w:tc>
        <w:tc>
          <w:tcPr>
            <w:tcW w:w="18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sz w:val="28"/>
                <w:szCs w:val="28"/>
                <w:highlight w:val="none"/>
              </w:rPr>
            </w:pPr>
          </w:p>
        </w:tc>
        <w:tc>
          <w:tcPr>
            <w:tcW w:w="17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8"/>
                <w:szCs w:val="28"/>
                <w:highlight w:val="none"/>
              </w:rPr>
            </w:pP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8"/>
                <w:szCs w:val="28"/>
                <w:highlight w:val="none"/>
              </w:rPr>
            </w:pPr>
          </w:p>
        </w:tc>
        <w:tc>
          <w:tcPr>
            <w:tcW w:w="123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s="宋体"/>
                <w:sz w:val="24"/>
                <w:highlight w:val="none"/>
              </w:rPr>
            </w:pPr>
            <w:r>
              <w:rPr>
                <w:rFonts w:hint="eastAsia" w:ascii="宋体" w:hAnsi="宋体" w:cs="宋体"/>
                <w:sz w:val="24"/>
                <w:highlight w:val="none"/>
              </w:rPr>
              <w:t>合同复印件</w:t>
            </w:r>
          </w:p>
        </w:tc>
        <w:tc>
          <w:tcPr>
            <w:tcW w:w="13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1" w:hRule="atLeast"/>
        </w:trPr>
        <w:tc>
          <w:tcPr>
            <w:tcW w:w="155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85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73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07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23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38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2" w:hRule="atLeast"/>
        </w:trPr>
        <w:tc>
          <w:tcPr>
            <w:tcW w:w="155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85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73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07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23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38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1" w:hRule="atLeast"/>
        </w:trPr>
        <w:tc>
          <w:tcPr>
            <w:tcW w:w="155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85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73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07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23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38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1" w:hRule="atLeast"/>
        </w:trPr>
        <w:tc>
          <w:tcPr>
            <w:tcW w:w="155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85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73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07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23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38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3" w:hRule="atLeast"/>
        </w:trPr>
        <w:tc>
          <w:tcPr>
            <w:tcW w:w="155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85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73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07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23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38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r>
    </w:tbl>
    <w:p>
      <w:pPr>
        <w:snapToGrid w:val="0"/>
        <w:spacing w:before="240" w:after="160"/>
        <w:rPr>
          <w:rFonts w:ascii="宋体" w:hAnsi="宋体" w:cs="宋体"/>
          <w:sz w:val="24"/>
          <w:highlight w:val="none"/>
        </w:rPr>
      </w:pP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投标人(电子签章)：</w:t>
      </w:r>
    </w:p>
    <w:p>
      <w:pPr>
        <w:tabs>
          <w:tab w:val="left" w:pos="5580"/>
        </w:tabs>
        <w:spacing w:line="360" w:lineRule="auto"/>
        <w:ind w:firstLine="600" w:firstLineChars="250"/>
        <w:rPr>
          <w:rFonts w:ascii="宋体" w:hAnsi="宋体" w:cs="宋体"/>
          <w:kern w:val="0"/>
          <w:sz w:val="24"/>
          <w:highlight w:val="none"/>
        </w:rPr>
      </w:pPr>
      <w:r>
        <w:rPr>
          <w:rFonts w:hint="eastAsia" w:ascii="宋体" w:hAnsi="宋体" w:cs="宋体"/>
          <w:kern w:val="0"/>
          <w:sz w:val="24"/>
          <w:highlight w:val="none"/>
          <w:lang w:val="zh-CN"/>
        </w:rPr>
        <w:t xml:space="preserve">                 </w:t>
      </w: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napToGrid w:val="0"/>
        <w:spacing w:before="50" w:after="50" w:line="360" w:lineRule="auto"/>
        <w:rPr>
          <w:rFonts w:ascii="宋体" w:hAnsi="宋体" w:cs="宋体"/>
          <w:sz w:val="24"/>
          <w:highlight w:val="none"/>
        </w:rPr>
        <w:sectPr>
          <w:pgSz w:w="11906" w:h="16838"/>
          <w:pgMar w:top="1417" w:right="1797" w:bottom="1417" w:left="1417" w:header="851" w:footer="851" w:gutter="0"/>
          <w:cols w:space="720" w:num="1"/>
          <w:docGrid w:linePitch="312" w:charSpace="0"/>
        </w:sectPr>
      </w:pPr>
    </w:p>
    <w:p>
      <w:pPr>
        <w:adjustRightInd/>
        <w:spacing w:line="360" w:lineRule="auto"/>
        <w:jc w:val="center"/>
        <w:rPr>
          <w:rFonts w:ascii="宋体" w:hAnsi="宋体" w:cs="宋体"/>
          <w:bCs/>
          <w:sz w:val="24"/>
          <w:highlight w:val="none"/>
        </w:rPr>
      </w:pPr>
      <w:r>
        <w:rPr>
          <w:rFonts w:hint="eastAsia" w:ascii="宋体" w:hAnsi="宋体" w:cs="宋体"/>
          <w:b/>
          <w:bCs/>
          <w:sz w:val="32"/>
          <w:szCs w:val="32"/>
          <w:highlight w:val="none"/>
          <w:lang w:eastAsia="zh-CN"/>
        </w:rPr>
        <w:t>十</w:t>
      </w:r>
      <w:r>
        <w:rPr>
          <w:rFonts w:hint="eastAsia" w:ascii="宋体" w:hAnsi="宋体" w:cs="宋体"/>
          <w:b/>
          <w:bCs/>
          <w:sz w:val="32"/>
          <w:szCs w:val="32"/>
          <w:highlight w:val="none"/>
        </w:rPr>
        <w:t>、</w:t>
      </w:r>
      <w:r>
        <w:rPr>
          <w:rFonts w:hint="eastAsia" w:ascii="宋体" w:hAnsi="宋体" w:cs="宋体"/>
          <w:b/>
          <w:bCs/>
          <w:sz w:val="32"/>
          <w:szCs w:val="32"/>
          <w:highlight w:val="none"/>
          <w:lang w:eastAsia="zh-CN"/>
        </w:rPr>
        <w:t>项目实施方案</w:t>
      </w:r>
    </w:p>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（由投标人根据采购需求自行编制）</w:t>
      </w:r>
    </w:p>
    <w:p>
      <w:pPr>
        <w:snapToGrid w:val="0"/>
        <w:spacing w:line="360" w:lineRule="auto"/>
        <w:ind w:firstLine="5520" w:firstLineChars="2300"/>
        <w:rPr>
          <w:rFonts w:ascii="宋体" w:hAnsi="宋体" w:cs="宋体"/>
          <w:kern w:val="0"/>
          <w:sz w:val="24"/>
          <w:highlight w:val="none"/>
          <w:lang w:val="zh-CN"/>
        </w:rPr>
      </w:pPr>
    </w:p>
    <w:p>
      <w:pPr>
        <w:snapToGrid w:val="0"/>
        <w:spacing w:line="360" w:lineRule="auto"/>
        <w:ind w:firstLine="5520" w:firstLineChars="2300"/>
        <w:rPr>
          <w:rFonts w:ascii="宋体" w:hAnsi="宋体" w:cs="宋体"/>
          <w:kern w:val="0"/>
          <w:sz w:val="24"/>
          <w:highlight w:val="none"/>
          <w:lang w:val="zh-CN"/>
        </w:rPr>
      </w:pPr>
    </w:p>
    <w:p>
      <w:pPr>
        <w:snapToGrid w:val="0"/>
        <w:spacing w:line="360" w:lineRule="auto"/>
        <w:ind w:firstLine="5280" w:firstLineChars="2200"/>
        <w:rPr>
          <w:rFonts w:ascii="宋体" w:hAnsi="宋体" w:cs="宋体"/>
          <w:kern w:val="0"/>
          <w:sz w:val="24"/>
          <w:highlight w:val="none"/>
        </w:rPr>
      </w:pPr>
      <w:r>
        <w:rPr>
          <w:rFonts w:hint="eastAsia" w:ascii="宋体" w:hAnsi="宋体" w:cs="宋体"/>
          <w:kern w:val="0"/>
          <w:sz w:val="24"/>
          <w:highlight w:val="none"/>
          <w:lang w:val="zh-CN"/>
        </w:rPr>
        <w:t>投标人(电子签章)：</w:t>
      </w:r>
    </w:p>
    <w:p>
      <w:pPr>
        <w:snapToGrid w:val="0"/>
        <w:spacing w:line="360" w:lineRule="auto"/>
        <w:ind w:firstLine="5280" w:firstLineChars="2200"/>
        <w:rPr>
          <w:rFonts w:ascii="宋体" w:hAnsi="宋体" w:cs="宋体"/>
          <w:kern w:val="0"/>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pStyle w:val="2"/>
        <w:rPr>
          <w:rFonts w:ascii="宋体" w:hAnsi="宋体" w:cs="宋体"/>
          <w:b w:val="0"/>
          <w:sz w:val="24"/>
          <w:highlight w:val="none"/>
        </w:rPr>
      </w:pPr>
    </w:p>
    <w:p>
      <w:pPr>
        <w:rPr>
          <w:rFonts w:ascii="宋体" w:hAnsi="宋体" w:cs="宋体"/>
          <w:bCs/>
          <w:sz w:val="24"/>
          <w:highlight w:val="none"/>
        </w:rPr>
      </w:pPr>
    </w:p>
    <w:p>
      <w:pPr>
        <w:pStyle w:val="3"/>
        <w:rPr>
          <w:rFonts w:ascii="宋体" w:hAnsi="宋体" w:cs="宋体"/>
          <w:bCs/>
          <w:sz w:val="24"/>
          <w:highlight w:val="none"/>
        </w:rPr>
      </w:pPr>
    </w:p>
    <w:p>
      <w:pPr>
        <w:pStyle w:val="4"/>
        <w:rPr>
          <w:rFonts w:ascii="宋体" w:hAnsi="宋体" w:cs="宋体"/>
          <w:bCs/>
          <w:sz w:val="24"/>
          <w:highlight w:val="none"/>
        </w:rPr>
      </w:pPr>
    </w:p>
    <w:p>
      <w:pPr>
        <w:pStyle w:val="5"/>
        <w:rPr>
          <w:rFonts w:ascii="宋体" w:hAnsi="宋体" w:cs="宋体"/>
          <w:bCs/>
          <w:sz w:val="24"/>
          <w:highlight w:val="none"/>
        </w:rPr>
      </w:pPr>
    </w:p>
    <w:p>
      <w:pPr>
        <w:rPr>
          <w:rFonts w:ascii="宋体" w:hAnsi="宋体" w:cs="宋体"/>
          <w:bCs/>
          <w:sz w:val="24"/>
          <w:highlight w:val="none"/>
        </w:rPr>
      </w:pPr>
    </w:p>
    <w:p>
      <w:pPr>
        <w:pStyle w:val="3"/>
        <w:rPr>
          <w:rFonts w:ascii="宋体" w:hAnsi="宋体" w:cs="宋体"/>
          <w:bCs/>
          <w:sz w:val="24"/>
          <w:highlight w:val="none"/>
        </w:rPr>
      </w:pPr>
    </w:p>
    <w:p>
      <w:pPr>
        <w:pStyle w:val="4"/>
        <w:rPr>
          <w:rFonts w:ascii="宋体" w:hAnsi="宋体" w:cs="宋体"/>
          <w:bCs/>
          <w:sz w:val="24"/>
          <w:highlight w:val="none"/>
        </w:rPr>
      </w:pPr>
    </w:p>
    <w:p>
      <w:pPr>
        <w:pStyle w:val="5"/>
        <w:rPr>
          <w:rFonts w:ascii="宋体" w:hAnsi="宋体" w:cs="宋体"/>
          <w:bCs/>
          <w:sz w:val="24"/>
          <w:highlight w:val="none"/>
        </w:rPr>
      </w:pPr>
    </w:p>
    <w:p>
      <w:pPr>
        <w:rPr>
          <w:rFonts w:ascii="宋体" w:hAnsi="宋体" w:cs="宋体"/>
          <w:bCs/>
          <w:sz w:val="24"/>
          <w:highlight w:val="none"/>
        </w:rPr>
      </w:pPr>
    </w:p>
    <w:p>
      <w:pPr>
        <w:pStyle w:val="3"/>
        <w:rPr>
          <w:rFonts w:ascii="宋体" w:hAnsi="宋体" w:cs="宋体"/>
          <w:bCs/>
          <w:sz w:val="24"/>
          <w:highlight w:val="none"/>
        </w:rPr>
      </w:pPr>
    </w:p>
    <w:p>
      <w:pPr>
        <w:pStyle w:val="4"/>
        <w:rPr>
          <w:rFonts w:ascii="宋体" w:hAnsi="宋体" w:cs="宋体"/>
          <w:bCs/>
          <w:sz w:val="24"/>
          <w:highlight w:val="none"/>
        </w:rPr>
      </w:pPr>
    </w:p>
    <w:p>
      <w:pPr>
        <w:pStyle w:val="5"/>
        <w:rPr>
          <w:rFonts w:ascii="宋体" w:hAnsi="宋体" w:cs="宋体"/>
          <w:bCs/>
          <w:sz w:val="24"/>
          <w:highlight w:val="none"/>
        </w:rPr>
      </w:pPr>
    </w:p>
    <w:p>
      <w:pPr>
        <w:rPr>
          <w:rFonts w:ascii="宋体" w:hAnsi="宋体" w:cs="宋体"/>
          <w:bCs/>
          <w:sz w:val="24"/>
          <w:highlight w:val="none"/>
        </w:rPr>
      </w:pPr>
    </w:p>
    <w:p>
      <w:pPr>
        <w:pStyle w:val="3"/>
        <w:rPr>
          <w:rFonts w:ascii="宋体" w:hAnsi="宋体" w:cs="宋体"/>
          <w:bCs/>
          <w:sz w:val="24"/>
          <w:highlight w:val="none"/>
        </w:rPr>
      </w:pPr>
    </w:p>
    <w:p>
      <w:pPr>
        <w:pStyle w:val="4"/>
        <w:rPr>
          <w:rFonts w:ascii="宋体" w:hAnsi="宋体" w:cs="宋体"/>
          <w:bCs/>
          <w:sz w:val="24"/>
          <w:highlight w:val="none"/>
        </w:rPr>
      </w:pPr>
    </w:p>
    <w:p>
      <w:pPr>
        <w:pStyle w:val="5"/>
        <w:rPr>
          <w:rFonts w:ascii="宋体" w:hAnsi="宋体" w:cs="宋体"/>
          <w:bCs/>
          <w:sz w:val="24"/>
          <w:highlight w:val="none"/>
        </w:rPr>
      </w:pPr>
    </w:p>
    <w:p>
      <w:pPr>
        <w:rPr>
          <w:rFonts w:ascii="宋体" w:hAnsi="宋体" w:cs="宋体"/>
          <w:bCs/>
          <w:sz w:val="24"/>
          <w:highlight w:val="none"/>
        </w:rPr>
      </w:pPr>
    </w:p>
    <w:p>
      <w:pPr>
        <w:pStyle w:val="3"/>
        <w:rPr>
          <w:rFonts w:ascii="宋体" w:hAnsi="宋体" w:cs="宋体"/>
          <w:bCs/>
          <w:sz w:val="24"/>
          <w:highlight w:val="none"/>
        </w:rPr>
      </w:pPr>
    </w:p>
    <w:p>
      <w:pPr>
        <w:pStyle w:val="4"/>
        <w:rPr>
          <w:rFonts w:ascii="宋体" w:hAnsi="宋体" w:cs="宋体"/>
          <w:bCs/>
          <w:sz w:val="24"/>
          <w:highlight w:val="none"/>
        </w:rPr>
      </w:pPr>
    </w:p>
    <w:p>
      <w:pPr>
        <w:pStyle w:val="5"/>
        <w:rPr>
          <w:rFonts w:ascii="宋体" w:hAnsi="宋体" w:cs="宋体"/>
          <w:bCs/>
          <w:sz w:val="24"/>
          <w:highlight w:val="none"/>
        </w:rPr>
      </w:pPr>
    </w:p>
    <w:p>
      <w:pPr>
        <w:rPr>
          <w:rFonts w:ascii="宋体" w:hAnsi="宋体" w:cs="宋体"/>
          <w:bCs/>
          <w:sz w:val="24"/>
          <w:highlight w:val="none"/>
        </w:rPr>
      </w:pPr>
    </w:p>
    <w:p>
      <w:pPr>
        <w:pStyle w:val="3"/>
        <w:rPr>
          <w:rFonts w:ascii="宋体" w:hAnsi="宋体" w:cs="宋体"/>
          <w:bCs/>
          <w:sz w:val="24"/>
          <w:highlight w:val="none"/>
        </w:rPr>
      </w:pPr>
    </w:p>
    <w:p>
      <w:pPr>
        <w:pStyle w:val="4"/>
        <w:rPr>
          <w:rFonts w:ascii="宋体" w:hAnsi="宋体" w:cs="宋体"/>
          <w:bCs/>
          <w:sz w:val="24"/>
          <w:highlight w:val="none"/>
        </w:rPr>
      </w:pPr>
    </w:p>
    <w:p>
      <w:pPr>
        <w:pStyle w:val="2"/>
        <w:jc w:val="both"/>
        <w:rPr>
          <w:rFonts w:hint="eastAsia" w:eastAsia="宋体"/>
          <w:highlight w:val="none"/>
          <w:lang w:val="en-US" w:eastAsia="zh-CN"/>
        </w:rPr>
      </w:pPr>
    </w:p>
    <w:p>
      <w:pPr>
        <w:rPr>
          <w:rFonts w:hint="eastAsia"/>
          <w:lang w:val="en-US" w:eastAsia="zh-CN"/>
        </w:rPr>
      </w:pPr>
    </w:p>
    <w:p>
      <w:pPr>
        <w:adjustRightInd/>
        <w:spacing w:line="360" w:lineRule="auto"/>
        <w:jc w:val="center"/>
        <w:rPr>
          <w:rFonts w:hint="eastAsia" w:ascii="宋体" w:hAnsi="宋体" w:eastAsia="宋体" w:cs="宋体"/>
          <w:b/>
          <w:bCs/>
          <w:sz w:val="32"/>
          <w:szCs w:val="32"/>
          <w:highlight w:val="none"/>
          <w:lang w:eastAsia="zh-CN"/>
        </w:rPr>
      </w:pPr>
      <w:r>
        <w:rPr>
          <w:rFonts w:hint="eastAsia" w:ascii="宋体" w:hAnsi="宋体" w:cs="宋体"/>
          <w:b/>
          <w:bCs/>
          <w:sz w:val="32"/>
          <w:szCs w:val="32"/>
          <w:highlight w:val="none"/>
        </w:rPr>
        <w:t>十</w:t>
      </w:r>
      <w:r>
        <w:rPr>
          <w:rFonts w:hint="eastAsia" w:ascii="宋体" w:hAnsi="宋体" w:cs="宋体"/>
          <w:b/>
          <w:bCs/>
          <w:sz w:val="32"/>
          <w:szCs w:val="32"/>
          <w:highlight w:val="none"/>
          <w:lang w:eastAsia="zh-CN"/>
        </w:rPr>
        <w:t>一</w:t>
      </w:r>
      <w:r>
        <w:rPr>
          <w:rFonts w:hint="eastAsia" w:ascii="宋体" w:hAnsi="宋体" w:cs="宋体"/>
          <w:b/>
          <w:bCs/>
          <w:sz w:val="32"/>
          <w:szCs w:val="32"/>
          <w:highlight w:val="none"/>
        </w:rPr>
        <w:t>、</w:t>
      </w:r>
      <w:r>
        <w:rPr>
          <w:rFonts w:hint="eastAsia" w:ascii="宋体" w:hAnsi="宋体" w:cs="宋体"/>
          <w:b/>
          <w:bCs/>
          <w:sz w:val="32"/>
          <w:szCs w:val="32"/>
          <w:highlight w:val="none"/>
          <w:lang w:eastAsia="zh-CN"/>
        </w:rPr>
        <w:t>未尽事宜请各投标单位按评分标准和相对应标项相关要求制作</w:t>
      </w:r>
    </w:p>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（由投标人根据采购需求自行编制）</w:t>
      </w:r>
    </w:p>
    <w:p>
      <w:pPr>
        <w:snapToGrid w:val="0"/>
        <w:spacing w:line="360" w:lineRule="auto"/>
        <w:ind w:firstLine="5520" w:firstLineChars="2300"/>
        <w:rPr>
          <w:rFonts w:ascii="宋体" w:hAnsi="宋体" w:cs="宋体"/>
          <w:kern w:val="0"/>
          <w:sz w:val="24"/>
          <w:highlight w:val="none"/>
          <w:lang w:val="zh-CN"/>
        </w:rPr>
      </w:pPr>
    </w:p>
    <w:p>
      <w:pPr>
        <w:snapToGrid w:val="0"/>
        <w:spacing w:line="360" w:lineRule="auto"/>
        <w:ind w:firstLine="5520" w:firstLineChars="2300"/>
        <w:rPr>
          <w:rFonts w:ascii="宋体" w:hAnsi="宋体" w:cs="宋体"/>
          <w:kern w:val="0"/>
          <w:sz w:val="24"/>
          <w:highlight w:val="none"/>
          <w:lang w:val="zh-CN"/>
        </w:rPr>
      </w:pPr>
    </w:p>
    <w:p>
      <w:pPr>
        <w:snapToGrid w:val="0"/>
        <w:spacing w:line="360" w:lineRule="auto"/>
        <w:ind w:firstLine="5280" w:firstLineChars="2200"/>
        <w:rPr>
          <w:rFonts w:ascii="宋体" w:hAnsi="宋体" w:cs="宋体"/>
          <w:kern w:val="0"/>
          <w:sz w:val="24"/>
          <w:highlight w:val="none"/>
        </w:rPr>
      </w:pPr>
      <w:r>
        <w:rPr>
          <w:rFonts w:hint="eastAsia" w:ascii="宋体" w:hAnsi="宋体" w:cs="宋体"/>
          <w:kern w:val="0"/>
          <w:sz w:val="24"/>
          <w:highlight w:val="none"/>
          <w:lang w:val="zh-CN"/>
        </w:rPr>
        <w:t>投标人(电子签章)：</w:t>
      </w:r>
    </w:p>
    <w:p>
      <w:pPr>
        <w:ind w:firstLine="5280" w:firstLineChars="2200"/>
        <w:rPr>
          <w:rFonts w:ascii="宋体" w:hAnsi="宋体" w:cs="宋体"/>
          <w:b/>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adjustRightInd/>
        <w:spacing w:line="360" w:lineRule="auto"/>
        <w:jc w:val="center"/>
        <w:rPr>
          <w:rFonts w:ascii="宋体" w:hAnsi="宋体" w:cs="宋体"/>
          <w:b/>
          <w:sz w:val="24"/>
          <w:highlight w:val="none"/>
        </w:rPr>
      </w:pPr>
    </w:p>
    <w:p>
      <w:pPr>
        <w:adjustRightInd/>
        <w:spacing w:line="360" w:lineRule="auto"/>
        <w:jc w:val="center"/>
        <w:rPr>
          <w:rFonts w:ascii="宋体" w:hAnsi="宋体" w:cs="宋体"/>
          <w:b/>
          <w:sz w:val="24"/>
          <w:highlight w:val="none"/>
        </w:rPr>
      </w:pPr>
    </w:p>
    <w:p>
      <w:pPr>
        <w:adjustRightInd/>
        <w:spacing w:line="360" w:lineRule="auto"/>
        <w:jc w:val="center"/>
        <w:rPr>
          <w:rFonts w:ascii="宋体" w:hAnsi="宋体" w:cs="宋体"/>
          <w:b/>
          <w:sz w:val="24"/>
          <w:highlight w:val="none"/>
        </w:rPr>
      </w:pPr>
    </w:p>
    <w:p>
      <w:pPr>
        <w:adjustRightInd/>
        <w:spacing w:line="360" w:lineRule="auto"/>
        <w:jc w:val="center"/>
        <w:rPr>
          <w:rFonts w:ascii="宋体" w:hAnsi="宋体" w:cs="宋体"/>
          <w:b/>
          <w:sz w:val="24"/>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ascii="宋体" w:hAnsi="宋体" w:cs="宋体"/>
          <w:b/>
          <w:bCs/>
          <w:sz w:val="32"/>
          <w:szCs w:val="32"/>
          <w:highlight w:val="none"/>
          <w:lang w:val="zh-CN"/>
        </w:rPr>
      </w:pPr>
      <w:r>
        <w:rPr>
          <w:rFonts w:hint="eastAsia" w:ascii="宋体" w:hAnsi="宋体" w:cs="宋体"/>
          <w:b/>
          <w:bCs/>
          <w:sz w:val="32"/>
          <w:szCs w:val="32"/>
          <w:highlight w:val="none"/>
        </w:rPr>
        <w:t>十</w:t>
      </w:r>
      <w:r>
        <w:rPr>
          <w:rFonts w:hint="eastAsia" w:ascii="宋体" w:hAnsi="宋体" w:cs="宋体"/>
          <w:b/>
          <w:bCs/>
          <w:sz w:val="32"/>
          <w:szCs w:val="32"/>
          <w:highlight w:val="none"/>
          <w:lang w:eastAsia="zh-CN"/>
        </w:rPr>
        <w:t>二</w:t>
      </w:r>
      <w:r>
        <w:rPr>
          <w:rFonts w:hint="eastAsia" w:ascii="宋体" w:hAnsi="宋体" w:cs="宋体"/>
          <w:b/>
          <w:bCs/>
          <w:sz w:val="32"/>
          <w:szCs w:val="32"/>
          <w:highlight w:val="none"/>
        </w:rPr>
        <w:t>、认为需要的</w:t>
      </w:r>
      <w:r>
        <w:rPr>
          <w:rFonts w:hint="eastAsia" w:ascii="宋体" w:hAnsi="宋体" w:cs="宋体"/>
          <w:b/>
          <w:bCs/>
          <w:sz w:val="32"/>
          <w:szCs w:val="32"/>
          <w:highlight w:val="none"/>
          <w:lang w:val="zh-CN"/>
        </w:rPr>
        <w:t>其他商务技术（资信）文件或说明</w:t>
      </w:r>
    </w:p>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（由投标人根据采购需求自行编制）</w:t>
      </w:r>
    </w:p>
    <w:p>
      <w:pPr>
        <w:spacing w:line="360" w:lineRule="auto"/>
        <w:rPr>
          <w:rFonts w:ascii="仿宋_GB2312" w:hAnsi="仿宋_GB2312" w:eastAsia="仿宋_GB2312" w:cs="仿宋_GB2312"/>
          <w:sz w:val="24"/>
          <w:highlight w:val="none"/>
        </w:rPr>
      </w:pPr>
    </w:p>
    <w:p>
      <w:pPr>
        <w:spacing w:line="336" w:lineRule="auto"/>
        <w:ind w:firstLine="5280" w:firstLineChars="2200"/>
        <w:rPr>
          <w:rFonts w:ascii="宋体" w:hAnsi="宋体" w:cs="宋体"/>
          <w:sz w:val="24"/>
          <w:highlight w:val="none"/>
        </w:rPr>
      </w:pPr>
      <w:r>
        <w:rPr>
          <w:rFonts w:hint="eastAsia" w:ascii="宋体" w:hAnsi="宋体" w:cs="宋体"/>
          <w:sz w:val="24"/>
          <w:highlight w:val="none"/>
        </w:rPr>
        <w:t xml:space="preserve">投标人（电子签章）：                          </w:t>
      </w:r>
    </w:p>
    <w:p>
      <w:pPr>
        <w:adjustRightInd/>
        <w:spacing w:line="360" w:lineRule="auto"/>
        <w:jc w:val="center"/>
        <w:rPr>
          <w:rFonts w:ascii="宋体" w:hAnsi="宋体" w:cs="宋体"/>
          <w:b/>
          <w:sz w:val="24"/>
          <w:highlight w:val="none"/>
        </w:rPr>
      </w:pPr>
      <w:r>
        <w:rPr>
          <w:rFonts w:hint="eastAsia" w:ascii="宋体" w:hAnsi="宋体" w:cs="宋体"/>
          <w:sz w:val="24"/>
          <w:highlight w:val="none"/>
        </w:rPr>
        <w:t xml:space="preserve">                                       日期：  年   月   日</w:t>
      </w:r>
    </w:p>
    <w:p>
      <w:pPr>
        <w:adjustRightInd/>
        <w:spacing w:line="360" w:lineRule="auto"/>
        <w:jc w:val="center"/>
        <w:rPr>
          <w:rFonts w:ascii="宋体" w:hAnsi="宋体" w:cs="宋体"/>
          <w:b/>
          <w:sz w:val="24"/>
          <w:highlight w:val="none"/>
        </w:rPr>
      </w:pPr>
    </w:p>
    <w:p>
      <w:pPr>
        <w:adjustRightInd/>
        <w:spacing w:line="360" w:lineRule="auto"/>
        <w:jc w:val="center"/>
        <w:rPr>
          <w:rFonts w:ascii="宋体" w:hAnsi="宋体" w:cs="宋体"/>
          <w:b/>
          <w:sz w:val="24"/>
          <w:highlight w:val="none"/>
        </w:rPr>
      </w:pPr>
    </w:p>
    <w:p>
      <w:pPr>
        <w:rPr>
          <w:rFonts w:ascii="宋体" w:hAnsi="宋体" w:cs="宋体"/>
          <w:b/>
          <w:sz w:val="24"/>
          <w:highlight w:val="none"/>
        </w:rPr>
      </w:pPr>
      <w:r>
        <w:rPr>
          <w:rFonts w:hint="eastAsia" w:ascii="宋体" w:hAnsi="宋体" w:cs="宋体"/>
          <w:b/>
          <w:sz w:val="24"/>
          <w:highlight w:val="none"/>
        </w:rPr>
        <w:br w:type="page"/>
      </w:r>
    </w:p>
    <w:p>
      <w:pPr>
        <w:adjustRightInd/>
        <w:spacing w:line="360" w:lineRule="auto"/>
        <w:jc w:val="center"/>
        <w:rPr>
          <w:rFonts w:ascii="宋体" w:hAnsi="宋体" w:cs="宋体"/>
          <w:b/>
          <w:sz w:val="24"/>
          <w:highlight w:val="none"/>
        </w:rPr>
      </w:pPr>
      <w:r>
        <w:rPr>
          <w:rFonts w:hint="eastAsia" w:ascii="宋体" w:hAnsi="宋体" w:cs="宋体"/>
          <w:b/>
          <w:sz w:val="24"/>
          <w:highlight w:val="none"/>
        </w:rPr>
        <w:t>报价文件目录</w:t>
      </w:r>
    </w:p>
    <w:p>
      <w:pPr>
        <w:adjustRightInd/>
        <w:snapToGrid w:val="0"/>
        <w:spacing w:line="600" w:lineRule="exact"/>
        <w:ind w:firstLine="470" w:firstLineChars="196"/>
        <w:jc w:val="left"/>
        <w:rPr>
          <w:rFonts w:ascii="宋体" w:hAnsi="宋体" w:cs="宋体"/>
          <w:sz w:val="24"/>
          <w:highlight w:val="none"/>
        </w:rPr>
      </w:pPr>
      <w:r>
        <w:rPr>
          <w:rFonts w:hint="eastAsia" w:ascii="宋体" w:hAnsi="宋体" w:cs="宋体"/>
          <w:sz w:val="24"/>
          <w:highlight w:val="none"/>
        </w:rPr>
        <w:t>（1）开标一览表（报价表）；</w:t>
      </w: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hint="eastAsia" w:ascii="宋体" w:hAnsi="宋体" w:eastAsia="宋体" w:cs="宋体"/>
          <w:bCs/>
          <w:sz w:val="24"/>
          <w:highlight w:val="none"/>
          <w:lang w:eastAsia="zh-CN"/>
        </w:rPr>
      </w:pPr>
    </w:p>
    <w:p>
      <w:pPr>
        <w:pStyle w:val="29"/>
        <w:rPr>
          <w:rFonts w:hint="eastAsia"/>
          <w:lang w:eastAsia="zh-CN"/>
        </w:rPr>
      </w:pPr>
    </w:p>
    <w:p>
      <w:pPr>
        <w:pStyle w:val="29"/>
        <w:rPr>
          <w:rFonts w:hint="eastAsia"/>
          <w:lang w:eastAsia="zh-CN"/>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jc w:val="center"/>
        <w:rPr>
          <w:rFonts w:hint="eastAsia" w:ascii="宋体" w:hAnsi="宋体" w:cs="宋体"/>
          <w:b/>
          <w:sz w:val="28"/>
          <w:szCs w:val="28"/>
          <w:highlight w:val="none"/>
        </w:rPr>
      </w:pPr>
    </w:p>
    <w:p>
      <w:pPr>
        <w:adjustRightInd/>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rPr>
        <w:t>开标一览表</w:t>
      </w:r>
    </w:p>
    <w:p>
      <w:pPr>
        <w:adjustRightInd/>
        <w:spacing w:line="360" w:lineRule="auto"/>
        <w:jc w:val="both"/>
        <w:rPr>
          <w:rFonts w:hint="eastAsia" w:ascii="宋体" w:hAnsi="宋体" w:cs="宋体"/>
          <w:color w:val="auto"/>
          <w:sz w:val="24"/>
          <w:szCs w:val="24"/>
        </w:rPr>
      </w:pPr>
      <w:r>
        <w:rPr>
          <w:rFonts w:hint="eastAsia" w:ascii="宋体" w:hAnsi="宋体" w:cs="宋体"/>
          <w:color w:val="auto"/>
          <w:sz w:val="24"/>
          <w:szCs w:val="24"/>
        </w:rPr>
        <w:t>项目名称：</w:t>
      </w:r>
      <w:r>
        <w:rPr>
          <w:rFonts w:hint="eastAsia" w:ascii="宋体" w:cs="宋体"/>
          <w:b w:val="0"/>
          <w:color w:val="auto"/>
          <w:sz w:val="24"/>
          <w:szCs w:val="24"/>
          <w:lang w:val="en-US" w:eastAsia="zh-CN"/>
        </w:rPr>
        <w:t>嵊州市仙岩镇云上舜皇文旅开发项目-提升改造（茶文化中心）空间提升及布展文化项目</w:t>
      </w:r>
      <w:r>
        <w:rPr>
          <w:rFonts w:hint="eastAsia" w:ascii="宋体" w:hAnsi="宋体" w:cs="宋体"/>
          <w:color w:val="auto"/>
          <w:sz w:val="24"/>
          <w:szCs w:val="24"/>
        </w:rPr>
        <w:t xml:space="preserve">                                </w:t>
      </w:r>
    </w:p>
    <w:p>
      <w:pPr>
        <w:spacing w:line="360" w:lineRule="auto"/>
        <w:rPr>
          <w:rFonts w:hint="eastAsia" w:ascii="宋体" w:hAnsi="宋体" w:cs="宋体"/>
          <w:color w:val="auto"/>
          <w:sz w:val="24"/>
          <w:szCs w:val="24"/>
        </w:rPr>
      </w:pPr>
      <w:r>
        <w:rPr>
          <w:rFonts w:hint="eastAsia" w:ascii="宋体" w:hAnsi="宋体" w:cs="宋体"/>
          <w:color w:val="auto"/>
          <w:sz w:val="24"/>
          <w:szCs w:val="24"/>
          <w:lang w:eastAsia="zh-CN"/>
        </w:rPr>
        <w:t>项目</w:t>
      </w:r>
      <w:r>
        <w:rPr>
          <w:rFonts w:hint="eastAsia" w:ascii="宋体" w:hAnsi="宋体" w:cs="宋体"/>
          <w:color w:val="auto"/>
          <w:sz w:val="24"/>
          <w:szCs w:val="24"/>
        </w:rPr>
        <w:t>编号：</w:t>
      </w:r>
      <w:r>
        <w:rPr>
          <w:rFonts w:hint="eastAsia" w:ascii="宋体" w:hAnsi="宋体" w:cs="宋体"/>
          <w:color w:val="auto"/>
          <w:sz w:val="24"/>
          <w:szCs w:val="24"/>
          <w:lang w:eastAsia="zh-CN"/>
        </w:rPr>
        <w:t>JQ-SZ20250506</w:t>
      </w:r>
      <w:r>
        <w:rPr>
          <w:rFonts w:hint="eastAsia" w:ascii="宋体" w:hAnsi="宋体" w:cs="宋体"/>
          <w:color w:val="auto"/>
          <w:sz w:val="24"/>
          <w:szCs w:val="24"/>
        </w:rPr>
        <w:t xml:space="preserve"> </w:t>
      </w:r>
    </w:p>
    <w:p>
      <w:pPr>
        <w:spacing w:line="360" w:lineRule="auto"/>
        <w:rPr>
          <w:rFonts w:hint="eastAsia" w:ascii="宋体" w:hAnsi="宋体" w:cs="宋体"/>
          <w:color w:val="auto"/>
          <w:sz w:val="24"/>
          <w:szCs w:val="24"/>
        </w:rPr>
      </w:pPr>
      <w:r>
        <w:rPr>
          <w:rFonts w:hint="eastAsia" w:ascii="宋体" w:hAnsi="宋体" w:cs="宋体"/>
          <w:color w:val="auto"/>
          <w:sz w:val="24"/>
          <w:szCs w:val="24"/>
        </w:rPr>
        <w:t>价格单位：（人民币）</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元</w:t>
      </w:r>
    </w:p>
    <w:tbl>
      <w:tblPr>
        <w:tblStyle w:val="30"/>
        <w:tblW w:w="9652" w:type="dxa"/>
        <w:tblInd w:w="-2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3326"/>
        <w:gridCol w:w="1317"/>
        <w:gridCol w:w="1955"/>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trPr>
        <w:tc>
          <w:tcPr>
            <w:tcW w:w="1684" w:type="dxa"/>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3326" w:type="dxa"/>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名称</w:t>
            </w:r>
          </w:p>
        </w:tc>
        <w:tc>
          <w:tcPr>
            <w:tcW w:w="1317" w:type="dxa"/>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数量</w:t>
            </w:r>
          </w:p>
        </w:tc>
        <w:tc>
          <w:tcPr>
            <w:tcW w:w="1955" w:type="dxa"/>
            <w:noWrap w:val="0"/>
            <w:vAlign w:val="center"/>
          </w:tcPr>
          <w:p>
            <w:pPr>
              <w:spacing w:line="360" w:lineRule="auto"/>
              <w:jc w:val="both"/>
              <w:rPr>
                <w:rFonts w:hint="eastAsia" w:ascii="宋体" w:hAnsi="宋体" w:eastAsia="宋体" w:cs="宋体"/>
                <w:b/>
                <w:sz w:val="24"/>
                <w:lang w:eastAsia="zh-CN"/>
              </w:rPr>
            </w:pPr>
            <w:r>
              <w:rPr>
                <w:rFonts w:hint="eastAsia" w:ascii="宋体" w:hAnsi="宋体" w:eastAsia="宋体" w:cs="宋体"/>
                <w:b/>
                <w:sz w:val="24"/>
                <w:lang w:eastAsia="zh-CN"/>
              </w:rPr>
              <w:t>投标报价（元）</w:t>
            </w:r>
          </w:p>
        </w:tc>
        <w:tc>
          <w:tcPr>
            <w:tcW w:w="1370" w:type="dxa"/>
            <w:noWrap w:val="0"/>
            <w:vAlign w:val="center"/>
          </w:tcPr>
          <w:p>
            <w:pPr>
              <w:spacing w:line="360" w:lineRule="auto"/>
              <w:jc w:val="center"/>
              <w:rPr>
                <w:rFonts w:hint="eastAsia" w:ascii="宋体" w:hAnsi="宋体" w:eastAsia="宋体" w:cs="宋体"/>
                <w:b/>
                <w:sz w:val="24"/>
                <w:lang w:eastAsia="zh-CN"/>
              </w:rPr>
            </w:pPr>
            <w:r>
              <w:rPr>
                <w:rFonts w:hint="eastAsia" w:ascii="宋体" w:hAnsi="宋体" w:eastAsia="宋体" w:cs="宋体"/>
                <w:b/>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1684" w:type="dxa"/>
            <w:noWrap w:val="0"/>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hint="eastAsia" w:ascii="宋体" w:hAnsi="宋体" w:eastAsia="宋体" w:cs="宋体"/>
                <w:sz w:val="24"/>
              </w:rPr>
            </w:pPr>
            <w:r>
              <w:rPr>
                <w:rFonts w:hint="eastAsia" w:ascii="宋体" w:hAnsi="宋体" w:eastAsia="宋体" w:cs="宋体"/>
                <w:sz w:val="24"/>
              </w:rPr>
              <w:t>1</w:t>
            </w:r>
          </w:p>
        </w:tc>
        <w:tc>
          <w:tcPr>
            <w:tcW w:w="33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sz w:val="24"/>
              </w:rPr>
            </w:pPr>
          </w:p>
        </w:tc>
        <w:tc>
          <w:tcPr>
            <w:tcW w:w="13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lang w:val="en-US" w:eastAsia="zh-CN"/>
              </w:rPr>
            </w:pPr>
          </w:p>
        </w:tc>
        <w:tc>
          <w:tcPr>
            <w:tcW w:w="1955" w:type="dxa"/>
            <w:noWrap w:val="0"/>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hint="eastAsia" w:ascii="宋体" w:hAnsi="宋体" w:eastAsia="宋体" w:cs="宋体"/>
                <w:sz w:val="24"/>
              </w:rPr>
            </w:pPr>
          </w:p>
        </w:tc>
        <w:tc>
          <w:tcPr>
            <w:tcW w:w="1370" w:type="dxa"/>
            <w:noWrap w:val="0"/>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9652" w:type="dxa"/>
            <w:gridSpan w:val="5"/>
            <w:noWrap w:val="0"/>
            <w:vAlign w:val="center"/>
          </w:tcPr>
          <w:p>
            <w:pPr>
              <w:keepNext w:val="0"/>
              <w:keepLines w:val="0"/>
              <w:pageBreakBefore w:val="0"/>
              <w:widowControl w:val="0"/>
              <w:kinsoku/>
              <w:wordWrap/>
              <w:overflowPunct/>
              <w:topLinePunct w:val="0"/>
              <w:autoSpaceDE/>
              <w:autoSpaceDN/>
              <w:bidi w:val="0"/>
              <w:adjustRightInd w:val="0"/>
              <w:spacing w:line="440" w:lineRule="exact"/>
              <w:jc w:val="left"/>
              <w:textAlignment w:val="auto"/>
              <w:rPr>
                <w:rFonts w:hint="eastAsia" w:ascii="宋体" w:hAnsi="宋体" w:eastAsia="宋体" w:cs="宋体"/>
                <w:sz w:val="24"/>
                <w:lang w:val="en-US" w:eastAsia="zh-CN"/>
              </w:rPr>
            </w:pPr>
            <w:r>
              <w:rPr>
                <w:rFonts w:hint="eastAsia" w:ascii="宋体" w:hAnsi="宋体" w:eastAsia="宋体" w:cs="宋体"/>
                <w:b/>
                <w:bCs/>
                <w:sz w:val="24"/>
                <w:lang w:eastAsia="zh-CN"/>
              </w:rPr>
              <w:t>投标报价总计（大写）</w:t>
            </w:r>
            <w:r>
              <w:rPr>
                <w:rFonts w:hint="eastAsia" w:ascii="宋体" w:hAnsi="宋体" w:eastAsia="宋体" w:cs="宋体"/>
                <w:b/>
                <w:bCs/>
                <w:sz w:val="24"/>
                <w:lang w:val="en-US" w:eastAsia="zh-CN"/>
              </w:rPr>
              <w:t>:       元整</w:t>
            </w:r>
          </w:p>
        </w:tc>
      </w:tr>
    </w:tbl>
    <w:p>
      <w:pPr>
        <w:tabs>
          <w:tab w:val="left" w:pos="9180"/>
        </w:tabs>
        <w:adjustRightInd/>
        <w:spacing w:line="360" w:lineRule="auto"/>
        <w:rPr>
          <w:rFonts w:ascii="宋体" w:hAnsi="宋体" w:cs="宋体"/>
          <w:bCs/>
          <w:sz w:val="24"/>
          <w:highlight w:val="none"/>
        </w:rPr>
      </w:pPr>
      <w:r>
        <w:rPr>
          <w:rFonts w:hint="eastAsia" w:ascii="宋体" w:hAnsi="宋体" w:cs="宋体"/>
          <w:b/>
          <w:sz w:val="24"/>
          <w:highlight w:val="none"/>
        </w:rPr>
        <w:t xml:space="preserve">注: </w:t>
      </w:r>
      <w:r>
        <w:rPr>
          <w:rFonts w:hint="eastAsia" w:ascii="宋体" w:hAnsi="宋体" w:cs="宋体"/>
          <w:bCs/>
          <w:sz w:val="24"/>
          <w:highlight w:val="none"/>
        </w:rPr>
        <w:t>1.应包含服务所发生的费用包含但不仅限项目实施所需的人工费、设计、排版、材料价、制作、税金、包装、服务、代理服务费等一切费用。</w:t>
      </w:r>
    </w:p>
    <w:p>
      <w:pPr>
        <w:tabs>
          <w:tab w:val="left" w:pos="9180"/>
        </w:tabs>
        <w:adjustRightInd/>
        <w:spacing w:line="360" w:lineRule="auto"/>
        <w:ind w:firstLine="240" w:firstLineChars="100"/>
        <w:rPr>
          <w:rFonts w:ascii="宋体" w:hAnsi="宋体" w:cs="宋体"/>
          <w:bCs/>
          <w:sz w:val="24"/>
          <w:highlight w:val="none"/>
        </w:rPr>
      </w:pPr>
      <w:r>
        <w:rPr>
          <w:rFonts w:hint="eastAsia" w:ascii="宋体" w:hAnsi="宋体" w:cs="宋体"/>
          <w:bCs/>
          <w:sz w:val="24"/>
          <w:highlight w:val="none"/>
        </w:rPr>
        <w:t>2.报价一经涂改，应在涂改处加盖单位公章或者由法定代表人签字或盖章，否则其响应作无效标处理。</w:t>
      </w:r>
    </w:p>
    <w:p>
      <w:pPr>
        <w:tabs>
          <w:tab w:val="left" w:pos="9180"/>
        </w:tabs>
        <w:adjustRightInd/>
        <w:spacing w:line="360" w:lineRule="auto"/>
        <w:ind w:firstLine="240" w:firstLineChars="100"/>
        <w:rPr>
          <w:rFonts w:ascii="宋体" w:hAnsi="宋体" w:cs="宋体"/>
          <w:b/>
          <w:sz w:val="24"/>
          <w:highlight w:val="none"/>
        </w:rPr>
      </w:pPr>
      <w:r>
        <w:rPr>
          <w:rFonts w:hint="eastAsia" w:ascii="宋体" w:hAnsi="宋体" w:cs="宋体"/>
          <w:bCs/>
          <w:sz w:val="24"/>
          <w:highlight w:val="none"/>
        </w:rPr>
        <w:t>3.采购人将以合同形式有偿取得货物或服务，不接受投标人给予的赠品、回扣或者与采购无关的其他商品、服务，不得出现“0元”、“免费赠送”等形式的无偿报价，否则视为响应文件含有采购人不能接受的附加条件，响应无效。</w:t>
      </w:r>
    </w:p>
    <w:p>
      <w:pPr>
        <w:tabs>
          <w:tab w:val="left" w:pos="9180"/>
        </w:tabs>
        <w:adjustRightInd/>
        <w:spacing w:line="360" w:lineRule="auto"/>
        <w:ind w:firstLine="241" w:firstLineChars="100"/>
        <w:rPr>
          <w:rFonts w:ascii="宋体" w:hAnsi="宋体" w:cs="宋体"/>
          <w:sz w:val="24"/>
          <w:highlight w:val="none"/>
        </w:rPr>
      </w:pPr>
      <w:r>
        <w:rPr>
          <w:rFonts w:hint="eastAsia" w:ascii="宋体" w:hAnsi="宋体" w:cs="宋体"/>
          <w:b/>
          <w:sz w:val="24"/>
          <w:highlight w:val="none"/>
        </w:rPr>
        <w:t>4.</w:t>
      </w:r>
      <w:r>
        <w:rPr>
          <w:rFonts w:hint="eastAsia" w:ascii="宋体" w:hAnsi="宋体" w:cs="宋体"/>
          <w:b/>
          <w:sz w:val="24"/>
          <w:highlight w:val="none"/>
          <w:u w:val="single"/>
        </w:rPr>
        <w:t>特别提醒：本表的报价内容不能出现在资信技术文件中</w:t>
      </w:r>
      <w:r>
        <w:rPr>
          <w:rFonts w:hint="eastAsia" w:ascii="宋体" w:hAnsi="宋体" w:cs="宋体"/>
          <w:b/>
          <w:sz w:val="24"/>
          <w:highlight w:val="none"/>
        </w:rPr>
        <w:t>。</w:t>
      </w:r>
    </w:p>
    <w:p>
      <w:pPr>
        <w:tabs>
          <w:tab w:val="left" w:pos="2310"/>
        </w:tabs>
        <w:spacing w:line="360" w:lineRule="auto"/>
        <w:ind w:firstLine="600" w:firstLineChars="250"/>
        <w:rPr>
          <w:rFonts w:ascii="宋体" w:hAnsi="宋体" w:cs="宋体"/>
          <w:sz w:val="24"/>
          <w:highlight w:val="none"/>
        </w:rPr>
      </w:pPr>
    </w:p>
    <w:p>
      <w:pPr>
        <w:tabs>
          <w:tab w:val="left" w:pos="2310"/>
        </w:tabs>
        <w:spacing w:line="360" w:lineRule="auto"/>
        <w:ind w:firstLine="600" w:firstLineChars="250"/>
        <w:rPr>
          <w:rFonts w:ascii="宋体" w:hAnsi="宋体" w:cs="宋体"/>
          <w:sz w:val="24"/>
          <w:highlight w:val="none"/>
        </w:rPr>
      </w:pPr>
    </w:p>
    <w:p>
      <w:pPr>
        <w:tabs>
          <w:tab w:val="left" w:pos="2310"/>
        </w:tabs>
        <w:spacing w:line="360" w:lineRule="auto"/>
        <w:ind w:firstLine="600" w:firstLineChars="250"/>
        <w:rPr>
          <w:rFonts w:ascii="宋体" w:hAnsi="宋体" w:cs="宋体"/>
          <w:sz w:val="24"/>
          <w:highlight w:val="none"/>
        </w:rPr>
      </w:pPr>
    </w:p>
    <w:p>
      <w:pPr>
        <w:spacing w:line="360" w:lineRule="auto"/>
        <w:ind w:firstLine="5760" w:firstLineChars="2400"/>
        <w:rPr>
          <w:rFonts w:ascii="宋体" w:hAnsi="宋体" w:cs="宋体"/>
          <w:sz w:val="24"/>
          <w:highlight w:val="none"/>
        </w:rPr>
      </w:pPr>
      <w:r>
        <w:rPr>
          <w:rFonts w:hint="eastAsia" w:ascii="宋体" w:hAnsi="宋体" w:cs="宋体"/>
          <w:sz w:val="24"/>
          <w:highlight w:val="none"/>
        </w:rPr>
        <w:t>投标人(电子签章)：</w:t>
      </w:r>
    </w:p>
    <w:p>
      <w:pPr>
        <w:snapToGrid w:val="0"/>
        <w:spacing w:line="360" w:lineRule="auto"/>
        <w:ind w:firstLine="5760" w:firstLineChars="2400"/>
        <w:rPr>
          <w:rFonts w:hint="eastAsia" w:ascii="宋体" w:hAnsi="宋体" w:eastAsia="宋体" w:cs="宋体"/>
          <w:kern w:val="0"/>
          <w:sz w:val="24"/>
          <w:highlight w:val="none"/>
          <w:lang w:val="en-US" w:eastAsia="zh-CN"/>
        </w:rPr>
      </w:pPr>
      <w:r>
        <w:rPr>
          <w:rFonts w:hint="eastAsia" w:ascii="宋体" w:hAnsi="宋体" w:cs="宋体"/>
          <w:sz w:val="24"/>
          <w:highlight w:val="none"/>
        </w:rPr>
        <w:t xml:space="preserve">                                                       </w:t>
      </w:r>
      <w:r>
        <w:rPr>
          <w:rFonts w:hint="eastAsia" w:ascii="宋体" w:hAnsi="宋体" w:cs="宋体"/>
          <w:kern w:val="0"/>
          <w:sz w:val="24"/>
          <w:highlight w:val="none"/>
          <w:lang w:val="en-US" w:eastAsia="zh-CN"/>
        </w:rPr>
        <w:t xml:space="preserve"> </w:t>
      </w:r>
    </w:p>
    <w:p>
      <w:pPr>
        <w:snapToGrid w:val="0"/>
        <w:spacing w:line="360" w:lineRule="auto"/>
        <w:ind w:firstLine="5760" w:firstLineChars="2400"/>
        <w:rPr>
          <w:rFonts w:ascii="宋体" w:hAnsi="宋体" w:cs="宋体"/>
          <w:kern w:val="0"/>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pacing w:line="360" w:lineRule="auto"/>
        <w:rPr>
          <w:rFonts w:hint="eastAsia" w:ascii="宋体" w:hAnsi="宋体" w:cs="宋体"/>
          <w:sz w:val="24"/>
          <w:highlight w:val="none"/>
        </w:rPr>
      </w:pPr>
    </w:p>
    <w:p>
      <w:pPr>
        <w:pStyle w:val="29"/>
        <w:rPr>
          <w:rFonts w:hint="eastAsia"/>
        </w:rPr>
      </w:pPr>
    </w:p>
    <w:p>
      <w:pPr>
        <w:pStyle w:val="29"/>
        <w:rPr>
          <w:rFonts w:hint="eastAsia"/>
        </w:rPr>
      </w:pPr>
    </w:p>
    <w:p>
      <w:pPr>
        <w:pStyle w:val="29"/>
        <w:rPr>
          <w:rFonts w:hint="eastAsia"/>
        </w:rPr>
      </w:pPr>
    </w:p>
    <w:p>
      <w:pPr>
        <w:pStyle w:val="29"/>
        <w:rPr>
          <w:rFonts w:hint="eastAsia"/>
        </w:rPr>
      </w:pPr>
    </w:p>
    <w:p>
      <w:pPr>
        <w:pStyle w:val="29"/>
        <w:rPr>
          <w:rFonts w:hint="eastAsia"/>
        </w:rPr>
      </w:pPr>
    </w:p>
    <w:p>
      <w:pPr>
        <w:pStyle w:val="29"/>
        <w:rPr>
          <w:rFonts w:hint="eastAsia"/>
        </w:rPr>
      </w:pPr>
    </w:p>
    <w:p>
      <w:pPr>
        <w:pStyle w:val="29"/>
        <w:rPr>
          <w:rFonts w:hint="eastAsia"/>
        </w:rPr>
      </w:pPr>
    </w:p>
    <w:p>
      <w:pPr>
        <w:pStyle w:val="29"/>
        <w:rPr>
          <w:rFonts w:hint="eastAsia"/>
        </w:rPr>
      </w:pPr>
    </w:p>
    <w:p>
      <w:pPr>
        <w:pStyle w:val="29"/>
      </w:pPr>
    </w:p>
    <w:p/>
    <w:p>
      <w:pPr>
        <w:pStyle w:val="37"/>
      </w:pPr>
    </w:p>
    <w:p>
      <w:pPr>
        <w:pStyle w:val="59"/>
        <w:numPr>
          <w:ilvl w:val="0"/>
          <w:numId w:val="0"/>
        </w:numPr>
        <w:adjustRightInd/>
        <w:snapToGrid w:val="0"/>
        <w:spacing w:line="360" w:lineRule="auto"/>
        <w:jc w:val="both"/>
        <w:rPr>
          <w:rFonts w:hint="default" w:hAnsi="宋体" w:cs="宋体"/>
          <w:b/>
          <w:bCs/>
          <w:sz w:val="24"/>
          <w:szCs w:val="24"/>
          <w:highlight w:val="none"/>
        </w:rPr>
      </w:pPr>
    </w:p>
    <w:p>
      <w:pPr>
        <w:pStyle w:val="59"/>
        <w:numPr>
          <w:ilvl w:val="0"/>
          <w:numId w:val="0"/>
        </w:numPr>
        <w:adjustRightInd/>
        <w:snapToGrid w:val="0"/>
        <w:spacing w:line="360" w:lineRule="auto"/>
        <w:ind w:firstLine="420" w:firstLineChars="200"/>
        <w:jc w:val="left"/>
        <w:rPr>
          <w:rStyle w:val="36"/>
          <w:rFonts w:hint="default" w:ascii="仿宋" w:hAnsi="仿宋" w:eastAsia="仿宋" w:cs="仿宋"/>
          <w:b/>
          <w:bCs/>
          <w:color w:val="auto"/>
          <w:sz w:val="24"/>
          <w:szCs w:val="24"/>
          <w:highlight w:val="none"/>
        </w:rPr>
      </w:pPr>
      <w:r>
        <w:rPr>
          <w:highlight w:val="none"/>
        </w:rPr>
        <w:fldChar w:fldCharType="begin"/>
      </w:r>
      <w:r>
        <w:rPr>
          <w:highlight w:val="none"/>
        </w:rPr>
        <w:instrText xml:space="preserve"> HYPERLINK "mailto:根据浙江省财政厅关于印发《浙江省政府采购活动现场组织管理办法》的通知（浙财采监【2015】13号）文件要求，由各投标供应商在投标文件解密后半小时内如实填写政府采购活动现场确认声明书，并以扫描件形式发送至874137158@qq.com邮箱，如未如实填写，将有可能影响你的投标文件评审（政府采购活动现场确认声明书格式见附表）。" </w:instrText>
      </w:r>
      <w:r>
        <w:rPr>
          <w:highlight w:val="none"/>
        </w:rPr>
        <w:fldChar w:fldCharType="separate"/>
      </w:r>
      <w:r>
        <w:rPr>
          <w:rStyle w:val="36"/>
          <w:rFonts w:ascii="宋体" w:hAnsi="宋体" w:eastAsia="宋体" w:cs="宋体"/>
          <w:b/>
          <w:bCs/>
          <w:color w:val="auto"/>
          <w:sz w:val="24"/>
          <w:szCs w:val="24"/>
          <w:highlight w:val="none"/>
        </w:rPr>
        <w:t>标投标人在投标文件解密后半小时内如实填写采购活动现场确认声明书，并以扫描件形式发送至</w:t>
      </w:r>
      <w:r>
        <w:rPr>
          <w:rStyle w:val="36"/>
          <w:rFonts w:hint="eastAsia" w:hAnsi="宋体" w:cs="宋体"/>
          <w:b/>
          <w:bCs/>
          <w:color w:val="auto"/>
          <w:sz w:val="24"/>
          <w:szCs w:val="24"/>
          <w:highlight w:val="none"/>
          <w:lang w:eastAsia="zh-CN"/>
        </w:rPr>
        <w:t>892720605</w:t>
      </w:r>
      <w:r>
        <w:rPr>
          <w:rStyle w:val="36"/>
          <w:rFonts w:ascii="宋体" w:hAnsi="宋体" w:eastAsia="宋体" w:cs="宋体"/>
          <w:b/>
          <w:bCs/>
          <w:color w:val="auto"/>
          <w:sz w:val="24"/>
          <w:szCs w:val="24"/>
          <w:highlight w:val="none"/>
        </w:rPr>
        <w:t>@qq.com邮箱，如未如实填写，将有可能影响你的投标文件评审（采购活动现场确认声明书格式见附表）。</w:t>
      </w:r>
      <w:r>
        <w:rPr>
          <w:rStyle w:val="36"/>
          <w:rFonts w:ascii="仿宋" w:hAnsi="仿宋" w:eastAsia="仿宋" w:cs="仿宋"/>
          <w:b/>
          <w:bCs/>
          <w:color w:val="auto"/>
          <w:sz w:val="24"/>
          <w:szCs w:val="24"/>
          <w:highlight w:val="none"/>
        </w:rPr>
        <w:br w:type="page"/>
      </w:r>
      <w:r>
        <w:rPr>
          <w:rStyle w:val="36"/>
          <w:rFonts w:ascii="仿宋" w:hAnsi="仿宋" w:eastAsia="仿宋" w:cs="仿宋"/>
          <w:b/>
          <w:bCs/>
          <w:color w:val="auto"/>
          <w:sz w:val="24"/>
          <w:szCs w:val="24"/>
          <w:highlight w:val="none"/>
        </w:rPr>
        <w:fldChar w:fldCharType="end"/>
      </w:r>
    </w:p>
    <w:p>
      <w:pPr>
        <w:jc w:val="center"/>
        <w:rPr>
          <w:rFonts w:ascii="宋体" w:hAnsi="宋体" w:cs="宋体"/>
          <w:b/>
          <w:bCs/>
          <w:sz w:val="28"/>
          <w:szCs w:val="28"/>
          <w:highlight w:val="none"/>
        </w:rPr>
      </w:pPr>
      <w:r>
        <w:rPr>
          <w:rFonts w:hint="eastAsia" w:ascii="宋体" w:hAnsi="宋体" w:cs="宋体"/>
          <w:b/>
          <w:bCs/>
          <w:sz w:val="28"/>
          <w:szCs w:val="28"/>
          <w:highlight w:val="none"/>
        </w:rPr>
        <w:t>采购活动现场确认声明书</w:t>
      </w:r>
    </w:p>
    <w:p>
      <w:pPr>
        <w:pStyle w:val="59"/>
        <w:numPr>
          <w:ilvl w:val="0"/>
          <w:numId w:val="0"/>
        </w:numPr>
        <w:adjustRightInd/>
        <w:snapToGrid w:val="0"/>
        <w:spacing w:line="460" w:lineRule="exact"/>
        <w:rPr>
          <w:rFonts w:hint="default" w:hAnsi="宋体" w:cs="宋体"/>
          <w:b/>
          <w:sz w:val="24"/>
          <w:szCs w:val="24"/>
          <w:highlight w:val="none"/>
        </w:rPr>
      </w:pPr>
      <w:r>
        <w:rPr>
          <w:rFonts w:hint="eastAsia" w:hAnsi="宋体" w:cs="宋体"/>
          <w:sz w:val="24"/>
          <w:szCs w:val="24"/>
          <w:highlight w:val="none"/>
          <w:u w:val="single"/>
          <w:lang w:eastAsia="zh-CN"/>
        </w:rPr>
        <w:t>泾清项目管理有限公司</w:t>
      </w:r>
      <w:r>
        <w:rPr>
          <w:rFonts w:hAnsi="宋体" w:cs="宋体"/>
          <w:sz w:val="24"/>
          <w:szCs w:val="24"/>
          <w:highlight w:val="none"/>
        </w:rPr>
        <w:t>：</w:t>
      </w:r>
    </w:p>
    <w:p>
      <w:pPr>
        <w:pStyle w:val="59"/>
        <w:numPr>
          <w:ilvl w:val="0"/>
          <w:numId w:val="0"/>
        </w:numPr>
        <w:adjustRightInd/>
        <w:snapToGrid w:val="0"/>
        <w:spacing w:line="460" w:lineRule="exact"/>
        <w:ind w:firstLine="504" w:firstLineChars="200"/>
        <w:rPr>
          <w:rFonts w:hint="default" w:hAnsi="宋体" w:cs="宋体"/>
          <w:spacing w:val="6"/>
          <w:sz w:val="24"/>
          <w:szCs w:val="24"/>
          <w:highlight w:val="none"/>
        </w:rPr>
      </w:pPr>
      <w:r>
        <w:rPr>
          <w:rFonts w:hAnsi="宋体" w:cs="宋体"/>
          <w:spacing w:val="6"/>
          <w:sz w:val="24"/>
          <w:szCs w:val="24"/>
          <w:highlight w:val="none"/>
        </w:rPr>
        <w:t>本人</w:t>
      </w:r>
      <w:r>
        <w:rPr>
          <w:rFonts w:hAnsi="宋体" w:cs="宋体"/>
          <w:spacing w:val="6"/>
          <w:sz w:val="24"/>
          <w:szCs w:val="24"/>
          <w:highlight w:val="none"/>
          <w:u w:val="single"/>
        </w:rPr>
        <w:t xml:space="preserve">      </w:t>
      </w:r>
      <w:r>
        <w:rPr>
          <w:rFonts w:hAnsi="宋体" w:cs="宋体"/>
          <w:spacing w:val="6"/>
          <w:sz w:val="24"/>
          <w:szCs w:val="24"/>
          <w:highlight w:val="none"/>
        </w:rPr>
        <w:t>经由</w:t>
      </w:r>
      <w:r>
        <w:rPr>
          <w:rFonts w:hAnsi="宋体" w:cs="宋体"/>
          <w:spacing w:val="6"/>
          <w:sz w:val="24"/>
          <w:szCs w:val="24"/>
          <w:highlight w:val="none"/>
          <w:u w:val="single"/>
        </w:rPr>
        <w:t xml:space="preserve">                                （单位）</w:t>
      </w:r>
      <w:r>
        <w:rPr>
          <w:rFonts w:hAnsi="宋体" w:cs="宋体"/>
          <w:spacing w:val="6"/>
          <w:sz w:val="24"/>
          <w:szCs w:val="24"/>
          <w:highlight w:val="none"/>
        </w:rPr>
        <w:t>负责人</w:t>
      </w:r>
      <w:r>
        <w:rPr>
          <w:rFonts w:hAnsi="宋体" w:cs="宋体"/>
          <w:spacing w:val="6"/>
          <w:sz w:val="24"/>
          <w:szCs w:val="24"/>
          <w:highlight w:val="none"/>
          <w:u w:val="single"/>
        </w:rPr>
        <w:t xml:space="preserve"> </w:t>
      </w:r>
      <w:r>
        <w:rPr>
          <w:rFonts w:hAnsi="宋体" w:cs="宋体"/>
          <w:i/>
          <w:iCs/>
          <w:spacing w:val="6"/>
          <w:sz w:val="24"/>
          <w:szCs w:val="24"/>
          <w:highlight w:val="none"/>
          <w:u w:val="single"/>
        </w:rPr>
        <w:t xml:space="preserve">     </w:t>
      </w:r>
      <w:r>
        <w:rPr>
          <w:rFonts w:hAnsi="宋体" w:cs="宋体"/>
          <w:spacing w:val="6"/>
          <w:sz w:val="24"/>
          <w:szCs w:val="24"/>
          <w:highlight w:val="none"/>
          <w:u w:val="single"/>
        </w:rPr>
        <w:t>（姓名）</w:t>
      </w:r>
      <w:r>
        <w:rPr>
          <w:rFonts w:hAnsi="宋体" w:cs="宋体"/>
          <w:spacing w:val="6"/>
          <w:sz w:val="24"/>
          <w:szCs w:val="24"/>
          <w:highlight w:val="none"/>
        </w:rPr>
        <w:t>合法授权参加</w:t>
      </w:r>
      <w:r>
        <w:rPr>
          <w:rFonts w:hAnsi="宋体" w:cs="宋体"/>
          <w:spacing w:val="6"/>
          <w:sz w:val="24"/>
          <w:szCs w:val="24"/>
          <w:highlight w:val="none"/>
          <w:u w:val="single"/>
        </w:rPr>
        <w:t xml:space="preserve">                </w:t>
      </w:r>
      <w:r>
        <w:rPr>
          <w:rFonts w:hAnsi="宋体" w:cs="宋体"/>
          <w:spacing w:val="6"/>
          <w:sz w:val="24"/>
          <w:szCs w:val="24"/>
          <w:highlight w:val="none"/>
        </w:rPr>
        <w:t>（项目编号：</w:t>
      </w:r>
      <w:r>
        <w:rPr>
          <w:rFonts w:hAnsi="宋体" w:cs="宋体"/>
          <w:spacing w:val="6"/>
          <w:sz w:val="24"/>
          <w:szCs w:val="24"/>
          <w:highlight w:val="none"/>
          <w:u w:val="single"/>
        </w:rPr>
        <w:t xml:space="preserve">            </w:t>
      </w:r>
      <w:r>
        <w:rPr>
          <w:rFonts w:hAnsi="宋体" w:cs="宋体"/>
          <w:spacing w:val="6"/>
          <w:sz w:val="24"/>
          <w:szCs w:val="24"/>
          <w:highlight w:val="none"/>
        </w:rPr>
        <w:t xml:space="preserve">）采购活动，经与本单位法人代表（负责人）联系确认，现就有关公平竞争事项郑重声明如下： </w:t>
      </w:r>
    </w:p>
    <w:p>
      <w:pPr>
        <w:pStyle w:val="8"/>
        <w:widowControl/>
        <w:numPr>
          <w:ilvl w:val="0"/>
          <w:numId w:val="11"/>
        </w:numPr>
        <w:snapToGrid w:val="0"/>
        <w:spacing w:line="460" w:lineRule="exact"/>
        <w:ind w:left="0" w:leftChars="0" w:firstLine="0" w:firstLineChars="0"/>
        <w:rPr>
          <w:rFonts w:ascii="宋体" w:hAnsi="宋体" w:cs="宋体"/>
          <w:kern w:val="0"/>
          <w:sz w:val="24"/>
          <w:szCs w:val="24"/>
          <w:highlight w:val="none"/>
        </w:rPr>
      </w:pPr>
      <w:r>
        <w:rPr>
          <w:rFonts w:ascii="宋体" w:hAnsi="宋体" w:cs="宋体"/>
          <w:kern w:val="0"/>
          <w:sz w:val="24"/>
          <w:szCs w:val="24"/>
          <w:highlight w:val="none"/>
        </w:rPr>
        <w:t xml:space="preserve">本单位与采购人之间 </w:t>
      </w:r>
    </w:p>
    <w:p>
      <w:pPr>
        <w:pStyle w:val="8"/>
        <w:widowControl/>
        <w:numPr>
          <w:ilvl w:val="0"/>
          <w:numId w:val="0"/>
        </w:numPr>
        <w:snapToGrid w:val="0"/>
        <w:spacing w:line="460" w:lineRule="exact"/>
        <w:ind w:leftChars="0"/>
        <w:rPr>
          <w:rFonts w:hint="default" w:ascii="宋体" w:hAnsi="宋体" w:cs="宋体"/>
          <w:kern w:val="0"/>
          <w:sz w:val="24"/>
          <w:szCs w:val="24"/>
          <w:highlight w:val="none"/>
        </w:rPr>
      </w:pPr>
      <w:r>
        <w:rPr>
          <w:rFonts w:ascii="宋体" w:hAnsi="宋体" w:cs="宋体"/>
          <w:kern w:val="0"/>
          <w:sz w:val="24"/>
          <w:szCs w:val="24"/>
          <w:highlight w:val="none"/>
        </w:rPr>
        <w:t>□不存在利害关系;</w:t>
      </w:r>
    </w:p>
    <w:p>
      <w:pPr>
        <w:pStyle w:val="8"/>
        <w:widowControl/>
        <w:snapToGrid w:val="0"/>
        <w:spacing w:line="460" w:lineRule="exact"/>
        <w:ind w:left="0" w:leftChars="0" w:firstLine="0" w:firstLineChars="0"/>
        <w:rPr>
          <w:rFonts w:hint="default" w:ascii="宋体" w:hAnsi="宋体" w:cs="宋体"/>
          <w:kern w:val="0"/>
          <w:sz w:val="24"/>
          <w:szCs w:val="24"/>
          <w:highlight w:val="none"/>
        </w:rPr>
      </w:pPr>
      <w:r>
        <w:rPr>
          <w:rFonts w:ascii="宋体" w:hAnsi="宋体" w:cs="宋体"/>
          <w:kern w:val="0"/>
          <w:sz w:val="24"/>
          <w:szCs w:val="24"/>
          <w:highlight w:val="none"/>
        </w:rPr>
        <w:t>□存在下列利害关系</w:t>
      </w:r>
      <w:r>
        <w:rPr>
          <w:rFonts w:ascii="宋体" w:hAnsi="宋体" w:cs="宋体"/>
          <w:kern w:val="0"/>
          <w:sz w:val="24"/>
          <w:szCs w:val="24"/>
          <w:highlight w:val="none"/>
          <w:u w:val="single"/>
        </w:rPr>
        <w:t xml:space="preserve">           </w:t>
      </w:r>
      <w:r>
        <w:rPr>
          <w:rFonts w:ascii="宋体" w:hAnsi="宋体" w:cs="宋体"/>
          <w:kern w:val="0"/>
          <w:sz w:val="24"/>
          <w:szCs w:val="24"/>
          <w:highlight w:val="none"/>
        </w:rPr>
        <w:t>：</w:t>
      </w:r>
    </w:p>
    <w:p>
      <w:pPr>
        <w:pStyle w:val="8"/>
        <w:widowControl/>
        <w:snapToGrid w:val="0"/>
        <w:spacing w:line="460" w:lineRule="exact"/>
        <w:ind w:left="0" w:leftChars="0" w:firstLine="0" w:firstLineChars="0"/>
        <w:rPr>
          <w:rFonts w:hint="default" w:ascii="宋体" w:hAnsi="宋体" w:cs="宋体"/>
          <w:kern w:val="0"/>
          <w:sz w:val="24"/>
          <w:szCs w:val="24"/>
          <w:highlight w:val="none"/>
        </w:rPr>
      </w:pPr>
      <w:r>
        <w:rPr>
          <w:rFonts w:ascii="宋体" w:hAnsi="宋体" w:cs="宋体"/>
          <w:kern w:val="0"/>
          <w:sz w:val="24"/>
          <w:szCs w:val="24"/>
          <w:highlight w:val="none"/>
        </w:rPr>
        <w:t>A.投资关系    B.行政隶属关系    C.业务指导关系</w:t>
      </w:r>
    </w:p>
    <w:p>
      <w:pPr>
        <w:pStyle w:val="8"/>
        <w:widowControl/>
        <w:snapToGrid w:val="0"/>
        <w:spacing w:line="460" w:lineRule="exact"/>
        <w:ind w:left="0" w:leftChars="0" w:firstLine="0" w:firstLineChars="0"/>
        <w:rPr>
          <w:rFonts w:hint="default" w:ascii="宋体" w:hAnsi="宋体" w:cs="宋体"/>
          <w:kern w:val="0"/>
          <w:sz w:val="24"/>
          <w:szCs w:val="24"/>
          <w:highlight w:val="none"/>
        </w:rPr>
      </w:pPr>
      <w:r>
        <w:rPr>
          <w:rFonts w:ascii="宋体" w:hAnsi="宋体" w:cs="宋体"/>
          <w:kern w:val="0"/>
          <w:sz w:val="24"/>
          <w:szCs w:val="24"/>
          <w:highlight w:val="none"/>
        </w:rPr>
        <w:t>D.其他可能</w:t>
      </w:r>
      <w:r>
        <w:rPr>
          <w:rFonts w:ascii="宋体" w:hAnsi="宋体" w:cs="宋体"/>
          <w:sz w:val="24"/>
          <w:szCs w:val="24"/>
          <w:highlight w:val="none"/>
        </w:rPr>
        <w:t>影响采购公正的</w:t>
      </w:r>
      <w:r>
        <w:rPr>
          <w:rFonts w:ascii="宋体" w:hAnsi="宋体" w:cs="宋体"/>
          <w:kern w:val="0"/>
          <w:sz w:val="24"/>
          <w:szCs w:val="24"/>
          <w:highlight w:val="none"/>
        </w:rPr>
        <w:t>利害关系</w:t>
      </w:r>
      <w:r>
        <w:rPr>
          <w:rFonts w:ascii="宋体" w:hAnsi="宋体" w:cs="宋体"/>
          <w:kern w:val="0"/>
          <w:sz w:val="24"/>
          <w:szCs w:val="24"/>
          <w:highlight w:val="none"/>
          <w:u w:val="single"/>
        </w:rPr>
        <w:t xml:space="preserve">（如有，请如实说明）                 </w:t>
      </w:r>
      <w:r>
        <w:rPr>
          <w:rFonts w:ascii="宋体" w:hAnsi="宋体" w:cs="宋体"/>
          <w:kern w:val="0"/>
          <w:sz w:val="24"/>
          <w:szCs w:val="24"/>
          <w:highlight w:val="none"/>
        </w:rPr>
        <w:t>。</w:t>
      </w:r>
    </w:p>
    <w:p>
      <w:pPr>
        <w:pStyle w:val="8"/>
        <w:widowControl/>
        <w:snapToGrid w:val="0"/>
        <w:spacing w:line="460" w:lineRule="exact"/>
        <w:ind w:left="0" w:leftChars="0" w:firstLine="0" w:firstLineChars="0"/>
        <w:rPr>
          <w:rFonts w:hint="default" w:ascii="宋体" w:hAnsi="宋体" w:cs="宋体"/>
          <w:kern w:val="0"/>
          <w:sz w:val="24"/>
          <w:szCs w:val="24"/>
          <w:highlight w:val="none"/>
        </w:rPr>
      </w:pPr>
      <w:r>
        <w:rPr>
          <w:rFonts w:ascii="宋体" w:hAnsi="宋体" w:cs="宋体"/>
          <w:spacing w:val="6"/>
          <w:sz w:val="24"/>
          <w:szCs w:val="24"/>
          <w:highlight w:val="none"/>
        </w:rPr>
        <w:t>二、</w:t>
      </w:r>
      <w:r>
        <w:rPr>
          <w:rFonts w:ascii="宋体" w:hAnsi="宋体" w:cs="宋体"/>
          <w:kern w:val="0"/>
          <w:sz w:val="24"/>
          <w:szCs w:val="24"/>
          <w:highlight w:val="none"/>
        </w:rPr>
        <w:t xml:space="preserve">现已清楚知道参加本项目采购活动的其他所有投标人名称，本单位 </w:t>
      </w:r>
    </w:p>
    <w:p>
      <w:pPr>
        <w:pStyle w:val="8"/>
        <w:widowControl/>
        <w:snapToGrid w:val="0"/>
        <w:spacing w:line="460" w:lineRule="exact"/>
        <w:ind w:left="0" w:leftChars="0" w:firstLine="0" w:firstLineChars="0"/>
        <w:rPr>
          <w:rFonts w:hint="default" w:ascii="宋体" w:hAnsi="宋体" w:cs="宋体"/>
          <w:kern w:val="0"/>
          <w:sz w:val="24"/>
          <w:szCs w:val="24"/>
          <w:highlight w:val="none"/>
        </w:rPr>
      </w:pPr>
      <w:r>
        <w:rPr>
          <w:rFonts w:hint="eastAsia" w:ascii="宋体" w:hAnsi="宋体" w:cs="宋体"/>
          <w:kern w:val="0"/>
          <w:sz w:val="24"/>
          <w:szCs w:val="24"/>
          <w:highlight w:val="none"/>
          <w:lang w:eastAsia="zh-CN"/>
        </w:rPr>
        <w:t>□</w:t>
      </w:r>
      <w:r>
        <w:rPr>
          <w:rFonts w:ascii="宋体" w:hAnsi="宋体" w:cs="宋体"/>
          <w:kern w:val="0"/>
          <w:sz w:val="24"/>
          <w:szCs w:val="24"/>
          <w:highlight w:val="none"/>
        </w:rPr>
        <w:t xml:space="preserve">与其他所有投标人之间均不存在利害关系 </w:t>
      </w:r>
    </w:p>
    <w:p>
      <w:pPr>
        <w:pStyle w:val="8"/>
        <w:widowControl/>
        <w:snapToGrid w:val="0"/>
        <w:spacing w:line="460" w:lineRule="exact"/>
        <w:ind w:left="0" w:leftChars="0" w:firstLine="0" w:firstLineChars="0"/>
        <w:rPr>
          <w:rFonts w:hint="default" w:ascii="宋体" w:hAnsi="宋体" w:cs="宋体"/>
          <w:kern w:val="0"/>
          <w:sz w:val="24"/>
          <w:szCs w:val="24"/>
          <w:highlight w:val="none"/>
        </w:rPr>
      </w:pPr>
      <w:r>
        <w:rPr>
          <w:rFonts w:ascii="宋体" w:hAnsi="宋体" w:cs="宋体"/>
          <w:kern w:val="0"/>
          <w:sz w:val="24"/>
          <w:szCs w:val="24"/>
          <w:highlight w:val="none"/>
        </w:rPr>
        <w:t>□与</w:t>
      </w:r>
      <w:r>
        <w:rPr>
          <w:rFonts w:ascii="宋体" w:hAnsi="宋体" w:cs="宋体"/>
          <w:kern w:val="0"/>
          <w:sz w:val="24"/>
          <w:szCs w:val="24"/>
          <w:highlight w:val="none"/>
          <w:u w:val="single"/>
        </w:rPr>
        <w:t xml:space="preserve">           （投标人名称）</w:t>
      </w:r>
      <w:r>
        <w:rPr>
          <w:rFonts w:ascii="宋体" w:hAnsi="宋体" w:cs="宋体"/>
          <w:kern w:val="0"/>
          <w:sz w:val="24"/>
          <w:szCs w:val="24"/>
          <w:highlight w:val="none"/>
        </w:rPr>
        <w:t>之间存在下列利害关系</w:t>
      </w:r>
      <w:r>
        <w:rPr>
          <w:rFonts w:ascii="宋体" w:hAnsi="宋体" w:cs="宋体"/>
          <w:kern w:val="0"/>
          <w:sz w:val="24"/>
          <w:szCs w:val="24"/>
          <w:highlight w:val="none"/>
          <w:u w:val="single"/>
        </w:rPr>
        <w:t xml:space="preserve">          </w:t>
      </w:r>
      <w:r>
        <w:rPr>
          <w:rFonts w:ascii="宋体" w:hAnsi="宋体" w:cs="宋体"/>
          <w:kern w:val="0"/>
          <w:sz w:val="24"/>
          <w:szCs w:val="24"/>
          <w:highlight w:val="none"/>
        </w:rPr>
        <w:t>：</w:t>
      </w:r>
    </w:p>
    <w:p>
      <w:pPr>
        <w:pStyle w:val="59"/>
        <w:numPr>
          <w:ilvl w:val="0"/>
          <w:numId w:val="0"/>
        </w:numPr>
        <w:adjustRightInd/>
        <w:snapToGrid w:val="0"/>
        <w:spacing w:line="460" w:lineRule="exact"/>
        <w:rPr>
          <w:rFonts w:hint="default" w:hAnsi="宋体" w:cs="宋体"/>
          <w:sz w:val="24"/>
          <w:szCs w:val="24"/>
          <w:highlight w:val="none"/>
        </w:rPr>
      </w:pPr>
      <w:r>
        <w:rPr>
          <w:rFonts w:hAnsi="宋体" w:cs="宋体"/>
          <w:sz w:val="24"/>
          <w:szCs w:val="24"/>
          <w:highlight w:val="none"/>
        </w:rPr>
        <w:t>A.法定代表人或负责人或实际控制人是同一人</w:t>
      </w:r>
    </w:p>
    <w:p>
      <w:pPr>
        <w:pStyle w:val="59"/>
        <w:numPr>
          <w:ilvl w:val="0"/>
          <w:numId w:val="0"/>
        </w:numPr>
        <w:adjustRightInd/>
        <w:snapToGrid w:val="0"/>
        <w:spacing w:line="460" w:lineRule="exact"/>
        <w:rPr>
          <w:rFonts w:hint="default" w:hAnsi="宋体" w:cs="宋体"/>
          <w:spacing w:val="6"/>
          <w:sz w:val="24"/>
          <w:szCs w:val="24"/>
          <w:highlight w:val="none"/>
        </w:rPr>
      </w:pPr>
      <w:r>
        <w:rPr>
          <w:rFonts w:hAnsi="宋体" w:cs="宋体"/>
          <w:sz w:val="24"/>
          <w:szCs w:val="24"/>
          <w:highlight w:val="none"/>
        </w:rPr>
        <w:t>B.法定代表人或负责人或实际控制人是夫妻关系</w:t>
      </w:r>
    </w:p>
    <w:p>
      <w:pPr>
        <w:pStyle w:val="59"/>
        <w:numPr>
          <w:ilvl w:val="0"/>
          <w:numId w:val="0"/>
        </w:numPr>
        <w:adjustRightInd/>
        <w:snapToGrid w:val="0"/>
        <w:spacing w:line="460" w:lineRule="exact"/>
        <w:rPr>
          <w:rFonts w:hint="default" w:hAnsi="宋体" w:cs="宋体"/>
          <w:spacing w:val="6"/>
          <w:sz w:val="24"/>
          <w:szCs w:val="24"/>
          <w:highlight w:val="none"/>
        </w:rPr>
      </w:pPr>
      <w:r>
        <w:rPr>
          <w:rFonts w:hAnsi="宋体" w:cs="宋体"/>
          <w:sz w:val="24"/>
          <w:szCs w:val="24"/>
          <w:highlight w:val="none"/>
        </w:rPr>
        <w:t>C.法定代表人或负责人或实际控制人是直系血亲关系</w:t>
      </w:r>
    </w:p>
    <w:p>
      <w:pPr>
        <w:pStyle w:val="59"/>
        <w:numPr>
          <w:ilvl w:val="0"/>
          <w:numId w:val="0"/>
        </w:numPr>
        <w:adjustRightInd/>
        <w:snapToGrid w:val="0"/>
        <w:spacing w:line="460" w:lineRule="exact"/>
        <w:rPr>
          <w:rFonts w:hint="default" w:hAnsi="宋体" w:cs="宋体"/>
          <w:sz w:val="24"/>
          <w:szCs w:val="24"/>
          <w:highlight w:val="none"/>
        </w:rPr>
      </w:pPr>
      <w:r>
        <w:rPr>
          <w:rFonts w:hAnsi="宋体" w:cs="宋体"/>
          <w:sz w:val="24"/>
          <w:szCs w:val="24"/>
          <w:highlight w:val="none"/>
        </w:rPr>
        <w:t>D.法定代表人或负责人或实际控制人存在三代以内旁系血亲关系</w:t>
      </w:r>
    </w:p>
    <w:p>
      <w:pPr>
        <w:pStyle w:val="59"/>
        <w:numPr>
          <w:ilvl w:val="0"/>
          <w:numId w:val="0"/>
        </w:numPr>
        <w:adjustRightInd/>
        <w:snapToGrid w:val="0"/>
        <w:spacing w:line="460" w:lineRule="exact"/>
        <w:rPr>
          <w:rFonts w:hint="default" w:hAnsi="宋体" w:cs="宋体"/>
          <w:sz w:val="24"/>
          <w:szCs w:val="24"/>
          <w:highlight w:val="none"/>
        </w:rPr>
      </w:pPr>
      <w:r>
        <w:rPr>
          <w:rFonts w:hAnsi="宋体" w:cs="宋体"/>
          <w:sz w:val="24"/>
          <w:szCs w:val="24"/>
          <w:highlight w:val="none"/>
        </w:rPr>
        <w:t>E.法定代表人或负责人或实际控制人存在近姻亲关系</w:t>
      </w:r>
    </w:p>
    <w:p>
      <w:pPr>
        <w:pStyle w:val="59"/>
        <w:numPr>
          <w:ilvl w:val="0"/>
          <w:numId w:val="0"/>
        </w:numPr>
        <w:adjustRightInd/>
        <w:snapToGrid w:val="0"/>
        <w:spacing w:line="460" w:lineRule="exact"/>
        <w:rPr>
          <w:rFonts w:hint="default" w:hAnsi="宋体" w:cs="宋体"/>
          <w:sz w:val="24"/>
          <w:szCs w:val="24"/>
          <w:highlight w:val="none"/>
        </w:rPr>
      </w:pPr>
      <w:r>
        <w:rPr>
          <w:rFonts w:hAnsi="宋体" w:cs="宋体"/>
          <w:sz w:val="24"/>
          <w:szCs w:val="24"/>
          <w:highlight w:val="none"/>
        </w:rPr>
        <w:t>F.法定代表人或负责人或实际控制人存在股份控制或实际控制关系</w:t>
      </w:r>
      <w:bookmarkStart w:id="110" w:name="_Toc11926"/>
    </w:p>
    <w:p>
      <w:pPr>
        <w:pStyle w:val="59"/>
        <w:numPr>
          <w:ilvl w:val="0"/>
          <w:numId w:val="0"/>
        </w:numPr>
        <w:adjustRightInd/>
        <w:snapToGrid w:val="0"/>
        <w:spacing w:line="460" w:lineRule="exact"/>
        <w:rPr>
          <w:rFonts w:hint="default" w:hAnsi="宋体" w:cs="宋体"/>
          <w:sz w:val="24"/>
          <w:szCs w:val="24"/>
          <w:highlight w:val="none"/>
        </w:rPr>
      </w:pPr>
      <w:r>
        <w:rPr>
          <w:rFonts w:hAnsi="宋体" w:cs="宋体"/>
          <w:sz w:val="24"/>
          <w:szCs w:val="24"/>
          <w:highlight w:val="none"/>
        </w:rPr>
        <w:t>G.存在共同直接或间接投资设立子公司、联营企业和合营企业情况</w:t>
      </w:r>
      <w:bookmarkEnd w:id="110"/>
    </w:p>
    <w:p>
      <w:pPr>
        <w:pStyle w:val="59"/>
        <w:numPr>
          <w:ilvl w:val="0"/>
          <w:numId w:val="0"/>
        </w:numPr>
        <w:adjustRightInd/>
        <w:snapToGrid w:val="0"/>
        <w:spacing w:line="460" w:lineRule="exact"/>
        <w:rPr>
          <w:rFonts w:hint="default" w:hAnsi="宋体" w:cs="宋体"/>
          <w:sz w:val="24"/>
          <w:szCs w:val="24"/>
          <w:highlight w:val="none"/>
        </w:rPr>
      </w:pPr>
      <w:r>
        <w:rPr>
          <w:rFonts w:hAnsi="宋体" w:cs="宋体"/>
          <w:sz w:val="24"/>
          <w:szCs w:val="24"/>
          <w:highlight w:val="none"/>
        </w:rPr>
        <w:t>H.存在分级代理或代销关系、同一生产制造商关系、管理关系、重要业务（占主营业务收入50%以上）或重要财务往来关系（如融资）等其他实质性控制关系</w:t>
      </w:r>
    </w:p>
    <w:p>
      <w:pPr>
        <w:pStyle w:val="59"/>
        <w:numPr>
          <w:ilvl w:val="0"/>
          <w:numId w:val="0"/>
        </w:numPr>
        <w:adjustRightInd/>
        <w:snapToGrid w:val="0"/>
        <w:spacing w:line="460" w:lineRule="exact"/>
        <w:rPr>
          <w:rFonts w:hint="default" w:hAnsi="宋体" w:cs="宋体"/>
          <w:spacing w:val="6"/>
          <w:sz w:val="24"/>
          <w:szCs w:val="24"/>
          <w:highlight w:val="none"/>
        </w:rPr>
      </w:pPr>
      <w:r>
        <w:rPr>
          <w:rFonts w:hAnsi="宋体" w:cs="宋体"/>
          <w:sz w:val="24"/>
          <w:szCs w:val="24"/>
          <w:highlight w:val="none"/>
        </w:rPr>
        <w:t>I.其他利害关系情况</w:t>
      </w:r>
      <w:r>
        <w:rPr>
          <w:rFonts w:hAnsi="宋体" w:cs="宋体"/>
          <w:sz w:val="24"/>
          <w:szCs w:val="24"/>
          <w:highlight w:val="none"/>
          <w:u w:val="single"/>
        </w:rPr>
        <w:t xml:space="preserve">                              </w:t>
      </w:r>
      <w:r>
        <w:rPr>
          <w:rFonts w:hAnsi="宋体" w:cs="宋体"/>
          <w:sz w:val="24"/>
          <w:szCs w:val="24"/>
          <w:highlight w:val="none"/>
        </w:rPr>
        <w:t>。</w:t>
      </w:r>
    </w:p>
    <w:p>
      <w:pPr>
        <w:pStyle w:val="8"/>
        <w:widowControl/>
        <w:snapToGrid w:val="0"/>
        <w:spacing w:line="460" w:lineRule="exact"/>
        <w:rPr>
          <w:rFonts w:hint="default" w:ascii="宋体" w:hAnsi="宋体" w:cs="宋体"/>
          <w:kern w:val="0"/>
          <w:sz w:val="24"/>
          <w:szCs w:val="24"/>
          <w:highlight w:val="none"/>
        </w:rPr>
      </w:pPr>
      <w:r>
        <w:rPr>
          <w:rFonts w:ascii="宋体" w:hAnsi="宋体" w:cs="宋体"/>
          <w:sz w:val="24"/>
          <w:szCs w:val="24"/>
          <w:highlight w:val="none"/>
        </w:rPr>
        <w:t>三、现已清楚知道并</w:t>
      </w:r>
      <w:r>
        <w:rPr>
          <w:rFonts w:ascii="宋体" w:hAnsi="宋体" w:cs="宋体"/>
          <w:kern w:val="0"/>
          <w:sz w:val="24"/>
          <w:szCs w:val="24"/>
          <w:highlight w:val="none"/>
        </w:rPr>
        <w:t>严格遵守国企采购法律法规和现场纪律。</w:t>
      </w:r>
    </w:p>
    <w:p>
      <w:pPr>
        <w:pStyle w:val="8"/>
        <w:widowControl/>
        <w:snapToGrid w:val="0"/>
        <w:spacing w:line="460" w:lineRule="exact"/>
        <w:rPr>
          <w:rFonts w:hint="default" w:ascii="宋体" w:hAnsi="宋体" w:cs="宋体"/>
          <w:kern w:val="0"/>
          <w:sz w:val="24"/>
          <w:szCs w:val="24"/>
          <w:highlight w:val="none"/>
        </w:rPr>
      </w:pPr>
      <w:r>
        <w:rPr>
          <w:rFonts w:ascii="宋体" w:hAnsi="宋体" w:cs="宋体"/>
          <w:kern w:val="0"/>
          <w:sz w:val="24"/>
          <w:szCs w:val="24"/>
          <w:highlight w:val="none"/>
        </w:rPr>
        <w:t>四、我发现</w:t>
      </w:r>
      <w:r>
        <w:rPr>
          <w:rFonts w:ascii="宋体" w:hAnsi="宋体" w:cs="宋体"/>
          <w:kern w:val="0"/>
          <w:sz w:val="24"/>
          <w:szCs w:val="24"/>
          <w:highlight w:val="none"/>
          <w:u w:val="single"/>
        </w:rPr>
        <w:t xml:space="preserve">                </w:t>
      </w:r>
      <w:r>
        <w:rPr>
          <w:rFonts w:ascii="宋体" w:hAnsi="宋体" w:cs="宋体"/>
          <w:kern w:val="0"/>
          <w:sz w:val="24"/>
          <w:szCs w:val="24"/>
          <w:highlight w:val="none"/>
        </w:rPr>
        <w:t>投标人之间存在或可能存在上述第二条第</w:t>
      </w:r>
      <w:r>
        <w:rPr>
          <w:rFonts w:ascii="宋体" w:hAnsi="宋体" w:cs="宋体"/>
          <w:kern w:val="0"/>
          <w:sz w:val="24"/>
          <w:szCs w:val="24"/>
          <w:highlight w:val="none"/>
          <w:u w:val="single"/>
        </w:rPr>
        <w:t xml:space="preserve">        </w:t>
      </w:r>
      <w:r>
        <w:rPr>
          <w:rFonts w:ascii="宋体" w:hAnsi="宋体" w:cs="宋体"/>
          <w:kern w:val="0"/>
          <w:sz w:val="24"/>
          <w:szCs w:val="24"/>
          <w:highlight w:val="none"/>
        </w:rPr>
        <w:t>项利害关系。</w:t>
      </w:r>
    </w:p>
    <w:p>
      <w:pPr>
        <w:pStyle w:val="59"/>
        <w:numPr>
          <w:ilvl w:val="0"/>
          <w:numId w:val="0"/>
        </w:numPr>
        <w:adjustRightInd/>
        <w:snapToGrid w:val="0"/>
        <w:spacing w:line="360" w:lineRule="auto"/>
        <w:rPr>
          <w:rFonts w:hint="default" w:hAnsi="宋体" w:cs="宋体"/>
          <w:sz w:val="24"/>
          <w:szCs w:val="24"/>
          <w:highlight w:val="none"/>
        </w:rPr>
      </w:pPr>
    </w:p>
    <w:p>
      <w:pPr>
        <w:pStyle w:val="59"/>
        <w:numPr>
          <w:ilvl w:val="0"/>
          <w:numId w:val="0"/>
        </w:numPr>
        <w:adjustRightInd/>
        <w:snapToGrid w:val="0"/>
        <w:spacing w:line="360" w:lineRule="auto"/>
        <w:ind w:firstLine="5760" w:firstLineChars="2400"/>
        <w:rPr>
          <w:rFonts w:hint="default" w:hAnsi="宋体" w:cs="宋体"/>
          <w:sz w:val="24"/>
          <w:szCs w:val="24"/>
          <w:highlight w:val="none"/>
        </w:rPr>
      </w:pPr>
      <w:r>
        <w:rPr>
          <w:rFonts w:hAnsi="宋体" w:cs="宋体"/>
          <w:sz w:val="24"/>
          <w:szCs w:val="24"/>
          <w:highlight w:val="none"/>
        </w:rPr>
        <w:t xml:space="preserve">（投标人代表签名）：                                  </w:t>
      </w:r>
    </w:p>
    <w:p>
      <w:pPr>
        <w:widowControl/>
        <w:wordWrap w:val="0"/>
        <w:jc w:val="left"/>
        <w:rPr>
          <w:rFonts w:ascii="宋体" w:hAnsi="宋体" w:cs="宋体"/>
          <w:kern w:val="0"/>
          <w:sz w:val="24"/>
          <w:highlight w:val="none"/>
        </w:rPr>
      </w:pPr>
      <w:r>
        <w:rPr>
          <w:rFonts w:hint="eastAsia" w:ascii="宋体" w:hAnsi="宋体" w:cs="宋体"/>
          <w:sz w:val="24"/>
          <w:highlight w:val="none"/>
        </w:rPr>
        <w:t xml:space="preserve">                                                  202</w:t>
      </w:r>
      <w:r>
        <w:rPr>
          <w:rFonts w:hint="eastAsia" w:ascii="宋体" w:hAnsi="宋体" w:cs="宋体"/>
          <w:sz w:val="24"/>
          <w:highlight w:val="none"/>
          <w:lang w:val="en-US" w:eastAsia="zh-CN"/>
        </w:rPr>
        <w:t>5</w:t>
      </w:r>
      <w:r>
        <w:rPr>
          <w:rFonts w:hint="eastAsia" w:ascii="宋体" w:hAnsi="宋体" w:cs="宋体"/>
          <w:sz w:val="24"/>
          <w:highlight w:val="none"/>
        </w:rPr>
        <w:t>年  月   日</w:t>
      </w:r>
    </w:p>
    <w:sectPr>
      <w:headerReference r:id="rId10" w:type="default"/>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Tms Rmn">
    <w:altName w:val="Segoe Print"/>
    <w:panose1 w:val="020206030405050203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fldChar w:fldCharType="begin"/>
    </w:r>
    <w:r>
      <w:rPr>
        <w:rStyle w:val="34"/>
      </w:rPr>
      <w:instrText xml:space="preserve">PAGE  </w:instrText>
    </w:r>
    <w:r>
      <w:fldChar w:fldCharType="end"/>
    </w:r>
  </w:p>
  <w:p>
    <w:pPr>
      <w:pStyle w:val="2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fill on="f" focussize="0,0"/>
              <v:stroke on="f" weight="0.5pt"/>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G5u89kbAgAAIwQAAA4A&#10;AAAAAAAAAQAgAAAAHwEAAGRycy9lMm9Eb2MueG1sUEsFBgAAAAAGAAYAWQEAAKwFAAAAAA==&#10;">
              <v:fill on="f" focussize="0,0"/>
              <v:stroke on="f" weight="0.5pt"/>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lear" w:pos="4153"/>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tsZ8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D7bGfGQIAACMEAAAOAAAA&#10;AAAAAAEAIAAAAB8BAABkcnMvZTJvRG9jLnhtbFBLBQYAAAAABgAGAFkBAACqBQAAAAA=&#10;">
              <v:fill on="f" focussize="0,0"/>
              <v:stroke on="f" weight="0.5pt"/>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4"/>
      </w:pBdr>
      <w:tabs>
        <w:tab w:val="left" w:pos="1394"/>
        <w:tab w:val="right" w:pos="9190"/>
      </w:tabs>
      <w:jc w:val="left"/>
      <w:rPr>
        <w:rFonts w:ascii="仿宋_GB2312" w:eastAsia="仿宋_GB2312"/>
        <w:i/>
        <w:u w:val="single"/>
      </w:rPr>
    </w:pPr>
    <w:r>
      <w:rPr>
        <w:rFonts w:hint="eastAsia"/>
      </w:rPr>
      <w:tab/>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tabs>
        <w:tab w:val="center" w:pos="4535"/>
        <w:tab w:val="right" w:pos="9070"/>
        <w:tab w:val="clear" w:pos="4153"/>
        <w:tab w:val="clear" w:pos="8306"/>
      </w:tabs>
      <w:jc w:val="left"/>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tabs>
        <w:tab w:val="center" w:pos="4535"/>
        <w:tab w:val="right" w:pos="9070"/>
        <w:tab w:val="clear" w:pos="4153"/>
        <w:tab w:val="clear" w:pos="8306"/>
      </w:tabs>
    </w:pPr>
    <w:r>
      <w:rPr>
        <w:lang w:val="zh-CN"/>
      </w:rPr>
      <w:t></w:t>
    </w: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A7F6FE"/>
    <w:multiLevelType w:val="singleLevel"/>
    <w:tmpl w:val="84A7F6FE"/>
    <w:lvl w:ilvl="0" w:tentative="0">
      <w:start w:val="1"/>
      <w:numFmt w:val="chineseCounting"/>
      <w:suff w:val="nothing"/>
      <w:lvlText w:val="（%1）"/>
      <w:lvlJc w:val="left"/>
      <w:rPr>
        <w:rFonts w:hint="eastAsia"/>
      </w:rPr>
    </w:lvl>
  </w:abstractNum>
  <w:abstractNum w:abstractNumId="1">
    <w:nsid w:val="AF23C7B2"/>
    <w:multiLevelType w:val="singleLevel"/>
    <w:tmpl w:val="AF23C7B2"/>
    <w:lvl w:ilvl="0" w:tentative="0">
      <w:start w:val="1"/>
      <w:numFmt w:val="chineseCounting"/>
      <w:suff w:val="nothing"/>
      <w:lvlText w:val="%1、"/>
      <w:lvlJc w:val="left"/>
      <w:rPr>
        <w:rFonts w:hint="eastAsia"/>
      </w:rPr>
    </w:lvl>
  </w:abstractNum>
  <w:abstractNum w:abstractNumId="2">
    <w:nsid w:val="B3E7E453"/>
    <w:multiLevelType w:val="singleLevel"/>
    <w:tmpl w:val="B3E7E453"/>
    <w:lvl w:ilvl="0" w:tentative="0">
      <w:start w:val="1"/>
      <w:numFmt w:val="decimal"/>
      <w:pStyle w:val="11"/>
      <w:lvlText w:val="%1."/>
      <w:lvlJc w:val="left"/>
      <w:pPr>
        <w:tabs>
          <w:tab w:val="left" w:pos="780"/>
        </w:tabs>
        <w:ind w:left="780" w:hanging="360"/>
      </w:pPr>
    </w:lvl>
  </w:abstractNum>
  <w:abstractNum w:abstractNumId="3">
    <w:nsid w:val="D16E957A"/>
    <w:multiLevelType w:val="singleLevel"/>
    <w:tmpl w:val="D16E957A"/>
    <w:lvl w:ilvl="0" w:tentative="0">
      <w:start w:val="1"/>
      <w:numFmt w:val="decimal"/>
      <w:lvlText w:val="%1."/>
      <w:lvlJc w:val="left"/>
      <w:pPr>
        <w:tabs>
          <w:tab w:val="left" w:pos="312"/>
        </w:tabs>
      </w:pPr>
    </w:lvl>
  </w:abstractNum>
  <w:abstractNum w:abstractNumId="4">
    <w:nsid w:val="ED413EBD"/>
    <w:multiLevelType w:val="singleLevel"/>
    <w:tmpl w:val="ED413EBD"/>
    <w:lvl w:ilvl="0" w:tentative="0">
      <w:start w:val="2"/>
      <w:numFmt w:val="chineseCounting"/>
      <w:suff w:val="nothing"/>
      <w:lvlText w:val="%1、"/>
      <w:lvlJc w:val="left"/>
      <w:rPr>
        <w:rFonts w:hint="eastAsia"/>
      </w:rPr>
    </w:lvl>
  </w:abstractNum>
  <w:abstractNum w:abstractNumId="5">
    <w:nsid w:val="F815E59C"/>
    <w:multiLevelType w:val="singleLevel"/>
    <w:tmpl w:val="F815E59C"/>
    <w:lvl w:ilvl="0" w:tentative="0">
      <w:start w:val="1"/>
      <w:numFmt w:val="decimal"/>
      <w:pStyle w:val="12"/>
      <w:lvlText w:val="%1."/>
      <w:lvlJc w:val="left"/>
      <w:pPr>
        <w:tabs>
          <w:tab w:val="left" w:pos="360"/>
        </w:tabs>
        <w:ind w:left="360" w:hanging="360"/>
      </w:pPr>
    </w:lvl>
  </w:abstractNum>
  <w:abstractNum w:abstractNumId="6">
    <w:nsid w:val="0A246B32"/>
    <w:multiLevelType w:val="singleLevel"/>
    <w:tmpl w:val="0A246B32"/>
    <w:lvl w:ilvl="0" w:tentative="0">
      <w:start w:val="2"/>
      <w:numFmt w:val="chineseCounting"/>
      <w:suff w:val="nothing"/>
      <w:lvlText w:val="%1、"/>
      <w:lvlJc w:val="left"/>
      <w:pPr>
        <w:ind w:left="420"/>
      </w:pPr>
      <w:rPr>
        <w:rFonts w:hint="eastAsia"/>
      </w:rPr>
    </w:lvl>
  </w:abstractNum>
  <w:abstractNum w:abstractNumId="7">
    <w:nsid w:val="14CF43EC"/>
    <w:multiLevelType w:val="singleLevel"/>
    <w:tmpl w:val="14CF43EC"/>
    <w:lvl w:ilvl="0" w:tentative="0">
      <w:start w:val="1"/>
      <w:numFmt w:val="chineseCounting"/>
      <w:suff w:val="nothing"/>
      <w:lvlText w:val="%1、"/>
      <w:lvlJc w:val="left"/>
      <w:rPr>
        <w:rFonts w:hint="eastAsia"/>
      </w:rPr>
    </w:lvl>
  </w:abstractNum>
  <w:abstractNum w:abstractNumId="8">
    <w:nsid w:val="51C42EB4"/>
    <w:multiLevelType w:val="singleLevel"/>
    <w:tmpl w:val="51C42EB4"/>
    <w:lvl w:ilvl="0" w:tentative="0">
      <w:start w:val="1"/>
      <w:numFmt w:val="decimal"/>
      <w:suff w:val="nothing"/>
      <w:lvlText w:val="（%1）"/>
      <w:lvlJc w:val="left"/>
    </w:lvl>
  </w:abstractNum>
  <w:abstractNum w:abstractNumId="9">
    <w:nsid w:val="527D26C3"/>
    <w:multiLevelType w:val="singleLevel"/>
    <w:tmpl w:val="527D26C3"/>
    <w:lvl w:ilvl="0" w:tentative="0">
      <w:start w:val="2"/>
      <w:numFmt w:val="chineseCounting"/>
      <w:suff w:val="space"/>
      <w:lvlText w:val="第%1章"/>
      <w:lvlJc w:val="left"/>
      <w:rPr>
        <w:rFonts w:hint="eastAsia"/>
      </w:rPr>
    </w:lvl>
  </w:abstractNum>
  <w:abstractNum w:abstractNumId="10">
    <w:nsid w:val="545A512C"/>
    <w:multiLevelType w:val="multilevel"/>
    <w:tmpl w:val="545A512C"/>
    <w:lvl w:ilvl="0" w:tentative="0">
      <w:start w:val="1"/>
      <w:numFmt w:val="chineseCountingThousand"/>
      <w:pStyle w:val="59"/>
      <w:lvlText w:val="%1、"/>
      <w:lvlJc w:val="left"/>
      <w:pPr>
        <w:ind w:left="980" w:hanging="420"/>
      </w:pPr>
      <w:rPr>
        <w:sz w:val="32"/>
        <w:szCs w:val="32"/>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5"/>
  </w:num>
  <w:num w:numId="3">
    <w:abstractNumId w:val="10"/>
  </w:num>
  <w:num w:numId="4">
    <w:abstractNumId w:val="0"/>
  </w:num>
  <w:num w:numId="5">
    <w:abstractNumId w:val="3"/>
  </w:num>
  <w:num w:numId="6">
    <w:abstractNumId w:val="9"/>
  </w:num>
  <w:num w:numId="7">
    <w:abstractNumId w:val="8"/>
  </w:num>
  <w:num w:numId="8">
    <w:abstractNumId w:val="4"/>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wMTA5YjEzNGQ0MDQzOGM0MWQ3MjE1YjZjOTZjNDMifQ=="/>
    <w:docVar w:name="KSO_WPS_MARK_KEY" w:val="3eaaedfd-b702-4772-844f-9318db31d6d7"/>
  </w:docVars>
  <w:rsids>
    <w:rsidRoot w:val="00172A27"/>
    <w:rsid w:val="00172A27"/>
    <w:rsid w:val="004033C2"/>
    <w:rsid w:val="005305D5"/>
    <w:rsid w:val="00612CCA"/>
    <w:rsid w:val="007A6F63"/>
    <w:rsid w:val="008D774B"/>
    <w:rsid w:val="008E452B"/>
    <w:rsid w:val="00906805"/>
    <w:rsid w:val="009C5FEF"/>
    <w:rsid w:val="00B460BC"/>
    <w:rsid w:val="00BC702A"/>
    <w:rsid w:val="00EE2850"/>
    <w:rsid w:val="00F344F6"/>
    <w:rsid w:val="01C41E9D"/>
    <w:rsid w:val="02011543"/>
    <w:rsid w:val="028A3872"/>
    <w:rsid w:val="02C31095"/>
    <w:rsid w:val="02C97CE1"/>
    <w:rsid w:val="02F715D7"/>
    <w:rsid w:val="033221FD"/>
    <w:rsid w:val="036D2D3E"/>
    <w:rsid w:val="03AC3156"/>
    <w:rsid w:val="0451621A"/>
    <w:rsid w:val="046E5F3E"/>
    <w:rsid w:val="048C3708"/>
    <w:rsid w:val="04A36AD4"/>
    <w:rsid w:val="052D0F89"/>
    <w:rsid w:val="055A7363"/>
    <w:rsid w:val="05685F23"/>
    <w:rsid w:val="05CE242D"/>
    <w:rsid w:val="05DA360C"/>
    <w:rsid w:val="05E84622"/>
    <w:rsid w:val="062731A8"/>
    <w:rsid w:val="064532AA"/>
    <w:rsid w:val="066654F5"/>
    <w:rsid w:val="06751182"/>
    <w:rsid w:val="068F128E"/>
    <w:rsid w:val="06AC26FF"/>
    <w:rsid w:val="06B139D5"/>
    <w:rsid w:val="06DD464A"/>
    <w:rsid w:val="06EB6852"/>
    <w:rsid w:val="07750484"/>
    <w:rsid w:val="078C669B"/>
    <w:rsid w:val="07DC35C9"/>
    <w:rsid w:val="07E55609"/>
    <w:rsid w:val="08244EEE"/>
    <w:rsid w:val="084157A0"/>
    <w:rsid w:val="08CE42EF"/>
    <w:rsid w:val="08EC5E5C"/>
    <w:rsid w:val="08F16854"/>
    <w:rsid w:val="0995305F"/>
    <w:rsid w:val="09D0305A"/>
    <w:rsid w:val="09F6270D"/>
    <w:rsid w:val="0A3D172D"/>
    <w:rsid w:val="0ABE632F"/>
    <w:rsid w:val="0AC3309D"/>
    <w:rsid w:val="0AD926F6"/>
    <w:rsid w:val="0AEE7D80"/>
    <w:rsid w:val="0AF1307B"/>
    <w:rsid w:val="0B03382A"/>
    <w:rsid w:val="0B2051ED"/>
    <w:rsid w:val="0B5A00BC"/>
    <w:rsid w:val="0B99023E"/>
    <w:rsid w:val="0C4A3FC6"/>
    <w:rsid w:val="0C6C4CC1"/>
    <w:rsid w:val="0C7D22B4"/>
    <w:rsid w:val="0D091D9A"/>
    <w:rsid w:val="0D557EF2"/>
    <w:rsid w:val="0D9F7DAD"/>
    <w:rsid w:val="0DBA0703"/>
    <w:rsid w:val="0ECA37AB"/>
    <w:rsid w:val="0ECF7F78"/>
    <w:rsid w:val="0FB23AF8"/>
    <w:rsid w:val="0FE4089C"/>
    <w:rsid w:val="10506A0C"/>
    <w:rsid w:val="10613C9B"/>
    <w:rsid w:val="106D263D"/>
    <w:rsid w:val="10BC7123"/>
    <w:rsid w:val="1115264F"/>
    <w:rsid w:val="11765524"/>
    <w:rsid w:val="11A9241E"/>
    <w:rsid w:val="122D652B"/>
    <w:rsid w:val="12791EA3"/>
    <w:rsid w:val="12B01CAA"/>
    <w:rsid w:val="12C00C93"/>
    <w:rsid w:val="12C64C7E"/>
    <w:rsid w:val="137A23B8"/>
    <w:rsid w:val="144F179B"/>
    <w:rsid w:val="14626F7F"/>
    <w:rsid w:val="15082937"/>
    <w:rsid w:val="150A7E43"/>
    <w:rsid w:val="151C3CDC"/>
    <w:rsid w:val="154C6CC8"/>
    <w:rsid w:val="154E12D8"/>
    <w:rsid w:val="15AA3509"/>
    <w:rsid w:val="15D75080"/>
    <w:rsid w:val="15E50ECA"/>
    <w:rsid w:val="15FB55E9"/>
    <w:rsid w:val="16736123"/>
    <w:rsid w:val="167D755C"/>
    <w:rsid w:val="16853420"/>
    <w:rsid w:val="16D40C1D"/>
    <w:rsid w:val="17400B06"/>
    <w:rsid w:val="1755618F"/>
    <w:rsid w:val="179A22B2"/>
    <w:rsid w:val="17D173A6"/>
    <w:rsid w:val="17FE5302"/>
    <w:rsid w:val="185F0FC1"/>
    <w:rsid w:val="18C5361C"/>
    <w:rsid w:val="19175B5B"/>
    <w:rsid w:val="191C14EB"/>
    <w:rsid w:val="1A086133"/>
    <w:rsid w:val="1A0F43E4"/>
    <w:rsid w:val="1A2645F4"/>
    <w:rsid w:val="1AAB43CF"/>
    <w:rsid w:val="1AD31C39"/>
    <w:rsid w:val="1B4D635A"/>
    <w:rsid w:val="1C0830AE"/>
    <w:rsid w:val="1C0D08DD"/>
    <w:rsid w:val="1C6643C0"/>
    <w:rsid w:val="1C6E5776"/>
    <w:rsid w:val="1C863B48"/>
    <w:rsid w:val="1C876075"/>
    <w:rsid w:val="1CC51E11"/>
    <w:rsid w:val="1D036806"/>
    <w:rsid w:val="1D2574B3"/>
    <w:rsid w:val="1D90796E"/>
    <w:rsid w:val="1DC53289"/>
    <w:rsid w:val="1E436842"/>
    <w:rsid w:val="1E701F29"/>
    <w:rsid w:val="1E85149C"/>
    <w:rsid w:val="1E931619"/>
    <w:rsid w:val="1EC60B93"/>
    <w:rsid w:val="1ECA3805"/>
    <w:rsid w:val="1F31366B"/>
    <w:rsid w:val="1F6D4588"/>
    <w:rsid w:val="1FB90D87"/>
    <w:rsid w:val="1FD23E98"/>
    <w:rsid w:val="204C2333"/>
    <w:rsid w:val="2085646F"/>
    <w:rsid w:val="20BE2A44"/>
    <w:rsid w:val="20BE47F2"/>
    <w:rsid w:val="214F546F"/>
    <w:rsid w:val="22470E2B"/>
    <w:rsid w:val="225F4C9E"/>
    <w:rsid w:val="226D6B26"/>
    <w:rsid w:val="23052BAC"/>
    <w:rsid w:val="23207F68"/>
    <w:rsid w:val="23414CCE"/>
    <w:rsid w:val="23A35462"/>
    <w:rsid w:val="23CD191B"/>
    <w:rsid w:val="23F96AE9"/>
    <w:rsid w:val="24A018C9"/>
    <w:rsid w:val="255816B9"/>
    <w:rsid w:val="25973F8F"/>
    <w:rsid w:val="25DA20CE"/>
    <w:rsid w:val="27A377C7"/>
    <w:rsid w:val="27AE01FF"/>
    <w:rsid w:val="28005B1C"/>
    <w:rsid w:val="281C4C20"/>
    <w:rsid w:val="28610884"/>
    <w:rsid w:val="2893129D"/>
    <w:rsid w:val="28AB1AFF"/>
    <w:rsid w:val="28C03B52"/>
    <w:rsid w:val="28C606E7"/>
    <w:rsid w:val="28EF26CE"/>
    <w:rsid w:val="2906194C"/>
    <w:rsid w:val="29220E47"/>
    <w:rsid w:val="2936586D"/>
    <w:rsid w:val="298740FF"/>
    <w:rsid w:val="29CC2F93"/>
    <w:rsid w:val="2A52355E"/>
    <w:rsid w:val="2B717030"/>
    <w:rsid w:val="2BC2734D"/>
    <w:rsid w:val="2C105F70"/>
    <w:rsid w:val="2D1C55B5"/>
    <w:rsid w:val="2DD3715A"/>
    <w:rsid w:val="2E257E86"/>
    <w:rsid w:val="2E820557"/>
    <w:rsid w:val="2E985EEF"/>
    <w:rsid w:val="2E9F4DE4"/>
    <w:rsid w:val="2EC60FDE"/>
    <w:rsid w:val="2EDF2162"/>
    <w:rsid w:val="2EE26B1C"/>
    <w:rsid w:val="2FE6541C"/>
    <w:rsid w:val="2FF84551"/>
    <w:rsid w:val="30201959"/>
    <w:rsid w:val="30A25991"/>
    <w:rsid w:val="3112096E"/>
    <w:rsid w:val="312608BD"/>
    <w:rsid w:val="31765287"/>
    <w:rsid w:val="32115B7F"/>
    <w:rsid w:val="323F19E2"/>
    <w:rsid w:val="32D23C63"/>
    <w:rsid w:val="32D72C3D"/>
    <w:rsid w:val="32EB75BD"/>
    <w:rsid w:val="32FD6689"/>
    <w:rsid w:val="332734C7"/>
    <w:rsid w:val="332826CA"/>
    <w:rsid w:val="333E1E91"/>
    <w:rsid w:val="33E365F1"/>
    <w:rsid w:val="33FE167D"/>
    <w:rsid w:val="34415812"/>
    <w:rsid w:val="349C4A25"/>
    <w:rsid w:val="34CD2F82"/>
    <w:rsid w:val="35D00C8D"/>
    <w:rsid w:val="366355A2"/>
    <w:rsid w:val="36BE67D4"/>
    <w:rsid w:val="36C253E8"/>
    <w:rsid w:val="372C0551"/>
    <w:rsid w:val="37667C65"/>
    <w:rsid w:val="37A704AA"/>
    <w:rsid w:val="37E93F06"/>
    <w:rsid w:val="381449F4"/>
    <w:rsid w:val="38B37820"/>
    <w:rsid w:val="38D211D6"/>
    <w:rsid w:val="38E553CD"/>
    <w:rsid w:val="39A268DD"/>
    <w:rsid w:val="39B83C7A"/>
    <w:rsid w:val="39D75452"/>
    <w:rsid w:val="39DD01C6"/>
    <w:rsid w:val="3A2775F5"/>
    <w:rsid w:val="3A2F07E2"/>
    <w:rsid w:val="3AC66172"/>
    <w:rsid w:val="3AD61732"/>
    <w:rsid w:val="3B001643"/>
    <w:rsid w:val="3B693880"/>
    <w:rsid w:val="3B886AD4"/>
    <w:rsid w:val="3BDA1928"/>
    <w:rsid w:val="3C455D25"/>
    <w:rsid w:val="3C89390F"/>
    <w:rsid w:val="3D1E0819"/>
    <w:rsid w:val="3D420166"/>
    <w:rsid w:val="3D5D7E4E"/>
    <w:rsid w:val="3D973D25"/>
    <w:rsid w:val="3DCD5CCD"/>
    <w:rsid w:val="3DED5018"/>
    <w:rsid w:val="3E4305DD"/>
    <w:rsid w:val="3E95188B"/>
    <w:rsid w:val="3EC86E0F"/>
    <w:rsid w:val="3EE020AB"/>
    <w:rsid w:val="3F6E2034"/>
    <w:rsid w:val="3F79605C"/>
    <w:rsid w:val="40120268"/>
    <w:rsid w:val="401D2E8B"/>
    <w:rsid w:val="409A67C1"/>
    <w:rsid w:val="40AF61D9"/>
    <w:rsid w:val="41485C02"/>
    <w:rsid w:val="4150243C"/>
    <w:rsid w:val="4159182C"/>
    <w:rsid w:val="41BF0077"/>
    <w:rsid w:val="41F61BE6"/>
    <w:rsid w:val="41FB5010"/>
    <w:rsid w:val="42125898"/>
    <w:rsid w:val="4250579A"/>
    <w:rsid w:val="42807E60"/>
    <w:rsid w:val="42A11B51"/>
    <w:rsid w:val="430D7173"/>
    <w:rsid w:val="43917E18"/>
    <w:rsid w:val="43B019D6"/>
    <w:rsid w:val="43BC51C5"/>
    <w:rsid w:val="43F13F55"/>
    <w:rsid w:val="444D3A3A"/>
    <w:rsid w:val="44534CA7"/>
    <w:rsid w:val="44735770"/>
    <w:rsid w:val="44907E30"/>
    <w:rsid w:val="44956565"/>
    <w:rsid w:val="45350C77"/>
    <w:rsid w:val="45D76500"/>
    <w:rsid w:val="45F00C85"/>
    <w:rsid w:val="4609787D"/>
    <w:rsid w:val="46F51F16"/>
    <w:rsid w:val="46FC7A38"/>
    <w:rsid w:val="46FD6550"/>
    <w:rsid w:val="47201F5D"/>
    <w:rsid w:val="4746792E"/>
    <w:rsid w:val="476D5DC9"/>
    <w:rsid w:val="47E3450C"/>
    <w:rsid w:val="48BC03BD"/>
    <w:rsid w:val="49091DD2"/>
    <w:rsid w:val="491F36A9"/>
    <w:rsid w:val="49B602E6"/>
    <w:rsid w:val="4A01737A"/>
    <w:rsid w:val="4A7B09F8"/>
    <w:rsid w:val="4A894695"/>
    <w:rsid w:val="4A8C758B"/>
    <w:rsid w:val="4B301583"/>
    <w:rsid w:val="4B6127C6"/>
    <w:rsid w:val="4B8977E0"/>
    <w:rsid w:val="4B9806D2"/>
    <w:rsid w:val="4B9A1DF2"/>
    <w:rsid w:val="4BB8302C"/>
    <w:rsid w:val="4BE60F1D"/>
    <w:rsid w:val="4C26696E"/>
    <w:rsid w:val="4C431BA5"/>
    <w:rsid w:val="4C815E38"/>
    <w:rsid w:val="4C883BFB"/>
    <w:rsid w:val="4CE70AA9"/>
    <w:rsid w:val="4D267823"/>
    <w:rsid w:val="4D77007F"/>
    <w:rsid w:val="4D7F0CE1"/>
    <w:rsid w:val="4DE022C2"/>
    <w:rsid w:val="4E1072D1"/>
    <w:rsid w:val="4E3C3076"/>
    <w:rsid w:val="4E5402F6"/>
    <w:rsid w:val="4E616639"/>
    <w:rsid w:val="4E6763AF"/>
    <w:rsid w:val="4E722CA7"/>
    <w:rsid w:val="4EE00D0F"/>
    <w:rsid w:val="4EE51FD1"/>
    <w:rsid w:val="4F2B4960"/>
    <w:rsid w:val="4F3D2255"/>
    <w:rsid w:val="507F1EF2"/>
    <w:rsid w:val="50974BF6"/>
    <w:rsid w:val="50BE2AE5"/>
    <w:rsid w:val="50D62204"/>
    <w:rsid w:val="50FC6F71"/>
    <w:rsid w:val="51CE5AD4"/>
    <w:rsid w:val="521A6892"/>
    <w:rsid w:val="527F4690"/>
    <w:rsid w:val="528B637A"/>
    <w:rsid w:val="52B56FA4"/>
    <w:rsid w:val="52DC26C4"/>
    <w:rsid w:val="53784C66"/>
    <w:rsid w:val="53BC4F71"/>
    <w:rsid w:val="540237C7"/>
    <w:rsid w:val="540D2DFC"/>
    <w:rsid w:val="547F2161"/>
    <w:rsid w:val="55986DE4"/>
    <w:rsid w:val="55BD5CF8"/>
    <w:rsid w:val="55E53FF3"/>
    <w:rsid w:val="563B635E"/>
    <w:rsid w:val="568E6A85"/>
    <w:rsid w:val="57014FEB"/>
    <w:rsid w:val="57174DF3"/>
    <w:rsid w:val="57D12A81"/>
    <w:rsid w:val="57E51E97"/>
    <w:rsid w:val="57FB7AFE"/>
    <w:rsid w:val="589B2E21"/>
    <w:rsid w:val="58CE12CC"/>
    <w:rsid w:val="58E7317A"/>
    <w:rsid w:val="59173ED4"/>
    <w:rsid w:val="59267138"/>
    <w:rsid w:val="599D7682"/>
    <w:rsid w:val="59F23A0D"/>
    <w:rsid w:val="5A240E4E"/>
    <w:rsid w:val="5A865DA5"/>
    <w:rsid w:val="5ACE6B45"/>
    <w:rsid w:val="5B945EBF"/>
    <w:rsid w:val="5BE57689"/>
    <w:rsid w:val="5C60481C"/>
    <w:rsid w:val="5C6F62A8"/>
    <w:rsid w:val="5C7E647A"/>
    <w:rsid w:val="5CBE6A88"/>
    <w:rsid w:val="5D0E0071"/>
    <w:rsid w:val="5D135FAE"/>
    <w:rsid w:val="5DA521BF"/>
    <w:rsid w:val="5DD24E5D"/>
    <w:rsid w:val="5E16661E"/>
    <w:rsid w:val="5E902EB3"/>
    <w:rsid w:val="5EE11839"/>
    <w:rsid w:val="5F084CEC"/>
    <w:rsid w:val="5F09292E"/>
    <w:rsid w:val="5F283250"/>
    <w:rsid w:val="5FB76CFE"/>
    <w:rsid w:val="601C4AE4"/>
    <w:rsid w:val="603B318E"/>
    <w:rsid w:val="60797945"/>
    <w:rsid w:val="60BE0C83"/>
    <w:rsid w:val="60D80EFB"/>
    <w:rsid w:val="613F3A29"/>
    <w:rsid w:val="6164129C"/>
    <w:rsid w:val="616A11D7"/>
    <w:rsid w:val="61A46067"/>
    <w:rsid w:val="61C45305"/>
    <w:rsid w:val="61D221A3"/>
    <w:rsid w:val="62650875"/>
    <w:rsid w:val="62681D30"/>
    <w:rsid w:val="62B70319"/>
    <w:rsid w:val="62BA333E"/>
    <w:rsid w:val="62D41ECA"/>
    <w:rsid w:val="62E57B9F"/>
    <w:rsid w:val="631568D8"/>
    <w:rsid w:val="63852D9C"/>
    <w:rsid w:val="63D10066"/>
    <w:rsid w:val="6426317E"/>
    <w:rsid w:val="643A2D81"/>
    <w:rsid w:val="648669A1"/>
    <w:rsid w:val="64AC465A"/>
    <w:rsid w:val="653A2416"/>
    <w:rsid w:val="65583637"/>
    <w:rsid w:val="663419E6"/>
    <w:rsid w:val="665C78D2"/>
    <w:rsid w:val="669D7A74"/>
    <w:rsid w:val="66AE5CA5"/>
    <w:rsid w:val="66C24F18"/>
    <w:rsid w:val="66D94199"/>
    <w:rsid w:val="66F81333"/>
    <w:rsid w:val="675863D3"/>
    <w:rsid w:val="67AC2ED5"/>
    <w:rsid w:val="67AC3A0F"/>
    <w:rsid w:val="68150768"/>
    <w:rsid w:val="682B1A2E"/>
    <w:rsid w:val="684E440E"/>
    <w:rsid w:val="69EC54F9"/>
    <w:rsid w:val="6AC124E1"/>
    <w:rsid w:val="6AE56863"/>
    <w:rsid w:val="6B10385A"/>
    <w:rsid w:val="6BB43DF4"/>
    <w:rsid w:val="6BCB6B28"/>
    <w:rsid w:val="6BE171CD"/>
    <w:rsid w:val="6C0D6BCE"/>
    <w:rsid w:val="6C2F5C76"/>
    <w:rsid w:val="6C3D405C"/>
    <w:rsid w:val="6C4018A9"/>
    <w:rsid w:val="6C465394"/>
    <w:rsid w:val="6CE80607"/>
    <w:rsid w:val="6D025271"/>
    <w:rsid w:val="6D162FFE"/>
    <w:rsid w:val="6D286848"/>
    <w:rsid w:val="6D6E03BE"/>
    <w:rsid w:val="6E5955A4"/>
    <w:rsid w:val="6E5F273D"/>
    <w:rsid w:val="6E656977"/>
    <w:rsid w:val="6E76292C"/>
    <w:rsid w:val="6E9D6F0F"/>
    <w:rsid w:val="6EB362B9"/>
    <w:rsid w:val="6ECE341F"/>
    <w:rsid w:val="6F012B5C"/>
    <w:rsid w:val="6F2C68CF"/>
    <w:rsid w:val="6F4831D1"/>
    <w:rsid w:val="6FA4274C"/>
    <w:rsid w:val="6FE41C91"/>
    <w:rsid w:val="704240C4"/>
    <w:rsid w:val="70CC7FD5"/>
    <w:rsid w:val="70E513F2"/>
    <w:rsid w:val="7109216A"/>
    <w:rsid w:val="71177201"/>
    <w:rsid w:val="717C3606"/>
    <w:rsid w:val="71B477D2"/>
    <w:rsid w:val="71EA67C2"/>
    <w:rsid w:val="723B2AB1"/>
    <w:rsid w:val="72D61E88"/>
    <w:rsid w:val="73DB48FD"/>
    <w:rsid w:val="74A92964"/>
    <w:rsid w:val="75071439"/>
    <w:rsid w:val="75B96DF1"/>
    <w:rsid w:val="75BD4ACF"/>
    <w:rsid w:val="75D607A1"/>
    <w:rsid w:val="763C1892"/>
    <w:rsid w:val="7651520C"/>
    <w:rsid w:val="76A258BD"/>
    <w:rsid w:val="76AA4606"/>
    <w:rsid w:val="76C27D0D"/>
    <w:rsid w:val="76E67AC0"/>
    <w:rsid w:val="76E83F08"/>
    <w:rsid w:val="77B0134A"/>
    <w:rsid w:val="77BF7A05"/>
    <w:rsid w:val="781B0506"/>
    <w:rsid w:val="782D11B6"/>
    <w:rsid w:val="78567DD3"/>
    <w:rsid w:val="788E70E3"/>
    <w:rsid w:val="79094199"/>
    <w:rsid w:val="792B1193"/>
    <w:rsid w:val="79982FA7"/>
    <w:rsid w:val="79A17395"/>
    <w:rsid w:val="79C20FF7"/>
    <w:rsid w:val="7A1940E8"/>
    <w:rsid w:val="7A652E89"/>
    <w:rsid w:val="7AFD4C07"/>
    <w:rsid w:val="7B8657AD"/>
    <w:rsid w:val="7B8D6F12"/>
    <w:rsid w:val="7C53766E"/>
    <w:rsid w:val="7C75137E"/>
    <w:rsid w:val="7CED1B7C"/>
    <w:rsid w:val="7CED7166"/>
    <w:rsid w:val="7CFE0EC0"/>
    <w:rsid w:val="7DA5477A"/>
    <w:rsid w:val="7DAD0021"/>
    <w:rsid w:val="7E4A0D70"/>
    <w:rsid w:val="7E4B683A"/>
    <w:rsid w:val="7ED24865"/>
    <w:rsid w:val="7F223D6F"/>
    <w:rsid w:val="7F351391"/>
    <w:rsid w:val="7F375A0F"/>
    <w:rsid w:val="7F895EEA"/>
    <w:rsid w:val="7FE66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b/>
      <w:bCs/>
      <w:sz w:val="44"/>
      <w:szCs w:val="44"/>
    </w:rPr>
  </w:style>
  <w:style w:type="paragraph" w:styleId="3">
    <w:name w:val="heading 2"/>
    <w:basedOn w:val="1"/>
    <w:next w:val="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next w:val="5"/>
    <w:qFormat/>
    <w:uiPriority w:val="0"/>
    <w:pPr>
      <w:widowControl/>
      <w:snapToGrid w:val="0"/>
      <w:spacing w:line="480" w:lineRule="exact"/>
      <w:ind w:firstLine="567"/>
    </w:pPr>
    <w:rPr>
      <w:rFonts w:ascii="宋体"/>
      <w:snapToGrid w:val="0"/>
      <w:color w:val="000000"/>
      <w:kern w:val="28"/>
      <w:sz w:val="28"/>
      <w:szCs w:val="20"/>
    </w:rPr>
  </w:style>
  <w:style w:type="paragraph" w:styleId="5">
    <w:name w:val="Body Text Indent"/>
    <w:basedOn w:val="1"/>
    <w:next w:val="6"/>
    <w:qFormat/>
    <w:uiPriority w:val="0"/>
    <w:pPr>
      <w:spacing w:line="200" w:lineRule="exact"/>
      <w:ind w:firstLine="301"/>
    </w:pPr>
    <w:rPr>
      <w:rFonts w:ascii="宋体" w:hAnsi="Courier New" w:cs="宋体"/>
      <w:spacing w:val="-4"/>
      <w:sz w:val="18"/>
      <w:szCs w:val="18"/>
    </w:rPr>
  </w:style>
  <w:style w:type="paragraph" w:customStyle="1" w:styleId="6">
    <w:name w:val="正文文本首行缩进 2"/>
    <w:basedOn w:val="7"/>
    <w:qFormat/>
    <w:uiPriority w:val="0"/>
    <w:pPr>
      <w:tabs>
        <w:tab w:val="right" w:leader="dot" w:pos="8268"/>
      </w:tabs>
      <w:spacing w:line="200" w:lineRule="atLeast"/>
      <w:ind w:firstLine="420"/>
    </w:pPr>
    <w:rPr>
      <w:rFonts w:ascii="宋体" w:hAnsi="Courier New"/>
      <w:spacing w:val="-4"/>
      <w:sz w:val="18"/>
    </w:rPr>
  </w:style>
  <w:style w:type="paragraph" w:customStyle="1" w:styleId="7">
    <w:name w:val="正文缩进1"/>
    <w:basedOn w:val="8"/>
    <w:next w:val="5"/>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
    <w:name w:val="正文1"/>
    <w:basedOn w:val="9"/>
    <w:next w:val="10"/>
    <w:qFormat/>
    <w:uiPriority w:val="0"/>
    <w:pPr>
      <w:widowControl w:val="0"/>
      <w:tabs>
        <w:tab w:val="right" w:leader="dot" w:pos="8268"/>
      </w:tabs>
      <w:jc w:val="both"/>
    </w:pPr>
    <w:rPr>
      <w:rFonts w:hint="eastAsia" w:ascii="Times New Roman" w:hAnsi="Times New Roman" w:eastAsia="宋体" w:cs="Times New Roman"/>
      <w:kern w:val="2"/>
      <w:sz w:val="21"/>
      <w:szCs w:val="22"/>
      <w:lang w:val="en-US" w:eastAsia="zh-CN" w:bidi="ar-SA"/>
    </w:rPr>
  </w:style>
  <w:style w:type="paragraph" w:styleId="9">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10">
    <w:name w:val="标题 21"/>
    <w:basedOn w:val="8"/>
    <w:next w:val="8"/>
    <w:qFormat/>
    <w:uiPriority w:val="0"/>
    <w:pPr>
      <w:keepNext/>
      <w:keepLines/>
      <w:tabs>
        <w:tab w:val="left" w:pos="706"/>
      </w:tabs>
      <w:ind w:left="106" w:firstLine="454"/>
      <w:outlineLvl w:val="1"/>
    </w:pPr>
    <w:rPr>
      <w:rFonts w:ascii="Arial" w:hAnsi="Arial" w:eastAsia="??"/>
      <w:b/>
      <w:bCs/>
      <w:szCs w:val="32"/>
    </w:rPr>
  </w:style>
  <w:style w:type="paragraph" w:styleId="11">
    <w:name w:val="List Number 2"/>
    <w:basedOn w:val="1"/>
    <w:qFormat/>
    <w:uiPriority w:val="0"/>
    <w:pPr>
      <w:numPr>
        <w:ilvl w:val="0"/>
        <w:numId w:val="1"/>
      </w:numPr>
    </w:pPr>
  </w:style>
  <w:style w:type="paragraph" w:styleId="12">
    <w:name w:val="List Number"/>
    <w:basedOn w:val="1"/>
    <w:qFormat/>
    <w:uiPriority w:val="0"/>
    <w:pPr>
      <w:numPr>
        <w:ilvl w:val="0"/>
        <w:numId w:val="2"/>
      </w:numPr>
    </w:pPr>
  </w:style>
  <w:style w:type="paragraph" w:styleId="13">
    <w:name w:val="annotation text"/>
    <w:basedOn w:val="1"/>
    <w:qFormat/>
    <w:uiPriority w:val="99"/>
    <w:pPr>
      <w:jc w:val="left"/>
    </w:pPr>
    <w:rPr>
      <w:szCs w:val="20"/>
    </w:rPr>
  </w:style>
  <w:style w:type="paragraph" w:styleId="14">
    <w:name w:val="Body Text 3"/>
    <w:basedOn w:val="1"/>
    <w:qFormat/>
    <w:uiPriority w:val="0"/>
    <w:pPr>
      <w:snapToGrid w:val="0"/>
      <w:spacing w:before="50" w:after="50"/>
    </w:pPr>
    <w:rPr>
      <w:rFonts w:hAnsi="宋体" w:eastAsia="仿宋_GB2312"/>
      <w:b/>
      <w:bCs/>
      <w:sz w:val="24"/>
    </w:rPr>
  </w:style>
  <w:style w:type="paragraph" w:styleId="15">
    <w:name w:val="Body Text"/>
    <w:basedOn w:val="1"/>
    <w:next w:val="16"/>
    <w:qFormat/>
    <w:uiPriority w:val="0"/>
    <w:pPr>
      <w:spacing w:before="100" w:beforeAutospacing="1" w:after="120"/>
    </w:pPr>
    <w:rPr>
      <w:sz w:val="28"/>
      <w:szCs w:val="28"/>
    </w:rPr>
  </w:style>
  <w:style w:type="paragraph" w:styleId="16">
    <w:name w:val="Body Text First Indent"/>
    <w:basedOn w:val="15"/>
    <w:qFormat/>
    <w:uiPriority w:val="0"/>
    <w:pPr>
      <w:widowControl/>
      <w:spacing w:before="120" w:beforeAutospacing="0"/>
      <w:ind w:firstLine="100" w:firstLineChars="100"/>
    </w:pPr>
    <w:rPr>
      <w:color w:val="000000"/>
    </w:rPr>
  </w:style>
  <w:style w:type="paragraph" w:styleId="17">
    <w:name w:val="List 2"/>
    <w:basedOn w:val="1"/>
    <w:qFormat/>
    <w:uiPriority w:val="0"/>
    <w:pPr>
      <w:ind w:left="100" w:leftChars="200" w:hanging="200" w:hangingChars="200"/>
    </w:pPr>
    <w:rPr>
      <w:sz w:val="28"/>
    </w:rPr>
  </w:style>
  <w:style w:type="paragraph" w:styleId="18">
    <w:name w:val="Block Text"/>
    <w:basedOn w:val="1"/>
    <w:qFormat/>
    <w:uiPriority w:val="0"/>
    <w:pPr>
      <w:snapToGrid w:val="0"/>
      <w:spacing w:line="300" w:lineRule="auto"/>
      <w:ind w:left="958" w:right="-120" w:rightChars="-120"/>
      <w:jc w:val="left"/>
      <w:textAlignment w:val="baseline"/>
    </w:pPr>
    <w:rPr>
      <w:rFonts w:hint="eastAsia" w:ascii="宋体" w:hAnsi="宋体"/>
      <w:sz w:val="28"/>
      <w:szCs w:val="20"/>
    </w:rPr>
  </w:style>
  <w:style w:type="paragraph" w:styleId="19">
    <w:name w:val="Plain Text"/>
    <w:basedOn w:val="1"/>
    <w:next w:val="1"/>
    <w:qFormat/>
    <w:uiPriority w:val="0"/>
    <w:pPr>
      <w:spacing w:beforeLines="50" w:afterLines="50" w:line="400" w:lineRule="exact"/>
    </w:pPr>
    <w:rPr>
      <w:rFonts w:ascii="宋体" w:hAnsi="Courier New" w:cs="宋体"/>
      <w:sz w:val="24"/>
    </w:rPr>
  </w:style>
  <w:style w:type="paragraph" w:styleId="20">
    <w:name w:val="Body Text Indent 2"/>
    <w:basedOn w:val="1"/>
    <w:qFormat/>
    <w:uiPriority w:val="0"/>
    <w:pPr>
      <w:spacing w:line="480" w:lineRule="auto"/>
      <w:ind w:left="420" w:leftChars="200"/>
    </w:pPr>
  </w:style>
  <w:style w:type="paragraph" w:styleId="21">
    <w:name w:val="Balloon Text"/>
    <w:basedOn w:val="1"/>
    <w:link w:val="71"/>
    <w:qFormat/>
    <w:uiPriority w:val="0"/>
    <w:rPr>
      <w:sz w:val="18"/>
      <w:szCs w:val="18"/>
    </w:rPr>
  </w:style>
  <w:style w:type="paragraph" w:styleId="22">
    <w:name w:val="footer"/>
    <w:basedOn w:val="1"/>
    <w:qFormat/>
    <w:uiPriority w:val="0"/>
    <w:pPr>
      <w:tabs>
        <w:tab w:val="center" w:pos="4153"/>
        <w:tab w:val="right" w:pos="8306"/>
      </w:tabs>
      <w:snapToGrid w:val="0"/>
      <w:jc w:val="left"/>
    </w:pPr>
    <w:rPr>
      <w:sz w:val="18"/>
    </w:rPr>
  </w:style>
  <w:style w:type="paragraph" w:styleId="23">
    <w:name w:val="envelope return"/>
    <w:basedOn w:val="1"/>
    <w:qFormat/>
    <w:uiPriority w:val="0"/>
    <w:pPr>
      <w:snapToGrid w:val="0"/>
    </w:pPr>
    <w:rPr>
      <w:rFonts w:ascii="Arial" w:hAnsi="Arial"/>
    </w:rPr>
  </w:style>
  <w:style w:type="paragraph" w:styleId="2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5">
    <w:name w:val="toc 6"/>
    <w:basedOn w:val="1"/>
    <w:next w:val="1"/>
    <w:unhideWhenUsed/>
    <w:qFormat/>
    <w:uiPriority w:val="39"/>
    <w:pPr>
      <w:ind w:left="2100" w:leftChars="1000"/>
    </w:pPr>
    <w:rPr>
      <w:rFonts w:ascii="等线" w:hAnsi="等线" w:eastAsia="等线"/>
      <w:szCs w:val="22"/>
    </w:rPr>
  </w:style>
  <w:style w:type="paragraph" w:styleId="26">
    <w:name w:val="table of figures"/>
    <w:basedOn w:val="1"/>
    <w:next w:val="1"/>
    <w:qFormat/>
    <w:uiPriority w:val="0"/>
    <w:pPr>
      <w:ind w:left="420" w:hanging="420"/>
      <w:jc w:val="left"/>
    </w:pPr>
    <w:rPr>
      <w:smallCaps/>
      <w:sz w:val="20"/>
    </w:rPr>
  </w:style>
  <w:style w:type="paragraph" w:styleId="27">
    <w:name w:val="Normal (Web)"/>
    <w:basedOn w:val="1"/>
    <w:qFormat/>
    <w:uiPriority w:val="0"/>
    <w:pPr>
      <w:spacing w:before="100" w:beforeAutospacing="1" w:after="100" w:afterAutospacing="1"/>
      <w:jc w:val="left"/>
    </w:pPr>
    <w:rPr>
      <w:kern w:val="0"/>
      <w:sz w:val="24"/>
    </w:rPr>
  </w:style>
  <w:style w:type="paragraph" w:styleId="28">
    <w:name w:val="Title"/>
    <w:basedOn w:val="1"/>
    <w:next w:val="1"/>
    <w:qFormat/>
    <w:uiPriority w:val="0"/>
    <w:pPr>
      <w:spacing w:line="360" w:lineRule="auto"/>
      <w:ind w:firstLine="200" w:firstLineChars="200"/>
      <w:jc w:val="center"/>
      <w:outlineLvl w:val="0"/>
    </w:pPr>
    <w:rPr>
      <w:rFonts w:ascii="Arial" w:hAnsi="Arial" w:eastAsia="楷体_GB2312" w:cs="Arial"/>
      <w:b/>
      <w:bCs/>
      <w:sz w:val="32"/>
      <w:szCs w:val="32"/>
    </w:rPr>
  </w:style>
  <w:style w:type="paragraph" w:styleId="29">
    <w:name w:val="Body Text First Indent 2"/>
    <w:basedOn w:val="5"/>
    <w:next w:val="16"/>
    <w:qFormat/>
    <w:uiPriority w:val="0"/>
    <w:pPr>
      <w:ind w:firstLine="420"/>
    </w:pPr>
    <w:rPr>
      <w:sz w:val="21"/>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3">
    <w:name w:val="Strong"/>
    <w:basedOn w:val="32"/>
    <w:qFormat/>
    <w:uiPriority w:val="0"/>
    <w:rPr>
      <w:b/>
    </w:rPr>
  </w:style>
  <w:style w:type="character" w:styleId="34">
    <w:name w:val="page number"/>
    <w:basedOn w:val="32"/>
    <w:qFormat/>
    <w:uiPriority w:val="0"/>
    <w:rPr>
      <w:rFonts w:ascii="Arial" w:hAnsi="Arial" w:eastAsia="黑体" w:cs="Arial"/>
      <w:snapToGrid w:val="0"/>
      <w:kern w:val="0"/>
      <w:szCs w:val="21"/>
    </w:rPr>
  </w:style>
  <w:style w:type="character" w:styleId="35">
    <w:name w:val="Emphasis"/>
    <w:qFormat/>
    <w:uiPriority w:val="0"/>
    <w:rPr>
      <w:color w:val="CC0000"/>
    </w:rPr>
  </w:style>
  <w:style w:type="character" w:styleId="36">
    <w:name w:val="Hyperlink"/>
    <w:qFormat/>
    <w:uiPriority w:val="99"/>
    <w:rPr>
      <w:rFonts w:ascii="Arial" w:hAnsi="Arial" w:eastAsia="黑体" w:cs="Arial"/>
      <w:snapToGrid w:val="0"/>
      <w:color w:val="000000"/>
      <w:kern w:val="0"/>
      <w:sz w:val="18"/>
      <w:szCs w:val="18"/>
      <w:u w:val="none"/>
    </w:rPr>
  </w:style>
  <w:style w:type="paragraph" w:customStyle="1" w:styleId="37">
    <w:name w:val="Default"/>
    <w:next w:val="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8">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39">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4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41">
    <w:name w:val="正文2"/>
    <w:basedOn w:val="1"/>
    <w:qFormat/>
    <w:uiPriority w:val="0"/>
    <w:pPr>
      <w:spacing w:before="156" w:line="360" w:lineRule="auto"/>
      <w:ind w:firstLine="510" w:firstLineChars="200"/>
    </w:pPr>
    <w:rPr>
      <w:sz w:val="24"/>
      <w:szCs w:val="20"/>
    </w:rPr>
  </w:style>
  <w:style w:type="character" w:customStyle="1" w:styleId="42">
    <w:name w:val="NormalCharacter"/>
    <w:qFormat/>
    <w:uiPriority w:val="0"/>
  </w:style>
  <w:style w:type="paragraph" w:customStyle="1" w:styleId="4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45">
    <w:name w:val="font01"/>
    <w:basedOn w:val="32"/>
    <w:qFormat/>
    <w:uiPriority w:val="0"/>
    <w:rPr>
      <w:rFonts w:hint="eastAsia" w:ascii="仿宋" w:hAnsi="仿宋" w:eastAsia="仿宋" w:cs="仿宋"/>
      <w:color w:val="000000"/>
      <w:sz w:val="20"/>
      <w:szCs w:val="20"/>
      <w:u w:val="none"/>
    </w:rPr>
  </w:style>
  <w:style w:type="paragraph" w:customStyle="1" w:styleId="46">
    <w:name w:val="_正文"/>
    <w:basedOn w:val="1"/>
    <w:qFormat/>
    <w:uiPriority w:val="0"/>
    <w:pPr>
      <w:tabs>
        <w:tab w:val="left" w:pos="540"/>
      </w:tabs>
      <w:spacing w:line="360" w:lineRule="auto"/>
      <w:ind w:firstLine="200" w:firstLineChars="200"/>
    </w:pPr>
    <w:rPr>
      <w:rFonts w:cs="Arial"/>
      <w:sz w:val="24"/>
    </w:rPr>
  </w:style>
  <w:style w:type="paragraph" w:customStyle="1" w:styleId="47">
    <w:name w:val="样式 列表编号 + 段后: 0.5 行"/>
    <w:basedOn w:val="12"/>
    <w:qFormat/>
    <w:uiPriority w:val="0"/>
    <w:pPr>
      <w:ind w:left="720"/>
    </w:pPr>
  </w:style>
  <w:style w:type="paragraph" w:customStyle="1" w:styleId="48">
    <w:name w:val="Table caption|1"/>
    <w:basedOn w:val="1"/>
    <w:qFormat/>
    <w:uiPriority w:val="0"/>
    <w:pPr>
      <w:spacing w:line="463" w:lineRule="auto"/>
      <w:ind w:firstLine="400"/>
    </w:pPr>
    <w:rPr>
      <w:sz w:val="20"/>
      <w:szCs w:val="20"/>
      <w:lang w:val="zh-TW" w:eastAsia="zh-TW" w:bidi="zh-TW"/>
    </w:rPr>
  </w:style>
  <w:style w:type="paragraph" w:customStyle="1" w:styleId="49">
    <w:name w:val="Table Paragraph"/>
    <w:basedOn w:val="1"/>
    <w:qFormat/>
    <w:uiPriority w:val="1"/>
  </w:style>
  <w:style w:type="paragraph" w:customStyle="1" w:styleId="50">
    <w:name w:val="DG正文"/>
    <w:basedOn w:val="1"/>
    <w:qFormat/>
    <w:uiPriority w:val="99"/>
    <w:pPr>
      <w:widowControl/>
      <w:spacing w:line="360" w:lineRule="auto"/>
      <w:ind w:right="142" w:firstLine="640"/>
      <w:jc w:val="left"/>
    </w:pPr>
    <w:rPr>
      <w:rFonts w:ascii="Calibri" w:hAnsi="Calibri" w:cs="Calibri"/>
    </w:rPr>
  </w:style>
  <w:style w:type="paragraph" w:customStyle="1" w:styleId="51">
    <w:name w:val="WPSOffice手动目录 1"/>
    <w:qFormat/>
    <w:uiPriority w:val="0"/>
    <w:rPr>
      <w:rFonts w:asciiTheme="minorHAnsi" w:hAnsiTheme="minorHAnsi" w:eastAsiaTheme="minorEastAsia" w:cstheme="minorBidi"/>
      <w:lang w:val="en-US" w:eastAsia="zh-CN" w:bidi="ar-SA"/>
    </w:rPr>
  </w:style>
  <w:style w:type="character" w:customStyle="1" w:styleId="52">
    <w:name w:val="font11"/>
    <w:basedOn w:val="32"/>
    <w:qFormat/>
    <w:uiPriority w:val="0"/>
    <w:rPr>
      <w:rFonts w:hint="eastAsia" w:ascii="宋体" w:hAnsi="宋体" w:eastAsia="宋体" w:cs="宋体"/>
      <w:color w:val="FF0000"/>
      <w:sz w:val="24"/>
      <w:szCs w:val="24"/>
      <w:u w:val="none"/>
    </w:rPr>
  </w:style>
  <w:style w:type="character" w:customStyle="1" w:styleId="53">
    <w:name w:val="font71"/>
    <w:basedOn w:val="32"/>
    <w:qFormat/>
    <w:uiPriority w:val="0"/>
    <w:rPr>
      <w:rFonts w:hint="eastAsia" w:ascii="宋体" w:hAnsi="宋体" w:eastAsia="宋体" w:cs="宋体"/>
      <w:color w:val="FF0000"/>
      <w:sz w:val="24"/>
      <w:szCs w:val="24"/>
      <w:u w:val="none"/>
    </w:rPr>
  </w:style>
  <w:style w:type="character" w:customStyle="1" w:styleId="54">
    <w:name w:val="font61"/>
    <w:basedOn w:val="32"/>
    <w:qFormat/>
    <w:uiPriority w:val="0"/>
    <w:rPr>
      <w:rFonts w:hint="eastAsia" w:ascii="宋体" w:hAnsi="宋体" w:eastAsia="宋体" w:cs="宋体"/>
      <w:color w:val="000000"/>
      <w:sz w:val="24"/>
      <w:szCs w:val="24"/>
      <w:u w:val="none"/>
    </w:rPr>
  </w:style>
  <w:style w:type="character" w:customStyle="1" w:styleId="55">
    <w:name w:val="font21"/>
    <w:basedOn w:val="32"/>
    <w:qFormat/>
    <w:uiPriority w:val="0"/>
    <w:rPr>
      <w:rFonts w:hint="eastAsia" w:ascii="宋体" w:hAnsi="宋体" w:eastAsia="宋体" w:cs="宋体"/>
      <w:color w:val="FF0000"/>
      <w:sz w:val="24"/>
      <w:szCs w:val="24"/>
      <w:u w:val="none"/>
    </w:rPr>
  </w:style>
  <w:style w:type="character" w:customStyle="1" w:styleId="56">
    <w:name w:val="font41"/>
    <w:basedOn w:val="32"/>
    <w:qFormat/>
    <w:uiPriority w:val="0"/>
    <w:rPr>
      <w:rFonts w:hint="eastAsia" w:ascii="宋体" w:hAnsi="宋体" w:eastAsia="宋体" w:cs="宋体"/>
      <w:color w:val="000000"/>
      <w:sz w:val="24"/>
      <w:szCs w:val="24"/>
      <w:u w:val="none"/>
    </w:rPr>
  </w:style>
  <w:style w:type="character" w:customStyle="1" w:styleId="57">
    <w:name w:val="font51"/>
    <w:basedOn w:val="32"/>
    <w:qFormat/>
    <w:uiPriority w:val="0"/>
    <w:rPr>
      <w:rFonts w:hint="eastAsia" w:ascii="宋体" w:hAnsi="宋体" w:eastAsia="宋体" w:cs="宋体"/>
      <w:color w:val="FF0000"/>
      <w:sz w:val="24"/>
      <w:szCs w:val="24"/>
      <w:u w:val="none"/>
    </w:rPr>
  </w:style>
  <w:style w:type="paragraph" w:customStyle="1" w:styleId="58">
    <w:name w:val="样式 宋体"/>
    <w:basedOn w:val="1"/>
    <w:next w:val="1"/>
    <w:qFormat/>
    <w:uiPriority w:val="0"/>
    <w:pPr>
      <w:widowControl/>
    </w:pPr>
    <w:rPr>
      <w:rFonts w:ascii="宋体"/>
      <w:color w:val="000000"/>
      <w:sz w:val="24"/>
      <w:szCs w:val="20"/>
    </w:rPr>
  </w:style>
  <w:style w:type="paragraph" w:customStyle="1" w:styleId="59">
    <w:name w:val="纯文本1"/>
    <w:basedOn w:val="8"/>
    <w:qFormat/>
    <w:uiPriority w:val="0"/>
    <w:pPr>
      <w:numPr>
        <w:ilvl w:val="0"/>
        <w:numId w:val="3"/>
      </w:numPr>
      <w:autoSpaceDE w:val="0"/>
      <w:autoSpaceDN w:val="0"/>
      <w:adjustRightInd w:val="0"/>
      <w:ind w:left="0" w:firstLine="0"/>
      <w:textAlignment w:val="baseline"/>
    </w:pPr>
    <w:rPr>
      <w:rFonts w:ascii="宋体" w:hAnsi="Tms Rmn"/>
      <w:kern w:val="0"/>
    </w:rPr>
  </w:style>
  <w:style w:type="character" w:customStyle="1" w:styleId="60">
    <w:name w:val="font31"/>
    <w:basedOn w:val="32"/>
    <w:qFormat/>
    <w:uiPriority w:val="0"/>
    <w:rPr>
      <w:rFonts w:hint="eastAsia" w:ascii="宋体" w:hAnsi="宋体" w:eastAsia="宋体" w:cs="宋体"/>
      <w:color w:val="FF0000"/>
      <w:sz w:val="24"/>
      <w:szCs w:val="24"/>
      <w:u w:val="none"/>
    </w:rPr>
  </w:style>
  <w:style w:type="character" w:customStyle="1" w:styleId="61">
    <w:name w:val="font81"/>
    <w:basedOn w:val="32"/>
    <w:qFormat/>
    <w:uiPriority w:val="0"/>
    <w:rPr>
      <w:rFonts w:hint="eastAsia" w:ascii="宋体" w:hAnsi="宋体" w:eastAsia="宋体" w:cs="宋体"/>
      <w:color w:val="000000"/>
      <w:sz w:val="24"/>
      <w:szCs w:val="24"/>
      <w:u w:val="none"/>
    </w:rPr>
  </w:style>
  <w:style w:type="paragraph" w:customStyle="1" w:styleId="62">
    <w:name w:val="GP正文(无首行缩进)"/>
    <w:qFormat/>
    <w:uiPriority w:val="0"/>
    <w:pPr>
      <w:widowControl w:val="0"/>
      <w:spacing w:line="360" w:lineRule="auto"/>
      <w:jc w:val="both"/>
    </w:pPr>
    <w:rPr>
      <w:rFonts w:ascii="Times New Roman" w:hAnsi="Times New Roman" w:eastAsia="宋体" w:cs="Times New Roman"/>
      <w:kern w:val="2"/>
      <w:sz w:val="24"/>
      <w:szCs w:val="21"/>
      <w:lang w:val="en-US" w:eastAsia="zh-CN" w:bidi="ar-SA"/>
    </w:rPr>
  </w:style>
  <w:style w:type="paragraph" w:customStyle="1" w:styleId="63">
    <w:name w:val="表格文字"/>
    <w:basedOn w:val="1"/>
    <w:next w:val="15"/>
    <w:qFormat/>
    <w:uiPriority w:val="0"/>
    <w:pPr>
      <w:spacing w:line="420" w:lineRule="atLeast"/>
    </w:pPr>
  </w:style>
  <w:style w:type="paragraph" w:customStyle="1" w:styleId="64">
    <w:name w:val="Body text|1"/>
    <w:basedOn w:val="1"/>
    <w:qFormat/>
    <w:uiPriority w:val="0"/>
    <w:pPr>
      <w:spacing w:after="40" w:line="410" w:lineRule="auto"/>
      <w:ind w:firstLine="400"/>
    </w:pPr>
    <w:rPr>
      <w:rFonts w:ascii="宋体" w:hAnsi="宋体" w:cs="宋体"/>
      <w:lang w:val="zh-TW" w:eastAsia="zh-TW" w:bidi="zh-TW"/>
    </w:rPr>
  </w:style>
  <w:style w:type="paragraph" w:customStyle="1" w:styleId="65">
    <w:name w:val="正文文本首行缩进1"/>
    <w:basedOn w:val="15"/>
    <w:qFormat/>
    <w:uiPriority w:val="0"/>
    <w:pPr>
      <w:autoSpaceDE w:val="0"/>
      <w:autoSpaceDN w:val="0"/>
      <w:ind w:firstLine="420" w:firstLineChars="100"/>
    </w:pPr>
    <w:rPr>
      <w:color w:val="000000"/>
      <w:szCs w:val="21"/>
    </w:rPr>
  </w:style>
  <w:style w:type="paragraph" w:customStyle="1" w:styleId="66">
    <w:name w:val="纯文本11"/>
    <w:basedOn w:val="1"/>
    <w:qFormat/>
    <w:uiPriority w:val="0"/>
    <w:rPr>
      <w:sz w:val="24"/>
      <w:szCs w:val="20"/>
    </w:rPr>
  </w:style>
  <w:style w:type="paragraph" w:styleId="67">
    <w:name w:val="List Paragraph"/>
    <w:basedOn w:val="1"/>
    <w:qFormat/>
    <w:uiPriority w:val="99"/>
    <w:pPr>
      <w:widowControl/>
      <w:spacing w:after="200" w:line="276" w:lineRule="auto"/>
      <w:ind w:left="720"/>
      <w:contextualSpacing/>
      <w:jc w:val="left"/>
    </w:pPr>
    <w:rPr>
      <w:rFonts w:ascii="Calibri" w:hAnsi="Calibri"/>
      <w:kern w:val="0"/>
      <w:sz w:val="22"/>
      <w:szCs w:val="22"/>
    </w:rPr>
  </w:style>
  <w:style w:type="paragraph" w:customStyle="1" w:styleId="68">
    <w:name w:val="正文段"/>
    <w:basedOn w:val="1"/>
    <w:qFormat/>
    <w:uiPriority w:val="0"/>
    <w:pPr>
      <w:widowControl/>
      <w:snapToGrid w:val="0"/>
      <w:spacing w:afterLines="50"/>
      <w:ind w:firstLine="200" w:firstLineChars="200"/>
    </w:pPr>
    <w:rPr>
      <w:kern w:val="0"/>
      <w:sz w:val="24"/>
      <w:szCs w:val="20"/>
    </w:rPr>
  </w:style>
  <w:style w:type="paragraph" w:customStyle="1" w:styleId="6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table" w:customStyle="1" w:styleId="70">
    <w:name w:val="Table Normal"/>
    <w:semiHidden/>
    <w:unhideWhenUsed/>
    <w:qFormat/>
    <w:uiPriority w:val="0"/>
    <w:tblPr>
      <w:tblLayout w:type="fixed"/>
      <w:tblCellMar>
        <w:top w:w="0" w:type="dxa"/>
        <w:left w:w="0" w:type="dxa"/>
        <w:bottom w:w="0" w:type="dxa"/>
        <w:right w:w="0" w:type="dxa"/>
      </w:tblCellMar>
    </w:tblPr>
  </w:style>
  <w:style w:type="character" w:customStyle="1" w:styleId="71">
    <w:name w:val="批注框文本 Char"/>
    <w:basedOn w:val="32"/>
    <w:link w:val="21"/>
    <w:qFormat/>
    <w:uiPriority w:val="0"/>
    <w:rPr>
      <w:kern w:val="2"/>
      <w:sz w:val="18"/>
      <w:szCs w:val="18"/>
    </w:rPr>
  </w:style>
  <w:style w:type="character" w:customStyle="1" w:styleId="72">
    <w:name w:val="font121"/>
    <w:basedOn w:val="32"/>
    <w:qFormat/>
    <w:uiPriority w:val="0"/>
    <w:rPr>
      <w:rFonts w:hint="eastAsia" w:ascii="宋体" w:hAnsi="宋体" w:eastAsia="宋体" w:cs="宋体"/>
      <w:color w:val="000000"/>
      <w:sz w:val="18"/>
      <w:szCs w:val="18"/>
      <w:u w:val="none"/>
      <w:vertAlign w:val="superscript"/>
    </w:rPr>
  </w:style>
  <w:style w:type="character" w:customStyle="1" w:styleId="73">
    <w:name w:val="font141"/>
    <w:basedOn w:val="32"/>
    <w:qFormat/>
    <w:uiPriority w:val="0"/>
    <w:rPr>
      <w:rFonts w:hint="eastAsia" w:ascii="宋体" w:hAnsi="宋体" w:eastAsia="宋体" w:cs="宋体"/>
      <w:color w:val="000000"/>
      <w:sz w:val="18"/>
      <w:szCs w:val="18"/>
      <w:u w:val="none"/>
      <w:vertAlign w:val="superscript"/>
    </w:rPr>
  </w:style>
  <w:style w:type="character" w:customStyle="1" w:styleId="74">
    <w:name w:val="font131"/>
    <w:basedOn w:val="32"/>
    <w:qFormat/>
    <w:uiPriority w:val="0"/>
    <w:rPr>
      <w:rFonts w:ascii="Calibri" w:hAnsi="Calibri" w:cs="Calibri"/>
      <w:color w:val="000000"/>
      <w:sz w:val="18"/>
      <w:szCs w:val="18"/>
      <w:u w:val="none"/>
    </w:rPr>
  </w:style>
  <w:style w:type="character" w:customStyle="1" w:styleId="75">
    <w:name w:val="font112"/>
    <w:basedOn w:val="32"/>
    <w:qFormat/>
    <w:uiPriority w:val="0"/>
    <w:rPr>
      <w:rFonts w:hint="eastAsia" w:ascii="宋体" w:hAnsi="宋体" w:eastAsia="宋体" w:cs="宋体"/>
      <w:color w:val="333333"/>
      <w:sz w:val="18"/>
      <w:szCs w:val="18"/>
      <w:u w:val="none"/>
    </w:rPr>
  </w:style>
  <w:style w:type="character" w:customStyle="1" w:styleId="76">
    <w:name w:val="font142"/>
    <w:basedOn w:val="32"/>
    <w:qFormat/>
    <w:uiPriority w:val="0"/>
    <w:rPr>
      <w:rFonts w:hint="eastAsia" w:ascii="宋体" w:hAnsi="宋体" w:eastAsia="宋体" w:cs="宋体"/>
      <w:color w:val="000000"/>
      <w:sz w:val="18"/>
      <w:szCs w:val="18"/>
      <w:u w:val="none"/>
      <w:vertAlign w:val="superscript"/>
    </w:rPr>
  </w:style>
  <w:style w:type="character" w:customStyle="1" w:styleId="77">
    <w:name w:val="font111"/>
    <w:basedOn w:val="32"/>
    <w:qFormat/>
    <w:uiPriority w:val="0"/>
    <w:rPr>
      <w:rFonts w:hint="eastAsia" w:ascii="宋体" w:hAnsi="宋体" w:eastAsia="宋体" w:cs="宋体"/>
      <w:color w:val="333333"/>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9604</Words>
  <Characters>10516</Characters>
  <Lines>206</Lines>
  <Paragraphs>58</Paragraphs>
  <TotalTime>1</TotalTime>
  <ScaleCrop>false</ScaleCrop>
  <LinksUpToDate>false</LinksUpToDate>
  <CharactersWithSpaces>10784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2023-11-27T11:41:00Z</dcterms:created>
  <dc:creator>心雨</dc:creator>
  <cp:lastModifiedBy>Libra</cp:lastModifiedBy>
  <cp:lastPrinted>2023-11-27T02:41:00Z</cp:lastPrinted>
  <dcterms:modified xsi:type="dcterms:W3CDTF">2025-06-11T05:38:47Z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E9A375A5AB9B4EDB99E4929A53AA58D3_13</vt:lpwstr>
  </property>
  <property fmtid="{D5CDD505-2E9C-101B-9397-08002B2CF9AE}" pid="4" name="KSOTemplateDocerSaveRecord">
    <vt:lpwstr>eyJoZGlkIjoiZDU1ZDRjOTExZmRlZmI3NjFjMGQzN2YzNDlkNjA3ZWYifQ==</vt:lpwstr>
  </property>
</Properties>
</file>