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72E4B">
      <w:pPr>
        <w:spacing w:line="360" w:lineRule="auto"/>
        <w:jc w:val="center"/>
        <w:rPr>
          <w:rFonts w:hint="eastAsia" w:ascii="宋体" w:hAnsi="宋体" w:eastAsia="宋体" w:cs="宋体"/>
          <w:b/>
          <w:color w:val="auto"/>
          <w:sz w:val="24"/>
          <w:lang w:eastAsia="zh-CN"/>
        </w:rPr>
      </w:pPr>
    </w:p>
    <w:p w14:paraId="2F59A57E">
      <w:pPr>
        <w:pStyle w:val="15"/>
        <w:rPr>
          <w:rFonts w:hint="eastAsia"/>
          <w:color w:val="auto"/>
          <w:lang w:eastAsia="zh-CN"/>
        </w:rPr>
      </w:pPr>
    </w:p>
    <w:p w14:paraId="1AE3B07D">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lang w:eastAsia="zh-CN"/>
        </w:rPr>
        <w:t>杭州市萧山区数据资源管理局2025年度采购类招标代理预选供应商</w:t>
      </w:r>
    </w:p>
    <w:p w14:paraId="3A056BDD">
      <w:pPr>
        <w:adjustRightInd/>
        <w:spacing w:line="360" w:lineRule="auto"/>
        <w:jc w:val="center"/>
        <w:rPr>
          <w:rFonts w:hint="eastAsia" w:ascii="宋体" w:hAnsi="宋体" w:cs="宋体"/>
          <w:color w:val="auto"/>
          <w:sz w:val="48"/>
          <w:szCs w:val="48"/>
          <w:lang w:eastAsia="zh-CN"/>
        </w:rPr>
      </w:pPr>
    </w:p>
    <w:p w14:paraId="2C33D67B">
      <w:pPr>
        <w:adjustRightInd/>
        <w:spacing w:line="360" w:lineRule="auto"/>
        <w:jc w:val="center"/>
        <w:rPr>
          <w:rFonts w:hint="eastAsia" w:ascii="宋体" w:hAnsi="宋体" w:cs="宋体"/>
          <w:color w:val="auto"/>
          <w:sz w:val="48"/>
          <w:szCs w:val="48"/>
          <w:lang w:eastAsia="zh-CN"/>
        </w:rPr>
      </w:pPr>
    </w:p>
    <w:p w14:paraId="5AB06F1B">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交易文件</w:t>
      </w:r>
      <w:r>
        <w:rPr>
          <w:rFonts w:hint="eastAsia" w:ascii="宋体" w:hAnsi="宋体" w:cs="宋体"/>
          <w:color w:val="auto"/>
          <w:sz w:val="48"/>
          <w:szCs w:val="48"/>
        </w:rPr>
        <w:t xml:space="preserve"> </w:t>
      </w:r>
    </w:p>
    <w:p w14:paraId="64F47ACC">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w:t>
      </w:r>
      <w:r>
        <w:rPr>
          <w:rFonts w:hint="eastAsia" w:ascii="宋体" w:hAnsi="宋体" w:cs="宋体"/>
          <w:b/>
          <w:color w:val="auto"/>
          <w:sz w:val="44"/>
          <w:szCs w:val="44"/>
          <w:lang w:val="en-US" w:eastAsia="zh-CN"/>
        </w:rPr>
        <w:t>交易</w:t>
      </w:r>
      <w:r>
        <w:rPr>
          <w:rFonts w:hint="eastAsia" w:ascii="宋体" w:hAnsi="宋体" w:cs="宋体"/>
          <w:b/>
          <w:color w:val="auto"/>
          <w:sz w:val="44"/>
          <w:szCs w:val="44"/>
        </w:rPr>
        <w:t>标）</w:t>
      </w:r>
    </w:p>
    <w:p w14:paraId="2E284351">
      <w:pPr>
        <w:snapToGrid w:val="0"/>
        <w:spacing w:line="360" w:lineRule="auto"/>
        <w:jc w:val="center"/>
        <w:rPr>
          <w:rFonts w:hint="default"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ZJHJHZ2025010</w:t>
      </w:r>
    </w:p>
    <w:p w14:paraId="0EBB4FF0">
      <w:pPr>
        <w:adjustRightInd/>
        <w:spacing w:line="360" w:lineRule="auto"/>
        <w:rPr>
          <w:rFonts w:ascii="宋体" w:hAnsi="宋体" w:cs="宋体"/>
          <w:color w:val="auto"/>
          <w:sz w:val="28"/>
          <w:szCs w:val="20"/>
        </w:rPr>
      </w:pPr>
    </w:p>
    <w:p w14:paraId="6DEADDA6">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3BC3648">
      <w:pPr>
        <w:spacing w:line="360" w:lineRule="auto"/>
        <w:jc w:val="center"/>
        <w:rPr>
          <w:rFonts w:ascii="宋体" w:hAnsi="宋体" w:cs="宋体"/>
          <w:b/>
          <w:color w:val="auto"/>
          <w:sz w:val="44"/>
          <w:szCs w:val="44"/>
        </w:rPr>
      </w:pPr>
    </w:p>
    <w:p w14:paraId="61B7B257">
      <w:pPr>
        <w:spacing w:line="360" w:lineRule="auto"/>
        <w:jc w:val="center"/>
        <w:rPr>
          <w:rFonts w:ascii="宋体" w:hAnsi="宋体" w:cs="宋体"/>
          <w:color w:val="auto"/>
          <w:sz w:val="24"/>
        </w:rPr>
      </w:pPr>
    </w:p>
    <w:p w14:paraId="68294580">
      <w:pPr>
        <w:spacing w:line="360" w:lineRule="auto"/>
        <w:jc w:val="center"/>
        <w:rPr>
          <w:rFonts w:ascii="宋体" w:hAnsi="宋体" w:cs="宋体"/>
          <w:color w:val="auto"/>
          <w:sz w:val="24"/>
        </w:rPr>
      </w:pPr>
    </w:p>
    <w:p w14:paraId="0B51DE62">
      <w:pPr>
        <w:spacing w:line="360" w:lineRule="auto"/>
        <w:rPr>
          <w:rFonts w:ascii="宋体" w:hAnsi="宋体" w:cs="宋体"/>
          <w:color w:val="auto"/>
          <w:sz w:val="32"/>
          <w:szCs w:val="32"/>
        </w:rPr>
      </w:pPr>
    </w:p>
    <w:p w14:paraId="72B59057">
      <w:pPr>
        <w:snapToGrid w:val="0"/>
        <w:spacing w:line="360" w:lineRule="auto"/>
        <w:jc w:val="center"/>
        <w:rPr>
          <w:rFonts w:hint="eastAsia" w:ascii="宋体" w:hAnsi="宋体" w:cs="宋体"/>
          <w:color w:val="auto"/>
          <w:sz w:val="32"/>
          <w:szCs w:val="32"/>
        </w:rPr>
      </w:pPr>
    </w:p>
    <w:p w14:paraId="23FC2AF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杭州市萧山区数据资源管理局</w:t>
      </w:r>
    </w:p>
    <w:p w14:paraId="6D248DFB">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浙江华杰工程咨询有限公司</w:t>
      </w:r>
    </w:p>
    <w:p w14:paraId="7813475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27</w:t>
      </w:r>
      <w:r>
        <w:rPr>
          <w:rFonts w:hint="eastAsia" w:ascii="宋体" w:hAnsi="宋体" w:cs="宋体"/>
          <w:bCs/>
          <w:color w:val="auto"/>
          <w:sz w:val="32"/>
          <w:szCs w:val="32"/>
        </w:rPr>
        <w:t>日</w:t>
      </w:r>
    </w:p>
    <w:p w14:paraId="2138D4BF">
      <w:pPr>
        <w:jc w:val="center"/>
        <w:rPr>
          <w:color w:val="auto"/>
        </w:rPr>
      </w:pPr>
    </w:p>
    <w:p w14:paraId="6407A95C">
      <w:pPr>
        <w:spacing w:line="360" w:lineRule="auto"/>
        <w:jc w:val="center"/>
        <w:rPr>
          <w:rFonts w:ascii="宋体" w:hAnsi="宋体" w:cs="宋体"/>
          <w:b/>
          <w:color w:val="auto"/>
          <w:sz w:val="48"/>
          <w:szCs w:val="48"/>
        </w:rPr>
      </w:pPr>
      <w:bookmarkStart w:id="0" w:name="_Hlt67893495"/>
      <w:bookmarkEnd w:id="0"/>
      <w:r>
        <w:rPr>
          <w:rFonts w:hint="eastAsia" w:ascii="宋体" w:hAnsi="宋体" w:cs="宋体"/>
          <w:b/>
          <w:color w:val="auto"/>
          <w:sz w:val="48"/>
          <w:szCs w:val="48"/>
        </w:rPr>
        <w:t>目  录</w:t>
      </w:r>
    </w:p>
    <w:p w14:paraId="6B633939">
      <w:pPr>
        <w:spacing w:line="360" w:lineRule="auto"/>
        <w:rPr>
          <w:rFonts w:ascii="宋体" w:hAnsi="宋体" w:cs="宋体"/>
          <w:color w:val="auto"/>
          <w:sz w:val="32"/>
          <w:szCs w:val="32"/>
        </w:rPr>
      </w:pPr>
    </w:p>
    <w:p w14:paraId="6094EEAE">
      <w:pPr>
        <w:spacing w:line="360" w:lineRule="auto"/>
        <w:rPr>
          <w:rFonts w:ascii="宋体" w:hAnsi="宋体" w:cs="宋体"/>
          <w:color w:val="auto"/>
          <w:sz w:val="32"/>
          <w:szCs w:val="32"/>
        </w:rPr>
      </w:pPr>
    </w:p>
    <w:p w14:paraId="0524607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第一部分      </w:t>
      </w:r>
      <w:r>
        <w:rPr>
          <w:rFonts w:hint="eastAsia" w:ascii="宋体" w:hAnsi="宋体" w:cs="宋体"/>
          <w:color w:val="auto"/>
          <w:sz w:val="32"/>
          <w:szCs w:val="32"/>
          <w:lang w:eastAsia="zh-CN"/>
        </w:rPr>
        <w:t>交易</w:t>
      </w:r>
      <w:r>
        <w:rPr>
          <w:rFonts w:hint="eastAsia" w:ascii="宋体" w:hAnsi="宋体" w:cs="宋体"/>
          <w:color w:val="auto"/>
          <w:sz w:val="32"/>
          <w:szCs w:val="32"/>
        </w:rPr>
        <w:t>公告</w:t>
      </w:r>
    </w:p>
    <w:p w14:paraId="62F55C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第二部分      </w:t>
      </w:r>
      <w:r>
        <w:rPr>
          <w:rFonts w:hint="eastAsia" w:ascii="宋体" w:hAnsi="宋体" w:cs="宋体"/>
          <w:color w:val="auto"/>
          <w:sz w:val="32"/>
          <w:szCs w:val="32"/>
          <w:lang w:eastAsia="zh-CN"/>
        </w:rPr>
        <w:t>响应</w:t>
      </w:r>
      <w:r>
        <w:rPr>
          <w:rFonts w:hint="eastAsia" w:ascii="宋体" w:hAnsi="宋体" w:cs="宋体"/>
          <w:color w:val="auto"/>
          <w:sz w:val="32"/>
          <w:szCs w:val="32"/>
        </w:rPr>
        <w:t>人须知</w:t>
      </w:r>
    </w:p>
    <w:p w14:paraId="3B6C2DF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07B0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4126541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应提交的有关格式范例</w:t>
      </w:r>
    </w:p>
    <w:p w14:paraId="7036E184">
      <w:pPr>
        <w:spacing w:line="360" w:lineRule="auto"/>
        <w:ind w:firstLine="549" w:firstLineChars="229"/>
        <w:rPr>
          <w:rFonts w:ascii="宋体" w:hAnsi="宋体" w:cs="宋体"/>
          <w:color w:val="auto"/>
          <w:sz w:val="24"/>
        </w:rPr>
      </w:pPr>
      <w:bookmarkStart w:id="1" w:name="_Hlt91233176"/>
      <w:bookmarkEnd w:id="1"/>
      <w:bookmarkStart w:id="2" w:name="_Toc91899869"/>
    </w:p>
    <w:p w14:paraId="3C7ED013">
      <w:pPr>
        <w:spacing w:line="360" w:lineRule="auto"/>
        <w:ind w:firstLine="549" w:firstLineChars="229"/>
        <w:rPr>
          <w:rFonts w:ascii="宋体" w:hAnsi="宋体" w:cs="宋体"/>
          <w:color w:val="auto"/>
          <w:sz w:val="24"/>
        </w:rPr>
      </w:pPr>
    </w:p>
    <w:p w14:paraId="6918F8D7">
      <w:pPr>
        <w:spacing w:line="360" w:lineRule="auto"/>
        <w:ind w:firstLine="549" w:firstLineChars="229"/>
        <w:rPr>
          <w:rFonts w:ascii="宋体" w:hAnsi="宋体" w:cs="宋体"/>
          <w:color w:val="auto"/>
          <w:sz w:val="24"/>
        </w:rPr>
      </w:pPr>
    </w:p>
    <w:p w14:paraId="0CC06B0C">
      <w:pPr>
        <w:spacing w:line="360" w:lineRule="auto"/>
        <w:ind w:firstLine="549" w:firstLineChars="229"/>
        <w:rPr>
          <w:rFonts w:ascii="宋体" w:hAnsi="宋体" w:cs="宋体"/>
          <w:color w:val="auto"/>
          <w:sz w:val="24"/>
        </w:rPr>
      </w:pPr>
    </w:p>
    <w:p w14:paraId="4046F52B">
      <w:pPr>
        <w:spacing w:line="360" w:lineRule="auto"/>
        <w:ind w:firstLine="549" w:firstLineChars="229"/>
        <w:rPr>
          <w:rFonts w:ascii="宋体" w:hAnsi="宋体" w:cs="宋体"/>
          <w:color w:val="auto"/>
          <w:sz w:val="24"/>
        </w:rPr>
      </w:pPr>
    </w:p>
    <w:p w14:paraId="592AFECA">
      <w:pPr>
        <w:spacing w:line="360" w:lineRule="auto"/>
        <w:ind w:firstLine="549" w:firstLineChars="229"/>
        <w:rPr>
          <w:rFonts w:ascii="宋体" w:hAnsi="宋体" w:cs="宋体"/>
          <w:color w:val="auto"/>
          <w:sz w:val="24"/>
        </w:rPr>
      </w:pPr>
    </w:p>
    <w:p w14:paraId="2D68A438">
      <w:pPr>
        <w:spacing w:line="360" w:lineRule="auto"/>
        <w:ind w:firstLine="549" w:firstLineChars="229"/>
        <w:rPr>
          <w:rFonts w:ascii="宋体" w:hAnsi="宋体" w:cs="宋体"/>
          <w:color w:val="auto"/>
          <w:sz w:val="24"/>
        </w:rPr>
      </w:pPr>
    </w:p>
    <w:p w14:paraId="4E145430">
      <w:pPr>
        <w:spacing w:line="360" w:lineRule="auto"/>
        <w:ind w:firstLine="549" w:firstLineChars="229"/>
        <w:rPr>
          <w:rFonts w:ascii="宋体" w:hAnsi="宋体" w:cs="宋体"/>
          <w:color w:val="auto"/>
          <w:sz w:val="24"/>
        </w:rPr>
      </w:pPr>
    </w:p>
    <w:p w14:paraId="01996530">
      <w:pPr>
        <w:spacing w:line="360" w:lineRule="auto"/>
        <w:ind w:firstLine="549" w:firstLineChars="229"/>
        <w:rPr>
          <w:rFonts w:ascii="宋体" w:hAnsi="宋体" w:cs="宋体"/>
          <w:color w:val="auto"/>
          <w:sz w:val="24"/>
        </w:rPr>
      </w:pPr>
    </w:p>
    <w:p w14:paraId="30EB08F8">
      <w:pPr>
        <w:spacing w:line="360" w:lineRule="auto"/>
        <w:ind w:firstLine="549" w:firstLineChars="229"/>
        <w:rPr>
          <w:rFonts w:ascii="宋体" w:hAnsi="宋体" w:cs="宋体"/>
          <w:color w:val="auto"/>
          <w:sz w:val="24"/>
        </w:rPr>
      </w:pPr>
    </w:p>
    <w:p w14:paraId="5F3F76C6">
      <w:pPr>
        <w:spacing w:line="360" w:lineRule="auto"/>
        <w:ind w:firstLine="549" w:firstLineChars="229"/>
        <w:rPr>
          <w:rFonts w:ascii="宋体" w:hAnsi="宋体" w:cs="宋体"/>
          <w:color w:val="auto"/>
          <w:sz w:val="24"/>
        </w:rPr>
      </w:pPr>
    </w:p>
    <w:p w14:paraId="2077209D">
      <w:pPr>
        <w:spacing w:line="360" w:lineRule="auto"/>
        <w:ind w:firstLine="549" w:firstLineChars="229"/>
        <w:rPr>
          <w:rFonts w:ascii="宋体" w:hAnsi="宋体" w:cs="宋体"/>
          <w:color w:val="auto"/>
          <w:sz w:val="24"/>
        </w:rPr>
      </w:pPr>
    </w:p>
    <w:p w14:paraId="260EE529">
      <w:pPr>
        <w:spacing w:line="360" w:lineRule="auto"/>
        <w:ind w:firstLine="549" w:firstLineChars="229"/>
        <w:rPr>
          <w:rFonts w:ascii="宋体" w:hAnsi="宋体" w:cs="宋体"/>
          <w:color w:val="auto"/>
          <w:sz w:val="24"/>
        </w:rPr>
      </w:pPr>
    </w:p>
    <w:p w14:paraId="5BA32B87">
      <w:pPr>
        <w:spacing w:line="360" w:lineRule="auto"/>
        <w:rPr>
          <w:rFonts w:ascii="宋体" w:hAnsi="宋体" w:cs="宋体"/>
          <w:color w:val="auto"/>
          <w:sz w:val="24"/>
        </w:rPr>
      </w:pPr>
    </w:p>
    <w:p w14:paraId="7B1A1F4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 xml:space="preserve">第一部分 </w:t>
      </w:r>
      <w:r>
        <w:rPr>
          <w:rFonts w:hint="eastAsia" w:ascii="宋体" w:hAnsi="宋体" w:cs="宋体"/>
          <w:b/>
          <w:color w:val="auto"/>
          <w:sz w:val="36"/>
          <w:szCs w:val="20"/>
          <w:lang w:eastAsia="zh-CN"/>
        </w:rPr>
        <w:t>交易</w:t>
      </w:r>
      <w:r>
        <w:rPr>
          <w:rFonts w:hint="eastAsia" w:ascii="宋体" w:hAnsi="宋体" w:cs="宋体"/>
          <w:b/>
          <w:color w:val="auto"/>
          <w:sz w:val="36"/>
          <w:szCs w:val="20"/>
        </w:rPr>
        <w:t>公告</w:t>
      </w:r>
    </w:p>
    <w:p w14:paraId="686866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3D0F35F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杭州市萧山区数据资源管理局2025年度采购类招标代理预选供应商</w:t>
      </w:r>
      <w:r>
        <w:rPr>
          <w:rFonts w:hint="eastAsia" w:ascii="宋体" w:hAnsi="宋体" w:cs="宋体"/>
          <w:color w:val="auto"/>
          <w:sz w:val="24"/>
          <w:lang w:eastAsia="zh-CN"/>
        </w:rPr>
        <w:t>交易</w:t>
      </w:r>
      <w:r>
        <w:rPr>
          <w:rFonts w:hint="eastAsia" w:ascii="宋体" w:hAnsi="宋体" w:cs="宋体"/>
          <w:color w:val="auto"/>
          <w:sz w:val="24"/>
        </w:rPr>
        <w:t>项目的潜在</w:t>
      </w:r>
      <w:r>
        <w:rPr>
          <w:rFonts w:hint="eastAsia" w:ascii="宋体" w:hAnsi="宋体" w:cs="宋体"/>
          <w:color w:val="auto"/>
          <w:sz w:val="24"/>
          <w:lang w:eastAsia="zh-CN"/>
        </w:rPr>
        <w:t>响应</w:t>
      </w:r>
      <w:r>
        <w:rPr>
          <w:rFonts w:hint="eastAsia" w:ascii="宋体" w:hAnsi="宋体" w:cs="宋体"/>
          <w:color w:val="auto"/>
          <w:sz w:val="24"/>
        </w:rPr>
        <w:t>人应在乐采云平台（https://www.lecaiyun.com/）</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hint="eastAsia" w:ascii="宋体" w:hAnsi="宋体" w:eastAsia="宋体" w:cs="宋体"/>
          <w:snapToGrid/>
          <w:color w:val="auto"/>
          <w:kern w:val="2"/>
          <w:sz w:val="24"/>
          <w:szCs w:val="24"/>
        </w:rPr>
        <w:t>获取（下载）</w:t>
      </w:r>
      <w:r>
        <w:rPr>
          <w:rFonts w:hint="eastAsia" w:ascii="宋体" w:hAnsi="宋体" w:cs="宋体"/>
          <w:color w:val="auto"/>
          <w:sz w:val="24"/>
          <w:lang w:eastAsia="zh-CN"/>
        </w:rPr>
        <w:t>交易文件，</w:t>
      </w:r>
      <w:r>
        <w:rPr>
          <w:rStyle w:val="76"/>
          <w:rFonts w:hint="eastAsia" w:ascii="宋体" w:hAnsi="宋体" w:eastAsia="宋体" w:cs="宋体"/>
          <w:snapToGrid/>
          <w:color w:val="auto"/>
          <w:kern w:val="2"/>
          <w:sz w:val="24"/>
          <w:szCs w:val="24"/>
        </w:rPr>
        <w:t>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w:t>
      </w:r>
      <w:r>
        <w:rPr>
          <w:rFonts w:hint="eastAsia" w:ascii="宋体" w:hAnsi="宋体" w:cs="宋体"/>
          <w:color w:val="auto"/>
          <w:sz w:val="24"/>
          <w:lang w:eastAsia="zh-CN"/>
        </w:rPr>
        <w:t>响应文件</w:t>
      </w:r>
      <w:r>
        <w:rPr>
          <w:rFonts w:hint="eastAsia" w:ascii="宋体" w:hAnsi="宋体" w:cs="宋体"/>
          <w:color w:val="auto"/>
          <w:sz w:val="24"/>
        </w:rPr>
        <w:t>。</w:t>
      </w:r>
    </w:p>
    <w:p w14:paraId="1B494B0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9B8780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szCs w:val="24"/>
          <w:lang w:val="en-US" w:eastAsia="zh-CN"/>
        </w:rPr>
        <w:t>ZJHJHZ2025010</w:t>
      </w:r>
    </w:p>
    <w:p w14:paraId="7C51B23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u w:val="none"/>
          <w:lang w:eastAsia="zh-CN"/>
        </w:rPr>
        <w:t>杭州市萧山区数据资源管理局2025年度采购类招标代理预选供应商</w:t>
      </w:r>
    </w:p>
    <w:p w14:paraId="4FE1044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400000</w:t>
      </w:r>
      <w:r>
        <w:rPr>
          <w:rFonts w:hint="eastAsia" w:ascii="宋体" w:hAnsi="宋体" w:cs="宋体"/>
          <w:color w:val="auto"/>
          <w:sz w:val="24"/>
        </w:rPr>
        <w:t>元</w:t>
      </w:r>
    </w:p>
    <w:p w14:paraId="6C743F35">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u w:val="none"/>
          <w:lang w:eastAsia="zh-CN"/>
        </w:rPr>
        <w:t>杭州市萧山区数据资源管理局</w:t>
      </w:r>
      <w:r>
        <w:rPr>
          <w:rFonts w:hint="eastAsia" w:hAnsi="宋体" w:cs="宋体"/>
          <w:bCs/>
          <w:snapToGrid/>
          <w:color w:val="auto"/>
          <w:kern w:val="2"/>
          <w:sz w:val="24"/>
          <w:szCs w:val="24"/>
          <w:lang w:eastAsia="zh-CN"/>
        </w:rPr>
        <w:t>2025</w:t>
      </w:r>
      <w:r>
        <w:rPr>
          <w:rFonts w:hint="eastAsia" w:hAnsi="宋体" w:cs="宋体"/>
          <w:bCs/>
          <w:snapToGrid/>
          <w:color w:val="auto"/>
          <w:kern w:val="2"/>
          <w:sz w:val="24"/>
          <w:szCs w:val="24"/>
        </w:rPr>
        <w:t>年度</w:t>
      </w:r>
      <w:r>
        <w:rPr>
          <w:rFonts w:hint="eastAsia" w:hAnsi="宋体" w:cs="宋体"/>
          <w:bCs/>
          <w:snapToGrid/>
          <w:color w:val="auto"/>
          <w:kern w:val="2"/>
          <w:sz w:val="24"/>
          <w:szCs w:val="24"/>
          <w:lang w:val="en-US" w:eastAsia="zh-CN"/>
        </w:rPr>
        <w:t>采购类</w:t>
      </w:r>
      <w:r>
        <w:rPr>
          <w:rFonts w:hint="eastAsia" w:hAnsi="宋体" w:cs="宋体"/>
          <w:bCs/>
          <w:snapToGrid/>
          <w:color w:val="auto"/>
          <w:kern w:val="2"/>
          <w:sz w:val="24"/>
          <w:szCs w:val="24"/>
        </w:rPr>
        <w:t>招标代理服务</w:t>
      </w:r>
      <w:r>
        <w:rPr>
          <w:rFonts w:hint="eastAsia" w:asciiTheme="minorEastAsia" w:hAnsiTheme="minorEastAsia" w:eastAsiaTheme="minorEastAsia"/>
          <w:snapToGrid/>
          <w:color w:val="auto"/>
          <w:kern w:val="2"/>
          <w:sz w:val="24"/>
          <w:szCs w:val="24"/>
        </w:rPr>
        <w:t>。具体以</w:t>
      </w:r>
      <w:r>
        <w:rPr>
          <w:rFonts w:hint="eastAsia" w:asciiTheme="minorEastAsia" w:hAnsiTheme="minorEastAsia" w:eastAsiaTheme="minorEastAsia"/>
          <w:snapToGrid/>
          <w:color w:val="auto"/>
          <w:kern w:val="2"/>
          <w:sz w:val="24"/>
          <w:szCs w:val="24"/>
          <w:lang w:val="en-US" w:eastAsia="zh-CN"/>
        </w:rPr>
        <w:t>交易</w:t>
      </w:r>
      <w:r>
        <w:rPr>
          <w:rFonts w:hint="eastAsia" w:asciiTheme="minorEastAsia" w:hAnsiTheme="minorEastAsia" w:eastAsiaTheme="minorEastAsia"/>
          <w:snapToGrid/>
          <w:color w:val="auto"/>
          <w:kern w:val="2"/>
          <w:sz w:val="24"/>
          <w:szCs w:val="24"/>
        </w:rPr>
        <w:t>文件第三部分采购需求为准，供应商可点击本公告下方“浏览采购文件”查看采购需求。</w:t>
      </w:r>
    </w:p>
    <w:p w14:paraId="72E5120B">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lang w:val="en-US" w:eastAsia="zh-CN"/>
        </w:rPr>
        <w:t>详见交易需求</w:t>
      </w:r>
      <w:r>
        <w:rPr>
          <w:rFonts w:hint="eastAsia" w:ascii="宋体" w:hAnsi="宋体" w:cs="宋体"/>
          <w:color w:val="auto"/>
        </w:rPr>
        <w:t>。</w:t>
      </w:r>
    </w:p>
    <w:p w14:paraId="2950281C">
      <w:pPr>
        <w:pStyle w:val="15"/>
        <w:spacing w:line="360" w:lineRule="auto"/>
        <w:ind w:firstLine="480"/>
        <w:rPr>
          <w:rFonts w:hAnsi="宋体" w:cs="宋体"/>
          <w:b/>
          <w:color w:val="auto"/>
        </w:rPr>
      </w:pPr>
      <w:r>
        <w:rPr>
          <w:rFonts w:hint="eastAsia" w:hAnsi="宋体" w:cs="宋体"/>
          <w:b/>
          <w:color w:val="auto"/>
          <w:sz w:val="24"/>
        </w:rPr>
        <w:t>本项目接受联合体</w:t>
      </w:r>
      <w:r>
        <w:rPr>
          <w:rFonts w:hint="eastAsia" w:hAnsi="宋体" w:cs="宋体"/>
          <w:b/>
          <w:color w:val="auto"/>
          <w:sz w:val="24"/>
          <w:lang w:eastAsia="zh-CN"/>
        </w:rPr>
        <w:t>响应</w:t>
      </w:r>
      <w:r>
        <w:rPr>
          <w:rFonts w:hint="eastAsia" w:hAnsi="宋体" w:cs="宋体"/>
          <w:b/>
          <w:color w:val="auto"/>
          <w:sz w:val="24"/>
        </w:rPr>
        <w:t>：</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A5F7FE7">
      <w:pPr>
        <w:spacing w:line="360" w:lineRule="auto"/>
        <w:rPr>
          <w:rFonts w:ascii="宋体" w:hAnsi="宋体" w:cs="宋体"/>
          <w:b/>
          <w:color w:val="auto"/>
          <w:sz w:val="24"/>
        </w:rPr>
      </w:pPr>
      <w:r>
        <w:rPr>
          <w:rFonts w:hint="eastAsia" w:ascii="宋体" w:hAnsi="宋体" w:cs="宋体"/>
          <w:b/>
          <w:color w:val="auto"/>
          <w:sz w:val="24"/>
        </w:rPr>
        <w:t>二、申请人的资格要求：</w:t>
      </w:r>
    </w:p>
    <w:p w14:paraId="14CD2B25">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1. 具有独立承担民事责任的能力； </w:t>
      </w:r>
    </w:p>
    <w:p w14:paraId="05CBDDF9">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2、具有良好的商业信誉和健全的财务会计制度； </w:t>
      </w:r>
    </w:p>
    <w:p w14:paraId="0CBF42A7">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3、具有履行合同所必需的设备和专业技术能力； </w:t>
      </w:r>
    </w:p>
    <w:p w14:paraId="7159383B">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4、有依法缴纳税收和社会保障资金的良好记录；</w:t>
      </w:r>
    </w:p>
    <w:p w14:paraId="6C508F90">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5、参加交易活动前三年内，在经营活动中没有重大违法记录；</w:t>
      </w:r>
    </w:p>
    <w:p w14:paraId="2C537EED">
      <w:pPr>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本项目的特定资格要求：经浙江省政府采购网备案</w:t>
      </w:r>
      <w:r>
        <w:rPr>
          <w:rFonts w:hint="eastAsia" w:ascii="宋体" w:hAnsi="宋体" w:cs="宋体"/>
          <w:color w:val="auto"/>
          <w:sz w:val="24"/>
          <w:lang w:eastAsia="zh-CN"/>
        </w:rPr>
        <w:t>。</w:t>
      </w:r>
    </w:p>
    <w:p w14:paraId="7178F4AC">
      <w:pPr>
        <w:spacing w:line="360" w:lineRule="auto"/>
        <w:rPr>
          <w:rFonts w:ascii="宋体" w:hAnsi="宋体" w:cs="宋体"/>
          <w:b/>
          <w:color w:val="auto"/>
          <w:sz w:val="24"/>
        </w:rPr>
      </w:pPr>
      <w:r>
        <w:rPr>
          <w:rFonts w:hint="eastAsia" w:ascii="宋体" w:hAnsi="宋体" w:cs="宋体"/>
          <w:b/>
          <w:color w:val="auto"/>
          <w:sz w:val="24"/>
        </w:rPr>
        <w:t>三、获取</w:t>
      </w:r>
      <w:r>
        <w:rPr>
          <w:rFonts w:hint="eastAsia" w:ascii="宋体" w:hAnsi="宋体" w:cs="宋体"/>
          <w:b/>
          <w:color w:val="auto"/>
          <w:sz w:val="24"/>
          <w:lang w:eastAsia="zh-CN"/>
        </w:rPr>
        <w:t>交易文件</w:t>
      </w:r>
      <w:r>
        <w:rPr>
          <w:rFonts w:hint="eastAsia" w:ascii="宋体" w:hAnsi="宋体" w:cs="宋体"/>
          <w:b/>
          <w:color w:val="auto"/>
          <w:sz w:val="24"/>
        </w:rPr>
        <w:t xml:space="preserve"> </w:t>
      </w:r>
    </w:p>
    <w:p w14:paraId="39B7AF6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E0DD7F5">
      <w:pPr>
        <w:snapToGrid w:val="0"/>
        <w:spacing w:before="0" w:beforeAutospacing="0" w:after="0" w:afterAutospacing="0" w:line="440" w:lineRule="exact"/>
        <w:ind w:firstLine="482" w:firstLineChars="200"/>
        <w:jc w:val="both"/>
        <w:textAlignment w:val="baseline"/>
        <w:rPr>
          <w:rStyle w:val="965"/>
          <w:rFonts w:ascii="宋体" w:hAnsi="宋体"/>
          <w:b w:val="0"/>
          <w:i w:val="0"/>
          <w:caps w:val="0"/>
          <w:color w:val="auto"/>
          <w:spacing w:val="0"/>
          <w:w w:val="100"/>
          <w:kern w:val="2"/>
          <w:sz w:val="24"/>
          <w:szCs w:val="24"/>
          <w:highlight w:val="none"/>
          <w:lang w:val="en-US" w:eastAsia="zh-CN" w:bidi="ar-SA"/>
        </w:rPr>
      </w:pPr>
      <w:r>
        <w:rPr>
          <w:rStyle w:val="965"/>
          <w:rFonts w:ascii="宋体" w:hAnsi="宋体"/>
          <w:b/>
          <w:i w:val="0"/>
          <w:caps w:val="0"/>
          <w:color w:val="auto"/>
          <w:spacing w:val="0"/>
          <w:w w:val="100"/>
          <w:kern w:val="2"/>
          <w:sz w:val="24"/>
          <w:szCs w:val="24"/>
          <w:highlight w:val="none"/>
          <w:lang w:val="en-US" w:eastAsia="zh-CN" w:bidi="ar-SA"/>
        </w:rPr>
        <w:t>地点（网址）：</w:t>
      </w:r>
      <w:r>
        <w:rPr>
          <w:rStyle w:val="965"/>
          <w:rFonts w:hint="eastAsia" w:ascii="宋体" w:hAnsi="宋体"/>
          <w:b w:val="0"/>
          <w:i w:val="0"/>
          <w:caps w:val="0"/>
          <w:color w:val="auto"/>
          <w:spacing w:val="0"/>
          <w:w w:val="100"/>
          <w:kern w:val="2"/>
          <w:sz w:val="24"/>
          <w:szCs w:val="24"/>
          <w:highlight w:val="none"/>
          <w:lang w:val="en-US" w:eastAsia="zh-CN" w:bidi="ar-SA"/>
        </w:rPr>
        <w:t>乐</w:t>
      </w:r>
      <w:r>
        <w:rPr>
          <w:rStyle w:val="965"/>
          <w:rFonts w:ascii="宋体" w:hAnsi="宋体"/>
          <w:b w:val="0"/>
          <w:i w:val="0"/>
          <w:caps w:val="0"/>
          <w:color w:val="auto"/>
          <w:spacing w:val="0"/>
          <w:w w:val="100"/>
          <w:kern w:val="2"/>
          <w:sz w:val="24"/>
          <w:szCs w:val="24"/>
          <w:highlight w:val="none"/>
          <w:lang w:val="en-US" w:eastAsia="zh-CN" w:bidi="ar-SA"/>
        </w:rPr>
        <w:t>采云平台（</w:t>
      </w:r>
      <w:r>
        <w:rPr>
          <w:rStyle w:val="965"/>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5"/>
          <w:rFonts w:ascii="宋体" w:hAnsi="宋体"/>
          <w:b w:val="0"/>
          <w:i w:val="0"/>
          <w:caps w:val="0"/>
          <w:color w:val="auto"/>
          <w:spacing w:val="0"/>
          <w:w w:val="100"/>
          <w:kern w:val="2"/>
          <w:sz w:val="24"/>
          <w:szCs w:val="24"/>
          <w:highlight w:val="none"/>
          <w:lang w:val="en-US" w:eastAsia="zh-CN" w:bidi="ar-SA"/>
        </w:rPr>
        <w:t xml:space="preserve">） </w:t>
      </w:r>
    </w:p>
    <w:p w14:paraId="6309F3BC">
      <w:pPr>
        <w:snapToGrid w:val="0"/>
        <w:spacing w:before="0" w:beforeAutospacing="0" w:after="0" w:afterAutospacing="0" w:line="440" w:lineRule="exact"/>
        <w:ind w:firstLine="482" w:firstLineChars="200"/>
        <w:jc w:val="both"/>
        <w:textAlignment w:val="baseline"/>
        <w:rPr>
          <w:rStyle w:val="965"/>
          <w:rFonts w:ascii="宋体" w:hAnsi="宋体"/>
          <w:b w:val="0"/>
          <w:i w:val="0"/>
          <w:caps w:val="0"/>
          <w:color w:val="auto"/>
          <w:spacing w:val="0"/>
          <w:w w:val="100"/>
          <w:kern w:val="2"/>
          <w:sz w:val="24"/>
          <w:szCs w:val="24"/>
          <w:highlight w:val="none"/>
          <w:lang w:val="en-US" w:eastAsia="zh-CN" w:bidi="ar-SA"/>
        </w:rPr>
      </w:pPr>
      <w:r>
        <w:rPr>
          <w:rStyle w:val="965"/>
          <w:rFonts w:ascii="宋体" w:hAnsi="宋体"/>
          <w:b/>
          <w:i w:val="0"/>
          <w:caps w:val="0"/>
          <w:color w:val="auto"/>
          <w:spacing w:val="0"/>
          <w:w w:val="100"/>
          <w:kern w:val="2"/>
          <w:sz w:val="24"/>
          <w:szCs w:val="24"/>
          <w:highlight w:val="none"/>
          <w:lang w:val="en-US" w:eastAsia="zh-CN" w:bidi="ar-SA"/>
        </w:rPr>
        <w:t>方式：</w:t>
      </w:r>
      <w:r>
        <w:rPr>
          <w:rStyle w:val="965"/>
          <w:rFonts w:ascii="宋体" w:hAnsi="宋体"/>
          <w:b w:val="0"/>
          <w:i w:val="0"/>
          <w:caps w:val="0"/>
          <w:color w:val="auto"/>
          <w:spacing w:val="0"/>
          <w:w w:val="100"/>
          <w:kern w:val="2"/>
          <w:sz w:val="24"/>
          <w:szCs w:val="24"/>
          <w:highlight w:val="none"/>
          <w:lang w:val="en-US" w:eastAsia="zh-CN" w:bidi="ar-SA"/>
        </w:rPr>
        <w:t>供应商登录</w:t>
      </w:r>
      <w:r>
        <w:rPr>
          <w:rStyle w:val="965"/>
          <w:rFonts w:hint="eastAsia" w:ascii="宋体" w:hAnsi="宋体"/>
          <w:b w:val="0"/>
          <w:i w:val="0"/>
          <w:caps w:val="0"/>
          <w:color w:val="auto"/>
          <w:spacing w:val="0"/>
          <w:w w:val="100"/>
          <w:kern w:val="2"/>
          <w:sz w:val="24"/>
          <w:szCs w:val="24"/>
          <w:highlight w:val="none"/>
          <w:lang w:val="en-US" w:eastAsia="zh-CN" w:bidi="ar-SA"/>
        </w:rPr>
        <w:t>乐</w:t>
      </w:r>
      <w:r>
        <w:rPr>
          <w:rStyle w:val="965"/>
          <w:rFonts w:ascii="宋体" w:hAnsi="宋体"/>
          <w:b w:val="0"/>
          <w:i w:val="0"/>
          <w:caps w:val="0"/>
          <w:color w:val="auto"/>
          <w:spacing w:val="0"/>
          <w:w w:val="100"/>
          <w:kern w:val="2"/>
          <w:sz w:val="24"/>
          <w:szCs w:val="24"/>
          <w:highlight w:val="none"/>
          <w:lang w:val="en-US" w:eastAsia="zh-CN" w:bidi="ar-SA"/>
        </w:rPr>
        <w:t>采云平台</w:t>
      </w:r>
      <w:r>
        <w:rPr>
          <w:rStyle w:val="965"/>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5"/>
          <w:rFonts w:ascii="宋体" w:hAnsi="宋体"/>
          <w:b w:val="0"/>
          <w:i w:val="0"/>
          <w:caps w:val="0"/>
          <w:color w:val="auto"/>
          <w:spacing w:val="0"/>
          <w:w w:val="100"/>
          <w:kern w:val="2"/>
          <w:sz w:val="24"/>
          <w:szCs w:val="24"/>
          <w:highlight w:val="none"/>
          <w:lang w:val="en-US" w:eastAsia="zh-CN" w:bidi="ar-SA"/>
        </w:rPr>
        <w:t xml:space="preserve">在线申请获取采购文件（进入“项目采购”应用，在获取采购文件菜单中选择项目，申请获取采购文件）。 </w:t>
      </w:r>
    </w:p>
    <w:p w14:paraId="3CE41A1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F89B4B2">
      <w:pPr>
        <w:spacing w:line="360" w:lineRule="auto"/>
        <w:rPr>
          <w:rFonts w:ascii="宋体" w:hAnsi="宋体" w:cs="宋体"/>
          <w:b/>
          <w:color w:val="auto"/>
          <w:sz w:val="24"/>
        </w:rPr>
      </w:pPr>
      <w:r>
        <w:rPr>
          <w:rFonts w:hint="eastAsia" w:ascii="宋体" w:hAnsi="宋体" w:cs="宋体"/>
          <w:b/>
          <w:color w:val="auto"/>
          <w:sz w:val="24"/>
        </w:rPr>
        <w:t>四、提交</w:t>
      </w:r>
      <w:r>
        <w:rPr>
          <w:rFonts w:hint="eastAsia" w:ascii="宋体" w:hAnsi="宋体" w:cs="宋体"/>
          <w:b/>
          <w:color w:val="auto"/>
          <w:sz w:val="24"/>
          <w:lang w:eastAsia="zh-CN"/>
        </w:rPr>
        <w:t>响应文件</w:t>
      </w:r>
      <w:r>
        <w:rPr>
          <w:rFonts w:hint="eastAsia" w:ascii="宋体" w:hAnsi="宋体" w:cs="宋体"/>
          <w:b/>
          <w:color w:val="auto"/>
          <w:sz w:val="24"/>
        </w:rPr>
        <w:t>截止时间、开标时间和地点</w:t>
      </w:r>
    </w:p>
    <w:p w14:paraId="6D95D19A">
      <w:pPr>
        <w:spacing w:line="360" w:lineRule="auto"/>
        <w:ind w:firstLine="482" w:firstLineChars="200"/>
        <w:rPr>
          <w:rFonts w:ascii="宋体" w:hAnsi="宋体" w:cs="宋体"/>
          <w:color w:val="auto"/>
          <w:sz w:val="24"/>
        </w:rPr>
      </w:pPr>
      <w:r>
        <w:rPr>
          <w:rFonts w:hint="eastAsia" w:ascii="宋体" w:hAnsi="宋体" w:cs="宋体"/>
          <w:b/>
          <w:color w:val="auto"/>
          <w:sz w:val="24"/>
        </w:rPr>
        <w:t>提交</w:t>
      </w:r>
      <w:r>
        <w:rPr>
          <w:rFonts w:hint="eastAsia" w:ascii="宋体" w:hAnsi="宋体" w:cs="宋体"/>
          <w:b/>
          <w:color w:val="auto"/>
          <w:sz w:val="24"/>
          <w:lang w:eastAsia="zh-CN"/>
        </w:rPr>
        <w:t>响应文件</w:t>
      </w:r>
      <w:r>
        <w:rPr>
          <w:rFonts w:hint="eastAsia" w:ascii="宋体" w:hAnsi="宋体" w:cs="宋体"/>
          <w:b/>
          <w:color w:val="auto"/>
          <w:sz w:val="24"/>
        </w:rPr>
        <w:t>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0EEEE268">
      <w:pPr>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地点（网址）：</w:t>
      </w:r>
      <w:r>
        <w:rPr>
          <w:rFonts w:hint="eastAsia" w:ascii="宋体" w:hAnsi="宋体" w:cs="宋体"/>
          <w:color w:val="auto"/>
          <w:sz w:val="24"/>
          <w:lang w:eastAsia="zh-CN"/>
        </w:rPr>
        <w:t>乐采云平台（https://www.lecaiyun.com/）</w:t>
      </w:r>
      <w:r>
        <w:rPr>
          <w:rFonts w:hint="eastAsia" w:ascii="宋体" w:hAnsi="宋体" w:cs="宋体"/>
          <w:color w:val="auto"/>
          <w:sz w:val="24"/>
        </w:rPr>
        <w:t xml:space="preserve"> </w:t>
      </w:r>
    </w:p>
    <w:p w14:paraId="710685B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7A0890E6">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开标地点（网址）：</w:t>
      </w:r>
      <w:r>
        <w:rPr>
          <w:rFonts w:hint="eastAsia" w:ascii="宋体" w:hAnsi="宋体" w:cs="宋体"/>
          <w:color w:val="auto"/>
          <w:sz w:val="24"/>
          <w:lang w:eastAsia="zh-CN"/>
        </w:rPr>
        <w:t>乐采云平台（https://www.lecaiyun.com/）</w:t>
      </w:r>
    </w:p>
    <w:p w14:paraId="0095C86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E84E6B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890756F">
      <w:pPr>
        <w:spacing w:line="360" w:lineRule="auto"/>
        <w:rPr>
          <w:rFonts w:ascii="宋体" w:hAnsi="宋体" w:cs="宋体"/>
          <w:b/>
          <w:color w:val="auto"/>
          <w:sz w:val="24"/>
        </w:rPr>
      </w:pPr>
      <w:r>
        <w:rPr>
          <w:rFonts w:hint="eastAsia" w:ascii="宋体" w:hAnsi="宋体" w:cs="宋体"/>
          <w:b/>
          <w:color w:val="auto"/>
          <w:sz w:val="24"/>
        </w:rPr>
        <w:t>六、其他补充事宜</w:t>
      </w:r>
    </w:p>
    <w:p w14:paraId="0FB1A0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之日起3个工作日内，以书面形式向</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和</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提出质疑。</w:t>
      </w:r>
    </w:p>
    <w:p w14:paraId="0600C5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标的说明： 1）</w:t>
      </w:r>
      <w:r>
        <w:rPr>
          <w:rFonts w:hint="eastAsia" w:ascii="宋体" w:hAnsi="宋体" w:cs="宋体"/>
          <w:color w:val="auto"/>
          <w:sz w:val="24"/>
          <w:highlight w:val="none"/>
          <w:lang w:eastAsia="zh-CN"/>
        </w:rPr>
        <w:t>电子交易标</w:t>
      </w:r>
      <w:r>
        <w:rPr>
          <w:rFonts w:hint="eastAsia" w:ascii="宋体" w:hAnsi="宋体" w:cs="宋体"/>
          <w:color w:val="auto"/>
          <w:sz w:val="24"/>
          <w:highlight w:val="none"/>
        </w:rPr>
        <w:t>：本项目以数据电文形式，依托“政府采购云平台（www.zcygov.cn）”进行</w:t>
      </w:r>
      <w:r>
        <w:rPr>
          <w:rFonts w:hint="eastAsia" w:ascii="宋体" w:hAnsi="宋体" w:cs="宋体"/>
          <w:color w:val="auto"/>
          <w:sz w:val="24"/>
          <w:highlight w:val="none"/>
          <w:lang w:eastAsia="zh-CN"/>
        </w:rPr>
        <w:t>交易活动</w:t>
      </w:r>
      <w:r>
        <w:rPr>
          <w:rFonts w:hint="eastAsia" w:ascii="宋体" w:hAnsi="宋体" w:cs="宋体"/>
          <w:color w:val="auto"/>
          <w:sz w:val="24"/>
          <w:highlight w:val="none"/>
        </w:rPr>
        <w:t>，不接受纸质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。2）</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的获取：使用账号登录或者使用CA登录政采云平台；进入“项目采购”应用，在获取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菜单中选择项目，获取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的制作：在“政采云电子交易客户端”中完成“填写基本信息”、“导入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”、“标书关联”、“标书检查”、“电子签章”、“生成电子标书”等操作。5）</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、采购机构将依托政采云平台完成本项目的电子交易活动，平台不接受未按上述方式获取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的供应商进行</w:t>
      </w:r>
      <w:r>
        <w:rPr>
          <w:rFonts w:hint="eastAsia" w:ascii="宋体" w:hAnsi="宋体" w:cs="宋体"/>
          <w:color w:val="auto"/>
          <w:sz w:val="24"/>
          <w:highlight w:val="none"/>
          <w:lang w:eastAsia="zh-CN"/>
        </w:rPr>
        <w:t>交易活动</w:t>
      </w:r>
      <w:r>
        <w:rPr>
          <w:rFonts w:hint="eastAsia" w:ascii="宋体" w:hAnsi="宋体" w:cs="宋体"/>
          <w:color w:val="auto"/>
          <w:sz w:val="24"/>
          <w:highlight w:val="none"/>
        </w:rPr>
        <w:t>； 6）对未按上述方式获取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的供应商对该文件提出的质疑，</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或</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将不予处理；7）不提供</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纸质版。8）</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上传至政府采购云平台，还可以在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的制作、存储、密封详见</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第二部分第15点—“备份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”。9）</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的规定在半小时内完成在线解密。通过“政府采购云平台”上传递交的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无法按时解密，供应商递交了备份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撤回。通过“政府采购云平台”上传递交的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，没有在电子交易平台传输递交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无效。10）具体操作指南：详见政采云平台“服务中心-帮助文档-项目采购-操作流程-</w:t>
      </w:r>
      <w:r>
        <w:rPr>
          <w:rFonts w:hint="eastAsia" w:ascii="宋体" w:hAnsi="宋体" w:cs="宋体"/>
          <w:color w:val="auto"/>
          <w:sz w:val="24"/>
          <w:highlight w:val="none"/>
          <w:lang w:eastAsia="zh-CN"/>
        </w:rPr>
        <w:t>电子交易标</w:t>
      </w:r>
      <w:r>
        <w:rPr>
          <w:rFonts w:hint="eastAsia" w:ascii="宋体" w:hAnsi="宋体" w:cs="宋体"/>
          <w:color w:val="auto"/>
          <w:sz w:val="24"/>
          <w:highlight w:val="none"/>
        </w:rPr>
        <w:t>-政府采购项目电子交易管理操作指南-供应商”。</w:t>
      </w:r>
    </w:p>
    <w:p w14:paraId="65EDA09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69E7DB">
      <w:pPr>
        <w:spacing w:line="360" w:lineRule="auto"/>
        <w:rPr>
          <w:rFonts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eastAsia="zh-CN"/>
        </w:rPr>
        <w:t>交易发起人</w:t>
      </w:r>
      <w:r>
        <w:rPr>
          <w:rFonts w:hint="eastAsia" w:ascii="宋体" w:hAnsi="宋体" w:cs="宋体"/>
          <w:color w:val="auto"/>
          <w:sz w:val="24"/>
        </w:rPr>
        <w:t>信息</w:t>
      </w:r>
    </w:p>
    <w:p w14:paraId="4C64FBFA">
      <w:pPr>
        <w:spacing w:line="360" w:lineRule="auto"/>
        <w:rPr>
          <w:rFonts w:ascii="宋体" w:hAnsi="宋体" w:cs="宋体"/>
          <w:color w:val="auto"/>
          <w:sz w:val="24"/>
        </w:rPr>
      </w:pPr>
      <w:r>
        <w:rPr>
          <w:rFonts w:hint="eastAsia" w:ascii="宋体" w:hAnsi="宋体" w:cs="宋体"/>
          <w:color w:val="auto"/>
          <w:sz w:val="24"/>
        </w:rPr>
        <w:t xml:space="preserve">    名称：</w:t>
      </w:r>
      <w:r>
        <w:rPr>
          <w:rFonts w:hint="eastAsia" w:ascii="宋体" w:hAnsi="宋体" w:cs="宋体"/>
          <w:color w:val="auto"/>
          <w:sz w:val="24"/>
          <w:lang w:eastAsia="zh-CN"/>
        </w:rPr>
        <w:t>杭州市萧山区数据资源管理局</w:t>
      </w:r>
      <w:r>
        <w:rPr>
          <w:rFonts w:hint="eastAsia" w:ascii="宋体" w:hAnsi="宋体" w:cs="宋体"/>
          <w:color w:val="auto"/>
          <w:sz w:val="24"/>
        </w:rPr>
        <w:t xml:space="preserve"> </w:t>
      </w:r>
    </w:p>
    <w:p w14:paraId="502E0E0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地址：</w:t>
      </w:r>
      <w:r>
        <w:rPr>
          <w:rFonts w:hint="eastAsia" w:ascii="宋体" w:hAnsi="宋体" w:cs="宋体"/>
          <w:color w:val="auto"/>
          <w:sz w:val="24"/>
          <w:lang w:eastAsia="zh-CN"/>
        </w:rPr>
        <w:t>杭州市萧山区惠学路科创中心C座5楼</w:t>
      </w:r>
    </w:p>
    <w:p w14:paraId="116B208C">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诸葛芸</w:t>
      </w:r>
    </w:p>
    <w:p w14:paraId="2086DD32">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15397081181</w:t>
      </w:r>
    </w:p>
    <w:p w14:paraId="15F4B40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张笑寒</w:t>
      </w:r>
    </w:p>
    <w:p w14:paraId="03BCBF82">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17816119851</w:t>
      </w:r>
    </w:p>
    <w:p w14:paraId="5CF2AD05">
      <w:pPr>
        <w:spacing w:line="360" w:lineRule="auto"/>
        <w:rPr>
          <w:rFonts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代理机构</w:t>
      </w:r>
      <w:r>
        <w:rPr>
          <w:rFonts w:hint="eastAsia" w:ascii="宋体" w:hAnsi="宋体" w:cs="宋体"/>
          <w:color w:val="auto"/>
          <w:sz w:val="24"/>
        </w:rPr>
        <w:t xml:space="preserve">信息            </w:t>
      </w:r>
    </w:p>
    <w:p w14:paraId="085C4EF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称：浙江华杰工程咨询有限公司</w:t>
      </w:r>
    </w:p>
    <w:p w14:paraId="7CEBD09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地址：萧山区金城路288号金地德圣中心9幢901室</w:t>
      </w:r>
    </w:p>
    <w:p w14:paraId="19CD65B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陶津</w:t>
      </w:r>
    </w:p>
    <w:p w14:paraId="105672AA">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项目联系方式（询问）：130</w:t>
      </w:r>
      <w:r>
        <w:rPr>
          <w:rFonts w:hint="eastAsia" w:ascii="宋体" w:hAnsi="宋体" w:cs="宋体"/>
          <w:color w:val="auto"/>
          <w:sz w:val="24"/>
          <w:lang w:val="en-US" w:eastAsia="zh-CN"/>
        </w:rPr>
        <w:t>17728736</w:t>
      </w:r>
    </w:p>
    <w:p w14:paraId="103B7436">
      <w:pPr>
        <w:spacing w:line="360" w:lineRule="auto"/>
        <w:ind w:firstLine="480"/>
        <w:rPr>
          <w:rFonts w:hint="eastAsia" w:ascii="宋体" w:hAnsi="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color w:val="auto"/>
          <w:sz w:val="24"/>
          <w:lang w:val="en-US" w:eastAsia="zh-CN"/>
        </w:rPr>
        <w:t>谢国华</w:t>
      </w:r>
    </w:p>
    <w:p w14:paraId="27F7FE3D">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13067723680</w:t>
      </w:r>
    </w:p>
    <w:p w14:paraId="74BD535B">
      <w:pPr>
        <w:spacing w:line="360" w:lineRule="auto"/>
        <w:ind w:firstLine="480"/>
        <w:rPr>
          <w:rFonts w:ascii="宋体" w:hAnsi="宋体" w:cs="宋体"/>
          <w:color w:val="auto"/>
          <w:sz w:val="24"/>
        </w:rPr>
      </w:pPr>
    </w:p>
    <w:p w14:paraId="61F810AA">
      <w:pPr>
        <w:spacing w:line="360" w:lineRule="auto"/>
        <w:ind w:firstLine="48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19FC7EC">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1958787B">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4CAA283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w:t>
      </w:r>
      <w:r>
        <w:rPr>
          <w:rFonts w:hint="eastAsia" w:ascii="宋体" w:hAnsi="宋体" w:cs="宋体"/>
          <w:b/>
          <w:color w:val="auto"/>
          <w:sz w:val="36"/>
          <w:szCs w:val="20"/>
          <w:lang w:eastAsia="zh-CN"/>
        </w:rPr>
        <w:t>供应商</w:t>
      </w:r>
      <w:r>
        <w:rPr>
          <w:rFonts w:hint="eastAsia" w:ascii="宋体" w:hAnsi="宋体" w:cs="宋体"/>
          <w:b/>
          <w:color w:val="auto"/>
          <w:sz w:val="36"/>
          <w:szCs w:val="20"/>
        </w:rPr>
        <w:t>须知</w:t>
      </w:r>
      <w:bookmarkEnd w:id="9"/>
    </w:p>
    <w:p w14:paraId="4CF3413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493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4D8780">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373CA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54B8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EB62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92835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BD8B2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077C9C">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有关本项目开展所需的</w:t>
            </w:r>
            <w:r>
              <w:rPr>
                <w:rFonts w:hint="eastAsia" w:ascii="宋体" w:hAnsi="宋体" w:cs="宋体"/>
                <w:color w:val="auto"/>
                <w:sz w:val="24"/>
              </w:rPr>
              <w:t>所有</w:t>
            </w:r>
            <w:r>
              <w:rPr>
                <w:rFonts w:hint="eastAsia" w:ascii="宋体" w:hAnsi="宋体" w:cs="宋体"/>
                <w:color w:val="auto"/>
                <w:kern w:val="0"/>
                <w:sz w:val="24"/>
                <w:lang w:val="zh-CN"/>
              </w:rPr>
              <w:t>费用均计入报价。</w:t>
            </w:r>
            <w:r>
              <w:rPr>
                <w:rFonts w:hint="eastAsia" w:ascii="宋体" w:hAnsi="宋体" w:cs="宋体"/>
                <w:color w:val="auto"/>
                <w:sz w:val="24"/>
              </w:rPr>
              <w:t>《</w:t>
            </w:r>
            <w:r>
              <w:rPr>
                <w:rFonts w:hint="eastAsia" w:ascii="宋体" w:hAnsi="宋体" w:cs="宋体"/>
                <w:color w:val="auto"/>
                <w:sz w:val="24"/>
                <w:lang w:eastAsia="zh-CN"/>
              </w:rPr>
              <w:t>响应</w:t>
            </w:r>
            <w:r>
              <w:rPr>
                <w:rFonts w:hint="eastAsia" w:ascii="宋体" w:hAnsi="宋体" w:cs="宋体"/>
                <w:color w:val="auto"/>
                <w:sz w:val="24"/>
              </w:rPr>
              <w:t>（开标）一览表》是报价的唯一载体</w:t>
            </w:r>
            <w:r>
              <w:rPr>
                <w:rFonts w:hint="eastAsia" w:ascii="宋体" w:hAnsi="宋体" w:cs="宋体"/>
                <w:color w:val="auto"/>
                <w:kern w:val="0"/>
                <w:sz w:val="24"/>
                <w:lang w:val="zh-CN"/>
              </w:rPr>
              <w:t>。</w:t>
            </w:r>
          </w:p>
          <w:p w14:paraId="33CC2533">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响应报价出现下列情形的，响应无效：</w:t>
            </w:r>
          </w:p>
          <w:p w14:paraId="42FEC050">
            <w:pPr>
              <w:snapToGrid w:val="0"/>
              <w:spacing w:line="360" w:lineRule="auto"/>
              <w:jc w:val="left"/>
              <w:rPr>
                <w:rFonts w:ascii="宋体" w:hAnsi="宋体" w:cs="宋体"/>
                <w:b/>
                <w:color w:val="auto"/>
                <w:kern w:val="0"/>
                <w:sz w:val="24"/>
                <w:lang w:val="zh-CN"/>
              </w:rPr>
            </w:pPr>
            <w:r>
              <w:rPr>
                <w:rFonts w:hint="eastAsia" w:ascii="宋体" w:hAnsi="宋体" w:cs="宋体"/>
                <w:b/>
                <w:color w:val="auto"/>
                <w:sz w:val="24"/>
              </w:rPr>
              <w:t>▲</w:t>
            </w:r>
            <w:r>
              <w:rPr>
                <w:rFonts w:hint="eastAsia" w:ascii="宋体" w:hAnsi="宋体" w:cs="宋体"/>
                <w:b/>
                <w:color w:val="auto"/>
                <w:kern w:val="0"/>
                <w:sz w:val="24"/>
                <w:lang w:val="zh-CN"/>
              </w:rPr>
              <w:t>响应文件出现不是唯一的、有选择性响应报价的；</w:t>
            </w:r>
          </w:p>
          <w:p w14:paraId="764A4BAF">
            <w:pPr>
              <w:snapToGrid w:val="0"/>
              <w:spacing w:line="360" w:lineRule="auto"/>
              <w:jc w:val="left"/>
              <w:rPr>
                <w:rFonts w:ascii="宋体" w:hAnsi="宋体" w:cs="宋体"/>
                <w:color w:val="auto"/>
                <w:kern w:val="0"/>
                <w:sz w:val="24"/>
                <w:lang w:val="zh-CN"/>
              </w:rPr>
            </w:pP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报价高于本项目采购预算或者最高限价的;</w:t>
            </w:r>
          </w:p>
          <w:p w14:paraId="0A23033C">
            <w:pPr>
              <w:spacing w:line="360" w:lineRule="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kern w:val="0"/>
                <w:sz w:val="24"/>
              </w:rPr>
              <w:t>报价明显低于其他通过符合性审查</w:t>
            </w:r>
            <w:r>
              <w:rPr>
                <w:rFonts w:hint="eastAsia" w:ascii="宋体" w:hAnsi="宋体" w:cs="宋体"/>
                <w:b/>
                <w:color w:val="auto"/>
                <w:kern w:val="0"/>
                <w:sz w:val="24"/>
                <w:lang w:eastAsia="zh-CN"/>
              </w:rPr>
              <w:t>供应商</w:t>
            </w:r>
            <w:r>
              <w:rPr>
                <w:rFonts w:hint="eastAsia" w:ascii="宋体" w:hAnsi="宋体" w:cs="宋体"/>
                <w:b/>
                <w:color w:val="auto"/>
                <w:kern w:val="0"/>
                <w:sz w:val="24"/>
              </w:rPr>
              <w:t>的报价，有可能影响产品质量或者不能诚信履约的，未能按要求提供书面说明或者提交相关证明材料，不能证明其报价合理性的</w:t>
            </w:r>
            <w:r>
              <w:rPr>
                <w:rFonts w:hint="eastAsia" w:ascii="宋体" w:hAnsi="宋体" w:cs="宋体"/>
                <w:b/>
                <w:color w:val="auto"/>
                <w:sz w:val="24"/>
                <w:szCs w:val="21"/>
              </w:rPr>
              <w:t>;</w:t>
            </w:r>
          </w:p>
          <w:p w14:paraId="7CAE0E01">
            <w:pPr>
              <w:spacing w:line="360" w:lineRule="auto"/>
              <w:rPr>
                <w:rFonts w:ascii="宋体" w:hAnsi="宋体" w:cs="宋体"/>
                <w:color w:val="auto"/>
                <w:sz w:val="24"/>
                <w:szCs w:val="21"/>
              </w:rPr>
            </w:pP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（开标）一览表》填写不完整或字迹不能辨认或有漏项的；</w:t>
            </w:r>
          </w:p>
          <w:p w14:paraId="147E17A1">
            <w:pPr>
              <w:spacing w:line="360" w:lineRule="auto"/>
              <w:rPr>
                <w:rFonts w:ascii="宋体" w:hAnsi="宋体" w:cs="宋体"/>
                <w:b/>
                <w:color w:val="auto"/>
                <w:sz w:val="24"/>
              </w:rPr>
            </w:pPr>
            <w:r>
              <w:rPr>
                <w:rFonts w:hint="eastAsia" w:ascii="宋体" w:hAnsi="宋体" w:cs="宋体"/>
                <w:b/>
                <w:color w:val="auto"/>
                <w:kern w:val="0"/>
                <w:sz w:val="24"/>
              </w:rPr>
              <w:t>▲</w:t>
            </w:r>
            <w:r>
              <w:rPr>
                <w:rFonts w:hint="eastAsia" w:ascii="宋体" w:hAnsi="宋体" w:cs="宋体"/>
                <w:b/>
                <w:color w:val="auto"/>
                <w:kern w:val="0"/>
                <w:sz w:val="24"/>
                <w:lang w:eastAsia="zh-CN"/>
              </w:rPr>
              <w:t>供应商</w:t>
            </w:r>
            <w:r>
              <w:rPr>
                <w:rFonts w:hint="eastAsia" w:ascii="宋体" w:hAnsi="宋体" w:cs="宋体"/>
                <w:b/>
                <w:color w:val="auto"/>
                <w:kern w:val="0"/>
                <w:sz w:val="24"/>
              </w:rPr>
              <w:t>对根据修正原则修正后的报价不确认的</w:t>
            </w:r>
            <w:r>
              <w:rPr>
                <w:rFonts w:hint="eastAsia" w:ascii="宋体" w:hAnsi="宋体" w:cs="宋体"/>
                <w:b/>
                <w:color w:val="auto"/>
                <w:sz w:val="24"/>
              </w:rPr>
              <w:t>。</w:t>
            </w:r>
          </w:p>
          <w:p w14:paraId="1F70F43A">
            <w:pPr>
              <w:spacing w:line="360" w:lineRule="auto"/>
              <w:rPr>
                <w:rFonts w:ascii="宋体" w:hAnsi="宋体" w:cs="宋体"/>
                <w:color w:val="auto"/>
                <w:sz w:val="24"/>
              </w:rPr>
            </w:pPr>
            <w:r>
              <w:rPr>
                <w:rFonts w:hint="eastAsia" w:ascii="宋体" w:hAnsi="宋体" w:cs="宋体"/>
                <w:b/>
                <w:color w:val="auto"/>
                <w:kern w:val="0"/>
                <w:sz w:val="24"/>
              </w:rPr>
              <w:t>▲资格文件、商务技术文件与报价文件未分开制作</w:t>
            </w:r>
            <w:r>
              <w:rPr>
                <w:rFonts w:hint="eastAsia" w:ascii="宋体" w:hAnsi="宋体" w:cs="宋体"/>
                <w:b/>
                <w:color w:val="auto"/>
                <w:sz w:val="24"/>
              </w:rPr>
              <w:t>。</w:t>
            </w:r>
          </w:p>
        </w:tc>
      </w:tr>
      <w:tr w14:paraId="1BDA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EB6CE">
            <w:pPr>
              <w:snapToGrid w:val="0"/>
              <w:spacing w:line="360" w:lineRule="auto"/>
              <w:jc w:val="center"/>
              <w:rPr>
                <w:rFonts w:ascii="宋体" w:hAnsi="宋体" w:cs="宋体"/>
                <w:color w:val="auto"/>
                <w:sz w:val="24"/>
              </w:rPr>
            </w:pPr>
            <w:r>
              <w:rPr>
                <w:rFonts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46E515">
            <w:pPr>
              <w:snapToGrid w:val="0"/>
              <w:spacing w:line="360" w:lineRule="auto"/>
              <w:rPr>
                <w:rFonts w:ascii="宋体" w:hAnsi="宋体" w:cs="宋体"/>
                <w:b/>
                <w:color w:val="auto"/>
                <w:sz w:val="24"/>
              </w:rPr>
            </w:pPr>
            <w:r>
              <w:rPr>
                <w:rFonts w:hint="eastAsia" w:ascii="宋体" w:hAnsi="宋体" w:cs="宋体"/>
                <w:b/>
                <w:color w:val="auto"/>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A505D">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CA43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1506B1">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2A3D01">
            <w:pPr>
              <w:snapToGrid w:val="0"/>
              <w:spacing w:line="360" w:lineRule="auto"/>
              <w:rPr>
                <w:rFonts w:ascii="宋体" w:hAnsi="宋体" w:cs="宋体"/>
                <w:b/>
                <w:color w:val="auto"/>
                <w:sz w:val="24"/>
              </w:rPr>
            </w:pPr>
            <w:r>
              <w:rPr>
                <w:rFonts w:hint="eastAsia" w:ascii="宋体" w:hAnsi="宋体" w:cs="宋体"/>
                <w:b/>
                <w:color w:val="auto"/>
                <w:sz w:val="24"/>
                <w:lang w:eastAsia="zh-CN"/>
              </w:rPr>
              <w:t>供应商</w:t>
            </w:r>
            <w:r>
              <w:rPr>
                <w:rFonts w:hint="eastAsia" w:ascii="宋体" w:hAnsi="宋体" w:cs="宋体"/>
                <w:b/>
                <w:color w:val="auto"/>
                <w:sz w:val="24"/>
              </w:rPr>
              <w:t>应当提供的资格、资信证明等文件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6904C">
            <w:pPr>
              <w:numPr>
                <w:ilvl w:val="0"/>
                <w:numId w:val="1"/>
              </w:numPr>
              <w:spacing w:line="360" w:lineRule="auto"/>
              <w:jc w:val="left"/>
              <w:rPr>
                <w:rFonts w:ascii="宋体" w:hAnsi="宋体" w:cs="宋体"/>
                <w:color w:val="auto"/>
                <w:sz w:val="24"/>
              </w:rPr>
            </w:pPr>
            <w:r>
              <w:rPr>
                <w:rFonts w:hint="eastAsia" w:ascii="宋体" w:hAnsi="宋体" w:cs="宋体"/>
                <w:color w:val="auto"/>
                <w:sz w:val="24"/>
              </w:rPr>
              <w:t>资格证明文件：</w:t>
            </w:r>
            <w:r>
              <w:rPr>
                <w:rFonts w:hint="eastAsia" w:ascii="宋体" w:hAnsi="宋体" w:cs="宋体"/>
                <w:color w:val="auto"/>
                <w:kern w:val="0"/>
                <w:sz w:val="24"/>
              </w:rPr>
              <w:t>见</w:t>
            </w:r>
            <w:r>
              <w:rPr>
                <w:rFonts w:hint="eastAsia" w:ascii="宋体" w:hAnsi="宋体" w:cs="宋体"/>
                <w:color w:val="auto"/>
                <w:kern w:val="0"/>
                <w:sz w:val="24"/>
                <w:lang w:eastAsia="zh-CN"/>
              </w:rPr>
              <w:t>交易文件</w:t>
            </w:r>
            <w:r>
              <w:rPr>
                <w:rFonts w:hint="eastAsia" w:ascii="宋体" w:hAnsi="宋体" w:cs="宋体"/>
                <w:color w:val="auto"/>
                <w:kern w:val="0"/>
                <w:sz w:val="24"/>
              </w:rPr>
              <w:t>第二部分11.1。</w:t>
            </w:r>
          </w:p>
          <w:p w14:paraId="3DCC50C8">
            <w:pPr>
              <w:numPr>
                <w:ilvl w:val="0"/>
                <w:numId w:val="1"/>
              </w:numPr>
              <w:spacing w:line="360" w:lineRule="auto"/>
              <w:rPr>
                <w:rFonts w:ascii="宋体" w:hAnsi="宋体" w:cs="宋体"/>
                <w:color w:val="auto"/>
                <w:sz w:val="24"/>
              </w:rPr>
            </w:pPr>
            <w:r>
              <w:rPr>
                <w:rFonts w:hint="eastAsia" w:ascii="宋体" w:hAnsi="宋体" w:cs="宋体"/>
                <w:color w:val="auto"/>
                <w:sz w:val="24"/>
              </w:rPr>
              <w:t>资信证明文件：根据</w:t>
            </w:r>
            <w:r>
              <w:rPr>
                <w:rFonts w:hint="eastAsia" w:ascii="宋体" w:hAnsi="宋体" w:cs="宋体"/>
                <w:color w:val="auto"/>
                <w:sz w:val="24"/>
                <w:lang w:eastAsia="zh-CN"/>
              </w:rPr>
              <w:t>交易文件</w:t>
            </w:r>
            <w:r>
              <w:rPr>
                <w:rFonts w:hint="eastAsia" w:ascii="宋体" w:hAnsi="宋体" w:cs="宋体"/>
                <w:color w:val="auto"/>
                <w:sz w:val="24"/>
              </w:rPr>
              <w:t>第四部分评标标准提供。</w:t>
            </w:r>
          </w:p>
          <w:p w14:paraId="326C4C06">
            <w:pPr>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b/>
                <w:color w:val="auto"/>
                <w:sz w:val="24"/>
                <w:lang w:eastAsia="zh-CN"/>
              </w:rPr>
              <w:t>供应商</w:t>
            </w:r>
            <w:r>
              <w:rPr>
                <w:rFonts w:hint="eastAsia" w:ascii="宋体" w:hAnsi="宋体" w:cs="宋体"/>
                <w:b/>
                <w:color w:val="auto"/>
                <w:sz w:val="24"/>
              </w:rPr>
              <w:t>未提供（1）的有效的资格证明文件的，视为</w:t>
            </w:r>
            <w:r>
              <w:rPr>
                <w:rFonts w:hint="eastAsia" w:ascii="宋体" w:hAnsi="宋体" w:cs="宋体"/>
                <w:b/>
                <w:color w:val="auto"/>
                <w:sz w:val="24"/>
                <w:lang w:eastAsia="zh-CN"/>
              </w:rPr>
              <w:t>供应商</w:t>
            </w:r>
            <w:r>
              <w:rPr>
                <w:rFonts w:hint="eastAsia" w:ascii="宋体" w:hAnsi="宋体" w:cs="宋体"/>
                <w:b/>
                <w:color w:val="auto"/>
                <w:sz w:val="24"/>
              </w:rPr>
              <w:t>不具备</w:t>
            </w:r>
            <w:r>
              <w:rPr>
                <w:rFonts w:hint="eastAsia" w:ascii="宋体" w:hAnsi="宋体" w:cs="宋体"/>
                <w:b/>
                <w:color w:val="auto"/>
                <w:sz w:val="24"/>
                <w:lang w:eastAsia="zh-CN"/>
              </w:rPr>
              <w:t>交易文件</w:t>
            </w:r>
            <w:r>
              <w:rPr>
                <w:rFonts w:hint="eastAsia" w:ascii="宋体" w:hAnsi="宋体" w:cs="宋体"/>
                <w:b/>
                <w:color w:val="auto"/>
                <w:sz w:val="24"/>
              </w:rPr>
              <w:t>中规定的资格要求，</w:t>
            </w:r>
            <w:r>
              <w:rPr>
                <w:rFonts w:hint="eastAsia" w:ascii="宋体" w:hAnsi="宋体" w:cs="宋体"/>
                <w:b/>
                <w:color w:val="auto"/>
                <w:sz w:val="24"/>
                <w:lang w:eastAsia="zh-CN"/>
              </w:rPr>
              <w:t>响应</w:t>
            </w:r>
            <w:r>
              <w:rPr>
                <w:rFonts w:hint="eastAsia" w:ascii="宋体" w:hAnsi="宋体" w:cs="宋体"/>
                <w:b/>
                <w:color w:val="auto"/>
                <w:sz w:val="24"/>
              </w:rPr>
              <w:t>无效。</w:t>
            </w:r>
          </w:p>
        </w:tc>
      </w:tr>
      <w:tr w14:paraId="74DD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F04442">
            <w:pPr>
              <w:snapToGrid w:val="0"/>
              <w:spacing w:line="360" w:lineRule="auto"/>
              <w:rPr>
                <w:rFonts w:ascii="宋体" w:hAnsi="宋体" w:cs="宋体"/>
                <w:color w:val="auto"/>
                <w:sz w:val="24"/>
              </w:rPr>
            </w:pPr>
            <w:r>
              <w:rPr>
                <w:rFonts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6E495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8C47F">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tc>
      </w:tr>
      <w:tr w14:paraId="6EC7D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D77240">
            <w:pPr>
              <w:snapToGrid w:val="0"/>
              <w:spacing w:line="360" w:lineRule="auto"/>
              <w:rPr>
                <w:rFonts w:ascii="宋体" w:hAnsi="宋体" w:cs="宋体"/>
                <w:color w:val="auto"/>
                <w:sz w:val="24"/>
              </w:rPr>
            </w:pPr>
            <w:r>
              <w:rPr>
                <w:rFonts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2C53E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BAA0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tc>
      </w:tr>
      <w:tr w14:paraId="50652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34577D">
            <w:pPr>
              <w:snapToGrid w:val="0"/>
              <w:spacing w:line="360" w:lineRule="auto"/>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0B1ECA">
            <w:pPr>
              <w:snapToGrid w:val="0"/>
              <w:spacing w:line="360" w:lineRule="auto"/>
              <w:jc w:val="center"/>
              <w:rPr>
                <w:rFonts w:ascii="宋体" w:hAnsi="宋体" w:cs="宋体"/>
                <w:b/>
                <w:color w:val="auto"/>
                <w:sz w:val="24"/>
              </w:rPr>
            </w:pPr>
            <w:r>
              <w:rPr>
                <w:rFonts w:hint="eastAsia" w:ascii="宋体" w:hAnsi="宋体" w:cs="宋体"/>
                <w:b/>
                <w:color w:val="auto"/>
                <w:sz w:val="24"/>
                <w:lang w:eastAsia="zh-CN"/>
              </w:rPr>
              <w:t>响应文件</w:t>
            </w:r>
            <w:r>
              <w:rPr>
                <w:rFonts w:hint="eastAsia" w:ascii="宋体" w:hAnsi="宋体" w:cs="宋体"/>
                <w:b/>
                <w:color w:val="auto"/>
                <w:sz w:val="24"/>
              </w:rPr>
              <w:t>的份数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A4778">
            <w:pPr>
              <w:pStyle w:val="32"/>
              <w:snapToGrid w:val="0"/>
              <w:spacing w:before="120" w:after="120" w:line="360" w:lineRule="auto"/>
              <w:rPr>
                <w:rFonts w:hAnsi="宋体" w:cs="宋体"/>
                <w:color w:val="auto"/>
                <w:sz w:val="24"/>
              </w:rPr>
            </w:pPr>
            <w:r>
              <w:rPr>
                <w:rFonts w:hint="eastAsia" w:hAnsi="宋体" w:cs="宋体"/>
                <w:color w:val="auto"/>
                <w:sz w:val="24"/>
              </w:rPr>
              <w:t>本项目实行</w:t>
            </w:r>
            <w:r>
              <w:rPr>
                <w:rFonts w:hint="eastAsia" w:hAnsi="宋体" w:cs="宋体"/>
                <w:color w:val="auto"/>
                <w:sz w:val="24"/>
                <w:lang w:eastAsia="zh-CN"/>
              </w:rPr>
              <w:t>电子交易标</w:t>
            </w:r>
            <w:r>
              <w:rPr>
                <w:rFonts w:hint="eastAsia" w:hAnsi="宋体" w:cs="宋体"/>
                <w:color w:val="auto"/>
                <w:sz w:val="24"/>
              </w:rPr>
              <w:t>。</w:t>
            </w:r>
          </w:p>
          <w:p w14:paraId="5BC27D11">
            <w:pPr>
              <w:pStyle w:val="32"/>
              <w:snapToGrid w:val="0"/>
              <w:spacing w:before="120" w:after="120" w:line="360" w:lineRule="auto"/>
              <w:rPr>
                <w:rFonts w:hAnsi="宋体" w:cs="宋体"/>
                <w:color w:val="auto"/>
                <w:sz w:val="24"/>
              </w:rPr>
            </w:pPr>
            <w:r>
              <w:rPr>
                <w:rFonts w:hint="eastAsia" w:hAnsi="宋体" w:cs="宋体"/>
                <w:color w:val="auto"/>
                <w:sz w:val="24"/>
              </w:rPr>
              <w:t>供应商应准备电子</w:t>
            </w:r>
            <w:r>
              <w:rPr>
                <w:rFonts w:hint="eastAsia" w:hAnsi="宋体" w:cs="宋体"/>
                <w:color w:val="auto"/>
                <w:sz w:val="24"/>
                <w:lang w:eastAsia="zh-CN"/>
              </w:rPr>
              <w:t>响应文件</w:t>
            </w:r>
            <w:r>
              <w:rPr>
                <w:rFonts w:hint="eastAsia" w:hAnsi="宋体" w:cs="宋体"/>
                <w:color w:val="auto"/>
                <w:sz w:val="24"/>
              </w:rPr>
              <w:t>参与</w:t>
            </w:r>
            <w:r>
              <w:rPr>
                <w:rFonts w:hint="eastAsia" w:hAnsi="宋体" w:cs="宋体"/>
                <w:color w:val="auto"/>
                <w:sz w:val="24"/>
                <w:lang w:val="en-US" w:eastAsia="zh-CN"/>
              </w:rPr>
              <w:t>交易</w:t>
            </w:r>
            <w:r>
              <w:rPr>
                <w:rFonts w:hint="eastAsia" w:hAnsi="宋体" w:cs="宋体"/>
                <w:color w:val="auto"/>
                <w:sz w:val="24"/>
              </w:rPr>
              <w:t>：电子</w:t>
            </w:r>
            <w:r>
              <w:rPr>
                <w:rFonts w:hint="eastAsia" w:hAnsi="宋体" w:cs="宋体"/>
                <w:color w:val="auto"/>
                <w:sz w:val="24"/>
                <w:lang w:eastAsia="zh-CN"/>
              </w:rPr>
              <w:t>响应文件</w:t>
            </w:r>
            <w:r>
              <w:rPr>
                <w:rFonts w:hint="eastAsia" w:hAnsi="宋体" w:cs="宋体"/>
                <w:color w:val="auto"/>
                <w:sz w:val="24"/>
              </w:rPr>
              <w:t>，按政采云平台项目采购-</w:t>
            </w:r>
            <w:r>
              <w:rPr>
                <w:rFonts w:hint="eastAsia" w:hAnsi="宋体" w:cs="宋体"/>
                <w:color w:val="auto"/>
                <w:sz w:val="24"/>
                <w:lang w:eastAsia="zh-CN"/>
              </w:rPr>
              <w:t>电子交易标</w:t>
            </w:r>
            <w:r>
              <w:rPr>
                <w:rFonts w:hint="eastAsia" w:hAnsi="宋体" w:cs="宋体"/>
                <w:color w:val="auto"/>
                <w:sz w:val="24"/>
              </w:rPr>
              <w:t>操作指南及本</w:t>
            </w:r>
            <w:r>
              <w:rPr>
                <w:rFonts w:hint="eastAsia" w:hAnsi="宋体" w:cs="宋体"/>
                <w:color w:val="auto"/>
                <w:sz w:val="24"/>
                <w:lang w:eastAsia="zh-CN"/>
              </w:rPr>
              <w:t>交易文件</w:t>
            </w:r>
            <w:r>
              <w:rPr>
                <w:rFonts w:hint="eastAsia" w:hAnsi="宋体" w:cs="宋体"/>
                <w:color w:val="auto"/>
                <w:sz w:val="24"/>
              </w:rPr>
              <w:t>要求递交。</w:t>
            </w:r>
          </w:p>
          <w:p w14:paraId="55EADC13">
            <w:pPr>
              <w:pStyle w:val="32"/>
              <w:snapToGrid w:val="0"/>
              <w:spacing w:before="120" w:after="120" w:line="360" w:lineRule="auto"/>
              <w:rPr>
                <w:rFonts w:hAnsi="宋体" w:cs="宋体"/>
                <w:b/>
                <w:color w:val="auto"/>
                <w:sz w:val="24"/>
              </w:rPr>
            </w:pPr>
            <w:r>
              <w:rPr>
                <w:rFonts w:hint="eastAsia" w:hAnsi="宋体" w:cs="宋体"/>
                <w:b/>
                <w:color w:val="auto"/>
                <w:sz w:val="24"/>
              </w:rPr>
              <w:t>▲未传输递交电子</w:t>
            </w:r>
            <w:r>
              <w:rPr>
                <w:rFonts w:hint="eastAsia" w:hAnsi="宋体" w:cs="宋体"/>
                <w:b/>
                <w:color w:val="auto"/>
                <w:sz w:val="24"/>
                <w:lang w:eastAsia="zh-CN"/>
              </w:rPr>
              <w:t>响应文件</w:t>
            </w:r>
            <w:r>
              <w:rPr>
                <w:rFonts w:hint="eastAsia" w:hAnsi="宋体" w:cs="宋体"/>
                <w:b/>
                <w:color w:val="auto"/>
                <w:sz w:val="24"/>
              </w:rPr>
              <w:t>的，</w:t>
            </w:r>
            <w:r>
              <w:rPr>
                <w:rFonts w:hint="eastAsia" w:hAnsi="宋体" w:cs="宋体"/>
                <w:b/>
                <w:color w:val="auto"/>
                <w:sz w:val="24"/>
                <w:lang w:eastAsia="zh-CN"/>
              </w:rPr>
              <w:t>响应</w:t>
            </w:r>
            <w:r>
              <w:rPr>
                <w:rFonts w:hint="eastAsia" w:hAnsi="宋体" w:cs="宋体"/>
                <w:b/>
                <w:color w:val="auto"/>
                <w:sz w:val="24"/>
              </w:rPr>
              <w:t>无效。</w:t>
            </w:r>
          </w:p>
          <w:p w14:paraId="4F3A2CF4">
            <w:pPr>
              <w:spacing w:line="360" w:lineRule="auto"/>
              <w:rPr>
                <w:rFonts w:ascii="宋体" w:hAnsi="宋体" w:cs="宋体"/>
                <w:b/>
                <w:color w:val="auto"/>
                <w:sz w:val="24"/>
              </w:rPr>
            </w:pPr>
            <w:r>
              <w:rPr>
                <w:rFonts w:hint="eastAsia" w:ascii="宋体" w:hAnsi="宋体" w:cs="宋体"/>
                <w:b/>
                <w:color w:val="auto"/>
                <w:sz w:val="24"/>
              </w:rPr>
              <w:t>▲未在系统解密时间内完成解密的，视为</w:t>
            </w:r>
            <w:r>
              <w:rPr>
                <w:rFonts w:hint="eastAsia" w:ascii="宋体" w:hAnsi="宋体" w:cs="宋体"/>
                <w:b/>
                <w:color w:val="auto"/>
                <w:sz w:val="24"/>
                <w:lang w:eastAsia="zh-CN"/>
              </w:rPr>
              <w:t>供应商</w:t>
            </w:r>
            <w:r>
              <w:rPr>
                <w:rFonts w:hint="eastAsia" w:ascii="宋体" w:hAnsi="宋体" w:cs="宋体"/>
                <w:b/>
                <w:color w:val="auto"/>
                <w:sz w:val="24"/>
              </w:rPr>
              <w:t>自行放弃</w:t>
            </w:r>
            <w:r>
              <w:rPr>
                <w:rFonts w:hint="eastAsia" w:ascii="宋体" w:hAnsi="宋体" w:cs="宋体"/>
                <w:b/>
                <w:color w:val="auto"/>
                <w:sz w:val="24"/>
                <w:lang w:eastAsia="zh-CN"/>
              </w:rPr>
              <w:t>响应</w:t>
            </w: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无效。</w:t>
            </w:r>
          </w:p>
          <w:p w14:paraId="766BFBA7">
            <w:pPr>
              <w:spacing w:line="360" w:lineRule="auto"/>
              <w:rPr>
                <w:rFonts w:ascii="宋体" w:hAnsi="宋体" w:cs="宋体"/>
                <w:color w:val="auto"/>
                <w:kern w:val="0"/>
                <w:sz w:val="24"/>
              </w:rPr>
            </w:pPr>
            <w:r>
              <w:rPr>
                <w:rFonts w:hint="eastAsia" w:ascii="宋体" w:hAnsi="宋体" w:cs="宋体"/>
                <w:b/>
                <w:color w:val="auto"/>
                <w:sz w:val="24"/>
              </w:rPr>
              <w:t>本项目备份</w:t>
            </w:r>
            <w:r>
              <w:rPr>
                <w:rFonts w:hint="eastAsia" w:ascii="宋体" w:hAnsi="宋体" w:cs="宋体"/>
                <w:b/>
                <w:color w:val="auto"/>
                <w:sz w:val="24"/>
                <w:lang w:eastAsia="zh-CN"/>
              </w:rPr>
              <w:t>响应文件</w:t>
            </w:r>
            <w:r>
              <w:rPr>
                <w:rFonts w:hint="eastAsia" w:ascii="宋体" w:hAnsi="宋体" w:cs="宋体"/>
                <w:b/>
                <w:color w:val="auto"/>
                <w:sz w:val="24"/>
              </w:rPr>
              <w:t>：不提供</w:t>
            </w:r>
          </w:p>
        </w:tc>
      </w:tr>
      <w:tr w14:paraId="0742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D0755B">
            <w:pPr>
              <w:snapToGrid w:val="0"/>
              <w:spacing w:line="360" w:lineRule="auto"/>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D63A9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18BE1">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tc>
      </w:tr>
      <w:tr w14:paraId="0F87A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B21C3C">
            <w:pPr>
              <w:snapToGrid w:val="0"/>
              <w:spacing w:line="360" w:lineRule="auto"/>
              <w:rPr>
                <w:rFonts w:hint="eastAsia" w:ascii="宋体" w:hAnsi="宋体" w:cs="宋体"/>
                <w:color w:val="auto"/>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3ECDB728">
            <w:pPr>
              <w:jc w:val="center"/>
              <w:rPr>
                <w:rFonts w:hint="eastAsia" w:ascii="宋体" w:hAnsi="宋体" w:cs="宋体"/>
                <w:b/>
                <w:color w:val="auto"/>
                <w:sz w:val="24"/>
                <w:highlight w:val="none"/>
              </w:rPr>
            </w:pPr>
            <w:r>
              <w:rPr>
                <w:rFonts w:hint="eastAsia" w:ascii="宋体" w:hAnsi="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AB0D7">
            <w:pPr>
              <w:keepNext w:val="0"/>
              <w:keepLines w:val="0"/>
              <w:pageBreakBefore w:val="0"/>
              <w:kinsoku/>
              <w:wordWrap/>
              <w:overflowPunct/>
              <w:topLinePunct w:val="0"/>
              <w:autoSpaceDE w:val="0"/>
              <w:autoSpaceDN w:val="0"/>
              <w:bidi w:val="0"/>
              <w:adjustRightInd w:val="0"/>
              <w:spacing w:line="240" w:lineRule="auto"/>
              <w:ind w:left="0"/>
              <w:textAlignment w:val="auto"/>
              <w:rPr>
                <w:rFonts w:hint="eastAsia" w:hAnsi="宋体" w:cs="宋体"/>
                <w:color w:val="auto"/>
                <w:sz w:val="24"/>
                <w:highlight w:val="none"/>
              </w:rPr>
            </w:pPr>
            <w:r>
              <w:rPr>
                <w:rFonts w:hint="eastAsia" w:hAnsi="宋体" w:cs="宋体"/>
                <w:color w:val="auto"/>
                <w:sz w:val="24"/>
                <w:highlight w:val="none"/>
              </w:rPr>
              <w:t>（1）本项目代理</w:t>
            </w:r>
            <w:r>
              <w:rPr>
                <w:rFonts w:hint="eastAsia" w:hAnsi="宋体" w:cs="宋体"/>
                <w:color w:val="auto"/>
                <w:sz w:val="24"/>
                <w:highlight w:val="none"/>
                <w:lang w:val="en-US" w:eastAsia="zh-CN"/>
              </w:rPr>
              <w:t>服务</w:t>
            </w:r>
            <w:r>
              <w:rPr>
                <w:rFonts w:hint="eastAsia" w:hAnsi="宋体" w:cs="宋体"/>
                <w:color w:val="auto"/>
                <w:sz w:val="24"/>
                <w:highlight w:val="none"/>
              </w:rPr>
              <w:t>费由</w:t>
            </w:r>
            <w:r>
              <w:rPr>
                <w:rFonts w:hint="eastAsia" w:hAnsi="宋体" w:cs="宋体"/>
                <w:color w:val="auto"/>
                <w:sz w:val="24"/>
                <w:highlight w:val="none"/>
                <w:lang w:val="en-US" w:eastAsia="zh-CN"/>
              </w:rPr>
              <w:t>成交人</w:t>
            </w:r>
            <w:r>
              <w:rPr>
                <w:rFonts w:hint="eastAsia" w:hAnsi="宋体" w:cs="宋体"/>
                <w:color w:val="auto"/>
                <w:sz w:val="24"/>
                <w:highlight w:val="none"/>
              </w:rPr>
              <w:t>支付，每家按</w:t>
            </w:r>
            <w:r>
              <w:rPr>
                <w:rFonts w:hint="eastAsia" w:hAnsi="宋体" w:cs="宋体"/>
                <w:color w:val="auto"/>
                <w:sz w:val="24"/>
                <w:highlight w:val="none"/>
                <w:lang w:val="en-US" w:eastAsia="zh-CN"/>
              </w:rPr>
              <w:t>2</w:t>
            </w:r>
            <w:r>
              <w:rPr>
                <w:rFonts w:hint="eastAsia" w:hAnsi="宋体" w:cs="宋体"/>
                <w:color w:val="auto"/>
                <w:sz w:val="24"/>
                <w:highlight w:val="none"/>
              </w:rPr>
              <w:t>000</w:t>
            </w:r>
            <w:r>
              <w:rPr>
                <w:rFonts w:hint="eastAsia" w:hAnsi="宋体" w:cs="宋体"/>
                <w:color w:val="auto"/>
                <w:sz w:val="24"/>
                <w:highlight w:val="none"/>
                <w:lang w:val="en-US" w:eastAsia="zh-CN"/>
              </w:rPr>
              <w:t>.00</w:t>
            </w:r>
            <w:r>
              <w:rPr>
                <w:rFonts w:hint="eastAsia" w:hAnsi="宋体" w:cs="宋体"/>
                <w:color w:val="auto"/>
                <w:sz w:val="24"/>
                <w:highlight w:val="none"/>
              </w:rPr>
              <w:t>元收费</w:t>
            </w:r>
            <w:r>
              <w:rPr>
                <w:rFonts w:hint="eastAsia" w:hAnsi="宋体" w:cs="宋体"/>
                <w:color w:val="auto"/>
                <w:sz w:val="24"/>
                <w:highlight w:val="none"/>
                <w:lang w:eastAsia="zh-CN"/>
              </w:rPr>
              <w:t>，</w:t>
            </w:r>
            <w:r>
              <w:rPr>
                <w:rFonts w:hint="eastAsia" w:hAnsi="宋体" w:cs="宋体"/>
                <w:color w:val="auto"/>
                <w:sz w:val="24"/>
                <w:highlight w:val="none"/>
              </w:rPr>
              <w:t>专家</w:t>
            </w:r>
            <w:r>
              <w:rPr>
                <w:rFonts w:hint="eastAsia" w:hAnsi="宋体" w:cs="宋体"/>
                <w:color w:val="auto"/>
                <w:sz w:val="24"/>
                <w:highlight w:val="none"/>
                <w:lang w:val="en-US" w:eastAsia="zh-CN"/>
              </w:rPr>
              <w:t>评审</w:t>
            </w:r>
            <w:r>
              <w:rPr>
                <w:rFonts w:hint="eastAsia" w:hAnsi="宋体" w:cs="宋体"/>
                <w:color w:val="auto"/>
                <w:sz w:val="24"/>
                <w:highlight w:val="none"/>
              </w:rPr>
              <w:t>费由</w:t>
            </w:r>
            <w:r>
              <w:rPr>
                <w:rFonts w:hint="eastAsia" w:hAnsi="宋体" w:cs="宋体"/>
                <w:color w:val="auto"/>
                <w:sz w:val="24"/>
                <w:highlight w:val="none"/>
                <w:lang w:val="en-US" w:eastAsia="zh-CN"/>
              </w:rPr>
              <w:t>交易发起人</w:t>
            </w:r>
            <w:r>
              <w:rPr>
                <w:rFonts w:hint="eastAsia" w:hAnsi="宋体" w:cs="宋体"/>
                <w:color w:val="auto"/>
                <w:sz w:val="24"/>
                <w:highlight w:val="none"/>
              </w:rPr>
              <w:t>支付。</w:t>
            </w:r>
          </w:p>
          <w:p w14:paraId="6046CBB4">
            <w:pPr>
              <w:pStyle w:val="15"/>
              <w:spacing w:line="240" w:lineRule="auto"/>
              <w:ind w:firstLine="0" w:firstLineChars="0"/>
              <w:rPr>
                <w:rFonts w:hint="eastAsia" w:ascii="宋体" w:hAnsi="宋体" w:cs="宋体"/>
                <w:color w:val="auto"/>
                <w:kern w:val="0"/>
                <w:sz w:val="24"/>
                <w:highlight w:val="none"/>
              </w:rPr>
            </w:pPr>
            <w:r>
              <w:rPr>
                <w:rFonts w:hint="eastAsia" w:hAnsi="宋体" w:cs="宋体"/>
                <w:color w:val="auto"/>
                <w:sz w:val="24"/>
                <w:highlight w:val="none"/>
              </w:rPr>
              <w:t>（2）代理</w:t>
            </w:r>
            <w:r>
              <w:rPr>
                <w:rFonts w:hint="eastAsia" w:hAnsi="宋体" w:cs="宋体"/>
                <w:color w:val="auto"/>
                <w:sz w:val="24"/>
                <w:highlight w:val="none"/>
                <w:lang w:val="en-US" w:eastAsia="zh-CN"/>
              </w:rPr>
              <w:t>服务</w:t>
            </w:r>
            <w:r>
              <w:rPr>
                <w:rFonts w:hint="eastAsia" w:hAnsi="宋体" w:cs="宋体"/>
                <w:color w:val="auto"/>
                <w:sz w:val="24"/>
                <w:highlight w:val="none"/>
              </w:rPr>
              <w:t>费由</w:t>
            </w:r>
            <w:r>
              <w:rPr>
                <w:rFonts w:hint="eastAsia" w:hAnsi="宋体" w:cs="宋体"/>
                <w:color w:val="auto"/>
                <w:sz w:val="24"/>
                <w:highlight w:val="none"/>
                <w:lang w:val="en-US" w:eastAsia="zh-CN"/>
              </w:rPr>
              <w:t>成交人</w:t>
            </w:r>
            <w:r>
              <w:rPr>
                <w:rFonts w:hint="eastAsia" w:hAnsi="宋体" w:cs="宋体"/>
                <w:color w:val="auto"/>
                <w:sz w:val="24"/>
                <w:highlight w:val="none"/>
              </w:rPr>
              <w:t>领取</w:t>
            </w:r>
            <w:r>
              <w:rPr>
                <w:rFonts w:hint="eastAsia" w:hAnsi="宋体" w:cs="宋体"/>
                <w:color w:val="auto"/>
                <w:sz w:val="24"/>
                <w:highlight w:val="none"/>
                <w:lang w:val="en-US" w:eastAsia="zh-CN"/>
              </w:rPr>
              <w:t>成交</w:t>
            </w:r>
            <w:r>
              <w:rPr>
                <w:rFonts w:hint="eastAsia" w:hAnsi="宋体" w:cs="宋体"/>
                <w:color w:val="auto"/>
                <w:sz w:val="24"/>
                <w:highlight w:val="none"/>
              </w:rPr>
              <w:t>通知书时向</w:t>
            </w:r>
            <w:r>
              <w:rPr>
                <w:rFonts w:hint="eastAsia" w:hAnsi="宋体" w:cs="宋体"/>
                <w:color w:val="auto"/>
                <w:sz w:val="24"/>
                <w:highlight w:val="none"/>
                <w:lang w:eastAsia="zh-CN"/>
              </w:rPr>
              <w:t>代理机构</w:t>
            </w:r>
            <w:r>
              <w:rPr>
                <w:rFonts w:hint="eastAsia" w:hAnsi="宋体" w:cs="宋体"/>
                <w:color w:val="auto"/>
                <w:sz w:val="24"/>
                <w:highlight w:val="none"/>
              </w:rPr>
              <w:t>支付，</w:t>
            </w:r>
            <w:r>
              <w:rPr>
                <w:rFonts w:hint="eastAsia" w:hAnsi="宋体" w:cs="宋体"/>
                <w:color w:val="auto"/>
                <w:sz w:val="24"/>
                <w:highlight w:val="none"/>
                <w:lang w:eastAsia="zh-CN"/>
              </w:rPr>
              <w:t>供应商</w:t>
            </w:r>
            <w:r>
              <w:rPr>
                <w:rFonts w:hint="eastAsia" w:hAnsi="宋体" w:cs="宋体"/>
                <w:color w:val="auto"/>
                <w:sz w:val="24"/>
                <w:highlight w:val="none"/>
              </w:rPr>
              <w:t>相关费用综合考虑在</w:t>
            </w:r>
            <w:r>
              <w:rPr>
                <w:rFonts w:hint="eastAsia" w:hAnsi="宋体" w:cs="宋体"/>
                <w:color w:val="auto"/>
                <w:sz w:val="24"/>
                <w:highlight w:val="none"/>
                <w:lang w:eastAsia="zh-CN"/>
              </w:rPr>
              <w:t>响应</w:t>
            </w:r>
            <w:r>
              <w:rPr>
                <w:rFonts w:hint="eastAsia" w:hAnsi="宋体" w:cs="宋体"/>
                <w:color w:val="auto"/>
                <w:sz w:val="24"/>
                <w:highlight w:val="none"/>
              </w:rPr>
              <w:t>报价中。</w:t>
            </w:r>
          </w:p>
        </w:tc>
      </w:tr>
      <w:tr w14:paraId="0F5D7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2900EC">
            <w:pPr>
              <w:snapToGrid w:val="0"/>
              <w:spacing w:line="360" w:lineRule="auto"/>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FF9094E">
            <w:pPr>
              <w:spacing w:line="360" w:lineRule="auto"/>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保证金</w:t>
            </w:r>
          </w:p>
          <w:p w14:paraId="0875C329">
            <w:pPr>
              <w:snapToGrid w:val="0"/>
              <w:spacing w:line="360" w:lineRule="auto"/>
              <w:rPr>
                <w:rFonts w:ascii="宋体" w:hAnsi="宋体" w:cs="宋体"/>
                <w:b/>
                <w:color w:val="auto"/>
                <w:sz w:val="24"/>
              </w:rPr>
            </w:pPr>
            <w:r>
              <w:rPr>
                <w:rFonts w:hint="eastAsia" w:ascii="宋体" w:hAnsi="宋体" w:cs="宋体"/>
                <w:b/>
                <w:color w:val="auto"/>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3DAAD">
            <w:pPr>
              <w:pStyle w:val="15"/>
              <w:spacing w:line="360" w:lineRule="auto"/>
              <w:ind w:firstLine="0"/>
              <w:rPr>
                <w:rFonts w:hAnsi="宋体" w:cs="宋体"/>
                <w:color w:val="auto"/>
                <w:sz w:val="24"/>
              </w:rPr>
            </w:pPr>
            <w:r>
              <w:rPr>
                <w:rFonts w:hint="eastAsia" w:hAnsi="宋体" w:cs="宋体"/>
                <w:color w:val="auto"/>
                <w:sz w:val="24"/>
                <w:lang w:eastAsia="zh-CN"/>
              </w:rPr>
              <w:t>响应</w:t>
            </w:r>
            <w:r>
              <w:rPr>
                <w:rFonts w:hint="eastAsia" w:hAnsi="宋体" w:cs="宋体"/>
                <w:color w:val="auto"/>
                <w:sz w:val="24"/>
              </w:rPr>
              <w:t>保证金：</w:t>
            </w:r>
            <w:r>
              <w:rPr>
                <w:rFonts w:hint="eastAsia" w:hAnsi="宋体" w:cs="宋体"/>
                <w:color w:val="auto"/>
                <w:sz w:val="24"/>
                <w:lang w:val="en-US" w:eastAsia="zh-CN"/>
              </w:rPr>
              <w:t>不收取</w:t>
            </w:r>
          </w:p>
          <w:p w14:paraId="4EA0D501">
            <w:pPr>
              <w:spacing w:line="360" w:lineRule="auto"/>
              <w:rPr>
                <w:rFonts w:hint="eastAsia" w:hAnsi="宋体" w:cs="宋体"/>
                <w:color w:val="auto"/>
                <w:sz w:val="24"/>
                <w:highlight w:val="none"/>
              </w:rPr>
            </w:pPr>
            <w:r>
              <w:rPr>
                <w:rFonts w:hint="eastAsia" w:hAnsi="宋体" w:cs="宋体"/>
                <w:color w:val="auto"/>
                <w:sz w:val="24"/>
              </w:rPr>
              <w:t>履约保证</w:t>
            </w:r>
            <w:r>
              <w:rPr>
                <w:rFonts w:hint="eastAsia" w:hAnsi="宋体" w:cs="宋体"/>
                <w:color w:val="auto"/>
                <w:sz w:val="24"/>
                <w:highlight w:val="none"/>
              </w:rPr>
              <w:t>金：</w:t>
            </w:r>
            <w:r>
              <w:rPr>
                <w:rFonts w:hint="eastAsia" w:hAnsi="宋体" w:cs="宋体"/>
                <w:color w:val="auto"/>
                <w:sz w:val="24"/>
                <w:highlight w:val="none"/>
                <w:lang w:val="en-US" w:eastAsia="zh-CN"/>
              </w:rPr>
              <w:t>不收取</w:t>
            </w:r>
          </w:p>
          <w:p w14:paraId="2AE959DE">
            <w:pPr>
              <w:spacing w:line="360" w:lineRule="auto"/>
              <w:rPr>
                <w:rFonts w:ascii="宋体" w:hAnsi="宋体" w:cs="宋体"/>
                <w:color w:val="auto"/>
                <w:kern w:val="0"/>
                <w:sz w:val="24"/>
              </w:rPr>
            </w:pPr>
            <w:r>
              <w:rPr>
                <w:rFonts w:hint="eastAsia" w:hAnsi="宋体" w:cs="宋体"/>
                <w:color w:val="auto"/>
                <w:sz w:val="24"/>
                <w:highlight w:val="none"/>
              </w:rPr>
              <w:t>供应商应当以支票、汇票、本票或者金融机构、担保机构出具的保函等非现金形式提交。</w:t>
            </w:r>
          </w:p>
        </w:tc>
      </w:tr>
      <w:tr w14:paraId="2361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32B3FED">
            <w:pPr>
              <w:jc w:val="center"/>
              <w:rPr>
                <w:color w:val="auto"/>
              </w:rPr>
            </w:pPr>
            <w:r>
              <w:rPr>
                <w:color w:va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53222">
            <w:pPr>
              <w:jc w:val="center"/>
              <w:rPr>
                <w:color w:val="auto"/>
              </w:rPr>
            </w:pPr>
            <w:r>
              <w:rPr>
                <w:rFonts w:hint="eastAsia" w:cs="仿宋"/>
                <w:b/>
                <w:color w:val="auto"/>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AABAE">
            <w:pPr>
              <w:rPr>
                <w:color w:val="auto"/>
              </w:rPr>
            </w:pPr>
            <w:r>
              <w:rPr>
                <w:rFonts w:hint="eastAsia" w:cs="仿宋_GB2312"/>
                <w:color w:val="auto"/>
                <w:sz w:val="24"/>
                <w:szCs w:val="24"/>
              </w:rPr>
              <w:t>本项目</w:t>
            </w:r>
            <w:r>
              <w:rPr>
                <w:rFonts w:cs="仿宋_GB2312"/>
                <w:color w:val="auto"/>
                <w:sz w:val="24"/>
                <w:szCs w:val="24"/>
              </w:rPr>
              <w:t>由</w:t>
            </w:r>
            <w:r>
              <w:rPr>
                <w:rFonts w:hint="eastAsia" w:cs="仿宋_GB2312"/>
                <w:color w:val="auto"/>
                <w:sz w:val="24"/>
                <w:szCs w:val="24"/>
                <w:lang w:eastAsia="zh-CN"/>
              </w:rPr>
              <w:t>交易发起人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432B1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right w:val="single" w:color="000000" w:sz="2" w:space="0"/>
            </w:tcBorders>
            <w:vAlign w:val="center"/>
          </w:tcPr>
          <w:p w14:paraId="07D2A6D1">
            <w:pPr>
              <w:snapToGrid w:val="0"/>
              <w:spacing w:line="360" w:lineRule="auto"/>
              <w:jc w:val="center"/>
              <w:rPr>
                <w:rFonts w:ascii="宋体" w:hAnsi="宋体" w:cs="宋体"/>
                <w:color w:val="auto"/>
                <w:sz w:val="24"/>
              </w:rPr>
            </w:pPr>
            <w:r>
              <w:rPr>
                <w:rFonts w:ascii="宋体" w:hAnsi="宋体" w:cs="宋体"/>
                <w:color w:val="auto"/>
                <w:sz w:val="24"/>
              </w:rPr>
              <w:t>10</w:t>
            </w:r>
          </w:p>
        </w:tc>
        <w:tc>
          <w:tcPr>
            <w:tcW w:w="1843" w:type="dxa"/>
            <w:tcBorders>
              <w:top w:val="single" w:color="000000" w:sz="8" w:space="0"/>
              <w:left w:val="single" w:color="000000" w:sz="2" w:space="0"/>
              <w:right w:val="single" w:color="000000" w:sz="8" w:space="0"/>
            </w:tcBorders>
            <w:vAlign w:val="center"/>
          </w:tcPr>
          <w:p w14:paraId="56EBF35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评标办法</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CD91E">
            <w:pPr>
              <w:spacing w:line="360" w:lineRule="auto"/>
              <w:rPr>
                <w:rFonts w:hint="eastAsia" w:ascii="宋体" w:hAnsi="宋体" w:eastAsia="宋体" w:cs="宋体"/>
                <w:snapToGrid w:val="0"/>
                <w:color w:val="auto"/>
                <w:kern w:val="28"/>
                <w:sz w:val="24"/>
                <w:lang w:eastAsia="zh-CN"/>
              </w:rPr>
            </w:pPr>
            <w:r>
              <w:rPr>
                <w:rFonts w:hint="eastAsia" w:ascii="宋体" w:hAnsi="宋体" w:cs="宋体"/>
                <w:color w:val="auto"/>
                <w:sz w:val="24"/>
                <w:lang w:eastAsia="zh-CN"/>
              </w:rPr>
              <w:t>综合评估法</w:t>
            </w:r>
          </w:p>
        </w:tc>
      </w:tr>
    </w:tbl>
    <w:p w14:paraId="761497CD">
      <w:pPr>
        <w:snapToGrid w:val="0"/>
        <w:spacing w:line="360" w:lineRule="auto"/>
        <w:jc w:val="center"/>
        <w:rPr>
          <w:rFonts w:ascii="宋体" w:hAnsi="宋体" w:cs="宋体"/>
          <w:b/>
          <w:color w:val="auto"/>
          <w:sz w:val="32"/>
          <w:szCs w:val="20"/>
        </w:rPr>
      </w:pPr>
    </w:p>
    <w:bookmarkEnd w:id="10"/>
    <w:p w14:paraId="4FFA758F">
      <w:pPr>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14:paraId="478FCCA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39E423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67D448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eastAsia="zh-CN"/>
        </w:rPr>
        <w:t>交易文件</w:t>
      </w:r>
      <w:r>
        <w:rPr>
          <w:rFonts w:hint="eastAsia" w:ascii="宋体" w:hAnsi="宋体" w:cs="宋体"/>
          <w:color w:val="auto"/>
          <w:sz w:val="24"/>
        </w:rPr>
        <w:t>适用于该项目的</w:t>
      </w:r>
      <w:r>
        <w:rPr>
          <w:rFonts w:hint="eastAsia" w:ascii="宋体" w:hAnsi="宋体" w:cs="宋体"/>
          <w:color w:val="auto"/>
          <w:sz w:val="24"/>
          <w:lang w:eastAsia="zh-CN"/>
        </w:rPr>
        <w:t>交易</w:t>
      </w:r>
      <w:r>
        <w:rPr>
          <w:rFonts w:hint="eastAsia" w:ascii="宋体" w:hAnsi="宋体" w:cs="宋体"/>
          <w:color w:val="auto"/>
          <w:sz w:val="24"/>
        </w:rPr>
        <w:t>、</w:t>
      </w:r>
      <w:r>
        <w:rPr>
          <w:rFonts w:hint="eastAsia" w:ascii="宋体" w:hAnsi="宋体" w:cs="宋体"/>
          <w:color w:val="auto"/>
          <w:sz w:val="24"/>
          <w:lang w:val="en-US" w:eastAsia="zh-CN"/>
        </w:rPr>
        <w:t>响应</w:t>
      </w:r>
      <w:r>
        <w:rPr>
          <w:rFonts w:hint="eastAsia" w:ascii="宋体" w:hAnsi="宋体" w:cs="宋体"/>
          <w:color w:val="auto"/>
          <w:sz w:val="24"/>
        </w:rPr>
        <w:t>、开标、资格审查及信用信息查询、评标、定标、合同、验收等行为（法律、法规另有规定的，从其规定）。</w:t>
      </w:r>
    </w:p>
    <w:p w14:paraId="717F3DBA">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2EA7EA0">
      <w:pPr>
        <w:spacing w:line="360" w:lineRule="auto"/>
        <w:ind w:firstLine="480" w:firstLineChars="200"/>
        <w:rPr>
          <w:rFonts w:ascii="宋体" w:hAnsi="宋体" w:cs="宋体"/>
          <w:color w:val="auto"/>
          <w:sz w:val="24"/>
        </w:rPr>
      </w:pPr>
      <w:r>
        <w:rPr>
          <w:rFonts w:hint="eastAsia" w:ascii="宋体" w:hAnsi="宋体" w:cs="宋体"/>
          <w:color w:val="auto"/>
          <w:sz w:val="24"/>
        </w:rPr>
        <w:t>2.1 “</w:t>
      </w:r>
      <w:r>
        <w:rPr>
          <w:rFonts w:hint="eastAsia" w:ascii="宋体" w:hAnsi="宋体" w:cs="宋体"/>
          <w:color w:val="auto"/>
          <w:sz w:val="24"/>
          <w:lang w:eastAsia="zh-CN"/>
        </w:rPr>
        <w:t>交易发起人</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交易发起人</w:t>
      </w:r>
      <w:r>
        <w:rPr>
          <w:rFonts w:hint="eastAsia" w:ascii="宋体" w:hAnsi="宋体" w:cs="宋体"/>
          <w:color w:val="auto"/>
          <w:sz w:val="24"/>
        </w:rPr>
        <w:t>。</w:t>
      </w:r>
    </w:p>
    <w:p w14:paraId="531FDC3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代理机构</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代理机构</w:t>
      </w:r>
      <w:r>
        <w:rPr>
          <w:rFonts w:hint="eastAsia" w:ascii="宋体" w:hAnsi="宋体" w:cs="宋体"/>
          <w:color w:val="auto"/>
          <w:sz w:val="24"/>
        </w:rPr>
        <w:t>。</w:t>
      </w:r>
    </w:p>
    <w:p w14:paraId="586B00ED">
      <w:pPr>
        <w:spacing w:line="360" w:lineRule="auto"/>
        <w:ind w:firstLine="480" w:firstLineChars="200"/>
        <w:rPr>
          <w:rFonts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供应商</w:t>
      </w:r>
      <w:r>
        <w:rPr>
          <w:rFonts w:hint="eastAsia" w:ascii="宋体" w:hAnsi="宋体" w:cs="宋体"/>
          <w:color w:val="auto"/>
          <w:sz w:val="24"/>
        </w:rPr>
        <w:t>”系指是指响应</w:t>
      </w:r>
      <w:r>
        <w:rPr>
          <w:rFonts w:hint="eastAsia" w:ascii="宋体" w:hAnsi="宋体" w:cs="宋体"/>
          <w:color w:val="auto"/>
          <w:sz w:val="24"/>
          <w:lang w:eastAsia="zh-CN"/>
        </w:rPr>
        <w:t>交易</w:t>
      </w:r>
      <w:r>
        <w:rPr>
          <w:rFonts w:hint="eastAsia" w:ascii="宋体" w:hAnsi="宋体" w:cs="宋体"/>
          <w:color w:val="auto"/>
          <w:sz w:val="24"/>
        </w:rPr>
        <w:t>、参加</w:t>
      </w:r>
      <w:r>
        <w:rPr>
          <w:rFonts w:hint="eastAsia" w:ascii="宋体" w:hAnsi="宋体" w:cs="宋体"/>
          <w:color w:val="auto"/>
          <w:sz w:val="24"/>
          <w:lang w:val="en-US" w:eastAsia="zh-CN"/>
        </w:rPr>
        <w:t>交易</w:t>
      </w:r>
      <w:r>
        <w:rPr>
          <w:rFonts w:hint="eastAsia" w:ascii="宋体" w:hAnsi="宋体" w:cs="宋体"/>
          <w:color w:val="auto"/>
          <w:sz w:val="24"/>
        </w:rPr>
        <w:t>竞争的法人、其他组织或者自然人。</w:t>
      </w:r>
    </w:p>
    <w:p w14:paraId="40B08DC7">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86E4A87">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lang w:eastAsia="zh-CN"/>
        </w:rPr>
        <w:t>响应</w:t>
      </w:r>
      <w:r>
        <w:rPr>
          <w:rFonts w:hint="eastAsia" w:ascii="宋体" w:hAnsi="宋体" w:cs="宋体"/>
          <w:color w:val="auto"/>
          <w:sz w:val="24"/>
        </w:rPr>
        <w:t>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0E1BBF6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w:t>
      </w:r>
      <w:r>
        <w:rPr>
          <w:rFonts w:hint="eastAsia" w:ascii="宋体" w:hAnsi="宋体" w:cs="宋体"/>
          <w:color w:val="auto"/>
          <w:sz w:val="24"/>
          <w:lang w:eastAsia="zh-CN"/>
        </w:rPr>
        <w:t>采购</w:t>
      </w:r>
      <w:r>
        <w:rPr>
          <w:rFonts w:hint="eastAsia" w:ascii="宋体" w:hAnsi="宋体" w:cs="宋体"/>
          <w:color w:val="auto"/>
          <w:sz w:val="24"/>
        </w:rPr>
        <w:t>活动所依托的政府采购云平台（https://www.zcygov.cn/）。</w:t>
      </w:r>
    </w:p>
    <w:p w14:paraId="0FAD744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E56AE92">
      <w:pPr>
        <w:spacing w:line="360" w:lineRule="auto"/>
        <w:ind w:firstLine="241" w:firstLineChars="100"/>
        <w:rPr>
          <w:rFonts w:ascii="宋体" w:hAnsi="宋体" w:cs="宋体"/>
          <w:b/>
          <w:color w:val="auto"/>
          <w:sz w:val="24"/>
        </w:rPr>
      </w:pPr>
      <w:r>
        <w:rPr>
          <w:rFonts w:ascii="宋体" w:hAnsi="宋体" w:cs="宋体"/>
          <w:b/>
          <w:color w:val="auto"/>
          <w:sz w:val="24"/>
        </w:rPr>
        <w:t>3</w:t>
      </w:r>
      <w:r>
        <w:rPr>
          <w:rFonts w:hint="eastAsia" w:ascii="宋体" w:hAnsi="宋体" w:cs="宋体"/>
          <w:b/>
          <w:color w:val="auto"/>
          <w:sz w:val="24"/>
        </w:rPr>
        <w:t>. 询问、质疑、投诉</w:t>
      </w:r>
    </w:p>
    <w:p w14:paraId="402888FB">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.1供应商询问</w:t>
      </w:r>
    </w:p>
    <w:p w14:paraId="5A74A5BA">
      <w:pPr>
        <w:autoSpaceDE w:val="0"/>
        <w:autoSpaceDN w:val="0"/>
        <w:spacing w:line="360" w:lineRule="auto"/>
        <w:ind w:firstLine="480" w:firstLineChars="200"/>
        <w:jc w:val="left"/>
        <w:rPr>
          <w:rFonts w:ascii="宋体" w:hAnsi="宋体" w:cs="微软雅黑"/>
          <w:color w:val="auto"/>
          <w:kern w:val="0"/>
          <w:sz w:val="24"/>
          <w:lang w:val="zh-CN"/>
        </w:rPr>
      </w:pPr>
      <w:r>
        <w:rPr>
          <w:rFonts w:hint="eastAsia" w:ascii="宋体" w:hAnsi="宋体" w:cs="微软雅黑"/>
          <w:color w:val="auto"/>
          <w:kern w:val="0"/>
          <w:sz w:val="24"/>
          <w:lang w:val="zh-CN"/>
        </w:rPr>
        <w:t>供应商对采购活动事项有疑问的，可以提出询问，交易发起人或者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2373DA8E">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.2供应商质疑</w:t>
      </w:r>
    </w:p>
    <w:p w14:paraId="0C6FC704">
      <w:pPr>
        <w:pStyle w:val="32"/>
        <w:spacing w:line="360" w:lineRule="auto"/>
        <w:ind w:right="-512" w:firstLine="480" w:firstLineChars="200"/>
        <w:rPr>
          <w:rFonts w:hAnsi="宋体"/>
          <w:color w:val="auto"/>
          <w:sz w:val="24"/>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.1提出质疑的供应商应当是参与所质疑项目采购活动的供应商。潜在供应商已依法获取其可质疑的</w:t>
      </w:r>
      <w:r>
        <w:rPr>
          <w:rFonts w:hint="eastAsia" w:hAnsi="宋体"/>
          <w:color w:val="auto"/>
          <w:sz w:val="24"/>
          <w:lang w:eastAsia="zh-CN"/>
        </w:rPr>
        <w:t>交易文件</w:t>
      </w:r>
      <w:r>
        <w:rPr>
          <w:rFonts w:hint="eastAsia" w:hAnsi="宋体"/>
          <w:color w:val="auto"/>
          <w:sz w:val="24"/>
        </w:rPr>
        <w:t>的，可以对该文件提出质疑。</w:t>
      </w:r>
    </w:p>
    <w:p w14:paraId="52352B97">
      <w:pPr>
        <w:pStyle w:val="32"/>
        <w:spacing w:line="360" w:lineRule="auto"/>
        <w:ind w:right="-512" w:firstLine="480" w:firstLineChars="200"/>
        <w:rPr>
          <w:rFonts w:hAnsi="宋体"/>
          <w:color w:val="auto"/>
          <w:sz w:val="24"/>
          <w:highlight w:val="none"/>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.2供应商认为</w:t>
      </w:r>
      <w:r>
        <w:rPr>
          <w:rFonts w:hint="eastAsia" w:hAnsi="宋体"/>
          <w:color w:val="auto"/>
          <w:sz w:val="24"/>
          <w:lang w:eastAsia="zh-CN"/>
        </w:rPr>
        <w:t>交易文件</w:t>
      </w:r>
      <w:r>
        <w:rPr>
          <w:rFonts w:hint="eastAsia" w:hAnsi="宋体"/>
          <w:color w:val="auto"/>
          <w:sz w:val="24"/>
        </w:rPr>
        <w:t>、采购过程和成交结果使自己的权益受到损害的，可以在知道或者应知其权益受到损害之日</w:t>
      </w:r>
      <w:r>
        <w:rPr>
          <w:rFonts w:hint="eastAsia" w:hAnsi="宋体"/>
          <w:color w:val="auto"/>
          <w:sz w:val="24"/>
          <w:highlight w:val="none"/>
        </w:rPr>
        <w:t>起</w:t>
      </w:r>
      <w:r>
        <w:rPr>
          <w:rFonts w:hint="eastAsia" w:hAnsi="宋体"/>
          <w:color w:val="auto"/>
          <w:sz w:val="24"/>
          <w:highlight w:val="none"/>
          <w:lang w:val="en-US" w:eastAsia="zh-CN"/>
        </w:rPr>
        <w:t>三</w:t>
      </w:r>
      <w:r>
        <w:rPr>
          <w:rFonts w:hint="eastAsia" w:hAnsi="宋体"/>
          <w:color w:val="auto"/>
          <w:sz w:val="24"/>
          <w:highlight w:val="none"/>
        </w:rPr>
        <w:t>个工作日内，以书面形式向</w:t>
      </w:r>
      <w:r>
        <w:rPr>
          <w:rFonts w:hint="eastAsia" w:hAnsi="宋体"/>
          <w:color w:val="auto"/>
          <w:sz w:val="24"/>
          <w:highlight w:val="none"/>
          <w:lang w:eastAsia="zh-CN"/>
        </w:rPr>
        <w:t>交易发起人</w:t>
      </w:r>
      <w:r>
        <w:rPr>
          <w:rFonts w:hint="eastAsia" w:hAnsi="宋体"/>
          <w:color w:val="auto"/>
          <w:sz w:val="24"/>
          <w:highlight w:val="none"/>
        </w:rPr>
        <w:t>或者采购机构提出质疑，否则，</w:t>
      </w:r>
      <w:r>
        <w:rPr>
          <w:rFonts w:hint="eastAsia" w:hAnsi="宋体"/>
          <w:color w:val="auto"/>
          <w:sz w:val="24"/>
          <w:highlight w:val="none"/>
          <w:lang w:eastAsia="zh-CN"/>
        </w:rPr>
        <w:t>交易发起人</w:t>
      </w:r>
      <w:r>
        <w:rPr>
          <w:rFonts w:hint="eastAsia" w:hAnsi="宋体"/>
          <w:color w:val="auto"/>
          <w:sz w:val="24"/>
          <w:highlight w:val="none"/>
        </w:rPr>
        <w:t>或者采购机构不予受理。</w:t>
      </w:r>
    </w:p>
    <w:p w14:paraId="1CE4E49E">
      <w:pPr>
        <w:pStyle w:val="886"/>
        <w:shd w:val="clear" w:color="auto" w:fill="FFFFFF"/>
        <w:snapToGrid w:val="0"/>
        <w:spacing w:before="0" w:beforeAutospacing="0" w:after="0" w:afterAutospacing="0" w:line="360" w:lineRule="auto"/>
        <w:ind w:firstLine="403"/>
        <w:contextualSpacing/>
        <w:rPr>
          <w:color w:val="auto"/>
        </w:rPr>
      </w:pPr>
      <w:r>
        <w:rPr>
          <w:rFonts w:hint="eastAsia" w:cs="微软雅黑"/>
          <w:color w:val="auto"/>
          <w:highlight w:val="none"/>
          <w:lang w:val="en-US" w:eastAsia="zh-CN"/>
        </w:rPr>
        <w:t>3</w:t>
      </w:r>
      <w:r>
        <w:rPr>
          <w:rFonts w:hint="eastAsia" w:cs="微软雅黑"/>
          <w:color w:val="auto"/>
          <w:highlight w:val="none"/>
          <w:lang w:val="zh-CN"/>
        </w:rPr>
        <w:t>.2</w:t>
      </w:r>
      <w:r>
        <w:rPr>
          <w:rFonts w:hint="eastAsia"/>
          <w:color w:val="auto"/>
          <w:highlight w:val="none"/>
        </w:rPr>
        <w:t>.3</w:t>
      </w:r>
      <w:r>
        <w:rPr>
          <w:rFonts w:hint="eastAsia"/>
          <w:color w:val="auto"/>
          <w:highlight w:val="none"/>
          <w:lang w:eastAsia="zh-CN"/>
        </w:rPr>
        <w:t>交易发起人</w:t>
      </w:r>
      <w:r>
        <w:rPr>
          <w:rFonts w:hint="eastAsia"/>
          <w:color w:val="auto"/>
          <w:highlight w:val="none"/>
        </w:rPr>
        <w:t>或者采购机构应当在收到供应商的书面质疑后</w:t>
      </w:r>
      <w:r>
        <w:rPr>
          <w:rFonts w:hint="eastAsia" w:hAnsi="宋体"/>
          <w:color w:val="auto"/>
          <w:sz w:val="24"/>
          <w:highlight w:val="none"/>
          <w:lang w:val="en-US" w:eastAsia="zh-CN"/>
        </w:rPr>
        <w:t>三</w:t>
      </w:r>
      <w:r>
        <w:rPr>
          <w:rFonts w:hint="eastAsia"/>
          <w:color w:val="auto"/>
          <w:highlight w:val="none"/>
        </w:rPr>
        <w:t>个工作日</w:t>
      </w:r>
      <w:r>
        <w:rPr>
          <w:rFonts w:hint="eastAsia"/>
          <w:color w:val="auto"/>
        </w:rPr>
        <w:t>内作出答复，并以书面形式通知质疑供应商和其他与质疑处理结果有利害关系的采购当事人，但答复的内容不得涉及商业秘密。</w:t>
      </w:r>
    </w:p>
    <w:p w14:paraId="159604AF">
      <w:pPr>
        <w:pStyle w:val="886"/>
        <w:shd w:val="clear" w:color="auto" w:fill="FFFFFF"/>
        <w:snapToGrid w:val="0"/>
        <w:spacing w:after="240" w:afterAutospacing="0" w:line="360" w:lineRule="auto"/>
        <w:ind w:firstLine="480"/>
        <w:contextualSpacing/>
        <w:rPr>
          <w:color w:val="auto"/>
        </w:rPr>
      </w:pPr>
      <w:r>
        <w:rPr>
          <w:rFonts w:hint="eastAsia" w:cs="微软雅黑"/>
          <w:color w:val="auto"/>
          <w:lang w:val="en-US" w:eastAsia="zh-CN"/>
        </w:rPr>
        <w:t>3</w:t>
      </w:r>
      <w:r>
        <w:rPr>
          <w:rFonts w:hint="eastAsia" w:cs="微软雅黑"/>
          <w:color w:val="auto"/>
          <w:lang w:val="zh-CN"/>
        </w:rPr>
        <w:t>.2</w:t>
      </w:r>
      <w:r>
        <w:rPr>
          <w:rFonts w:hint="eastAsia"/>
          <w:color w:val="auto"/>
        </w:rPr>
        <w:t>.4询问或者质疑事项可能影响采购结果的，</w:t>
      </w:r>
      <w:r>
        <w:rPr>
          <w:rFonts w:hint="eastAsia"/>
          <w:color w:val="auto"/>
          <w:lang w:eastAsia="zh-CN"/>
        </w:rPr>
        <w:t>交易发起人</w:t>
      </w:r>
      <w:r>
        <w:rPr>
          <w:rFonts w:hint="eastAsia"/>
          <w:color w:val="auto"/>
        </w:rPr>
        <w:t>应当暂停签订合同，已经签订合同的，应当中止履行合同。</w:t>
      </w:r>
    </w:p>
    <w:p w14:paraId="2D640C73">
      <w:pPr>
        <w:pStyle w:val="128"/>
        <w:snapToGrid w:val="0"/>
        <w:spacing w:before="0"/>
        <w:ind w:firstLine="360"/>
        <w:rPr>
          <w:rFonts w:ascii="宋体" w:hAnsi="宋体" w:cs="宋体"/>
          <w:color w:val="auto"/>
          <w:sz w:val="18"/>
          <w:szCs w:val="18"/>
        </w:rPr>
      </w:pPr>
    </w:p>
    <w:p w14:paraId="393189AF">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w:t>
      </w:r>
      <w:r>
        <w:rPr>
          <w:rFonts w:hint="eastAsia" w:ascii="宋体" w:hAnsi="宋体" w:cs="宋体"/>
          <w:b/>
          <w:color w:val="auto"/>
          <w:sz w:val="32"/>
          <w:szCs w:val="20"/>
          <w:lang w:eastAsia="zh-CN"/>
        </w:rPr>
        <w:t>交易文件</w:t>
      </w:r>
      <w:r>
        <w:rPr>
          <w:rFonts w:hint="eastAsia" w:ascii="宋体" w:hAnsi="宋体" w:cs="宋体"/>
          <w:b/>
          <w:color w:val="auto"/>
          <w:sz w:val="32"/>
          <w:szCs w:val="20"/>
        </w:rPr>
        <w:t>的构成、澄清、修改</w:t>
      </w:r>
    </w:p>
    <w:p w14:paraId="42DD71F1">
      <w:pPr>
        <w:pStyle w:val="32"/>
        <w:spacing w:line="360" w:lineRule="auto"/>
        <w:rPr>
          <w:rFonts w:hAnsi="宋体" w:cs="宋体"/>
          <w:b/>
          <w:color w:val="auto"/>
          <w:sz w:val="24"/>
          <w:szCs w:val="24"/>
        </w:rPr>
      </w:pPr>
      <w:r>
        <w:rPr>
          <w:rFonts w:hint="eastAsia" w:hAnsi="宋体" w:cs="宋体"/>
          <w:b/>
          <w:color w:val="auto"/>
          <w:sz w:val="24"/>
          <w:szCs w:val="24"/>
          <w:lang w:val="en-US" w:eastAsia="zh-CN"/>
        </w:rPr>
        <w:t>4</w:t>
      </w:r>
      <w:r>
        <w:rPr>
          <w:rFonts w:hint="eastAsia" w:hAnsi="宋体" w:cs="宋体"/>
          <w:b/>
          <w:color w:val="auto"/>
          <w:sz w:val="24"/>
          <w:szCs w:val="24"/>
        </w:rPr>
        <w:t>．</w:t>
      </w:r>
      <w:r>
        <w:rPr>
          <w:rFonts w:hint="eastAsia" w:hAnsi="宋体" w:cs="宋体"/>
          <w:b/>
          <w:color w:val="auto"/>
          <w:sz w:val="24"/>
          <w:szCs w:val="24"/>
          <w:lang w:eastAsia="zh-CN"/>
        </w:rPr>
        <w:t>交易文件</w:t>
      </w:r>
      <w:r>
        <w:rPr>
          <w:rFonts w:hint="eastAsia" w:hAnsi="宋体" w:cs="宋体"/>
          <w:b/>
          <w:color w:val="auto"/>
          <w:sz w:val="24"/>
          <w:szCs w:val="24"/>
        </w:rPr>
        <w:t>的构成</w:t>
      </w:r>
    </w:p>
    <w:p w14:paraId="17BB84D9">
      <w:pPr>
        <w:pStyle w:val="32"/>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 xml:space="preserve">.1 </w:t>
      </w:r>
      <w:r>
        <w:rPr>
          <w:rFonts w:hint="eastAsia" w:hAnsi="宋体" w:cs="宋体"/>
          <w:color w:val="auto"/>
          <w:sz w:val="24"/>
          <w:szCs w:val="24"/>
          <w:lang w:eastAsia="zh-CN"/>
        </w:rPr>
        <w:t>交易文件</w:t>
      </w:r>
      <w:r>
        <w:rPr>
          <w:rFonts w:hint="eastAsia" w:hAnsi="宋体" w:cs="宋体"/>
          <w:color w:val="auto"/>
          <w:sz w:val="24"/>
          <w:szCs w:val="24"/>
        </w:rPr>
        <w:t>包括下列文件及附件：</w:t>
      </w:r>
    </w:p>
    <w:p w14:paraId="682E23E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1.1</w:t>
      </w:r>
      <w:r>
        <w:rPr>
          <w:rFonts w:hint="eastAsia" w:hAnsi="宋体" w:cs="宋体"/>
          <w:color w:val="auto"/>
          <w:sz w:val="24"/>
          <w:szCs w:val="24"/>
          <w:lang w:eastAsia="zh-CN"/>
        </w:rPr>
        <w:t>交易</w:t>
      </w:r>
      <w:r>
        <w:rPr>
          <w:rFonts w:hint="eastAsia" w:hAnsi="宋体" w:cs="宋体"/>
          <w:color w:val="auto"/>
          <w:sz w:val="24"/>
          <w:szCs w:val="24"/>
        </w:rPr>
        <w:t>公告；</w:t>
      </w:r>
    </w:p>
    <w:p w14:paraId="4327004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1.2</w:t>
      </w:r>
      <w:r>
        <w:rPr>
          <w:rFonts w:hint="eastAsia" w:hAnsi="宋体" w:cs="宋体"/>
          <w:color w:val="auto"/>
          <w:sz w:val="24"/>
          <w:szCs w:val="24"/>
          <w:lang w:eastAsia="zh-CN"/>
        </w:rPr>
        <w:t>供应商</w:t>
      </w:r>
      <w:r>
        <w:rPr>
          <w:rFonts w:hint="eastAsia" w:hAnsi="宋体" w:cs="宋体"/>
          <w:color w:val="auto"/>
          <w:sz w:val="24"/>
          <w:szCs w:val="24"/>
        </w:rPr>
        <w:t>须知；</w:t>
      </w:r>
    </w:p>
    <w:p w14:paraId="1765593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1.3采购需求；</w:t>
      </w:r>
    </w:p>
    <w:p w14:paraId="0294AA4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1.4评标办法；</w:t>
      </w:r>
    </w:p>
    <w:p w14:paraId="7E3DC59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1.5拟签订的合同文本；</w:t>
      </w:r>
    </w:p>
    <w:p w14:paraId="3F988BD9">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lang w:eastAsia="zh-CN"/>
        </w:rPr>
        <w:t>4.</w:t>
      </w:r>
      <w:r>
        <w:rPr>
          <w:rFonts w:hint="eastAsia" w:hAnsi="宋体" w:cs="宋体"/>
          <w:color w:val="auto"/>
          <w:sz w:val="24"/>
        </w:rPr>
        <w:t>1.6</w:t>
      </w:r>
      <w:r>
        <w:rPr>
          <w:rFonts w:hint="eastAsia" w:hAnsi="宋体" w:cs="宋体"/>
          <w:color w:val="auto"/>
          <w:sz w:val="24"/>
          <w:szCs w:val="24"/>
        </w:rPr>
        <w:t>应提交的有关格式范例。</w:t>
      </w:r>
    </w:p>
    <w:p w14:paraId="4ECAE95B">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2与本项目有关的</w:t>
      </w:r>
      <w:r>
        <w:rPr>
          <w:rFonts w:hint="eastAsia" w:ascii="宋体" w:hAnsi="宋体" w:cs="宋体"/>
          <w:bCs/>
          <w:color w:val="auto"/>
          <w:sz w:val="24"/>
        </w:rPr>
        <w:t>澄清或者修改的内容为</w:t>
      </w:r>
      <w:r>
        <w:rPr>
          <w:rFonts w:hint="eastAsia" w:ascii="宋体" w:hAnsi="宋体" w:cs="宋体"/>
          <w:bCs/>
          <w:color w:val="auto"/>
          <w:sz w:val="24"/>
          <w:lang w:eastAsia="zh-CN"/>
        </w:rPr>
        <w:t>交易文件</w:t>
      </w:r>
      <w:r>
        <w:rPr>
          <w:rFonts w:hint="eastAsia" w:ascii="宋体" w:hAnsi="宋体" w:cs="宋体"/>
          <w:bCs/>
          <w:color w:val="auto"/>
          <w:sz w:val="24"/>
        </w:rPr>
        <w:t>的组成部分</w:t>
      </w:r>
      <w:r>
        <w:rPr>
          <w:rFonts w:hint="eastAsia" w:ascii="宋体" w:hAnsi="宋体" w:cs="宋体"/>
          <w:color w:val="auto"/>
          <w:sz w:val="24"/>
        </w:rPr>
        <w:t>。</w:t>
      </w:r>
    </w:p>
    <w:p w14:paraId="2A6F17EE">
      <w:pPr>
        <w:pStyle w:val="32"/>
        <w:spacing w:line="360" w:lineRule="auto"/>
        <w:rPr>
          <w:rFonts w:hAnsi="宋体" w:cs="宋体"/>
          <w:b/>
          <w:color w:val="auto"/>
          <w:sz w:val="24"/>
          <w:szCs w:val="24"/>
        </w:rPr>
      </w:pPr>
      <w:r>
        <w:rPr>
          <w:rFonts w:hint="eastAsia" w:hAnsi="宋体" w:cs="宋体"/>
          <w:b/>
          <w:color w:val="auto"/>
          <w:sz w:val="24"/>
          <w:szCs w:val="24"/>
          <w:lang w:val="en-US" w:eastAsia="zh-CN"/>
        </w:rPr>
        <w:t>5</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的澄清、修改</w:t>
      </w:r>
    </w:p>
    <w:p w14:paraId="07EFB951">
      <w:pPr>
        <w:pStyle w:val="128"/>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.1已获取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，若有问题需要澄清，应于</w:t>
      </w:r>
      <w:r>
        <w:rPr>
          <w:rFonts w:hint="eastAsia" w:ascii="宋体" w:hAnsi="宋体" w:cs="宋体"/>
          <w:color w:val="auto"/>
          <w:lang w:eastAsia="zh-CN"/>
        </w:rPr>
        <w:t>响应截止</w:t>
      </w:r>
      <w:r>
        <w:rPr>
          <w:rFonts w:hint="eastAsia" w:ascii="宋体" w:hAnsi="宋体" w:cs="宋体"/>
          <w:color w:val="auto"/>
        </w:rPr>
        <w:t>时间前，以书面形式向</w:t>
      </w:r>
      <w:r>
        <w:rPr>
          <w:rFonts w:hint="eastAsia" w:ascii="宋体" w:hAnsi="宋体" w:cs="宋体"/>
          <w:color w:val="auto"/>
          <w:lang w:eastAsia="zh-CN"/>
        </w:rPr>
        <w:t>代理机构</w:t>
      </w:r>
      <w:r>
        <w:rPr>
          <w:rFonts w:hint="eastAsia" w:ascii="宋体" w:hAnsi="宋体" w:cs="宋体"/>
          <w:color w:val="auto"/>
        </w:rPr>
        <w:t>提出。</w:t>
      </w:r>
    </w:p>
    <w:p w14:paraId="578FA2C8">
      <w:pPr>
        <w:pStyle w:val="128"/>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 xml:space="preserve">.2 </w:t>
      </w:r>
      <w:r>
        <w:rPr>
          <w:rFonts w:hint="eastAsia" w:ascii="宋体" w:hAnsi="宋体" w:cs="宋体"/>
          <w:color w:val="auto"/>
          <w:lang w:eastAsia="zh-CN"/>
        </w:rPr>
        <w:t>代理机构</w:t>
      </w:r>
      <w:r>
        <w:rPr>
          <w:rFonts w:hint="eastAsia" w:ascii="宋体" w:hAnsi="宋体" w:cs="宋体"/>
          <w:color w:val="auto"/>
        </w:rPr>
        <w:t>对</w:t>
      </w:r>
      <w:r>
        <w:rPr>
          <w:rFonts w:hint="eastAsia" w:ascii="宋体" w:hAnsi="宋体" w:cs="宋体"/>
          <w:color w:val="auto"/>
          <w:lang w:eastAsia="zh-CN"/>
        </w:rPr>
        <w:t>交易文件</w:t>
      </w:r>
      <w:r>
        <w:rPr>
          <w:rFonts w:hint="eastAsia" w:ascii="宋体" w:hAnsi="宋体" w:cs="宋体"/>
          <w:color w:val="auto"/>
        </w:rPr>
        <w:t>进行澄清或修改的，将同时通过电子交易平台通知已获取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。依法应当公告的，将按规定公告，同时视情况延长</w:t>
      </w:r>
      <w:r>
        <w:rPr>
          <w:rFonts w:hint="eastAsia" w:ascii="宋体" w:hAnsi="宋体" w:cs="宋体"/>
          <w:color w:val="auto"/>
          <w:lang w:eastAsia="zh-CN"/>
        </w:rPr>
        <w:t>响应截止</w:t>
      </w:r>
      <w:r>
        <w:rPr>
          <w:rFonts w:hint="eastAsia" w:ascii="宋体" w:hAnsi="宋体" w:cs="宋体"/>
          <w:color w:val="auto"/>
        </w:rPr>
        <w:t>时间和开标时间。该澄清或者修改的内容为</w:t>
      </w:r>
      <w:r>
        <w:rPr>
          <w:rFonts w:hint="eastAsia" w:ascii="宋体" w:hAnsi="宋体" w:cs="宋体"/>
          <w:color w:val="auto"/>
          <w:lang w:eastAsia="zh-CN"/>
        </w:rPr>
        <w:t>交易文件</w:t>
      </w:r>
      <w:r>
        <w:rPr>
          <w:rFonts w:hint="eastAsia" w:ascii="宋体" w:hAnsi="宋体" w:cs="宋体"/>
          <w:color w:val="auto"/>
        </w:rPr>
        <w:t>的组成部分。</w:t>
      </w:r>
    </w:p>
    <w:p w14:paraId="6DBF3C81">
      <w:pPr>
        <w:spacing w:line="360" w:lineRule="auto"/>
        <w:ind w:firstLine="420" w:firstLineChars="200"/>
        <w:rPr>
          <w:rFonts w:ascii="宋体" w:hAnsi="宋体" w:cs="宋体"/>
          <w:b/>
          <w:color w:val="auto"/>
          <w:sz w:val="24"/>
          <w:szCs w:val="21"/>
        </w:rPr>
      </w:pPr>
      <w:r>
        <w:rPr>
          <w:rFonts w:hint="eastAsia" w:hAnsi="宋体" w:cs="宋体"/>
          <w:color w:val="auto"/>
        </w:rPr>
        <w:t xml:space="preserve"> </w:t>
      </w:r>
      <w:r>
        <w:rPr>
          <w:rFonts w:hint="eastAsia" w:ascii="宋体" w:hAnsi="宋体" w:cs="宋体"/>
          <w:b/>
          <w:color w:val="auto"/>
          <w:sz w:val="24"/>
        </w:rPr>
        <w:t>▲</w:t>
      </w:r>
      <w:r>
        <w:rPr>
          <w:rFonts w:hint="eastAsia" w:ascii="宋体" w:hAnsi="宋体" w:cs="宋体"/>
          <w:b/>
          <w:color w:val="auto"/>
          <w:sz w:val="24"/>
          <w:szCs w:val="21"/>
          <w:lang w:eastAsia="zh-CN"/>
        </w:rPr>
        <w:t>响应文件</w:t>
      </w:r>
      <w:r>
        <w:rPr>
          <w:rFonts w:hint="eastAsia" w:ascii="宋体" w:hAnsi="宋体" w:cs="宋体"/>
          <w:b/>
          <w:color w:val="auto"/>
          <w:sz w:val="24"/>
          <w:szCs w:val="21"/>
        </w:rPr>
        <w:t>未按</w:t>
      </w:r>
      <w:r>
        <w:rPr>
          <w:rFonts w:hint="eastAsia" w:ascii="宋体" w:hAnsi="宋体" w:cs="宋体"/>
          <w:b/>
          <w:color w:val="auto"/>
          <w:sz w:val="24"/>
          <w:szCs w:val="21"/>
          <w:lang w:eastAsia="zh-CN"/>
        </w:rPr>
        <w:t>交易文件</w:t>
      </w:r>
      <w:r>
        <w:rPr>
          <w:rFonts w:hint="eastAsia" w:ascii="宋体" w:hAnsi="宋体" w:cs="宋体"/>
          <w:b/>
          <w:color w:val="auto"/>
          <w:sz w:val="24"/>
          <w:szCs w:val="21"/>
        </w:rPr>
        <w:t>更正、补遗公告的澄清、修改的内容编制，又不符合实质性要求的，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502CF310">
      <w:pPr>
        <w:pStyle w:val="23"/>
        <w:rPr>
          <w:rFonts w:hAnsi="宋体" w:cs="宋体"/>
          <w:color w:val="auto"/>
          <w:sz w:val="18"/>
          <w:szCs w:val="18"/>
          <w:lang w:val="en-US"/>
        </w:rPr>
      </w:pPr>
    </w:p>
    <w:p w14:paraId="090DB22A">
      <w:pPr>
        <w:adjustRightInd/>
        <w:spacing w:line="360" w:lineRule="auto"/>
        <w:jc w:val="center"/>
        <w:outlineLvl w:val="0"/>
        <w:rPr>
          <w:rFonts w:hint="eastAsia" w:ascii="宋体" w:hAnsi="宋体" w:eastAsia="宋体" w:cs="宋体"/>
          <w:b/>
          <w:color w:val="auto"/>
          <w:sz w:val="30"/>
          <w:szCs w:val="20"/>
          <w:lang w:val="en-US" w:eastAsia="zh-CN"/>
        </w:rPr>
      </w:pPr>
      <w:r>
        <w:rPr>
          <w:rFonts w:hint="eastAsia" w:ascii="宋体" w:hAnsi="宋体" w:cs="宋体"/>
          <w:b/>
          <w:color w:val="auto"/>
          <w:sz w:val="30"/>
          <w:szCs w:val="20"/>
        </w:rPr>
        <w:t>三、</w:t>
      </w:r>
      <w:r>
        <w:rPr>
          <w:rFonts w:hint="eastAsia" w:ascii="宋体" w:hAnsi="宋体" w:cs="宋体"/>
          <w:b/>
          <w:color w:val="auto"/>
          <w:sz w:val="30"/>
          <w:szCs w:val="20"/>
          <w:lang w:val="en-US" w:eastAsia="zh-CN"/>
        </w:rPr>
        <w:t>交易</w:t>
      </w:r>
    </w:p>
    <w:p w14:paraId="1A2A2D00">
      <w:pPr>
        <w:pStyle w:val="32"/>
        <w:spacing w:line="360" w:lineRule="auto"/>
        <w:rPr>
          <w:rFonts w:hAnsi="宋体" w:cs="宋体"/>
          <w:b/>
          <w:color w:val="auto"/>
          <w:sz w:val="24"/>
          <w:szCs w:val="24"/>
        </w:rPr>
      </w:pPr>
      <w:r>
        <w:rPr>
          <w:rFonts w:hint="eastAsia" w:hAnsi="宋体" w:cs="宋体"/>
          <w:b/>
          <w:color w:val="auto"/>
          <w:sz w:val="24"/>
          <w:szCs w:val="24"/>
          <w:lang w:val="en-US" w:eastAsia="zh-CN"/>
        </w:rPr>
        <w:t>6</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的获取</w:t>
      </w:r>
    </w:p>
    <w:p w14:paraId="34D715D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w:t>
      </w:r>
      <w:r>
        <w:rPr>
          <w:rFonts w:hint="eastAsia" w:ascii="宋体" w:hAnsi="宋体" w:cs="宋体"/>
          <w:snapToGrid w:val="0"/>
          <w:color w:val="auto"/>
          <w:kern w:val="28"/>
          <w:sz w:val="24"/>
          <w:lang w:eastAsia="zh-CN"/>
        </w:rPr>
        <w:t>交易</w:t>
      </w:r>
      <w:r>
        <w:rPr>
          <w:rFonts w:hint="eastAsia" w:ascii="宋体" w:hAnsi="宋体" w:cs="宋体"/>
          <w:snapToGrid w:val="0"/>
          <w:color w:val="auto"/>
          <w:kern w:val="28"/>
          <w:sz w:val="24"/>
        </w:rPr>
        <w:t>公告中获取</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的时间期限、地点、方式及</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售价。</w:t>
      </w:r>
    </w:p>
    <w:p w14:paraId="01F9FF98">
      <w:pPr>
        <w:pStyle w:val="2"/>
        <w:ind w:left="210" w:leftChars="100" w:firstLine="241" w:firstLineChars="1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▲未按照公告要求完成</w:t>
      </w:r>
      <w:r>
        <w:rPr>
          <w:rFonts w:hint="eastAsia" w:asciiTheme="minorEastAsia" w:hAnsiTheme="minorEastAsia" w:eastAsiaTheme="minorEastAsia"/>
          <w:color w:val="auto"/>
          <w:sz w:val="24"/>
          <w:szCs w:val="24"/>
          <w:lang w:val="en-US" w:eastAsia="zh-CN"/>
        </w:rPr>
        <w:t>交易文件</w:t>
      </w:r>
      <w:r>
        <w:rPr>
          <w:rFonts w:hint="eastAsia" w:asciiTheme="minorEastAsia" w:hAnsiTheme="minorEastAsia" w:eastAsiaTheme="minorEastAsia"/>
          <w:color w:val="auto"/>
          <w:sz w:val="24"/>
          <w:szCs w:val="24"/>
          <w:lang w:val="en-US"/>
        </w:rPr>
        <w:t>获取的，</w:t>
      </w:r>
      <w:r>
        <w:rPr>
          <w:rFonts w:hint="eastAsia" w:asciiTheme="minorEastAsia" w:hAnsiTheme="minorEastAsia" w:eastAsiaTheme="minorEastAsia"/>
          <w:color w:val="auto"/>
          <w:sz w:val="24"/>
          <w:szCs w:val="24"/>
          <w:lang w:val="en-US" w:eastAsia="zh-CN"/>
        </w:rPr>
        <w:t>响应</w:t>
      </w:r>
      <w:r>
        <w:rPr>
          <w:rFonts w:hint="eastAsia" w:asciiTheme="minorEastAsia" w:hAnsiTheme="minorEastAsia" w:eastAsiaTheme="minorEastAsia"/>
          <w:color w:val="auto"/>
          <w:sz w:val="24"/>
          <w:szCs w:val="24"/>
          <w:lang w:val="en-US"/>
        </w:rPr>
        <w:t>无效。</w:t>
      </w:r>
    </w:p>
    <w:p w14:paraId="7CF0ADDD">
      <w:pPr>
        <w:pStyle w:val="32"/>
        <w:spacing w:line="360" w:lineRule="auto"/>
        <w:rPr>
          <w:rFonts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.开标前答疑会或现场考察</w:t>
      </w:r>
    </w:p>
    <w:p w14:paraId="12DBD05B">
      <w:pPr>
        <w:pStyle w:val="32"/>
        <w:spacing w:line="360" w:lineRule="auto"/>
        <w:ind w:firstLine="480" w:firstLineChars="200"/>
        <w:rPr>
          <w:rFonts w:hAnsi="宋体" w:cs="宋体"/>
          <w:b/>
          <w:bCs/>
          <w:color w:val="auto"/>
          <w:sz w:val="24"/>
          <w:szCs w:val="24"/>
        </w:rPr>
      </w:pPr>
      <w:r>
        <w:rPr>
          <w:rFonts w:hint="eastAsia" w:hAnsi="宋体" w:cs="宋体"/>
          <w:color w:val="auto"/>
          <w:sz w:val="24"/>
          <w:szCs w:val="24"/>
          <w:lang w:eastAsia="zh-CN"/>
        </w:rPr>
        <w:t>交易发起人</w:t>
      </w:r>
      <w:r>
        <w:rPr>
          <w:rFonts w:hint="eastAsia" w:hAnsi="宋体" w:cs="宋体"/>
          <w:color w:val="auto"/>
          <w:sz w:val="24"/>
          <w:szCs w:val="24"/>
        </w:rPr>
        <w:t>组织潜在</w:t>
      </w:r>
      <w:r>
        <w:rPr>
          <w:rFonts w:hint="eastAsia" w:hAnsi="宋体" w:cs="宋体"/>
          <w:color w:val="auto"/>
          <w:sz w:val="24"/>
          <w:szCs w:val="24"/>
          <w:lang w:eastAsia="zh-CN"/>
        </w:rPr>
        <w:t>供应商</w:t>
      </w:r>
      <w:r>
        <w:rPr>
          <w:rFonts w:hint="eastAsia" w:hAnsi="宋体" w:cs="宋体"/>
          <w:color w:val="auto"/>
          <w:sz w:val="24"/>
          <w:szCs w:val="24"/>
        </w:rPr>
        <w:t>现场考察或者召开开标前答疑会的，潜在</w:t>
      </w:r>
      <w:r>
        <w:rPr>
          <w:rFonts w:hint="eastAsia" w:hAnsi="宋体" w:cs="宋体"/>
          <w:color w:val="auto"/>
          <w:sz w:val="24"/>
          <w:szCs w:val="24"/>
          <w:lang w:eastAsia="zh-CN"/>
        </w:rPr>
        <w:t>供应商</w:t>
      </w:r>
      <w:r>
        <w:rPr>
          <w:rFonts w:hint="eastAsia" w:hAnsi="宋体" w:cs="宋体"/>
          <w:color w:val="auto"/>
          <w:sz w:val="24"/>
          <w:szCs w:val="24"/>
        </w:rPr>
        <w:t>按第二部分</w:t>
      </w:r>
      <w:r>
        <w:rPr>
          <w:rFonts w:hint="eastAsia" w:hAnsi="宋体" w:cs="宋体"/>
          <w:color w:val="auto"/>
          <w:sz w:val="24"/>
          <w:szCs w:val="24"/>
          <w:lang w:eastAsia="zh-CN"/>
        </w:rPr>
        <w:t>供应商</w:t>
      </w:r>
      <w:r>
        <w:rPr>
          <w:rFonts w:hint="eastAsia" w:hAnsi="宋体" w:cs="宋体"/>
          <w:color w:val="auto"/>
          <w:sz w:val="24"/>
          <w:szCs w:val="24"/>
        </w:rPr>
        <w:t>须知前附表的规定参加现场考察或者开标前答疑会。</w:t>
      </w:r>
      <w:r>
        <w:rPr>
          <w:rFonts w:hint="eastAsia" w:hAnsi="宋体" w:cs="宋体"/>
          <w:b/>
          <w:bCs/>
          <w:color w:val="auto"/>
          <w:sz w:val="24"/>
          <w:szCs w:val="24"/>
          <w:lang w:eastAsia="zh-CN"/>
        </w:rPr>
        <w:t>交易发起人</w:t>
      </w:r>
      <w:r>
        <w:rPr>
          <w:rFonts w:hint="eastAsia" w:hAnsi="宋体" w:cs="宋体"/>
          <w:b/>
          <w:bCs/>
          <w:color w:val="auto"/>
          <w:sz w:val="24"/>
          <w:szCs w:val="24"/>
        </w:rPr>
        <w:t>不单独或分别组织只有一个供应商参加的现场考察和答疑会。</w:t>
      </w:r>
    </w:p>
    <w:p w14:paraId="265B2D5A">
      <w:pPr>
        <w:pStyle w:val="32"/>
        <w:spacing w:line="360" w:lineRule="auto"/>
        <w:rPr>
          <w:rFonts w:hAnsi="宋体" w:cs="宋体"/>
          <w:b/>
          <w:color w:val="auto"/>
          <w:szCs w:val="24"/>
        </w:rPr>
      </w:pPr>
      <w:r>
        <w:rPr>
          <w:rFonts w:hint="eastAsia" w:hAnsi="宋体" w:cs="宋体"/>
          <w:b/>
          <w:color w:val="auto"/>
          <w:kern w:val="28"/>
          <w:sz w:val="24"/>
          <w:szCs w:val="24"/>
          <w:lang w:val="en-US" w:eastAsia="zh-CN"/>
        </w:rPr>
        <w:t>8</w:t>
      </w:r>
      <w:r>
        <w:rPr>
          <w:rFonts w:hint="eastAsia" w:hAnsi="宋体" w:cs="宋体"/>
          <w:b/>
          <w:color w:val="auto"/>
          <w:kern w:val="28"/>
          <w:sz w:val="24"/>
          <w:szCs w:val="24"/>
        </w:rPr>
        <w:t>.</w:t>
      </w:r>
      <w:r>
        <w:rPr>
          <w:rFonts w:hint="eastAsia" w:hAnsi="宋体" w:cs="宋体"/>
          <w:b/>
          <w:color w:val="auto"/>
          <w:kern w:val="28"/>
          <w:sz w:val="24"/>
          <w:szCs w:val="24"/>
          <w:lang w:eastAsia="zh-CN"/>
        </w:rPr>
        <w:t>响应</w:t>
      </w:r>
      <w:r>
        <w:rPr>
          <w:rFonts w:hint="eastAsia" w:hAnsi="宋体" w:cs="宋体"/>
          <w:b/>
          <w:color w:val="auto"/>
          <w:kern w:val="28"/>
          <w:sz w:val="24"/>
          <w:szCs w:val="24"/>
        </w:rPr>
        <w:t>保证金</w:t>
      </w:r>
    </w:p>
    <w:p w14:paraId="0D054F5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w:t>
      </w:r>
      <w:r>
        <w:rPr>
          <w:rFonts w:hint="eastAsia" w:hAnsi="宋体" w:cs="宋体"/>
          <w:color w:val="auto"/>
          <w:sz w:val="24"/>
          <w:highlight w:val="none"/>
          <w:lang w:val="en-US" w:eastAsia="zh-CN"/>
        </w:rPr>
        <w:t>收取</w:t>
      </w:r>
      <w:r>
        <w:rPr>
          <w:rFonts w:hint="eastAsia" w:hAnsi="宋体" w:cs="宋体"/>
          <w:color w:val="auto"/>
          <w:sz w:val="24"/>
          <w:highlight w:val="none"/>
          <w:lang w:eastAsia="zh-CN"/>
        </w:rPr>
        <w:t>响应</w:t>
      </w:r>
      <w:r>
        <w:rPr>
          <w:rFonts w:hint="eastAsia" w:hAnsi="宋体" w:cs="宋体"/>
          <w:color w:val="auto"/>
          <w:sz w:val="24"/>
          <w:highlight w:val="none"/>
        </w:rPr>
        <w:t>保证金。</w:t>
      </w:r>
    </w:p>
    <w:p w14:paraId="752F70EA">
      <w:pPr>
        <w:pStyle w:val="32"/>
        <w:spacing w:line="360" w:lineRule="auto"/>
        <w:rPr>
          <w:rFonts w:hAnsi="宋体" w:cs="宋体"/>
          <w:b/>
          <w:color w:val="auto"/>
          <w:sz w:val="24"/>
          <w:szCs w:val="24"/>
        </w:rPr>
      </w:pPr>
      <w:r>
        <w:rPr>
          <w:rFonts w:hint="eastAsia" w:hAnsi="宋体" w:cs="宋体"/>
          <w:b/>
          <w:color w:val="auto"/>
          <w:sz w:val="24"/>
          <w:szCs w:val="24"/>
          <w:lang w:val="en-US" w:eastAsia="zh-CN"/>
        </w:rPr>
        <w:t>9</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的语言</w:t>
      </w:r>
    </w:p>
    <w:p w14:paraId="3C51CE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lang w:eastAsia="zh-CN"/>
        </w:rPr>
        <w:t>响应文件</w:t>
      </w:r>
      <w:r>
        <w:rPr>
          <w:rFonts w:hint="eastAsia" w:ascii="宋体" w:hAnsi="宋体" w:cs="宋体"/>
          <w:color w:val="auto"/>
          <w:sz w:val="24"/>
        </w:rPr>
        <w:t>及</w:t>
      </w:r>
      <w:r>
        <w:rPr>
          <w:rFonts w:hint="eastAsia" w:ascii="宋体" w:hAnsi="宋体" w:cs="宋体"/>
          <w:color w:val="auto"/>
          <w:sz w:val="24"/>
          <w:lang w:eastAsia="zh-CN"/>
        </w:rPr>
        <w:t>供应商</w:t>
      </w:r>
      <w:r>
        <w:rPr>
          <w:rFonts w:hint="eastAsia" w:ascii="宋体" w:hAnsi="宋体" w:cs="宋体"/>
          <w:color w:val="auto"/>
          <w:sz w:val="24"/>
        </w:rPr>
        <w:t>与采购有关的来往通知、函件和文件均应使用中文。</w:t>
      </w:r>
    </w:p>
    <w:p w14:paraId="524EF411">
      <w:pPr>
        <w:pStyle w:val="32"/>
        <w:spacing w:line="360" w:lineRule="auto"/>
        <w:rPr>
          <w:rFonts w:hAnsi="宋体" w:cs="宋体"/>
          <w:b/>
          <w:color w:val="auto"/>
          <w:sz w:val="24"/>
          <w:szCs w:val="24"/>
        </w:rPr>
      </w:pPr>
      <w:r>
        <w:rPr>
          <w:rFonts w:hint="eastAsia" w:hAnsi="宋体" w:cs="宋体"/>
          <w:b/>
          <w:color w:val="auto"/>
          <w:sz w:val="24"/>
          <w:szCs w:val="24"/>
          <w:lang w:eastAsia="zh-CN"/>
        </w:rPr>
        <w:t>10.</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的组成</w:t>
      </w:r>
    </w:p>
    <w:p w14:paraId="1E192C93">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b/>
          <w:color w:val="auto"/>
          <w:sz w:val="24"/>
        </w:rPr>
        <w:t>资格文件</w:t>
      </w:r>
      <w:r>
        <w:rPr>
          <w:rFonts w:hint="eastAsia" w:ascii="宋体" w:hAnsi="宋体" w:cs="宋体"/>
          <w:color w:val="auto"/>
          <w:sz w:val="24"/>
        </w:rPr>
        <w:t>：</w:t>
      </w:r>
    </w:p>
    <w:p w14:paraId="55927492">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1.1符合参加采购活动应当具备的一般条件的承诺函；</w:t>
      </w:r>
    </w:p>
    <w:p w14:paraId="173B628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本项目的特定资格要求。</w:t>
      </w:r>
    </w:p>
    <w:p w14:paraId="6B52A8B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381180C">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34E834F1">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2.2授权委托书或法定代表人（单位负责人、自然人本人）身份证明；</w:t>
      </w:r>
    </w:p>
    <w:p w14:paraId="6478CAA7">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3</w:t>
      </w:r>
      <w:r>
        <w:rPr>
          <w:rFonts w:hint="eastAsia" w:ascii="宋体" w:hAnsi="宋体" w:cs="宋体"/>
          <w:color w:val="auto"/>
          <w:sz w:val="24"/>
        </w:rPr>
        <w:t>符合性审查资料；</w:t>
      </w:r>
    </w:p>
    <w:p w14:paraId="03E3ADA9">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10.2.4评标标准相应的商务技术资料；</w:t>
      </w:r>
    </w:p>
    <w:p w14:paraId="316A34D9">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5</w:t>
      </w:r>
      <w:r>
        <w:rPr>
          <w:rFonts w:hint="eastAsia" w:ascii="宋体" w:hAnsi="宋体" w:cs="宋体"/>
          <w:color w:val="auto"/>
          <w:sz w:val="24"/>
        </w:rPr>
        <w:t>商务技术偏离表；</w:t>
      </w:r>
    </w:p>
    <w:p w14:paraId="2539D63E">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ascii="宋体" w:hAnsi="宋体" w:cs="宋体"/>
          <w:color w:val="auto"/>
          <w:sz w:val="24"/>
        </w:rPr>
        <w:t>.</w:t>
      </w:r>
      <w:r>
        <w:rPr>
          <w:rFonts w:ascii="宋体" w:hAnsi="宋体" w:cs="宋体"/>
          <w:color w:val="auto"/>
          <w:sz w:val="24"/>
          <w:lang w:val="zh-CN"/>
        </w:rPr>
        <w:t>6</w:t>
      </w:r>
      <w:r>
        <w:rPr>
          <w:rFonts w:hint="eastAsia" w:ascii="宋体" w:hAnsi="宋体" w:cs="宋体"/>
          <w:color w:val="auto"/>
          <w:sz w:val="24"/>
          <w:lang w:val="zh-CN"/>
        </w:rPr>
        <w:t>采购供应商廉洁自律承诺书。</w:t>
      </w:r>
    </w:p>
    <w:p w14:paraId="30E2BE0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10.</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B3ED7F9">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3.1开标一览表（报价表）；</w:t>
      </w:r>
    </w:p>
    <w:p w14:paraId="7529B95C">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响应文件</w:t>
      </w:r>
      <w:r>
        <w:rPr>
          <w:rFonts w:hint="eastAsia" w:ascii="宋体" w:hAnsi="宋体" w:cs="宋体"/>
          <w:b/>
          <w:color w:val="auto"/>
          <w:sz w:val="24"/>
        </w:rPr>
        <w:t>含有</w:t>
      </w:r>
      <w:r>
        <w:rPr>
          <w:rFonts w:hint="eastAsia" w:ascii="宋体" w:hAnsi="宋体" w:cs="宋体"/>
          <w:b/>
          <w:color w:val="auto"/>
          <w:sz w:val="24"/>
          <w:lang w:eastAsia="zh-CN"/>
        </w:rPr>
        <w:t>交易发起人</w:t>
      </w:r>
      <w:r>
        <w:rPr>
          <w:rFonts w:hint="eastAsia" w:ascii="宋体" w:hAnsi="宋体" w:cs="宋体"/>
          <w:b/>
          <w:color w:val="auto"/>
          <w:sz w:val="24"/>
        </w:rPr>
        <w:t>不能接受的附加条件的，</w:t>
      </w:r>
      <w:r>
        <w:rPr>
          <w:rFonts w:hint="eastAsia" w:ascii="宋体" w:hAnsi="宋体" w:cs="宋体"/>
          <w:b/>
          <w:color w:val="auto"/>
          <w:sz w:val="24"/>
          <w:lang w:eastAsia="zh-CN"/>
        </w:rPr>
        <w:t>响应</w:t>
      </w:r>
      <w:r>
        <w:rPr>
          <w:rFonts w:hint="eastAsia" w:ascii="宋体" w:hAnsi="宋体" w:cs="宋体"/>
          <w:b/>
          <w:color w:val="auto"/>
          <w:sz w:val="24"/>
        </w:rPr>
        <w:t>无效；</w:t>
      </w:r>
    </w:p>
    <w:p w14:paraId="546E0C76">
      <w:pPr>
        <w:spacing w:line="360" w:lineRule="auto"/>
        <w:ind w:firstLine="723" w:firstLineChars="300"/>
        <w:rPr>
          <w:rFonts w:ascii="宋体" w:hAnsi="宋体" w:cs="宋体"/>
          <w:b/>
          <w:color w:val="auto"/>
          <w:sz w:val="24"/>
          <w:szCs w:val="21"/>
        </w:rPr>
      </w:pPr>
      <w:r>
        <w:rPr>
          <w:rFonts w:hint="eastAsia" w:ascii="宋体" w:hAnsi="宋体" w:cs="宋体"/>
          <w:b/>
          <w:color w:val="auto"/>
          <w:sz w:val="24"/>
          <w:lang w:eastAsia="zh-CN"/>
        </w:rPr>
        <w:t>供应商</w:t>
      </w:r>
      <w:r>
        <w:rPr>
          <w:rFonts w:hint="eastAsia" w:ascii="宋体" w:hAnsi="宋体" w:cs="宋体"/>
          <w:b/>
          <w:color w:val="auto"/>
          <w:sz w:val="24"/>
        </w:rPr>
        <w:t>提供虚假材料</w:t>
      </w:r>
      <w:r>
        <w:rPr>
          <w:rFonts w:hint="eastAsia" w:ascii="宋体" w:hAnsi="宋体" w:cs="宋体"/>
          <w:b/>
          <w:color w:val="auto"/>
          <w:sz w:val="24"/>
          <w:lang w:eastAsia="zh-CN"/>
        </w:rPr>
        <w:t>响应</w:t>
      </w:r>
      <w:r>
        <w:rPr>
          <w:rFonts w:hint="eastAsia" w:ascii="宋体" w:hAnsi="宋体" w:cs="宋体"/>
          <w:b/>
          <w:color w:val="auto"/>
          <w:sz w:val="24"/>
        </w:rPr>
        <w:t>的，</w:t>
      </w:r>
      <w:r>
        <w:rPr>
          <w:rFonts w:hint="eastAsia" w:ascii="宋体" w:hAnsi="宋体" w:cs="宋体"/>
          <w:b/>
          <w:color w:val="auto"/>
          <w:sz w:val="24"/>
          <w:lang w:eastAsia="zh-CN"/>
        </w:rPr>
        <w:t>响应</w:t>
      </w:r>
      <w:r>
        <w:rPr>
          <w:rFonts w:hint="eastAsia" w:ascii="宋体" w:hAnsi="宋体" w:cs="宋体"/>
          <w:b/>
          <w:color w:val="auto"/>
          <w:sz w:val="24"/>
        </w:rPr>
        <w:t>无效。</w:t>
      </w:r>
    </w:p>
    <w:p w14:paraId="55288F75">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lang w:eastAsia="zh-CN"/>
        </w:rPr>
        <w:t>11.</w:t>
      </w:r>
      <w:r>
        <w:rPr>
          <w:rFonts w:hint="eastAsia" w:ascii="宋体" w:hAnsi="宋体" w:cs="宋体"/>
          <w:b/>
          <w:color w:val="auto"/>
          <w:kern w:val="0"/>
          <w:szCs w:val="24"/>
          <w:lang w:val="zh-CN"/>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的编制</w:t>
      </w:r>
    </w:p>
    <w:p w14:paraId="25E1882F">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w:t>
      </w:r>
      <w:r>
        <w:rPr>
          <w:rFonts w:hint="eastAsia" w:ascii="宋体" w:hAnsi="宋体" w:cs="宋体"/>
          <w:b/>
          <w:color w:val="auto"/>
          <w:sz w:val="24"/>
          <w:lang w:eastAsia="zh-CN"/>
        </w:rPr>
        <w:t>响应文件</w:t>
      </w:r>
      <w:r>
        <w:rPr>
          <w:rFonts w:hint="eastAsia" w:ascii="宋体" w:hAnsi="宋体" w:cs="宋体"/>
          <w:b/>
          <w:color w:val="auto"/>
          <w:sz w:val="24"/>
        </w:rPr>
        <w:t>未按本条规定的格式编制的，</w:t>
      </w:r>
      <w:r>
        <w:rPr>
          <w:rFonts w:hint="eastAsia" w:ascii="宋体" w:hAnsi="宋体" w:cs="宋体"/>
          <w:b/>
          <w:color w:val="auto"/>
          <w:sz w:val="24"/>
          <w:lang w:eastAsia="zh-CN"/>
        </w:rPr>
        <w:t>响应</w:t>
      </w:r>
      <w:r>
        <w:rPr>
          <w:rFonts w:hint="eastAsia" w:ascii="宋体" w:hAnsi="宋体" w:cs="宋体"/>
          <w:b/>
          <w:color w:val="auto"/>
          <w:sz w:val="24"/>
        </w:rPr>
        <w:t>无效；</w:t>
      </w:r>
    </w:p>
    <w:p w14:paraId="43FDF58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11.1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1276B11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11.2供应商进行电子交易标应安装客户端软件—“政采云电子交易客户端”，并按照交易文件和电子交易平台的要求编制并加密响应文件。供应商未按规定加密的响应文件，电子交易平台将拒收并提示。</w:t>
      </w:r>
    </w:p>
    <w:p w14:paraId="5D5683A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11.3使用“政采云电子交易客户端”需要提前申领CA数字证书，申领流程请自行前往“浙江政府采购网-下载专区-电子交易客户端-CA驱动和申领流程”进行查阅。</w:t>
      </w:r>
    </w:p>
    <w:p w14:paraId="453E52E9">
      <w:pPr>
        <w:snapToGrid w:val="0"/>
        <w:spacing w:line="360" w:lineRule="auto"/>
        <w:rPr>
          <w:rFonts w:ascii="宋体" w:hAnsi="宋体" w:cs="宋体"/>
          <w:b/>
          <w:color w:val="auto"/>
          <w:sz w:val="24"/>
        </w:rPr>
      </w:pPr>
      <w:r>
        <w:rPr>
          <w:rFonts w:hint="eastAsia" w:ascii="宋体" w:hAnsi="宋体" w:cs="宋体"/>
          <w:b/>
          <w:color w:val="auto"/>
          <w:sz w:val="24"/>
          <w:lang w:eastAsia="zh-CN"/>
        </w:rPr>
        <w:t>12.响应文件</w:t>
      </w:r>
      <w:r>
        <w:rPr>
          <w:rFonts w:hint="eastAsia" w:ascii="宋体" w:hAnsi="宋体" w:cs="宋体"/>
          <w:b/>
          <w:color w:val="auto"/>
          <w:sz w:val="24"/>
        </w:rPr>
        <w:t>的签署、盖章</w:t>
      </w:r>
    </w:p>
    <w:p w14:paraId="71539E98">
      <w:pPr>
        <w:pStyle w:val="128"/>
        <w:snapToGrid w:val="0"/>
        <w:spacing w:before="0"/>
        <w:ind w:firstLine="480"/>
        <w:rPr>
          <w:rFonts w:ascii="宋体" w:hAnsi="宋体" w:cs="宋体"/>
          <w:b/>
          <w:color w:val="auto"/>
        </w:rPr>
      </w:pPr>
      <w:r>
        <w:rPr>
          <w:rFonts w:hint="eastAsia" w:ascii="宋体" w:hAnsi="宋体" w:cs="宋体"/>
          <w:color w:val="auto"/>
          <w:szCs w:val="24"/>
          <w:lang w:eastAsia="zh-CN"/>
        </w:rPr>
        <w:t>12.</w:t>
      </w:r>
      <w:r>
        <w:rPr>
          <w:rFonts w:hint="eastAsia" w:ascii="宋体" w:hAnsi="宋体" w:cs="宋体"/>
          <w:color w:val="auto"/>
          <w:szCs w:val="24"/>
        </w:rPr>
        <w:t>1</w:t>
      </w:r>
      <w:r>
        <w:rPr>
          <w:rFonts w:hint="eastAsia" w:ascii="宋体" w:hAnsi="宋体" w:cs="宋体"/>
          <w:color w:val="auto"/>
          <w:szCs w:val="24"/>
          <w:lang w:eastAsia="zh-CN"/>
        </w:rPr>
        <w:t>响应文件</w:t>
      </w:r>
      <w:r>
        <w:rPr>
          <w:rFonts w:hint="eastAsia" w:ascii="宋体" w:hAnsi="宋体" w:cs="宋体"/>
          <w:color w:val="auto"/>
          <w:szCs w:val="24"/>
        </w:rPr>
        <w:t>按照</w:t>
      </w:r>
      <w:r>
        <w:rPr>
          <w:rFonts w:hint="eastAsia" w:ascii="宋体" w:hAnsi="宋体" w:cs="宋体"/>
          <w:color w:val="auto"/>
          <w:szCs w:val="24"/>
          <w:lang w:eastAsia="zh-CN"/>
        </w:rPr>
        <w:t>交易文件第五部分</w:t>
      </w:r>
      <w:r>
        <w:rPr>
          <w:rFonts w:hint="eastAsia" w:ascii="宋体" w:hAnsi="宋体" w:cs="宋体"/>
          <w:color w:val="auto"/>
          <w:szCs w:val="24"/>
        </w:rPr>
        <w:t>格式要</w:t>
      </w:r>
      <w:r>
        <w:rPr>
          <w:rFonts w:hint="eastAsia" w:ascii="宋体" w:hAnsi="宋体" w:cs="宋体"/>
          <w:color w:val="auto"/>
        </w:rPr>
        <w:t>求进行签署、盖章。</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的</w:t>
      </w:r>
      <w:r>
        <w:rPr>
          <w:rFonts w:hint="eastAsia" w:ascii="宋体" w:hAnsi="宋体" w:cs="宋体"/>
          <w:b/>
          <w:color w:val="auto"/>
          <w:lang w:eastAsia="zh-CN"/>
        </w:rPr>
        <w:t>响应文件</w:t>
      </w:r>
      <w:r>
        <w:rPr>
          <w:rFonts w:hint="eastAsia" w:ascii="宋体" w:hAnsi="宋体" w:cs="宋体"/>
          <w:b/>
          <w:color w:val="auto"/>
        </w:rPr>
        <w:t>未按照</w:t>
      </w:r>
      <w:r>
        <w:rPr>
          <w:rFonts w:hint="eastAsia" w:ascii="宋体" w:hAnsi="宋体" w:cs="宋体"/>
          <w:b/>
          <w:color w:val="auto"/>
          <w:lang w:eastAsia="zh-CN"/>
        </w:rPr>
        <w:t>交易文件</w:t>
      </w:r>
      <w:r>
        <w:rPr>
          <w:rFonts w:hint="eastAsia" w:ascii="宋体" w:hAnsi="宋体" w:cs="宋体"/>
          <w:b/>
          <w:color w:val="auto"/>
        </w:rPr>
        <w:t>要求签署、盖章的，其</w:t>
      </w:r>
      <w:r>
        <w:rPr>
          <w:rFonts w:hint="eastAsia" w:ascii="宋体" w:hAnsi="宋体" w:cs="宋体"/>
          <w:b/>
          <w:color w:val="auto"/>
          <w:lang w:eastAsia="zh-CN"/>
        </w:rPr>
        <w:t>响应</w:t>
      </w:r>
      <w:r>
        <w:rPr>
          <w:rFonts w:hint="eastAsia" w:ascii="宋体" w:hAnsi="宋体" w:cs="宋体"/>
          <w:b/>
          <w:color w:val="auto"/>
        </w:rPr>
        <w:t>无效</w:t>
      </w:r>
      <w:r>
        <w:rPr>
          <w:rFonts w:hint="eastAsia" w:ascii="宋体" w:hAnsi="宋体" w:cs="宋体"/>
          <w:color w:val="auto"/>
          <w:szCs w:val="24"/>
        </w:rPr>
        <w:t>。</w:t>
      </w:r>
    </w:p>
    <w:p w14:paraId="0E829B55">
      <w:pPr>
        <w:pStyle w:val="128"/>
        <w:snapToGrid w:val="0"/>
        <w:spacing w:before="0"/>
        <w:ind w:firstLine="480"/>
        <w:rPr>
          <w:rFonts w:ascii="宋体" w:hAnsi="宋体" w:cs="宋体"/>
          <w:color w:val="auto"/>
        </w:rPr>
      </w:pPr>
      <w:r>
        <w:rPr>
          <w:rFonts w:hint="eastAsia" w:ascii="宋体" w:hAnsi="宋体" w:cs="宋体"/>
          <w:color w:val="auto"/>
          <w:lang w:eastAsia="zh-CN"/>
        </w:rPr>
        <w:t>12.</w:t>
      </w:r>
      <w:r>
        <w:rPr>
          <w:rFonts w:hint="eastAsia" w:ascii="宋体" w:hAnsi="宋体" w:cs="宋体"/>
          <w:color w:val="auto"/>
        </w:rPr>
        <w:t>2为确保网上操作合法、有效和安全，</w:t>
      </w:r>
      <w:r>
        <w:rPr>
          <w:rFonts w:hint="eastAsia" w:ascii="宋体" w:hAnsi="宋体" w:cs="宋体"/>
          <w:color w:val="auto"/>
          <w:lang w:eastAsia="zh-CN"/>
        </w:rPr>
        <w:t>供应商</w:t>
      </w:r>
      <w:r>
        <w:rPr>
          <w:rFonts w:hint="eastAsia" w:ascii="宋体" w:hAnsi="宋体" w:cs="宋体"/>
          <w:color w:val="auto"/>
        </w:rPr>
        <w:t>应当在</w:t>
      </w:r>
      <w:r>
        <w:rPr>
          <w:rFonts w:hint="eastAsia" w:ascii="宋体" w:hAnsi="宋体" w:cs="宋体"/>
          <w:color w:val="auto"/>
          <w:lang w:eastAsia="zh-CN"/>
        </w:rPr>
        <w:t>响应截止</w:t>
      </w:r>
      <w:r>
        <w:rPr>
          <w:rFonts w:hint="eastAsia" w:ascii="宋体" w:hAnsi="宋体" w:cs="宋体"/>
          <w:color w:val="auto"/>
        </w:rPr>
        <w:t>时间前完成在“政府采购云平台”的身份认证，确保在</w:t>
      </w:r>
      <w:r>
        <w:rPr>
          <w:rFonts w:hint="eastAsia" w:ascii="宋体" w:hAnsi="宋体" w:cs="宋体"/>
          <w:color w:val="auto"/>
          <w:lang w:eastAsia="zh-CN"/>
        </w:rPr>
        <w:t>电子交易标</w:t>
      </w:r>
      <w:r>
        <w:rPr>
          <w:rFonts w:hint="eastAsia" w:ascii="宋体" w:hAnsi="宋体" w:cs="宋体"/>
          <w:color w:val="auto"/>
        </w:rPr>
        <w:t>过程中能够对相关数据电文进行加密和使用电子签名。</w:t>
      </w:r>
    </w:p>
    <w:p w14:paraId="24E13208">
      <w:pPr>
        <w:pStyle w:val="128"/>
        <w:snapToGrid w:val="0"/>
        <w:spacing w:before="0"/>
        <w:ind w:firstLine="480"/>
        <w:rPr>
          <w:rFonts w:ascii="宋体" w:hAnsi="宋体" w:cs="宋体"/>
          <w:color w:val="auto"/>
          <w:szCs w:val="24"/>
        </w:rPr>
      </w:pPr>
      <w:r>
        <w:rPr>
          <w:rFonts w:hint="eastAsia" w:ascii="宋体" w:hAnsi="宋体" w:cs="宋体"/>
          <w:color w:val="auto"/>
          <w:lang w:eastAsia="zh-CN"/>
        </w:rPr>
        <w:t>12.</w:t>
      </w:r>
      <w:r>
        <w:rPr>
          <w:rFonts w:hint="eastAsia" w:ascii="宋体" w:hAnsi="宋体" w:cs="宋体"/>
          <w:color w:val="auto"/>
        </w:rPr>
        <w:t>3</w:t>
      </w:r>
      <w:r>
        <w:rPr>
          <w:rFonts w:hint="eastAsia" w:ascii="宋体" w:hAnsi="宋体" w:cs="宋体"/>
          <w:color w:val="auto"/>
          <w:lang w:eastAsia="zh-CN"/>
        </w:rPr>
        <w:t>交易文件</w:t>
      </w:r>
      <w:r>
        <w:rPr>
          <w:rFonts w:hint="eastAsia" w:ascii="宋体" w:hAnsi="宋体" w:cs="宋体"/>
          <w:color w:val="auto"/>
        </w:rPr>
        <w:t>对</w:t>
      </w:r>
      <w:r>
        <w:rPr>
          <w:rFonts w:hint="eastAsia" w:ascii="宋体" w:hAnsi="宋体" w:cs="宋体"/>
          <w:color w:val="auto"/>
          <w:lang w:eastAsia="zh-CN"/>
        </w:rPr>
        <w:t>响应文件</w:t>
      </w:r>
      <w:r>
        <w:rPr>
          <w:rFonts w:hint="eastAsia" w:ascii="宋体" w:hAnsi="宋体" w:cs="宋体"/>
          <w:color w:val="auto"/>
        </w:rPr>
        <w:t>签署、盖章的要求适用于电子签名。</w:t>
      </w:r>
    </w:p>
    <w:p w14:paraId="1FE8A14E">
      <w:pPr>
        <w:pStyle w:val="128"/>
        <w:spacing w:before="0"/>
        <w:ind w:firstLine="0" w:firstLineChars="0"/>
        <w:rPr>
          <w:rFonts w:ascii="宋体" w:hAnsi="宋体" w:cs="宋体"/>
          <w:b/>
          <w:color w:val="auto"/>
          <w:szCs w:val="24"/>
        </w:rPr>
      </w:pPr>
      <w:r>
        <w:rPr>
          <w:rFonts w:hint="eastAsia" w:ascii="宋体" w:hAnsi="宋体" w:cs="宋体"/>
          <w:b/>
          <w:color w:val="auto"/>
          <w:szCs w:val="24"/>
          <w:lang w:eastAsia="zh-CN"/>
        </w:rPr>
        <w:t>13.</w:t>
      </w:r>
      <w:r>
        <w:rPr>
          <w:rFonts w:hint="eastAsia" w:ascii="宋体" w:hAnsi="宋体" w:cs="宋体"/>
          <w:b/>
          <w:color w:val="auto"/>
          <w:szCs w:val="24"/>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的提交、补充、修改、撤回</w:t>
      </w:r>
    </w:p>
    <w:p w14:paraId="71D3AF39">
      <w:pPr>
        <w:pStyle w:val="128"/>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1 供应商应当在</w:t>
      </w:r>
      <w:r>
        <w:rPr>
          <w:rFonts w:hint="eastAsia" w:ascii="宋体" w:hAnsi="宋体" w:cs="宋体"/>
          <w:color w:val="auto"/>
          <w:szCs w:val="24"/>
          <w:lang w:eastAsia="zh-CN"/>
        </w:rPr>
        <w:t>响应截止</w:t>
      </w:r>
      <w:r>
        <w:rPr>
          <w:rFonts w:hint="eastAsia" w:ascii="宋体" w:hAnsi="宋体" w:cs="宋体"/>
          <w:color w:val="auto"/>
          <w:szCs w:val="24"/>
        </w:rPr>
        <w:t>时间前完成</w:t>
      </w:r>
      <w:r>
        <w:rPr>
          <w:rFonts w:hint="eastAsia" w:ascii="宋体" w:hAnsi="宋体" w:cs="宋体"/>
          <w:color w:val="auto"/>
          <w:szCs w:val="24"/>
          <w:lang w:eastAsia="zh-CN"/>
        </w:rPr>
        <w:t>响应文件</w:t>
      </w:r>
      <w:r>
        <w:rPr>
          <w:rFonts w:hint="eastAsia" w:ascii="宋体" w:hAnsi="宋体" w:cs="宋体"/>
          <w:color w:val="auto"/>
          <w:szCs w:val="24"/>
        </w:rPr>
        <w:t>的传输递交，并可以补充、修改或者撤回</w:t>
      </w:r>
      <w:r>
        <w:rPr>
          <w:rFonts w:hint="eastAsia" w:ascii="宋体" w:hAnsi="宋体" w:cs="宋体"/>
          <w:color w:val="auto"/>
          <w:szCs w:val="24"/>
          <w:lang w:eastAsia="zh-CN"/>
        </w:rPr>
        <w:t>响应文件</w:t>
      </w:r>
      <w:r>
        <w:rPr>
          <w:rFonts w:hint="eastAsia" w:ascii="宋体" w:hAnsi="宋体" w:cs="宋体"/>
          <w:color w:val="auto"/>
          <w:szCs w:val="24"/>
        </w:rPr>
        <w:t>。补充或者修改</w:t>
      </w:r>
      <w:r>
        <w:rPr>
          <w:rFonts w:hint="eastAsia" w:ascii="宋体" w:hAnsi="宋体" w:cs="宋体"/>
          <w:color w:val="auto"/>
          <w:szCs w:val="24"/>
          <w:lang w:eastAsia="zh-CN"/>
        </w:rPr>
        <w:t>响应文件</w:t>
      </w:r>
      <w:r>
        <w:rPr>
          <w:rFonts w:hint="eastAsia" w:ascii="宋体" w:hAnsi="宋体" w:cs="宋体"/>
          <w:color w:val="auto"/>
          <w:szCs w:val="24"/>
        </w:rPr>
        <w:t>的，应当先行撤回原文件，补充、修改后重新传输递交。供应商撤回</w:t>
      </w:r>
      <w:r>
        <w:rPr>
          <w:rFonts w:hint="eastAsia" w:ascii="宋体" w:hAnsi="宋体" w:cs="宋体"/>
          <w:color w:val="auto"/>
          <w:szCs w:val="24"/>
          <w:lang w:eastAsia="zh-CN"/>
        </w:rPr>
        <w:t>响应</w:t>
      </w:r>
      <w:r>
        <w:rPr>
          <w:rFonts w:hint="eastAsia" w:ascii="宋体" w:hAnsi="宋体" w:cs="宋体"/>
          <w:color w:val="auto"/>
          <w:szCs w:val="24"/>
        </w:rPr>
        <w:t>不得损害国家利益、社会公共利益、</w:t>
      </w:r>
      <w:r>
        <w:rPr>
          <w:rFonts w:hint="eastAsia" w:ascii="宋体" w:hAnsi="宋体" w:cs="宋体"/>
          <w:color w:val="auto"/>
          <w:szCs w:val="24"/>
          <w:lang w:eastAsia="zh-CN"/>
        </w:rPr>
        <w:t>交易发起人</w:t>
      </w:r>
      <w:r>
        <w:rPr>
          <w:rFonts w:hint="eastAsia" w:ascii="宋体" w:hAnsi="宋体" w:cs="宋体"/>
          <w:color w:val="auto"/>
          <w:szCs w:val="24"/>
        </w:rPr>
        <w:t>利益、代理机构利益、其他供应商利益，否则，供应商撤销（撤回）</w:t>
      </w:r>
      <w:r>
        <w:rPr>
          <w:rFonts w:hint="eastAsia" w:ascii="宋体" w:hAnsi="宋体" w:cs="宋体"/>
          <w:color w:val="auto"/>
          <w:szCs w:val="24"/>
          <w:lang w:eastAsia="zh-CN"/>
        </w:rPr>
        <w:t>响应</w:t>
      </w:r>
      <w:r>
        <w:rPr>
          <w:rFonts w:hint="eastAsia" w:ascii="宋体" w:hAnsi="宋体" w:cs="宋体"/>
          <w:color w:val="auto"/>
          <w:szCs w:val="24"/>
        </w:rPr>
        <w:t>无效。</w:t>
      </w:r>
      <w:r>
        <w:rPr>
          <w:rFonts w:hint="eastAsia" w:ascii="宋体" w:hAnsi="宋体" w:cs="宋体"/>
          <w:color w:val="auto"/>
          <w:szCs w:val="24"/>
          <w:lang w:eastAsia="zh-CN"/>
        </w:rPr>
        <w:t>响应截止</w:t>
      </w:r>
      <w:r>
        <w:rPr>
          <w:rFonts w:hint="eastAsia" w:ascii="宋体" w:hAnsi="宋体" w:cs="宋体"/>
          <w:color w:val="auto"/>
          <w:szCs w:val="24"/>
        </w:rPr>
        <w:t>时间前未完成传输的，视为撤回</w:t>
      </w:r>
      <w:r>
        <w:rPr>
          <w:rFonts w:hint="eastAsia" w:ascii="宋体" w:hAnsi="宋体" w:cs="宋体"/>
          <w:color w:val="auto"/>
          <w:szCs w:val="24"/>
          <w:lang w:eastAsia="zh-CN"/>
        </w:rPr>
        <w:t>响应文件</w:t>
      </w:r>
      <w:r>
        <w:rPr>
          <w:rFonts w:hint="eastAsia" w:ascii="宋体" w:hAnsi="宋体" w:cs="宋体"/>
          <w:color w:val="auto"/>
          <w:szCs w:val="24"/>
        </w:rPr>
        <w:t>。</w:t>
      </w:r>
      <w:r>
        <w:rPr>
          <w:rFonts w:hint="eastAsia" w:ascii="宋体" w:hAnsi="宋体" w:cs="宋体"/>
          <w:color w:val="auto"/>
          <w:szCs w:val="24"/>
          <w:lang w:eastAsia="zh-CN"/>
        </w:rPr>
        <w:t>响应截止</w:t>
      </w:r>
      <w:r>
        <w:rPr>
          <w:rFonts w:hint="eastAsia" w:ascii="宋体" w:hAnsi="宋体" w:cs="宋体"/>
          <w:color w:val="auto"/>
          <w:szCs w:val="24"/>
        </w:rPr>
        <w:t>时间后递交的</w:t>
      </w:r>
      <w:r>
        <w:rPr>
          <w:rFonts w:hint="eastAsia" w:ascii="宋体" w:hAnsi="宋体" w:cs="宋体"/>
          <w:color w:val="auto"/>
          <w:szCs w:val="24"/>
          <w:lang w:eastAsia="zh-CN"/>
        </w:rPr>
        <w:t>响应文件</w:t>
      </w:r>
      <w:r>
        <w:rPr>
          <w:rFonts w:hint="eastAsia" w:ascii="宋体" w:hAnsi="宋体" w:cs="宋体"/>
          <w:color w:val="auto"/>
          <w:szCs w:val="24"/>
        </w:rPr>
        <w:t>，电子交易平台将拒收。</w:t>
      </w:r>
    </w:p>
    <w:p w14:paraId="3A051F66">
      <w:pPr>
        <w:pStyle w:val="128"/>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2电子交易平台收到</w:t>
      </w:r>
      <w:r>
        <w:rPr>
          <w:rFonts w:hint="eastAsia" w:ascii="宋体" w:hAnsi="宋体" w:cs="宋体"/>
          <w:color w:val="auto"/>
          <w:szCs w:val="24"/>
          <w:lang w:eastAsia="zh-CN"/>
        </w:rPr>
        <w:t>响应文件</w:t>
      </w:r>
      <w:r>
        <w:rPr>
          <w:rFonts w:hint="eastAsia" w:ascii="宋体" w:hAnsi="宋体" w:cs="宋体"/>
          <w:color w:val="auto"/>
          <w:szCs w:val="24"/>
        </w:rPr>
        <w:t>，将妥善保存并即时向供应商发出确认回执通知。在</w:t>
      </w:r>
      <w:r>
        <w:rPr>
          <w:rFonts w:hint="eastAsia" w:ascii="宋体" w:hAnsi="宋体" w:cs="宋体"/>
          <w:color w:val="auto"/>
          <w:szCs w:val="24"/>
          <w:lang w:eastAsia="zh-CN"/>
        </w:rPr>
        <w:t>响应截止</w:t>
      </w:r>
      <w:r>
        <w:rPr>
          <w:rFonts w:hint="eastAsia" w:ascii="宋体" w:hAnsi="宋体" w:cs="宋体"/>
          <w:color w:val="auto"/>
          <w:szCs w:val="24"/>
        </w:rPr>
        <w:t>时间前，除供应商补充、修改或者撤回</w:t>
      </w:r>
      <w:r>
        <w:rPr>
          <w:rFonts w:hint="eastAsia" w:ascii="宋体" w:hAnsi="宋体" w:cs="宋体"/>
          <w:color w:val="auto"/>
          <w:szCs w:val="24"/>
          <w:lang w:eastAsia="zh-CN"/>
        </w:rPr>
        <w:t>响应文件</w:t>
      </w:r>
      <w:r>
        <w:rPr>
          <w:rFonts w:hint="eastAsia" w:ascii="宋体" w:hAnsi="宋体" w:cs="宋体"/>
          <w:color w:val="auto"/>
          <w:szCs w:val="24"/>
        </w:rPr>
        <w:t>外，任何单位和个人不得解密或提取</w:t>
      </w:r>
      <w:r>
        <w:rPr>
          <w:rFonts w:hint="eastAsia" w:ascii="宋体" w:hAnsi="宋体" w:cs="宋体"/>
          <w:color w:val="auto"/>
          <w:szCs w:val="24"/>
          <w:lang w:eastAsia="zh-CN"/>
        </w:rPr>
        <w:t>响应文件</w:t>
      </w:r>
      <w:r>
        <w:rPr>
          <w:rFonts w:hint="eastAsia" w:ascii="宋体" w:hAnsi="宋体" w:cs="宋体"/>
          <w:color w:val="auto"/>
          <w:szCs w:val="24"/>
        </w:rPr>
        <w:t>。</w:t>
      </w:r>
    </w:p>
    <w:p w14:paraId="4DCA7F7F">
      <w:pPr>
        <w:pStyle w:val="128"/>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3</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代理机构</w:t>
      </w:r>
      <w:r>
        <w:rPr>
          <w:rFonts w:hint="eastAsia" w:ascii="宋体" w:hAnsi="宋体" w:cs="宋体"/>
          <w:color w:val="auto"/>
          <w:szCs w:val="24"/>
        </w:rPr>
        <w:t>可以视情况延长</w:t>
      </w:r>
      <w:r>
        <w:rPr>
          <w:rFonts w:hint="eastAsia" w:ascii="宋体" w:hAnsi="宋体" w:cs="宋体"/>
          <w:color w:val="auto"/>
          <w:szCs w:val="24"/>
          <w:lang w:eastAsia="zh-CN"/>
        </w:rPr>
        <w:t>响应文件</w:t>
      </w:r>
      <w:r>
        <w:rPr>
          <w:rFonts w:hint="eastAsia" w:ascii="宋体" w:hAnsi="宋体" w:cs="宋体"/>
          <w:color w:val="auto"/>
          <w:szCs w:val="24"/>
        </w:rPr>
        <w:t>提交的截止时间。在上述情况下，</w:t>
      </w:r>
      <w:r>
        <w:rPr>
          <w:rFonts w:hint="eastAsia" w:ascii="宋体" w:hAnsi="宋体" w:cs="宋体"/>
          <w:color w:val="auto"/>
          <w:szCs w:val="24"/>
          <w:lang w:eastAsia="zh-CN"/>
        </w:rPr>
        <w:t>代理机构</w:t>
      </w:r>
      <w:r>
        <w:rPr>
          <w:rFonts w:hint="eastAsia" w:ascii="宋体" w:hAnsi="宋体" w:cs="宋体"/>
          <w:color w:val="auto"/>
          <w:szCs w:val="24"/>
        </w:rPr>
        <w:t>与</w:t>
      </w:r>
      <w:r>
        <w:rPr>
          <w:rFonts w:hint="eastAsia" w:ascii="宋体" w:hAnsi="宋体" w:cs="宋体"/>
          <w:color w:val="auto"/>
          <w:szCs w:val="24"/>
          <w:lang w:eastAsia="zh-CN"/>
        </w:rPr>
        <w:t>供应商</w:t>
      </w:r>
      <w:r>
        <w:rPr>
          <w:rFonts w:hint="eastAsia" w:ascii="宋体" w:hAnsi="宋体" w:cs="宋体"/>
          <w:color w:val="auto"/>
          <w:szCs w:val="24"/>
        </w:rPr>
        <w:t>以前在</w:t>
      </w:r>
      <w:r>
        <w:rPr>
          <w:rFonts w:hint="eastAsia" w:ascii="宋体" w:hAnsi="宋体" w:cs="宋体"/>
          <w:color w:val="auto"/>
          <w:szCs w:val="24"/>
          <w:lang w:eastAsia="zh-CN"/>
        </w:rPr>
        <w:t>响应截止</w:t>
      </w:r>
      <w:r>
        <w:rPr>
          <w:rFonts w:hint="eastAsia" w:ascii="宋体" w:hAnsi="宋体" w:cs="宋体"/>
          <w:color w:val="auto"/>
          <w:szCs w:val="24"/>
        </w:rPr>
        <w:t>期方面的全部权利、责任和义务，将适用于延长至新的</w:t>
      </w:r>
      <w:r>
        <w:rPr>
          <w:rFonts w:hint="eastAsia" w:ascii="宋体" w:hAnsi="宋体" w:cs="宋体"/>
          <w:color w:val="auto"/>
          <w:szCs w:val="24"/>
          <w:lang w:eastAsia="zh-CN"/>
        </w:rPr>
        <w:t>响应截止</w:t>
      </w:r>
      <w:r>
        <w:rPr>
          <w:rFonts w:hint="eastAsia" w:ascii="宋体" w:hAnsi="宋体" w:cs="宋体"/>
          <w:color w:val="auto"/>
          <w:szCs w:val="24"/>
        </w:rPr>
        <w:t>期。</w:t>
      </w:r>
    </w:p>
    <w:p w14:paraId="05CEC74F">
      <w:pPr>
        <w:pStyle w:val="32"/>
        <w:spacing w:line="360" w:lineRule="auto"/>
        <w:rPr>
          <w:rFonts w:hAnsi="宋体" w:cs="宋体"/>
          <w:b/>
          <w:color w:val="auto"/>
          <w:sz w:val="24"/>
          <w:szCs w:val="24"/>
        </w:rPr>
      </w:pPr>
      <w:r>
        <w:rPr>
          <w:rFonts w:hint="eastAsia" w:hAnsi="宋体" w:cs="宋体"/>
          <w:b/>
          <w:color w:val="auto"/>
          <w:sz w:val="24"/>
          <w:szCs w:val="24"/>
          <w:lang w:eastAsia="zh-CN"/>
        </w:rPr>
        <w:t>14.响应文件的递交</w:t>
      </w:r>
    </w:p>
    <w:p w14:paraId="24D02D3D">
      <w:pPr>
        <w:pStyle w:val="32"/>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eastAsia="zh-CN"/>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27B7253">
      <w:pPr>
        <w:pStyle w:val="32"/>
        <w:spacing w:line="360" w:lineRule="auto"/>
        <w:ind w:firstLine="480" w:firstLineChars="200"/>
        <w:rPr>
          <w:rFonts w:hAnsi="宋体" w:cs="宋体"/>
          <w:color w:val="auto"/>
          <w:sz w:val="24"/>
          <w:szCs w:val="24"/>
        </w:rPr>
      </w:pPr>
      <w:r>
        <w:rPr>
          <w:rFonts w:hint="eastAsia" w:hAnsi="宋体" w:cs="宋体"/>
          <w:color w:val="auto"/>
          <w:sz w:val="24"/>
          <w:szCs w:val="24"/>
          <w:lang w:eastAsia="zh-CN"/>
        </w:rPr>
        <w:t>14.2采购机构可以视情况延长响应文件提交的截止时间。在上述情况下，采购机构与供应商以前在响应截止期方面的全部权利、责任和义务，将适用于延长至新的响应截止期。</w:t>
      </w:r>
    </w:p>
    <w:p w14:paraId="41861780">
      <w:pPr>
        <w:pStyle w:val="128"/>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5</w:t>
      </w:r>
      <w:r>
        <w:rPr>
          <w:rFonts w:hint="eastAsia" w:ascii="宋体" w:hAnsi="宋体" w:cs="宋体"/>
          <w:b/>
          <w:color w:val="auto"/>
          <w:szCs w:val="24"/>
        </w:rPr>
        <w:t>.</w:t>
      </w:r>
      <w:r>
        <w:rPr>
          <w:rFonts w:hint="eastAsia" w:ascii="宋体" w:hAnsi="宋体" w:cs="宋体"/>
          <w:b/>
          <w:color w:val="auto"/>
          <w:szCs w:val="24"/>
          <w:lang w:eastAsia="zh-CN"/>
        </w:rPr>
        <w:t>响应文件</w:t>
      </w:r>
      <w:r>
        <w:rPr>
          <w:rFonts w:hint="eastAsia" w:ascii="宋体" w:hAnsi="宋体" w:cs="宋体"/>
          <w:b/>
          <w:color w:val="auto"/>
          <w:szCs w:val="24"/>
        </w:rPr>
        <w:t>的无效处理</w:t>
      </w:r>
    </w:p>
    <w:p w14:paraId="798EF472">
      <w:pPr>
        <w:pStyle w:val="24"/>
        <w:spacing w:line="360" w:lineRule="auto"/>
        <w:ind w:firstLine="360" w:firstLineChars="150"/>
        <w:rPr>
          <w:rFonts w:hint="eastAsia" w:eastAsia="宋体" w:cs="仿宋_GB2312"/>
          <w:color w:val="auto"/>
          <w:szCs w:val="21"/>
          <w:lang w:eastAsia="zh-CN"/>
        </w:rPr>
      </w:pPr>
      <w:r>
        <w:rPr>
          <w:rFonts w:hint="eastAsia" w:cs="仿宋_GB2312"/>
          <w:color w:val="auto"/>
          <w:szCs w:val="21"/>
        </w:rPr>
        <w:t>有</w:t>
      </w:r>
      <w:r>
        <w:rPr>
          <w:rFonts w:hint="eastAsia" w:cs="仿宋_GB2312"/>
          <w:color w:val="auto"/>
          <w:szCs w:val="21"/>
          <w:lang w:eastAsia="zh-CN"/>
        </w:rPr>
        <w:t>交易文件</w:t>
      </w:r>
      <w:r>
        <w:rPr>
          <w:rFonts w:hint="eastAsia" w:cs="仿宋_GB2312"/>
          <w:color w:val="auto"/>
          <w:szCs w:val="21"/>
        </w:rPr>
        <w:t>第四部分4.2</w:t>
      </w:r>
      <w:r>
        <w:rPr>
          <w:rFonts w:hint="eastAsia"/>
          <w:color w:val="auto"/>
        </w:rPr>
        <w:t>规定</w:t>
      </w:r>
      <w:r>
        <w:rPr>
          <w:rFonts w:hint="eastAsia" w:cs="仿宋_GB2312"/>
          <w:color w:val="auto"/>
          <w:szCs w:val="21"/>
        </w:rPr>
        <w:t>的情形之一的，</w:t>
      </w:r>
      <w:r>
        <w:rPr>
          <w:rFonts w:hint="eastAsia" w:cs="仿宋_GB2312"/>
          <w:color w:val="auto"/>
          <w:szCs w:val="21"/>
          <w:lang w:eastAsia="zh-CN"/>
        </w:rPr>
        <w:t>响应</w:t>
      </w:r>
      <w:r>
        <w:rPr>
          <w:rFonts w:hint="eastAsia" w:cs="仿宋_GB2312"/>
          <w:color w:val="auto"/>
          <w:szCs w:val="21"/>
        </w:rPr>
        <w:t>无效</w:t>
      </w:r>
      <w:r>
        <w:rPr>
          <w:rFonts w:hint="eastAsia" w:ascii="宋体" w:hAnsi="宋体" w:cs="仿宋_GB2312"/>
          <w:color w:val="auto"/>
          <w:szCs w:val="24"/>
        </w:rPr>
        <w:t>。</w:t>
      </w:r>
    </w:p>
    <w:p w14:paraId="53AE5154">
      <w:pPr>
        <w:pStyle w:val="128"/>
        <w:spacing w:before="0"/>
        <w:ind w:firstLine="0" w:firstLineChars="0"/>
        <w:rPr>
          <w:rFonts w:ascii="宋体" w:hAnsi="宋体" w:cs="宋体"/>
          <w:b/>
          <w:color w:val="auto"/>
          <w:szCs w:val="24"/>
        </w:rPr>
      </w:pPr>
      <w:r>
        <w:rPr>
          <w:rFonts w:hint="eastAsia" w:ascii="宋体" w:hAnsi="宋体" w:cs="宋体"/>
          <w:b/>
          <w:color w:val="auto"/>
          <w:szCs w:val="24"/>
          <w:lang w:eastAsia="zh-CN"/>
        </w:rPr>
        <w:t>16.响应</w:t>
      </w:r>
      <w:r>
        <w:rPr>
          <w:rFonts w:hint="eastAsia" w:ascii="宋体" w:hAnsi="宋体" w:cs="宋体"/>
          <w:b/>
          <w:color w:val="auto"/>
          <w:szCs w:val="24"/>
        </w:rPr>
        <w:t>有效期</w:t>
      </w:r>
    </w:p>
    <w:p w14:paraId="10D060C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lang w:eastAsia="zh-CN"/>
        </w:rPr>
        <w:t>16.</w:t>
      </w:r>
      <w:r>
        <w:rPr>
          <w:rFonts w:hint="eastAsia" w:ascii="宋体" w:hAnsi="宋体" w:cs="宋体"/>
          <w:color w:val="auto"/>
          <w:sz w:val="24"/>
          <w:szCs w:val="20"/>
        </w:rPr>
        <w:t>1</w:t>
      </w:r>
      <w:r>
        <w:rPr>
          <w:rFonts w:hint="eastAsia" w:ascii="宋体" w:hAnsi="宋体" w:cs="宋体"/>
          <w:color w:val="auto"/>
          <w:sz w:val="24"/>
          <w:szCs w:val="20"/>
          <w:lang w:eastAsia="zh-CN"/>
        </w:rPr>
        <w:t>响应</w:t>
      </w:r>
      <w:r>
        <w:rPr>
          <w:rFonts w:hint="eastAsia" w:ascii="宋体" w:hAnsi="宋体" w:cs="宋体"/>
          <w:color w:val="auto"/>
          <w:sz w:val="24"/>
          <w:szCs w:val="20"/>
        </w:rPr>
        <w:t>有效期为从提交</w:t>
      </w:r>
      <w:r>
        <w:rPr>
          <w:rFonts w:hint="eastAsia" w:ascii="宋体" w:hAnsi="宋体" w:cs="宋体"/>
          <w:color w:val="auto"/>
          <w:sz w:val="24"/>
          <w:szCs w:val="20"/>
          <w:lang w:eastAsia="zh-CN"/>
        </w:rPr>
        <w:t>响应文件</w:t>
      </w:r>
      <w:r>
        <w:rPr>
          <w:rFonts w:hint="eastAsia" w:ascii="宋体" w:hAnsi="宋体" w:cs="宋体"/>
          <w:color w:val="auto"/>
          <w:sz w:val="24"/>
          <w:szCs w:val="20"/>
        </w:rPr>
        <w:t>的截止之日起90天。▲</w:t>
      </w:r>
      <w:r>
        <w:rPr>
          <w:rFonts w:hint="eastAsia" w:ascii="宋体" w:hAnsi="宋体" w:cs="宋体"/>
          <w:b/>
          <w:color w:val="auto"/>
          <w:sz w:val="24"/>
          <w:szCs w:val="20"/>
          <w:lang w:eastAsia="zh-CN"/>
        </w:rPr>
        <w:t>供应商</w:t>
      </w:r>
      <w:r>
        <w:rPr>
          <w:rFonts w:hint="eastAsia" w:ascii="宋体" w:hAnsi="宋体" w:cs="宋体"/>
          <w:b/>
          <w:color w:val="auto"/>
          <w:sz w:val="24"/>
          <w:szCs w:val="20"/>
        </w:rPr>
        <w:t>的</w:t>
      </w:r>
      <w:r>
        <w:rPr>
          <w:rFonts w:hint="eastAsia" w:ascii="宋体" w:hAnsi="宋体" w:cs="宋体"/>
          <w:b/>
          <w:color w:val="auto"/>
          <w:sz w:val="24"/>
          <w:szCs w:val="20"/>
          <w:lang w:eastAsia="zh-CN"/>
        </w:rPr>
        <w:t>响应文件</w:t>
      </w:r>
      <w:r>
        <w:rPr>
          <w:rFonts w:hint="eastAsia" w:ascii="宋体" w:hAnsi="宋体" w:cs="宋体"/>
          <w:b/>
          <w:color w:val="auto"/>
          <w:sz w:val="24"/>
          <w:szCs w:val="20"/>
        </w:rPr>
        <w:t>中承</w:t>
      </w:r>
      <w:r>
        <w:rPr>
          <w:rFonts w:hint="eastAsia" w:ascii="宋体" w:hAnsi="宋体" w:cs="宋体"/>
          <w:b/>
          <w:color w:val="auto"/>
          <w:sz w:val="24"/>
          <w:szCs w:val="21"/>
        </w:rPr>
        <w:t>诺的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有效期少于</w:t>
      </w:r>
      <w:r>
        <w:rPr>
          <w:rFonts w:hint="eastAsia" w:ascii="宋体" w:hAnsi="宋体" w:cs="宋体"/>
          <w:b/>
          <w:color w:val="auto"/>
          <w:sz w:val="24"/>
          <w:szCs w:val="21"/>
          <w:lang w:eastAsia="zh-CN"/>
        </w:rPr>
        <w:t>交易文件</w:t>
      </w:r>
      <w:r>
        <w:rPr>
          <w:rFonts w:hint="eastAsia" w:ascii="宋体" w:hAnsi="宋体" w:cs="宋体"/>
          <w:b/>
          <w:color w:val="auto"/>
          <w:sz w:val="24"/>
          <w:szCs w:val="21"/>
        </w:rPr>
        <w:t>中载明的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44B6998B">
      <w:pPr>
        <w:pStyle w:val="128"/>
        <w:spacing w:before="0"/>
        <w:ind w:firstLine="480"/>
        <w:rPr>
          <w:rFonts w:ascii="宋体" w:hAnsi="宋体" w:cs="宋体"/>
          <w:color w:val="auto"/>
        </w:rPr>
      </w:pPr>
      <w:r>
        <w:rPr>
          <w:rFonts w:hint="eastAsia" w:ascii="宋体" w:hAnsi="宋体" w:cs="宋体"/>
          <w:color w:val="auto"/>
          <w:lang w:eastAsia="zh-CN"/>
        </w:rPr>
        <w:t>16.</w:t>
      </w:r>
      <w:r>
        <w:rPr>
          <w:rFonts w:hint="eastAsia" w:ascii="宋体" w:hAnsi="宋体" w:cs="宋体"/>
          <w:color w:val="auto"/>
        </w:rPr>
        <w:t>2</w:t>
      </w:r>
      <w:r>
        <w:rPr>
          <w:rFonts w:hint="eastAsia" w:ascii="宋体" w:hAnsi="宋体" w:cs="宋体"/>
          <w:color w:val="auto"/>
          <w:lang w:eastAsia="zh-CN"/>
        </w:rPr>
        <w:t>响应文件</w:t>
      </w:r>
      <w:r>
        <w:rPr>
          <w:rFonts w:hint="eastAsia" w:ascii="宋体" w:hAnsi="宋体" w:cs="宋体"/>
          <w:color w:val="auto"/>
        </w:rPr>
        <w:t>合格投递后，自</w:t>
      </w:r>
      <w:r>
        <w:rPr>
          <w:rFonts w:hint="eastAsia" w:ascii="宋体" w:hAnsi="宋体" w:cs="宋体"/>
          <w:color w:val="auto"/>
          <w:lang w:eastAsia="zh-CN"/>
        </w:rPr>
        <w:t>响应</w:t>
      </w:r>
      <w:r>
        <w:rPr>
          <w:rFonts w:hint="eastAsia" w:ascii="宋体" w:hAnsi="宋体" w:cs="宋体"/>
          <w:color w:val="auto"/>
        </w:rPr>
        <w:t>截止日期起，在</w:t>
      </w:r>
      <w:r>
        <w:rPr>
          <w:rFonts w:hint="eastAsia" w:ascii="宋体" w:hAnsi="宋体" w:cs="宋体"/>
          <w:color w:val="auto"/>
          <w:lang w:eastAsia="zh-CN"/>
        </w:rPr>
        <w:t>响应</w:t>
      </w:r>
      <w:r>
        <w:rPr>
          <w:rFonts w:hint="eastAsia" w:ascii="宋体" w:hAnsi="宋体" w:cs="宋体"/>
          <w:color w:val="auto"/>
        </w:rPr>
        <w:t>有效期内有效。</w:t>
      </w:r>
    </w:p>
    <w:p w14:paraId="3D3173C8">
      <w:pPr>
        <w:pStyle w:val="128"/>
        <w:spacing w:before="0"/>
        <w:ind w:firstLine="480"/>
        <w:jc w:val="left"/>
        <w:rPr>
          <w:rFonts w:hint="eastAsia" w:ascii="宋体" w:hAnsi="宋体" w:eastAsia="宋体" w:cs="宋体"/>
          <w:color w:val="auto"/>
          <w:lang w:eastAsia="zh-CN"/>
        </w:rPr>
      </w:pPr>
      <w:r>
        <w:rPr>
          <w:rFonts w:hint="eastAsia" w:ascii="宋体" w:hAnsi="宋体" w:cs="宋体"/>
          <w:color w:val="auto"/>
          <w:lang w:eastAsia="zh-CN"/>
        </w:rPr>
        <w:t>16.</w:t>
      </w:r>
      <w:r>
        <w:rPr>
          <w:rFonts w:hint="eastAsia" w:ascii="宋体" w:hAnsi="宋体" w:cs="宋体"/>
          <w:color w:val="auto"/>
        </w:rPr>
        <w:t>3在原定</w:t>
      </w:r>
      <w:r>
        <w:rPr>
          <w:rFonts w:hint="eastAsia" w:ascii="宋体" w:hAnsi="宋体" w:cs="宋体"/>
          <w:color w:val="auto"/>
          <w:lang w:eastAsia="zh-CN"/>
        </w:rPr>
        <w:t>响应</w:t>
      </w:r>
      <w:r>
        <w:rPr>
          <w:rFonts w:hint="eastAsia" w:ascii="宋体" w:hAnsi="宋体" w:cs="宋体"/>
          <w:color w:val="auto"/>
        </w:rPr>
        <w:t>有效期满之前，如果出现特殊情况，</w:t>
      </w:r>
      <w:r>
        <w:rPr>
          <w:rFonts w:hint="eastAsia" w:ascii="宋体" w:hAnsi="宋体" w:cs="宋体"/>
          <w:color w:val="auto"/>
          <w:lang w:eastAsia="zh-CN"/>
        </w:rPr>
        <w:t>代理机构</w:t>
      </w:r>
      <w:r>
        <w:rPr>
          <w:rFonts w:hint="eastAsia" w:ascii="宋体" w:hAnsi="宋体" w:cs="宋体"/>
          <w:color w:val="auto"/>
        </w:rPr>
        <w:t>可以以书面形式通知</w:t>
      </w:r>
      <w:r>
        <w:rPr>
          <w:rFonts w:hint="eastAsia" w:ascii="宋体" w:hAnsi="宋体" w:cs="宋体"/>
          <w:color w:val="auto"/>
          <w:lang w:eastAsia="zh-CN"/>
        </w:rPr>
        <w:t>供应商</w:t>
      </w:r>
      <w:r>
        <w:rPr>
          <w:rFonts w:hint="eastAsia" w:ascii="宋体" w:hAnsi="宋体" w:cs="宋体"/>
          <w:color w:val="auto"/>
        </w:rPr>
        <w:t>延长</w:t>
      </w:r>
      <w:r>
        <w:rPr>
          <w:rFonts w:hint="eastAsia" w:ascii="宋体" w:hAnsi="宋体" w:cs="宋体"/>
          <w:color w:val="auto"/>
          <w:lang w:eastAsia="zh-CN"/>
        </w:rPr>
        <w:t>响应</w:t>
      </w:r>
      <w:r>
        <w:rPr>
          <w:rFonts w:hint="eastAsia" w:ascii="宋体" w:hAnsi="宋体" w:cs="宋体"/>
          <w:color w:val="auto"/>
        </w:rPr>
        <w:t>有效期。</w:t>
      </w:r>
      <w:r>
        <w:rPr>
          <w:rFonts w:hint="eastAsia" w:ascii="宋体" w:hAnsi="宋体" w:cs="宋体"/>
          <w:color w:val="auto"/>
          <w:lang w:eastAsia="zh-CN"/>
        </w:rPr>
        <w:t>供应商</w:t>
      </w:r>
      <w:r>
        <w:rPr>
          <w:rFonts w:hint="eastAsia" w:ascii="宋体" w:hAnsi="宋体" w:cs="宋体"/>
          <w:color w:val="auto"/>
        </w:rPr>
        <w:t>同意延长的，不得要求或被允许修改其</w:t>
      </w:r>
      <w:r>
        <w:rPr>
          <w:rFonts w:hint="eastAsia" w:ascii="宋体" w:hAnsi="宋体" w:cs="宋体"/>
          <w:color w:val="auto"/>
          <w:lang w:eastAsia="zh-CN"/>
        </w:rPr>
        <w:t>响应文件</w:t>
      </w:r>
      <w:r>
        <w:rPr>
          <w:rFonts w:hint="eastAsia" w:ascii="宋体" w:hAnsi="宋体" w:cs="宋体"/>
          <w:color w:val="auto"/>
        </w:rPr>
        <w:t>，</w:t>
      </w:r>
      <w:r>
        <w:rPr>
          <w:rFonts w:hint="eastAsia" w:ascii="宋体" w:hAnsi="宋体" w:cs="宋体"/>
          <w:color w:val="auto"/>
          <w:lang w:eastAsia="zh-CN"/>
        </w:rPr>
        <w:t>供应商</w:t>
      </w:r>
      <w:r>
        <w:rPr>
          <w:rFonts w:hint="eastAsia" w:ascii="宋体" w:hAnsi="宋体" w:cs="宋体"/>
          <w:color w:val="auto"/>
        </w:rPr>
        <w:t>拒绝延长的，其</w:t>
      </w:r>
      <w:r>
        <w:rPr>
          <w:rFonts w:hint="eastAsia" w:ascii="宋体" w:hAnsi="宋体" w:cs="宋体"/>
          <w:color w:val="auto"/>
          <w:lang w:eastAsia="zh-CN"/>
        </w:rPr>
        <w:t>响应</w:t>
      </w:r>
      <w:r>
        <w:rPr>
          <w:rFonts w:hint="eastAsia" w:ascii="宋体" w:hAnsi="宋体" w:cs="宋体"/>
          <w:color w:val="auto"/>
        </w:rPr>
        <w:t>无效。</w:t>
      </w:r>
    </w:p>
    <w:p w14:paraId="2DCA7DA0">
      <w:pPr>
        <w:pStyle w:val="128"/>
        <w:spacing w:before="0"/>
        <w:ind w:firstLine="480"/>
        <w:jc w:val="left"/>
        <w:rPr>
          <w:rFonts w:ascii="宋体" w:hAnsi="宋体" w:cs="宋体"/>
          <w:color w:val="auto"/>
        </w:rPr>
      </w:pPr>
      <w:r>
        <w:rPr>
          <w:rFonts w:hint="eastAsia" w:ascii="宋体" w:hAnsi="宋体" w:cs="宋体"/>
          <w:color w:val="auto"/>
          <w:lang w:eastAsia="zh-CN"/>
        </w:rPr>
        <w:t>16.</w:t>
      </w:r>
      <w:r>
        <w:rPr>
          <w:rFonts w:hint="eastAsia" w:ascii="宋体" w:hAnsi="宋体" w:cs="宋体"/>
          <w:color w:val="auto"/>
        </w:rPr>
        <w:t>4在</w:t>
      </w:r>
      <w:r>
        <w:rPr>
          <w:rFonts w:hint="eastAsia" w:ascii="宋体" w:hAnsi="宋体" w:cs="宋体"/>
          <w:color w:val="auto"/>
          <w:lang w:eastAsia="zh-CN"/>
        </w:rPr>
        <w:t>响应</w:t>
      </w:r>
      <w:r>
        <w:rPr>
          <w:rFonts w:hint="eastAsia" w:ascii="宋体" w:hAnsi="宋体" w:cs="宋体"/>
          <w:color w:val="auto"/>
        </w:rPr>
        <w:t>截止时间起至</w:t>
      </w:r>
      <w:r>
        <w:rPr>
          <w:rFonts w:hint="eastAsia" w:ascii="宋体" w:hAnsi="宋体" w:cs="宋体"/>
          <w:color w:val="auto"/>
          <w:lang w:eastAsia="zh-CN"/>
        </w:rPr>
        <w:t>响应</w:t>
      </w:r>
      <w:r>
        <w:rPr>
          <w:rFonts w:hint="eastAsia" w:ascii="宋体" w:hAnsi="宋体" w:cs="宋体"/>
          <w:color w:val="auto"/>
        </w:rPr>
        <w:t>有效期届满，供应商</w:t>
      </w:r>
      <w:r>
        <w:rPr>
          <w:rFonts w:hint="eastAsia" w:ascii="宋体" w:hAnsi="宋体" w:cs="宋体"/>
          <w:color w:val="auto"/>
          <w:lang w:eastAsia="zh-CN"/>
        </w:rPr>
        <w:t>响应文件</w:t>
      </w:r>
      <w:r>
        <w:rPr>
          <w:rFonts w:hint="eastAsia" w:ascii="宋体" w:hAnsi="宋体" w:cs="宋体"/>
          <w:color w:val="auto"/>
        </w:rPr>
        <w:t>不可撤销。</w:t>
      </w:r>
    </w:p>
    <w:p w14:paraId="332CAEB4">
      <w:pPr>
        <w:pStyle w:val="128"/>
        <w:spacing w:before="0"/>
        <w:ind w:firstLine="480"/>
        <w:rPr>
          <w:rFonts w:ascii="宋体" w:hAnsi="宋体" w:cs="宋体"/>
          <w:color w:val="auto"/>
        </w:rPr>
      </w:pPr>
    </w:p>
    <w:p w14:paraId="43887329">
      <w:pPr>
        <w:pStyle w:val="128"/>
        <w:spacing w:before="0"/>
        <w:ind w:firstLine="643"/>
        <w:rPr>
          <w:rFonts w:ascii="宋体" w:hAnsi="宋体" w:cs="宋体"/>
          <w:b/>
          <w:color w:val="auto"/>
          <w:sz w:val="32"/>
        </w:rPr>
      </w:pPr>
    </w:p>
    <w:p w14:paraId="4B3C7715">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DF50169">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lang w:eastAsia="zh-CN"/>
        </w:rPr>
        <w:t>17.</w:t>
      </w:r>
      <w:r>
        <w:rPr>
          <w:rFonts w:hint="eastAsia" w:ascii="宋体" w:hAnsi="宋体" w:cs="宋体"/>
          <w:b/>
          <w:color w:val="auto"/>
          <w:sz w:val="24"/>
          <w:szCs w:val="24"/>
        </w:rPr>
        <w:t>开标</w:t>
      </w:r>
      <w:r>
        <w:rPr>
          <w:rFonts w:hint="eastAsia" w:ascii="宋体" w:hAnsi="宋体" w:cs="宋体"/>
          <w:color w:val="auto"/>
          <w:sz w:val="24"/>
        </w:rPr>
        <w:t xml:space="preserve"> </w:t>
      </w:r>
    </w:p>
    <w:p w14:paraId="105D15B9">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lang w:eastAsia="zh-CN"/>
        </w:rPr>
        <w:t>17.</w:t>
      </w:r>
      <w:r>
        <w:rPr>
          <w:rFonts w:hint="eastAsia" w:ascii="宋体" w:hAnsi="宋体" w:cs="宋体"/>
          <w:color w:val="auto"/>
          <w:sz w:val="24"/>
        </w:rPr>
        <w:t>1</w:t>
      </w:r>
      <w:r>
        <w:rPr>
          <w:rFonts w:hint="eastAsia" w:ascii="宋体" w:hAnsi="宋体" w:cs="宋体"/>
          <w:color w:val="auto"/>
          <w:sz w:val="24"/>
          <w:lang w:eastAsia="zh-CN"/>
        </w:rPr>
        <w:t>代理机构</w:t>
      </w:r>
      <w:r>
        <w:rPr>
          <w:rFonts w:hint="eastAsia" w:ascii="宋体" w:hAnsi="宋体" w:cs="宋体"/>
          <w:color w:val="auto"/>
          <w:sz w:val="24"/>
        </w:rPr>
        <w:t>按照</w:t>
      </w:r>
      <w:r>
        <w:rPr>
          <w:rFonts w:hint="eastAsia" w:ascii="宋体" w:hAnsi="宋体" w:cs="宋体"/>
          <w:color w:val="auto"/>
          <w:sz w:val="24"/>
          <w:lang w:eastAsia="zh-CN"/>
        </w:rPr>
        <w:t>交易文件</w:t>
      </w:r>
      <w:r>
        <w:rPr>
          <w:rFonts w:hint="eastAsia" w:ascii="宋体" w:hAnsi="宋体" w:cs="宋体"/>
          <w:color w:val="auto"/>
          <w:sz w:val="24"/>
        </w:rPr>
        <w:t>规定的时间通过电子交易平台组织开标，所有</w:t>
      </w:r>
      <w:r>
        <w:rPr>
          <w:rFonts w:hint="eastAsia" w:ascii="宋体" w:hAnsi="宋体" w:cs="宋体"/>
          <w:color w:val="auto"/>
          <w:sz w:val="24"/>
          <w:lang w:eastAsia="zh-CN"/>
        </w:rPr>
        <w:t>供应商</w:t>
      </w:r>
      <w:r>
        <w:rPr>
          <w:rFonts w:hint="eastAsia" w:ascii="宋体" w:hAnsi="宋体" w:cs="宋体"/>
          <w:color w:val="auto"/>
          <w:sz w:val="24"/>
        </w:rPr>
        <w:t>均应当准时在线参加。</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不足</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家的，不得开标</w:t>
      </w:r>
      <w:r>
        <w:rPr>
          <w:rFonts w:hint="eastAsia" w:ascii="宋体" w:hAnsi="宋体" w:cs="宋体"/>
          <w:color w:val="auto"/>
          <w:sz w:val="24"/>
          <w:highlight w:val="none"/>
        </w:rPr>
        <w:t>。</w:t>
      </w:r>
    </w:p>
    <w:p w14:paraId="426A03C9">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2开标时，电子交易平台按开标时间自动提取所有</w:t>
      </w:r>
      <w:r>
        <w:rPr>
          <w:rFonts w:hint="eastAsia" w:ascii="宋体" w:hAnsi="宋体" w:cs="宋体"/>
          <w:color w:val="auto"/>
          <w:sz w:val="24"/>
          <w:lang w:eastAsia="zh-CN"/>
        </w:rPr>
        <w:t>响应文件</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依托电子交易平台发起开始解密指令，</w:t>
      </w:r>
      <w:r>
        <w:rPr>
          <w:rFonts w:hint="eastAsia" w:ascii="宋体" w:hAnsi="宋体" w:cs="宋体"/>
          <w:color w:val="auto"/>
          <w:sz w:val="24"/>
          <w:lang w:eastAsia="zh-CN"/>
        </w:rPr>
        <w:t>供应商</w:t>
      </w:r>
      <w:r>
        <w:rPr>
          <w:rFonts w:hint="eastAsia" w:ascii="宋体" w:hAnsi="宋体" w:cs="宋体"/>
          <w:color w:val="auto"/>
          <w:sz w:val="24"/>
        </w:rPr>
        <w:t>按照平台提示和</w:t>
      </w:r>
      <w:r>
        <w:rPr>
          <w:rFonts w:hint="eastAsia" w:ascii="宋体" w:hAnsi="宋体" w:cs="宋体"/>
          <w:color w:val="auto"/>
          <w:sz w:val="24"/>
          <w:lang w:eastAsia="zh-CN"/>
        </w:rPr>
        <w:t>交易文件</w:t>
      </w:r>
      <w:r>
        <w:rPr>
          <w:rFonts w:hint="eastAsia" w:ascii="宋体" w:hAnsi="宋体" w:cs="宋体"/>
          <w:color w:val="auto"/>
          <w:sz w:val="24"/>
        </w:rPr>
        <w:t>的规定在半小时内完成在线解密。</w:t>
      </w:r>
    </w:p>
    <w:p w14:paraId="0D96BA80">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3</w:t>
      </w:r>
      <w:r>
        <w:rPr>
          <w:rFonts w:hint="eastAsia" w:ascii="宋体" w:hAnsi="宋体" w:cs="宋体"/>
          <w:b/>
          <w:color w:val="auto"/>
          <w:sz w:val="24"/>
          <w:lang w:eastAsia="zh-CN"/>
        </w:rPr>
        <w:t>响应文件</w:t>
      </w:r>
      <w:r>
        <w:rPr>
          <w:rFonts w:hint="eastAsia" w:ascii="宋体" w:hAnsi="宋体" w:cs="宋体"/>
          <w:b/>
          <w:color w:val="auto"/>
          <w:sz w:val="24"/>
        </w:rPr>
        <w:t>未按时解密，</w:t>
      </w:r>
      <w:r>
        <w:rPr>
          <w:rFonts w:hint="eastAsia" w:ascii="宋体" w:hAnsi="宋体" w:cs="宋体"/>
          <w:b/>
          <w:color w:val="auto"/>
          <w:sz w:val="24"/>
          <w:lang w:eastAsia="zh-CN"/>
        </w:rPr>
        <w:t>供应商</w:t>
      </w:r>
      <w:r>
        <w:rPr>
          <w:rFonts w:hint="eastAsia" w:ascii="宋体" w:hAnsi="宋体" w:cs="宋体"/>
          <w:b/>
          <w:color w:val="auto"/>
          <w:sz w:val="24"/>
        </w:rPr>
        <w:t>提供了备份</w:t>
      </w:r>
      <w:r>
        <w:rPr>
          <w:rFonts w:hint="eastAsia" w:ascii="宋体" w:hAnsi="宋体" w:cs="宋体"/>
          <w:b/>
          <w:color w:val="auto"/>
          <w:sz w:val="24"/>
          <w:lang w:eastAsia="zh-CN"/>
        </w:rPr>
        <w:t>响应文件</w:t>
      </w:r>
      <w:r>
        <w:rPr>
          <w:rFonts w:hint="eastAsia" w:ascii="宋体" w:hAnsi="宋体" w:cs="宋体"/>
          <w:b/>
          <w:color w:val="auto"/>
          <w:sz w:val="24"/>
        </w:rPr>
        <w:t>的，以备份</w:t>
      </w:r>
      <w:r>
        <w:rPr>
          <w:rFonts w:hint="eastAsia" w:ascii="宋体" w:hAnsi="宋体" w:cs="宋体"/>
          <w:b/>
          <w:color w:val="auto"/>
          <w:sz w:val="24"/>
          <w:lang w:eastAsia="zh-CN"/>
        </w:rPr>
        <w:t>响应文件</w:t>
      </w:r>
      <w:r>
        <w:rPr>
          <w:rFonts w:hint="eastAsia" w:ascii="宋体" w:hAnsi="宋体" w:cs="宋体"/>
          <w:b/>
          <w:color w:val="auto"/>
          <w:sz w:val="24"/>
        </w:rPr>
        <w:t>作为依据，否则视为</w:t>
      </w:r>
      <w:r>
        <w:rPr>
          <w:rFonts w:hint="eastAsia" w:ascii="宋体" w:hAnsi="宋体" w:cs="宋体"/>
          <w:b/>
          <w:color w:val="auto"/>
          <w:sz w:val="24"/>
          <w:lang w:eastAsia="zh-CN"/>
        </w:rPr>
        <w:t>响应文件</w:t>
      </w:r>
      <w:r>
        <w:rPr>
          <w:rFonts w:hint="eastAsia" w:ascii="宋体" w:hAnsi="宋体" w:cs="宋体"/>
          <w:b/>
          <w:color w:val="auto"/>
          <w:sz w:val="24"/>
        </w:rPr>
        <w:t>撤回。</w:t>
      </w:r>
      <w:r>
        <w:rPr>
          <w:rFonts w:hint="eastAsia" w:ascii="宋体" w:hAnsi="宋体" w:cs="宋体"/>
          <w:b/>
          <w:color w:val="auto"/>
          <w:sz w:val="24"/>
          <w:lang w:eastAsia="zh-CN"/>
        </w:rPr>
        <w:t>响应文件</w:t>
      </w:r>
      <w:r>
        <w:rPr>
          <w:rFonts w:hint="eastAsia" w:ascii="宋体" w:hAnsi="宋体" w:cs="宋体"/>
          <w:b/>
          <w:color w:val="auto"/>
          <w:sz w:val="24"/>
        </w:rPr>
        <w:t>已按时解密的，备份</w:t>
      </w:r>
      <w:r>
        <w:rPr>
          <w:rFonts w:hint="eastAsia" w:ascii="宋体" w:hAnsi="宋体" w:cs="宋体"/>
          <w:b/>
          <w:color w:val="auto"/>
          <w:sz w:val="24"/>
          <w:lang w:eastAsia="zh-CN"/>
        </w:rPr>
        <w:t>响应文件</w:t>
      </w:r>
      <w:r>
        <w:rPr>
          <w:rFonts w:hint="eastAsia" w:ascii="宋体" w:hAnsi="宋体" w:cs="宋体"/>
          <w:b/>
          <w:color w:val="auto"/>
          <w:sz w:val="24"/>
        </w:rPr>
        <w:t>自动失效。</w:t>
      </w:r>
    </w:p>
    <w:p w14:paraId="62021F72">
      <w:pPr>
        <w:pStyle w:val="554"/>
        <w:spacing w:before="0" w:line="360" w:lineRule="auto"/>
        <w:ind w:left="0" w:firstLine="480" w:firstLineChars="200"/>
        <w:contextualSpacing/>
        <w:rPr>
          <w:rFonts w:ascii="宋体" w:hAnsi="宋体" w:cs="宋体"/>
          <w:bCs/>
          <w:color w:val="auto"/>
          <w:sz w:val="24"/>
        </w:rPr>
      </w:pPr>
      <w:r>
        <w:rPr>
          <w:rFonts w:hint="eastAsia" w:ascii="宋体" w:hAnsi="宋体" w:cs="宋体"/>
          <w:bCs/>
          <w:color w:val="auto"/>
          <w:sz w:val="24"/>
          <w:lang w:eastAsia="zh-CN"/>
        </w:rPr>
        <w:t>17.</w:t>
      </w:r>
      <w:r>
        <w:rPr>
          <w:rFonts w:hint="eastAsia" w:ascii="宋体" w:hAnsi="宋体" w:cs="宋体"/>
          <w:bCs/>
          <w:color w:val="auto"/>
          <w:sz w:val="24"/>
        </w:rPr>
        <w:t>4 备份</w:t>
      </w:r>
      <w:r>
        <w:rPr>
          <w:rFonts w:hint="eastAsia" w:ascii="宋体" w:hAnsi="宋体" w:cs="宋体"/>
          <w:bCs/>
          <w:color w:val="auto"/>
          <w:sz w:val="24"/>
          <w:lang w:eastAsia="zh-CN"/>
        </w:rPr>
        <w:t>响应文件</w:t>
      </w:r>
      <w:r>
        <w:rPr>
          <w:rFonts w:hint="eastAsia" w:ascii="宋体" w:hAnsi="宋体" w:cs="宋体"/>
          <w:bCs/>
          <w:color w:val="auto"/>
          <w:sz w:val="24"/>
        </w:rPr>
        <w:t>的接收在</w:t>
      </w:r>
      <w:r>
        <w:rPr>
          <w:rFonts w:hint="eastAsia" w:ascii="宋体" w:hAnsi="宋体" w:cs="宋体"/>
          <w:bCs/>
          <w:color w:val="auto"/>
          <w:sz w:val="24"/>
          <w:lang w:eastAsia="zh-CN"/>
        </w:rPr>
        <w:t>交易文件</w:t>
      </w:r>
      <w:r>
        <w:rPr>
          <w:rFonts w:hint="eastAsia" w:ascii="宋体" w:hAnsi="宋体" w:cs="宋体"/>
          <w:bCs/>
          <w:color w:val="auto"/>
          <w:sz w:val="24"/>
        </w:rPr>
        <w:t>确定的时间、地点进行。</w:t>
      </w:r>
    </w:p>
    <w:p w14:paraId="56C8F3D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w:t>
      </w:r>
      <w:r>
        <w:rPr>
          <w:rFonts w:hint="eastAsia" w:ascii="宋体" w:hAnsi="宋体" w:cs="宋体"/>
          <w:b/>
          <w:color w:val="auto"/>
          <w:sz w:val="24"/>
          <w:szCs w:val="20"/>
          <w:lang w:val="en-US" w:eastAsia="zh-CN"/>
        </w:rPr>
        <w:t>8.</w:t>
      </w:r>
      <w:r>
        <w:rPr>
          <w:rFonts w:hint="eastAsia" w:ascii="宋体" w:hAnsi="宋体" w:cs="宋体"/>
          <w:b/>
          <w:color w:val="auto"/>
          <w:sz w:val="24"/>
          <w:szCs w:val="20"/>
        </w:rPr>
        <w:t>资格审查</w:t>
      </w:r>
    </w:p>
    <w:p w14:paraId="71FCF5C9">
      <w:pPr>
        <w:pStyle w:val="128"/>
        <w:spacing w:before="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1开标后，</w:t>
      </w:r>
      <w:r>
        <w:rPr>
          <w:rFonts w:hint="eastAsia" w:ascii="宋体" w:hAnsi="宋体" w:cs="宋体"/>
          <w:color w:val="auto"/>
          <w:kern w:val="0"/>
          <w:szCs w:val="24"/>
          <w:lang w:eastAsia="zh-CN"/>
        </w:rPr>
        <w:t>交易发起人</w:t>
      </w:r>
      <w:r>
        <w:rPr>
          <w:rFonts w:hint="eastAsia" w:ascii="宋体" w:hAnsi="宋体" w:cs="宋体"/>
          <w:color w:val="auto"/>
          <w:kern w:val="0"/>
          <w:szCs w:val="24"/>
        </w:rPr>
        <w:t>将依据法律法规和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的资格进行审查。</w:t>
      </w:r>
    </w:p>
    <w:p w14:paraId="571C974F">
      <w:pPr>
        <w:pStyle w:val="128"/>
        <w:spacing w:before="0" w:after="12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2</w:t>
      </w:r>
      <w:r>
        <w:rPr>
          <w:rFonts w:hint="eastAsia" w:ascii="宋体" w:hAnsi="宋体" w:cs="宋体"/>
          <w:color w:val="auto"/>
          <w:kern w:val="0"/>
          <w:szCs w:val="24"/>
          <w:lang w:eastAsia="zh-CN"/>
        </w:rPr>
        <w:t>交易发起人</w:t>
      </w:r>
      <w:r>
        <w:rPr>
          <w:rFonts w:hint="eastAsia" w:ascii="宋体" w:hAnsi="宋体" w:cs="宋体"/>
          <w:color w:val="auto"/>
          <w:kern w:val="0"/>
          <w:szCs w:val="24"/>
        </w:rPr>
        <w:t>或采购机构依据法律法规和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的基本资格条件、特定资格条件进行审查。</w:t>
      </w:r>
    </w:p>
    <w:p w14:paraId="41FECEC5">
      <w:pPr>
        <w:pStyle w:val="128"/>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kern w:val="0"/>
          <w:szCs w:val="24"/>
        </w:rPr>
        <w:t>3</w:t>
      </w:r>
      <w:r>
        <w:rPr>
          <w:rFonts w:hint="eastAsia" w:ascii="宋体" w:hAnsi="宋体" w:cs="宋体"/>
          <w:color w:val="auto"/>
          <w:kern w:val="0"/>
          <w:szCs w:val="24"/>
          <w:lang w:eastAsia="zh-CN"/>
        </w:rPr>
        <w:t>供应商</w:t>
      </w:r>
      <w:r>
        <w:rPr>
          <w:rFonts w:hint="eastAsia" w:ascii="宋体" w:hAnsi="宋体" w:cs="宋体"/>
          <w:color w:val="auto"/>
          <w:kern w:val="0"/>
          <w:szCs w:val="24"/>
        </w:rPr>
        <w:t>未按照</w:t>
      </w:r>
      <w:r>
        <w:rPr>
          <w:rFonts w:hint="eastAsia" w:ascii="宋体" w:hAnsi="宋体" w:cs="宋体"/>
          <w:color w:val="auto"/>
          <w:kern w:val="0"/>
          <w:szCs w:val="24"/>
          <w:lang w:eastAsia="zh-CN"/>
        </w:rPr>
        <w:t>交易文件</w:t>
      </w:r>
      <w:r>
        <w:rPr>
          <w:rFonts w:hint="eastAsia" w:ascii="宋体" w:hAnsi="宋体" w:cs="宋体"/>
          <w:color w:val="auto"/>
          <w:kern w:val="0"/>
          <w:szCs w:val="24"/>
        </w:rPr>
        <w:t>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lang w:eastAsia="zh-CN"/>
        </w:rPr>
        <w:t>供应商</w:t>
      </w:r>
      <w:r>
        <w:rPr>
          <w:rFonts w:hint="eastAsia" w:ascii="宋体" w:hAnsi="宋体" w:cs="宋体"/>
          <w:color w:val="auto"/>
        </w:rPr>
        <w:t>不具备</w:t>
      </w:r>
      <w:r>
        <w:rPr>
          <w:rFonts w:hint="eastAsia" w:ascii="宋体" w:hAnsi="宋体" w:cs="宋体"/>
          <w:color w:val="auto"/>
          <w:lang w:eastAsia="zh-CN"/>
        </w:rPr>
        <w:t>交易文件</w:t>
      </w:r>
      <w:r>
        <w:rPr>
          <w:rFonts w:hint="eastAsia" w:ascii="宋体" w:hAnsi="宋体" w:cs="宋体"/>
          <w:color w:val="auto"/>
        </w:rPr>
        <w:t>中规定的资格要求，其</w:t>
      </w:r>
      <w:r>
        <w:rPr>
          <w:rFonts w:hint="eastAsia" w:ascii="宋体" w:hAnsi="宋体" w:cs="宋体"/>
          <w:color w:val="auto"/>
          <w:lang w:eastAsia="zh-CN"/>
        </w:rPr>
        <w:t>响应</w:t>
      </w:r>
      <w:r>
        <w:rPr>
          <w:rFonts w:hint="eastAsia" w:ascii="宋体" w:hAnsi="宋体" w:cs="宋体"/>
          <w:color w:val="auto"/>
        </w:rPr>
        <w:t>无效。</w:t>
      </w:r>
    </w:p>
    <w:p w14:paraId="3B1E6AD4">
      <w:pPr>
        <w:pStyle w:val="128"/>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rPr>
        <w:t>4</w:t>
      </w:r>
      <w:r>
        <w:rPr>
          <w:rFonts w:hint="eastAsia" w:ascii="宋体" w:hAnsi="宋体" w:cs="宋体"/>
          <w:color w:val="auto"/>
        </w:rPr>
        <w:t>对未通过资格审查的</w:t>
      </w:r>
      <w:r>
        <w:rPr>
          <w:rFonts w:hint="eastAsia" w:ascii="宋体" w:hAnsi="宋体" w:cs="宋体"/>
          <w:color w:val="auto"/>
          <w:lang w:eastAsia="zh-CN"/>
        </w:rPr>
        <w:t>供应商</w:t>
      </w:r>
      <w:r>
        <w:rPr>
          <w:rFonts w:hint="eastAsia" w:ascii="宋体" w:hAnsi="宋体" w:cs="宋体"/>
          <w:color w:val="auto"/>
        </w:rPr>
        <w:t>，告知其未通过的原因。</w:t>
      </w:r>
    </w:p>
    <w:p w14:paraId="248CF6AB">
      <w:pPr>
        <w:pStyle w:val="128"/>
        <w:spacing w:before="0"/>
        <w:ind w:firstLine="480"/>
        <w:rPr>
          <w:rFonts w:ascii="宋体" w:hAnsi="宋体" w:cs="宋体"/>
          <w:b/>
          <w:bCs/>
          <w:color w:val="auto"/>
          <w:highlight w:val="none"/>
        </w:rPr>
      </w:pPr>
      <w:r>
        <w:rPr>
          <w:rFonts w:hint="eastAsia" w:ascii="宋体" w:hAnsi="宋体" w:cs="宋体"/>
          <w:b/>
          <w:bCs/>
          <w:color w:val="auto"/>
          <w:kern w:val="0"/>
          <w:szCs w:val="24"/>
          <w:highlight w:val="none"/>
          <w:lang w:eastAsia="zh-CN"/>
        </w:rPr>
        <w:t>18.</w:t>
      </w:r>
      <w:r>
        <w:rPr>
          <w:rFonts w:ascii="宋体" w:hAnsi="宋体" w:cs="宋体"/>
          <w:b/>
          <w:bCs/>
          <w:color w:val="auto"/>
          <w:highlight w:val="none"/>
        </w:rPr>
        <w:t>5</w:t>
      </w:r>
      <w:r>
        <w:rPr>
          <w:rFonts w:hint="eastAsia" w:ascii="宋体" w:hAnsi="宋体" w:cs="宋体"/>
          <w:b/>
          <w:bCs/>
          <w:color w:val="auto"/>
          <w:highlight w:val="none"/>
        </w:rPr>
        <w:t>合格</w:t>
      </w:r>
      <w:r>
        <w:rPr>
          <w:rFonts w:hint="eastAsia" w:ascii="宋体" w:hAnsi="宋体" w:cs="宋体"/>
          <w:b/>
          <w:bCs/>
          <w:color w:val="auto"/>
          <w:highlight w:val="none"/>
          <w:lang w:eastAsia="zh-CN"/>
        </w:rPr>
        <w:t>供应商</w:t>
      </w:r>
      <w:r>
        <w:rPr>
          <w:rFonts w:hint="eastAsia" w:ascii="宋体" w:hAnsi="宋体" w:cs="宋体"/>
          <w:b/>
          <w:bCs/>
          <w:color w:val="auto"/>
          <w:highlight w:val="none"/>
        </w:rPr>
        <w:t>不足</w:t>
      </w:r>
      <w:r>
        <w:rPr>
          <w:rFonts w:hint="eastAsia" w:ascii="宋体" w:hAnsi="宋体" w:cs="宋体"/>
          <w:b/>
          <w:bCs/>
          <w:color w:val="auto"/>
          <w:highlight w:val="none"/>
          <w:lang w:val="en-US" w:eastAsia="zh-CN"/>
        </w:rPr>
        <w:t>4</w:t>
      </w:r>
      <w:r>
        <w:rPr>
          <w:rFonts w:hint="eastAsia" w:ascii="宋体" w:hAnsi="宋体" w:cs="宋体"/>
          <w:b/>
          <w:bCs/>
          <w:color w:val="auto"/>
          <w:highlight w:val="none"/>
        </w:rPr>
        <w:t>家的，不再评标。</w:t>
      </w:r>
    </w:p>
    <w:p w14:paraId="47C937D9">
      <w:pPr>
        <w:pStyle w:val="128"/>
        <w:spacing w:before="0"/>
        <w:ind w:firstLine="0" w:firstLineChars="0"/>
        <w:rPr>
          <w:rFonts w:ascii="宋体" w:hAnsi="宋体" w:cs="宋体"/>
          <w:b/>
          <w:color w:val="auto"/>
          <w:szCs w:val="24"/>
        </w:rPr>
      </w:pPr>
      <w:r>
        <w:rPr>
          <w:rFonts w:hint="eastAsia" w:ascii="宋体" w:hAnsi="宋体" w:cs="宋体"/>
          <w:b/>
          <w:color w:val="auto"/>
          <w:szCs w:val="24"/>
          <w:lang w:val="en-US" w:eastAsia="zh-CN"/>
        </w:rPr>
        <w:t>19.</w:t>
      </w:r>
      <w:r>
        <w:rPr>
          <w:rFonts w:hint="eastAsia" w:ascii="宋体" w:hAnsi="宋体" w:cs="宋体"/>
          <w:b/>
          <w:color w:val="auto"/>
          <w:szCs w:val="24"/>
        </w:rPr>
        <w:t>信用信息查询</w:t>
      </w:r>
    </w:p>
    <w:p w14:paraId="41FE925E">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.1信用信息查询渠道及截止时间：</w:t>
      </w:r>
      <w:r>
        <w:rPr>
          <w:rFonts w:hint="eastAsia" w:ascii="宋体" w:hAnsi="宋体" w:cs="宋体"/>
          <w:color w:val="auto"/>
          <w:kern w:val="0"/>
          <w:szCs w:val="24"/>
          <w:lang w:eastAsia="zh-CN"/>
        </w:rPr>
        <w:t>交易发起人</w:t>
      </w:r>
      <w:r>
        <w:rPr>
          <w:rFonts w:hint="eastAsia" w:ascii="宋体" w:hAnsi="宋体" w:cs="宋体"/>
          <w:color w:val="auto"/>
          <w:kern w:val="0"/>
          <w:szCs w:val="24"/>
        </w:rPr>
        <w:t>将在资格审查时通过“信用中国”网站(www.creditchina.gov.cn)、中国政府采购网(www.ccgp.gov.cn)渠道查询</w:t>
      </w:r>
      <w:r>
        <w:rPr>
          <w:rFonts w:hint="eastAsia" w:ascii="宋体" w:hAnsi="宋体" w:cs="宋体"/>
          <w:color w:val="auto"/>
          <w:kern w:val="0"/>
          <w:szCs w:val="24"/>
          <w:lang w:eastAsia="zh-CN"/>
        </w:rPr>
        <w:t>供应商</w:t>
      </w:r>
      <w:r>
        <w:rPr>
          <w:rFonts w:hint="eastAsia" w:ascii="宋体" w:hAnsi="宋体" w:cs="宋体"/>
          <w:color w:val="auto"/>
          <w:kern w:val="0"/>
          <w:szCs w:val="24"/>
        </w:rPr>
        <w:t>接受资格时的信用记录。</w:t>
      </w:r>
    </w:p>
    <w:p w14:paraId="1C911785">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.2信用信息查询记录和证据留存的具体方式：现场查询的</w:t>
      </w:r>
      <w:r>
        <w:rPr>
          <w:rFonts w:hint="eastAsia" w:ascii="宋体" w:hAnsi="宋体" w:cs="宋体"/>
          <w:color w:val="auto"/>
          <w:kern w:val="0"/>
          <w:szCs w:val="24"/>
          <w:lang w:eastAsia="zh-CN"/>
        </w:rPr>
        <w:t>供应商</w:t>
      </w:r>
      <w:r>
        <w:rPr>
          <w:rFonts w:hint="eastAsia" w:ascii="宋体" w:hAnsi="宋体" w:cs="宋体"/>
          <w:color w:val="auto"/>
          <w:kern w:val="0"/>
          <w:szCs w:val="24"/>
        </w:rPr>
        <w:t>的信用记录、查询结果经确认后将与采购文件一起存档。</w:t>
      </w:r>
    </w:p>
    <w:p w14:paraId="2C961A7D">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.3信用信息的使用规则：经查询列入失信被执行人名单、重大税收违法案件当事人名单、政府采购严重违法失信行为记录名单的</w:t>
      </w:r>
      <w:r>
        <w:rPr>
          <w:rFonts w:hint="eastAsia" w:ascii="宋体" w:hAnsi="宋体" w:cs="宋体"/>
          <w:color w:val="auto"/>
          <w:kern w:val="0"/>
          <w:szCs w:val="24"/>
          <w:lang w:eastAsia="zh-CN"/>
        </w:rPr>
        <w:t>供应商</w:t>
      </w:r>
      <w:r>
        <w:rPr>
          <w:rFonts w:hint="eastAsia" w:ascii="宋体" w:hAnsi="宋体" w:cs="宋体"/>
          <w:color w:val="auto"/>
          <w:kern w:val="0"/>
          <w:szCs w:val="24"/>
        </w:rPr>
        <w:t>将被拒绝参与政府采购活动。</w:t>
      </w:r>
    </w:p>
    <w:p w14:paraId="72776306">
      <w:pPr>
        <w:pStyle w:val="128"/>
        <w:spacing w:before="0"/>
        <w:ind w:firstLine="0" w:firstLineChars="0"/>
        <w:rPr>
          <w:rFonts w:ascii="宋体" w:hAnsi="宋体" w:cs="宋体"/>
          <w:color w:val="auto"/>
          <w:kern w:val="0"/>
          <w:szCs w:val="24"/>
        </w:rPr>
      </w:pPr>
    </w:p>
    <w:p w14:paraId="3C1DF68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CFBAA84">
      <w:pPr>
        <w:spacing w:line="360" w:lineRule="auto"/>
        <w:rPr>
          <w:rFonts w:ascii="宋体" w:hAnsi="宋体" w:cs="宋体"/>
          <w:b/>
          <w:color w:val="auto"/>
          <w:sz w:val="24"/>
        </w:rPr>
      </w:pPr>
      <w:bookmarkStart w:id="13" w:name="_Toc91899903"/>
      <w:r>
        <w:rPr>
          <w:rFonts w:hint="eastAsia" w:ascii="宋体" w:hAnsi="宋体" w:cs="宋体"/>
          <w:b/>
          <w:color w:val="auto"/>
          <w:sz w:val="24"/>
        </w:rPr>
        <w:t>2</w:t>
      </w:r>
      <w:r>
        <w:rPr>
          <w:rFonts w:hint="eastAsia" w:ascii="宋体" w:hAnsi="宋体" w:cs="宋体"/>
          <w:b/>
          <w:color w:val="auto"/>
          <w:sz w:val="24"/>
          <w:lang w:val="en-US" w:eastAsia="zh-CN"/>
        </w:rPr>
        <w:t>0</w:t>
      </w:r>
      <w:r>
        <w:rPr>
          <w:rFonts w:hint="eastAsia" w:ascii="宋体" w:hAnsi="宋体" w:cs="宋体"/>
          <w:b/>
          <w:color w:val="auto"/>
          <w:sz w:val="24"/>
        </w:rPr>
        <w:t>.</w:t>
      </w:r>
      <w:r>
        <w:rPr>
          <w:rFonts w:hint="eastAsia" w:ascii="宋体" w:hAnsi="宋体" w:cs="宋体"/>
          <w:color w:val="auto"/>
        </w:rPr>
        <w:t xml:space="preserve"> </w:t>
      </w:r>
      <w:r>
        <w:rPr>
          <w:rFonts w:hint="eastAsia" w:ascii="宋体" w:hAnsi="宋体" w:cs="宋体"/>
          <w:color w:val="auto"/>
          <w:sz w:val="24"/>
        </w:rPr>
        <w:t>本项目原则上采用电子评审方法，若因政采云平台原因（或CA软件系统）无法读取或电子开评标无法正常进行，</w:t>
      </w:r>
      <w:r>
        <w:rPr>
          <w:rFonts w:hint="eastAsia" w:ascii="宋体" w:hAnsi="宋体" w:cs="宋体"/>
          <w:color w:val="auto"/>
          <w:sz w:val="24"/>
          <w:lang w:eastAsia="zh-CN"/>
        </w:rPr>
        <w:t>代理机构</w:t>
      </w:r>
      <w:r>
        <w:rPr>
          <w:rFonts w:hint="eastAsia" w:ascii="宋体" w:hAnsi="宋体" w:cs="宋体"/>
          <w:color w:val="auto"/>
          <w:sz w:val="24"/>
        </w:rPr>
        <w:t>将开启所有</w:t>
      </w:r>
      <w:r>
        <w:rPr>
          <w:rFonts w:hint="eastAsia" w:ascii="宋体" w:hAnsi="宋体" w:cs="宋体"/>
          <w:color w:val="auto"/>
          <w:sz w:val="24"/>
          <w:lang w:eastAsia="zh-CN"/>
        </w:rPr>
        <w:t>供应商</w:t>
      </w:r>
      <w:r>
        <w:rPr>
          <w:rFonts w:hint="eastAsia" w:ascii="宋体" w:hAnsi="宋体" w:cs="宋体"/>
          <w:color w:val="auto"/>
          <w:sz w:val="24"/>
        </w:rPr>
        <w:t>递交的纸质备份</w:t>
      </w:r>
      <w:r>
        <w:rPr>
          <w:rFonts w:hint="eastAsia" w:ascii="宋体" w:hAnsi="宋体" w:cs="宋体"/>
          <w:color w:val="auto"/>
          <w:sz w:val="24"/>
          <w:lang w:eastAsia="zh-CN"/>
        </w:rPr>
        <w:t>响应文件</w:t>
      </w:r>
      <w:r>
        <w:rPr>
          <w:rFonts w:hint="eastAsia" w:ascii="宋体" w:hAnsi="宋体" w:cs="宋体"/>
          <w:color w:val="auto"/>
          <w:sz w:val="24"/>
        </w:rPr>
        <w:t>，以完成开、评标，电子</w:t>
      </w:r>
      <w:r>
        <w:rPr>
          <w:rFonts w:hint="eastAsia" w:ascii="宋体" w:hAnsi="宋体" w:cs="宋体"/>
          <w:color w:val="auto"/>
          <w:sz w:val="24"/>
          <w:lang w:eastAsia="zh-CN"/>
        </w:rPr>
        <w:t>响应文件</w:t>
      </w:r>
      <w:r>
        <w:rPr>
          <w:rFonts w:hint="eastAsia" w:ascii="宋体" w:hAnsi="宋体" w:cs="宋体"/>
          <w:color w:val="auto"/>
          <w:sz w:val="24"/>
        </w:rPr>
        <w:t>及以介质存储的数据电文形式的备份</w:t>
      </w:r>
      <w:r>
        <w:rPr>
          <w:rFonts w:hint="eastAsia" w:ascii="宋体" w:hAnsi="宋体" w:cs="宋体"/>
          <w:color w:val="auto"/>
          <w:sz w:val="24"/>
          <w:lang w:eastAsia="zh-CN"/>
        </w:rPr>
        <w:t>响应文件</w:t>
      </w:r>
      <w:r>
        <w:rPr>
          <w:rFonts w:hint="eastAsia" w:ascii="宋体" w:hAnsi="宋体" w:cs="宋体"/>
          <w:color w:val="auto"/>
          <w:sz w:val="24"/>
        </w:rPr>
        <w:t>自动失效。评标方法及评分标准等。详见</w:t>
      </w:r>
      <w:r>
        <w:rPr>
          <w:rFonts w:hint="eastAsia" w:ascii="宋体" w:hAnsi="宋体" w:cs="宋体"/>
          <w:color w:val="auto"/>
          <w:sz w:val="24"/>
          <w:lang w:eastAsia="zh-CN"/>
        </w:rPr>
        <w:t>交易文件</w:t>
      </w:r>
      <w:r>
        <w:rPr>
          <w:rFonts w:hint="eastAsia" w:ascii="宋体" w:hAnsi="宋体" w:cs="宋体"/>
          <w:color w:val="auto"/>
          <w:sz w:val="24"/>
        </w:rPr>
        <w:t>第四部分“评标方法及评分标准”</w:t>
      </w:r>
      <w:r>
        <w:rPr>
          <w:rFonts w:hint="eastAsia" w:ascii="宋体" w:hAnsi="宋体" w:cs="宋体"/>
          <w:b/>
          <w:color w:val="auto"/>
          <w:sz w:val="24"/>
        </w:rPr>
        <w:t>详见</w:t>
      </w:r>
      <w:r>
        <w:rPr>
          <w:rFonts w:hint="eastAsia" w:ascii="宋体" w:hAnsi="宋体" w:cs="宋体"/>
          <w:b/>
          <w:color w:val="auto"/>
          <w:sz w:val="24"/>
          <w:lang w:eastAsia="zh-CN"/>
        </w:rPr>
        <w:t>交易文件</w:t>
      </w:r>
      <w:r>
        <w:rPr>
          <w:rFonts w:hint="eastAsia" w:ascii="宋体" w:hAnsi="宋体" w:cs="宋体"/>
          <w:b/>
          <w:color w:val="auto"/>
          <w:sz w:val="24"/>
        </w:rPr>
        <w:t>第四部分评标办法。</w:t>
      </w:r>
    </w:p>
    <w:p w14:paraId="4A340105">
      <w:pPr>
        <w:spacing w:line="360" w:lineRule="auto"/>
        <w:rPr>
          <w:rFonts w:ascii="宋体" w:hAnsi="宋体" w:cs="宋体"/>
          <w:b/>
          <w:color w:val="auto"/>
          <w:sz w:val="24"/>
        </w:rPr>
      </w:pPr>
    </w:p>
    <w:p w14:paraId="26A5A23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9DBA13E">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1</w:t>
      </w:r>
      <w:r>
        <w:rPr>
          <w:rFonts w:hint="eastAsia" w:cs="宋体"/>
          <w:b/>
          <w:color w:val="auto"/>
        </w:rPr>
        <w:t>. 确定中标供应商</w:t>
      </w:r>
    </w:p>
    <w:p w14:paraId="06F02AC3">
      <w:pPr>
        <w:pStyle w:val="128"/>
        <w:snapToGrid w:val="0"/>
        <w:spacing w:before="0" w:after="120"/>
        <w:ind w:firstLine="480"/>
        <w:rPr>
          <w:rFonts w:ascii="宋体" w:hAnsi="宋体" w:cs="宋体"/>
          <w:color w:val="auto"/>
          <w:szCs w:val="24"/>
        </w:rPr>
      </w:pPr>
      <w:r>
        <w:rPr>
          <w:rFonts w:hint="eastAsia" w:ascii="宋体" w:hAnsi="宋体" w:cs="宋体"/>
          <w:color w:val="auto"/>
          <w:szCs w:val="24"/>
        </w:rPr>
        <w:t>采购机构将自评审结束之日起2个工作日内将评审报告送交</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交易发起人</w:t>
      </w:r>
      <w:r>
        <w:rPr>
          <w:rFonts w:hint="eastAsia" w:ascii="宋体" w:hAnsi="宋体" w:cs="宋体"/>
          <w:color w:val="auto"/>
          <w:szCs w:val="24"/>
        </w:rPr>
        <w:t>将自收到评审报告之日起5个工作日内在评审报告推荐的中标候选人中按顺序确定中标供应商。</w:t>
      </w:r>
    </w:p>
    <w:p w14:paraId="633BE945">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lang w:eastAsia="zh-CN"/>
        </w:rPr>
        <w:t>22.</w:t>
      </w:r>
      <w:r>
        <w:rPr>
          <w:rFonts w:hint="eastAsia" w:ascii="宋体" w:hAnsi="宋体" w:cs="宋体"/>
          <w:b/>
          <w:color w:val="auto"/>
          <w:szCs w:val="24"/>
        </w:rPr>
        <w:t xml:space="preserve"> 中标通知与中标结果公告</w:t>
      </w:r>
    </w:p>
    <w:p w14:paraId="78F9AB5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1自中标人确定之日起2个工作日内，</w:t>
      </w:r>
      <w:r>
        <w:rPr>
          <w:rFonts w:hint="eastAsia" w:ascii="宋体" w:hAnsi="宋体" w:cs="宋体"/>
          <w:color w:val="auto"/>
          <w:sz w:val="24"/>
          <w:lang w:eastAsia="zh-CN"/>
        </w:rPr>
        <w:t>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代理机构</w:t>
      </w:r>
      <w:r>
        <w:rPr>
          <w:rFonts w:hint="eastAsia" w:ascii="宋体" w:hAnsi="宋体" w:cs="宋体"/>
          <w:color w:val="auto"/>
          <w:sz w:val="24"/>
        </w:rPr>
        <w:t>也可以以纸质形式进行中标通知。</w:t>
      </w:r>
    </w:p>
    <w:p w14:paraId="7163B2B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2中标结果公告内容包括</w:t>
      </w:r>
      <w:r>
        <w:rPr>
          <w:rFonts w:hint="eastAsia" w:ascii="宋体" w:hAnsi="宋体" w:cs="宋体"/>
          <w:color w:val="auto"/>
          <w:sz w:val="24"/>
          <w:lang w:eastAsia="zh-CN"/>
        </w:rPr>
        <w:t>交易发起人</w:t>
      </w:r>
      <w:r>
        <w:rPr>
          <w:rFonts w:hint="eastAsia" w:ascii="宋体" w:hAnsi="宋体" w:cs="宋体"/>
          <w:color w:val="auto"/>
          <w:sz w:val="24"/>
        </w:rPr>
        <w:t>及其委托的</w:t>
      </w:r>
      <w:r>
        <w:rPr>
          <w:rFonts w:hint="eastAsia" w:ascii="宋体" w:hAnsi="宋体" w:cs="宋体"/>
          <w:color w:val="auto"/>
          <w:sz w:val="24"/>
          <w:lang w:eastAsia="zh-CN"/>
        </w:rPr>
        <w:t>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A985A4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3公告期限为1个工作日。</w:t>
      </w:r>
    </w:p>
    <w:p w14:paraId="0CD4DEB8">
      <w:pPr>
        <w:snapToGrid w:val="0"/>
        <w:spacing w:line="360" w:lineRule="auto"/>
        <w:ind w:left="120" w:leftChars="57" w:firstLine="482" w:firstLineChars="150"/>
        <w:jc w:val="center"/>
        <w:rPr>
          <w:rFonts w:ascii="宋体" w:hAnsi="宋体" w:cs="宋体"/>
          <w:b/>
          <w:color w:val="auto"/>
          <w:sz w:val="32"/>
        </w:rPr>
      </w:pPr>
    </w:p>
    <w:p w14:paraId="3C4504C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FF2301B">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3</w:t>
      </w:r>
      <w:r>
        <w:rPr>
          <w:rFonts w:hint="eastAsia" w:cs="宋体"/>
          <w:b/>
          <w:color w:val="auto"/>
        </w:rPr>
        <w:t>. 合同的签订</w:t>
      </w:r>
    </w:p>
    <w:p w14:paraId="67DA53DB">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 xml:space="preserve">1 </w:t>
      </w:r>
      <w:r>
        <w:rPr>
          <w:rFonts w:hint="eastAsia" w:cs="宋体"/>
          <w:bCs/>
          <w:color w:val="auto"/>
          <w:lang w:eastAsia="zh-CN"/>
        </w:rPr>
        <w:t>交易发起人</w:t>
      </w:r>
      <w:r>
        <w:rPr>
          <w:rFonts w:hint="eastAsia" w:cs="宋体"/>
          <w:bCs/>
          <w:color w:val="auto"/>
        </w:rPr>
        <w:t>与中标人应当在中标通知书发出之日起三十日内，按照</w:t>
      </w:r>
      <w:r>
        <w:rPr>
          <w:rFonts w:hint="eastAsia" w:cs="宋体"/>
          <w:bCs/>
          <w:color w:val="auto"/>
          <w:lang w:eastAsia="zh-CN"/>
        </w:rPr>
        <w:t>交易文件</w:t>
      </w:r>
      <w:r>
        <w:rPr>
          <w:rFonts w:hint="eastAsia" w:cs="宋体"/>
          <w:bCs/>
          <w:color w:val="auto"/>
        </w:rPr>
        <w:t>确定的事项签订采购合同。</w:t>
      </w:r>
    </w:p>
    <w:p w14:paraId="5D9A2373">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2中标人按规定的日期、时间、地点，由法定代表人或其授权代表与</w:t>
      </w:r>
      <w:r>
        <w:rPr>
          <w:rFonts w:hint="eastAsia" w:cs="宋体"/>
          <w:bCs/>
          <w:color w:val="auto"/>
          <w:lang w:eastAsia="zh-CN"/>
        </w:rPr>
        <w:t>交易发起人</w:t>
      </w:r>
      <w:r>
        <w:rPr>
          <w:rFonts w:hint="eastAsia" w:cs="宋体"/>
          <w:bCs/>
          <w:color w:val="auto"/>
        </w:rPr>
        <w:t>代表签订合同。</w:t>
      </w:r>
    </w:p>
    <w:p w14:paraId="27EEBD91">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3如签订合同并生效后，供应商无故拒绝或延期，除按照合同条款处理外，列入不良行为记录一次，并给予通报。</w:t>
      </w:r>
    </w:p>
    <w:p w14:paraId="5569F566">
      <w:pPr>
        <w:pStyle w:val="24"/>
        <w:spacing w:line="360" w:lineRule="auto"/>
        <w:ind w:left="478" w:hanging="477" w:hangingChars="199"/>
        <w:rPr>
          <w:rFonts w:hint="eastAsia" w:cs="宋体"/>
          <w:bCs/>
          <w:color w:val="auto"/>
        </w:rPr>
      </w:pPr>
      <w:r>
        <w:rPr>
          <w:rFonts w:hint="eastAsia" w:cs="宋体"/>
          <w:bCs/>
          <w:color w:val="auto"/>
          <w:lang w:eastAsia="zh-CN"/>
        </w:rPr>
        <w:t>23.</w:t>
      </w:r>
      <w:r>
        <w:rPr>
          <w:rFonts w:hint="eastAsia" w:cs="宋体"/>
          <w:bCs/>
          <w:color w:val="auto"/>
        </w:rPr>
        <w:t>4成交供应商拒绝与</w:t>
      </w:r>
      <w:r>
        <w:rPr>
          <w:rFonts w:hint="eastAsia" w:cs="宋体"/>
          <w:bCs/>
          <w:color w:val="auto"/>
          <w:lang w:eastAsia="zh-CN"/>
        </w:rPr>
        <w:t>交易发起人</w:t>
      </w:r>
      <w:r>
        <w:rPr>
          <w:rFonts w:hint="eastAsia" w:cs="宋体"/>
          <w:bCs/>
          <w:color w:val="auto"/>
        </w:rPr>
        <w:t>签订合同的，</w:t>
      </w:r>
      <w:r>
        <w:rPr>
          <w:rFonts w:hint="eastAsia" w:cs="宋体"/>
          <w:bCs/>
          <w:color w:val="auto"/>
          <w:lang w:eastAsia="zh-CN"/>
        </w:rPr>
        <w:t>交易发起人</w:t>
      </w:r>
      <w:r>
        <w:rPr>
          <w:rFonts w:hint="eastAsia" w:cs="宋体"/>
          <w:bCs/>
          <w:color w:val="auto"/>
        </w:rPr>
        <w:t>可以按照评审报告推荐的成交或者成交候选人名单排序，确定下一候选人为中标供应商，也可以重新开展采购活动。</w:t>
      </w:r>
    </w:p>
    <w:p w14:paraId="4315D4C5">
      <w:pPr>
        <w:pStyle w:val="24"/>
        <w:spacing w:line="360" w:lineRule="auto"/>
        <w:ind w:left="479" w:hanging="479" w:hangingChars="199"/>
        <w:rPr>
          <w:rFonts w:cs="仿宋_GB2312"/>
          <w:b/>
          <w:color w:val="auto"/>
        </w:rPr>
      </w:pPr>
      <w:r>
        <w:rPr>
          <w:rFonts w:cs="仿宋_GB2312"/>
          <w:b/>
          <w:color w:val="auto"/>
        </w:rPr>
        <w:t>2</w:t>
      </w:r>
      <w:r>
        <w:rPr>
          <w:rFonts w:hint="eastAsia" w:cs="仿宋_GB2312"/>
          <w:b/>
          <w:color w:val="auto"/>
          <w:lang w:val="en-US" w:eastAsia="zh-CN"/>
        </w:rPr>
        <w:t>4</w:t>
      </w:r>
      <w:r>
        <w:rPr>
          <w:rFonts w:hint="eastAsia" w:cs="仿宋_GB2312"/>
          <w:b/>
          <w:color w:val="auto"/>
        </w:rPr>
        <w:t>. 履约保证金</w:t>
      </w:r>
    </w:p>
    <w:p w14:paraId="173D7877">
      <w:pPr>
        <w:tabs>
          <w:tab w:val="left" w:pos="0"/>
        </w:tabs>
        <w:spacing w:line="360" w:lineRule="auto"/>
        <w:ind w:firstLine="480"/>
        <w:rPr>
          <w:rFonts w:ascii="宋体" w:hAnsi="宋体"/>
          <w:color w:val="auto"/>
          <w:sz w:val="24"/>
        </w:rPr>
      </w:pPr>
      <w:r>
        <w:rPr>
          <w:rFonts w:hint="eastAsia" w:ascii="宋体" w:hAnsi="宋体" w:cs="Helvetica"/>
          <w:color w:val="auto"/>
          <w:kern w:val="0"/>
          <w:sz w:val="24"/>
        </w:rPr>
        <w:t>拟签订的合同文本要求</w:t>
      </w:r>
      <w:r>
        <w:rPr>
          <w:rFonts w:hint="eastAsia" w:ascii="宋体" w:hAnsi="宋体" w:cs="仿宋_GB2312"/>
          <w:color w:val="auto"/>
          <w:sz w:val="24"/>
        </w:rPr>
        <w:t>成交</w:t>
      </w:r>
      <w:r>
        <w:rPr>
          <w:rFonts w:hint="eastAsia" w:ascii="宋体" w:hAnsi="宋体" w:cs="Helvetica"/>
          <w:color w:val="auto"/>
          <w:kern w:val="0"/>
          <w:sz w:val="24"/>
        </w:rPr>
        <w:t>供应商提交履约保证金的，供应商应当以支票、汇票、本票或者金融机构、担保机构出具的保函等非现金形式提交</w:t>
      </w:r>
      <w:r>
        <w:rPr>
          <w:rFonts w:hint="eastAsia" w:ascii="宋体" w:hAnsi="宋体"/>
          <w:color w:val="auto"/>
          <w:sz w:val="24"/>
        </w:rPr>
        <w:t>。</w:t>
      </w:r>
    </w:p>
    <w:p w14:paraId="61CCAEB6">
      <w:pPr>
        <w:rPr>
          <w:color w:val="auto"/>
        </w:rPr>
      </w:pPr>
    </w:p>
    <w:p w14:paraId="0624DC96">
      <w:pPr>
        <w:snapToGrid w:val="0"/>
        <w:spacing w:line="360" w:lineRule="auto"/>
        <w:ind w:firstLine="3357" w:firstLineChars="1045"/>
        <w:rPr>
          <w:rFonts w:ascii="宋体" w:hAnsi="宋体" w:cs="宋体"/>
          <w:b/>
          <w:color w:val="auto"/>
          <w:sz w:val="32"/>
        </w:rPr>
      </w:pPr>
    </w:p>
    <w:p w14:paraId="4E058CD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51D617E">
      <w:pPr>
        <w:pStyle w:val="128"/>
        <w:snapToGrid w:val="0"/>
        <w:spacing w:before="0"/>
        <w:ind w:firstLine="0" w:firstLineChars="0"/>
        <w:rPr>
          <w:rFonts w:ascii="宋体" w:hAnsi="宋体" w:cs="宋体"/>
          <w:color w:val="auto"/>
        </w:rPr>
      </w:pPr>
      <w:r>
        <w:rPr>
          <w:rFonts w:hint="eastAsia" w:ascii="宋体" w:hAnsi="宋体" w:cs="宋体"/>
          <w:b/>
          <w:bCs/>
          <w:color w:val="auto"/>
          <w:lang w:eastAsia="zh-CN"/>
        </w:rPr>
        <w:t>25.</w:t>
      </w:r>
      <w:r>
        <w:rPr>
          <w:rFonts w:hint="eastAsia" w:ascii="宋体" w:hAnsi="宋体" w:cs="宋体"/>
          <w:b/>
          <w:color w:val="auto"/>
          <w:szCs w:val="24"/>
        </w:rPr>
        <w:t xml:space="preserve">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代理机构</w:t>
      </w:r>
      <w:r>
        <w:rPr>
          <w:rFonts w:hint="eastAsia" w:ascii="宋体" w:hAnsi="宋体" w:cs="宋体"/>
          <w:color w:val="auto"/>
        </w:rPr>
        <w:t>可中止电子交易活动：</w:t>
      </w:r>
    </w:p>
    <w:p w14:paraId="6D2D08D2">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1电子交易平台发生故障而无法登录访问的； </w:t>
      </w:r>
    </w:p>
    <w:p w14:paraId="4F588CCA">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2电子交易平台应用或数据库出现错误，不能进行正常操作的；</w:t>
      </w:r>
    </w:p>
    <w:p w14:paraId="65365C74">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3电子交易平台发现严重安全漏洞，有潜在泄密危险的；</w:t>
      </w:r>
    </w:p>
    <w:p w14:paraId="01944B35">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4病毒发作导致不能进行正常操作的； </w:t>
      </w:r>
    </w:p>
    <w:p w14:paraId="16EA44D1">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5其他无法保证电子交易的公平、公正和安全的情况。</w:t>
      </w:r>
    </w:p>
    <w:p w14:paraId="780BE263">
      <w:pPr>
        <w:pStyle w:val="128"/>
        <w:snapToGrid w:val="0"/>
        <w:spacing w:before="0"/>
        <w:ind w:firstLine="480" w:firstLineChars="200"/>
        <w:rPr>
          <w:rFonts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4692C10">
      <w:pPr>
        <w:tabs>
          <w:tab w:val="left" w:pos="0"/>
        </w:tabs>
        <w:spacing w:line="360" w:lineRule="auto"/>
        <w:ind w:firstLine="480"/>
        <w:rPr>
          <w:rFonts w:ascii="宋体" w:hAnsi="宋体" w:cs="宋体"/>
          <w:color w:val="auto"/>
          <w:sz w:val="24"/>
        </w:rPr>
      </w:pPr>
    </w:p>
    <w:p w14:paraId="5F6AD73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7C806E4">
      <w:pPr>
        <w:pStyle w:val="24"/>
        <w:spacing w:line="360" w:lineRule="auto"/>
        <w:ind w:firstLine="0" w:firstLineChars="0"/>
        <w:rPr>
          <w:rFonts w:cs="宋体"/>
          <w:b/>
          <w:color w:val="auto"/>
        </w:rPr>
      </w:pPr>
      <w:r>
        <w:rPr>
          <w:rFonts w:hint="eastAsia" w:cs="宋体"/>
          <w:b/>
          <w:color w:val="auto"/>
          <w:lang w:val="en-US" w:eastAsia="zh-CN"/>
        </w:rPr>
        <w:t>26</w:t>
      </w:r>
      <w:r>
        <w:rPr>
          <w:rFonts w:hint="eastAsia" w:cs="宋体"/>
          <w:b/>
          <w:color w:val="auto"/>
        </w:rPr>
        <w:t>.验收</w:t>
      </w:r>
    </w:p>
    <w:p w14:paraId="7C8788E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26</w:t>
      </w:r>
      <w:r>
        <w:rPr>
          <w:rFonts w:hint="eastAsia" w:ascii="宋体" w:hAnsi="宋体" w:cs="宋体"/>
          <w:color w:val="auto"/>
          <w:kern w:val="0"/>
          <w:sz w:val="24"/>
        </w:rPr>
        <w:t>.1</w:t>
      </w:r>
      <w:r>
        <w:rPr>
          <w:rFonts w:hint="eastAsia" w:ascii="宋体" w:hAnsi="宋体" w:cs="宋体"/>
          <w:color w:val="auto"/>
          <w:kern w:val="0"/>
          <w:sz w:val="24"/>
          <w:lang w:eastAsia="zh-CN"/>
        </w:rPr>
        <w:t>交易发起人</w:t>
      </w:r>
      <w:r>
        <w:rPr>
          <w:rFonts w:hint="eastAsia" w:ascii="宋体" w:hAnsi="宋体" w:cs="宋体"/>
          <w:color w:val="auto"/>
          <w:kern w:val="0"/>
          <w:sz w:val="24"/>
        </w:rPr>
        <w:t>应当组织对供应商履约的验收。验收标准按区相关政策文件及</w:t>
      </w:r>
      <w:r>
        <w:rPr>
          <w:rFonts w:hint="eastAsia" w:ascii="宋体" w:hAnsi="宋体" w:cs="宋体"/>
          <w:color w:val="auto"/>
          <w:kern w:val="0"/>
          <w:sz w:val="24"/>
          <w:lang w:eastAsia="zh-CN"/>
        </w:rPr>
        <w:t>交易发起人</w:t>
      </w:r>
      <w:r>
        <w:rPr>
          <w:rFonts w:hint="eastAsia" w:ascii="宋体" w:hAnsi="宋体" w:cs="宋体"/>
          <w:color w:val="auto"/>
          <w:kern w:val="0"/>
          <w:sz w:val="24"/>
        </w:rPr>
        <w:t>相关制度文件执行。</w:t>
      </w:r>
    </w:p>
    <w:bookmarkEnd w:id="13"/>
    <w:p w14:paraId="00B73D69">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803" w:right="1440" w:bottom="1803" w:left="1440"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68057669"/>
      <w:bookmarkEnd w:id="16"/>
      <w:bookmarkStart w:id="17" w:name="_Hlt68072998"/>
      <w:bookmarkEnd w:id="17"/>
      <w:bookmarkStart w:id="18" w:name="_Hlt75236101"/>
      <w:bookmarkEnd w:id="18"/>
      <w:bookmarkStart w:id="19" w:name="_Hlt75236011"/>
      <w:bookmarkEnd w:id="19"/>
      <w:bookmarkStart w:id="20" w:name="_Hlt68072990"/>
      <w:bookmarkEnd w:id="20"/>
      <w:bookmarkStart w:id="21" w:name="_Hlt74730295"/>
      <w:bookmarkEnd w:id="21"/>
      <w:bookmarkStart w:id="22" w:name="_Hlt74707468"/>
      <w:bookmarkEnd w:id="22"/>
      <w:bookmarkStart w:id="23" w:name="_Hlt68073093"/>
      <w:bookmarkEnd w:id="23"/>
      <w:bookmarkStart w:id="24" w:name="_Hlt75236290"/>
      <w:bookmarkEnd w:id="24"/>
      <w:bookmarkStart w:id="25" w:name="_Hlt74729768"/>
      <w:bookmarkEnd w:id="25"/>
      <w:bookmarkStart w:id="26" w:name="_Hlt68403820"/>
      <w:bookmarkEnd w:id="26"/>
    </w:p>
    <w:bookmarkEnd w:id="11"/>
    <w:bookmarkEnd w:id="12"/>
    <w:p w14:paraId="27F11570">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67E219E1">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属于实质性要求条款的，请用符号“▲”标明，否则属于非实质性要求。</w:t>
      </w:r>
    </w:p>
    <w:p w14:paraId="40E648D1">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“★”系产品采购项目中单一产品或核心产品。</w:t>
      </w:r>
    </w:p>
    <w:p w14:paraId="46843453">
      <w:pPr>
        <w:pStyle w:val="2"/>
        <w:rPr>
          <w:color w:val="auto"/>
        </w:rPr>
      </w:pPr>
    </w:p>
    <w:p w14:paraId="572AE1D6">
      <w:pPr>
        <w:pStyle w:val="2"/>
        <w:numPr>
          <w:ilvl w:val="0"/>
          <w:numId w:val="2"/>
        </w:numPr>
        <w:jc w:val="center"/>
        <w:rPr>
          <w:rFonts w:ascii="仿宋" w:eastAsia="仿宋" w:cs="仿宋"/>
          <w:color w:val="auto"/>
        </w:rPr>
      </w:pPr>
      <w:r>
        <w:rPr>
          <w:rFonts w:hint="eastAsia"/>
          <w:color w:val="auto"/>
          <w:lang w:eastAsia="zh-CN"/>
        </w:rPr>
        <w:t>交易</w:t>
      </w:r>
      <w:r>
        <w:rPr>
          <w:color w:val="auto"/>
        </w:rPr>
        <w:t>一览表</w:t>
      </w:r>
    </w:p>
    <w:p w14:paraId="29F45475">
      <w:pPr>
        <w:pStyle w:val="42"/>
        <w:spacing w:line="360" w:lineRule="auto"/>
        <w:rPr>
          <w:rFonts w:hint="eastAsia" w:ascii="宋体" w:hAnsi="宋体" w:cs="宋体"/>
          <w:b/>
          <w:bCs/>
          <w:color w:val="auto"/>
          <w:sz w:val="24"/>
        </w:rPr>
      </w:pPr>
      <w:r>
        <w:rPr>
          <w:rFonts w:hint="eastAsia" w:ascii="宋体" w:hAnsi="宋体" w:cs="宋体"/>
          <w:b/>
          <w:bCs/>
          <w:color w:val="auto"/>
          <w:sz w:val="24"/>
        </w:rPr>
        <w:t>标项</w:t>
      </w:r>
      <w:r>
        <w:rPr>
          <w:rFonts w:hint="eastAsia" w:ascii="宋体" w:hAnsi="宋体" w:cs="宋体"/>
          <w:b/>
          <w:bCs/>
          <w:color w:val="auto"/>
          <w:sz w:val="24"/>
          <w:lang w:val="en-US" w:eastAsia="zh-CN"/>
        </w:rPr>
        <w:t>1</w:t>
      </w:r>
      <w:r>
        <w:rPr>
          <w:rFonts w:hint="eastAsia" w:ascii="宋体" w:hAnsi="宋体" w:cs="宋体"/>
          <w:b/>
          <w:bCs/>
          <w:color w:val="auto"/>
          <w:sz w:val="24"/>
        </w:rPr>
        <w:t>：</w:t>
      </w:r>
    </w:p>
    <w:tbl>
      <w:tblPr>
        <w:tblStyle w:val="6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3980"/>
        <w:gridCol w:w="747"/>
        <w:gridCol w:w="802"/>
        <w:gridCol w:w="1922"/>
        <w:gridCol w:w="1067"/>
      </w:tblGrid>
      <w:tr w14:paraId="5BD8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333" w:type="pct"/>
            <w:tcMar>
              <w:top w:w="15" w:type="dxa"/>
              <w:left w:w="15" w:type="dxa"/>
              <w:bottom w:w="0" w:type="dxa"/>
              <w:right w:w="15" w:type="dxa"/>
            </w:tcMar>
            <w:vAlign w:val="center"/>
          </w:tcPr>
          <w:p w14:paraId="5D1A0406">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2179" w:type="pct"/>
            <w:tcMar>
              <w:top w:w="15" w:type="dxa"/>
              <w:left w:w="15" w:type="dxa"/>
              <w:bottom w:w="0" w:type="dxa"/>
              <w:right w:w="15" w:type="dxa"/>
            </w:tcMar>
            <w:vAlign w:val="center"/>
          </w:tcPr>
          <w:p w14:paraId="1CB57B8C">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名称</w:t>
            </w:r>
          </w:p>
        </w:tc>
        <w:tc>
          <w:tcPr>
            <w:tcW w:w="409" w:type="pct"/>
            <w:tcMar>
              <w:top w:w="15" w:type="dxa"/>
              <w:left w:w="15" w:type="dxa"/>
              <w:bottom w:w="0" w:type="dxa"/>
              <w:right w:w="15" w:type="dxa"/>
            </w:tcMar>
            <w:vAlign w:val="center"/>
          </w:tcPr>
          <w:p w14:paraId="3805E348">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439" w:type="pct"/>
            <w:tcMar>
              <w:top w:w="15" w:type="dxa"/>
              <w:left w:w="15" w:type="dxa"/>
              <w:bottom w:w="0" w:type="dxa"/>
              <w:right w:w="15" w:type="dxa"/>
            </w:tcMar>
            <w:vAlign w:val="center"/>
          </w:tcPr>
          <w:p w14:paraId="7D122A62">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单位</w:t>
            </w:r>
          </w:p>
        </w:tc>
        <w:tc>
          <w:tcPr>
            <w:tcW w:w="1052" w:type="pct"/>
            <w:vAlign w:val="center"/>
          </w:tcPr>
          <w:p w14:paraId="0732816E">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简要规格描述或基本情况介绍</w:t>
            </w:r>
          </w:p>
        </w:tc>
        <w:tc>
          <w:tcPr>
            <w:tcW w:w="584" w:type="pct"/>
            <w:vAlign w:val="center"/>
          </w:tcPr>
          <w:p w14:paraId="2E13600C">
            <w:pPr>
              <w:widowControl/>
              <w:spacing w:line="360" w:lineRule="exact"/>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备注</w:t>
            </w:r>
          </w:p>
        </w:tc>
      </w:tr>
      <w:tr w14:paraId="36E3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jc w:val="center"/>
        </w:trPr>
        <w:tc>
          <w:tcPr>
            <w:tcW w:w="333" w:type="pct"/>
            <w:tcMar>
              <w:top w:w="15" w:type="dxa"/>
              <w:left w:w="15" w:type="dxa"/>
              <w:bottom w:w="0" w:type="dxa"/>
              <w:right w:w="15" w:type="dxa"/>
            </w:tcMar>
            <w:vAlign w:val="center"/>
          </w:tcPr>
          <w:p w14:paraId="20BC38BA">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2179" w:type="pct"/>
            <w:tcMar>
              <w:top w:w="15" w:type="dxa"/>
              <w:left w:w="15" w:type="dxa"/>
              <w:bottom w:w="0" w:type="dxa"/>
              <w:right w:w="15" w:type="dxa"/>
            </w:tcMar>
            <w:vAlign w:val="center"/>
          </w:tcPr>
          <w:p w14:paraId="2C58132C">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lang w:eastAsia="zh-CN"/>
              </w:rPr>
              <w:t>杭州市萧山区数据资源管理局2025</w:t>
            </w:r>
            <w:r>
              <w:rPr>
                <w:rFonts w:hint="eastAsia" w:ascii="宋体" w:hAnsi="宋体" w:cs="宋体"/>
                <w:color w:val="auto"/>
                <w:kern w:val="0"/>
                <w:sz w:val="24"/>
              </w:rPr>
              <w:t>年度采购类招标代理预选供应商</w:t>
            </w:r>
          </w:p>
        </w:tc>
        <w:tc>
          <w:tcPr>
            <w:tcW w:w="409" w:type="pct"/>
            <w:tcMar>
              <w:top w:w="15" w:type="dxa"/>
              <w:left w:w="15" w:type="dxa"/>
              <w:bottom w:w="0" w:type="dxa"/>
              <w:right w:w="15" w:type="dxa"/>
            </w:tcMar>
            <w:vAlign w:val="center"/>
          </w:tcPr>
          <w:p w14:paraId="0CEF59E7">
            <w:pPr>
              <w:widowControl/>
              <w:spacing w:line="360" w:lineRule="exact"/>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1</w:t>
            </w:r>
          </w:p>
        </w:tc>
        <w:tc>
          <w:tcPr>
            <w:tcW w:w="439" w:type="pct"/>
            <w:tcMar>
              <w:top w:w="15" w:type="dxa"/>
              <w:left w:w="15" w:type="dxa"/>
              <w:bottom w:w="0" w:type="dxa"/>
              <w:right w:w="15" w:type="dxa"/>
            </w:tcMar>
            <w:vAlign w:val="center"/>
          </w:tcPr>
          <w:p w14:paraId="17F1D1D1">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年</w:t>
            </w:r>
          </w:p>
        </w:tc>
        <w:tc>
          <w:tcPr>
            <w:tcW w:w="1052" w:type="pct"/>
            <w:vAlign w:val="center"/>
          </w:tcPr>
          <w:p w14:paraId="400B6293">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详见采购需求</w:t>
            </w:r>
          </w:p>
        </w:tc>
        <w:tc>
          <w:tcPr>
            <w:tcW w:w="584" w:type="pct"/>
            <w:vAlign w:val="center"/>
          </w:tcPr>
          <w:p w14:paraId="72C69D21">
            <w:pPr>
              <w:widowControl/>
              <w:spacing w:line="360" w:lineRule="exact"/>
              <w:jc w:val="center"/>
              <w:rPr>
                <w:rFonts w:hint="eastAsia" w:ascii="宋体" w:hAnsi="宋体" w:cs="宋体"/>
                <w:color w:val="auto"/>
                <w:kern w:val="0"/>
                <w:sz w:val="24"/>
              </w:rPr>
            </w:pPr>
          </w:p>
        </w:tc>
      </w:tr>
    </w:tbl>
    <w:p w14:paraId="36732560">
      <w:pPr>
        <w:rPr>
          <w:color w:val="auto"/>
          <w:lang w:val="en-US"/>
        </w:rPr>
      </w:pPr>
    </w:p>
    <w:p w14:paraId="1097D807">
      <w:pPr>
        <w:rPr>
          <w:rFonts w:ascii="仿宋" w:hAnsi="仿宋" w:eastAsia="仿宋" w:cs="仿宋"/>
          <w:b/>
          <w:color w:val="auto"/>
          <w:sz w:val="22"/>
          <w:szCs w:val="22"/>
        </w:rPr>
      </w:pPr>
    </w:p>
    <w:p w14:paraId="2F906786">
      <w:pPr>
        <w:rPr>
          <w:rFonts w:ascii="仿宋" w:hAnsi="仿宋" w:eastAsia="仿宋" w:cs="仿宋"/>
          <w:b/>
          <w:color w:val="auto"/>
          <w:sz w:val="22"/>
          <w:szCs w:val="22"/>
        </w:rPr>
      </w:pPr>
    </w:p>
    <w:p w14:paraId="15B22976">
      <w:pPr>
        <w:pStyle w:val="2"/>
        <w:numPr>
          <w:ilvl w:val="0"/>
          <w:numId w:val="2"/>
        </w:numPr>
        <w:jc w:val="center"/>
        <w:rPr>
          <w:rFonts w:ascii="仿宋" w:eastAsia="仿宋" w:cs="仿宋"/>
          <w:color w:val="auto"/>
        </w:rPr>
      </w:pPr>
      <w:r>
        <w:rPr>
          <w:rFonts w:hint="eastAsia" w:ascii="仿宋" w:eastAsia="仿宋" w:cs="仿宋"/>
          <w:color w:val="auto"/>
        </w:rPr>
        <w:t>采购需求</w:t>
      </w:r>
    </w:p>
    <w:p w14:paraId="7E298604">
      <w:pPr>
        <w:pStyle w:val="42"/>
        <w:spacing w:line="360" w:lineRule="auto"/>
        <w:ind w:firstLine="482" w:firstLineChars="200"/>
        <w:rPr>
          <w:rFonts w:ascii="宋体" w:hAnsi="宋体" w:cs="宋体"/>
          <w:b/>
          <w:bCs/>
          <w:color w:val="auto"/>
          <w:sz w:val="24"/>
        </w:rPr>
      </w:pPr>
      <w:bookmarkStart w:id="28" w:name="_Toc155322446"/>
      <w:bookmarkStart w:id="29" w:name="_Toc229566664"/>
      <w:bookmarkStart w:id="30" w:name="_Toc19174589"/>
      <w:r>
        <w:rPr>
          <w:rFonts w:hint="eastAsia" w:ascii="宋体" w:hAnsi="宋体" w:cs="宋体"/>
          <w:b/>
          <w:bCs/>
          <w:color w:val="auto"/>
          <w:sz w:val="24"/>
        </w:rPr>
        <w:t>1、交易内容</w:t>
      </w:r>
    </w:p>
    <w:p w14:paraId="1C016A08">
      <w:pPr>
        <w:pStyle w:val="42"/>
        <w:spacing w:line="360" w:lineRule="auto"/>
        <w:ind w:firstLine="480" w:firstLineChars="200"/>
        <w:rPr>
          <w:rFonts w:ascii="宋体" w:hAnsi="宋体" w:cs="宋体"/>
          <w:color w:val="auto"/>
          <w:sz w:val="24"/>
        </w:rPr>
      </w:pPr>
      <w:r>
        <w:rPr>
          <w:rFonts w:hint="eastAsia" w:ascii="宋体" w:hAnsi="宋体" w:cs="宋体"/>
          <w:color w:val="auto"/>
          <w:sz w:val="24"/>
          <w:u w:val="none"/>
          <w:lang w:eastAsia="zh-CN"/>
        </w:rPr>
        <w:t>杭州市萧山区数据资源管理局</w:t>
      </w:r>
      <w:r>
        <w:rPr>
          <w:rFonts w:hint="eastAsia" w:ascii="宋体" w:hAnsi="宋体" w:cs="宋体"/>
          <w:bCs/>
          <w:color w:val="auto"/>
          <w:kern w:val="0"/>
          <w:sz w:val="24"/>
        </w:rPr>
        <w:t>公开选</w:t>
      </w:r>
      <w:r>
        <w:rPr>
          <w:rFonts w:hint="eastAsia" w:ascii="宋体" w:hAnsi="宋体" w:cs="宋体"/>
          <w:b w:val="0"/>
          <w:bCs/>
          <w:color w:val="auto"/>
          <w:kern w:val="0"/>
          <w:sz w:val="24"/>
        </w:rPr>
        <w:t>聘</w:t>
      </w:r>
      <w:r>
        <w:rPr>
          <w:rFonts w:hint="eastAsia" w:ascii="宋体" w:hAnsi="宋体" w:cs="宋体"/>
          <w:b w:val="0"/>
          <w:bCs/>
          <w:color w:val="auto"/>
          <w:kern w:val="0"/>
          <w:sz w:val="24"/>
          <w:highlight w:val="none"/>
        </w:rPr>
        <w:t>采购交易服务单位</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en-US" w:eastAsia="zh-CN"/>
        </w:rPr>
        <w:t>3</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rPr>
        <w:t>家</w:t>
      </w:r>
      <w:r>
        <w:rPr>
          <w:rFonts w:hint="eastAsia" w:ascii="宋体" w:hAnsi="宋体" w:cs="宋体"/>
          <w:b w:val="0"/>
          <w:bCs/>
          <w:color w:val="auto"/>
          <w:kern w:val="0"/>
          <w:sz w:val="24"/>
          <w:lang w:eastAsia="zh-CN"/>
        </w:rPr>
        <w:t>，</w:t>
      </w:r>
      <w:r>
        <w:rPr>
          <w:rFonts w:hint="eastAsia" w:ascii="宋体" w:hAnsi="宋体" w:cs="宋体"/>
          <w:bCs/>
          <w:color w:val="auto"/>
          <w:kern w:val="0"/>
          <w:sz w:val="24"/>
        </w:rPr>
        <w:t>成交单位在服务期内为杭州市萧山区数据资源管理局及下属事业单位杭州市萧山区大数据管理服务中心提供招标代理服务</w:t>
      </w:r>
      <w:r>
        <w:rPr>
          <w:rFonts w:hint="eastAsia" w:ascii="宋体" w:hAnsi="宋体" w:cs="宋体"/>
          <w:color w:val="auto"/>
          <w:sz w:val="24"/>
        </w:rPr>
        <w:t>。</w:t>
      </w:r>
    </w:p>
    <w:p w14:paraId="48503E6B">
      <w:pPr>
        <w:pStyle w:val="42"/>
        <w:spacing w:line="360" w:lineRule="auto"/>
        <w:ind w:firstLine="482" w:firstLineChars="200"/>
        <w:rPr>
          <w:rFonts w:ascii="宋体" w:hAnsi="宋体" w:cs="宋体"/>
          <w:b/>
          <w:bCs/>
          <w:color w:val="auto"/>
          <w:sz w:val="24"/>
        </w:rPr>
      </w:pPr>
      <w:r>
        <w:rPr>
          <w:rFonts w:hint="eastAsia" w:ascii="宋体" w:hAnsi="宋体" w:cs="宋体"/>
          <w:b/>
          <w:bCs/>
          <w:color w:val="auto"/>
          <w:sz w:val="24"/>
        </w:rPr>
        <w:t>2、工作内容</w:t>
      </w:r>
    </w:p>
    <w:p w14:paraId="64CF4BFB">
      <w:pPr>
        <w:spacing w:line="360" w:lineRule="auto"/>
        <w:ind w:firstLine="435"/>
        <w:rPr>
          <w:rFonts w:ascii="宋体" w:hAnsi="宋体" w:cs="宋体"/>
          <w:bCs/>
          <w:color w:val="auto"/>
          <w:kern w:val="0"/>
          <w:sz w:val="24"/>
        </w:rPr>
      </w:pPr>
      <w:r>
        <w:rPr>
          <w:rFonts w:hint="eastAsia" w:ascii="宋体" w:hAnsi="宋体" w:cs="宋体"/>
          <w:bCs/>
          <w:color w:val="auto"/>
          <w:kern w:val="0"/>
          <w:sz w:val="24"/>
        </w:rPr>
        <w:t>本次交易选聘产生的成交单位须提供的服务内容（包括但不限于）：</w:t>
      </w:r>
    </w:p>
    <w:p w14:paraId="3CA88BAE">
      <w:pPr>
        <w:spacing w:line="360" w:lineRule="auto"/>
        <w:ind w:firstLine="435"/>
        <w:rPr>
          <w:rFonts w:ascii="宋体" w:hAnsi="宋体" w:cs="宋体"/>
          <w:bCs/>
          <w:color w:val="auto"/>
          <w:kern w:val="0"/>
          <w:sz w:val="24"/>
        </w:rPr>
      </w:pPr>
      <w:r>
        <w:rPr>
          <w:rFonts w:hint="eastAsia" w:ascii="宋体" w:hAnsi="宋体" w:cs="宋体"/>
          <w:bCs/>
          <w:color w:val="auto"/>
          <w:kern w:val="0"/>
          <w:sz w:val="24"/>
        </w:rPr>
        <w:t>（1）起草交易发包方案；</w:t>
      </w:r>
    </w:p>
    <w:p w14:paraId="779B9795">
      <w:pPr>
        <w:spacing w:line="360" w:lineRule="auto"/>
        <w:ind w:firstLine="435"/>
        <w:rPr>
          <w:rFonts w:ascii="宋体" w:hAnsi="宋体" w:cs="宋体"/>
          <w:bCs/>
          <w:color w:val="auto"/>
          <w:kern w:val="0"/>
          <w:sz w:val="24"/>
        </w:rPr>
      </w:pPr>
      <w:r>
        <w:rPr>
          <w:rFonts w:hint="eastAsia" w:ascii="宋体" w:hAnsi="宋体" w:cs="宋体"/>
          <w:bCs/>
          <w:color w:val="auto"/>
          <w:kern w:val="0"/>
          <w:sz w:val="24"/>
        </w:rPr>
        <w:t>（2）编制交易发包文件；</w:t>
      </w:r>
    </w:p>
    <w:p w14:paraId="26100135">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（3）发布交易公告；</w:t>
      </w:r>
    </w:p>
    <w:p w14:paraId="467D3EB8">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（4）组织采购交易发包过程中的提疑、质疑回复；</w:t>
      </w:r>
    </w:p>
    <w:p w14:paraId="4AAA0ACE">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（5）组织采购项目响应文件开启、评审、采购公示、成交（中标）通知书发布；</w:t>
      </w:r>
    </w:p>
    <w:p w14:paraId="4B6B7606">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（6）整理采购项目交易发包资料，负责资料备案、存档等；</w:t>
      </w:r>
    </w:p>
    <w:p w14:paraId="1B0E758C">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（7）协助</w:t>
      </w:r>
      <w:r>
        <w:rPr>
          <w:rFonts w:hint="eastAsia" w:ascii="宋体" w:hAnsi="宋体" w:cs="宋体"/>
          <w:bCs/>
          <w:color w:val="auto"/>
          <w:kern w:val="0"/>
          <w:sz w:val="24"/>
          <w:lang w:eastAsia="zh-CN"/>
        </w:rPr>
        <w:t>交易发起人</w:t>
      </w:r>
      <w:r>
        <w:rPr>
          <w:rFonts w:hint="eastAsia" w:ascii="宋体" w:hAnsi="宋体" w:cs="宋体"/>
          <w:bCs/>
          <w:color w:val="auto"/>
          <w:kern w:val="0"/>
          <w:sz w:val="24"/>
        </w:rPr>
        <w:t>与成交（中标）单位合同签订、备案等。</w:t>
      </w:r>
    </w:p>
    <w:p w14:paraId="5CE1DECF">
      <w:pPr>
        <w:pStyle w:val="42"/>
        <w:spacing w:line="360" w:lineRule="auto"/>
        <w:ind w:firstLine="482" w:firstLineChars="200"/>
        <w:rPr>
          <w:rFonts w:ascii="宋体" w:hAnsi="宋体" w:cs="宋体"/>
          <w:b/>
          <w:bCs/>
          <w:color w:val="auto"/>
          <w:sz w:val="24"/>
        </w:rPr>
      </w:pPr>
      <w:r>
        <w:rPr>
          <w:rFonts w:hint="eastAsia" w:ascii="宋体" w:hAnsi="宋体" w:cs="宋体"/>
          <w:b/>
          <w:bCs/>
          <w:color w:val="auto"/>
          <w:sz w:val="24"/>
        </w:rPr>
        <w:t>3、工作要求</w:t>
      </w:r>
    </w:p>
    <w:p w14:paraId="5016E6AA">
      <w:pPr>
        <w:spacing w:line="360" w:lineRule="auto"/>
        <w:ind w:firstLine="420"/>
        <w:rPr>
          <w:rFonts w:ascii="宋体" w:hAnsi="宋体" w:cs="宋体"/>
          <w:color w:val="auto"/>
          <w:sz w:val="24"/>
        </w:rPr>
      </w:pPr>
      <w:r>
        <w:rPr>
          <w:rFonts w:hint="eastAsia" w:ascii="宋体" w:hAnsi="宋体" w:cs="宋体"/>
          <w:color w:val="auto"/>
          <w:sz w:val="24"/>
        </w:rPr>
        <w:t>（1）成交单位须确保采购项目公开、公平、公正；</w:t>
      </w:r>
    </w:p>
    <w:p w14:paraId="0298E7E5">
      <w:pPr>
        <w:spacing w:line="360" w:lineRule="auto"/>
        <w:ind w:firstLine="420"/>
        <w:rPr>
          <w:rFonts w:ascii="宋体" w:hAnsi="宋体" w:cs="宋体"/>
          <w:color w:val="auto"/>
          <w:sz w:val="24"/>
        </w:rPr>
      </w:pPr>
      <w:r>
        <w:rPr>
          <w:rFonts w:hint="eastAsia" w:ascii="宋体" w:hAnsi="宋体" w:cs="宋体"/>
          <w:color w:val="auto"/>
          <w:sz w:val="24"/>
        </w:rPr>
        <w:t>（2）成交单位须在</w:t>
      </w:r>
      <w:r>
        <w:rPr>
          <w:rFonts w:hint="eastAsia" w:ascii="宋体" w:hAnsi="宋体" w:cs="宋体"/>
          <w:color w:val="auto"/>
          <w:sz w:val="24"/>
          <w:lang w:eastAsia="zh-CN"/>
        </w:rPr>
        <w:t>交易发起人</w:t>
      </w:r>
      <w:r>
        <w:rPr>
          <w:rFonts w:hint="eastAsia" w:ascii="宋体" w:hAnsi="宋体" w:cs="宋体"/>
          <w:color w:val="auto"/>
          <w:sz w:val="24"/>
        </w:rPr>
        <w:t>委托采购代理的范围内代理一切事务，对</w:t>
      </w:r>
      <w:r>
        <w:rPr>
          <w:rFonts w:hint="eastAsia" w:ascii="宋体" w:hAnsi="宋体" w:cs="宋体"/>
          <w:color w:val="auto"/>
          <w:sz w:val="24"/>
          <w:lang w:eastAsia="zh-CN"/>
        </w:rPr>
        <w:t>交易发起人</w:t>
      </w:r>
      <w:r>
        <w:rPr>
          <w:rFonts w:hint="eastAsia" w:ascii="宋体" w:hAnsi="宋体" w:cs="宋体"/>
          <w:color w:val="auto"/>
          <w:sz w:val="24"/>
        </w:rPr>
        <w:t>提出的采购标准等可依法提出并提交纠正建议，成交单位须对其代理的采购项目的合法性负责；</w:t>
      </w:r>
    </w:p>
    <w:p w14:paraId="173B019E">
      <w:pPr>
        <w:spacing w:line="360" w:lineRule="auto"/>
        <w:ind w:firstLine="420"/>
        <w:rPr>
          <w:rFonts w:ascii="宋体" w:hAnsi="宋体" w:cs="宋体"/>
          <w:color w:val="auto"/>
          <w:sz w:val="24"/>
        </w:rPr>
      </w:pPr>
      <w:r>
        <w:rPr>
          <w:rFonts w:hint="eastAsia" w:ascii="宋体" w:hAnsi="宋体" w:cs="宋体"/>
          <w:color w:val="auto"/>
          <w:sz w:val="24"/>
        </w:rPr>
        <w:t>（3）成交单位须按萧山区公共资源交易监督等部门规定的程序和要求独立组织采购活动，接受</w:t>
      </w:r>
      <w:r>
        <w:rPr>
          <w:rFonts w:hint="eastAsia" w:ascii="宋体" w:hAnsi="宋体" w:cs="宋体"/>
          <w:color w:val="auto"/>
          <w:sz w:val="24"/>
          <w:lang w:eastAsia="zh-CN"/>
        </w:rPr>
        <w:t>交易发起人</w:t>
      </w:r>
      <w:r>
        <w:rPr>
          <w:rFonts w:hint="eastAsia" w:ascii="宋体" w:hAnsi="宋体" w:cs="宋体"/>
          <w:color w:val="auto"/>
          <w:sz w:val="24"/>
        </w:rPr>
        <w:t>和有关部门的监督。成交单位须自觉执行回避制度，遵守廉政规定和采购纪律，并承担保密责任；</w:t>
      </w:r>
    </w:p>
    <w:p w14:paraId="1BF8EC89">
      <w:pPr>
        <w:spacing w:line="360" w:lineRule="auto"/>
        <w:ind w:firstLine="420"/>
        <w:rPr>
          <w:rFonts w:ascii="宋体" w:hAnsi="宋体" w:cs="宋体"/>
          <w:color w:val="auto"/>
          <w:sz w:val="24"/>
        </w:rPr>
      </w:pPr>
      <w:r>
        <w:rPr>
          <w:rFonts w:hint="eastAsia" w:ascii="宋体" w:hAnsi="宋体" w:cs="宋体"/>
          <w:color w:val="auto"/>
          <w:sz w:val="24"/>
        </w:rPr>
        <w:t>（4）成交单位须对外发布有关采购文件和采购结果的，都应经</w:t>
      </w:r>
      <w:r>
        <w:rPr>
          <w:rFonts w:hint="eastAsia" w:ascii="宋体" w:hAnsi="宋体" w:cs="宋体"/>
          <w:color w:val="auto"/>
          <w:sz w:val="24"/>
          <w:lang w:eastAsia="zh-CN"/>
        </w:rPr>
        <w:t>交易发起人</w:t>
      </w:r>
      <w:r>
        <w:rPr>
          <w:rFonts w:hint="eastAsia" w:ascii="宋体" w:hAnsi="宋体" w:cs="宋体"/>
          <w:color w:val="auto"/>
          <w:sz w:val="24"/>
        </w:rPr>
        <w:t>确认，如需监督部门备案的应及时将有关采购文件和采购合同等报备；</w:t>
      </w:r>
    </w:p>
    <w:p w14:paraId="593D4E6A">
      <w:pPr>
        <w:spacing w:line="360" w:lineRule="auto"/>
        <w:ind w:firstLine="420"/>
        <w:rPr>
          <w:rFonts w:ascii="宋体" w:hAnsi="宋体" w:cs="宋体"/>
          <w:color w:val="auto"/>
          <w:sz w:val="24"/>
        </w:rPr>
      </w:pPr>
      <w:r>
        <w:rPr>
          <w:rFonts w:hint="eastAsia" w:ascii="宋体" w:hAnsi="宋体" w:cs="宋体"/>
          <w:color w:val="auto"/>
          <w:sz w:val="24"/>
        </w:rPr>
        <w:t>（5）成交单位负责向</w:t>
      </w:r>
      <w:r>
        <w:rPr>
          <w:rFonts w:hint="eastAsia" w:ascii="宋体" w:hAnsi="宋体" w:cs="宋体"/>
          <w:color w:val="auto"/>
          <w:sz w:val="24"/>
          <w:lang w:eastAsia="zh-CN"/>
        </w:rPr>
        <w:t>交易发起人</w:t>
      </w:r>
      <w:r>
        <w:rPr>
          <w:rFonts w:hint="eastAsia" w:ascii="宋体" w:hAnsi="宋体" w:cs="宋体"/>
          <w:color w:val="auto"/>
          <w:sz w:val="24"/>
        </w:rPr>
        <w:t>提交书面采购报告，接受和答复供应商询问、质疑，协助</w:t>
      </w:r>
      <w:r>
        <w:rPr>
          <w:rFonts w:hint="eastAsia" w:ascii="宋体" w:hAnsi="宋体" w:cs="宋体"/>
          <w:color w:val="auto"/>
          <w:sz w:val="24"/>
          <w:lang w:eastAsia="zh-CN"/>
        </w:rPr>
        <w:t>交易发起人</w:t>
      </w:r>
      <w:r>
        <w:rPr>
          <w:rFonts w:hint="eastAsia" w:ascii="宋体" w:hAnsi="宋体" w:cs="宋体"/>
          <w:color w:val="auto"/>
          <w:sz w:val="24"/>
        </w:rPr>
        <w:t>对采购项目进行监督和验收；</w:t>
      </w:r>
    </w:p>
    <w:p w14:paraId="591632F6">
      <w:pPr>
        <w:spacing w:line="360" w:lineRule="auto"/>
        <w:ind w:firstLine="420"/>
        <w:rPr>
          <w:rFonts w:ascii="宋体" w:hAnsi="宋体" w:cs="宋体"/>
          <w:color w:val="auto"/>
          <w:sz w:val="24"/>
        </w:rPr>
      </w:pPr>
      <w:r>
        <w:rPr>
          <w:rFonts w:hint="eastAsia" w:ascii="宋体" w:hAnsi="宋体" w:cs="宋体"/>
          <w:color w:val="auto"/>
          <w:sz w:val="24"/>
        </w:rPr>
        <w:t>（6）接到</w:t>
      </w:r>
      <w:r>
        <w:rPr>
          <w:rFonts w:hint="eastAsia" w:ascii="宋体" w:hAnsi="宋体" w:cs="宋体"/>
          <w:color w:val="auto"/>
          <w:sz w:val="24"/>
          <w:lang w:eastAsia="zh-CN"/>
        </w:rPr>
        <w:t>交易发起人</w:t>
      </w:r>
      <w:r>
        <w:rPr>
          <w:rFonts w:hint="eastAsia" w:ascii="宋体" w:hAnsi="宋体" w:cs="宋体"/>
          <w:color w:val="auto"/>
          <w:sz w:val="24"/>
        </w:rPr>
        <w:t>委托项目后，成交单位应组件专门的项目组，并指定项目负责人 1 人以上（含 1 人）， 项目负责人一旦确定不得变更（除不可抗力外）。项目负责人应在</w:t>
      </w:r>
      <w:r>
        <w:rPr>
          <w:rFonts w:hint="eastAsia" w:ascii="宋体" w:hAnsi="宋体" w:cs="宋体"/>
          <w:color w:val="auto"/>
          <w:sz w:val="24"/>
          <w:lang w:val="en-US" w:eastAsia="zh-CN"/>
        </w:rPr>
        <w:t>接到</w:t>
      </w:r>
      <w:r>
        <w:rPr>
          <w:rFonts w:hint="eastAsia" w:ascii="宋体" w:hAnsi="宋体" w:cs="宋体"/>
          <w:color w:val="auto"/>
          <w:sz w:val="24"/>
        </w:rPr>
        <w:t>任务通知后一个工作日内与</w:t>
      </w:r>
      <w:r>
        <w:rPr>
          <w:rFonts w:hint="eastAsia" w:ascii="宋体" w:hAnsi="宋体" w:cs="宋体"/>
          <w:color w:val="auto"/>
          <w:sz w:val="24"/>
          <w:lang w:eastAsia="zh-CN"/>
        </w:rPr>
        <w:t>交易发起人</w:t>
      </w:r>
      <w:r>
        <w:rPr>
          <w:rFonts w:hint="eastAsia" w:ascii="宋体" w:hAnsi="宋体" w:cs="宋体"/>
          <w:color w:val="auto"/>
          <w:sz w:val="24"/>
        </w:rPr>
        <w:t>联系并积极跟进采购项目，无特殊原因未及时及时联系</w:t>
      </w:r>
      <w:r>
        <w:rPr>
          <w:rFonts w:hint="eastAsia" w:ascii="宋体" w:hAnsi="宋体" w:cs="宋体"/>
          <w:color w:val="auto"/>
          <w:sz w:val="24"/>
          <w:lang w:eastAsia="zh-CN"/>
        </w:rPr>
        <w:t>交易发起人</w:t>
      </w:r>
      <w:r>
        <w:rPr>
          <w:rFonts w:hint="eastAsia" w:ascii="宋体" w:hAnsi="宋体" w:cs="宋体"/>
          <w:color w:val="auto"/>
          <w:sz w:val="24"/>
        </w:rPr>
        <w:t>超过三次，取消其服务资格。</w:t>
      </w:r>
    </w:p>
    <w:p w14:paraId="3CAF2553">
      <w:pPr>
        <w:spacing w:line="360" w:lineRule="auto"/>
        <w:ind w:firstLine="420"/>
        <w:rPr>
          <w:rFonts w:ascii="宋体" w:hAnsi="宋体" w:cs="宋体"/>
          <w:color w:val="auto"/>
          <w:sz w:val="24"/>
        </w:rPr>
      </w:pPr>
      <w:r>
        <w:rPr>
          <w:rFonts w:hint="eastAsia" w:ascii="宋体" w:hAnsi="宋体" w:cs="宋体"/>
          <w:color w:val="auto"/>
          <w:sz w:val="24"/>
        </w:rPr>
        <w:t>（7）成交单位须确保其代理的采购项目不违背相关法律法规。</w:t>
      </w:r>
    </w:p>
    <w:p w14:paraId="79CC8938">
      <w:pPr>
        <w:pStyle w:val="964"/>
        <w:spacing w:line="360" w:lineRule="auto"/>
        <w:ind w:left="886" w:leftChars="260" w:hanging="340" w:hangingChars="142"/>
        <w:rPr>
          <w:rFonts w:ascii="宋体" w:hAnsi="宋体" w:eastAsia="宋体"/>
          <w:color w:val="auto"/>
          <w:szCs w:val="24"/>
        </w:rPr>
      </w:pPr>
      <w:r>
        <w:rPr>
          <w:rFonts w:hint="eastAsia" w:ascii="宋体" w:hAnsi="宋体" w:eastAsia="宋体"/>
          <w:color w:val="auto"/>
          <w:szCs w:val="24"/>
          <w:lang w:val="en-US" w:eastAsia="zh-CN"/>
        </w:rPr>
        <w:t>4、</w:t>
      </w:r>
      <w:r>
        <w:rPr>
          <w:rFonts w:hint="eastAsia" w:ascii="宋体" w:hAnsi="宋体" w:eastAsia="宋体"/>
          <w:color w:val="auto"/>
          <w:szCs w:val="24"/>
        </w:rPr>
        <w:t>服务期限</w:t>
      </w:r>
      <w:bookmarkEnd w:id="28"/>
      <w:bookmarkEnd w:id="29"/>
      <w:bookmarkEnd w:id="30"/>
    </w:p>
    <w:p w14:paraId="64A95F66">
      <w:pPr>
        <w:spacing w:line="360" w:lineRule="auto"/>
        <w:ind w:firstLine="420"/>
        <w:rPr>
          <w:rFonts w:hint="eastAsia" w:ascii="宋体" w:hAnsi="宋体" w:cs="宋体"/>
          <w:color w:val="auto"/>
          <w:sz w:val="24"/>
        </w:rPr>
      </w:pPr>
      <w:bookmarkStart w:id="31" w:name="_Toc155322447"/>
      <w:bookmarkStart w:id="32" w:name="_Toc229566665"/>
      <w:r>
        <w:rPr>
          <w:rFonts w:hint="eastAsia" w:ascii="宋体" w:hAnsi="宋体" w:cs="宋体"/>
          <w:color w:val="auto"/>
          <w:sz w:val="24"/>
        </w:rPr>
        <w:t>服务期一年（自合同签订之日起）。</w:t>
      </w:r>
      <w:r>
        <w:rPr>
          <w:rFonts w:hint="eastAsia" w:ascii="宋体" w:hAnsi="宋体" w:cs="宋体"/>
          <w:color w:val="auto"/>
          <w:sz w:val="24"/>
          <w:lang w:val="en-US" w:eastAsia="zh-CN"/>
        </w:rPr>
        <w:t>合</w:t>
      </w:r>
      <w:r>
        <w:rPr>
          <w:rFonts w:hint="eastAsia" w:ascii="宋体" w:hAnsi="宋体" w:cs="宋体"/>
          <w:color w:val="auto"/>
          <w:sz w:val="24"/>
        </w:rPr>
        <w:t>同履行完毕后，</w:t>
      </w:r>
      <w:r>
        <w:rPr>
          <w:rFonts w:hint="eastAsia" w:ascii="宋体" w:hAnsi="宋体" w:cs="宋体"/>
          <w:color w:val="auto"/>
          <w:sz w:val="24"/>
          <w:lang w:val="en-US" w:eastAsia="zh-CN"/>
        </w:rPr>
        <w:t>考核合格，可续签合同，总服务期最长不超过3年，合同一年一签。</w:t>
      </w:r>
    </w:p>
    <w:bookmarkEnd w:id="31"/>
    <w:bookmarkEnd w:id="32"/>
    <w:p w14:paraId="680A7EF6">
      <w:pPr>
        <w:spacing w:line="360" w:lineRule="auto"/>
        <w:ind w:firstLine="472" w:firstLineChars="196"/>
        <w:rPr>
          <w:rFonts w:ascii="宋体" w:hAnsi="宋体" w:cs="宋体"/>
          <w:b/>
          <w:bCs/>
          <w:color w:val="auto"/>
          <w:sz w:val="24"/>
        </w:rPr>
      </w:pPr>
      <w:bookmarkStart w:id="33" w:name="_Toc155322448"/>
      <w:bookmarkStart w:id="34" w:name="_Toc19174590"/>
      <w:bookmarkStart w:id="35" w:name="_Toc229566666"/>
      <w:r>
        <w:rPr>
          <w:rFonts w:hint="eastAsia" w:ascii="宋体" w:hAnsi="宋体" w:cs="宋体"/>
          <w:b/>
          <w:bCs/>
          <w:color w:val="auto"/>
          <w:sz w:val="24"/>
          <w:lang w:val="en-US" w:eastAsia="zh-CN"/>
        </w:rPr>
        <w:t>5、</w:t>
      </w:r>
      <w:r>
        <w:rPr>
          <w:rFonts w:hint="eastAsia" w:ascii="宋体" w:hAnsi="宋体" w:cs="宋体"/>
          <w:b/>
          <w:bCs/>
          <w:color w:val="auto"/>
          <w:sz w:val="24"/>
        </w:rPr>
        <w:t>代理费用</w:t>
      </w:r>
      <w:bookmarkEnd w:id="33"/>
      <w:bookmarkEnd w:id="34"/>
      <w:bookmarkEnd w:id="35"/>
      <w:bookmarkStart w:id="36" w:name="_Toc19174591"/>
      <w:bookmarkStart w:id="37" w:name="_Toc381777891"/>
    </w:p>
    <w:p w14:paraId="1718908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（1）本项目采购代理服务费参照《招标代理服务收费管理暂行办法》计价格〔2002〕1980 号文件规定的收费标准结合成交单位承诺的费率计取，单项</w:t>
      </w:r>
      <w:r>
        <w:rPr>
          <w:rFonts w:hint="eastAsia" w:ascii="宋体" w:hAnsi="宋体" w:cs="宋体"/>
          <w:color w:val="auto"/>
          <w:sz w:val="24"/>
          <w:lang w:val="en-US" w:eastAsia="zh-CN"/>
        </w:rPr>
        <w:t>服务费</w:t>
      </w:r>
      <w:r>
        <w:rPr>
          <w:rFonts w:hint="eastAsia" w:ascii="宋体" w:hAnsi="宋体" w:cs="宋体"/>
          <w:color w:val="auto"/>
          <w:sz w:val="24"/>
        </w:rPr>
        <w:t>最终结算金额不足</w:t>
      </w:r>
      <w:r>
        <w:rPr>
          <w:rFonts w:hint="eastAsia" w:ascii="宋体" w:hAnsi="宋体" w:cs="宋体"/>
          <w:color w:val="auto"/>
          <w:sz w:val="24"/>
          <w:lang w:val="en-US" w:eastAsia="zh-CN"/>
        </w:rPr>
        <w:t>2</w:t>
      </w:r>
      <w:r>
        <w:rPr>
          <w:rFonts w:hint="eastAsia" w:ascii="宋体" w:hAnsi="宋体" w:cs="宋体"/>
          <w:color w:val="auto"/>
          <w:sz w:val="24"/>
        </w:rPr>
        <w:t>000元的按</w:t>
      </w:r>
      <w:r>
        <w:rPr>
          <w:rFonts w:hint="eastAsia" w:ascii="宋体" w:hAnsi="宋体" w:cs="宋体"/>
          <w:color w:val="auto"/>
          <w:sz w:val="24"/>
          <w:lang w:val="en-US" w:eastAsia="zh-CN"/>
        </w:rPr>
        <w:t>2</w:t>
      </w:r>
      <w:r>
        <w:rPr>
          <w:rFonts w:hint="eastAsia" w:ascii="宋体" w:hAnsi="宋体" w:cs="宋体"/>
          <w:color w:val="auto"/>
          <w:sz w:val="24"/>
        </w:rPr>
        <w:t>000元计取</w:t>
      </w:r>
      <w:r>
        <w:rPr>
          <w:rFonts w:hint="eastAsia" w:ascii="宋体" w:hAnsi="宋体" w:cs="宋体"/>
          <w:color w:val="auto"/>
          <w:sz w:val="24"/>
          <w:lang w:eastAsia="zh-CN"/>
        </w:rPr>
        <w:t>，</w:t>
      </w:r>
      <w:r>
        <w:rPr>
          <w:rFonts w:hint="eastAsia" w:ascii="宋体" w:hAnsi="宋体" w:cs="宋体"/>
          <w:color w:val="auto"/>
          <w:sz w:val="24"/>
        </w:rPr>
        <w:t>单项</w:t>
      </w:r>
      <w:r>
        <w:rPr>
          <w:rFonts w:hint="eastAsia" w:ascii="宋体" w:hAnsi="宋体" w:cs="宋体"/>
          <w:color w:val="auto"/>
          <w:sz w:val="24"/>
          <w:lang w:eastAsia="zh-CN"/>
        </w:rPr>
        <w:t>采购项目的代理费高于8万元的按8万元计取。</w:t>
      </w:r>
      <w:bookmarkEnd w:id="36"/>
      <w:r>
        <w:rPr>
          <w:rFonts w:hint="eastAsia" w:ascii="宋体" w:hAnsi="宋体" w:cs="宋体"/>
          <w:color w:val="auto"/>
          <w:sz w:val="24"/>
          <w:lang w:eastAsia="zh-CN"/>
        </w:rPr>
        <w:t>专家评审费由交易发起人承担，支付标准参照杭州市公共资源交易中心萧山分中心公布的评审费用计取文件执行。</w:t>
      </w:r>
    </w:p>
    <w:bookmarkEnd w:id="37"/>
    <w:p w14:paraId="77FB5A72">
      <w:pPr>
        <w:pStyle w:val="964"/>
        <w:spacing w:line="360" w:lineRule="auto"/>
        <w:ind w:left="0" w:leftChars="0" w:firstLine="480" w:firstLineChars="200"/>
        <w:rPr>
          <w:rFonts w:ascii="宋体" w:hAnsi="宋体" w:eastAsia="宋体"/>
          <w:color w:val="auto"/>
          <w:szCs w:val="24"/>
        </w:rPr>
      </w:pPr>
      <w:bookmarkStart w:id="38" w:name="_Toc229566667"/>
      <w:bookmarkStart w:id="39" w:name="_Toc155322449"/>
      <w:bookmarkStart w:id="40" w:name="_Toc19174592"/>
      <w:r>
        <w:rPr>
          <w:rFonts w:hint="eastAsia" w:ascii="宋体" w:hAnsi="宋体" w:eastAsia="宋体"/>
          <w:color w:val="auto"/>
          <w:szCs w:val="24"/>
          <w:lang w:val="en-US" w:eastAsia="zh-CN"/>
        </w:rPr>
        <w:t>6、</w:t>
      </w:r>
      <w:r>
        <w:rPr>
          <w:rFonts w:hint="eastAsia" w:ascii="宋体" w:hAnsi="宋体" w:eastAsia="宋体"/>
          <w:color w:val="auto"/>
          <w:szCs w:val="24"/>
        </w:rPr>
        <w:t>中标</w:t>
      </w:r>
      <w:bookmarkEnd w:id="38"/>
      <w:bookmarkEnd w:id="39"/>
      <w:r>
        <w:rPr>
          <w:rFonts w:hint="eastAsia" w:ascii="宋体" w:hAnsi="宋体" w:eastAsia="宋体"/>
          <w:color w:val="auto"/>
          <w:szCs w:val="24"/>
        </w:rPr>
        <w:t>单位</w:t>
      </w:r>
      <w:bookmarkEnd w:id="40"/>
    </w:p>
    <w:p w14:paraId="736A192A">
      <w:pPr>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lang w:eastAsia="zh-CN"/>
        </w:rPr>
        <w:t>本次交易</w:t>
      </w:r>
      <w:r>
        <w:rPr>
          <w:rFonts w:hint="eastAsia" w:ascii="宋体" w:hAnsi="宋体" w:cs="宋体"/>
          <w:color w:val="auto"/>
          <w:sz w:val="24"/>
        </w:rPr>
        <w:t>将根据各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，由评标委员会综合评分后，根据得分由高到低排序，按顺序选择确定</w:t>
      </w:r>
      <w:r>
        <w:rPr>
          <w:rFonts w:hint="eastAsia" w:ascii="宋体" w:hAnsi="宋体" w:cs="宋体"/>
          <w:color w:val="auto"/>
          <w:sz w:val="24"/>
          <w:lang w:val="en-US" w:eastAsia="zh-CN"/>
        </w:rPr>
        <w:t>3</w:t>
      </w:r>
      <w:r>
        <w:rPr>
          <w:rFonts w:hint="eastAsia" w:ascii="宋体" w:hAnsi="宋体" w:cs="宋体"/>
          <w:color w:val="auto"/>
          <w:sz w:val="24"/>
        </w:rPr>
        <w:t>家单位作为</w:t>
      </w:r>
      <w:r>
        <w:rPr>
          <w:rFonts w:hint="eastAsia" w:ascii="宋体" w:hAnsi="宋体" w:cs="宋体"/>
          <w:color w:val="auto"/>
          <w:sz w:val="24"/>
          <w:u w:val="none"/>
          <w:lang w:eastAsia="zh-CN"/>
        </w:rPr>
        <w:t>杭州市萧山区数据资源管理局</w:t>
      </w:r>
      <w:r>
        <w:rPr>
          <w:rFonts w:hint="eastAsia" w:ascii="宋体" w:hAnsi="宋体" w:cs="宋体"/>
          <w:color w:val="auto"/>
          <w:sz w:val="24"/>
          <w:lang w:eastAsia="zh-CN"/>
        </w:rPr>
        <w:t>2025年度采购类招标代理预选供应商</w:t>
      </w:r>
      <w:r>
        <w:rPr>
          <w:rFonts w:hint="eastAsia" w:ascii="宋体" w:hAnsi="宋体" w:cs="宋体"/>
          <w:color w:val="auto"/>
          <w:kern w:val="0"/>
          <w:sz w:val="24"/>
        </w:rPr>
        <w:t>。</w:t>
      </w:r>
      <w:r>
        <w:rPr>
          <w:rFonts w:hint="eastAsia" w:ascii="宋体" w:hAnsi="宋体" w:cs="宋体"/>
          <w:color w:val="auto"/>
          <w:sz w:val="24"/>
        </w:rPr>
        <w:t>中标后，</w:t>
      </w:r>
      <w:r>
        <w:rPr>
          <w:rFonts w:hint="eastAsia" w:ascii="宋体" w:hAnsi="宋体" w:cs="宋体"/>
          <w:color w:val="auto"/>
          <w:sz w:val="24"/>
          <w:lang w:val="en-US" w:eastAsia="zh-CN"/>
        </w:rPr>
        <w:t>成交人</w:t>
      </w:r>
      <w:r>
        <w:rPr>
          <w:rFonts w:hint="eastAsia" w:ascii="宋体" w:hAnsi="宋体" w:cs="宋体"/>
          <w:color w:val="auto"/>
          <w:sz w:val="24"/>
        </w:rPr>
        <w:t>具体委托业务将根据有关文件执行。</w:t>
      </w:r>
    </w:p>
    <w:p w14:paraId="5FB8A3DF">
      <w:pPr>
        <w:snapToGrid w:val="0"/>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lang w:eastAsia="zh-CN"/>
        </w:rPr>
        <w:t>、</w:t>
      </w:r>
      <w:r>
        <w:rPr>
          <w:rFonts w:hint="eastAsia" w:ascii="宋体" w:hAnsi="宋体" w:cs="宋体"/>
          <w:color w:val="auto"/>
          <w:sz w:val="24"/>
        </w:rPr>
        <w:t>付款方式</w:t>
      </w:r>
    </w:p>
    <w:p w14:paraId="46F089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val="en-US" w:eastAsia="zh-CN"/>
        </w:rPr>
        <w:t>代理</w:t>
      </w:r>
      <w:r>
        <w:rPr>
          <w:rFonts w:hint="eastAsia" w:ascii="宋体" w:hAnsi="宋体" w:cs="宋体"/>
          <w:color w:val="auto"/>
          <w:sz w:val="24"/>
        </w:rPr>
        <w:t>完毕并提交</w:t>
      </w:r>
      <w:r>
        <w:rPr>
          <w:rFonts w:hint="eastAsia" w:ascii="宋体" w:hAnsi="宋体" w:cs="宋体"/>
          <w:color w:val="auto"/>
          <w:sz w:val="24"/>
          <w:lang w:val="en-US" w:eastAsia="zh-CN"/>
        </w:rPr>
        <w:t>采购</w:t>
      </w:r>
      <w:r>
        <w:rPr>
          <w:rFonts w:hint="eastAsia" w:ascii="宋体" w:hAnsi="宋体" w:cs="宋体"/>
          <w:color w:val="auto"/>
          <w:sz w:val="24"/>
        </w:rPr>
        <w:t>代理报告后，经委托人审核确认及有关备案工作完成后按照单项</w:t>
      </w:r>
      <w:r>
        <w:rPr>
          <w:rFonts w:hint="eastAsia" w:ascii="宋体" w:hAnsi="宋体" w:cs="宋体"/>
          <w:color w:val="auto"/>
          <w:sz w:val="24"/>
          <w:lang w:val="en-US" w:eastAsia="zh-CN"/>
        </w:rPr>
        <w:t>采购</w:t>
      </w:r>
      <w:r>
        <w:rPr>
          <w:rFonts w:hint="eastAsia" w:ascii="宋体" w:hAnsi="宋体" w:cs="宋体"/>
          <w:color w:val="auto"/>
          <w:sz w:val="24"/>
        </w:rPr>
        <w:t>事项进行结算。</w:t>
      </w:r>
    </w:p>
    <w:p w14:paraId="54C19B4F">
      <w:pPr>
        <w:spacing w:line="360" w:lineRule="auto"/>
        <w:rPr>
          <w:rFonts w:hint="eastAsia" w:ascii="宋体" w:hAnsi="宋体" w:cs="宋体"/>
          <w:b/>
          <w:color w:val="auto"/>
          <w:sz w:val="24"/>
        </w:rPr>
      </w:pPr>
    </w:p>
    <w:p w14:paraId="2DE7E00C">
      <w:pPr>
        <w:spacing w:line="360" w:lineRule="auto"/>
        <w:rPr>
          <w:rFonts w:hint="eastAsia" w:ascii="宋体" w:hAnsi="宋体" w:cs="宋体"/>
          <w:b/>
          <w:color w:val="auto"/>
          <w:sz w:val="24"/>
        </w:rPr>
      </w:pPr>
    </w:p>
    <w:p w14:paraId="61C75DD5">
      <w:pPr>
        <w:spacing w:line="360" w:lineRule="auto"/>
        <w:rPr>
          <w:rFonts w:ascii="宋体" w:hAnsi="宋体" w:cs="宋体"/>
          <w:b/>
          <w:color w:val="auto"/>
          <w:sz w:val="24"/>
        </w:rPr>
      </w:pPr>
      <w:r>
        <w:rPr>
          <w:rFonts w:hint="eastAsia" w:ascii="宋体" w:hAnsi="宋体" w:cs="宋体"/>
          <w:b/>
          <w:color w:val="auto"/>
          <w:sz w:val="24"/>
        </w:rPr>
        <w:t>注：</w:t>
      </w:r>
    </w:p>
    <w:p w14:paraId="5C3E0AA8">
      <w:pPr>
        <w:spacing w:line="360" w:lineRule="auto"/>
        <w:ind w:firstLine="480" w:firstLineChars="200"/>
        <w:rPr>
          <w:rFonts w:ascii="宋体" w:hAnsi="宋体" w:cs="宋体"/>
          <w:color w:val="auto"/>
          <w:sz w:val="24"/>
        </w:rPr>
      </w:pPr>
      <w:r>
        <w:rPr>
          <w:rFonts w:hint="eastAsia" w:ascii="宋体" w:hAnsi="宋体" w:cs="宋体"/>
          <w:color w:val="auto"/>
          <w:sz w:val="24"/>
        </w:rPr>
        <w:t>1.除采购文件标注的推荐品牌外，欢迎其它能满足本项目技术需求且性能与所注品牌相当的产品参与。</w:t>
      </w:r>
    </w:p>
    <w:p w14:paraId="759000C8">
      <w:pPr>
        <w:spacing w:line="360" w:lineRule="auto"/>
        <w:ind w:firstLine="480" w:firstLineChars="200"/>
        <w:rPr>
          <w:rFonts w:ascii="宋体" w:hAnsi="宋体" w:cs="宋体"/>
          <w:color w:val="auto"/>
          <w:sz w:val="24"/>
        </w:rPr>
      </w:pPr>
      <w:r>
        <w:rPr>
          <w:rFonts w:hint="eastAsia" w:ascii="宋体" w:hAnsi="宋体" w:cs="宋体"/>
          <w:color w:val="auto"/>
          <w:sz w:val="24"/>
        </w:rPr>
        <w:t>2.如有附图，仅作参考。</w:t>
      </w:r>
    </w:p>
    <w:p w14:paraId="5E311EF7">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交易文件</w:t>
      </w:r>
      <w:r>
        <w:rPr>
          <w:rFonts w:hint="eastAsia" w:ascii="宋体" w:hAnsi="宋体" w:cs="宋体"/>
          <w:color w:val="auto"/>
          <w:sz w:val="24"/>
        </w:rPr>
        <w:t>中打▲内容为实质性要求，不允许有负偏离，否则将以涉及无效</w:t>
      </w:r>
      <w:r>
        <w:rPr>
          <w:rFonts w:hint="eastAsia" w:ascii="宋体" w:hAnsi="宋体" w:cs="宋体"/>
          <w:color w:val="auto"/>
          <w:sz w:val="24"/>
          <w:lang w:eastAsia="zh-CN"/>
        </w:rPr>
        <w:t>响应</w:t>
      </w:r>
      <w:r>
        <w:rPr>
          <w:rFonts w:hint="eastAsia" w:ascii="宋体" w:hAnsi="宋体" w:cs="宋体"/>
          <w:color w:val="auto"/>
          <w:sz w:val="24"/>
        </w:rPr>
        <w:t>条款作无效</w:t>
      </w:r>
      <w:r>
        <w:rPr>
          <w:rFonts w:hint="eastAsia" w:ascii="宋体" w:hAnsi="宋体" w:cs="宋体"/>
          <w:color w:val="auto"/>
          <w:sz w:val="24"/>
          <w:lang w:eastAsia="zh-CN"/>
        </w:rPr>
        <w:t>响应</w:t>
      </w:r>
      <w:r>
        <w:rPr>
          <w:rFonts w:hint="eastAsia" w:ascii="宋体" w:hAnsi="宋体" w:cs="宋体"/>
          <w:color w:val="auto"/>
          <w:sz w:val="24"/>
        </w:rPr>
        <w:t>。</w:t>
      </w:r>
    </w:p>
    <w:p w14:paraId="4E37C311">
      <w:pPr>
        <w:spacing w:line="360" w:lineRule="auto"/>
        <w:ind w:firstLine="480" w:firstLineChars="200"/>
        <w:rPr>
          <w:rFonts w:ascii="宋体" w:hAnsi="宋体" w:cs="宋体"/>
          <w:color w:val="auto"/>
          <w:sz w:val="24"/>
        </w:rPr>
      </w:pPr>
      <w:r>
        <w:rPr>
          <w:rFonts w:hint="eastAsia" w:ascii="宋体" w:hAnsi="宋体" w:cs="宋体"/>
          <w:color w:val="auto"/>
          <w:sz w:val="24"/>
        </w:rPr>
        <w:t>4.成交供应商所提供的货物、服务须与</w:t>
      </w:r>
      <w:r>
        <w:rPr>
          <w:rFonts w:hint="eastAsia" w:ascii="宋体" w:hAnsi="宋体" w:cs="宋体"/>
          <w:color w:val="auto"/>
          <w:sz w:val="24"/>
          <w:lang w:eastAsia="zh-CN"/>
        </w:rPr>
        <w:t>响应</w:t>
      </w:r>
      <w:r>
        <w:rPr>
          <w:rFonts w:hint="eastAsia" w:ascii="宋体" w:hAnsi="宋体" w:cs="宋体"/>
          <w:color w:val="auto"/>
          <w:sz w:val="24"/>
        </w:rPr>
        <w:t>承诺一致，不得以次充好、偷工减料，若在项目验收中发现有上述情况，将向有关部门举报，根据相关规定进行处理。</w:t>
      </w:r>
    </w:p>
    <w:p w14:paraId="693B7613">
      <w:pPr>
        <w:rPr>
          <w:rFonts w:ascii="宋体" w:hAnsi="宋体" w:cs="宋体"/>
          <w:snapToGrid w:val="0"/>
          <w:color w:val="auto"/>
          <w:kern w:val="0"/>
          <w:sz w:val="24"/>
        </w:rPr>
      </w:pPr>
    </w:p>
    <w:p w14:paraId="751124D7">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41" w:name="_Toc184313304"/>
      <w:bookmarkEnd w:id="41"/>
      <w:bookmarkStart w:id="42" w:name="_Toc184313298"/>
      <w:bookmarkEnd w:id="42"/>
      <w:bookmarkStart w:id="43" w:name="_Toc184314415"/>
      <w:bookmarkEnd w:id="43"/>
      <w:bookmarkStart w:id="44" w:name="_Toc184314463"/>
      <w:bookmarkEnd w:id="44"/>
      <w:bookmarkStart w:id="45" w:name="_Toc184308107"/>
      <w:bookmarkEnd w:id="45"/>
      <w:bookmarkStart w:id="46" w:name="_Toc184313239"/>
      <w:bookmarkEnd w:id="46"/>
      <w:bookmarkStart w:id="47" w:name="_Toc184314426"/>
      <w:bookmarkEnd w:id="47"/>
      <w:bookmarkStart w:id="48" w:name="_Toc184312131"/>
      <w:bookmarkEnd w:id="48"/>
      <w:bookmarkStart w:id="49" w:name="_Toc184308088"/>
      <w:bookmarkEnd w:id="49"/>
      <w:bookmarkStart w:id="50" w:name="_Toc184308050"/>
      <w:bookmarkEnd w:id="50"/>
      <w:bookmarkStart w:id="51" w:name="_Toc184313249"/>
      <w:bookmarkEnd w:id="51"/>
      <w:bookmarkStart w:id="52" w:name="_Toc184313270"/>
      <w:bookmarkEnd w:id="52"/>
      <w:bookmarkStart w:id="53" w:name="_Toc184313250"/>
      <w:bookmarkEnd w:id="53"/>
      <w:bookmarkStart w:id="54" w:name="_Toc184308073"/>
      <w:bookmarkEnd w:id="54"/>
      <w:bookmarkStart w:id="55" w:name="_Toc184308041"/>
      <w:bookmarkEnd w:id="55"/>
      <w:bookmarkStart w:id="56" w:name="_Toc184314456"/>
      <w:bookmarkEnd w:id="56"/>
      <w:bookmarkStart w:id="57" w:name="_Toc184314421"/>
      <w:bookmarkEnd w:id="57"/>
      <w:bookmarkStart w:id="58" w:name="_Toc184312110"/>
      <w:bookmarkEnd w:id="58"/>
      <w:bookmarkStart w:id="59" w:name="_Toc184312096"/>
      <w:bookmarkEnd w:id="59"/>
      <w:bookmarkStart w:id="60" w:name="_Toc184310328"/>
      <w:bookmarkEnd w:id="60"/>
      <w:bookmarkStart w:id="61" w:name="_Toc184312080"/>
      <w:bookmarkEnd w:id="61"/>
      <w:bookmarkStart w:id="62" w:name="_Toc184308055"/>
      <w:bookmarkEnd w:id="62"/>
      <w:bookmarkStart w:id="63" w:name="_Toc184310295"/>
      <w:bookmarkEnd w:id="63"/>
      <w:bookmarkStart w:id="64" w:name="_Toc184313287"/>
      <w:bookmarkEnd w:id="64"/>
      <w:bookmarkStart w:id="65" w:name="_Toc184310301"/>
      <w:bookmarkEnd w:id="65"/>
      <w:bookmarkStart w:id="66" w:name="_Toc184312132"/>
      <w:bookmarkEnd w:id="66"/>
      <w:bookmarkStart w:id="67" w:name="_Toc184308054"/>
      <w:bookmarkEnd w:id="67"/>
      <w:bookmarkStart w:id="68" w:name="_Toc184312133"/>
      <w:bookmarkEnd w:id="68"/>
      <w:bookmarkStart w:id="69" w:name="_Toc184314410"/>
      <w:bookmarkEnd w:id="69"/>
      <w:bookmarkStart w:id="70" w:name="_Toc184310291"/>
      <w:bookmarkEnd w:id="70"/>
      <w:bookmarkStart w:id="71" w:name="_Toc184314473"/>
      <w:bookmarkEnd w:id="71"/>
      <w:bookmarkStart w:id="72" w:name="_Toc184310312"/>
      <w:bookmarkEnd w:id="72"/>
      <w:bookmarkStart w:id="73" w:name="_Toc184313283"/>
      <w:bookmarkEnd w:id="73"/>
      <w:bookmarkStart w:id="74" w:name="_Toc184314441"/>
      <w:bookmarkEnd w:id="74"/>
      <w:bookmarkStart w:id="75" w:name="_Toc184313281"/>
      <w:bookmarkEnd w:id="75"/>
      <w:bookmarkStart w:id="76" w:name="_Toc184314420"/>
      <w:bookmarkEnd w:id="76"/>
      <w:bookmarkStart w:id="77" w:name="_Toc184312126"/>
      <w:bookmarkEnd w:id="77"/>
      <w:bookmarkStart w:id="78" w:name="_Toc184313276"/>
      <w:bookmarkEnd w:id="78"/>
      <w:bookmarkStart w:id="79" w:name="_Toc184312078"/>
      <w:bookmarkEnd w:id="79"/>
      <w:bookmarkStart w:id="80" w:name="_Toc184310288"/>
      <w:bookmarkEnd w:id="80"/>
      <w:bookmarkStart w:id="81" w:name="_Toc184313244"/>
      <w:bookmarkEnd w:id="81"/>
      <w:bookmarkStart w:id="82" w:name="_Toc184314438"/>
      <w:bookmarkEnd w:id="82"/>
      <w:bookmarkStart w:id="83" w:name="_Toc184310273"/>
      <w:bookmarkEnd w:id="83"/>
      <w:bookmarkStart w:id="84" w:name="_Toc184312138"/>
      <w:bookmarkEnd w:id="84"/>
      <w:bookmarkStart w:id="85" w:name="_Toc184308079"/>
      <w:bookmarkEnd w:id="85"/>
      <w:bookmarkStart w:id="86" w:name="_Toc184312105"/>
      <w:bookmarkEnd w:id="86"/>
      <w:bookmarkStart w:id="87" w:name="_Toc184313306"/>
      <w:bookmarkEnd w:id="87"/>
      <w:bookmarkStart w:id="88" w:name="_Toc184310287"/>
      <w:bookmarkEnd w:id="88"/>
      <w:bookmarkStart w:id="89" w:name="_Toc184314477"/>
      <w:bookmarkEnd w:id="89"/>
      <w:bookmarkStart w:id="90" w:name="_Toc184314481"/>
      <w:bookmarkEnd w:id="90"/>
      <w:bookmarkStart w:id="91" w:name="_Toc184308061"/>
      <w:bookmarkEnd w:id="91"/>
      <w:bookmarkStart w:id="92" w:name="_Toc184312079"/>
      <w:bookmarkEnd w:id="92"/>
      <w:bookmarkStart w:id="93" w:name="_Toc184314446"/>
      <w:bookmarkEnd w:id="93"/>
      <w:bookmarkStart w:id="94" w:name="_Toc184314436"/>
      <w:bookmarkEnd w:id="94"/>
      <w:bookmarkStart w:id="95" w:name="_Toc184313269"/>
      <w:bookmarkEnd w:id="95"/>
      <w:bookmarkStart w:id="96" w:name="_Toc184312106"/>
      <w:bookmarkEnd w:id="96"/>
      <w:bookmarkStart w:id="97" w:name="_Toc184312086"/>
      <w:bookmarkEnd w:id="97"/>
      <w:bookmarkStart w:id="98" w:name="_Toc184314411"/>
      <w:bookmarkEnd w:id="98"/>
      <w:bookmarkStart w:id="99" w:name="_Toc184313246"/>
      <w:bookmarkEnd w:id="99"/>
      <w:bookmarkStart w:id="100" w:name="_Toc184312092"/>
      <w:bookmarkEnd w:id="100"/>
      <w:bookmarkStart w:id="101" w:name="_Toc184310305"/>
      <w:bookmarkEnd w:id="101"/>
      <w:bookmarkStart w:id="102" w:name="_Toc184308047"/>
      <w:bookmarkEnd w:id="102"/>
      <w:bookmarkStart w:id="103" w:name="_Toc184310280"/>
      <w:bookmarkEnd w:id="103"/>
      <w:bookmarkStart w:id="104" w:name="_Toc184314416"/>
      <w:bookmarkEnd w:id="104"/>
      <w:bookmarkStart w:id="105" w:name="_Toc184310292"/>
      <w:bookmarkEnd w:id="105"/>
      <w:bookmarkStart w:id="106" w:name="_Toc184312087"/>
      <w:bookmarkEnd w:id="106"/>
      <w:bookmarkStart w:id="107" w:name="_Toc184313241"/>
      <w:bookmarkEnd w:id="107"/>
      <w:bookmarkStart w:id="108" w:name="_Toc184313303"/>
      <w:bookmarkEnd w:id="108"/>
      <w:bookmarkStart w:id="109" w:name="_Toc184310316"/>
      <w:bookmarkEnd w:id="109"/>
      <w:bookmarkStart w:id="110" w:name="_Toc184314459"/>
      <w:bookmarkEnd w:id="110"/>
      <w:bookmarkStart w:id="111" w:name="_Toc184312109"/>
      <w:bookmarkEnd w:id="111"/>
      <w:bookmarkStart w:id="112" w:name="_Toc184313297"/>
      <w:bookmarkEnd w:id="112"/>
      <w:bookmarkStart w:id="113" w:name="_Toc184313280"/>
      <w:bookmarkEnd w:id="113"/>
      <w:bookmarkStart w:id="114" w:name="_Toc184310290"/>
      <w:bookmarkEnd w:id="114"/>
      <w:bookmarkStart w:id="115" w:name="_Toc184313266"/>
      <w:bookmarkEnd w:id="115"/>
      <w:bookmarkStart w:id="116" w:name="_Toc184314458"/>
      <w:bookmarkEnd w:id="116"/>
      <w:bookmarkStart w:id="117" w:name="_Toc184314469"/>
      <w:bookmarkEnd w:id="117"/>
      <w:bookmarkStart w:id="118" w:name="_Toc184312127"/>
      <w:bookmarkEnd w:id="118"/>
      <w:bookmarkStart w:id="119" w:name="_Toc184313261"/>
      <w:bookmarkEnd w:id="119"/>
      <w:bookmarkStart w:id="120" w:name="_Toc184310341"/>
      <w:bookmarkEnd w:id="120"/>
      <w:bookmarkStart w:id="121" w:name="_Toc184312128"/>
      <w:bookmarkEnd w:id="121"/>
      <w:bookmarkStart w:id="122" w:name="_Toc184314418"/>
      <w:bookmarkEnd w:id="122"/>
      <w:bookmarkStart w:id="123" w:name="_Toc184314475"/>
      <w:bookmarkEnd w:id="123"/>
      <w:bookmarkStart w:id="124" w:name="_Toc184314419"/>
      <w:bookmarkEnd w:id="124"/>
      <w:bookmarkStart w:id="125" w:name="_Toc184312122"/>
      <w:bookmarkEnd w:id="125"/>
      <w:bookmarkStart w:id="126" w:name="_Toc184310332"/>
      <w:bookmarkEnd w:id="126"/>
      <w:bookmarkStart w:id="127" w:name="_Toc184314479"/>
      <w:bookmarkEnd w:id="127"/>
      <w:bookmarkStart w:id="128" w:name="_Toc184314445"/>
      <w:bookmarkEnd w:id="128"/>
      <w:bookmarkStart w:id="129" w:name="_Toc184310324"/>
      <w:bookmarkEnd w:id="129"/>
      <w:bookmarkStart w:id="130" w:name="_Toc184310302"/>
      <w:bookmarkEnd w:id="130"/>
      <w:bookmarkStart w:id="131" w:name="_Toc184310323"/>
      <w:bookmarkEnd w:id="131"/>
      <w:bookmarkStart w:id="132" w:name="_Toc184310283"/>
      <w:bookmarkEnd w:id="132"/>
      <w:bookmarkStart w:id="133" w:name="_Toc184313277"/>
      <w:bookmarkEnd w:id="133"/>
      <w:bookmarkStart w:id="134" w:name="_Toc184308097"/>
      <w:bookmarkEnd w:id="134"/>
      <w:bookmarkStart w:id="135" w:name="_Toc184310309"/>
      <w:bookmarkEnd w:id="135"/>
      <w:bookmarkStart w:id="136" w:name="_Toc184314427"/>
      <w:bookmarkEnd w:id="136"/>
      <w:bookmarkStart w:id="137" w:name="_Toc184312104"/>
      <w:bookmarkEnd w:id="137"/>
      <w:bookmarkStart w:id="138" w:name="_Toc184310285"/>
      <w:bookmarkEnd w:id="138"/>
      <w:bookmarkStart w:id="139" w:name="_Toc184308104"/>
      <w:bookmarkEnd w:id="139"/>
      <w:bookmarkStart w:id="140" w:name="_Toc184314467"/>
      <w:bookmarkEnd w:id="140"/>
      <w:bookmarkStart w:id="141" w:name="_Toc184313238"/>
      <w:bookmarkEnd w:id="141"/>
      <w:bookmarkStart w:id="142" w:name="_Toc184312077"/>
      <w:bookmarkEnd w:id="142"/>
      <w:bookmarkStart w:id="143" w:name="_Toc184308100"/>
      <w:bookmarkEnd w:id="143"/>
      <w:bookmarkStart w:id="144" w:name="_Toc184312094"/>
      <w:bookmarkEnd w:id="144"/>
      <w:bookmarkStart w:id="145" w:name="_Toc184310297"/>
      <w:bookmarkEnd w:id="145"/>
      <w:bookmarkStart w:id="146" w:name="_Toc184308092"/>
      <w:bookmarkEnd w:id="146"/>
      <w:bookmarkStart w:id="147" w:name="_Toc184314478"/>
      <w:bookmarkEnd w:id="147"/>
      <w:bookmarkStart w:id="148" w:name="_Toc184312112"/>
      <w:bookmarkEnd w:id="148"/>
      <w:bookmarkStart w:id="149" w:name="_Toc184308085"/>
      <w:bookmarkEnd w:id="149"/>
      <w:bookmarkStart w:id="150" w:name="_Toc184314422"/>
      <w:bookmarkEnd w:id="150"/>
      <w:bookmarkStart w:id="151" w:name="_Toc184312130"/>
      <w:bookmarkEnd w:id="151"/>
      <w:bookmarkStart w:id="152" w:name="_Toc184312090"/>
      <w:bookmarkEnd w:id="152"/>
      <w:bookmarkStart w:id="153" w:name="_Toc184308095"/>
      <w:bookmarkEnd w:id="153"/>
      <w:bookmarkStart w:id="154" w:name="_Toc184308046"/>
      <w:bookmarkEnd w:id="154"/>
      <w:bookmarkStart w:id="155" w:name="_Toc184312099"/>
      <w:bookmarkEnd w:id="155"/>
      <w:bookmarkStart w:id="156" w:name="_Toc184312073"/>
      <w:bookmarkEnd w:id="156"/>
      <w:bookmarkStart w:id="157" w:name="_Toc184310329"/>
      <w:bookmarkEnd w:id="157"/>
      <w:bookmarkStart w:id="158" w:name="_Toc184312121"/>
      <w:bookmarkEnd w:id="158"/>
      <w:bookmarkStart w:id="159" w:name="_Toc184313257"/>
      <w:bookmarkEnd w:id="159"/>
      <w:bookmarkStart w:id="160" w:name="_Toc184308042"/>
      <w:bookmarkEnd w:id="160"/>
      <w:bookmarkStart w:id="161" w:name="_Toc184312091"/>
      <w:bookmarkEnd w:id="161"/>
      <w:bookmarkStart w:id="162" w:name="_Toc184308044"/>
      <w:bookmarkEnd w:id="162"/>
      <w:bookmarkStart w:id="163" w:name="_Toc184308039"/>
      <w:bookmarkEnd w:id="163"/>
      <w:bookmarkStart w:id="164" w:name="_Toc184313256"/>
      <w:bookmarkEnd w:id="164"/>
      <w:bookmarkStart w:id="165" w:name="_Toc184310330"/>
      <w:bookmarkEnd w:id="165"/>
      <w:bookmarkStart w:id="166" w:name="_Toc184310310"/>
      <w:bookmarkEnd w:id="166"/>
      <w:bookmarkStart w:id="167" w:name="_Toc184312124"/>
      <w:bookmarkEnd w:id="167"/>
      <w:bookmarkStart w:id="168" w:name="_Toc184310275"/>
      <w:bookmarkEnd w:id="168"/>
      <w:bookmarkStart w:id="169" w:name="_Toc184312107"/>
      <w:bookmarkEnd w:id="169"/>
      <w:bookmarkStart w:id="170" w:name="_Toc184312103"/>
      <w:bookmarkEnd w:id="170"/>
      <w:bookmarkStart w:id="171" w:name="_Toc184310318"/>
      <w:bookmarkEnd w:id="171"/>
      <w:bookmarkStart w:id="172" w:name="_Toc184310321"/>
      <w:bookmarkEnd w:id="172"/>
      <w:bookmarkStart w:id="173" w:name="_Toc184310284"/>
      <w:bookmarkEnd w:id="173"/>
      <w:bookmarkStart w:id="174" w:name="_Toc184310308"/>
      <w:bookmarkEnd w:id="174"/>
      <w:bookmarkStart w:id="175" w:name="_Toc184313274"/>
      <w:bookmarkEnd w:id="175"/>
      <w:bookmarkStart w:id="176" w:name="_Toc184308081"/>
      <w:bookmarkEnd w:id="176"/>
      <w:bookmarkStart w:id="177" w:name="_Toc184308069"/>
      <w:bookmarkEnd w:id="177"/>
      <w:bookmarkStart w:id="178" w:name="_Toc184310319"/>
      <w:bookmarkEnd w:id="178"/>
      <w:bookmarkStart w:id="179" w:name="_Toc184308066"/>
      <w:bookmarkEnd w:id="179"/>
      <w:bookmarkStart w:id="180" w:name="_Toc184310277"/>
      <w:bookmarkEnd w:id="180"/>
      <w:bookmarkStart w:id="181" w:name="_Toc184313284"/>
      <w:bookmarkEnd w:id="181"/>
      <w:bookmarkStart w:id="182" w:name="_Toc184312068"/>
      <w:bookmarkEnd w:id="182"/>
      <w:bookmarkStart w:id="183" w:name="_Toc184308093"/>
      <w:bookmarkEnd w:id="183"/>
      <w:bookmarkStart w:id="184" w:name="_Toc184313271"/>
      <w:bookmarkEnd w:id="184"/>
      <w:bookmarkStart w:id="185" w:name="_Toc184310300"/>
      <w:bookmarkEnd w:id="185"/>
      <w:bookmarkStart w:id="186" w:name="_Toc184308048"/>
      <w:bookmarkEnd w:id="186"/>
      <w:bookmarkStart w:id="187" w:name="_Toc184313300"/>
      <w:bookmarkEnd w:id="187"/>
      <w:bookmarkStart w:id="188" w:name="_Toc184314460"/>
      <w:bookmarkEnd w:id="188"/>
      <w:bookmarkStart w:id="189" w:name="_Toc184313290"/>
      <w:bookmarkEnd w:id="189"/>
      <w:bookmarkStart w:id="190" w:name="_Toc184308064"/>
      <w:bookmarkEnd w:id="190"/>
      <w:bookmarkStart w:id="191" w:name="_Toc184314450"/>
      <w:bookmarkEnd w:id="191"/>
      <w:bookmarkStart w:id="192" w:name="_Toc184314471"/>
      <w:bookmarkEnd w:id="192"/>
      <w:bookmarkStart w:id="193" w:name="_Toc184308082"/>
      <w:bookmarkEnd w:id="193"/>
      <w:bookmarkStart w:id="194" w:name="_Toc184314425"/>
      <w:bookmarkEnd w:id="194"/>
      <w:bookmarkStart w:id="195" w:name="_Toc184310313"/>
      <w:bookmarkEnd w:id="195"/>
      <w:bookmarkStart w:id="196" w:name="_Toc184310281"/>
      <w:bookmarkEnd w:id="196"/>
      <w:bookmarkStart w:id="197" w:name="_Toc184310331"/>
      <w:bookmarkEnd w:id="197"/>
      <w:bookmarkStart w:id="198" w:name="_Toc184310339"/>
      <w:bookmarkEnd w:id="198"/>
      <w:bookmarkStart w:id="199" w:name="_Toc184313282"/>
      <w:bookmarkEnd w:id="199"/>
      <w:bookmarkStart w:id="200" w:name="_Toc184313240"/>
      <w:bookmarkEnd w:id="200"/>
      <w:bookmarkStart w:id="201" w:name="_Toc184312098"/>
      <w:bookmarkEnd w:id="201"/>
      <w:bookmarkStart w:id="202" w:name="_Toc184313265"/>
      <w:bookmarkEnd w:id="202"/>
      <w:bookmarkStart w:id="203" w:name="_Toc184312084"/>
      <w:bookmarkEnd w:id="203"/>
      <w:bookmarkStart w:id="204" w:name="_Toc184310337"/>
      <w:bookmarkEnd w:id="204"/>
      <w:bookmarkStart w:id="205" w:name="_Toc184310286"/>
      <w:bookmarkEnd w:id="205"/>
      <w:bookmarkStart w:id="206" w:name="_Toc184312097"/>
      <w:bookmarkEnd w:id="206"/>
      <w:bookmarkStart w:id="207" w:name="_Toc184308094"/>
      <w:bookmarkEnd w:id="207"/>
      <w:bookmarkStart w:id="208" w:name="_Toc184310333"/>
      <w:bookmarkEnd w:id="208"/>
      <w:bookmarkStart w:id="209" w:name="_Toc184312136"/>
      <w:bookmarkEnd w:id="209"/>
      <w:bookmarkStart w:id="210" w:name="_Toc184314439"/>
      <w:bookmarkEnd w:id="210"/>
      <w:bookmarkStart w:id="211" w:name="_Toc184312129"/>
      <w:bookmarkEnd w:id="211"/>
      <w:bookmarkStart w:id="212" w:name="_Toc184314417"/>
      <w:bookmarkEnd w:id="212"/>
      <w:bookmarkStart w:id="213" w:name="_Toc184314442"/>
      <w:bookmarkEnd w:id="213"/>
      <w:bookmarkStart w:id="214" w:name="_Toc184313253"/>
      <w:bookmarkEnd w:id="214"/>
      <w:bookmarkStart w:id="215" w:name="_Toc184310338"/>
      <w:bookmarkEnd w:id="215"/>
      <w:bookmarkStart w:id="216" w:name="_Toc184312072"/>
      <w:bookmarkEnd w:id="216"/>
      <w:bookmarkStart w:id="217" w:name="_Toc184310320"/>
      <w:bookmarkEnd w:id="217"/>
      <w:bookmarkStart w:id="218" w:name="_Toc184312082"/>
      <w:bookmarkEnd w:id="218"/>
      <w:bookmarkStart w:id="219" w:name="_Toc184310294"/>
      <w:bookmarkEnd w:id="219"/>
      <w:bookmarkStart w:id="220" w:name="_Toc184308053"/>
      <w:bookmarkEnd w:id="220"/>
      <w:bookmarkStart w:id="221" w:name="_Toc184313247"/>
      <w:bookmarkEnd w:id="221"/>
      <w:bookmarkStart w:id="222" w:name="_Toc184308058"/>
      <w:bookmarkEnd w:id="222"/>
      <w:bookmarkStart w:id="223" w:name="_Toc184310325"/>
      <w:bookmarkEnd w:id="223"/>
      <w:bookmarkStart w:id="224" w:name="_Toc184308062"/>
      <w:bookmarkEnd w:id="224"/>
      <w:bookmarkStart w:id="225" w:name="_Toc184313296"/>
      <w:bookmarkEnd w:id="225"/>
      <w:bookmarkStart w:id="226" w:name="_Toc184308060"/>
      <w:bookmarkEnd w:id="226"/>
      <w:bookmarkStart w:id="227" w:name="_Toc184313278"/>
      <w:bookmarkEnd w:id="227"/>
      <w:bookmarkStart w:id="228" w:name="_Toc184312108"/>
      <w:bookmarkEnd w:id="228"/>
      <w:bookmarkStart w:id="229" w:name="_Toc184312135"/>
      <w:bookmarkEnd w:id="229"/>
      <w:bookmarkStart w:id="230" w:name="_Toc184310303"/>
      <w:bookmarkEnd w:id="230"/>
      <w:bookmarkStart w:id="231" w:name="_Toc184313279"/>
      <w:bookmarkEnd w:id="231"/>
      <w:bookmarkStart w:id="232" w:name="_Toc184310340"/>
      <w:bookmarkEnd w:id="232"/>
      <w:bookmarkStart w:id="233" w:name="_Toc184308036"/>
      <w:bookmarkEnd w:id="233"/>
      <w:bookmarkStart w:id="234" w:name="_Toc184314424"/>
      <w:bookmarkEnd w:id="234"/>
      <w:bookmarkStart w:id="235" w:name="_Toc184313252"/>
      <w:bookmarkEnd w:id="235"/>
      <w:bookmarkStart w:id="236" w:name="_Toc184310279"/>
      <w:bookmarkEnd w:id="236"/>
      <w:bookmarkStart w:id="237" w:name="_Toc184308102"/>
      <w:bookmarkEnd w:id="237"/>
      <w:bookmarkStart w:id="238" w:name="_Toc184310278"/>
      <w:bookmarkEnd w:id="238"/>
      <w:bookmarkStart w:id="239" w:name="_Toc184308067"/>
      <w:bookmarkEnd w:id="239"/>
      <w:bookmarkStart w:id="240" w:name="_Toc184310304"/>
      <w:bookmarkEnd w:id="240"/>
      <w:bookmarkStart w:id="241" w:name="_Toc184310335"/>
      <w:bookmarkEnd w:id="241"/>
      <w:bookmarkStart w:id="242" w:name="_Toc184314466"/>
      <w:bookmarkEnd w:id="242"/>
      <w:bookmarkStart w:id="243" w:name="_Toc184313302"/>
      <w:bookmarkEnd w:id="243"/>
      <w:bookmarkStart w:id="244" w:name="_Toc184308056"/>
      <w:bookmarkEnd w:id="244"/>
      <w:bookmarkStart w:id="245" w:name="_Toc184312069"/>
      <w:bookmarkEnd w:id="245"/>
      <w:bookmarkStart w:id="246" w:name="_Toc184313286"/>
      <w:bookmarkEnd w:id="246"/>
      <w:bookmarkStart w:id="247" w:name="_Toc184314432"/>
      <w:bookmarkEnd w:id="247"/>
      <w:bookmarkStart w:id="248" w:name="_Toc184313293"/>
      <w:bookmarkEnd w:id="248"/>
      <w:bookmarkStart w:id="249" w:name="_Toc184314437"/>
      <w:bookmarkEnd w:id="249"/>
      <w:bookmarkStart w:id="250" w:name="_Toc184314464"/>
      <w:bookmarkEnd w:id="250"/>
      <w:bookmarkStart w:id="251" w:name="_Toc184308098"/>
      <w:bookmarkEnd w:id="251"/>
      <w:bookmarkStart w:id="252" w:name="_Toc184310334"/>
      <w:bookmarkEnd w:id="252"/>
      <w:bookmarkStart w:id="253" w:name="_Toc184313308"/>
      <w:bookmarkEnd w:id="253"/>
      <w:bookmarkStart w:id="254" w:name="_Toc184313299"/>
      <w:bookmarkEnd w:id="254"/>
      <w:bookmarkStart w:id="255" w:name="_Toc184308070"/>
      <w:bookmarkEnd w:id="255"/>
      <w:bookmarkStart w:id="256" w:name="_Toc184308040"/>
      <w:bookmarkEnd w:id="256"/>
      <w:bookmarkStart w:id="257" w:name="_Toc184313310"/>
      <w:bookmarkEnd w:id="257"/>
      <w:bookmarkStart w:id="258" w:name="_Toc184312083"/>
      <w:bookmarkEnd w:id="258"/>
      <w:bookmarkStart w:id="259" w:name="_Toc184314423"/>
      <w:bookmarkEnd w:id="259"/>
      <w:bookmarkStart w:id="260" w:name="_Toc184312134"/>
      <w:bookmarkEnd w:id="260"/>
      <w:bookmarkStart w:id="261" w:name="_Toc184312100"/>
      <w:bookmarkEnd w:id="261"/>
      <w:bookmarkStart w:id="262" w:name="_Toc184313285"/>
      <w:bookmarkEnd w:id="262"/>
      <w:bookmarkStart w:id="263" w:name="_Toc184310326"/>
      <w:bookmarkEnd w:id="263"/>
      <w:bookmarkStart w:id="264" w:name="_Toc184308105"/>
      <w:bookmarkEnd w:id="264"/>
      <w:bookmarkStart w:id="265" w:name="_Toc184308037"/>
      <w:bookmarkEnd w:id="265"/>
      <w:bookmarkStart w:id="266" w:name="_Toc184312095"/>
      <w:bookmarkEnd w:id="266"/>
      <w:bookmarkStart w:id="267" w:name="_Toc184310296"/>
      <w:bookmarkEnd w:id="267"/>
      <w:bookmarkStart w:id="268" w:name="_Toc184314412"/>
      <w:bookmarkEnd w:id="268"/>
      <w:bookmarkStart w:id="269" w:name="_Toc184308086"/>
      <w:bookmarkEnd w:id="269"/>
      <w:bookmarkStart w:id="270" w:name="_Toc184308078"/>
      <w:bookmarkEnd w:id="270"/>
      <w:bookmarkStart w:id="271" w:name="_Toc184312088"/>
      <w:bookmarkEnd w:id="271"/>
      <w:bookmarkStart w:id="272" w:name="_Toc184310272"/>
      <w:bookmarkEnd w:id="272"/>
      <w:bookmarkStart w:id="273" w:name="_Toc184308077"/>
      <w:bookmarkEnd w:id="273"/>
      <w:bookmarkStart w:id="274" w:name="_Toc184314428"/>
      <w:bookmarkEnd w:id="274"/>
      <w:bookmarkStart w:id="275" w:name="_Toc184314461"/>
      <w:bookmarkEnd w:id="275"/>
      <w:bookmarkStart w:id="276" w:name="_Toc184308089"/>
      <w:bookmarkEnd w:id="276"/>
      <w:bookmarkStart w:id="277" w:name="_Toc184312113"/>
      <w:bookmarkEnd w:id="277"/>
      <w:bookmarkStart w:id="278" w:name="_Toc184310344"/>
      <w:bookmarkEnd w:id="278"/>
      <w:bookmarkStart w:id="279" w:name="_Toc184313268"/>
      <w:bookmarkEnd w:id="279"/>
      <w:bookmarkStart w:id="280" w:name="_Toc184313263"/>
      <w:bookmarkEnd w:id="280"/>
      <w:bookmarkStart w:id="281" w:name="_Toc184314433"/>
      <w:bookmarkEnd w:id="281"/>
      <w:bookmarkStart w:id="282" w:name="_Toc184312074"/>
      <w:bookmarkEnd w:id="282"/>
      <w:bookmarkStart w:id="283" w:name="_Toc184313242"/>
      <w:bookmarkEnd w:id="283"/>
      <w:bookmarkStart w:id="284" w:name="_Toc184314448"/>
      <w:bookmarkEnd w:id="284"/>
      <w:bookmarkStart w:id="285" w:name="_Toc184310314"/>
      <w:bookmarkEnd w:id="285"/>
      <w:bookmarkStart w:id="286" w:name="_Toc184312075"/>
      <w:bookmarkEnd w:id="286"/>
      <w:bookmarkStart w:id="287" w:name="_Toc184314434"/>
      <w:bookmarkEnd w:id="287"/>
      <w:bookmarkStart w:id="288" w:name="_Toc184312125"/>
      <w:bookmarkEnd w:id="288"/>
      <w:bookmarkStart w:id="289" w:name="_Toc184308099"/>
      <w:bookmarkEnd w:id="289"/>
      <w:bookmarkStart w:id="290" w:name="_Toc184314414"/>
      <w:bookmarkEnd w:id="290"/>
      <w:bookmarkStart w:id="291" w:name="_Toc184308096"/>
      <w:bookmarkEnd w:id="291"/>
      <w:bookmarkStart w:id="292" w:name="_Toc184313294"/>
      <w:bookmarkEnd w:id="292"/>
      <w:bookmarkStart w:id="293" w:name="_Toc184313264"/>
      <w:bookmarkEnd w:id="293"/>
      <w:bookmarkStart w:id="294" w:name="_Toc184314462"/>
      <w:bookmarkEnd w:id="294"/>
      <w:bookmarkStart w:id="295" w:name="_Toc184314474"/>
      <w:bookmarkEnd w:id="295"/>
      <w:bookmarkStart w:id="296" w:name="_Toc184312067"/>
      <w:bookmarkEnd w:id="296"/>
      <w:bookmarkStart w:id="297" w:name="_Toc184308101"/>
      <w:bookmarkEnd w:id="297"/>
      <w:bookmarkStart w:id="298" w:name="_Toc184312118"/>
      <w:bookmarkEnd w:id="298"/>
      <w:bookmarkStart w:id="299" w:name="_Toc184312076"/>
      <w:bookmarkEnd w:id="299"/>
      <w:bookmarkStart w:id="300" w:name="_Toc184308074"/>
      <w:bookmarkEnd w:id="300"/>
      <w:bookmarkStart w:id="301" w:name="_Toc184312137"/>
      <w:bookmarkEnd w:id="301"/>
      <w:bookmarkStart w:id="302" w:name="_Toc184312101"/>
      <w:bookmarkEnd w:id="302"/>
      <w:bookmarkStart w:id="303" w:name="_Toc184310299"/>
      <w:bookmarkEnd w:id="303"/>
      <w:bookmarkStart w:id="304" w:name="_Toc184314454"/>
      <w:bookmarkEnd w:id="304"/>
      <w:bookmarkStart w:id="305" w:name="_Toc184308068"/>
      <w:bookmarkEnd w:id="305"/>
      <w:bookmarkStart w:id="306" w:name="_Toc184308071"/>
      <w:bookmarkEnd w:id="306"/>
      <w:bookmarkStart w:id="307" w:name="_Toc184314449"/>
      <w:bookmarkEnd w:id="307"/>
      <w:bookmarkStart w:id="308" w:name="_Toc184313258"/>
      <w:bookmarkEnd w:id="308"/>
      <w:bookmarkStart w:id="309" w:name="_Toc184313255"/>
      <w:bookmarkEnd w:id="309"/>
      <w:bookmarkStart w:id="310" w:name="_Toc184313251"/>
      <w:bookmarkEnd w:id="310"/>
      <w:bookmarkStart w:id="311" w:name="_Toc184310343"/>
      <w:bookmarkEnd w:id="311"/>
      <w:bookmarkStart w:id="312" w:name="_Toc184313301"/>
      <w:bookmarkEnd w:id="312"/>
      <w:bookmarkStart w:id="313" w:name="_Toc184308084"/>
      <w:bookmarkEnd w:id="313"/>
      <w:bookmarkStart w:id="314" w:name="_Toc184308108"/>
      <w:bookmarkEnd w:id="314"/>
      <w:bookmarkStart w:id="315" w:name="_Toc184313288"/>
      <w:bookmarkEnd w:id="315"/>
      <w:bookmarkStart w:id="316" w:name="_Toc184313260"/>
      <w:bookmarkEnd w:id="316"/>
      <w:bookmarkStart w:id="317" w:name="_Toc184310274"/>
      <w:bookmarkEnd w:id="317"/>
      <w:bookmarkStart w:id="318" w:name="_Toc184314444"/>
      <w:bookmarkEnd w:id="318"/>
      <w:bookmarkStart w:id="319" w:name="_Toc184314430"/>
      <w:bookmarkEnd w:id="319"/>
      <w:bookmarkStart w:id="320" w:name="_Toc184308090"/>
      <w:bookmarkEnd w:id="320"/>
      <w:bookmarkStart w:id="321" w:name="_Toc184312119"/>
      <w:bookmarkEnd w:id="321"/>
      <w:bookmarkStart w:id="322" w:name="_Toc184308076"/>
      <w:bookmarkEnd w:id="322"/>
      <w:bookmarkStart w:id="323" w:name="_Toc184314482"/>
      <w:bookmarkEnd w:id="323"/>
      <w:bookmarkStart w:id="324" w:name="_Toc184310289"/>
      <w:bookmarkEnd w:id="324"/>
      <w:bookmarkStart w:id="325" w:name="_Toc184310306"/>
      <w:bookmarkEnd w:id="325"/>
      <w:bookmarkStart w:id="326" w:name="_Toc184310342"/>
      <w:bookmarkEnd w:id="326"/>
      <w:bookmarkStart w:id="327" w:name="_Toc184308049"/>
      <w:bookmarkEnd w:id="327"/>
      <w:bookmarkStart w:id="328" w:name="_Toc184310327"/>
      <w:bookmarkEnd w:id="328"/>
      <w:bookmarkStart w:id="329" w:name="_Toc184314451"/>
      <w:bookmarkEnd w:id="329"/>
      <w:bookmarkStart w:id="330" w:name="_Toc184308051"/>
      <w:bookmarkEnd w:id="330"/>
      <w:bookmarkStart w:id="331" w:name="_Toc184310315"/>
      <w:bookmarkEnd w:id="331"/>
      <w:bookmarkStart w:id="332" w:name="_Toc184314447"/>
      <w:bookmarkEnd w:id="332"/>
      <w:bookmarkStart w:id="333" w:name="_Toc184308075"/>
      <w:bookmarkEnd w:id="333"/>
      <w:bookmarkStart w:id="334" w:name="_Toc184308065"/>
      <w:bookmarkEnd w:id="334"/>
      <w:bookmarkStart w:id="335" w:name="_Toc184313262"/>
      <w:bookmarkEnd w:id="335"/>
      <w:bookmarkStart w:id="336" w:name="_Toc184313272"/>
      <w:bookmarkEnd w:id="336"/>
      <w:bookmarkStart w:id="337" w:name="_Toc184308103"/>
      <w:bookmarkEnd w:id="337"/>
      <w:bookmarkStart w:id="338" w:name="_Toc184314443"/>
      <w:bookmarkEnd w:id="338"/>
      <w:bookmarkStart w:id="339" w:name="_Toc184314457"/>
      <w:bookmarkEnd w:id="339"/>
      <w:bookmarkStart w:id="340" w:name="_Toc184313245"/>
      <w:bookmarkEnd w:id="340"/>
      <w:bookmarkStart w:id="341" w:name="_Toc184312115"/>
      <w:bookmarkEnd w:id="341"/>
      <w:bookmarkStart w:id="342" w:name="_Toc184308052"/>
      <w:bookmarkEnd w:id="342"/>
      <w:bookmarkStart w:id="343" w:name="_Toc184312117"/>
      <w:bookmarkEnd w:id="343"/>
      <w:bookmarkStart w:id="344" w:name="_Toc184308087"/>
      <w:bookmarkEnd w:id="344"/>
      <w:bookmarkStart w:id="345" w:name="_Toc184314472"/>
      <w:bookmarkEnd w:id="345"/>
      <w:bookmarkStart w:id="346" w:name="_Toc184313307"/>
      <w:bookmarkEnd w:id="346"/>
      <w:bookmarkStart w:id="347" w:name="_Toc184314440"/>
      <w:bookmarkEnd w:id="347"/>
      <w:bookmarkStart w:id="348" w:name="_Toc184312120"/>
      <w:bookmarkEnd w:id="348"/>
      <w:bookmarkStart w:id="349" w:name="_Toc184312116"/>
      <w:bookmarkEnd w:id="349"/>
      <w:bookmarkStart w:id="350" w:name="_Toc184313305"/>
      <w:bookmarkEnd w:id="350"/>
      <w:bookmarkStart w:id="351" w:name="_Toc184313275"/>
      <w:bookmarkEnd w:id="351"/>
      <w:bookmarkStart w:id="352" w:name="_Toc184308091"/>
      <w:bookmarkEnd w:id="352"/>
      <w:bookmarkStart w:id="353" w:name="_Toc184313291"/>
      <w:bookmarkEnd w:id="353"/>
      <w:bookmarkStart w:id="354" w:name="_Toc184312111"/>
      <w:bookmarkEnd w:id="354"/>
      <w:bookmarkStart w:id="355" w:name="_Toc184308072"/>
      <w:bookmarkEnd w:id="355"/>
      <w:bookmarkStart w:id="356" w:name="_Toc184313254"/>
      <w:bookmarkEnd w:id="356"/>
      <w:bookmarkStart w:id="357" w:name="_Toc184313273"/>
      <w:bookmarkEnd w:id="357"/>
      <w:bookmarkStart w:id="358" w:name="_Toc184312071"/>
      <w:bookmarkEnd w:id="358"/>
      <w:bookmarkStart w:id="359" w:name="_Toc184314431"/>
      <w:bookmarkEnd w:id="359"/>
      <w:bookmarkStart w:id="360" w:name="_Toc184314453"/>
      <w:bookmarkEnd w:id="360"/>
      <w:bookmarkStart w:id="361" w:name="_Toc184308043"/>
      <w:bookmarkEnd w:id="361"/>
      <w:bookmarkStart w:id="362" w:name="_Toc184310276"/>
      <w:bookmarkEnd w:id="362"/>
      <w:bookmarkStart w:id="363" w:name="_Toc184308106"/>
      <w:bookmarkEnd w:id="363"/>
      <w:bookmarkStart w:id="364" w:name="_Toc184313292"/>
      <w:bookmarkEnd w:id="364"/>
      <w:bookmarkStart w:id="365" w:name="_Toc184308059"/>
      <w:bookmarkEnd w:id="365"/>
      <w:bookmarkStart w:id="366" w:name="_Toc184314435"/>
      <w:bookmarkEnd w:id="366"/>
      <w:bookmarkStart w:id="367" w:name="_Toc184308063"/>
      <w:bookmarkEnd w:id="367"/>
      <w:bookmarkStart w:id="368" w:name="_Toc184310293"/>
      <w:bookmarkEnd w:id="368"/>
      <w:bookmarkStart w:id="369" w:name="_Toc184312081"/>
      <w:bookmarkEnd w:id="369"/>
      <w:bookmarkStart w:id="370" w:name="_Toc184312123"/>
      <w:bookmarkEnd w:id="370"/>
      <w:bookmarkStart w:id="371" w:name="_Toc184313248"/>
      <w:bookmarkEnd w:id="371"/>
      <w:bookmarkStart w:id="372" w:name="_Toc184314468"/>
      <w:bookmarkEnd w:id="372"/>
      <w:bookmarkStart w:id="373" w:name="_Toc184310298"/>
      <w:bookmarkEnd w:id="373"/>
      <w:bookmarkStart w:id="374" w:name="_Toc184314476"/>
      <w:bookmarkEnd w:id="374"/>
      <w:bookmarkStart w:id="375" w:name="_Toc184308045"/>
      <w:bookmarkEnd w:id="375"/>
      <w:bookmarkStart w:id="376" w:name="_Toc184312089"/>
      <w:bookmarkEnd w:id="376"/>
      <w:bookmarkStart w:id="377" w:name="_Toc184314429"/>
      <w:bookmarkEnd w:id="377"/>
      <w:bookmarkStart w:id="378" w:name="_Toc184312139"/>
      <w:bookmarkEnd w:id="378"/>
      <w:bookmarkStart w:id="379" w:name="_Toc184312085"/>
      <w:bookmarkEnd w:id="379"/>
      <w:bookmarkStart w:id="380" w:name="_Toc184308080"/>
      <w:bookmarkEnd w:id="380"/>
      <w:bookmarkStart w:id="381" w:name="_Toc184312114"/>
      <w:bookmarkEnd w:id="381"/>
      <w:bookmarkStart w:id="382" w:name="_Toc184313267"/>
      <w:bookmarkEnd w:id="382"/>
      <w:bookmarkStart w:id="383" w:name="_Toc184314465"/>
      <w:bookmarkEnd w:id="383"/>
      <w:bookmarkStart w:id="384" w:name="_Toc184314413"/>
      <w:bookmarkEnd w:id="384"/>
      <w:bookmarkStart w:id="385" w:name="_Toc184310282"/>
      <w:bookmarkEnd w:id="385"/>
      <w:bookmarkStart w:id="386" w:name="_Toc184314470"/>
      <w:bookmarkEnd w:id="386"/>
      <w:bookmarkStart w:id="387" w:name="_Toc184310311"/>
      <w:bookmarkEnd w:id="387"/>
      <w:bookmarkStart w:id="388" w:name="_Toc184312093"/>
      <w:bookmarkEnd w:id="388"/>
      <w:bookmarkStart w:id="389" w:name="_Toc184314480"/>
      <w:bookmarkEnd w:id="389"/>
      <w:bookmarkStart w:id="390" w:name="_Toc184313295"/>
      <w:bookmarkEnd w:id="390"/>
      <w:bookmarkStart w:id="391" w:name="_Toc184313309"/>
      <w:bookmarkEnd w:id="391"/>
      <w:bookmarkStart w:id="392" w:name="_Toc184308038"/>
      <w:bookmarkEnd w:id="392"/>
      <w:bookmarkStart w:id="393" w:name="_Toc184310336"/>
      <w:bookmarkEnd w:id="393"/>
      <w:bookmarkStart w:id="394" w:name="_Toc184313243"/>
      <w:bookmarkEnd w:id="394"/>
      <w:bookmarkStart w:id="395" w:name="_Toc184312070"/>
      <w:bookmarkEnd w:id="395"/>
      <w:bookmarkStart w:id="396" w:name="_Toc184310307"/>
      <w:bookmarkEnd w:id="396"/>
      <w:bookmarkStart w:id="397" w:name="_Toc184308083"/>
      <w:bookmarkEnd w:id="397"/>
      <w:bookmarkStart w:id="398" w:name="_Toc184312102"/>
      <w:bookmarkEnd w:id="398"/>
      <w:bookmarkStart w:id="399" w:name="_Toc184313259"/>
      <w:bookmarkEnd w:id="399"/>
      <w:bookmarkStart w:id="400" w:name="_Toc184308057"/>
      <w:bookmarkEnd w:id="400"/>
      <w:bookmarkStart w:id="401" w:name="_Toc184314452"/>
      <w:bookmarkEnd w:id="401"/>
      <w:bookmarkStart w:id="402" w:name="_Toc184310322"/>
      <w:bookmarkEnd w:id="402"/>
      <w:bookmarkStart w:id="403" w:name="_Toc184314455"/>
      <w:bookmarkEnd w:id="403"/>
      <w:bookmarkStart w:id="404" w:name="_Toc184310317"/>
      <w:bookmarkEnd w:id="404"/>
      <w:bookmarkStart w:id="405" w:name="_Toc184313289"/>
      <w:bookmarkEnd w:id="405"/>
      <w:r>
        <w:rPr>
          <w:rFonts w:hint="eastAsia" w:ascii="宋体" w:hAnsi="宋体" w:cs="宋体"/>
          <w:b/>
          <w:color w:val="auto"/>
          <w:sz w:val="36"/>
          <w:szCs w:val="36"/>
        </w:rPr>
        <w:t>评标办法</w:t>
      </w:r>
    </w:p>
    <w:p w14:paraId="17D016E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66473958">
      <w:pPr>
        <w:autoSpaceDE w:val="0"/>
        <w:autoSpaceDN w:val="0"/>
        <w:spacing w:line="360" w:lineRule="auto"/>
        <w:ind w:firstLine="482" w:firstLineChars="200"/>
        <w:rPr>
          <w:rFonts w:ascii="宋体" w:hAnsi="宋体" w:cs="宋体"/>
          <w:color w:val="auto"/>
          <w:sz w:val="24"/>
        </w:rPr>
      </w:pPr>
      <w:r>
        <w:rPr>
          <w:rFonts w:hint="eastAsia" w:ascii="宋体" w:hAnsi="宋体" w:cs="宋体"/>
          <w:b/>
          <w:color w:val="auto"/>
          <w:sz w:val="24"/>
        </w:rPr>
        <w:t>本项目采用</w:t>
      </w:r>
      <w:r>
        <w:rPr>
          <w:rFonts w:hint="eastAsia" w:ascii="宋体" w:hAnsi="宋体" w:cs="宋体"/>
          <w:b/>
          <w:color w:val="auto"/>
          <w:sz w:val="24"/>
          <w:lang w:eastAsia="zh-CN"/>
        </w:rPr>
        <w:t>综合评估法</w:t>
      </w:r>
      <w:r>
        <w:rPr>
          <w:rFonts w:hint="eastAsia" w:ascii="宋体" w:hAnsi="宋体" w:cs="宋体"/>
          <w:color w:val="auto"/>
          <w:sz w:val="24"/>
        </w:rPr>
        <w:t>：</w:t>
      </w:r>
    </w:p>
    <w:p w14:paraId="770CF138">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评标委员会将对各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w:t>
      </w:r>
      <w:r>
        <w:rPr>
          <w:rFonts w:hint="eastAsia" w:ascii="宋体" w:hAnsi="宋体" w:cs="宋体"/>
          <w:color w:val="auto"/>
          <w:sz w:val="24"/>
        </w:rPr>
        <w:t>报价、</w:t>
      </w:r>
      <w:r>
        <w:rPr>
          <w:rFonts w:hint="eastAsia" w:ascii="宋体" w:hAnsi="宋体" w:cs="宋体"/>
          <w:color w:val="auto"/>
          <w:sz w:val="24"/>
          <w:lang w:eastAsia="zh-CN"/>
        </w:rPr>
        <w:t>供应商</w:t>
      </w:r>
      <w:r>
        <w:rPr>
          <w:rFonts w:hint="eastAsia" w:ascii="宋体" w:hAnsi="宋体" w:cs="宋体"/>
          <w:color w:val="auto"/>
          <w:sz w:val="24"/>
        </w:rPr>
        <w:t>提供的资信与商务部分、技术部分等方面进行综合评审，评标委员会各成员应当独立对每个有效</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进行评价、打分。经统计，得出各</w:t>
      </w:r>
      <w:r>
        <w:rPr>
          <w:rFonts w:hint="eastAsia" w:ascii="宋体" w:hAnsi="宋体" w:cs="宋体"/>
          <w:color w:val="auto"/>
          <w:sz w:val="24"/>
          <w:lang w:eastAsia="zh-CN"/>
        </w:rPr>
        <w:t>供应商</w:t>
      </w:r>
      <w:r>
        <w:rPr>
          <w:rFonts w:hint="eastAsia" w:ascii="宋体" w:hAnsi="宋体" w:cs="宋体"/>
          <w:color w:val="auto"/>
          <w:sz w:val="24"/>
        </w:rPr>
        <w:t>的最终评审分,按最终评审分由高到低顺序排列。得分相同的，按响应报价由低到高顺序排列，</w:t>
      </w:r>
      <w:r>
        <w:rPr>
          <w:rFonts w:hint="eastAsia" w:ascii="宋体" w:hAnsi="宋体" w:cs="宋体"/>
          <w:color w:val="auto"/>
          <w:sz w:val="24"/>
          <w:szCs w:val="21"/>
        </w:rPr>
        <w:t>得分且响应报价相同的并列</w:t>
      </w:r>
      <w:r>
        <w:rPr>
          <w:rFonts w:hint="eastAsia" w:ascii="宋体" w:hAnsi="宋体" w:cs="宋体"/>
          <w:color w:val="auto"/>
          <w:sz w:val="24"/>
        </w:rPr>
        <w:t xml:space="preserve">，并形成评标意见。 </w:t>
      </w:r>
    </w:p>
    <w:p w14:paraId="3898B3F9">
      <w:pPr>
        <w:spacing w:line="360" w:lineRule="auto"/>
        <w:ind w:left="105" w:leftChars="50" w:firstLine="427" w:firstLineChars="178"/>
        <w:rPr>
          <w:rFonts w:ascii="宋体" w:hAnsi="宋体" w:cs="宋体"/>
          <w:color w:val="auto"/>
          <w:sz w:val="24"/>
        </w:rPr>
      </w:pPr>
      <w:r>
        <w:rPr>
          <w:rFonts w:hint="eastAsia" w:ascii="宋体" w:hAnsi="宋体" w:cs="宋体"/>
          <w:color w:val="auto"/>
          <w:sz w:val="24"/>
        </w:rPr>
        <w:t>各</w:t>
      </w:r>
      <w:r>
        <w:rPr>
          <w:rFonts w:hint="eastAsia" w:ascii="宋体" w:hAnsi="宋体" w:cs="宋体"/>
          <w:color w:val="auto"/>
          <w:sz w:val="24"/>
          <w:lang w:eastAsia="zh-CN"/>
        </w:rPr>
        <w:t>供应商</w:t>
      </w:r>
      <w:r>
        <w:rPr>
          <w:rFonts w:hint="eastAsia" w:ascii="宋体" w:hAnsi="宋体" w:cs="宋体"/>
          <w:color w:val="auto"/>
          <w:sz w:val="24"/>
        </w:rPr>
        <w:t>的综合得分为：</w:t>
      </w:r>
      <w:r>
        <w:rPr>
          <w:rFonts w:hint="eastAsia" w:ascii="宋体" w:hAnsi="宋体" w:cs="宋体"/>
          <w:color w:val="auto"/>
          <w:sz w:val="24"/>
          <w:lang w:eastAsia="zh-CN"/>
        </w:rPr>
        <w:t>响应</w:t>
      </w:r>
      <w:r>
        <w:rPr>
          <w:rFonts w:hint="eastAsia" w:ascii="宋体" w:hAnsi="宋体" w:cs="宋体"/>
          <w:color w:val="auto"/>
          <w:sz w:val="24"/>
        </w:rPr>
        <w:t>价格得分+</w:t>
      </w:r>
      <w:r>
        <w:rPr>
          <w:rFonts w:hint="eastAsia" w:ascii="宋体" w:hAnsi="宋体" w:cs="宋体"/>
          <w:bCs/>
          <w:color w:val="auto"/>
          <w:sz w:val="24"/>
        </w:rPr>
        <w:t>技术部分</w:t>
      </w:r>
      <w:r>
        <w:rPr>
          <w:rFonts w:hint="eastAsia" w:ascii="宋体" w:hAnsi="宋体" w:cs="宋体"/>
          <w:color w:val="auto"/>
          <w:sz w:val="24"/>
        </w:rPr>
        <w:t>得分+资信与商务部分得分之和，总和为</w:t>
      </w:r>
      <w:r>
        <w:rPr>
          <w:rFonts w:hint="eastAsia" w:ascii="宋体" w:hAnsi="宋体" w:cs="宋体"/>
          <w:color w:val="auto"/>
          <w:sz w:val="24"/>
          <w:u w:val="single"/>
        </w:rPr>
        <w:t>100</w:t>
      </w:r>
      <w:r>
        <w:rPr>
          <w:rFonts w:hint="eastAsia" w:ascii="宋体" w:hAnsi="宋体" w:cs="宋体"/>
          <w:color w:val="auto"/>
          <w:sz w:val="24"/>
        </w:rPr>
        <w:t xml:space="preserve">分， </w:t>
      </w:r>
    </w:p>
    <w:p w14:paraId="295AAFE4">
      <w:pPr>
        <w:pStyle w:val="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的技术和服务方案、</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资信与商务部分得分为：评标委员会各成员评分的算术平均值。各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价格得分按</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价格评分公式由采购机构计算，评标委员会审核。根据上述评标原则，分值安排如下：</w:t>
      </w:r>
    </w:p>
    <w:p w14:paraId="0A8B0012">
      <w:pPr>
        <w:pStyle w:val="232"/>
        <w:spacing w:line="360" w:lineRule="auto"/>
        <w:rPr>
          <w:rFonts w:ascii="宋体" w:hAnsi="宋体" w:eastAsia="宋体" w:cs="宋体"/>
          <w:color w:val="auto"/>
          <w:kern w:val="2"/>
        </w:rPr>
      </w:pPr>
      <w:r>
        <w:rPr>
          <w:rFonts w:hint="eastAsia" w:ascii="宋体" w:hAnsi="宋体" w:eastAsia="宋体" w:cs="宋体"/>
          <w:color w:val="auto"/>
          <w:kern w:val="2"/>
        </w:rPr>
        <w:t>商务技术评分表（</w:t>
      </w:r>
      <w:r>
        <w:rPr>
          <w:rFonts w:hint="eastAsia" w:ascii="宋体" w:hAnsi="宋体" w:eastAsia="宋体" w:cs="宋体"/>
          <w:color w:val="auto"/>
          <w:kern w:val="2"/>
          <w:lang w:val="en-US" w:eastAsia="zh-CN"/>
        </w:rPr>
        <w:t>7</w:t>
      </w:r>
      <w:r>
        <w:rPr>
          <w:rFonts w:hint="eastAsia" w:ascii="宋体" w:hAnsi="宋体" w:eastAsia="宋体" w:cs="宋体"/>
          <w:color w:val="auto"/>
          <w:kern w:val="2"/>
        </w:rPr>
        <w:t>0分）：</w:t>
      </w:r>
    </w:p>
    <w:p w14:paraId="22ADCFF4">
      <w:pPr>
        <w:numPr>
          <w:ilvl w:val="0"/>
          <w:numId w:val="3"/>
        </w:numPr>
        <w:adjustRightInd/>
        <w:spacing w:line="360" w:lineRule="auto"/>
        <w:rPr>
          <w:rFonts w:ascii="宋体" w:hAnsi="宋体" w:cs="宋体"/>
          <w:color w:val="auto"/>
          <w:sz w:val="24"/>
        </w:rPr>
      </w:pPr>
      <w:r>
        <w:rPr>
          <w:rFonts w:hint="eastAsia" w:ascii="宋体" w:hAnsi="宋体" w:cs="宋体"/>
          <w:color w:val="auto"/>
          <w:sz w:val="24"/>
        </w:rPr>
        <w:t>商务资信（</w:t>
      </w:r>
      <w:r>
        <w:rPr>
          <w:rFonts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分）</w:t>
      </w:r>
    </w:p>
    <w:tbl>
      <w:tblPr>
        <w:tblStyle w:val="62"/>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5"/>
        <w:gridCol w:w="6600"/>
        <w:gridCol w:w="1213"/>
        <w:gridCol w:w="1213"/>
      </w:tblGrid>
      <w:tr w14:paraId="303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5" w:type="dxa"/>
            <w:noWrap w:val="0"/>
            <w:vAlign w:val="center"/>
          </w:tcPr>
          <w:p w14:paraId="2289A630">
            <w:pPr>
              <w:widowControl/>
              <w:spacing w:line="360" w:lineRule="exact"/>
              <w:jc w:val="center"/>
              <w:rPr>
                <w:rFonts w:ascii="宋体" w:hAnsi="宋体" w:cs="宋体"/>
                <w:color w:val="auto"/>
                <w:kern w:val="0"/>
                <w:sz w:val="24"/>
              </w:rPr>
            </w:pPr>
            <w:r>
              <w:rPr>
                <w:rFonts w:hint="eastAsia" w:ascii="宋体" w:hAnsi="宋体" w:cs="宋体"/>
                <w:color w:val="auto"/>
                <w:kern w:val="0"/>
                <w:sz w:val="24"/>
              </w:rPr>
              <w:t>序号</w:t>
            </w:r>
          </w:p>
        </w:tc>
        <w:tc>
          <w:tcPr>
            <w:tcW w:w="7125" w:type="dxa"/>
            <w:gridSpan w:val="2"/>
            <w:noWrap w:val="0"/>
            <w:vAlign w:val="center"/>
          </w:tcPr>
          <w:p w14:paraId="3BA4E346">
            <w:pPr>
              <w:widowControl/>
              <w:spacing w:line="360" w:lineRule="exact"/>
              <w:jc w:val="center"/>
              <w:rPr>
                <w:rFonts w:ascii="宋体" w:hAnsi="宋体" w:cs="宋体"/>
                <w:color w:val="auto"/>
                <w:kern w:val="0"/>
                <w:sz w:val="24"/>
              </w:rPr>
            </w:pPr>
            <w:r>
              <w:rPr>
                <w:rFonts w:hint="eastAsia" w:ascii="宋体" w:hAnsi="宋体" w:cs="宋体"/>
                <w:color w:val="auto"/>
                <w:kern w:val="0"/>
                <w:sz w:val="24"/>
              </w:rPr>
              <w:t>评分内容和标准</w:t>
            </w:r>
          </w:p>
        </w:tc>
        <w:tc>
          <w:tcPr>
            <w:tcW w:w="1213" w:type="dxa"/>
            <w:noWrap w:val="0"/>
            <w:vAlign w:val="center"/>
          </w:tcPr>
          <w:p w14:paraId="5A9D32A4">
            <w:pPr>
              <w:widowControl/>
              <w:spacing w:line="360" w:lineRule="exact"/>
              <w:jc w:val="center"/>
              <w:rPr>
                <w:rFonts w:ascii="宋体" w:hAnsi="宋体" w:cs="宋体"/>
                <w:color w:val="auto"/>
                <w:kern w:val="0"/>
                <w:sz w:val="24"/>
              </w:rPr>
            </w:pPr>
            <w:r>
              <w:rPr>
                <w:rFonts w:hint="eastAsia" w:ascii="宋体" w:hAnsi="宋体" w:cs="宋体"/>
                <w:color w:val="auto"/>
                <w:kern w:val="0"/>
                <w:sz w:val="24"/>
              </w:rPr>
              <w:t>分值区间</w:t>
            </w:r>
          </w:p>
        </w:tc>
        <w:tc>
          <w:tcPr>
            <w:tcW w:w="1213" w:type="dxa"/>
            <w:noWrap w:val="0"/>
            <w:vAlign w:val="center"/>
          </w:tcPr>
          <w:p w14:paraId="1733F545">
            <w:pPr>
              <w:widowControl/>
              <w:spacing w:line="3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主/客观分</w:t>
            </w:r>
          </w:p>
        </w:tc>
      </w:tr>
      <w:tr w14:paraId="403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5" w:type="dxa"/>
            <w:vMerge w:val="restart"/>
            <w:shd w:val="clear" w:color="auto" w:fill="auto"/>
            <w:noWrap w:val="0"/>
            <w:vAlign w:val="center"/>
          </w:tcPr>
          <w:p w14:paraId="2B9DEF49">
            <w:pPr>
              <w:pStyle w:val="24"/>
              <w:widowControl/>
              <w:spacing w:line="360" w:lineRule="exact"/>
              <w:ind w:firstLine="0" w:firstLineChars="0"/>
              <w:jc w:val="left"/>
              <w:rPr>
                <w:rFonts w:cs="宋体"/>
                <w:color w:val="auto"/>
                <w:kern w:val="0"/>
                <w:sz w:val="20"/>
                <w:szCs w:val="22"/>
              </w:rPr>
            </w:pPr>
            <w:r>
              <w:rPr>
                <w:rFonts w:hint="eastAsia" w:cs="宋体"/>
                <w:color w:val="auto"/>
              </w:rPr>
              <w:t>商务资信分（</w:t>
            </w:r>
            <w:r>
              <w:rPr>
                <w:rFonts w:cs="宋体"/>
                <w:color w:val="auto"/>
              </w:rPr>
              <w:t>1</w:t>
            </w:r>
            <w:r>
              <w:rPr>
                <w:rFonts w:hint="eastAsia" w:cs="宋体"/>
                <w:color w:val="auto"/>
                <w:lang w:val="en-US" w:eastAsia="zh-CN"/>
              </w:rPr>
              <w:t>6</w:t>
            </w:r>
            <w:r>
              <w:rPr>
                <w:rFonts w:hint="eastAsia" w:cs="宋体"/>
                <w:color w:val="auto"/>
              </w:rPr>
              <w:t>分）</w:t>
            </w:r>
          </w:p>
        </w:tc>
        <w:tc>
          <w:tcPr>
            <w:tcW w:w="525" w:type="dxa"/>
            <w:shd w:val="clear" w:color="auto" w:fill="auto"/>
            <w:noWrap w:val="0"/>
            <w:vAlign w:val="center"/>
          </w:tcPr>
          <w:p w14:paraId="4E76B378">
            <w:pPr>
              <w:widowControl/>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6600" w:type="dxa"/>
            <w:shd w:val="clear" w:color="000000" w:fill="auto"/>
            <w:noWrap w:val="0"/>
            <w:vAlign w:val="center"/>
          </w:tcPr>
          <w:p w14:paraId="1B2C0BD8">
            <w:pPr>
              <w:pStyle w:val="24"/>
              <w:widowControl/>
              <w:spacing w:line="240" w:lineRule="auto"/>
              <w:ind w:firstLine="0" w:firstLineChars="0"/>
              <w:rPr>
                <w:color w:val="auto"/>
                <w:szCs w:val="21"/>
              </w:rPr>
            </w:pPr>
            <w:r>
              <w:rPr>
                <w:rFonts w:hint="eastAsia"/>
                <w:color w:val="auto"/>
                <w:szCs w:val="21"/>
                <w:lang w:eastAsia="zh-CN"/>
              </w:rPr>
              <w:t>供应商</w:t>
            </w:r>
            <w:r>
              <w:rPr>
                <w:rFonts w:hint="eastAsia"/>
                <w:color w:val="auto"/>
                <w:szCs w:val="21"/>
              </w:rPr>
              <w:t>获得质量认证体系、环境管理体系、职业健康安全体系且在有效期内的每项得</w:t>
            </w:r>
            <w:r>
              <w:rPr>
                <w:rFonts w:hint="eastAsia"/>
                <w:color w:val="auto"/>
                <w:szCs w:val="21"/>
                <w:lang w:val="en-US" w:eastAsia="zh-CN"/>
              </w:rPr>
              <w:t>1</w:t>
            </w:r>
            <w:r>
              <w:rPr>
                <w:rFonts w:hint="eastAsia"/>
                <w:color w:val="auto"/>
                <w:szCs w:val="21"/>
              </w:rPr>
              <w:t>分，本项最高得</w:t>
            </w:r>
            <w:r>
              <w:rPr>
                <w:rFonts w:hint="eastAsia"/>
                <w:color w:val="auto"/>
                <w:szCs w:val="21"/>
                <w:lang w:val="en-US" w:eastAsia="zh-CN"/>
              </w:rPr>
              <w:t>3</w:t>
            </w:r>
            <w:r>
              <w:rPr>
                <w:rFonts w:hint="eastAsia"/>
                <w:color w:val="auto"/>
                <w:szCs w:val="21"/>
              </w:rPr>
              <w:t>分，（提供证书复印件及“国家认证认可监督管理委员会官网 www.cnca.gov.cn”查询页面截图，否则不得分）</w:t>
            </w:r>
          </w:p>
        </w:tc>
        <w:tc>
          <w:tcPr>
            <w:tcW w:w="1213" w:type="dxa"/>
            <w:shd w:val="clear" w:color="000000" w:fill="auto"/>
            <w:noWrap w:val="0"/>
            <w:vAlign w:val="center"/>
          </w:tcPr>
          <w:p w14:paraId="7E8F926D">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rPr>
              <w:t>0-</w:t>
            </w:r>
            <w:r>
              <w:rPr>
                <w:rFonts w:hint="eastAsia" w:ascii="宋体" w:hAnsi="宋体" w:cs="宋体"/>
                <w:color w:val="auto"/>
                <w:sz w:val="24"/>
                <w:lang w:val="en-US" w:eastAsia="zh-CN"/>
              </w:rPr>
              <w:t>3</w:t>
            </w:r>
          </w:p>
        </w:tc>
        <w:tc>
          <w:tcPr>
            <w:tcW w:w="1213" w:type="dxa"/>
            <w:shd w:val="clear" w:color="000000" w:fill="auto"/>
            <w:noWrap w:val="0"/>
            <w:vAlign w:val="center"/>
          </w:tcPr>
          <w:p w14:paraId="6B1E2F64">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102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05" w:type="dxa"/>
            <w:vMerge w:val="continue"/>
            <w:noWrap w:val="0"/>
            <w:vAlign w:val="center"/>
          </w:tcPr>
          <w:p w14:paraId="0BCA9EEA">
            <w:pPr>
              <w:widowControl/>
              <w:spacing w:line="360" w:lineRule="exact"/>
              <w:jc w:val="left"/>
              <w:rPr>
                <w:rFonts w:ascii="宋体" w:hAnsi="宋体" w:cs="宋体"/>
                <w:color w:val="auto"/>
                <w:kern w:val="0"/>
                <w:sz w:val="20"/>
                <w:szCs w:val="22"/>
              </w:rPr>
            </w:pPr>
          </w:p>
        </w:tc>
        <w:tc>
          <w:tcPr>
            <w:tcW w:w="525" w:type="dxa"/>
            <w:noWrap w:val="0"/>
            <w:vAlign w:val="center"/>
          </w:tcPr>
          <w:p w14:paraId="4888357C">
            <w:pPr>
              <w:widowControl/>
              <w:spacing w:line="360" w:lineRule="exact"/>
              <w:jc w:val="center"/>
              <w:rPr>
                <w:rFonts w:ascii="宋体" w:hAnsi="宋体" w:cs="宋体"/>
                <w:color w:val="auto"/>
                <w:kern w:val="0"/>
                <w:sz w:val="24"/>
              </w:rPr>
            </w:pPr>
            <w:r>
              <w:rPr>
                <w:rFonts w:hint="eastAsia" w:ascii="宋体" w:hAnsi="宋体" w:cs="宋体"/>
                <w:color w:val="auto"/>
                <w:kern w:val="0"/>
                <w:sz w:val="24"/>
              </w:rPr>
              <w:t>2</w:t>
            </w:r>
          </w:p>
        </w:tc>
        <w:tc>
          <w:tcPr>
            <w:tcW w:w="6600" w:type="dxa"/>
            <w:noWrap w:val="0"/>
            <w:vAlign w:val="center"/>
          </w:tcPr>
          <w:p w14:paraId="7EA02D7A">
            <w:pPr>
              <w:spacing w:line="240" w:lineRule="auto"/>
              <w:jc w:val="left"/>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响应单位20</w:t>
            </w:r>
            <w:r>
              <w:rPr>
                <w:rFonts w:hint="eastAsia" w:ascii="宋体" w:hAnsi="宋体" w:cs="Times New Roman"/>
                <w:color w:val="auto"/>
                <w:kern w:val="2"/>
                <w:sz w:val="24"/>
                <w:szCs w:val="21"/>
                <w:lang w:val="en-US" w:eastAsia="zh-CN" w:bidi="ar-SA"/>
              </w:rPr>
              <w:t>22</w:t>
            </w:r>
            <w:r>
              <w:rPr>
                <w:rFonts w:hint="eastAsia" w:ascii="宋体" w:hAnsi="宋体" w:eastAsia="宋体" w:cs="Times New Roman"/>
                <w:color w:val="auto"/>
                <w:kern w:val="2"/>
                <w:sz w:val="24"/>
                <w:szCs w:val="21"/>
                <w:lang w:val="en-US" w:eastAsia="zh-CN" w:bidi="ar-SA"/>
              </w:rPr>
              <w:t>年</w:t>
            </w:r>
            <w:r>
              <w:rPr>
                <w:rFonts w:hint="eastAsia" w:ascii="宋体" w:hAnsi="宋体" w:cs="Times New Roman"/>
                <w:color w:val="auto"/>
                <w:kern w:val="2"/>
                <w:sz w:val="24"/>
                <w:szCs w:val="21"/>
                <w:lang w:val="en-US" w:eastAsia="zh-CN" w:bidi="ar-SA"/>
              </w:rPr>
              <w:t>6</w:t>
            </w:r>
            <w:r>
              <w:rPr>
                <w:rFonts w:hint="eastAsia" w:ascii="宋体" w:hAnsi="宋体" w:eastAsia="宋体" w:cs="Times New Roman"/>
                <w:color w:val="auto"/>
                <w:kern w:val="2"/>
                <w:sz w:val="24"/>
                <w:szCs w:val="21"/>
                <w:lang w:val="en-US" w:eastAsia="zh-CN" w:bidi="ar-SA"/>
              </w:rPr>
              <w:t>月1日以来响应单位在浙江政府采购网或公共资源交易中心平台或乐采云（萧采云）平台完成过政府采购或国企采购项目：每个得</w:t>
            </w:r>
            <w:r>
              <w:rPr>
                <w:rFonts w:hint="eastAsia" w:ascii="宋体" w:hAnsi="宋体" w:cs="Times New Roman"/>
                <w:color w:val="auto"/>
                <w:kern w:val="2"/>
                <w:sz w:val="24"/>
                <w:szCs w:val="21"/>
                <w:lang w:val="en-US" w:eastAsia="zh-CN" w:bidi="ar-SA"/>
              </w:rPr>
              <w:t>1</w:t>
            </w:r>
            <w:r>
              <w:rPr>
                <w:rFonts w:hint="eastAsia" w:ascii="宋体" w:hAnsi="宋体" w:eastAsia="宋体" w:cs="Times New Roman"/>
                <w:color w:val="auto"/>
                <w:kern w:val="2"/>
                <w:sz w:val="24"/>
                <w:szCs w:val="21"/>
                <w:lang w:val="en-US" w:eastAsia="zh-CN" w:bidi="ar-SA"/>
              </w:rPr>
              <w:t>分，最高得</w:t>
            </w:r>
            <w:r>
              <w:rPr>
                <w:rFonts w:hint="eastAsia" w:ascii="宋体" w:hAnsi="宋体" w:cs="Times New Roman"/>
                <w:color w:val="auto"/>
                <w:kern w:val="2"/>
                <w:sz w:val="24"/>
                <w:szCs w:val="21"/>
                <w:lang w:val="en-US" w:eastAsia="zh-CN" w:bidi="ar-SA"/>
              </w:rPr>
              <w:t>4</w:t>
            </w:r>
            <w:r>
              <w:rPr>
                <w:rFonts w:hint="eastAsia" w:ascii="宋体" w:hAnsi="宋体" w:eastAsia="宋体" w:cs="Times New Roman"/>
                <w:color w:val="auto"/>
                <w:kern w:val="2"/>
                <w:sz w:val="24"/>
                <w:szCs w:val="21"/>
                <w:lang w:val="en-US" w:eastAsia="zh-CN" w:bidi="ar-SA"/>
              </w:rPr>
              <w:t>分。（该条满分</w:t>
            </w:r>
            <w:r>
              <w:rPr>
                <w:rFonts w:hint="eastAsia" w:ascii="宋体" w:hAnsi="宋体" w:cs="Times New Roman"/>
                <w:color w:val="auto"/>
                <w:kern w:val="2"/>
                <w:sz w:val="24"/>
                <w:szCs w:val="21"/>
                <w:lang w:val="en-US" w:eastAsia="zh-CN" w:bidi="ar-SA"/>
              </w:rPr>
              <w:t>4</w:t>
            </w:r>
            <w:r>
              <w:rPr>
                <w:rFonts w:hint="eastAsia" w:ascii="宋体" w:hAnsi="宋体" w:eastAsia="宋体" w:cs="Times New Roman"/>
                <w:color w:val="auto"/>
                <w:kern w:val="2"/>
                <w:sz w:val="24"/>
                <w:szCs w:val="21"/>
                <w:lang w:val="en-US" w:eastAsia="zh-CN" w:bidi="ar-SA"/>
              </w:rPr>
              <w:t>分）（须提供相应项目的中标（成交）通知书、浙江省政府采购网或公共资源交易中心网或乐采云（萧采云）网页成交（中标）候选公示页，时间以中标（成交）通知书为准，两者缺一不可否则不得分，同一业绩只计取一次分数</w:t>
            </w:r>
            <w:r>
              <w:rPr>
                <w:rFonts w:hint="eastAsia" w:ascii="宋体" w:hAnsi="宋体" w:cs="Times New Roman"/>
                <w:color w:val="auto"/>
                <w:kern w:val="2"/>
                <w:sz w:val="24"/>
                <w:szCs w:val="21"/>
                <w:lang w:val="en-US" w:eastAsia="zh-CN" w:bidi="ar-SA"/>
              </w:rPr>
              <w:t>。</w:t>
            </w:r>
            <w:r>
              <w:rPr>
                <w:rFonts w:hint="eastAsia" w:ascii="宋体" w:hAnsi="宋体" w:eastAsia="宋体" w:cs="Times New Roman"/>
                <w:color w:val="auto"/>
                <w:kern w:val="2"/>
                <w:sz w:val="24"/>
                <w:szCs w:val="21"/>
                <w:lang w:val="en-US" w:eastAsia="zh-CN" w:bidi="ar-SA"/>
              </w:rPr>
              <w:t>）</w:t>
            </w:r>
          </w:p>
        </w:tc>
        <w:tc>
          <w:tcPr>
            <w:tcW w:w="1213" w:type="dxa"/>
            <w:noWrap w:val="0"/>
            <w:vAlign w:val="center"/>
          </w:tcPr>
          <w:p w14:paraId="69996FEB">
            <w:pPr>
              <w:widowControl/>
              <w:adjustRightInd/>
              <w:spacing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0-</w:t>
            </w:r>
            <w:r>
              <w:rPr>
                <w:rFonts w:hint="eastAsia" w:ascii="宋体" w:hAnsi="宋体" w:cs="Times New Roman"/>
                <w:color w:val="auto"/>
                <w:kern w:val="2"/>
                <w:sz w:val="24"/>
                <w:szCs w:val="21"/>
                <w:lang w:val="en-US" w:eastAsia="zh-CN" w:bidi="ar-SA"/>
              </w:rPr>
              <w:t>4</w:t>
            </w:r>
          </w:p>
        </w:tc>
        <w:tc>
          <w:tcPr>
            <w:tcW w:w="1213" w:type="dxa"/>
            <w:noWrap w:val="0"/>
            <w:vAlign w:val="center"/>
          </w:tcPr>
          <w:p w14:paraId="620DC96C">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11C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05" w:type="dxa"/>
            <w:vMerge w:val="continue"/>
            <w:noWrap w:val="0"/>
            <w:vAlign w:val="center"/>
          </w:tcPr>
          <w:p w14:paraId="05D322A2">
            <w:pPr>
              <w:widowControl/>
              <w:spacing w:line="360" w:lineRule="exact"/>
              <w:jc w:val="left"/>
              <w:rPr>
                <w:rFonts w:ascii="宋体" w:hAnsi="宋体" w:cs="宋体"/>
                <w:color w:val="auto"/>
                <w:kern w:val="0"/>
                <w:sz w:val="20"/>
                <w:szCs w:val="22"/>
              </w:rPr>
            </w:pPr>
          </w:p>
        </w:tc>
        <w:tc>
          <w:tcPr>
            <w:tcW w:w="525" w:type="dxa"/>
            <w:noWrap w:val="0"/>
            <w:vAlign w:val="center"/>
          </w:tcPr>
          <w:p w14:paraId="5FCA38BD">
            <w:pPr>
              <w:widowControl/>
              <w:spacing w:line="360" w:lineRule="exact"/>
              <w:jc w:val="center"/>
              <w:rPr>
                <w:rFonts w:ascii="宋体" w:hAnsi="宋体" w:cs="宋体"/>
                <w:color w:val="auto"/>
                <w:kern w:val="0"/>
                <w:sz w:val="24"/>
              </w:rPr>
            </w:pPr>
            <w:r>
              <w:rPr>
                <w:rFonts w:hint="eastAsia" w:ascii="宋体" w:hAnsi="宋体" w:cs="宋体"/>
                <w:color w:val="auto"/>
                <w:kern w:val="0"/>
                <w:sz w:val="24"/>
              </w:rPr>
              <w:t>3</w:t>
            </w:r>
          </w:p>
        </w:tc>
        <w:tc>
          <w:tcPr>
            <w:tcW w:w="6600" w:type="dxa"/>
            <w:noWrap w:val="0"/>
            <w:vAlign w:val="center"/>
          </w:tcPr>
          <w:p w14:paraId="646B8841">
            <w:pPr>
              <w:pStyle w:val="24"/>
              <w:widowControl/>
              <w:spacing w:line="240" w:lineRule="auto"/>
              <w:ind w:firstLine="0" w:firstLineChars="0"/>
              <w:rPr>
                <w:rFonts w:cs="宋体"/>
                <w:color w:val="auto"/>
              </w:rPr>
            </w:pPr>
            <w:r>
              <w:rPr>
                <w:rFonts w:hint="eastAsia" w:ascii="宋体" w:hAnsi="宋体" w:eastAsia="宋体" w:cs="Times New Roman"/>
                <w:color w:val="auto"/>
                <w:kern w:val="2"/>
                <w:sz w:val="24"/>
                <w:szCs w:val="21"/>
                <w:lang w:val="en-US" w:eastAsia="zh-CN" w:bidi="ar-SA"/>
              </w:rPr>
              <w:t>企业注册地在萧山区的或在萧山区设有分支机构的得2分，企业注册在杭州市范围内的得1分，其余不得分。（该条满分</w:t>
            </w:r>
            <w:r>
              <w:rPr>
                <w:rFonts w:hint="eastAsia" w:cs="Times New Roman"/>
                <w:color w:val="auto"/>
                <w:kern w:val="2"/>
                <w:sz w:val="24"/>
                <w:szCs w:val="21"/>
                <w:lang w:val="en-US" w:eastAsia="zh-CN" w:bidi="ar-SA"/>
              </w:rPr>
              <w:t>2</w:t>
            </w:r>
            <w:r>
              <w:rPr>
                <w:rFonts w:hint="eastAsia" w:ascii="宋体" w:hAnsi="宋体" w:eastAsia="宋体" w:cs="Times New Roman"/>
                <w:color w:val="auto"/>
                <w:kern w:val="2"/>
                <w:sz w:val="24"/>
                <w:szCs w:val="21"/>
                <w:lang w:val="en-US" w:eastAsia="zh-CN" w:bidi="ar-SA"/>
              </w:rPr>
              <w:t>分）（附企业法人营业执照，如分支机构应另加分支机构营业执照复印件加盖公章）</w:t>
            </w:r>
          </w:p>
        </w:tc>
        <w:tc>
          <w:tcPr>
            <w:tcW w:w="1213" w:type="dxa"/>
            <w:noWrap w:val="0"/>
            <w:vAlign w:val="center"/>
          </w:tcPr>
          <w:p w14:paraId="663F3707">
            <w:pPr>
              <w:spacing w:line="360" w:lineRule="exact"/>
              <w:jc w:val="center"/>
              <w:rPr>
                <w:rFonts w:hint="eastAsia" w:ascii="宋体" w:hAnsi="宋体" w:eastAsia="宋体" w:cs="宋体"/>
                <w:color w:val="auto"/>
                <w:sz w:val="24"/>
                <w:lang w:eastAsia="zh-CN"/>
              </w:rPr>
            </w:pPr>
            <w:r>
              <w:rPr>
                <w:rFonts w:hint="eastAsia" w:ascii="宋体" w:hAnsi="宋体" w:cs="宋体"/>
                <w:color w:val="auto"/>
                <w:sz w:val="24"/>
              </w:rPr>
              <w:t>0</w:t>
            </w:r>
            <w:r>
              <w:rPr>
                <w:rFonts w:ascii="宋体" w:hAnsi="宋体" w:cs="宋体"/>
                <w:color w:val="auto"/>
                <w:sz w:val="24"/>
              </w:rPr>
              <w:t>-</w:t>
            </w:r>
            <w:r>
              <w:rPr>
                <w:rFonts w:hint="eastAsia" w:ascii="宋体" w:hAnsi="宋体" w:cs="宋体"/>
                <w:color w:val="auto"/>
                <w:sz w:val="24"/>
                <w:lang w:val="en-US" w:eastAsia="zh-CN"/>
              </w:rPr>
              <w:t>2</w:t>
            </w:r>
          </w:p>
        </w:tc>
        <w:tc>
          <w:tcPr>
            <w:tcW w:w="1213" w:type="dxa"/>
            <w:noWrap w:val="0"/>
            <w:vAlign w:val="center"/>
          </w:tcPr>
          <w:p w14:paraId="176EBD6B">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0B09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05" w:type="dxa"/>
            <w:vMerge w:val="continue"/>
            <w:noWrap w:val="0"/>
            <w:vAlign w:val="center"/>
          </w:tcPr>
          <w:p w14:paraId="076AF9F3">
            <w:pPr>
              <w:widowControl/>
              <w:spacing w:line="360" w:lineRule="exact"/>
              <w:jc w:val="left"/>
              <w:rPr>
                <w:rFonts w:ascii="宋体" w:hAnsi="宋体" w:cs="宋体"/>
                <w:color w:val="auto"/>
                <w:kern w:val="0"/>
                <w:sz w:val="20"/>
                <w:szCs w:val="22"/>
              </w:rPr>
            </w:pPr>
          </w:p>
        </w:tc>
        <w:tc>
          <w:tcPr>
            <w:tcW w:w="525" w:type="dxa"/>
            <w:noWrap w:val="0"/>
            <w:vAlign w:val="center"/>
          </w:tcPr>
          <w:p w14:paraId="4185DCC3">
            <w:pPr>
              <w:widowControl/>
              <w:spacing w:line="360" w:lineRule="exact"/>
              <w:jc w:val="center"/>
              <w:rPr>
                <w:rFonts w:ascii="宋体" w:hAnsi="宋体" w:cs="宋体"/>
                <w:color w:val="auto"/>
                <w:kern w:val="0"/>
                <w:sz w:val="24"/>
              </w:rPr>
            </w:pPr>
            <w:r>
              <w:rPr>
                <w:rFonts w:hint="eastAsia" w:ascii="宋体" w:hAnsi="宋体" w:cs="宋体"/>
                <w:color w:val="auto"/>
                <w:kern w:val="0"/>
                <w:sz w:val="24"/>
              </w:rPr>
              <w:t>4</w:t>
            </w:r>
          </w:p>
        </w:tc>
        <w:tc>
          <w:tcPr>
            <w:tcW w:w="6600" w:type="dxa"/>
            <w:noWrap w:val="0"/>
            <w:vAlign w:val="center"/>
          </w:tcPr>
          <w:p w14:paraId="631B259B">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响应单位服务团队中要求具有省级及以上部门颁发的政府采购培训证书的，具有4个的得基本分</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分，每增加一个得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分，最高加</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分，本项最高</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p>
          <w:p w14:paraId="686E0323">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【附相应培训证书复印件</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本企业为其缴纳的最近连续三个月（至少包含</w:t>
            </w:r>
            <w:r>
              <w:rPr>
                <w:rFonts w:hint="eastAsia" w:ascii="宋体" w:hAnsi="宋体" w:cs="宋体"/>
                <w:color w:val="auto"/>
                <w:kern w:val="2"/>
                <w:sz w:val="24"/>
                <w:szCs w:val="24"/>
                <w:lang w:val="en-US" w:eastAsia="zh-CN" w:bidi="ar-SA"/>
              </w:rPr>
              <w:t>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月）以上社保证明材料，社保证明可凭社保部门出具的退休证明及聘用合同替代。】</w:t>
            </w:r>
          </w:p>
        </w:tc>
        <w:tc>
          <w:tcPr>
            <w:tcW w:w="1213" w:type="dxa"/>
            <w:noWrap w:val="0"/>
            <w:vAlign w:val="center"/>
          </w:tcPr>
          <w:p w14:paraId="4D805A43">
            <w:pPr>
              <w:widowControl/>
              <w:adjustRightInd/>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4</w:t>
            </w:r>
          </w:p>
        </w:tc>
        <w:tc>
          <w:tcPr>
            <w:tcW w:w="1213" w:type="dxa"/>
            <w:noWrap w:val="0"/>
            <w:vAlign w:val="center"/>
          </w:tcPr>
          <w:p w14:paraId="2D50F184">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6219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5" w:type="dxa"/>
            <w:vMerge w:val="continue"/>
            <w:noWrap w:val="0"/>
            <w:vAlign w:val="center"/>
          </w:tcPr>
          <w:p w14:paraId="4749655C">
            <w:pPr>
              <w:widowControl/>
              <w:spacing w:line="360" w:lineRule="exact"/>
              <w:jc w:val="left"/>
              <w:rPr>
                <w:rFonts w:ascii="宋体" w:hAnsi="宋体" w:cs="宋体"/>
                <w:color w:val="auto"/>
                <w:kern w:val="0"/>
                <w:sz w:val="20"/>
                <w:szCs w:val="22"/>
              </w:rPr>
            </w:pPr>
          </w:p>
        </w:tc>
        <w:tc>
          <w:tcPr>
            <w:tcW w:w="525" w:type="dxa"/>
            <w:noWrap w:val="0"/>
            <w:vAlign w:val="center"/>
          </w:tcPr>
          <w:p w14:paraId="285601A6">
            <w:pPr>
              <w:widowControl/>
              <w:spacing w:line="360" w:lineRule="exact"/>
              <w:jc w:val="center"/>
              <w:rPr>
                <w:rFonts w:ascii="宋体" w:hAnsi="宋体" w:cs="宋体"/>
                <w:color w:val="auto"/>
                <w:kern w:val="0"/>
                <w:sz w:val="24"/>
              </w:rPr>
            </w:pPr>
            <w:r>
              <w:rPr>
                <w:rFonts w:hint="eastAsia" w:ascii="宋体" w:hAnsi="宋体" w:cs="宋体"/>
                <w:color w:val="auto"/>
                <w:kern w:val="0"/>
                <w:sz w:val="24"/>
              </w:rPr>
              <w:t>5</w:t>
            </w:r>
          </w:p>
        </w:tc>
        <w:tc>
          <w:tcPr>
            <w:tcW w:w="6600" w:type="dxa"/>
            <w:noWrap w:val="0"/>
            <w:vAlign w:val="center"/>
          </w:tcPr>
          <w:p w14:paraId="7B1ACB36">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从业人员情况：供应商单位缴纳社保的从业人员，人数在</w:t>
            </w: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人及以上的得3分；20-</w:t>
            </w:r>
            <w:r>
              <w:rPr>
                <w:rFonts w:hint="eastAsia" w:ascii="宋体" w:hAnsi="宋体" w:cs="宋体"/>
                <w:color w:val="auto"/>
                <w:kern w:val="2"/>
                <w:sz w:val="24"/>
                <w:szCs w:val="24"/>
                <w:lang w:val="en-US" w:eastAsia="zh-CN" w:bidi="ar-SA"/>
              </w:rPr>
              <w:t>29</w:t>
            </w:r>
            <w:r>
              <w:rPr>
                <w:rFonts w:hint="eastAsia" w:ascii="宋体" w:hAnsi="宋体" w:eastAsia="宋体" w:cs="宋体"/>
                <w:color w:val="auto"/>
                <w:kern w:val="2"/>
                <w:sz w:val="24"/>
                <w:szCs w:val="24"/>
                <w:lang w:val="en-US" w:eastAsia="zh-CN" w:bidi="ar-SA"/>
              </w:rPr>
              <w:t>人得2分；15-19人得1分，15人以下不得分（提供合同、本企业为其缴纳的最近连续三个月（至少包含</w:t>
            </w:r>
            <w:r>
              <w:rPr>
                <w:rFonts w:hint="eastAsia" w:ascii="宋体" w:hAnsi="宋体" w:cs="宋体"/>
                <w:color w:val="auto"/>
                <w:kern w:val="2"/>
                <w:sz w:val="24"/>
                <w:szCs w:val="24"/>
                <w:lang w:val="en-US" w:eastAsia="zh-CN" w:bidi="ar-SA"/>
              </w:rPr>
              <w:t>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月）以上社保证明材料，社保证明可凭社保部门出具的退休证明及聘用合同替代。）</w:t>
            </w:r>
          </w:p>
        </w:tc>
        <w:tc>
          <w:tcPr>
            <w:tcW w:w="1213" w:type="dxa"/>
            <w:noWrap w:val="0"/>
            <w:vAlign w:val="center"/>
          </w:tcPr>
          <w:p w14:paraId="3F0DA688">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0-3</w:t>
            </w:r>
          </w:p>
        </w:tc>
        <w:tc>
          <w:tcPr>
            <w:tcW w:w="1213" w:type="dxa"/>
            <w:noWrap w:val="0"/>
            <w:vAlign w:val="center"/>
          </w:tcPr>
          <w:p w14:paraId="65F7F42B">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bl>
    <w:p w14:paraId="13254C0C">
      <w:pPr>
        <w:widowControl/>
        <w:jc w:val="left"/>
        <w:rPr>
          <w:rFonts w:ascii="宋体" w:hAnsi="宋体" w:cs="宋体"/>
          <w:b/>
          <w:bCs/>
          <w:color w:val="auto"/>
          <w:sz w:val="24"/>
        </w:rPr>
      </w:pPr>
      <w:r>
        <w:rPr>
          <w:rFonts w:hint="eastAsia" w:ascii="宋体" w:hAnsi="宋体" w:cs="宋体"/>
          <w:b/>
          <w:bCs/>
          <w:color w:val="auto"/>
          <w:sz w:val="24"/>
        </w:rPr>
        <w:t>2、技术部分（</w:t>
      </w:r>
      <w:r>
        <w:rPr>
          <w:rFonts w:hint="eastAsia" w:ascii="宋体" w:hAnsi="宋体" w:cs="宋体"/>
          <w:b/>
          <w:bCs/>
          <w:color w:val="auto"/>
          <w:sz w:val="24"/>
          <w:lang w:val="en-US" w:eastAsia="zh-CN"/>
        </w:rPr>
        <w:t>54</w:t>
      </w:r>
      <w:r>
        <w:rPr>
          <w:rFonts w:hint="eastAsia" w:ascii="宋体" w:hAnsi="宋体" w:cs="宋体"/>
          <w:b/>
          <w:bCs/>
          <w:color w:val="auto"/>
          <w:sz w:val="24"/>
        </w:rPr>
        <w:t>分）：</w:t>
      </w:r>
    </w:p>
    <w:tbl>
      <w:tblPr>
        <w:tblStyle w:val="62"/>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1"/>
        <w:gridCol w:w="6633"/>
        <w:gridCol w:w="1229"/>
        <w:gridCol w:w="1229"/>
      </w:tblGrid>
      <w:tr w14:paraId="2E6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712" w:type="dxa"/>
            <w:noWrap w:val="0"/>
            <w:vAlign w:val="center"/>
          </w:tcPr>
          <w:p w14:paraId="450C7456">
            <w:pPr>
              <w:widowControl/>
              <w:spacing w:line="280" w:lineRule="exact"/>
              <w:jc w:val="center"/>
              <w:rPr>
                <w:rFonts w:ascii="宋体" w:hAnsi="宋体" w:cs="宋体"/>
                <w:color w:val="auto"/>
                <w:kern w:val="0"/>
                <w:sz w:val="24"/>
              </w:rPr>
            </w:pPr>
            <w:r>
              <w:rPr>
                <w:rFonts w:hint="eastAsia" w:ascii="宋体" w:hAnsi="宋体" w:cs="宋体"/>
                <w:color w:val="auto"/>
                <w:kern w:val="0"/>
                <w:sz w:val="24"/>
              </w:rPr>
              <w:t>序号</w:t>
            </w:r>
          </w:p>
        </w:tc>
        <w:tc>
          <w:tcPr>
            <w:tcW w:w="7154" w:type="dxa"/>
            <w:gridSpan w:val="2"/>
            <w:noWrap w:val="0"/>
            <w:vAlign w:val="center"/>
          </w:tcPr>
          <w:p w14:paraId="218C4764">
            <w:pPr>
              <w:widowControl/>
              <w:spacing w:line="280" w:lineRule="exact"/>
              <w:jc w:val="center"/>
              <w:rPr>
                <w:rFonts w:ascii="宋体" w:hAnsi="宋体" w:cs="宋体"/>
                <w:color w:val="auto"/>
                <w:kern w:val="0"/>
                <w:sz w:val="24"/>
              </w:rPr>
            </w:pPr>
            <w:r>
              <w:rPr>
                <w:rFonts w:hint="eastAsia" w:ascii="宋体" w:hAnsi="宋体" w:cs="宋体"/>
                <w:color w:val="auto"/>
                <w:kern w:val="0"/>
                <w:sz w:val="24"/>
              </w:rPr>
              <w:t>评分内容和标准</w:t>
            </w:r>
          </w:p>
        </w:tc>
        <w:tc>
          <w:tcPr>
            <w:tcW w:w="1229" w:type="dxa"/>
            <w:noWrap w:val="0"/>
            <w:vAlign w:val="center"/>
          </w:tcPr>
          <w:p w14:paraId="3FF0002C">
            <w:pPr>
              <w:widowControl/>
              <w:spacing w:line="280" w:lineRule="exact"/>
              <w:jc w:val="center"/>
              <w:rPr>
                <w:rFonts w:ascii="宋体" w:hAnsi="宋体" w:cs="宋体"/>
                <w:color w:val="auto"/>
                <w:kern w:val="0"/>
                <w:sz w:val="24"/>
              </w:rPr>
            </w:pPr>
            <w:r>
              <w:rPr>
                <w:rFonts w:hint="eastAsia" w:ascii="宋体" w:hAnsi="宋体" w:cs="宋体"/>
                <w:color w:val="auto"/>
                <w:kern w:val="0"/>
                <w:sz w:val="24"/>
              </w:rPr>
              <w:t>分值区间</w:t>
            </w:r>
          </w:p>
        </w:tc>
        <w:tc>
          <w:tcPr>
            <w:tcW w:w="1229" w:type="dxa"/>
            <w:noWrap w:val="0"/>
            <w:vAlign w:val="center"/>
          </w:tcPr>
          <w:p w14:paraId="4D4F4115">
            <w:pPr>
              <w:widowControl/>
              <w:spacing w:line="280" w:lineRule="exact"/>
              <w:jc w:val="center"/>
              <w:rPr>
                <w:rFonts w:hint="eastAsia" w:ascii="宋体" w:hAnsi="宋体" w:cs="宋体"/>
                <w:color w:val="auto"/>
                <w:kern w:val="0"/>
                <w:sz w:val="24"/>
              </w:rPr>
            </w:pPr>
            <w:r>
              <w:rPr>
                <w:rFonts w:hint="eastAsia" w:ascii="宋体" w:hAnsi="宋体" w:cs="宋体"/>
                <w:color w:val="auto"/>
                <w:kern w:val="0"/>
                <w:sz w:val="24"/>
                <w:lang w:val="en-US" w:eastAsia="zh-CN"/>
              </w:rPr>
              <w:t>主/客观分</w:t>
            </w:r>
          </w:p>
        </w:tc>
      </w:tr>
      <w:tr w14:paraId="76F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restart"/>
            <w:shd w:val="clear" w:color="auto" w:fill="auto"/>
            <w:noWrap w:val="0"/>
            <w:vAlign w:val="center"/>
          </w:tcPr>
          <w:p w14:paraId="2B3B8D42">
            <w:pPr>
              <w:pStyle w:val="24"/>
              <w:snapToGrid w:val="0"/>
              <w:spacing w:line="280" w:lineRule="exact"/>
              <w:ind w:firstLine="0" w:firstLineChars="0"/>
              <w:jc w:val="left"/>
              <w:rPr>
                <w:rFonts w:cs="宋体"/>
                <w:color w:val="auto"/>
                <w:kern w:val="0"/>
              </w:rPr>
            </w:pPr>
            <w:r>
              <w:rPr>
                <w:rFonts w:hint="eastAsia" w:cs="宋体"/>
                <w:color w:val="auto"/>
              </w:rPr>
              <w:t>技术分（5</w:t>
            </w:r>
            <w:r>
              <w:rPr>
                <w:rFonts w:cs="宋体"/>
                <w:color w:val="auto"/>
              </w:rPr>
              <w:t>5</w:t>
            </w:r>
            <w:r>
              <w:rPr>
                <w:rFonts w:hint="eastAsia" w:cs="宋体"/>
                <w:color w:val="auto"/>
              </w:rPr>
              <w:t>分）</w:t>
            </w:r>
          </w:p>
        </w:tc>
        <w:tc>
          <w:tcPr>
            <w:tcW w:w="521" w:type="dxa"/>
            <w:shd w:val="clear" w:color="auto" w:fill="auto"/>
            <w:noWrap w:val="0"/>
            <w:vAlign w:val="center"/>
          </w:tcPr>
          <w:p w14:paraId="5FCAD17F">
            <w:pPr>
              <w:widowControl/>
              <w:jc w:val="center"/>
              <w:rPr>
                <w:rFonts w:ascii="宋体" w:hAnsi="宋体" w:cs="宋体"/>
                <w:color w:val="auto"/>
                <w:sz w:val="24"/>
              </w:rPr>
            </w:pPr>
            <w:r>
              <w:rPr>
                <w:rFonts w:hint="eastAsia" w:ascii="宋体" w:hAnsi="宋体" w:cs="宋体"/>
                <w:color w:val="auto"/>
                <w:sz w:val="24"/>
              </w:rPr>
              <w:t>1</w:t>
            </w:r>
          </w:p>
        </w:tc>
        <w:tc>
          <w:tcPr>
            <w:tcW w:w="6633" w:type="dxa"/>
            <w:shd w:val="clear" w:color="000000" w:fill="FFFFFF"/>
            <w:noWrap w:val="0"/>
            <w:vAlign w:val="center"/>
          </w:tcPr>
          <w:p w14:paraId="2954D414">
            <w:pPr>
              <w:pStyle w:val="24"/>
              <w:snapToGrid w:val="0"/>
              <w:spacing w:line="240" w:lineRule="auto"/>
              <w:ind w:firstLine="0" w:firstLineChars="0"/>
              <w:rPr>
                <w:rFonts w:cs="宋体"/>
                <w:color w:val="auto"/>
              </w:rPr>
            </w:pPr>
            <w:r>
              <w:rPr>
                <w:rFonts w:hint="eastAsia" w:cs="宋体"/>
                <w:color w:val="auto"/>
              </w:rPr>
              <w:t>实施方案可行性、针对性</w:t>
            </w:r>
          </w:p>
          <w:p w14:paraId="3B9764C8">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7290F7F6">
            <w:pPr>
              <w:widowControl/>
              <w:jc w:val="center"/>
              <w:rPr>
                <w:rFonts w:ascii="宋体" w:hAnsi="宋体" w:cs="宋体"/>
                <w:color w:val="auto"/>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2035524E">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2FBE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726BC32A">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57140C0">
            <w:pPr>
              <w:widowControl/>
              <w:jc w:val="center"/>
              <w:rPr>
                <w:rFonts w:ascii="宋体" w:hAnsi="宋体" w:cs="宋体"/>
                <w:color w:val="auto"/>
                <w:sz w:val="24"/>
              </w:rPr>
            </w:pPr>
            <w:r>
              <w:rPr>
                <w:rFonts w:hint="eastAsia" w:ascii="宋体" w:hAnsi="宋体" w:cs="宋体"/>
                <w:color w:val="auto"/>
                <w:sz w:val="24"/>
              </w:rPr>
              <w:t>2</w:t>
            </w:r>
          </w:p>
        </w:tc>
        <w:tc>
          <w:tcPr>
            <w:tcW w:w="6633" w:type="dxa"/>
            <w:shd w:val="clear" w:color="000000" w:fill="FFFFFF"/>
            <w:noWrap w:val="0"/>
            <w:vAlign w:val="center"/>
          </w:tcPr>
          <w:p w14:paraId="26D94F4B">
            <w:pPr>
              <w:pStyle w:val="24"/>
              <w:snapToGrid w:val="0"/>
              <w:spacing w:line="240" w:lineRule="auto"/>
              <w:ind w:firstLine="0" w:firstLineChars="0"/>
              <w:rPr>
                <w:rFonts w:cs="宋体"/>
                <w:color w:val="auto"/>
              </w:rPr>
            </w:pPr>
            <w:r>
              <w:rPr>
                <w:rFonts w:hint="eastAsia" w:cs="宋体"/>
                <w:color w:val="auto"/>
              </w:rPr>
              <w:t>项目组成员专业配置是否合理，分工是否明确</w:t>
            </w:r>
          </w:p>
          <w:p w14:paraId="382FF332">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24F36FE3">
            <w:pPr>
              <w:widowControl/>
              <w:jc w:val="center"/>
              <w:rPr>
                <w:rFonts w:ascii="宋体" w:hAnsi="宋体" w:cs="宋体"/>
                <w:color w:val="auto"/>
                <w:kern w:val="0"/>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1BD65472">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6F9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2" w:type="dxa"/>
            <w:vMerge w:val="continue"/>
            <w:shd w:val="clear" w:color="auto" w:fill="auto"/>
            <w:noWrap w:val="0"/>
            <w:vAlign w:val="center"/>
          </w:tcPr>
          <w:p w14:paraId="3931558F">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BB54464">
            <w:pPr>
              <w:widowControl/>
              <w:jc w:val="center"/>
              <w:rPr>
                <w:rFonts w:ascii="宋体" w:hAnsi="宋体" w:cs="宋体"/>
                <w:color w:val="auto"/>
                <w:sz w:val="24"/>
              </w:rPr>
            </w:pPr>
            <w:r>
              <w:rPr>
                <w:rFonts w:hint="eastAsia" w:ascii="宋体" w:hAnsi="宋体" w:cs="宋体"/>
                <w:color w:val="auto"/>
                <w:sz w:val="24"/>
              </w:rPr>
              <w:t>3</w:t>
            </w:r>
          </w:p>
        </w:tc>
        <w:tc>
          <w:tcPr>
            <w:tcW w:w="6633" w:type="dxa"/>
            <w:shd w:val="clear" w:color="000000" w:fill="FFFFFF"/>
            <w:noWrap w:val="0"/>
            <w:vAlign w:val="center"/>
          </w:tcPr>
          <w:p w14:paraId="770D81B6">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 xml:space="preserve">代理过程中可能遇到的问题分析及应对措施 </w:t>
            </w:r>
          </w:p>
          <w:p w14:paraId="18775037">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8324D0B">
            <w:pPr>
              <w:widowControl/>
              <w:jc w:val="center"/>
              <w:rPr>
                <w:rFonts w:ascii="宋体" w:hAnsi="宋体" w:cs="宋体"/>
                <w:color w:val="auto"/>
                <w:kern w:val="0"/>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1442039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32E9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19683A26">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E0B8714">
            <w:pPr>
              <w:widowControl/>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6633" w:type="dxa"/>
            <w:shd w:val="clear" w:color="000000" w:fill="FFFFFF"/>
            <w:noWrap w:val="0"/>
            <w:vAlign w:val="center"/>
          </w:tcPr>
          <w:p w14:paraId="5060CBA7">
            <w:pPr>
              <w:pStyle w:val="24"/>
              <w:snapToGrid w:val="0"/>
              <w:spacing w:line="240" w:lineRule="auto"/>
              <w:ind w:firstLine="0" w:firstLineChars="0"/>
              <w:rPr>
                <w:rFonts w:hint="eastAsia" w:cs="宋体"/>
                <w:color w:val="auto"/>
              </w:rPr>
            </w:pPr>
            <w:r>
              <w:rPr>
                <w:rFonts w:hint="eastAsia" w:cs="宋体"/>
                <w:color w:val="auto"/>
              </w:rPr>
              <w:t>实施方案中对相关协调管理职能是否明确</w:t>
            </w:r>
          </w:p>
          <w:p w14:paraId="69A6F0F1">
            <w:pPr>
              <w:pStyle w:val="24"/>
              <w:snapToGrid w:val="0"/>
              <w:spacing w:line="240" w:lineRule="auto"/>
              <w:ind w:firstLine="0" w:firstLineChars="0"/>
              <w:rPr>
                <w:rFonts w:hint="eastAsia" w:cs="宋体"/>
                <w:color w:val="auto"/>
              </w:rPr>
            </w:pPr>
            <w:r>
              <w:rPr>
                <w:rFonts w:hint="eastAsia" w:cs="宋体"/>
                <w:color w:val="auto"/>
              </w:rPr>
              <w:t>（完善的得6-7分，较完善的得4-5分，不够完善的得2-3分，不提供不得分。）</w:t>
            </w:r>
          </w:p>
        </w:tc>
        <w:tc>
          <w:tcPr>
            <w:tcW w:w="1229" w:type="dxa"/>
            <w:noWrap w:val="0"/>
            <w:vAlign w:val="center"/>
          </w:tcPr>
          <w:p w14:paraId="3B16612C">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51546F30">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主观分</w:t>
            </w:r>
          </w:p>
        </w:tc>
      </w:tr>
      <w:tr w14:paraId="4186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55A9E966">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382C79EE">
            <w:pPr>
              <w:widowControl/>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6633" w:type="dxa"/>
            <w:shd w:val="clear" w:color="000000" w:fill="FFFFFF"/>
            <w:noWrap w:val="0"/>
            <w:vAlign w:val="center"/>
          </w:tcPr>
          <w:p w14:paraId="5A43030C">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 xml:space="preserve">代理计划是否周密，工作思路是否清晰 </w:t>
            </w:r>
          </w:p>
          <w:p w14:paraId="417CFEDF">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5</w:t>
            </w:r>
            <w:r>
              <w:rPr>
                <w:rFonts w:hint="eastAsia" w:cs="宋体"/>
                <w:color w:val="auto"/>
              </w:rPr>
              <w:t>-</w:t>
            </w:r>
            <w:r>
              <w:rPr>
                <w:rFonts w:hint="eastAsia" w:cs="宋体"/>
                <w:color w:val="auto"/>
                <w:lang w:val="en-US" w:eastAsia="zh-CN"/>
              </w:rPr>
              <w:t>6</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217FC15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lang w:val="en-US" w:eastAsia="zh-CN"/>
              </w:rPr>
              <w:t>6</w:t>
            </w:r>
          </w:p>
        </w:tc>
        <w:tc>
          <w:tcPr>
            <w:tcW w:w="1229" w:type="dxa"/>
            <w:noWrap w:val="0"/>
            <w:vAlign w:val="center"/>
          </w:tcPr>
          <w:p w14:paraId="1B16C940">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7090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1E3FF9BC">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6E9F1385">
            <w:pPr>
              <w:widowControl/>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6633" w:type="dxa"/>
            <w:shd w:val="clear" w:color="000000" w:fill="FFFFFF"/>
            <w:noWrap w:val="0"/>
            <w:vAlign w:val="center"/>
          </w:tcPr>
          <w:p w14:paraId="7831E66E">
            <w:pPr>
              <w:pStyle w:val="24"/>
              <w:snapToGrid w:val="0"/>
              <w:spacing w:line="240" w:lineRule="auto"/>
              <w:ind w:firstLine="0" w:firstLineChars="0"/>
              <w:rPr>
                <w:rFonts w:cs="宋体"/>
                <w:color w:val="auto"/>
                <w:kern w:val="0"/>
              </w:rPr>
            </w:pPr>
            <w:r>
              <w:rPr>
                <w:rFonts w:hint="eastAsia" w:cs="宋体"/>
                <w:color w:val="auto"/>
                <w:kern w:val="0"/>
                <w:lang w:val="en-US" w:eastAsia="zh-CN"/>
              </w:rPr>
              <w:t>采购代理质量保证</w:t>
            </w:r>
            <w:r>
              <w:rPr>
                <w:rFonts w:hint="eastAsia" w:cs="宋体"/>
                <w:color w:val="auto"/>
                <w:kern w:val="0"/>
              </w:rPr>
              <w:t>措施是否完善</w:t>
            </w:r>
          </w:p>
          <w:p w14:paraId="4D497157">
            <w:pPr>
              <w:pStyle w:val="24"/>
              <w:snapToGrid w:val="0"/>
              <w:spacing w:line="240" w:lineRule="auto"/>
              <w:ind w:firstLine="0" w:firstLineChars="0"/>
              <w:rPr>
                <w:rFonts w:cs="宋体"/>
                <w:color w:val="auto"/>
                <w:kern w:val="0"/>
              </w:rPr>
            </w:pPr>
            <w:r>
              <w:rPr>
                <w:rFonts w:hint="eastAsia" w:cs="宋体"/>
                <w:color w:val="auto"/>
              </w:rPr>
              <w:t>（完善的得</w:t>
            </w:r>
            <w:r>
              <w:rPr>
                <w:rFonts w:hint="eastAsia" w:cs="宋体"/>
                <w:color w:val="auto"/>
                <w:lang w:val="en-US" w:eastAsia="zh-CN"/>
              </w:rPr>
              <w:t>5</w:t>
            </w:r>
            <w:r>
              <w:rPr>
                <w:rFonts w:hint="eastAsia" w:cs="宋体"/>
                <w:color w:val="auto"/>
              </w:rPr>
              <w:t>-</w:t>
            </w:r>
            <w:r>
              <w:rPr>
                <w:rFonts w:hint="eastAsia" w:cs="宋体"/>
                <w:color w:val="auto"/>
                <w:lang w:val="en-US" w:eastAsia="zh-CN"/>
              </w:rPr>
              <w:t>6</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0609015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lang w:val="en-US" w:eastAsia="zh-CN"/>
              </w:rPr>
              <w:t>6</w:t>
            </w:r>
          </w:p>
        </w:tc>
        <w:tc>
          <w:tcPr>
            <w:tcW w:w="1229" w:type="dxa"/>
            <w:noWrap w:val="0"/>
            <w:vAlign w:val="center"/>
          </w:tcPr>
          <w:p w14:paraId="4379AF9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4FD5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34085EA2">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34AC0E9B">
            <w:pPr>
              <w:widowControl/>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7</w:t>
            </w:r>
          </w:p>
        </w:tc>
        <w:tc>
          <w:tcPr>
            <w:tcW w:w="6633" w:type="dxa"/>
            <w:shd w:val="clear" w:color="000000" w:fill="FFFFFF"/>
            <w:noWrap w:val="0"/>
            <w:vAlign w:val="center"/>
          </w:tcPr>
          <w:p w14:paraId="45723819">
            <w:pPr>
              <w:pStyle w:val="24"/>
              <w:snapToGrid w:val="0"/>
              <w:spacing w:line="240" w:lineRule="auto"/>
              <w:ind w:firstLine="0" w:firstLineChars="0"/>
              <w:rPr>
                <w:rFonts w:hint="eastAsia" w:ascii="宋体" w:hAnsi="宋体" w:cs="宋体"/>
                <w:color w:val="auto"/>
                <w:szCs w:val="21"/>
              </w:rPr>
            </w:pPr>
            <w:r>
              <w:rPr>
                <w:rFonts w:hint="eastAsia" w:ascii="宋体" w:hAnsi="宋体" w:cs="宋体"/>
                <w:color w:val="auto"/>
                <w:szCs w:val="21"/>
                <w:lang w:val="en-US" w:eastAsia="zh-CN"/>
              </w:rPr>
              <w:t>采购</w:t>
            </w:r>
            <w:r>
              <w:rPr>
                <w:rFonts w:hint="eastAsia" w:ascii="宋体" w:hAnsi="宋体" w:cs="宋体"/>
                <w:color w:val="auto"/>
                <w:szCs w:val="21"/>
              </w:rPr>
              <w:t>代理质量相关控制制度是否健全</w:t>
            </w:r>
          </w:p>
          <w:p w14:paraId="488009D2">
            <w:pPr>
              <w:pStyle w:val="24"/>
              <w:snapToGrid w:val="0"/>
              <w:spacing w:line="240" w:lineRule="auto"/>
              <w:ind w:firstLine="0" w:firstLineChars="0"/>
              <w:rPr>
                <w:rFonts w:cs="宋体"/>
                <w:b/>
                <w:bCs/>
                <w:color w:val="auto"/>
              </w:rPr>
            </w:pPr>
            <w:r>
              <w:rPr>
                <w:rFonts w:hint="eastAsia" w:cs="宋体"/>
                <w:color w:val="auto"/>
              </w:rPr>
              <w:t>（完善的得</w:t>
            </w:r>
            <w:r>
              <w:rPr>
                <w:rFonts w:hint="eastAsia" w:cs="宋体"/>
                <w:color w:val="auto"/>
                <w:lang w:val="en-US" w:eastAsia="zh-CN"/>
              </w:rPr>
              <w:t>5</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155B2B06">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rPr>
              <w:t>5</w:t>
            </w:r>
          </w:p>
        </w:tc>
        <w:tc>
          <w:tcPr>
            <w:tcW w:w="1229" w:type="dxa"/>
            <w:noWrap w:val="0"/>
            <w:vAlign w:val="center"/>
          </w:tcPr>
          <w:p w14:paraId="4DC21B6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0699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6F08F888">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719E34D5">
            <w:pPr>
              <w:widowControl/>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8</w:t>
            </w:r>
          </w:p>
        </w:tc>
        <w:tc>
          <w:tcPr>
            <w:tcW w:w="6633" w:type="dxa"/>
            <w:shd w:val="clear" w:color="000000" w:fill="FFFFFF"/>
            <w:noWrap w:val="0"/>
            <w:vAlign w:val="center"/>
          </w:tcPr>
          <w:p w14:paraId="2F07A750">
            <w:pPr>
              <w:pStyle w:val="24"/>
              <w:snapToGrid w:val="0"/>
              <w:spacing w:line="240" w:lineRule="auto"/>
              <w:ind w:firstLine="0" w:firstLineChars="0"/>
              <w:rPr>
                <w:rFonts w:hint="eastAsia" w:ascii="宋体" w:hAnsi="宋体" w:cs="宋体"/>
                <w:color w:val="auto"/>
                <w:szCs w:val="21"/>
              </w:rPr>
            </w:pPr>
            <w:r>
              <w:rPr>
                <w:rFonts w:hint="eastAsia" w:ascii="宋体" w:hAnsi="宋体" w:cs="宋体"/>
                <w:color w:val="auto"/>
                <w:szCs w:val="21"/>
              </w:rPr>
              <w:t>职业道德、廉价自律等控制和承诺措施</w:t>
            </w:r>
          </w:p>
          <w:p w14:paraId="06697768">
            <w:pPr>
              <w:pStyle w:val="24"/>
              <w:snapToGrid w:val="0"/>
              <w:spacing w:line="240" w:lineRule="auto"/>
              <w:ind w:firstLine="0" w:firstLineChars="0"/>
              <w:rPr>
                <w:rFonts w:cs="宋体"/>
                <w:color w:val="auto"/>
                <w:kern w:val="0"/>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787DA8AE">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p>
        </w:tc>
        <w:tc>
          <w:tcPr>
            <w:tcW w:w="1229" w:type="dxa"/>
            <w:noWrap w:val="0"/>
            <w:vAlign w:val="center"/>
          </w:tcPr>
          <w:p w14:paraId="1852785C">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56C8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12" w:type="dxa"/>
            <w:vMerge w:val="continue"/>
            <w:shd w:val="clear" w:color="auto" w:fill="auto"/>
            <w:noWrap w:val="0"/>
            <w:vAlign w:val="center"/>
          </w:tcPr>
          <w:p w14:paraId="69706E3D">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22C44923">
            <w:pPr>
              <w:widowControl/>
              <w:jc w:val="center"/>
              <w:rPr>
                <w:rFonts w:ascii="宋体" w:hAnsi="宋体" w:cs="宋体"/>
                <w:color w:val="auto"/>
                <w:kern w:val="0"/>
                <w:sz w:val="24"/>
              </w:rPr>
            </w:pPr>
            <w:r>
              <w:rPr>
                <w:rFonts w:hint="eastAsia" w:ascii="宋体" w:hAnsi="宋体" w:cs="宋体"/>
                <w:color w:val="auto"/>
                <w:kern w:val="0"/>
                <w:sz w:val="24"/>
              </w:rPr>
              <w:t>9</w:t>
            </w:r>
          </w:p>
        </w:tc>
        <w:tc>
          <w:tcPr>
            <w:tcW w:w="6633" w:type="dxa"/>
            <w:shd w:val="clear" w:color="000000" w:fill="FFFFFF"/>
            <w:noWrap w:val="0"/>
            <w:vAlign w:val="center"/>
          </w:tcPr>
          <w:p w14:paraId="7F624128">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代理全过程时间的控制方法</w:t>
            </w:r>
          </w:p>
          <w:p w14:paraId="58C06253">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EF9FD15">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p>
        </w:tc>
        <w:tc>
          <w:tcPr>
            <w:tcW w:w="1229" w:type="dxa"/>
            <w:noWrap w:val="0"/>
            <w:vAlign w:val="center"/>
          </w:tcPr>
          <w:p w14:paraId="11179B1C">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3977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12" w:type="dxa"/>
            <w:vMerge w:val="continue"/>
            <w:shd w:val="clear" w:color="auto" w:fill="auto"/>
            <w:noWrap w:val="0"/>
            <w:vAlign w:val="center"/>
          </w:tcPr>
          <w:p w14:paraId="5AD940C9">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5A842EC2">
            <w:pPr>
              <w:widowControl/>
              <w:jc w:val="center"/>
              <w:rPr>
                <w:rFonts w:ascii="宋体" w:hAnsi="宋体" w:cs="宋体"/>
                <w:color w:val="auto"/>
                <w:kern w:val="0"/>
                <w:sz w:val="24"/>
              </w:rPr>
            </w:pPr>
            <w:r>
              <w:rPr>
                <w:rFonts w:hint="eastAsia" w:ascii="宋体" w:hAnsi="宋体" w:cs="宋体"/>
                <w:color w:val="auto"/>
                <w:kern w:val="0"/>
                <w:sz w:val="24"/>
              </w:rPr>
              <w:t>10</w:t>
            </w:r>
          </w:p>
        </w:tc>
        <w:tc>
          <w:tcPr>
            <w:tcW w:w="6633" w:type="dxa"/>
            <w:shd w:val="clear" w:color="000000" w:fill="FFFFFF"/>
            <w:noWrap w:val="0"/>
            <w:vAlign w:val="center"/>
          </w:tcPr>
          <w:p w14:paraId="56F9E260">
            <w:pPr>
              <w:pStyle w:val="24"/>
              <w:snapToGrid w:val="0"/>
              <w:spacing w:line="240" w:lineRule="auto"/>
              <w:ind w:firstLine="0" w:firstLineChars="0"/>
              <w:rPr>
                <w:rFonts w:cs="宋体"/>
                <w:color w:val="auto"/>
              </w:rPr>
            </w:pPr>
            <w:r>
              <w:rPr>
                <w:rFonts w:hint="eastAsia" w:cs="宋体"/>
                <w:color w:val="auto"/>
              </w:rPr>
              <w:t>进度的保证措施</w:t>
            </w:r>
          </w:p>
          <w:p w14:paraId="54E84EB3">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3606F9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bookmarkStart w:id="412" w:name="_GoBack"/>
            <w:bookmarkEnd w:id="412"/>
          </w:p>
        </w:tc>
        <w:tc>
          <w:tcPr>
            <w:tcW w:w="1229" w:type="dxa"/>
            <w:noWrap w:val="0"/>
            <w:vAlign w:val="center"/>
          </w:tcPr>
          <w:p w14:paraId="5A645747">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bl>
    <w:p w14:paraId="49F416C6">
      <w:pPr>
        <w:widowControl/>
        <w:spacing w:line="360" w:lineRule="auto"/>
        <w:jc w:val="left"/>
        <w:rPr>
          <w:rFonts w:ascii="宋体" w:hAnsi="宋体" w:cs="宋体"/>
          <w:b/>
          <w:bCs/>
          <w:color w:val="auto"/>
          <w:sz w:val="24"/>
          <w:lang w:val="zh-CN"/>
        </w:rPr>
      </w:pPr>
      <w:r>
        <w:rPr>
          <w:rFonts w:hint="eastAsia" w:ascii="宋体" w:hAnsi="宋体" w:cs="宋体"/>
          <w:b/>
          <w:bCs/>
          <w:color w:val="auto"/>
          <w:sz w:val="24"/>
          <w:lang w:val="zh-CN"/>
        </w:rPr>
        <w:t>注：1）若交易发起人对供应商提供的证明资料要求为原件的，另行提出。</w:t>
      </w:r>
    </w:p>
    <w:p w14:paraId="5AE344ED">
      <w:pPr>
        <w:spacing w:line="312" w:lineRule="auto"/>
        <w:ind w:firstLine="482" w:firstLineChars="200"/>
        <w:rPr>
          <w:rFonts w:hint="eastAsia" w:ascii="宋体" w:hAnsi="宋体" w:cs="宋体"/>
          <w:b/>
          <w:color w:val="auto"/>
          <w:sz w:val="24"/>
          <w:lang w:val="zh-CN" w:eastAsia="zh-CN"/>
        </w:rPr>
      </w:pPr>
      <w:r>
        <w:rPr>
          <w:rFonts w:hint="eastAsia" w:ascii="宋体" w:hAnsi="宋体" w:cs="宋体"/>
          <w:b/>
          <w:color w:val="auto"/>
          <w:sz w:val="24"/>
          <w:lang w:val="en-US" w:eastAsia="zh-CN"/>
        </w:rPr>
        <w:t>2）</w:t>
      </w:r>
      <w:r>
        <w:rPr>
          <w:rFonts w:hint="eastAsia" w:ascii="宋体" w:hAnsi="宋体" w:cs="宋体"/>
          <w:b/>
          <w:color w:val="auto"/>
          <w:sz w:val="24"/>
          <w:lang w:val="zh-CN" w:eastAsia="zh-CN"/>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753EFEE">
      <w:pPr>
        <w:spacing w:line="312" w:lineRule="auto"/>
        <w:ind w:firstLine="482" w:firstLineChars="200"/>
        <w:rPr>
          <w:rFonts w:hint="eastAsia" w:ascii="宋体" w:hAnsi="宋体" w:cs="宋体"/>
          <w:b/>
          <w:color w:val="auto"/>
          <w:sz w:val="24"/>
          <w:lang w:val="zh-CN" w:eastAsia="zh-CN"/>
        </w:rPr>
      </w:pPr>
      <w:r>
        <w:rPr>
          <w:rFonts w:hint="eastAsia" w:ascii="宋体" w:hAnsi="宋体" w:cs="宋体"/>
          <w:b/>
          <w:color w:val="auto"/>
          <w:sz w:val="24"/>
          <w:lang w:val="en-US" w:eastAsia="zh-CN"/>
        </w:rPr>
        <w:t>3）</w:t>
      </w:r>
      <w:r>
        <w:rPr>
          <w:rFonts w:hint="eastAsia" w:ascii="宋体" w:hAnsi="宋体" w:cs="宋体"/>
          <w:b/>
          <w:color w:val="auto"/>
          <w:sz w:val="24"/>
          <w:lang w:val="zh-CN" w:eastAsia="zh-CN"/>
        </w:rPr>
        <w:t>企业人员及企业业绩若上述评审细则中未具体要求的，使用本公司总部或萧山分支机构的，可按规定计分，另外不得计分。本</w:t>
      </w:r>
      <w:r>
        <w:rPr>
          <w:rFonts w:hint="eastAsia" w:ascii="宋体" w:hAnsi="宋体" w:cs="宋体"/>
          <w:b/>
          <w:color w:val="auto"/>
          <w:sz w:val="24"/>
          <w:lang w:val="en-US" w:eastAsia="zh-CN"/>
        </w:rPr>
        <w:t>交易</w:t>
      </w:r>
      <w:r>
        <w:rPr>
          <w:rFonts w:hint="eastAsia" w:ascii="宋体" w:hAnsi="宋体" w:cs="宋体"/>
          <w:b/>
          <w:color w:val="auto"/>
          <w:sz w:val="24"/>
          <w:lang w:val="zh-CN" w:eastAsia="zh-CN"/>
        </w:rPr>
        <w:t>文件中的萧山区不包括原大江东。</w:t>
      </w:r>
    </w:p>
    <w:p w14:paraId="3DDCFC92">
      <w:pPr>
        <w:spacing w:line="312" w:lineRule="auto"/>
        <w:ind w:firstLine="480" w:firstLineChars="200"/>
        <w:rPr>
          <w:rFonts w:ascii="宋体" w:hAnsi="宋体" w:cs="宋体"/>
          <w:color w:val="auto"/>
          <w:sz w:val="24"/>
        </w:rPr>
      </w:pPr>
      <w:r>
        <w:rPr>
          <w:rFonts w:hint="eastAsia" w:ascii="宋体" w:hAnsi="宋体" w:cs="宋体"/>
          <w:color w:val="auto"/>
          <w:sz w:val="24"/>
        </w:rPr>
        <w:t>33.2价格部分评分方法（30分）：</w:t>
      </w:r>
    </w:p>
    <w:p w14:paraId="5A8F5518">
      <w:pPr>
        <w:pStyle w:val="32"/>
        <w:spacing w:line="360" w:lineRule="auto"/>
        <w:ind w:firstLine="480" w:firstLineChars="200"/>
        <w:rPr>
          <w:rFonts w:hAnsi="宋体"/>
          <w:color w:val="auto"/>
          <w:sz w:val="24"/>
        </w:rPr>
      </w:pPr>
      <w:r>
        <w:rPr>
          <w:rFonts w:hint="eastAsia" w:hAnsi="宋体"/>
          <w:color w:val="auto"/>
          <w:sz w:val="24"/>
          <w:lang w:eastAsia="zh-CN"/>
        </w:rPr>
        <w:t>供应商</w:t>
      </w:r>
      <w:r>
        <w:rPr>
          <w:rFonts w:hint="eastAsia" w:hAnsi="宋体"/>
          <w:color w:val="auto"/>
          <w:sz w:val="24"/>
        </w:rPr>
        <w:t>根据计价格（2002）1980号文件、浙价服（2009）84号文件按</w:t>
      </w:r>
      <w:r>
        <w:rPr>
          <w:rFonts w:hint="eastAsia" w:hAnsi="宋体"/>
          <w:color w:val="auto"/>
          <w:sz w:val="24"/>
          <w:lang w:eastAsia="zh-CN"/>
        </w:rPr>
        <w:t>响应</w:t>
      </w:r>
      <w:r>
        <w:rPr>
          <w:rFonts w:hint="eastAsia" w:hAnsi="宋体"/>
          <w:color w:val="auto"/>
          <w:sz w:val="24"/>
        </w:rPr>
        <w:t>优惠率进行评分，优惠范围</w:t>
      </w:r>
      <w:r>
        <w:rPr>
          <w:rFonts w:hint="eastAsia" w:hAnsi="宋体"/>
          <w:color w:val="auto"/>
          <w:sz w:val="24"/>
          <w:lang w:val="en-US" w:eastAsia="zh-CN"/>
        </w:rPr>
        <w:t>35</w:t>
      </w:r>
      <w:r>
        <w:rPr>
          <w:rFonts w:hint="eastAsia" w:hAnsi="宋体"/>
          <w:color w:val="auto"/>
          <w:sz w:val="24"/>
        </w:rPr>
        <w:t>%（含）</w:t>
      </w:r>
      <w:r>
        <w:rPr>
          <w:rFonts w:hAnsi="宋体"/>
          <w:color w:val="auto"/>
          <w:sz w:val="24"/>
        </w:rPr>
        <w:t>-</w:t>
      </w:r>
      <w:r>
        <w:rPr>
          <w:rFonts w:hint="eastAsia" w:hAnsi="宋体"/>
          <w:color w:val="auto"/>
          <w:sz w:val="24"/>
          <w:lang w:val="en-US" w:eastAsia="zh-CN"/>
        </w:rPr>
        <w:t>40</w:t>
      </w:r>
      <w:r>
        <w:rPr>
          <w:rFonts w:hAnsi="宋体"/>
          <w:color w:val="auto"/>
          <w:sz w:val="24"/>
        </w:rPr>
        <w:t>%</w:t>
      </w:r>
      <w:r>
        <w:rPr>
          <w:rFonts w:hint="eastAsia" w:hAnsi="宋体"/>
          <w:color w:val="auto"/>
          <w:sz w:val="24"/>
        </w:rPr>
        <w:t>（含），最多保留小数点后</w:t>
      </w:r>
      <w:r>
        <w:rPr>
          <w:rFonts w:hAnsi="宋体"/>
          <w:color w:val="auto"/>
          <w:sz w:val="24"/>
        </w:rPr>
        <w:t>1</w:t>
      </w:r>
      <w:r>
        <w:rPr>
          <w:rFonts w:hint="eastAsia" w:hAnsi="宋体"/>
          <w:color w:val="auto"/>
          <w:sz w:val="24"/>
        </w:rPr>
        <w:t>位，超过范围价格作0分处理。</w:t>
      </w:r>
    </w:p>
    <w:p w14:paraId="3C978140">
      <w:pPr>
        <w:pStyle w:val="32"/>
        <w:spacing w:line="360" w:lineRule="auto"/>
        <w:ind w:firstLine="470" w:firstLineChars="196"/>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）以</w:t>
      </w:r>
      <w:r>
        <w:rPr>
          <w:rFonts w:hint="eastAsia" w:hAnsi="宋体"/>
          <w:color w:val="auto"/>
          <w:sz w:val="24"/>
          <w:lang w:eastAsia="zh-CN"/>
        </w:rPr>
        <w:t>交易文件</w:t>
      </w:r>
      <w:r>
        <w:rPr>
          <w:rFonts w:hint="eastAsia" w:hAnsi="宋体"/>
          <w:color w:val="auto"/>
          <w:sz w:val="24"/>
        </w:rPr>
        <w:t>规定的最大优惠率（即</w:t>
      </w:r>
      <w:r>
        <w:rPr>
          <w:rFonts w:hint="eastAsia" w:hAnsi="宋体"/>
          <w:color w:val="auto"/>
          <w:sz w:val="24"/>
          <w:lang w:val="en-US" w:eastAsia="zh-CN"/>
        </w:rPr>
        <w:t>40</w:t>
      </w:r>
      <w:r>
        <w:rPr>
          <w:rFonts w:hint="eastAsia" w:hAnsi="宋体"/>
          <w:color w:val="auto"/>
          <w:sz w:val="24"/>
        </w:rPr>
        <w:t>%）为最佳报价值。</w:t>
      </w:r>
    </w:p>
    <w:p w14:paraId="6C43B46C">
      <w:pPr>
        <w:pStyle w:val="32"/>
        <w:spacing w:line="360" w:lineRule="auto"/>
        <w:ind w:firstLine="480" w:firstLineChars="200"/>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评标价与最佳报价值对比，计算出</w:t>
      </w:r>
      <w:r>
        <w:rPr>
          <w:rFonts w:hint="eastAsia" w:hAnsi="宋体"/>
          <w:color w:val="auto"/>
          <w:sz w:val="24"/>
          <w:lang w:eastAsia="zh-CN"/>
        </w:rPr>
        <w:t>响应</w:t>
      </w:r>
      <w:r>
        <w:rPr>
          <w:rFonts w:hint="eastAsia" w:hAnsi="宋体"/>
          <w:color w:val="auto"/>
          <w:sz w:val="24"/>
        </w:rPr>
        <w:t>评标价的得分值，即：</w:t>
      </w:r>
    </w:p>
    <w:p w14:paraId="3258D7CD">
      <w:pPr>
        <w:pStyle w:val="32"/>
        <w:spacing w:line="360" w:lineRule="auto"/>
        <w:ind w:firstLine="480" w:firstLineChars="200"/>
        <w:rPr>
          <w:rFonts w:hAnsi="宋体"/>
          <w:color w:val="auto"/>
          <w:sz w:val="24"/>
        </w:rPr>
      </w:pPr>
      <w:r>
        <w:rPr>
          <w:rFonts w:hAnsi="宋体"/>
          <w:color w:val="auto"/>
          <w:sz w:val="24"/>
        </w:rPr>
        <w:t>a</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评标价等于最佳报价值，得满分30分；</w:t>
      </w:r>
    </w:p>
    <w:p w14:paraId="113A1461">
      <w:pPr>
        <w:pStyle w:val="32"/>
        <w:spacing w:line="360" w:lineRule="auto"/>
        <w:ind w:firstLine="480" w:firstLineChars="200"/>
        <w:rPr>
          <w:rFonts w:hAnsi="宋体"/>
          <w:color w:val="auto"/>
          <w:sz w:val="24"/>
        </w:rPr>
      </w:pPr>
      <w:r>
        <w:rPr>
          <w:rFonts w:hAnsi="宋体"/>
          <w:color w:val="auto"/>
          <w:sz w:val="24"/>
        </w:rPr>
        <w:t>b</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评标价高于最佳报价值一个百分点，扣</w:t>
      </w:r>
      <w:r>
        <w:rPr>
          <w:rFonts w:hAnsi="宋体"/>
          <w:color w:val="auto"/>
          <w:sz w:val="24"/>
        </w:rPr>
        <w:t>1</w:t>
      </w:r>
      <w:r>
        <w:rPr>
          <w:rFonts w:hint="eastAsia" w:hAnsi="宋体"/>
          <w:color w:val="auto"/>
          <w:sz w:val="24"/>
        </w:rPr>
        <w:t>分。</w:t>
      </w:r>
    </w:p>
    <w:p w14:paraId="505A3917">
      <w:pPr>
        <w:pStyle w:val="32"/>
        <w:spacing w:line="360" w:lineRule="auto"/>
        <w:ind w:firstLine="480" w:firstLineChars="200"/>
        <w:rPr>
          <w:rFonts w:hAnsi="宋体"/>
          <w:color w:val="auto"/>
          <w:sz w:val="24"/>
        </w:rPr>
      </w:pPr>
      <w:r>
        <w:rPr>
          <w:rFonts w:hint="eastAsia" w:hAnsi="宋体"/>
          <w:color w:val="auto"/>
          <w:sz w:val="24"/>
        </w:rPr>
        <w:t>以上计算得分时，如不足一个百分点时，使用直线插入法计算，保留二位小数，最低得分为</w:t>
      </w:r>
      <w:r>
        <w:rPr>
          <w:rFonts w:hAnsi="宋体"/>
          <w:color w:val="auto"/>
          <w:sz w:val="24"/>
        </w:rPr>
        <w:t>0</w:t>
      </w:r>
      <w:r>
        <w:rPr>
          <w:rFonts w:hint="eastAsia" w:hAnsi="宋体"/>
          <w:color w:val="auto"/>
          <w:sz w:val="24"/>
        </w:rPr>
        <w:t>分。</w:t>
      </w:r>
      <w:r>
        <w:rPr>
          <w:rFonts w:hAnsi="宋体"/>
          <w:color w:val="auto"/>
          <w:sz w:val="24"/>
        </w:rPr>
        <w:t xml:space="preserve"> </w:t>
      </w:r>
    </w:p>
    <w:p w14:paraId="6E929714">
      <w:pPr>
        <w:ind w:firstLine="480" w:firstLineChars="200"/>
        <w:rPr>
          <w:rFonts w:hint="eastAsia" w:hAnsi="宋体"/>
          <w:color w:val="auto"/>
          <w:sz w:val="24"/>
        </w:rPr>
      </w:pPr>
      <w:r>
        <w:rPr>
          <w:rFonts w:hint="eastAsia" w:hAnsi="宋体"/>
          <w:color w:val="auto"/>
          <w:sz w:val="24"/>
        </w:rPr>
        <w:t>价格得分＝30-（｜</w:t>
      </w:r>
      <w:r>
        <w:rPr>
          <w:rFonts w:hint="eastAsia" w:hAnsi="宋体"/>
          <w:color w:val="auto"/>
          <w:sz w:val="24"/>
          <w:lang w:eastAsia="zh-CN"/>
        </w:rPr>
        <w:t>响应</w:t>
      </w:r>
      <w:r>
        <w:rPr>
          <w:rFonts w:hint="eastAsia" w:hAnsi="宋体"/>
          <w:color w:val="auto"/>
          <w:sz w:val="24"/>
        </w:rPr>
        <w:t>优惠率／最佳报价值-1｜×100×1）</w:t>
      </w:r>
    </w:p>
    <w:p w14:paraId="715253A5">
      <w:pPr>
        <w:ind w:firstLine="480" w:firstLineChars="200"/>
        <w:rPr>
          <w:rFonts w:hint="eastAsia" w:hAnsi="宋体"/>
          <w:color w:val="auto"/>
          <w:sz w:val="24"/>
        </w:rPr>
      </w:pPr>
    </w:p>
    <w:p w14:paraId="7C78C8B5">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34.解释权</w:t>
      </w:r>
    </w:p>
    <w:p w14:paraId="6BB683B5">
      <w:pPr>
        <w:pStyle w:val="128"/>
        <w:spacing w:before="0"/>
        <w:ind w:firstLine="508" w:firstLineChars="212"/>
        <w:rPr>
          <w:rFonts w:hint="eastAsia" w:ascii="宋体" w:hAnsi="宋体" w:cs="宋体"/>
          <w:color w:val="auto"/>
          <w:kern w:val="0"/>
          <w:lang w:eastAsia="zh-CN"/>
        </w:rPr>
      </w:pPr>
      <w:r>
        <w:rPr>
          <w:rFonts w:hint="eastAsia" w:ascii="宋体" w:hAnsi="宋体" w:cs="宋体"/>
          <w:color w:val="auto"/>
          <w:kern w:val="0"/>
          <w:lang w:eastAsia="zh-CN"/>
        </w:rPr>
        <w:t>专用条款与通用条款有矛盾之处，以专用条款为准。凡涉及本次交易文件的解释权属于交易发起人与代理机构。</w:t>
      </w:r>
    </w:p>
    <w:p w14:paraId="03C674C0">
      <w:pPr>
        <w:rPr>
          <w:rFonts w:hint="eastAsia" w:ascii="宋体" w:hAnsi="宋体" w:cs="宋体"/>
          <w:color w:val="auto"/>
          <w:sz w:val="24"/>
        </w:rPr>
      </w:pPr>
      <w:r>
        <w:rPr>
          <w:rFonts w:hint="eastAsia" w:ascii="宋体" w:hAnsi="宋体" w:cs="宋体"/>
          <w:color w:val="auto"/>
          <w:sz w:val="24"/>
        </w:rPr>
        <w:br w:type="page"/>
      </w:r>
    </w:p>
    <w:p w14:paraId="4DD01BD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41C2EA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w:t>
      </w:r>
      <w:r>
        <w:rPr>
          <w:rFonts w:hint="eastAsia" w:ascii="宋体" w:hAnsi="宋体" w:cs="宋体"/>
          <w:b/>
          <w:color w:val="auto"/>
          <w:kern w:val="0"/>
          <w:sz w:val="24"/>
          <w:lang w:eastAsia="zh-CN"/>
        </w:rPr>
        <w:t>综合评估法</w:t>
      </w:r>
      <w:r>
        <w:rPr>
          <w:rFonts w:hint="eastAsia" w:ascii="宋体" w:hAnsi="宋体" w:cs="宋体"/>
          <w:b/>
          <w:color w:val="auto"/>
          <w:kern w:val="0"/>
          <w:sz w:val="24"/>
        </w:rPr>
        <w:t>。</w:t>
      </w:r>
      <w:r>
        <w:rPr>
          <w:rFonts w:hint="eastAsia" w:ascii="宋体" w:hAnsi="宋体" w:cs="宋体"/>
          <w:color w:val="auto"/>
          <w:kern w:val="0"/>
          <w:sz w:val="24"/>
        </w:rPr>
        <w:t>在最大限度地满足</w:t>
      </w:r>
      <w:r>
        <w:rPr>
          <w:rFonts w:hint="eastAsia" w:ascii="宋体" w:hAnsi="宋体" w:cs="宋体"/>
          <w:color w:val="auto"/>
          <w:kern w:val="0"/>
          <w:sz w:val="24"/>
          <w:lang w:eastAsia="zh-CN"/>
        </w:rPr>
        <w:t>交易文件</w:t>
      </w:r>
      <w:r>
        <w:rPr>
          <w:rFonts w:hint="eastAsia" w:ascii="宋体" w:hAnsi="宋体" w:cs="宋体"/>
          <w:color w:val="auto"/>
          <w:kern w:val="0"/>
          <w:sz w:val="24"/>
        </w:rPr>
        <w:t>实质性要求前提下，按照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中规定的各项因素进行综合评审后，以评审总得分前</w:t>
      </w:r>
      <w:r>
        <w:rPr>
          <w:rFonts w:hint="eastAsia" w:ascii="宋体" w:hAnsi="宋体" w:cs="宋体"/>
          <w:color w:val="auto"/>
          <w:kern w:val="0"/>
          <w:sz w:val="24"/>
          <w:lang w:val="en-US" w:eastAsia="zh-CN"/>
        </w:rPr>
        <w:t>三</w:t>
      </w:r>
      <w:r>
        <w:rPr>
          <w:rFonts w:hint="eastAsia" w:ascii="宋体" w:hAnsi="宋体" w:cs="宋体"/>
          <w:color w:val="auto"/>
          <w:kern w:val="0"/>
          <w:sz w:val="24"/>
        </w:rPr>
        <w:t>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441F1238">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2FBA9D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593769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79DC59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w:t>
      </w:r>
      <w:r>
        <w:rPr>
          <w:rFonts w:hint="eastAsia" w:ascii="宋体" w:hAnsi="宋体" w:cs="宋体"/>
          <w:color w:val="auto"/>
          <w:kern w:val="0"/>
          <w:sz w:val="24"/>
          <w:lang w:eastAsia="zh-CN"/>
        </w:rPr>
        <w:t>供应商</w:t>
      </w:r>
      <w:r>
        <w:rPr>
          <w:rFonts w:hint="eastAsia" w:ascii="宋体" w:hAnsi="宋体" w:cs="宋体"/>
          <w:color w:val="auto"/>
          <w:kern w:val="0"/>
          <w:sz w:val="24"/>
        </w:rPr>
        <w:t>的</w:t>
      </w:r>
      <w:r>
        <w:rPr>
          <w:rFonts w:hint="eastAsia" w:ascii="宋体" w:hAnsi="宋体" w:cs="宋体"/>
          <w:color w:val="auto"/>
          <w:kern w:val="0"/>
          <w:sz w:val="24"/>
          <w:lang w:eastAsia="zh-CN"/>
        </w:rPr>
        <w:t>响应文件</w:t>
      </w:r>
      <w:r>
        <w:rPr>
          <w:rFonts w:hint="eastAsia" w:ascii="宋体" w:hAnsi="宋体" w:cs="宋体"/>
          <w:color w:val="auto"/>
          <w:kern w:val="0"/>
          <w:sz w:val="24"/>
        </w:rPr>
        <w:t>进行符合性审查，以确定其是否满足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的实质性要求。不满足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0E2906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中规定的评标方法和标准，对符合性审查合格的</w:t>
      </w:r>
      <w:r>
        <w:rPr>
          <w:rFonts w:hint="eastAsia" w:ascii="宋体" w:hAnsi="宋体" w:cs="宋体"/>
          <w:color w:val="auto"/>
          <w:kern w:val="0"/>
          <w:sz w:val="24"/>
          <w:lang w:eastAsia="zh-CN"/>
        </w:rPr>
        <w:t>响应文件</w:t>
      </w:r>
      <w:r>
        <w:rPr>
          <w:rFonts w:hint="eastAsia" w:ascii="宋体" w:hAnsi="宋体" w:cs="宋体"/>
          <w:color w:val="auto"/>
          <w:kern w:val="0"/>
          <w:sz w:val="24"/>
        </w:rPr>
        <w:t>进行商务和技术评估，综合比较与评价。</w:t>
      </w:r>
    </w:p>
    <w:p w14:paraId="4CE081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w:t>
      </w:r>
      <w:r>
        <w:rPr>
          <w:rFonts w:hint="eastAsia" w:ascii="宋体" w:hAnsi="宋体" w:cs="宋体"/>
          <w:color w:val="auto"/>
          <w:kern w:val="0"/>
          <w:sz w:val="24"/>
          <w:lang w:eastAsia="zh-CN"/>
        </w:rPr>
        <w:t>供应商</w:t>
      </w:r>
      <w:r>
        <w:rPr>
          <w:rFonts w:hint="eastAsia" w:ascii="宋体" w:hAnsi="宋体" w:cs="宋体"/>
          <w:color w:val="auto"/>
          <w:kern w:val="0"/>
          <w:sz w:val="24"/>
        </w:rPr>
        <w:t>的商务和技术文件进行评价，并汇总商务技术得分情况。</w:t>
      </w:r>
    </w:p>
    <w:p w14:paraId="185654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04C8C57">
      <w:pPr>
        <w:pStyle w:val="128"/>
        <w:spacing w:before="0"/>
        <w:ind w:firstLine="508" w:firstLineChars="212"/>
        <w:rPr>
          <w:rFonts w:ascii="宋体" w:hAnsi="宋体" w:cs="宋体"/>
          <w:color w:val="auto"/>
          <w:kern w:val="0"/>
        </w:rPr>
      </w:pPr>
      <w:r>
        <w:rPr>
          <w:rFonts w:hint="eastAsia" w:ascii="宋体" w:hAnsi="宋体" w:cs="宋体"/>
          <w:color w:val="auto"/>
          <w:kern w:val="0"/>
        </w:rPr>
        <w:t>3.4.1</w:t>
      </w:r>
      <w:r>
        <w:rPr>
          <w:rFonts w:hint="eastAsia" w:ascii="宋体" w:hAnsi="宋体" w:cs="宋体"/>
          <w:color w:val="auto"/>
          <w:kern w:val="0"/>
          <w:lang w:eastAsia="zh-CN"/>
        </w:rPr>
        <w:t>响应文件</w:t>
      </w:r>
      <w:r>
        <w:rPr>
          <w:rFonts w:hint="eastAsia" w:ascii="宋体" w:hAnsi="宋体" w:cs="宋体"/>
          <w:color w:val="auto"/>
          <w:kern w:val="0"/>
        </w:rPr>
        <w:t>报价出现前后不一致的，按照下列规定修正：</w:t>
      </w:r>
    </w:p>
    <w:p w14:paraId="477D4444">
      <w:pPr>
        <w:pStyle w:val="128"/>
        <w:spacing w:before="0"/>
        <w:ind w:firstLine="480"/>
        <w:rPr>
          <w:rFonts w:ascii="宋体" w:hAnsi="宋体" w:cs="宋体"/>
          <w:color w:val="auto"/>
          <w:kern w:val="0"/>
          <w:szCs w:val="24"/>
        </w:rPr>
      </w:pPr>
      <w:r>
        <w:rPr>
          <w:rFonts w:hint="eastAsia" w:ascii="宋体" w:hAnsi="宋体" w:cs="宋体"/>
          <w:color w:val="auto"/>
          <w:kern w:val="0"/>
          <w:szCs w:val="24"/>
        </w:rPr>
        <w:t>3.4.1.1</w:t>
      </w:r>
      <w:r>
        <w:rPr>
          <w:rFonts w:hint="eastAsia" w:ascii="宋体" w:hAnsi="宋体" w:cs="宋体"/>
          <w:color w:val="auto"/>
          <w:kern w:val="0"/>
          <w:szCs w:val="24"/>
          <w:lang w:eastAsia="zh-CN"/>
        </w:rPr>
        <w:t>响应文件</w:t>
      </w:r>
      <w:r>
        <w:rPr>
          <w:rFonts w:hint="eastAsia" w:ascii="宋体" w:hAnsi="宋体" w:cs="宋体"/>
          <w:color w:val="auto"/>
          <w:kern w:val="0"/>
          <w:szCs w:val="24"/>
        </w:rPr>
        <w:t>中开标一览表(报价表)内容与</w:t>
      </w:r>
      <w:r>
        <w:rPr>
          <w:rFonts w:hint="eastAsia" w:ascii="宋体" w:hAnsi="宋体" w:cs="宋体"/>
          <w:color w:val="auto"/>
          <w:kern w:val="0"/>
          <w:szCs w:val="24"/>
          <w:lang w:eastAsia="zh-CN"/>
        </w:rPr>
        <w:t>响应文件</w:t>
      </w:r>
      <w:r>
        <w:rPr>
          <w:rFonts w:hint="eastAsia" w:ascii="宋体" w:hAnsi="宋体" w:cs="宋体"/>
          <w:color w:val="auto"/>
          <w:kern w:val="0"/>
          <w:szCs w:val="24"/>
        </w:rPr>
        <w:t>中相应内容不一致的，以开标一览表(报价表)为准;</w:t>
      </w:r>
    </w:p>
    <w:p w14:paraId="2FD0FC98">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362C05">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89BF39E">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902BF61">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lang w:eastAsia="zh-CN"/>
        </w:rPr>
        <w:t>供应商</w:t>
      </w:r>
      <w:r>
        <w:rPr>
          <w:rFonts w:hint="eastAsia" w:ascii="宋体" w:hAnsi="宋体" w:cs="宋体"/>
          <w:color w:val="auto"/>
          <w:kern w:val="0"/>
          <w:szCs w:val="24"/>
        </w:rPr>
        <w:t>确认后产生约束力。</w:t>
      </w:r>
    </w:p>
    <w:p w14:paraId="1DB3A19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132D048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D35187C">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w:t>
      </w:r>
      <w:r>
        <w:rPr>
          <w:rFonts w:hint="eastAsia" w:ascii="宋体" w:hAnsi="宋体" w:cs="宋体"/>
          <w:color w:val="auto"/>
          <w:kern w:val="0"/>
          <w:szCs w:val="24"/>
          <w:lang w:eastAsia="zh-CN"/>
        </w:rPr>
        <w:t>供应商</w:t>
      </w:r>
      <w:r>
        <w:rPr>
          <w:rFonts w:hint="eastAsia" w:ascii="宋体" w:hAnsi="宋体" w:cs="宋体"/>
          <w:color w:val="auto"/>
          <w:kern w:val="0"/>
          <w:szCs w:val="24"/>
        </w:rPr>
        <w:t>的报价明显低于其他通过符合性审查</w:t>
      </w:r>
      <w:r>
        <w:rPr>
          <w:rFonts w:hint="eastAsia" w:ascii="宋体" w:hAnsi="宋体" w:cs="宋体"/>
          <w:color w:val="auto"/>
          <w:kern w:val="0"/>
          <w:szCs w:val="24"/>
          <w:lang w:eastAsia="zh-CN"/>
        </w:rPr>
        <w:t>供应商</w:t>
      </w:r>
      <w:r>
        <w:rPr>
          <w:rFonts w:hint="eastAsia" w:ascii="宋体" w:hAnsi="宋体" w:cs="宋体"/>
          <w:color w:val="auto"/>
          <w:kern w:val="0"/>
          <w:szCs w:val="24"/>
        </w:rPr>
        <w:t>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供应商</w:t>
      </w:r>
      <w:r>
        <w:rPr>
          <w:rFonts w:hint="eastAsia" w:ascii="宋体" w:hAnsi="宋体" w:cs="宋体"/>
          <w:color w:val="auto"/>
          <w:kern w:val="0"/>
          <w:szCs w:val="24"/>
        </w:rPr>
        <w:t>不能证明其报价合理性的，评标委员会应当将其作为无效</w:t>
      </w:r>
      <w:r>
        <w:rPr>
          <w:rFonts w:hint="eastAsia" w:ascii="宋体" w:hAnsi="宋体" w:cs="宋体"/>
          <w:color w:val="auto"/>
          <w:kern w:val="0"/>
          <w:szCs w:val="24"/>
          <w:lang w:eastAsia="zh-CN"/>
        </w:rPr>
        <w:t>响应</w:t>
      </w:r>
      <w:r>
        <w:rPr>
          <w:rFonts w:hint="eastAsia" w:ascii="宋体" w:hAnsi="宋体" w:cs="宋体"/>
          <w:color w:val="auto"/>
          <w:kern w:val="0"/>
          <w:szCs w:val="24"/>
        </w:rPr>
        <w:t>处理。</w:t>
      </w:r>
    </w:p>
    <w:p w14:paraId="28AF213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w:t>
      </w:r>
      <w:r>
        <w:rPr>
          <w:rFonts w:hint="eastAsia" w:ascii="宋体" w:hAnsi="宋体" w:cs="宋体"/>
          <w:color w:val="auto"/>
          <w:kern w:val="0"/>
          <w:sz w:val="24"/>
          <w:lang w:eastAsia="zh-CN"/>
        </w:rPr>
        <w:t>综合评估法</w:t>
      </w:r>
      <w:r>
        <w:rPr>
          <w:rFonts w:hint="eastAsia" w:ascii="宋体" w:hAnsi="宋体" w:cs="宋体"/>
          <w:color w:val="auto"/>
          <w:kern w:val="0"/>
          <w:sz w:val="24"/>
        </w:rPr>
        <w:t>的，评标结果按评审后得分由高到低顺序排列。得分相同的，按</w:t>
      </w:r>
      <w:r>
        <w:rPr>
          <w:rFonts w:hint="eastAsia" w:ascii="宋体" w:hAnsi="宋体" w:cs="宋体"/>
          <w:color w:val="auto"/>
          <w:kern w:val="0"/>
          <w:sz w:val="24"/>
          <w:lang w:eastAsia="zh-CN"/>
        </w:rPr>
        <w:t>响应</w:t>
      </w:r>
      <w:r>
        <w:rPr>
          <w:rFonts w:hint="eastAsia" w:ascii="宋体" w:hAnsi="宋体" w:cs="宋体"/>
          <w:color w:val="auto"/>
          <w:kern w:val="0"/>
          <w:sz w:val="24"/>
        </w:rPr>
        <w:t>报价由低到高顺序排列。得分且</w:t>
      </w:r>
      <w:r>
        <w:rPr>
          <w:rFonts w:hint="eastAsia" w:ascii="宋体" w:hAnsi="宋体" w:cs="宋体"/>
          <w:color w:val="auto"/>
          <w:kern w:val="0"/>
          <w:sz w:val="24"/>
          <w:lang w:eastAsia="zh-CN"/>
        </w:rPr>
        <w:t>响应</w:t>
      </w:r>
      <w:r>
        <w:rPr>
          <w:rFonts w:hint="eastAsia" w:ascii="宋体" w:hAnsi="宋体" w:cs="宋体"/>
          <w:color w:val="auto"/>
          <w:kern w:val="0"/>
          <w:sz w:val="24"/>
        </w:rPr>
        <w:t>报价相同的并列。</w:t>
      </w:r>
      <w:r>
        <w:rPr>
          <w:rFonts w:hint="eastAsia" w:ascii="宋体" w:hAnsi="宋体" w:cs="宋体"/>
          <w:color w:val="auto"/>
          <w:kern w:val="0"/>
          <w:sz w:val="24"/>
          <w:lang w:eastAsia="zh-CN"/>
        </w:rPr>
        <w:t>响应文件</w:t>
      </w:r>
      <w:r>
        <w:rPr>
          <w:rFonts w:hint="eastAsia" w:ascii="宋体" w:hAnsi="宋体" w:cs="宋体"/>
          <w:color w:val="auto"/>
          <w:kern w:val="0"/>
          <w:sz w:val="24"/>
        </w:rPr>
        <w:t>满足</w:t>
      </w:r>
      <w:r>
        <w:rPr>
          <w:rFonts w:hint="eastAsia" w:ascii="宋体" w:hAnsi="宋体" w:cs="宋体"/>
          <w:color w:val="auto"/>
          <w:kern w:val="0"/>
          <w:sz w:val="24"/>
          <w:lang w:eastAsia="zh-CN"/>
        </w:rPr>
        <w:t>交易文件</w:t>
      </w:r>
      <w:r>
        <w:rPr>
          <w:rFonts w:hint="eastAsia" w:ascii="宋体" w:hAnsi="宋体" w:cs="宋体"/>
          <w:color w:val="auto"/>
          <w:kern w:val="0"/>
          <w:sz w:val="24"/>
        </w:rPr>
        <w:t>全部实质性要求，且评审得分前</w:t>
      </w:r>
      <w:r>
        <w:rPr>
          <w:rFonts w:hint="eastAsia" w:ascii="宋体" w:hAnsi="宋体" w:cs="宋体"/>
          <w:color w:val="auto"/>
          <w:kern w:val="0"/>
          <w:sz w:val="24"/>
          <w:lang w:val="en-US" w:eastAsia="zh-CN"/>
        </w:rPr>
        <w:t>三</w:t>
      </w:r>
      <w:r>
        <w:rPr>
          <w:rFonts w:hint="eastAsia" w:ascii="宋体" w:hAnsi="宋体" w:cs="宋体"/>
          <w:color w:val="auto"/>
          <w:kern w:val="0"/>
          <w:sz w:val="24"/>
        </w:rPr>
        <w:t>名的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1B8E870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w:t>
      </w:r>
      <w:r>
        <w:rPr>
          <w:rFonts w:hint="eastAsia" w:ascii="宋体" w:hAnsi="宋体" w:cs="宋体"/>
          <w:color w:val="auto"/>
          <w:kern w:val="0"/>
          <w:sz w:val="24"/>
          <w:lang w:eastAsia="zh-CN"/>
        </w:rPr>
        <w:t>供应商</w:t>
      </w:r>
      <w:r>
        <w:rPr>
          <w:rFonts w:hint="eastAsia" w:ascii="宋体" w:hAnsi="宋体" w:cs="宋体"/>
          <w:color w:val="auto"/>
          <w:kern w:val="0"/>
          <w:sz w:val="24"/>
        </w:rPr>
        <w:t>提供相同品牌产品（单一产品采购项目中的该产品或者非单一产品采购项目的核心产品）且通过资格审查、符合性审查的不同</w:t>
      </w:r>
      <w:r>
        <w:rPr>
          <w:rFonts w:hint="eastAsia" w:ascii="宋体" w:hAnsi="宋体" w:cs="宋体"/>
          <w:color w:val="auto"/>
          <w:kern w:val="0"/>
          <w:sz w:val="24"/>
          <w:lang w:eastAsia="zh-CN"/>
        </w:rPr>
        <w:t>供应商</w:t>
      </w:r>
      <w:r>
        <w:rPr>
          <w:rFonts w:hint="eastAsia" w:ascii="宋体" w:hAnsi="宋体" w:cs="宋体"/>
          <w:color w:val="auto"/>
          <w:kern w:val="0"/>
          <w:sz w:val="24"/>
        </w:rPr>
        <w:t>参加同一合同项下</w:t>
      </w:r>
      <w:r>
        <w:rPr>
          <w:rFonts w:hint="eastAsia" w:ascii="宋体" w:hAnsi="宋体" w:cs="宋体"/>
          <w:color w:val="auto"/>
          <w:kern w:val="0"/>
          <w:sz w:val="24"/>
          <w:lang w:eastAsia="zh-CN"/>
        </w:rPr>
        <w:t>响应</w:t>
      </w:r>
      <w:r>
        <w:rPr>
          <w:rFonts w:hint="eastAsia" w:ascii="宋体" w:hAnsi="宋体" w:cs="宋体"/>
          <w:color w:val="auto"/>
          <w:kern w:val="0"/>
          <w:sz w:val="24"/>
        </w:rPr>
        <w:t>的，按一家</w:t>
      </w:r>
      <w:r>
        <w:rPr>
          <w:rFonts w:hint="eastAsia" w:ascii="宋体" w:hAnsi="宋体" w:cs="宋体"/>
          <w:color w:val="auto"/>
          <w:kern w:val="0"/>
          <w:sz w:val="24"/>
          <w:lang w:eastAsia="zh-CN"/>
        </w:rPr>
        <w:t>供应商</w:t>
      </w:r>
      <w:r>
        <w:rPr>
          <w:rFonts w:hint="eastAsia" w:ascii="宋体" w:hAnsi="宋体" w:cs="宋体"/>
          <w:color w:val="auto"/>
          <w:kern w:val="0"/>
          <w:sz w:val="24"/>
        </w:rPr>
        <w:t>计算，评审后得分最高的同品牌</w:t>
      </w:r>
      <w:r>
        <w:rPr>
          <w:rFonts w:hint="eastAsia" w:ascii="宋体" w:hAnsi="宋体" w:cs="宋体"/>
          <w:color w:val="auto"/>
          <w:kern w:val="0"/>
          <w:sz w:val="24"/>
          <w:lang w:eastAsia="zh-CN"/>
        </w:rPr>
        <w:t>供应商</w:t>
      </w:r>
      <w:r>
        <w:rPr>
          <w:rFonts w:hint="eastAsia" w:ascii="宋体" w:hAnsi="宋体" w:cs="宋体"/>
          <w:color w:val="auto"/>
          <w:kern w:val="0"/>
          <w:sz w:val="24"/>
        </w:rPr>
        <w:t>获得中标人推荐资格；评审得分相同的，采取随机抽取方式确定，其他同品牌</w:t>
      </w:r>
      <w:r>
        <w:rPr>
          <w:rFonts w:hint="eastAsia" w:ascii="宋体" w:hAnsi="宋体" w:cs="宋体"/>
          <w:color w:val="auto"/>
          <w:kern w:val="0"/>
          <w:sz w:val="24"/>
          <w:lang w:eastAsia="zh-CN"/>
        </w:rPr>
        <w:t>供应商</w:t>
      </w:r>
      <w:r>
        <w:rPr>
          <w:rFonts w:hint="eastAsia" w:ascii="宋体" w:hAnsi="宋体" w:cs="宋体"/>
          <w:color w:val="auto"/>
          <w:kern w:val="0"/>
          <w:sz w:val="24"/>
        </w:rPr>
        <w:t>不作为中标候选人。</w:t>
      </w:r>
    </w:p>
    <w:p w14:paraId="09036B3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7A0DFE">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BA3B75C">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w:t>
      </w:r>
      <w:r>
        <w:rPr>
          <w:rFonts w:hint="eastAsia" w:ascii="宋体" w:hAnsi="宋体" w:cs="宋体"/>
          <w:b/>
          <w:color w:val="auto"/>
          <w:kern w:val="0"/>
          <w:szCs w:val="24"/>
          <w:lang w:eastAsia="zh-CN"/>
        </w:rPr>
        <w:t>供应商</w:t>
      </w:r>
      <w:r>
        <w:rPr>
          <w:rFonts w:hint="eastAsia" w:ascii="宋体" w:hAnsi="宋体" w:cs="宋体"/>
          <w:b/>
          <w:color w:val="auto"/>
          <w:kern w:val="0"/>
          <w:szCs w:val="24"/>
        </w:rPr>
        <w:t>澄清、说明或者补正。</w:t>
      </w:r>
      <w:r>
        <w:rPr>
          <w:rFonts w:hint="eastAsia" w:ascii="宋体" w:hAnsi="宋体" w:cs="宋体"/>
          <w:color w:val="auto"/>
          <w:kern w:val="0"/>
          <w:szCs w:val="24"/>
        </w:rPr>
        <w:t>对于</w:t>
      </w:r>
      <w:r>
        <w:rPr>
          <w:rFonts w:hint="eastAsia" w:ascii="宋体" w:hAnsi="宋体" w:cs="宋体"/>
          <w:color w:val="auto"/>
          <w:kern w:val="0"/>
          <w:szCs w:val="24"/>
          <w:lang w:eastAsia="zh-CN"/>
        </w:rPr>
        <w:t>响应文件</w:t>
      </w:r>
      <w:r>
        <w:rPr>
          <w:rFonts w:hint="eastAsia" w:ascii="宋体" w:hAnsi="宋体" w:cs="宋体"/>
          <w:color w:val="auto"/>
          <w:kern w:val="0"/>
          <w:szCs w:val="24"/>
        </w:rPr>
        <w:t>中含义不明确、同类问题表述不一致或者有明显文字和计算错误的内容需要</w:t>
      </w:r>
      <w:r>
        <w:rPr>
          <w:rFonts w:hint="eastAsia" w:ascii="宋体" w:hAnsi="宋体" w:cs="宋体"/>
          <w:color w:val="auto"/>
          <w:kern w:val="0"/>
          <w:szCs w:val="24"/>
          <w:lang w:eastAsia="zh-CN"/>
        </w:rPr>
        <w:t>供应商</w:t>
      </w:r>
      <w:r>
        <w:rPr>
          <w:rFonts w:hint="eastAsia" w:ascii="宋体" w:hAnsi="宋体" w:cs="宋体"/>
          <w:color w:val="auto"/>
          <w:kern w:val="0"/>
          <w:szCs w:val="24"/>
        </w:rPr>
        <w:t>作出必要的澄清、说明或者补正的，评标委员会和</w:t>
      </w:r>
      <w:r>
        <w:rPr>
          <w:rFonts w:hint="eastAsia" w:ascii="宋体" w:hAnsi="宋体" w:cs="宋体"/>
          <w:color w:val="auto"/>
          <w:kern w:val="0"/>
          <w:szCs w:val="24"/>
          <w:lang w:eastAsia="zh-CN"/>
        </w:rPr>
        <w:t>供应商</w:t>
      </w:r>
      <w:r>
        <w:rPr>
          <w:rFonts w:hint="eastAsia" w:ascii="宋体" w:hAnsi="宋体" w:cs="宋体"/>
          <w:color w:val="auto"/>
          <w:kern w:val="0"/>
          <w:szCs w:val="24"/>
        </w:rPr>
        <w:t>通过电子交易平台交换数据电文，</w:t>
      </w:r>
      <w:r>
        <w:rPr>
          <w:rFonts w:hint="eastAsia" w:ascii="宋体" w:hAnsi="宋体" w:cs="宋体"/>
          <w:color w:val="auto"/>
          <w:kern w:val="0"/>
          <w:szCs w:val="24"/>
          <w:lang w:eastAsia="zh-CN"/>
        </w:rPr>
        <w:t>供应商</w:t>
      </w:r>
      <w:r>
        <w:rPr>
          <w:rFonts w:hint="eastAsia" w:ascii="宋体" w:hAnsi="宋体" w:cs="宋体"/>
          <w:color w:val="auto"/>
          <w:kern w:val="0"/>
          <w:szCs w:val="24"/>
        </w:rPr>
        <w:t>提交使用电子签名的相关数据电文或通过平台上传加盖公章的扫描件。给予</w:t>
      </w:r>
      <w:r>
        <w:rPr>
          <w:rFonts w:hint="eastAsia" w:ascii="宋体" w:hAnsi="宋体" w:cs="宋体"/>
          <w:color w:val="auto"/>
          <w:kern w:val="0"/>
          <w:szCs w:val="24"/>
          <w:lang w:eastAsia="zh-CN"/>
        </w:rPr>
        <w:t>供应商</w:t>
      </w:r>
      <w:r>
        <w:rPr>
          <w:rFonts w:hint="eastAsia" w:ascii="宋体" w:hAnsi="宋体" w:cs="宋体"/>
          <w:color w:val="auto"/>
          <w:kern w:val="0"/>
          <w:szCs w:val="24"/>
        </w:rPr>
        <w:t>提交澄清、说明或补正的时间不得少于半小时，</w:t>
      </w:r>
      <w:r>
        <w:rPr>
          <w:rFonts w:hint="eastAsia" w:ascii="宋体" w:hAnsi="宋体" w:cs="宋体"/>
          <w:color w:val="auto"/>
          <w:kern w:val="0"/>
          <w:szCs w:val="24"/>
          <w:lang w:eastAsia="zh-CN"/>
        </w:rPr>
        <w:t>供应商</w:t>
      </w:r>
      <w:r>
        <w:rPr>
          <w:rFonts w:hint="eastAsia" w:ascii="宋体" w:hAnsi="宋体" w:cs="宋体"/>
          <w:color w:val="auto"/>
          <w:kern w:val="0"/>
          <w:szCs w:val="24"/>
        </w:rPr>
        <w:t>已经明确表示澄清说明或补正完毕的除外。</w:t>
      </w:r>
      <w:r>
        <w:rPr>
          <w:rFonts w:hint="eastAsia" w:ascii="宋体" w:hAnsi="宋体" w:cs="宋体"/>
          <w:color w:val="auto"/>
          <w:kern w:val="0"/>
          <w:szCs w:val="24"/>
          <w:lang w:eastAsia="zh-CN"/>
        </w:rPr>
        <w:t>供应商</w:t>
      </w:r>
      <w:r>
        <w:rPr>
          <w:rFonts w:hint="eastAsia" w:ascii="宋体" w:hAnsi="宋体" w:cs="宋体"/>
          <w:color w:val="auto"/>
          <w:kern w:val="0"/>
          <w:szCs w:val="24"/>
        </w:rPr>
        <w:t>的澄清、说明或者补正不得超出</w:t>
      </w:r>
      <w:r>
        <w:rPr>
          <w:rFonts w:hint="eastAsia" w:ascii="宋体" w:hAnsi="宋体" w:cs="宋体"/>
          <w:color w:val="auto"/>
          <w:kern w:val="0"/>
          <w:szCs w:val="24"/>
          <w:lang w:eastAsia="zh-CN"/>
        </w:rPr>
        <w:t>响应文件</w:t>
      </w:r>
      <w:r>
        <w:rPr>
          <w:rFonts w:hint="eastAsia" w:ascii="宋体" w:hAnsi="宋体" w:cs="宋体"/>
          <w:color w:val="auto"/>
          <w:kern w:val="0"/>
          <w:szCs w:val="24"/>
        </w:rPr>
        <w:t>的范围或者改变</w:t>
      </w:r>
      <w:r>
        <w:rPr>
          <w:rFonts w:hint="eastAsia" w:ascii="宋体" w:hAnsi="宋体" w:cs="宋体"/>
          <w:color w:val="auto"/>
          <w:kern w:val="0"/>
          <w:szCs w:val="24"/>
          <w:lang w:eastAsia="zh-CN"/>
        </w:rPr>
        <w:t>响应文件</w:t>
      </w:r>
      <w:r>
        <w:rPr>
          <w:rFonts w:hint="eastAsia" w:ascii="宋体" w:hAnsi="宋体" w:cs="宋体"/>
          <w:color w:val="auto"/>
          <w:kern w:val="0"/>
          <w:szCs w:val="24"/>
        </w:rPr>
        <w:t>的实质性内容。</w:t>
      </w:r>
    </w:p>
    <w:p w14:paraId="128130A2">
      <w:pPr>
        <w:pStyle w:val="24"/>
        <w:spacing w:line="360" w:lineRule="auto"/>
        <w:ind w:left="954" w:leftChars="226" w:hanging="479" w:firstLineChars="0"/>
        <w:rPr>
          <w:rFonts w:cs="宋体"/>
          <w:color w:val="auto"/>
          <w:szCs w:val="21"/>
        </w:rPr>
      </w:pPr>
      <w:r>
        <w:rPr>
          <w:rFonts w:hint="eastAsia" w:cs="宋体"/>
          <w:b/>
          <w:color w:val="auto"/>
          <w:kern w:val="0"/>
        </w:rPr>
        <w:t>4.2</w:t>
      </w:r>
      <w:r>
        <w:rPr>
          <w:rFonts w:hint="eastAsia" w:cs="宋体"/>
          <w:b/>
          <w:color w:val="auto"/>
          <w:kern w:val="0"/>
          <w:lang w:eastAsia="zh-CN"/>
        </w:rPr>
        <w:t>响应</w:t>
      </w:r>
      <w:r>
        <w:rPr>
          <w:rFonts w:hint="eastAsia" w:cs="宋体"/>
          <w:b/>
          <w:color w:val="auto"/>
          <w:kern w:val="0"/>
        </w:rPr>
        <w:t>无效。</w:t>
      </w:r>
      <w:r>
        <w:rPr>
          <w:rFonts w:hint="eastAsia" w:cs="宋体"/>
          <w:color w:val="auto"/>
          <w:szCs w:val="21"/>
        </w:rPr>
        <w:t>有下列情形之一的，</w:t>
      </w:r>
      <w:r>
        <w:rPr>
          <w:rFonts w:hint="eastAsia" w:cs="宋体"/>
          <w:color w:val="auto"/>
          <w:szCs w:val="21"/>
          <w:lang w:eastAsia="zh-CN"/>
        </w:rPr>
        <w:t>响应</w:t>
      </w:r>
      <w:r>
        <w:rPr>
          <w:rFonts w:hint="eastAsia" w:cs="宋体"/>
          <w:color w:val="auto"/>
          <w:szCs w:val="21"/>
        </w:rPr>
        <w:t>无效：</w:t>
      </w:r>
    </w:p>
    <w:p w14:paraId="7237BC7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中规定的资格要求的（</w:t>
      </w:r>
      <w:r>
        <w:rPr>
          <w:rFonts w:hint="eastAsia" w:ascii="宋体" w:hAnsi="宋体" w:cs="宋体"/>
          <w:color w:val="auto"/>
          <w:kern w:val="0"/>
          <w:sz w:val="24"/>
          <w:lang w:eastAsia="zh-CN"/>
        </w:rPr>
        <w:t>供应商</w:t>
      </w:r>
      <w:r>
        <w:rPr>
          <w:rFonts w:hint="eastAsia" w:ascii="宋体" w:hAnsi="宋体" w:cs="宋体"/>
          <w:color w:val="auto"/>
          <w:kern w:val="0"/>
          <w:sz w:val="24"/>
        </w:rPr>
        <w:t>未提供有效的资格文件的，视为</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w:t>
      </w:r>
    </w:p>
    <w:p w14:paraId="03325D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w:t>
      </w:r>
      <w:r>
        <w:rPr>
          <w:rFonts w:hint="eastAsia" w:ascii="宋体" w:hAnsi="宋体" w:cs="宋体"/>
          <w:color w:val="auto"/>
          <w:kern w:val="0"/>
          <w:sz w:val="24"/>
          <w:lang w:eastAsia="zh-CN"/>
        </w:rPr>
        <w:t>响应文件</w:t>
      </w:r>
      <w:r>
        <w:rPr>
          <w:rFonts w:hint="eastAsia" w:ascii="宋体" w:hAnsi="宋体" w:cs="宋体"/>
          <w:color w:val="auto"/>
          <w:kern w:val="0"/>
          <w:sz w:val="24"/>
        </w:rPr>
        <w:t>未按照</w:t>
      </w:r>
      <w:r>
        <w:rPr>
          <w:rFonts w:hint="eastAsia" w:ascii="宋体" w:hAnsi="宋体" w:cs="宋体"/>
          <w:color w:val="auto"/>
          <w:kern w:val="0"/>
          <w:sz w:val="24"/>
          <w:lang w:eastAsia="zh-CN"/>
        </w:rPr>
        <w:t>交易文件</w:t>
      </w:r>
      <w:r>
        <w:rPr>
          <w:rFonts w:hint="eastAsia" w:ascii="宋体" w:hAnsi="宋体" w:cs="宋体"/>
          <w:color w:val="auto"/>
          <w:kern w:val="0"/>
          <w:sz w:val="24"/>
        </w:rPr>
        <w:t>要求签署、盖章的；</w:t>
      </w:r>
    </w:p>
    <w:p w14:paraId="4F8400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w:t>
      </w:r>
      <w:r>
        <w:rPr>
          <w:rFonts w:hint="eastAsia" w:ascii="宋体" w:hAnsi="宋体" w:cs="宋体"/>
          <w:color w:val="auto"/>
          <w:kern w:val="0"/>
          <w:sz w:val="24"/>
          <w:lang w:eastAsia="zh-CN"/>
        </w:rPr>
        <w:t>交易发起人</w:t>
      </w:r>
      <w:r>
        <w:rPr>
          <w:rFonts w:hint="eastAsia" w:ascii="宋体" w:hAnsi="宋体" w:cs="宋体"/>
          <w:color w:val="auto"/>
          <w:kern w:val="0"/>
          <w:sz w:val="24"/>
        </w:rPr>
        <w:t>拟采购的产品属于政府强制采购的节能产品品目清单范围的，</w:t>
      </w:r>
      <w:r>
        <w:rPr>
          <w:rFonts w:hint="eastAsia" w:ascii="宋体" w:hAnsi="宋体" w:cs="宋体"/>
          <w:color w:val="auto"/>
          <w:kern w:val="0"/>
          <w:sz w:val="24"/>
          <w:lang w:eastAsia="zh-CN"/>
        </w:rPr>
        <w:t>供应商</w:t>
      </w:r>
      <w:r>
        <w:rPr>
          <w:rFonts w:hint="eastAsia" w:ascii="宋体" w:hAnsi="宋体" w:cs="宋体"/>
          <w:color w:val="auto"/>
          <w:kern w:val="0"/>
          <w:sz w:val="24"/>
        </w:rPr>
        <w:t>相应的</w:t>
      </w:r>
      <w:r>
        <w:rPr>
          <w:rFonts w:hint="eastAsia" w:ascii="宋体" w:hAnsi="宋体" w:cs="宋体"/>
          <w:color w:val="auto"/>
          <w:kern w:val="0"/>
          <w:sz w:val="24"/>
          <w:lang w:eastAsia="zh-CN"/>
        </w:rPr>
        <w:t>响应</w:t>
      </w:r>
      <w:r>
        <w:rPr>
          <w:rFonts w:hint="eastAsia" w:ascii="宋体" w:hAnsi="宋体" w:cs="宋体"/>
          <w:color w:val="auto"/>
          <w:kern w:val="0"/>
          <w:sz w:val="24"/>
        </w:rPr>
        <w:t>产品未获得国家确定的认证机构出具的、处于有效期之内的节能产品认证证书的；</w:t>
      </w:r>
    </w:p>
    <w:p w14:paraId="76B1941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w:t>
      </w:r>
      <w:r>
        <w:rPr>
          <w:rFonts w:hint="eastAsia" w:ascii="宋体" w:hAnsi="宋体" w:cs="宋体"/>
          <w:color w:val="auto"/>
          <w:kern w:val="0"/>
          <w:sz w:val="24"/>
          <w:lang w:eastAsia="zh-CN"/>
        </w:rPr>
        <w:t>响应文件</w:t>
      </w:r>
      <w:r>
        <w:rPr>
          <w:rFonts w:hint="eastAsia" w:ascii="宋体" w:hAnsi="宋体" w:cs="宋体"/>
          <w:color w:val="auto"/>
          <w:kern w:val="0"/>
          <w:sz w:val="24"/>
        </w:rPr>
        <w:t>含有</w:t>
      </w:r>
      <w:r>
        <w:rPr>
          <w:rFonts w:hint="eastAsia" w:ascii="宋体" w:hAnsi="宋体" w:cs="宋体"/>
          <w:color w:val="auto"/>
          <w:kern w:val="0"/>
          <w:sz w:val="24"/>
          <w:lang w:eastAsia="zh-CN"/>
        </w:rPr>
        <w:t>交易发起人</w:t>
      </w:r>
      <w:r>
        <w:rPr>
          <w:rFonts w:hint="eastAsia" w:ascii="宋体" w:hAnsi="宋体" w:cs="宋体"/>
          <w:color w:val="auto"/>
          <w:kern w:val="0"/>
          <w:sz w:val="24"/>
        </w:rPr>
        <w:t>不能接受的附加条件的；</w:t>
      </w:r>
    </w:p>
    <w:p w14:paraId="11655F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w:t>
      </w:r>
      <w:r>
        <w:rPr>
          <w:rFonts w:hint="eastAsia" w:ascii="宋体" w:hAnsi="宋体" w:cs="宋体"/>
          <w:color w:val="auto"/>
          <w:kern w:val="0"/>
          <w:sz w:val="24"/>
          <w:lang w:eastAsia="zh-CN"/>
        </w:rPr>
        <w:t>响应文件</w:t>
      </w:r>
      <w:r>
        <w:rPr>
          <w:rFonts w:hint="eastAsia" w:ascii="宋体" w:hAnsi="宋体" w:cs="宋体"/>
          <w:color w:val="auto"/>
          <w:kern w:val="0"/>
          <w:sz w:val="24"/>
        </w:rPr>
        <w:t>中承诺的</w:t>
      </w:r>
      <w:r>
        <w:rPr>
          <w:rFonts w:hint="eastAsia" w:ascii="宋体" w:hAnsi="宋体" w:cs="宋体"/>
          <w:color w:val="auto"/>
          <w:kern w:val="0"/>
          <w:sz w:val="24"/>
          <w:lang w:eastAsia="zh-CN"/>
        </w:rPr>
        <w:t>响应</w:t>
      </w:r>
      <w:r>
        <w:rPr>
          <w:rFonts w:hint="eastAsia" w:ascii="宋体" w:hAnsi="宋体" w:cs="宋体"/>
          <w:color w:val="auto"/>
          <w:kern w:val="0"/>
          <w:sz w:val="24"/>
        </w:rPr>
        <w:t>有效期少于</w:t>
      </w:r>
      <w:r>
        <w:rPr>
          <w:rFonts w:hint="eastAsia" w:ascii="宋体" w:hAnsi="宋体" w:cs="宋体"/>
          <w:color w:val="auto"/>
          <w:kern w:val="0"/>
          <w:sz w:val="24"/>
          <w:lang w:eastAsia="zh-CN"/>
        </w:rPr>
        <w:t>交易文件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w:t>
      </w:r>
    </w:p>
    <w:p w14:paraId="0D7D40C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p>
    <w:p w14:paraId="69F3F7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p>
    <w:p w14:paraId="46B559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w:t>
      </w:r>
      <w:r>
        <w:rPr>
          <w:rFonts w:hint="eastAsia" w:ascii="宋体" w:hAnsi="宋体" w:cs="宋体"/>
          <w:color w:val="auto"/>
          <w:kern w:val="0"/>
          <w:sz w:val="24"/>
          <w:lang w:eastAsia="zh-CN"/>
        </w:rPr>
        <w:t>供应商</w:t>
      </w:r>
      <w:r>
        <w:rPr>
          <w:rFonts w:hint="eastAsia" w:ascii="宋体" w:hAnsi="宋体" w:cs="宋体"/>
          <w:color w:val="auto"/>
          <w:kern w:val="0"/>
          <w:sz w:val="24"/>
        </w:rPr>
        <w:t>的报价，有可能影响产品质量或者不能诚信履约的，未能按要求提供书面说明或者提交相关证明材料，不能证明其报价合理性的;</w:t>
      </w:r>
    </w:p>
    <w:p w14:paraId="74AD34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w:t>
      </w:r>
      <w:r>
        <w:rPr>
          <w:rFonts w:hint="eastAsia" w:ascii="宋体" w:hAnsi="宋体" w:cs="宋体"/>
          <w:color w:val="auto"/>
          <w:kern w:val="0"/>
          <w:sz w:val="24"/>
          <w:lang w:eastAsia="zh-CN"/>
        </w:rPr>
        <w:t>供应商</w:t>
      </w:r>
      <w:r>
        <w:rPr>
          <w:rFonts w:hint="eastAsia" w:ascii="宋体" w:hAnsi="宋体" w:cs="宋体"/>
          <w:color w:val="auto"/>
          <w:kern w:val="0"/>
          <w:sz w:val="24"/>
        </w:rPr>
        <w:t>对根据修正原则修正后的报价不确认的；</w:t>
      </w:r>
    </w:p>
    <w:p w14:paraId="6FBA68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w:t>
      </w:r>
      <w:r>
        <w:rPr>
          <w:rFonts w:hint="eastAsia" w:ascii="宋体" w:hAnsi="宋体" w:cs="宋体"/>
          <w:color w:val="auto"/>
          <w:kern w:val="0"/>
          <w:sz w:val="24"/>
          <w:lang w:eastAsia="zh-CN"/>
        </w:rPr>
        <w:t>供应商</w:t>
      </w:r>
      <w:r>
        <w:rPr>
          <w:rFonts w:hint="eastAsia" w:ascii="宋体" w:hAnsi="宋体" w:cs="宋体"/>
          <w:color w:val="auto"/>
          <w:kern w:val="0"/>
          <w:sz w:val="24"/>
        </w:rPr>
        <w:t>提供虚假材料</w:t>
      </w:r>
      <w:r>
        <w:rPr>
          <w:rFonts w:hint="eastAsia" w:ascii="宋体" w:hAnsi="宋体" w:cs="宋体"/>
          <w:color w:val="auto"/>
          <w:kern w:val="0"/>
          <w:sz w:val="24"/>
          <w:lang w:eastAsia="zh-CN"/>
        </w:rPr>
        <w:t>响应</w:t>
      </w:r>
      <w:r>
        <w:rPr>
          <w:rFonts w:hint="eastAsia" w:ascii="宋体" w:hAnsi="宋体" w:cs="宋体"/>
          <w:color w:val="auto"/>
          <w:kern w:val="0"/>
          <w:sz w:val="24"/>
        </w:rPr>
        <w:t>的；</w:t>
      </w:r>
    </w:p>
    <w:p w14:paraId="14A83C3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w:t>
      </w:r>
      <w:r>
        <w:rPr>
          <w:rFonts w:hint="eastAsia" w:ascii="宋体" w:hAnsi="宋体" w:cs="宋体"/>
          <w:color w:val="auto"/>
          <w:kern w:val="0"/>
          <w:sz w:val="24"/>
          <w:lang w:eastAsia="zh-CN"/>
        </w:rPr>
        <w:t>供应商</w:t>
      </w:r>
      <w:r>
        <w:rPr>
          <w:rFonts w:hint="eastAsia" w:ascii="宋体" w:hAnsi="宋体" w:cs="宋体"/>
          <w:color w:val="auto"/>
          <w:kern w:val="0"/>
          <w:sz w:val="24"/>
        </w:rPr>
        <w:t>有恶意串通、妨碍其他</w:t>
      </w:r>
      <w:r>
        <w:rPr>
          <w:rFonts w:hint="eastAsia" w:ascii="宋体" w:hAnsi="宋体" w:cs="宋体"/>
          <w:color w:val="auto"/>
          <w:kern w:val="0"/>
          <w:sz w:val="24"/>
          <w:lang w:eastAsia="zh-CN"/>
        </w:rPr>
        <w:t>供应商</w:t>
      </w:r>
      <w:r>
        <w:rPr>
          <w:rFonts w:hint="eastAsia" w:ascii="宋体" w:hAnsi="宋体" w:cs="宋体"/>
          <w:color w:val="auto"/>
          <w:kern w:val="0"/>
          <w:sz w:val="24"/>
        </w:rPr>
        <w:t>的竞争行为、损害</w:t>
      </w:r>
      <w:r>
        <w:rPr>
          <w:rFonts w:hint="eastAsia" w:ascii="宋体" w:hAnsi="宋体" w:cs="宋体"/>
          <w:color w:val="auto"/>
          <w:kern w:val="0"/>
          <w:sz w:val="24"/>
          <w:lang w:eastAsia="zh-CN"/>
        </w:rPr>
        <w:t>交易发起人</w:t>
      </w:r>
      <w:r>
        <w:rPr>
          <w:rFonts w:hint="eastAsia" w:ascii="宋体" w:hAnsi="宋体" w:cs="宋体"/>
          <w:color w:val="auto"/>
          <w:kern w:val="0"/>
          <w:sz w:val="24"/>
        </w:rPr>
        <w:t>或者其他</w:t>
      </w:r>
      <w:r>
        <w:rPr>
          <w:rFonts w:hint="eastAsia" w:ascii="宋体" w:hAnsi="宋体" w:cs="宋体"/>
          <w:color w:val="auto"/>
          <w:kern w:val="0"/>
          <w:sz w:val="24"/>
          <w:lang w:eastAsia="zh-CN"/>
        </w:rPr>
        <w:t>供应商</w:t>
      </w:r>
      <w:r>
        <w:rPr>
          <w:rFonts w:hint="eastAsia" w:ascii="宋体" w:hAnsi="宋体" w:cs="宋体"/>
          <w:color w:val="auto"/>
          <w:kern w:val="0"/>
          <w:sz w:val="24"/>
        </w:rPr>
        <w:t>的合法权益情形的；</w:t>
      </w:r>
    </w:p>
    <w:p w14:paraId="0EF999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w:t>
      </w:r>
      <w:r>
        <w:rPr>
          <w:rFonts w:hint="eastAsia" w:ascii="宋体" w:hAnsi="宋体" w:cs="宋体"/>
          <w:color w:val="auto"/>
          <w:kern w:val="0"/>
          <w:sz w:val="24"/>
          <w:lang w:eastAsia="zh-CN"/>
        </w:rPr>
        <w:t>供应商</w:t>
      </w:r>
      <w:r>
        <w:rPr>
          <w:rFonts w:hint="eastAsia" w:ascii="宋体" w:hAnsi="宋体" w:cs="宋体"/>
          <w:color w:val="auto"/>
          <w:kern w:val="0"/>
          <w:sz w:val="24"/>
        </w:rPr>
        <w:t>仅提交备份</w:t>
      </w:r>
      <w:r>
        <w:rPr>
          <w:rFonts w:hint="eastAsia" w:ascii="宋体" w:hAnsi="宋体" w:cs="宋体"/>
          <w:color w:val="auto"/>
          <w:kern w:val="0"/>
          <w:sz w:val="24"/>
          <w:lang w:eastAsia="zh-CN"/>
        </w:rPr>
        <w:t>响应文件</w:t>
      </w:r>
      <w:r>
        <w:rPr>
          <w:rFonts w:hint="eastAsia" w:ascii="宋体" w:hAnsi="宋体" w:cs="宋体"/>
          <w:color w:val="auto"/>
          <w:kern w:val="0"/>
          <w:sz w:val="24"/>
        </w:rPr>
        <w:t>，未在电子交易平台传输递交</w:t>
      </w:r>
      <w:r>
        <w:rPr>
          <w:rFonts w:hint="eastAsia" w:ascii="宋体" w:hAnsi="宋体" w:cs="宋体"/>
          <w:color w:val="auto"/>
          <w:kern w:val="0"/>
          <w:sz w:val="24"/>
          <w:lang w:eastAsia="zh-CN"/>
        </w:rPr>
        <w:t>响应文件</w:t>
      </w:r>
      <w:r>
        <w:rPr>
          <w:rFonts w:hint="eastAsia" w:ascii="宋体" w:hAnsi="宋体" w:cs="宋体"/>
          <w:color w:val="auto"/>
          <w:kern w:val="0"/>
          <w:sz w:val="24"/>
        </w:rPr>
        <w:t>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41DA06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w:t>
      </w:r>
      <w:r>
        <w:rPr>
          <w:rFonts w:hint="eastAsia" w:ascii="宋体" w:hAnsi="宋体" w:cs="宋体"/>
          <w:color w:val="auto"/>
          <w:kern w:val="0"/>
          <w:sz w:val="24"/>
          <w:lang w:eastAsia="zh-CN"/>
        </w:rPr>
        <w:t>供应商</w:t>
      </w:r>
      <w:r>
        <w:rPr>
          <w:rFonts w:hint="eastAsia" w:ascii="宋体" w:hAnsi="宋体" w:cs="宋体"/>
          <w:color w:val="auto"/>
          <w:kern w:val="0"/>
          <w:sz w:val="24"/>
        </w:rPr>
        <w:t>未提供样品或提供的样品不满足采购需求实质性条件的，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AC9390C">
      <w:pPr>
        <w:pStyle w:val="2"/>
        <w:ind w:left="862" w:leftChars="205"/>
        <w:rPr>
          <w:color w:val="auto"/>
        </w:rPr>
      </w:pPr>
      <w:r>
        <w:rPr>
          <w:rFonts w:hint="eastAsia" w:ascii="宋体" w:hAnsi="宋体" w:eastAsia="宋体" w:cs="宋体"/>
          <w:b w:val="0"/>
          <w:bCs w:val="0"/>
          <w:color w:val="auto"/>
          <w:kern w:val="0"/>
          <w:sz w:val="24"/>
          <w:szCs w:val="24"/>
          <w:lang w:val="en-US"/>
        </w:rPr>
        <w:t xml:space="preserve">4.2.14 </w:t>
      </w:r>
      <w:r>
        <w:rPr>
          <w:rFonts w:hint="eastAsia" w:ascii="宋体" w:hAnsi="宋体" w:eastAsia="宋体" w:cs="宋体"/>
          <w:b w:val="0"/>
          <w:bCs w:val="0"/>
          <w:color w:val="auto"/>
          <w:kern w:val="0"/>
          <w:sz w:val="24"/>
          <w:szCs w:val="24"/>
          <w:lang w:val="en-US" w:eastAsia="zh-CN"/>
        </w:rPr>
        <w:t>响应文件</w:t>
      </w:r>
      <w:r>
        <w:rPr>
          <w:rFonts w:hint="eastAsia" w:ascii="宋体" w:hAnsi="宋体" w:eastAsia="宋体" w:cs="宋体"/>
          <w:b w:val="0"/>
          <w:bCs w:val="0"/>
          <w:color w:val="auto"/>
          <w:kern w:val="0"/>
          <w:sz w:val="24"/>
          <w:szCs w:val="24"/>
          <w:lang w:val="en-US"/>
        </w:rPr>
        <w:t>不满足</w:t>
      </w:r>
      <w:r>
        <w:rPr>
          <w:rFonts w:hint="eastAsia" w:ascii="宋体" w:hAnsi="宋体" w:eastAsia="宋体" w:cs="宋体"/>
          <w:b w:val="0"/>
          <w:bCs w:val="0"/>
          <w:color w:val="auto"/>
          <w:kern w:val="0"/>
          <w:sz w:val="24"/>
          <w:szCs w:val="24"/>
          <w:lang w:val="en-US" w:eastAsia="zh-CN"/>
        </w:rPr>
        <w:t>交易文件</w:t>
      </w:r>
      <w:r>
        <w:rPr>
          <w:rFonts w:hint="eastAsia" w:ascii="宋体" w:hAnsi="宋体" w:eastAsia="宋体" w:cs="宋体"/>
          <w:b w:val="0"/>
          <w:bCs w:val="0"/>
          <w:color w:val="auto"/>
          <w:kern w:val="0"/>
          <w:sz w:val="24"/>
          <w:szCs w:val="24"/>
          <w:lang w:val="en-US"/>
        </w:rPr>
        <w:t>的实质性要求的；</w:t>
      </w:r>
    </w:p>
    <w:p w14:paraId="6EF3AB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62C38EAA">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BF139A">
      <w:pPr>
        <w:pStyle w:val="24"/>
        <w:snapToGrid w:val="0"/>
        <w:spacing w:line="360" w:lineRule="auto"/>
        <w:rPr>
          <w:rFonts w:cs="宋体"/>
          <w:b/>
          <w:bCs/>
          <w:color w:val="auto"/>
          <w:highlight w:val="none"/>
        </w:rPr>
      </w:pPr>
      <w:r>
        <w:rPr>
          <w:rFonts w:hint="eastAsia" w:cs="宋体"/>
          <w:b/>
          <w:bCs/>
          <w:color w:val="auto"/>
          <w:highlight w:val="none"/>
        </w:rPr>
        <w:t>5.1符合专业条件的供应商或者对</w:t>
      </w:r>
      <w:r>
        <w:rPr>
          <w:rFonts w:hint="eastAsia" w:cs="宋体"/>
          <w:b/>
          <w:bCs/>
          <w:color w:val="auto"/>
          <w:highlight w:val="none"/>
          <w:lang w:eastAsia="zh-CN"/>
        </w:rPr>
        <w:t>交易文件</w:t>
      </w:r>
      <w:r>
        <w:rPr>
          <w:rFonts w:hint="eastAsia" w:cs="宋体"/>
          <w:b/>
          <w:bCs/>
          <w:color w:val="auto"/>
          <w:highlight w:val="none"/>
        </w:rPr>
        <w:t>作实质响应的供应商不足</w:t>
      </w:r>
      <w:r>
        <w:rPr>
          <w:rFonts w:hint="eastAsia" w:cs="宋体"/>
          <w:b/>
          <w:bCs/>
          <w:color w:val="auto"/>
          <w:highlight w:val="none"/>
          <w:lang w:val="en-US" w:eastAsia="zh-CN"/>
        </w:rPr>
        <w:t>4</w:t>
      </w:r>
      <w:r>
        <w:rPr>
          <w:rFonts w:hint="eastAsia" w:cs="宋体"/>
          <w:b/>
          <w:bCs/>
          <w:color w:val="auto"/>
          <w:highlight w:val="none"/>
        </w:rPr>
        <w:t>家的；</w:t>
      </w:r>
    </w:p>
    <w:p w14:paraId="1AA84599">
      <w:pPr>
        <w:pStyle w:val="24"/>
        <w:snapToGrid w:val="0"/>
        <w:spacing w:line="360" w:lineRule="auto"/>
        <w:rPr>
          <w:rFonts w:cs="宋体"/>
          <w:color w:val="auto"/>
        </w:rPr>
      </w:pPr>
      <w:r>
        <w:rPr>
          <w:rFonts w:hint="eastAsia" w:cs="宋体"/>
          <w:color w:val="auto"/>
        </w:rPr>
        <w:t>5.2出现影响采购公正的违法、违规行为的；</w:t>
      </w:r>
    </w:p>
    <w:p w14:paraId="13AF9A64">
      <w:pPr>
        <w:pStyle w:val="24"/>
        <w:snapToGrid w:val="0"/>
        <w:spacing w:line="360" w:lineRule="auto"/>
        <w:rPr>
          <w:rFonts w:cs="宋体"/>
          <w:color w:val="auto"/>
        </w:rPr>
      </w:pPr>
      <w:r>
        <w:rPr>
          <w:rFonts w:hint="eastAsia" w:cs="宋体"/>
          <w:color w:val="auto"/>
        </w:rPr>
        <w:t>5.3</w:t>
      </w:r>
      <w:r>
        <w:rPr>
          <w:rFonts w:hint="eastAsia" w:cs="宋体"/>
          <w:color w:val="auto"/>
          <w:lang w:eastAsia="zh-CN"/>
        </w:rPr>
        <w:t>供应商</w:t>
      </w:r>
      <w:r>
        <w:rPr>
          <w:rFonts w:hint="eastAsia" w:cs="宋体"/>
          <w:color w:val="auto"/>
        </w:rPr>
        <w:t>的报价均超过了采购预算，</w:t>
      </w:r>
      <w:r>
        <w:rPr>
          <w:rFonts w:hint="eastAsia" w:cs="宋体"/>
          <w:color w:val="auto"/>
          <w:lang w:eastAsia="zh-CN"/>
        </w:rPr>
        <w:t>交易发起人</w:t>
      </w:r>
      <w:r>
        <w:rPr>
          <w:rFonts w:hint="eastAsia" w:cs="宋体"/>
          <w:color w:val="auto"/>
        </w:rPr>
        <w:t>不能支付的；</w:t>
      </w:r>
    </w:p>
    <w:p w14:paraId="537A0191">
      <w:pPr>
        <w:pStyle w:val="24"/>
        <w:snapToGrid w:val="0"/>
        <w:spacing w:line="360" w:lineRule="auto"/>
        <w:rPr>
          <w:rFonts w:cs="宋体"/>
          <w:color w:val="auto"/>
        </w:rPr>
      </w:pPr>
      <w:r>
        <w:rPr>
          <w:rFonts w:hint="eastAsia" w:cs="宋体"/>
          <w:color w:val="auto"/>
        </w:rPr>
        <w:t>5.4因重大变故，采购任务取消的。</w:t>
      </w:r>
    </w:p>
    <w:p w14:paraId="6FC5532E">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代理机构</w:t>
      </w:r>
      <w:r>
        <w:rPr>
          <w:rFonts w:hint="eastAsia" w:cs="宋体"/>
          <w:color w:val="auto"/>
        </w:rPr>
        <w:t>应当将废标理由通知所有</w:t>
      </w:r>
      <w:r>
        <w:rPr>
          <w:rFonts w:hint="eastAsia" w:cs="宋体"/>
          <w:color w:val="auto"/>
          <w:lang w:eastAsia="zh-CN"/>
        </w:rPr>
        <w:t>供应商</w:t>
      </w:r>
      <w:r>
        <w:rPr>
          <w:rFonts w:hint="eastAsia" w:cs="宋体"/>
          <w:color w:val="auto"/>
        </w:rPr>
        <w:t>。</w:t>
      </w:r>
    </w:p>
    <w:p w14:paraId="21133643">
      <w:pPr>
        <w:pStyle w:val="24"/>
        <w:snapToGrid w:val="0"/>
        <w:spacing w:line="360" w:lineRule="auto"/>
        <w:ind w:firstLine="590" w:firstLineChars="245"/>
        <w:rPr>
          <w:rFonts w:cs="宋体"/>
          <w:color w:val="auto"/>
        </w:rPr>
      </w:pPr>
      <w:r>
        <w:rPr>
          <w:rFonts w:hint="eastAsia" w:cs="宋体"/>
          <w:b/>
          <w:color w:val="auto"/>
        </w:rPr>
        <w:t>6.修改</w:t>
      </w:r>
      <w:r>
        <w:rPr>
          <w:rFonts w:hint="eastAsia" w:cs="宋体"/>
          <w:b/>
          <w:color w:val="auto"/>
          <w:lang w:eastAsia="zh-CN"/>
        </w:rPr>
        <w:t>交易文件</w:t>
      </w:r>
      <w:r>
        <w:rPr>
          <w:rFonts w:hint="eastAsia" w:cs="宋体"/>
          <w:b/>
          <w:color w:val="auto"/>
        </w:rPr>
        <w:t>，重新组织采购活动。</w:t>
      </w:r>
      <w:r>
        <w:rPr>
          <w:rFonts w:hint="eastAsia" w:cs="宋体"/>
          <w:color w:val="auto"/>
        </w:rPr>
        <w:t>评标委员会发现</w:t>
      </w:r>
      <w:r>
        <w:rPr>
          <w:rFonts w:hint="eastAsia" w:cs="宋体"/>
          <w:color w:val="auto"/>
          <w:lang w:eastAsia="zh-CN"/>
        </w:rPr>
        <w:t>交易文件</w:t>
      </w:r>
      <w:r>
        <w:rPr>
          <w:rFonts w:hint="eastAsia" w:cs="宋体"/>
          <w:color w:val="auto"/>
        </w:rPr>
        <w:t>存在歧义、重大缺陷导致评标工作无法进行，或者</w:t>
      </w:r>
      <w:r>
        <w:rPr>
          <w:rFonts w:hint="eastAsia" w:cs="宋体"/>
          <w:color w:val="auto"/>
          <w:lang w:eastAsia="zh-CN"/>
        </w:rPr>
        <w:t>交易文件</w:t>
      </w:r>
      <w:r>
        <w:rPr>
          <w:rFonts w:hint="eastAsia" w:cs="宋体"/>
          <w:color w:val="auto"/>
        </w:rPr>
        <w:t>内容违反国家有关强制性规定的，将停止评标工作，并与</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沟通并作书面记录。</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确认后，将修改</w:t>
      </w:r>
      <w:r>
        <w:rPr>
          <w:rFonts w:hint="eastAsia" w:cs="宋体"/>
          <w:color w:val="auto"/>
          <w:lang w:eastAsia="zh-CN"/>
        </w:rPr>
        <w:t>交易文件</w:t>
      </w:r>
      <w:r>
        <w:rPr>
          <w:rFonts w:hint="eastAsia" w:cs="宋体"/>
          <w:color w:val="auto"/>
        </w:rPr>
        <w:t>，重新组织采购活动。</w:t>
      </w:r>
    </w:p>
    <w:p w14:paraId="1EB3E6F8">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33BED56">
      <w:pPr>
        <w:pStyle w:val="24"/>
        <w:snapToGrid w:val="0"/>
        <w:spacing w:line="360" w:lineRule="auto"/>
        <w:rPr>
          <w:rFonts w:cs="宋体"/>
          <w:color w:val="auto"/>
        </w:rPr>
      </w:pPr>
      <w:r>
        <w:rPr>
          <w:rFonts w:hint="eastAsia" w:cs="宋体"/>
          <w:color w:val="auto"/>
        </w:rPr>
        <w:t>7.1未确定中标供应商的，终止本次</w:t>
      </w:r>
      <w:r>
        <w:rPr>
          <w:rFonts w:hint="eastAsia" w:cs="宋体"/>
          <w:color w:val="auto"/>
          <w:lang w:eastAsia="zh-CN"/>
        </w:rPr>
        <w:t>采购</w:t>
      </w:r>
      <w:r>
        <w:rPr>
          <w:rFonts w:hint="eastAsia" w:cs="宋体"/>
          <w:color w:val="auto"/>
        </w:rPr>
        <w:t>活动，重新开展</w:t>
      </w:r>
      <w:r>
        <w:rPr>
          <w:rFonts w:hint="eastAsia" w:cs="宋体"/>
          <w:color w:val="auto"/>
          <w:lang w:eastAsia="zh-CN"/>
        </w:rPr>
        <w:t>采购</w:t>
      </w:r>
      <w:r>
        <w:rPr>
          <w:rFonts w:hint="eastAsia" w:cs="宋体"/>
          <w:color w:val="auto"/>
        </w:rPr>
        <w:t>活动。</w:t>
      </w:r>
    </w:p>
    <w:p w14:paraId="6EFF8DF7">
      <w:pPr>
        <w:pStyle w:val="24"/>
        <w:snapToGrid w:val="0"/>
        <w:spacing w:line="360" w:lineRule="auto"/>
        <w:rPr>
          <w:rFonts w:cs="宋体"/>
          <w:color w:val="auto"/>
        </w:rPr>
      </w:pPr>
      <w:r>
        <w:rPr>
          <w:rFonts w:hint="eastAsia" w:cs="宋体"/>
          <w:color w:val="auto"/>
        </w:rPr>
        <w:t>7.2已确定中标供应商但尚未签订</w:t>
      </w:r>
      <w:r>
        <w:rPr>
          <w:rFonts w:hint="eastAsia" w:cs="宋体"/>
          <w:color w:val="auto"/>
          <w:lang w:eastAsia="zh-CN"/>
        </w:rPr>
        <w:t>采购</w:t>
      </w:r>
      <w:r>
        <w:rPr>
          <w:rFonts w:hint="eastAsia" w:cs="宋体"/>
          <w:color w:val="auto"/>
        </w:rPr>
        <w:t>合同的，中标结果无效，从合格的中标候选人中另行确定中标供应商；没有合格的中标候选人的，重新开展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5EFB56D7">
      <w:pPr>
        <w:pStyle w:val="24"/>
        <w:snapToGrid w:val="0"/>
        <w:spacing w:line="360" w:lineRule="auto"/>
        <w:rPr>
          <w:rFonts w:cs="宋体"/>
          <w:color w:val="auto"/>
        </w:rPr>
      </w:pPr>
      <w:r>
        <w:rPr>
          <w:rFonts w:hint="eastAsia" w:cs="宋体"/>
          <w:color w:val="auto"/>
        </w:rPr>
        <w:t>7.3</w:t>
      </w:r>
      <w:r>
        <w:rPr>
          <w:rFonts w:hint="eastAsia" w:cs="宋体"/>
          <w:color w:val="auto"/>
          <w:lang w:eastAsia="zh-CN"/>
        </w:rPr>
        <w:t>采购</w:t>
      </w:r>
      <w:r>
        <w:rPr>
          <w:rFonts w:hint="eastAsia" w:cs="宋体"/>
          <w:color w:val="auto"/>
        </w:rPr>
        <w:t>合同已签订但尚未履行的，撤销合同，从合格的中标候选人中另行确定中标供应商；没有合格的中标候选人的，重新开展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09E25E16">
      <w:pPr>
        <w:pStyle w:val="24"/>
        <w:snapToGrid w:val="0"/>
        <w:spacing w:line="360" w:lineRule="auto"/>
        <w:rPr>
          <w:rFonts w:cs="宋体"/>
          <w:color w:val="auto"/>
        </w:rPr>
      </w:pPr>
      <w:r>
        <w:rPr>
          <w:rFonts w:hint="eastAsia" w:cs="宋体"/>
          <w:color w:val="auto"/>
        </w:rPr>
        <w:t>7.4</w:t>
      </w:r>
      <w:r>
        <w:rPr>
          <w:rFonts w:hint="eastAsia" w:cs="宋体"/>
          <w:color w:val="auto"/>
          <w:lang w:eastAsia="zh-CN"/>
        </w:rPr>
        <w:t>采购</w:t>
      </w:r>
      <w:r>
        <w:rPr>
          <w:rFonts w:hint="eastAsia" w:cs="宋体"/>
          <w:color w:val="auto"/>
        </w:rPr>
        <w:t>合同已经履行，给</w:t>
      </w:r>
      <w:r>
        <w:rPr>
          <w:rFonts w:hint="eastAsia" w:cs="宋体"/>
          <w:color w:val="auto"/>
          <w:lang w:eastAsia="zh-CN"/>
        </w:rPr>
        <w:t>交易发起人</w:t>
      </w:r>
      <w:r>
        <w:rPr>
          <w:rFonts w:hint="eastAsia" w:cs="宋体"/>
          <w:color w:val="auto"/>
        </w:rPr>
        <w:t>、供应商造成损失的，由责任人承担赔偿责任。</w:t>
      </w:r>
    </w:p>
    <w:p w14:paraId="35CFC498">
      <w:pPr>
        <w:pStyle w:val="24"/>
        <w:snapToGrid w:val="0"/>
        <w:spacing w:line="360" w:lineRule="auto"/>
        <w:rPr>
          <w:rFonts w:cs="宋体"/>
          <w:color w:val="auto"/>
        </w:rPr>
      </w:pPr>
      <w:r>
        <w:rPr>
          <w:rFonts w:hint="eastAsia" w:cs="宋体"/>
          <w:color w:val="auto"/>
        </w:rPr>
        <w:t>7.5</w:t>
      </w:r>
      <w:r>
        <w:rPr>
          <w:rFonts w:hint="eastAsia" w:cs="宋体"/>
          <w:color w:val="auto"/>
          <w:lang w:eastAsia="zh-CN"/>
        </w:rPr>
        <w:t>采购</w:t>
      </w:r>
      <w:r>
        <w:rPr>
          <w:rFonts w:hint="eastAsia" w:cs="宋体"/>
          <w:color w:val="auto"/>
        </w:rPr>
        <w:t>当事人有其他违反政府采购法或者政府采购法实施条例等法律法规规定的行为，经改正后仍然影响或者可能影响中标结果或者依法被认定为中标无效的，依照7.1-7.4规定处理。</w:t>
      </w:r>
    </w:p>
    <w:bookmarkEnd w:id="27"/>
    <w:p w14:paraId="446B2FA5">
      <w:pPr>
        <w:spacing w:line="360" w:lineRule="auto"/>
        <w:ind w:left="720" w:leftChars="343" w:firstLine="1084" w:firstLineChars="300"/>
        <w:outlineLvl w:val="0"/>
        <w:rPr>
          <w:rFonts w:ascii="宋体" w:hAnsi="宋体" w:cs="宋体"/>
          <w:b/>
          <w:color w:val="auto"/>
          <w:sz w:val="36"/>
          <w:szCs w:val="36"/>
        </w:rPr>
      </w:pPr>
      <w:bookmarkStart w:id="406" w:name="第五部分"/>
      <w:bookmarkStart w:id="407" w:name="_Toc86217003"/>
    </w:p>
    <w:p w14:paraId="40E4BA7A">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5C90BD43">
      <w:pPr>
        <w:widowControl/>
        <w:adjustRightInd/>
        <w:jc w:val="center"/>
        <w:rPr>
          <w:rFonts w:ascii="宋体" w:hAnsi="宋体" w:cs="宋体"/>
          <w:b/>
          <w:color w:val="auto"/>
          <w:sz w:val="36"/>
          <w:szCs w:val="20"/>
        </w:rPr>
      </w:pPr>
      <w:r>
        <w:rPr>
          <w:rFonts w:hint="eastAsia" w:ascii="宋体" w:hAnsi="宋体" w:cs="宋体"/>
          <w:b/>
          <w:color w:val="auto"/>
          <w:sz w:val="36"/>
          <w:szCs w:val="20"/>
        </w:rPr>
        <w:t>第</w:t>
      </w:r>
      <w:r>
        <w:rPr>
          <w:rFonts w:hint="eastAsia" w:ascii="宋体" w:hAnsi="宋体" w:cs="宋体"/>
          <w:b/>
          <w:color w:val="auto"/>
          <w:sz w:val="36"/>
          <w:szCs w:val="20"/>
          <w:lang w:val="en-US" w:eastAsia="zh-CN"/>
        </w:rPr>
        <w:t>五</w:t>
      </w:r>
      <w:r>
        <w:rPr>
          <w:rFonts w:hint="eastAsia" w:ascii="宋体" w:hAnsi="宋体" w:cs="宋体"/>
          <w:b/>
          <w:color w:val="auto"/>
          <w:sz w:val="36"/>
          <w:szCs w:val="20"/>
        </w:rPr>
        <w:t>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5127DE12">
      <w:pPr>
        <w:spacing w:line="360" w:lineRule="auto"/>
        <w:jc w:val="center"/>
        <w:outlineLvl w:val="0"/>
        <w:rPr>
          <w:rFonts w:ascii="宋体" w:hAnsi="宋体" w:cs="宋体"/>
          <w:b/>
          <w:color w:val="auto"/>
          <w:kern w:val="0"/>
          <w:sz w:val="36"/>
          <w:szCs w:val="36"/>
        </w:rPr>
      </w:pPr>
    </w:p>
    <w:p w14:paraId="0C82076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057684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F143B4C">
      <w:pPr>
        <w:spacing w:line="360" w:lineRule="auto"/>
        <w:jc w:val="center"/>
        <w:outlineLvl w:val="0"/>
        <w:rPr>
          <w:rFonts w:ascii="宋体" w:hAnsi="宋体" w:cs="宋体"/>
          <w:b/>
          <w:color w:val="auto"/>
          <w:kern w:val="0"/>
          <w:sz w:val="36"/>
          <w:szCs w:val="36"/>
        </w:rPr>
      </w:pPr>
    </w:p>
    <w:p w14:paraId="2946FF20">
      <w:pPr>
        <w:snapToGrid w:val="0"/>
        <w:spacing w:line="360" w:lineRule="auto"/>
        <w:rPr>
          <w:rFonts w:ascii="宋体" w:hAnsi="宋体" w:cs="宋体"/>
          <w:color w:val="auto"/>
          <w:sz w:val="24"/>
        </w:rPr>
      </w:pPr>
      <w:r>
        <w:rPr>
          <w:rFonts w:hint="eastAsia" w:ascii="宋体" w:hAnsi="宋体" w:cs="宋体"/>
          <w:color w:val="auto"/>
          <w:sz w:val="24"/>
        </w:rPr>
        <w:t>（1）符合参加</w:t>
      </w:r>
      <w:r>
        <w:rPr>
          <w:rFonts w:hint="eastAsia" w:ascii="宋体" w:hAnsi="宋体" w:cs="宋体"/>
          <w:color w:val="auto"/>
          <w:sz w:val="24"/>
          <w:lang w:eastAsia="zh-CN"/>
        </w:rPr>
        <w:t>采购</w:t>
      </w:r>
      <w:r>
        <w:rPr>
          <w:rFonts w:hint="eastAsia" w:ascii="宋体" w:hAnsi="宋体" w:cs="宋体"/>
          <w:color w:val="auto"/>
          <w:sz w:val="24"/>
        </w:rPr>
        <w:t>活动应当具备的一般条件的承诺函……………（页码）</w:t>
      </w:r>
    </w:p>
    <w:p w14:paraId="2EAFC6E2">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）本项目的特定资格要求………………………………………………（页码）</w:t>
      </w:r>
    </w:p>
    <w:p w14:paraId="40F38048">
      <w:pPr>
        <w:snapToGrid w:val="0"/>
        <w:spacing w:line="360" w:lineRule="auto"/>
        <w:ind w:firstLine="480" w:firstLineChars="200"/>
        <w:rPr>
          <w:rFonts w:ascii="宋体" w:hAnsi="宋体" w:cs="宋体"/>
          <w:color w:val="auto"/>
          <w:sz w:val="24"/>
        </w:rPr>
      </w:pPr>
    </w:p>
    <w:p w14:paraId="49270266">
      <w:pPr>
        <w:spacing w:line="360" w:lineRule="auto"/>
        <w:ind w:firstLine="480" w:firstLineChars="200"/>
        <w:rPr>
          <w:rFonts w:ascii="宋体" w:hAnsi="宋体" w:cs="宋体"/>
          <w:color w:val="auto"/>
          <w:sz w:val="24"/>
        </w:rPr>
      </w:pPr>
    </w:p>
    <w:p w14:paraId="589A312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w:t>
      </w:r>
      <w:r>
        <w:rPr>
          <w:rFonts w:hint="eastAsia" w:ascii="宋体" w:hAnsi="宋体" w:cs="宋体"/>
          <w:b/>
          <w:color w:val="auto"/>
          <w:kern w:val="0"/>
          <w:sz w:val="32"/>
          <w:szCs w:val="32"/>
          <w:lang w:eastAsia="zh-CN"/>
        </w:rPr>
        <w:t>采购</w:t>
      </w:r>
      <w:r>
        <w:rPr>
          <w:rFonts w:hint="eastAsia" w:ascii="宋体" w:hAnsi="宋体" w:cs="宋体"/>
          <w:b/>
          <w:color w:val="auto"/>
          <w:kern w:val="0"/>
          <w:sz w:val="32"/>
          <w:szCs w:val="32"/>
        </w:rPr>
        <w:t>活动应当具备的一般条件的承诺函</w:t>
      </w:r>
    </w:p>
    <w:p w14:paraId="3D51ABE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257725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活动，郑重承诺：</w:t>
      </w:r>
    </w:p>
    <w:p w14:paraId="0DAAF75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00B98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8B066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A4A71F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E53F8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FD4F5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w:t>
      </w:r>
      <w:r>
        <w:rPr>
          <w:rFonts w:hint="eastAsia" w:ascii="宋体" w:hAnsi="宋体" w:cs="宋体"/>
          <w:color w:val="auto"/>
          <w:sz w:val="24"/>
          <w:lang w:eastAsia="zh-CN"/>
        </w:rPr>
        <w:t>采购</w:t>
      </w:r>
      <w:r>
        <w:rPr>
          <w:rFonts w:hint="eastAsia" w:ascii="宋体" w:hAnsi="宋体" w:cs="宋体"/>
          <w:color w:val="auto"/>
          <w:sz w:val="24"/>
        </w:rPr>
        <w:t>活动前三年内，在经营活动中没有重大违法记录；</w:t>
      </w:r>
    </w:p>
    <w:p w14:paraId="6851A9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2FFC1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01A7E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70308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w:t>
      </w:r>
      <w:r>
        <w:rPr>
          <w:rFonts w:hint="eastAsia" w:ascii="宋体" w:hAnsi="宋体" w:cs="宋体"/>
          <w:color w:val="auto"/>
          <w:sz w:val="24"/>
          <w:lang w:eastAsia="zh-CN"/>
        </w:rPr>
        <w:t>采购</w:t>
      </w:r>
      <w:r>
        <w:rPr>
          <w:rFonts w:hint="eastAsia" w:ascii="宋体" w:hAnsi="宋体" w:cs="宋体"/>
          <w:color w:val="auto"/>
          <w:sz w:val="24"/>
        </w:rPr>
        <w:t>活动的；</w:t>
      </w:r>
    </w:p>
    <w:p w14:paraId="2A3A20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4E2292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755C0001">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50614E">
      <w:pPr>
        <w:rPr>
          <w:rFonts w:ascii="宋体" w:hAnsi="宋体" w:cs="宋体"/>
          <w:b/>
          <w:color w:val="auto"/>
          <w:kern w:val="0"/>
          <w:sz w:val="32"/>
          <w:szCs w:val="32"/>
        </w:rPr>
      </w:pPr>
      <w:r>
        <w:rPr>
          <w:rFonts w:ascii="宋体" w:hAnsi="宋体" w:cs="宋体"/>
          <w:b/>
          <w:color w:val="auto"/>
          <w:kern w:val="0"/>
          <w:sz w:val="32"/>
          <w:szCs w:val="32"/>
        </w:rPr>
        <w:br w:type="page"/>
      </w:r>
    </w:p>
    <w:p w14:paraId="6910DADD">
      <w:pPr>
        <w:pStyle w:val="15"/>
        <w:rPr>
          <w:color w:val="auto"/>
        </w:rPr>
      </w:pPr>
    </w:p>
    <w:p w14:paraId="3B96F556">
      <w:pPr>
        <w:widowControl/>
        <w:adjustRightInd/>
        <w:jc w:val="left"/>
        <w:rPr>
          <w:rFonts w:ascii="宋体" w:hAnsi="宋体" w:cs="宋体"/>
          <w:b/>
          <w:color w:val="auto"/>
          <w:kern w:val="0"/>
          <w:sz w:val="32"/>
          <w:szCs w:val="32"/>
        </w:rPr>
      </w:pPr>
    </w:p>
    <w:p w14:paraId="7E500B8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286D8F5A">
      <w:pPr>
        <w:spacing w:line="360" w:lineRule="auto"/>
        <w:jc w:val="center"/>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lang w:eastAsia="zh-CN"/>
        </w:rPr>
        <w:t>交易</w:t>
      </w:r>
      <w:r>
        <w:rPr>
          <w:rFonts w:hint="eastAsia" w:ascii="宋体" w:hAnsi="宋体" w:cs="宋体"/>
          <w:color w:val="auto"/>
          <w:sz w:val="24"/>
        </w:rPr>
        <w:t>公告本项目的特定资格要求提供相应的材料；未要求的，无需提供）</w:t>
      </w:r>
    </w:p>
    <w:p w14:paraId="295A7C22">
      <w:pPr>
        <w:rPr>
          <w:rFonts w:ascii="宋体" w:hAnsi="宋体" w:cs="宋体"/>
          <w:color w:val="auto"/>
        </w:rPr>
      </w:pPr>
    </w:p>
    <w:p w14:paraId="22FB12A8">
      <w:pPr>
        <w:snapToGrid w:val="0"/>
        <w:spacing w:line="360" w:lineRule="auto"/>
        <w:ind w:right="480"/>
        <w:jc w:val="center"/>
        <w:rPr>
          <w:rFonts w:ascii="宋体" w:hAnsi="宋体" w:cs="宋体"/>
          <w:b/>
          <w:color w:val="auto"/>
          <w:kern w:val="0"/>
          <w:sz w:val="32"/>
          <w:szCs w:val="32"/>
        </w:rPr>
      </w:pPr>
    </w:p>
    <w:p w14:paraId="6181FD1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85C611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841BE3E">
      <w:pPr>
        <w:spacing w:line="360" w:lineRule="auto"/>
        <w:jc w:val="center"/>
        <w:outlineLvl w:val="0"/>
        <w:rPr>
          <w:rFonts w:ascii="宋体" w:hAnsi="宋体" w:cs="宋体"/>
          <w:b/>
          <w:color w:val="auto"/>
          <w:kern w:val="0"/>
          <w:sz w:val="24"/>
        </w:rPr>
      </w:pPr>
    </w:p>
    <w:p w14:paraId="35D37F1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3A662E6">
      <w:pPr>
        <w:snapToGrid w:val="0"/>
        <w:spacing w:line="360" w:lineRule="auto"/>
        <w:ind w:left="479" w:leftChars="228"/>
        <w:rPr>
          <w:rFonts w:ascii="宋体" w:hAnsi="宋体" w:cs="宋体"/>
          <w:color w:val="auto"/>
        </w:rPr>
      </w:pPr>
      <w:r>
        <w:rPr>
          <w:rFonts w:hint="eastAsia" w:ascii="宋体" w:hAnsi="宋体" w:cs="宋体"/>
          <w:color w:val="auto"/>
          <w:sz w:val="24"/>
        </w:rPr>
        <w:t>（1）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6127979">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28AD909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响应</w:t>
      </w:r>
      <w:r>
        <w:rPr>
          <w:rFonts w:hint="eastAsia" w:ascii="宋体" w:hAnsi="宋体" w:cs="宋体"/>
          <w:color w:val="auto"/>
          <w:sz w:val="24"/>
        </w:rPr>
        <w:t>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13C6A65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5FAB3F13">
      <w:pPr>
        <w:snapToGrid w:val="0"/>
        <w:spacing w:line="360" w:lineRule="auto"/>
        <w:jc w:val="center"/>
        <w:rPr>
          <w:rFonts w:ascii="宋体" w:hAnsi="宋体" w:cs="宋体"/>
          <w:b/>
          <w:color w:val="auto"/>
          <w:kern w:val="0"/>
          <w:sz w:val="32"/>
          <w:szCs w:val="32"/>
          <w:lang w:val="zh-CN"/>
        </w:rPr>
      </w:pPr>
    </w:p>
    <w:p w14:paraId="71287E22">
      <w:pPr>
        <w:snapToGrid w:val="0"/>
        <w:spacing w:line="360" w:lineRule="auto"/>
        <w:jc w:val="center"/>
        <w:rPr>
          <w:rFonts w:ascii="宋体" w:hAnsi="宋体" w:cs="宋体"/>
          <w:b/>
          <w:color w:val="auto"/>
          <w:kern w:val="0"/>
          <w:sz w:val="32"/>
          <w:szCs w:val="32"/>
          <w:lang w:val="zh-CN"/>
        </w:rPr>
      </w:pPr>
    </w:p>
    <w:p w14:paraId="199360FD">
      <w:pPr>
        <w:snapToGrid w:val="0"/>
        <w:spacing w:line="360" w:lineRule="auto"/>
        <w:jc w:val="center"/>
        <w:rPr>
          <w:rFonts w:ascii="宋体" w:hAnsi="宋体" w:cs="宋体"/>
          <w:b/>
          <w:color w:val="auto"/>
          <w:kern w:val="0"/>
          <w:sz w:val="32"/>
          <w:szCs w:val="32"/>
          <w:lang w:val="zh-CN"/>
        </w:rPr>
      </w:pPr>
    </w:p>
    <w:p w14:paraId="4CF3CE8E">
      <w:pPr>
        <w:snapToGrid w:val="0"/>
        <w:spacing w:line="360" w:lineRule="auto"/>
        <w:jc w:val="center"/>
        <w:rPr>
          <w:rFonts w:ascii="宋体" w:hAnsi="宋体" w:cs="宋体"/>
          <w:b/>
          <w:color w:val="auto"/>
          <w:kern w:val="0"/>
          <w:sz w:val="32"/>
          <w:szCs w:val="32"/>
          <w:lang w:val="zh-CN"/>
        </w:rPr>
      </w:pPr>
    </w:p>
    <w:p w14:paraId="144BB711">
      <w:pPr>
        <w:snapToGrid w:val="0"/>
        <w:spacing w:line="360" w:lineRule="auto"/>
        <w:jc w:val="center"/>
        <w:rPr>
          <w:rFonts w:ascii="宋体" w:hAnsi="宋体" w:cs="宋体"/>
          <w:b/>
          <w:color w:val="auto"/>
          <w:kern w:val="0"/>
          <w:sz w:val="32"/>
          <w:szCs w:val="32"/>
          <w:lang w:val="zh-CN"/>
        </w:rPr>
      </w:pPr>
    </w:p>
    <w:p w14:paraId="494EEFA0">
      <w:pPr>
        <w:snapToGrid w:val="0"/>
        <w:spacing w:line="360" w:lineRule="auto"/>
        <w:jc w:val="center"/>
        <w:rPr>
          <w:rFonts w:ascii="宋体" w:hAnsi="宋体" w:cs="宋体"/>
          <w:b/>
          <w:color w:val="auto"/>
          <w:kern w:val="0"/>
          <w:sz w:val="32"/>
          <w:szCs w:val="32"/>
          <w:lang w:val="zh-CN"/>
        </w:rPr>
      </w:pPr>
    </w:p>
    <w:p w14:paraId="566BBC54">
      <w:pPr>
        <w:snapToGrid w:val="0"/>
        <w:spacing w:line="360" w:lineRule="auto"/>
        <w:jc w:val="center"/>
        <w:rPr>
          <w:rFonts w:ascii="宋体" w:hAnsi="宋体" w:cs="宋体"/>
          <w:b/>
          <w:color w:val="auto"/>
          <w:kern w:val="0"/>
          <w:sz w:val="32"/>
          <w:szCs w:val="32"/>
          <w:lang w:val="zh-CN"/>
        </w:rPr>
      </w:pPr>
    </w:p>
    <w:p w14:paraId="2F199708">
      <w:pPr>
        <w:snapToGrid w:val="0"/>
        <w:spacing w:line="360" w:lineRule="auto"/>
        <w:jc w:val="center"/>
        <w:rPr>
          <w:rFonts w:ascii="宋体" w:hAnsi="宋体" w:cs="宋体"/>
          <w:b/>
          <w:color w:val="auto"/>
          <w:kern w:val="0"/>
          <w:sz w:val="32"/>
          <w:szCs w:val="32"/>
          <w:lang w:val="zh-CN"/>
        </w:rPr>
      </w:pPr>
    </w:p>
    <w:p w14:paraId="115E7BE9">
      <w:pPr>
        <w:snapToGrid w:val="0"/>
        <w:spacing w:line="360" w:lineRule="auto"/>
        <w:jc w:val="center"/>
        <w:rPr>
          <w:rFonts w:ascii="宋体" w:hAnsi="宋体" w:cs="宋体"/>
          <w:b/>
          <w:color w:val="auto"/>
          <w:kern w:val="0"/>
          <w:sz w:val="32"/>
          <w:szCs w:val="32"/>
          <w:lang w:val="zh-CN"/>
        </w:rPr>
      </w:pPr>
    </w:p>
    <w:p w14:paraId="59D853A9">
      <w:pPr>
        <w:snapToGrid w:val="0"/>
        <w:spacing w:line="360" w:lineRule="auto"/>
        <w:jc w:val="center"/>
        <w:rPr>
          <w:rFonts w:ascii="宋体" w:hAnsi="宋体" w:cs="宋体"/>
          <w:b/>
          <w:color w:val="auto"/>
          <w:kern w:val="0"/>
          <w:sz w:val="32"/>
          <w:szCs w:val="32"/>
          <w:lang w:val="zh-CN"/>
        </w:rPr>
      </w:pPr>
    </w:p>
    <w:p w14:paraId="0719C7BB">
      <w:pPr>
        <w:snapToGrid w:val="0"/>
        <w:spacing w:line="360" w:lineRule="auto"/>
        <w:jc w:val="center"/>
        <w:rPr>
          <w:rFonts w:ascii="宋体" w:hAnsi="宋体" w:cs="宋体"/>
          <w:b/>
          <w:color w:val="auto"/>
          <w:kern w:val="0"/>
          <w:sz w:val="32"/>
          <w:szCs w:val="32"/>
          <w:lang w:val="zh-CN"/>
        </w:rPr>
      </w:pPr>
    </w:p>
    <w:p w14:paraId="33143DE8">
      <w:pPr>
        <w:snapToGrid w:val="0"/>
        <w:spacing w:line="360" w:lineRule="auto"/>
        <w:jc w:val="center"/>
        <w:rPr>
          <w:rFonts w:ascii="宋体" w:hAnsi="宋体" w:cs="宋体"/>
          <w:b/>
          <w:color w:val="auto"/>
          <w:kern w:val="0"/>
          <w:sz w:val="32"/>
          <w:szCs w:val="32"/>
          <w:lang w:val="zh-CN"/>
        </w:rPr>
      </w:pPr>
    </w:p>
    <w:p w14:paraId="34D55EE1">
      <w:pPr>
        <w:rPr>
          <w:rFonts w:ascii="宋体" w:hAnsi="宋体" w:cs="宋体"/>
          <w:b/>
          <w:color w:val="auto"/>
          <w:kern w:val="0"/>
          <w:sz w:val="32"/>
          <w:szCs w:val="32"/>
          <w:lang w:val="zh-CN"/>
        </w:rPr>
      </w:pPr>
    </w:p>
    <w:p w14:paraId="5E313F7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14D14A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w:t>
      </w:r>
      <w:r>
        <w:rPr>
          <w:rFonts w:hint="eastAsia" w:ascii="宋体" w:hAnsi="宋体" w:cs="宋体"/>
          <w:b/>
          <w:color w:val="auto"/>
          <w:kern w:val="0"/>
          <w:sz w:val="32"/>
          <w:szCs w:val="32"/>
          <w:lang w:eastAsia="zh-CN"/>
        </w:rPr>
        <w:t>响应</w:t>
      </w:r>
      <w:r>
        <w:rPr>
          <w:rFonts w:hint="eastAsia" w:ascii="宋体" w:hAnsi="宋体" w:cs="宋体"/>
          <w:b/>
          <w:color w:val="auto"/>
          <w:sz w:val="32"/>
          <w:szCs w:val="32"/>
        </w:rPr>
        <w:t>函</w:t>
      </w:r>
    </w:p>
    <w:p w14:paraId="60221DA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79707F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sz w:val="24"/>
          <w:lang w:eastAsia="zh-CN"/>
        </w:rPr>
        <w:t>交易</w:t>
      </w:r>
      <w:r>
        <w:rPr>
          <w:rFonts w:hint="eastAsia" w:ascii="宋体" w:hAnsi="宋体" w:cs="宋体"/>
          <w:color w:val="auto"/>
          <w:sz w:val="24"/>
        </w:rPr>
        <w:t>的有关活动，并对此项目进行</w:t>
      </w:r>
      <w:r>
        <w:rPr>
          <w:rFonts w:hint="eastAsia" w:ascii="宋体" w:hAnsi="宋体" w:cs="宋体"/>
          <w:color w:val="auto"/>
          <w:sz w:val="24"/>
          <w:lang w:eastAsia="zh-CN"/>
        </w:rPr>
        <w:t>响应</w:t>
      </w:r>
      <w:r>
        <w:rPr>
          <w:rFonts w:hint="eastAsia" w:ascii="宋体" w:hAnsi="宋体" w:cs="宋体"/>
          <w:color w:val="auto"/>
          <w:sz w:val="24"/>
        </w:rPr>
        <w:t>。为此：</w:t>
      </w:r>
    </w:p>
    <w:p w14:paraId="7DF9A9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w:t>
      </w:r>
      <w:r>
        <w:rPr>
          <w:rFonts w:hint="eastAsia" w:ascii="宋体" w:hAnsi="宋体" w:cs="宋体"/>
          <w:color w:val="auto"/>
          <w:sz w:val="24"/>
          <w:lang w:eastAsia="zh-CN"/>
        </w:rPr>
        <w:t>响应</w:t>
      </w:r>
      <w:r>
        <w:rPr>
          <w:rFonts w:hint="eastAsia" w:ascii="宋体" w:hAnsi="宋体" w:cs="宋体"/>
          <w:color w:val="auto"/>
          <w:sz w:val="24"/>
        </w:rPr>
        <w:t>有效期从提交</w:t>
      </w:r>
      <w:r>
        <w:rPr>
          <w:rFonts w:hint="eastAsia" w:ascii="宋体" w:hAnsi="宋体" w:cs="宋体"/>
          <w:color w:val="auto"/>
          <w:sz w:val="24"/>
          <w:lang w:eastAsia="zh-CN"/>
        </w:rPr>
        <w:t>响应文件</w:t>
      </w:r>
      <w:r>
        <w:rPr>
          <w:rFonts w:hint="eastAsia" w:ascii="宋体" w:hAnsi="宋体" w:cs="宋体"/>
          <w:color w:val="auto"/>
          <w:sz w:val="24"/>
        </w:rPr>
        <w:t>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w:t>
      </w:r>
      <w:r>
        <w:rPr>
          <w:rFonts w:hint="eastAsia" w:ascii="宋体" w:hAnsi="宋体" w:cs="宋体"/>
          <w:color w:val="auto"/>
          <w:sz w:val="24"/>
          <w:lang w:eastAsia="zh-CN"/>
        </w:rPr>
        <w:t>响应文件</w:t>
      </w:r>
      <w:r>
        <w:rPr>
          <w:rFonts w:hint="eastAsia" w:ascii="宋体" w:hAnsi="宋体" w:cs="宋体"/>
          <w:color w:val="auto"/>
          <w:sz w:val="24"/>
        </w:rPr>
        <w:t>在</w:t>
      </w:r>
      <w:r>
        <w:rPr>
          <w:rFonts w:hint="eastAsia" w:ascii="宋体" w:hAnsi="宋体" w:cs="宋体"/>
          <w:color w:val="auto"/>
          <w:sz w:val="24"/>
          <w:lang w:eastAsia="zh-CN"/>
        </w:rPr>
        <w:t>响应</w:t>
      </w:r>
      <w:r>
        <w:rPr>
          <w:rFonts w:hint="eastAsia" w:ascii="宋体" w:hAnsi="宋体" w:cs="宋体"/>
          <w:color w:val="auto"/>
          <w:sz w:val="24"/>
        </w:rPr>
        <w:t>有效期满之前均具有约束力。</w:t>
      </w:r>
    </w:p>
    <w:p w14:paraId="3A2103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w:t>
      </w:r>
      <w:r>
        <w:rPr>
          <w:rFonts w:hint="eastAsia" w:ascii="宋体" w:hAnsi="宋体" w:cs="宋体"/>
          <w:color w:val="auto"/>
          <w:sz w:val="24"/>
          <w:lang w:eastAsia="zh-CN"/>
        </w:rPr>
        <w:t>响应文件</w:t>
      </w:r>
      <w:r>
        <w:rPr>
          <w:rFonts w:hint="eastAsia" w:ascii="宋体" w:hAnsi="宋体" w:cs="宋体"/>
          <w:color w:val="auto"/>
          <w:sz w:val="24"/>
        </w:rPr>
        <w:t>包括以下内容：</w:t>
      </w:r>
    </w:p>
    <w:p w14:paraId="0320853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166B2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BB93B4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本项目的特定资格要求（如果有)。</w:t>
      </w:r>
    </w:p>
    <w:p w14:paraId="1035F1D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71136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4650F6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F9BE2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2123EA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24AB77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5</w:t>
      </w:r>
      <w:r>
        <w:rPr>
          <w:rFonts w:hint="eastAsia" w:ascii="宋体" w:hAnsi="宋体" w:cs="宋体"/>
          <w:color w:val="auto"/>
          <w:sz w:val="24"/>
          <w:lang w:eastAsia="zh-CN"/>
        </w:rPr>
        <w:t>响应</w:t>
      </w:r>
      <w:r>
        <w:rPr>
          <w:rFonts w:hint="eastAsia" w:ascii="宋体" w:hAnsi="宋体" w:cs="宋体"/>
          <w:color w:val="auto"/>
          <w:sz w:val="24"/>
        </w:rPr>
        <w:t>标的清单；</w:t>
      </w:r>
    </w:p>
    <w:p w14:paraId="4432AF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0E59825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p>
    <w:p w14:paraId="6F58CE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77C91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4FA8E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w:t>
      </w:r>
      <w:r>
        <w:rPr>
          <w:rFonts w:hint="eastAsia" w:ascii="宋体" w:hAnsi="宋体" w:cs="宋体"/>
          <w:color w:val="auto"/>
          <w:sz w:val="24"/>
          <w:lang w:eastAsia="zh-CN"/>
        </w:rPr>
        <w:t>交易文件</w:t>
      </w:r>
      <w:r>
        <w:rPr>
          <w:rFonts w:hint="eastAsia" w:ascii="宋体" w:hAnsi="宋体" w:cs="宋体"/>
          <w:color w:val="auto"/>
          <w:sz w:val="24"/>
        </w:rPr>
        <w:t>的全部要求。</w:t>
      </w:r>
    </w:p>
    <w:p w14:paraId="166D20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18A07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A7225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B283D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4.3按照</w:t>
      </w:r>
      <w:r>
        <w:rPr>
          <w:rFonts w:hint="eastAsia" w:ascii="宋体" w:hAnsi="宋体" w:cs="宋体"/>
          <w:color w:val="auto"/>
          <w:sz w:val="24"/>
          <w:lang w:eastAsia="zh-CN"/>
        </w:rPr>
        <w:t>交易文件</w:t>
      </w:r>
      <w:r>
        <w:rPr>
          <w:rFonts w:hint="eastAsia" w:ascii="宋体" w:hAnsi="宋体" w:cs="宋体"/>
          <w:color w:val="auto"/>
          <w:sz w:val="24"/>
        </w:rPr>
        <w:t xml:space="preserve">要求提交履约保证金； </w:t>
      </w:r>
    </w:p>
    <w:p w14:paraId="15AB50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972C6F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3841590">
      <w:pPr>
        <w:spacing w:line="360" w:lineRule="auto"/>
        <w:ind w:firstLine="3600" w:firstLineChars="15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 xml:space="preserve">名称（电子签名）：                          </w:t>
      </w:r>
    </w:p>
    <w:p w14:paraId="01418BB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0FC76DC">
      <w:pPr>
        <w:snapToGrid w:val="0"/>
        <w:spacing w:line="360" w:lineRule="auto"/>
        <w:ind w:left="420" w:leftChars="200" w:firstLine="4200" w:firstLineChars="1750"/>
        <w:rPr>
          <w:rFonts w:ascii="宋体" w:hAnsi="宋体" w:cs="宋体"/>
          <w:color w:val="auto"/>
          <w:kern w:val="0"/>
          <w:sz w:val="24"/>
          <w:u w:val="single"/>
        </w:rPr>
      </w:pPr>
    </w:p>
    <w:p w14:paraId="2F252686">
      <w:pPr>
        <w:rPr>
          <w:rFonts w:ascii="宋体" w:hAnsi="宋体" w:cs="宋体"/>
          <w:b/>
          <w:color w:val="auto"/>
          <w:kern w:val="0"/>
          <w:sz w:val="32"/>
          <w:szCs w:val="32"/>
        </w:rPr>
      </w:pPr>
    </w:p>
    <w:p w14:paraId="3D81DE8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2AAC01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5FCF55EC">
      <w:pPr>
        <w:snapToGrid w:val="0"/>
        <w:spacing w:line="360" w:lineRule="auto"/>
        <w:rPr>
          <w:rFonts w:ascii="宋体" w:hAnsi="宋体" w:cs="宋体"/>
          <w:color w:val="auto"/>
          <w:sz w:val="24"/>
        </w:rPr>
      </w:pPr>
    </w:p>
    <w:p w14:paraId="6228FF5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14F413A2">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6B17A2D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6BA4CC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192F58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913A6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543FC9D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5F09ED4">
      <w:pPr>
        <w:snapToGrid w:val="0"/>
        <w:spacing w:line="360" w:lineRule="auto"/>
        <w:rPr>
          <w:rFonts w:ascii="宋体" w:hAnsi="宋体" w:cs="宋体"/>
          <w:color w:val="auto"/>
          <w:sz w:val="24"/>
        </w:rPr>
      </w:pPr>
    </w:p>
    <w:p w14:paraId="6BDD6DF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授权委托书（适用于联合体响应）</w:t>
      </w:r>
    </w:p>
    <w:p w14:paraId="18672116">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475892D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19275D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F84E5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76D9314">
      <w:pPr>
        <w:jc w:val="center"/>
        <w:rPr>
          <w:rFonts w:ascii="宋体" w:hAnsi="宋体" w:cs="宋体"/>
          <w:b/>
          <w:color w:val="auto"/>
          <w:kern w:val="0"/>
          <w:sz w:val="32"/>
          <w:szCs w:val="32"/>
        </w:rPr>
      </w:pPr>
    </w:p>
    <w:p w14:paraId="1330075C">
      <w:pPr>
        <w:rPr>
          <w:rFonts w:ascii="宋体" w:hAnsi="宋体" w:cs="宋体"/>
          <w:color w:val="auto"/>
        </w:rPr>
      </w:pPr>
    </w:p>
    <w:p w14:paraId="079057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E5816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A0A39E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12D3D4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8A152A">
      <w:pPr>
        <w:autoSpaceDE w:val="0"/>
        <w:autoSpaceDN w:val="0"/>
        <w:spacing w:line="360" w:lineRule="auto"/>
        <w:jc w:val="center"/>
        <w:rPr>
          <w:rFonts w:ascii="宋体" w:hAnsi="宋体" w:cs="宋体"/>
          <w:b/>
          <w:color w:val="auto"/>
          <w:kern w:val="0"/>
          <w:sz w:val="32"/>
          <w:szCs w:val="32"/>
          <w:lang w:val="zh-CN"/>
        </w:rPr>
      </w:pPr>
    </w:p>
    <w:p w14:paraId="7F164658">
      <w:pPr>
        <w:autoSpaceDE w:val="0"/>
        <w:autoSpaceDN w:val="0"/>
        <w:spacing w:line="360" w:lineRule="auto"/>
        <w:jc w:val="center"/>
        <w:rPr>
          <w:rFonts w:ascii="宋体" w:hAnsi="宋体" w:cs="宋体"/>
          <w:b/>
          <w:color w:val="auto"/>
          <w:kern w:val="0"/>
          <w:sz w:val="32"/>
          <w:szCs w:val="32"/>
          <w:lang w:val="zh-CN"/>
        </w:rPr>
      </w:pPr>
    </w:p>
    <w:p w14:paraId="797380C4">
      <w:pPr>
        <w:autoSpaceDE w:val="0"/>
        <w:autoSpaceDN w:val="0"/>
        <w:spacing w:line="360" w:lineRule="auto"/>
        <w:jc w:val="center"/>
        <w:rPr>
          <w:rFonts w:ascii="宋体" w:hAnsi="宋体" w:cs="宋体"/>
          <w:b/>
          <w:color w:val="auto"/>
          <w:kern w:val="0"/>
          <w:sz w:val="32"/>
          <w:szCs w:val="32"/>
          <w:lang w:val="zh-CN"/>
        </w:rPr>
      </w:pPr>
    </w:p>
    <w:p w14:paraId="6DD8282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供应商</w:t>
      </w:r>
      <w:r>
        <w:rPr>
          <w:rFonts w:hint="eastAsia" w:ascii="宋体" w:hAnsi="宋体" w:cs="宋体"/>
          <w:b/>
          <w:color w:val="auto"/>
          <w:sz w:val="30"/>
          <w:szCs w:val="30"/>
        </w:rPr>
        <w:t>参加</w:t>
      </w:r>
      <w:r>
        <w:rPr>
          <w:rFonts w:hint="eastAsia" w:ascii="宋体" w:hAnsi="宋体" w:cs="宋体"/>
          <w:b/>
          <w:color w:val="auto"/>
          <w:sz w:val="30"/>
          <w:szCs w:val="30"/>
          <w:lang w:eastAsia="zh-CN"/>
        </w:rPr>
        <w:t>响应</w:t>
      </w:r>
      <w:r>
        <w:rPr>
          <w:rFonts w:hint="eastAsia" w:ascii="宋体" w:hAnsi="宋体" w:cs="宋体"/>
          <w:b/>
          <w:color w:val="auto"/>
          <w:sz w:val="30"/>
          <w:szCs w:val="30"/>
        </w:rPr>
        <w:t>）</w:t>
      </w:r>
    </w:p>
    <w:p w14:paraId="37810315">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B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D687DA">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4C014B32">
            <w:pPr>
              <w:pStyle w:val="146"/>
              <w:adjustRightInd w:val="0"/>
              <w:spacing w:line="360" w:lineRule="auto"/>
              <w:rPr>
                <w:rFonts w:hAnsi="宋体" w:cs="宋体"/>
                <w:bCs/>
                <w:color w:val="auto"/>
                <w:sz w:val="24"/>
              </w:rPr>
            </w:pPr>
          </w:p>
        </w:tc>
      </w:tr>
    </w:tbl>
    <w:p w14:paraId="2A689C2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F7C5DF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47229B2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30015C8">
      <w:pPr>
        <w:jc w:val="center"/>
        <w:rPr>
          <w:rFonts w:ascii="宋体" w:hAnsi="宋体" w:cs="宋体"/>
          <w:b/>
          <w:color w:val="auto"/>
          <w:kern w:val="0"/>
          <w:sz w:val="32"/>
          <w:szCs w:val="32"/>
        </w:rPr>
      </w:pPr>
    </w:p>
    <w:p w14:paraId="63C5B420">
      <w:pPr>
        <w:jc w:val="center"/>
        <w:rPr>
          <w:rFonts w:ascii="宋体" w:hAnsi="宋体" w:cs="宋体"/>
          <w:b/>
          <w:color w:val="auto"/>
          <w:kern w:val="0"/>
          <w:sz w:val="32"/>
          <w:szCs w:val="32"/>
        </w:rPr>
      </w:pPr>
    </w:p>
    <w:p w14:paraId="28F676E5">
      <w:pPr>
        <w:jc w:val="center"/>
        <w:rPr>
          <w:rFonts w:ascii="宋体" w:hAnsi="宋体" w:cs="宋体"/>
          <w:b/>
          <w:color w:val="auto"/>
          <w:kern w:val="0"/>
          <w:sz w:val="32"/>
          <w:szCs w:val="32"/>
        </w:rPr>
      </w:pPr>
    </w:p>
    <w:p w14:paraId="5DCB72E6">
      <w:pPr>
        <w:jc w:val="center"/>
        <w:rPr>
          <w:rFonts w:ascii="宋体" w:hAnsi="宋体" w:cs="宋体"/>
          <w:b/>
          <w:color w:val="auto"/>
          <w:kern w:val="0"/>
          <w:sz w:val="32"/>
          <w:szCs w:val="32"/>
        </w:rPr>
      </w:pPr>
    </w:p>
    <w:p w14:paraId="06E26B80">
      <w:pPr>
        <w:jc w:val="center"/>
        <w:rPr>
          <w:rFonts w:ascii="宋体" w:hAnsi="宋体" w:cs="宋体"/>
          <w:b/>
          <w:color w:val="auto"/>
          <w:kern w:val="0"/>
          <w:sz w:val="32"/>
          <w:szCs w:val="32"/>
        </w:rPr>
      </w:pPr>
    </w:p>
    <w:p w14:paraId="078F2C53">
      <w:pPr>
        <w:jc w:val="center"/>
        <w:rPr>
          <w:rFonts w:ascii="宋体" w:hAnsi="宋体" w:cs="宋体"/>
          <w:b/>
          <w:color w:val="auto"/>
          <w:kern w:val="0"/>
          <w:sz w:val="32"/>
          <w:szCs w:val="32"/>
        </w:rPr>
      </w:pPr>
    </w:p>
    <w:p w14:paraId="4D71B77C">
      <w:pPr>
        <w:jc w:val="center"/>
        <w:rPr>
          <w:rFonts w:ascii="宋体" w:hAnsi="宋体" w:cs="宋体"/>
          <w:b/>
          <w:color w:val="auto"/>
          <w:kern w:val="0"/>
          <w:sz w:val="32"/>
          <w:szCs w:val="32"/>
        </w:rPr>
      </w:pPr>
    </w:p>
    <w:p w14:paraId="243113EB">
      <w:pPr>
        <w:jc w:val="center"/>
        <w:rPr>
          <w:rFonts w:ascii="宋体" w:hAnsi="宋体" w:cs="宋体"/>
          <w:b/>
          <w:color w:val="auto"/>
          <w:kern w:val="0"/>
          <w:sz w:val="32"/>
          <w:szCs w:val="32"/>
        </w:rPr>
      </w:pPr>
    </w:p>
    <w:p w14:paraId="004312E6">
      <w:pPr>
        <w:jc w:val="center"/>
        <w:rPr>
          <w:rFonts w:ascii="宋体" w:hAnsi="宋体" w:cs="宋体"/>
          <w:b/>
          <w:color w:val="auto"/>
          <w:kern w:val="0"/>
          <w:sz w:val="32"/>
          <w:szCs w:val="32"/>
        </w:rPr>
      </w:pPr>
    </w:p>
    <w:p w14:paraId="678C8E40">
      <w:pPr>
        <w:jc w:val="center"/>
        <w:rPr>
          <w:rFonts w:ascii="宋体" w:hAnsi="宋体" w:cs="宋体"/>
          <w:b/>
          <w:color w:val="auto"/>
          <w:kern w:val="0"/>
          <w:sz w:val="32"/>
          <w:szCs w:val="32"/>
        </w:rPr>
      </w:pPr>
    </w:p>
    <w:p w14:paraId="77FADA16">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91077A0">
      <w:pPr>
        <w:jc w:val="center"/>
        <w:rPr>
          <w:rFonts w:ascii="宋体" w:hAnsi="宋体" w:cs="宋体"/>
          <w:color w:val="auto"/>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、评标标准相应的商务技术资料</w:t>
      </w:r>
    </w:p>
    <w:p w14:paraId="285DB2A5">
      <w:pPr>
        <w:snapToGrid w:val="0"/>
        <w:spacing w:line="360" w:lineRule="auto"/>
        <w:jc w:val="left"/>
        <w:rPr>
          <w:rFonts w:ascii="宋体" w:hAnsi="宋体" w:cs="宋体"/>
          <w:b/>
          <w:color w:val="auto"/>
          <w:sz w:val="24"/>
        </w:rPr>
      </w:pPr>
      <w:r>
        <w:rPr>
          <w:rFonts w:hint="eastAsia" w:ascii="宋体" w:hAnsi="宋体" w:cs="宋体"/>
          <w:b/>
          <w:color w:val="auto"/>
          <w:sz w:val="24"/>
        </w:rPr>
        <w:t>（按</w:t>
      </w:r>
      <w:r>
        <w:rPr>
          <w:rFonts w:hint="eastAsia" w:ascii="宋体" w:hAnsi="宋体" w:cs="宋体"/>
          <w:b/>
          <w:color w:val="auto"/>
          <w:sz w:val="24"/>
          <w:lang w:eastAsia="zh-CN"/>
        </w:rPr>
        <w:t>交易文件</w:t>
      </w:r>
      <w:r>
        <w:rPr>
          <w:rFonts w:hint="eastAsia" w:ascii="宋体" w:hAnsi="宋体" w:cs="宋体"/>
          <w:b/>
          <w:color w:val="auto"/>
          <w:sz w:val="24"/>
        </w:rPr>
        <w:t>第四部分评标办法前附表中“</w:t>
      </w:r>
      <w:r>
        <w:rPr>
          <w:rFonts w:hint="eastAsia" w:ascii="宋体" w:hAnsi="宋体" w:cs="宋体"/>
          <w:b/>
          <w:color w:val="auto"/>
          <w:sz w:val="24"/>
          <w:lang w:eastAsia="zh-CN"/>
        </w:rPr>
        <w:t>响应文件</w:t>
      </w:r>
      <w:r>
        <w:rPr>
          <w:rFonts w:hint="eastAsia" w:ascii="宋体" w:hAnsi="宋体" w:cs="宋体"/>
          <w:b/>
          <w:color w:val="auto"/>
          <w:sz w:val="24"/>
        </w:rPr>
        <w:t>中评标标准相应的商务技术资料目录”提供资料。）</w:t>
      </w:r>
    </w:p>
    <w:p w14:paraId="6481C103">
      <w:pPr>
        <w:jc w:val="center"/>
        <w:rPr>
          <w:rFonts w:ascii="宋体" w:hAnsi="宋体" w:cs="宋体"/>
          <w:b/>
          <w:color w:val="auto"/>
          <w:kern w:val="0"/>
          <w:sz w:val="32"/>
          <w:szCs w:val="32"/>
        </w:rPr>
      </w:pPr>
    </w:p>
    <w:p w14:paraId="4EBAB085">
      <w:pPr>
        <w:jc w:val="center"/>
        <w:rPr>
          <w:rFonts w:ascii="宋体" w:hAnsi="宋体" w:cs="宋体"/>
          <w:b/>
          <w:color w:val="auto"/>
          <w:kern w:val="0"/>
          <w:sz w:val="32"/>
          <w:szCs w:val="32"/>
        </w:rPr>
      </w:pPr>
    </w:p>
    <w:p w14:paraId="074A53B8">
      <w:pPr>
        <w:jc w:val="center"/>
        <w:rPr>
          <w:rFonts w:ascii="宋体" w:hAnsi="宋体" w:cs="宋体"/>
          <w:b/>
          <w:color w:val="auto"/>
          <w:kern w:val="0"/>
          <w:sz w:val="32"/>
          <w:szCs w:val="32"/>
        </w:rPr>
      </w:pPr>
    </w:p>
    <w:p w14:paraId="6A7EEF9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w:t>
      </w:r>
      <w:r>
        <w:rPr>
          <w:rFonts w:hint="eastAsia" w:ascii="宋体" w:hAnsi="宋体" w:cs="宋体"/>
          <w:b/>
          <w:color w:val="auto"/>
          <w:kern w:val="0"/>
          <w:sz w:val="32"/>
          <w:szCs w:val="32"/>
          <w:lang w:eastAsia="zh-CN"/>
        </w:rPr>
        <w:t>响应</w:t>
      </w:r>
      <w:r>
        <w:rPr>
          <w:rFonts w:hint="eastAsia" w:ascii="宋体" w:hAnsi="宋体" w:cs="宋体"/>
          <w:b/>
          <w:color w:val="auto"/>
          <w:kern w:val="0"/>
          <w:sz w:val="32"/>
          <w:szCs w:val="32"/>
        </w:rPr>
        <w:t>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E4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DB14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32B8D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1B52EAD">
            <w:pPr>
              <w:spacing w:line="360" w:lineRule="auto"/>
              <w:jc w:val="center"/>
              <w:rPr>
                <w:rFonts w:ascii="宋体" w:hAnsi="宋体" w:cs="宋体"/>
                <w:b/>
                <w:color w:val="auto"/>
                <w:sz w:val="24"/>
              </w:rPr>
            </w:pPr>
          </w:p>
          <w:p w14:paraId="064ABC3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845234">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5C0C7D">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EC5DF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79715C9">
            <w:pPr>
              <w:spacing w:line="360" w:lineRule="auto"/>
              <w:jc w:val="center"/>
              <w:rPr>
                <w:rFonts w:ascii="宋体" w:hAnsi="宋体" w:cs="宋体"/>
                <w:b/>
                <w:color w:val="auto"/>
                <w:sz w:val="24"/>
              </w:rPr>
            </w:pPr>
          </w:p>
          <w:p w14:paraId="7B5609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C67027F">
            <w:pPr>
              <w:spacing w:line="360" w:lineRule="auto"/>
              <w:jc w:val="center"/>
              <w:rPr>
                <w:rFonts w:ascii="宋体" w:hAnsi="宋体" w:cs="宋体"/>
                <w:b/>
                <w:color w:val="auto"/>
                <w:sz w:val="24"/>
              </w:rPr>
            </w:pPr>
          </w:p>
        </w:tc>
      </w:tr>
      <w:tr w14:paraId="322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058DE1">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CCA46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733D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598C7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9DF2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56436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657D9F">
            <w:pPr>
              <w:spacing w:line="360" w:lineRule="auto"/>
              <w:jc w:val="center"/>
              <w:rPr>
                <w:rFonts w:ascii="宋体" w:hAnsi="宋体" w:cs="宋体"/>
                <w:color w:val="auto"/>
                <w:sz w:val="24"/>
              </w:rPr>
            </w:pPr>
          </w:p>
        </w:tc>
      </w:tr>
      <w:tr w14:paraId="032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0A9B4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7CD9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9CB55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B6520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45C35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4E299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4803C7">
            <w:pPr>
              <w:spacing w:line="360" w:lineRule="auto"/>
              <w:jc w:val="center"/>
              <w:rPr>
                <w:rFonts w:ascii="宋体" w:hAnsi="宋体" w:cs="宋体"/>
                <w:color w:val="auto"/>
                <w:sz w:val="24"/>
              </w:rPr>
            </w:pPr>
          </w:p>
        </w:tc>
      </w:tr>
      <w:tr w14:paraId="4C12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64FA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DC218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30A9B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F941B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CCCAF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607DC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348826">
            <w:pPr>
              <w:spacing w:line="360" w:lineRule="auto"/>
              <w:jc w:val="center"/>
              <w:rPr>
                <w:rFonts w:ascii="宋体" w:hAnsi="宋体" w:cs="宋体"/>
                <w:color w:val="auto"/>
                <w:sz w:val="24"/>
              </w:rPr>
            </w:pPr>
          </w:p>
        </w:tc>
      </w:tr>
    </w:tbl>
    <w:p w14:paraId="72A73E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391742">
      <w:pPr>
        <w:jc w:val="center"/>
        <w:rPr>
          <w:rFonts w:ascii="宋体" w:hAnsi="宋体" w:cs="宋体"/>
          <w:b/>
          <w:color w:val="auto"/>
          <w:kern w:val="0"/>
          <w:sz w:val="32"/>
          <w:szCs w:val="32"/>
        </w:rPr>
      </w:pPr>
    </w:p>
    <w:p w14:paraId="32300625">
      <w:pPr>
        <w:jc w:val="center"/>
        <w:rPr>
          <w:rFonts w:ascii="宋体" w:hAnsi="宋体" w:cs="宋体"/>
          <w:b/>
          <w:color w:val="auto"/>
          <w:kern w:val="0"/>
          <w:sz w:val="32"/>
          <w:szCs w:val="32"/>
        </w:rPr>
      </w:pPr>
    </w:p>
    <w:p w14:paraId="3BD6F244">
      <w:pPr>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D0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F67B1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EA8F15C">
            <w:pPr>
              <w:jc w:val="center"/>
              <w:rPr>
                <w:rFonts w:ascii="宋体" w:hAnsi="宋体" w:cs="宋体"/>
                <w:b/>
                <w:bCs/>
                <w:color w:val="auto"/>
                <w:sz w:val="24"/>
              </w:rPr>
            </w:pPr>
            <w:r>
              <w:rPr>
                <w:rFonts w:hint="eastAsia" w:ascii="宋体" w:hAnsi="宋体" w:cs="宋体"/>
                <w:b/>
                <w:bCs/>
                <w:color w:val="auto"/>
                <w:sz w:val="24"/>
                <w:lang w:eastAsia="zh-CN"/>
              </w:rPr>
              <w:t>交易文件</w:t>
            </w:r>
            <w:r>
              <w:rPr>
                <w:rFonts w:hint="eastAsia" w:ascii="宋体" w:hAnsi="宋体" w:cs="宋体"/>
                <w:b/>
                <w:bCs/>
                <w:color w:val="auto"/>
                <w:sz w:val="24"/>
              </w:rPr>
              <w:t>章节及具体内容</w:t>
            </w:r>
          </w:p>
        </w:tc>
        <w:tc>
          <w:tcPr>
            <w:tcW w:w="3546" w:type="dxa"/>
          </w:tcPr>
          <w:p w14:paraId="3073DCE1">
            <w:pPr>
              <w:jc w:val="center"/>
              <w:rPr>
                <w:rFonts w:ascii="宋体" w:hAnsi="宋体" w:cs="宋体"/>
                <w:b/>
                <w:bCs/>
                <w:color w:val="auto"/>
                <w:sz w:val="24"/>
              </w:rPr>
            </w:pPr>
            <w:r>
              <w:rPr>
                <w:rFonts w:hint="eastAsia" w:ascii="宋体" w:hAnsi="宋体" w:cs="宋体"/>
                <w:b/>
                <w:bCs/>
                <w:color w:val="auto"/>
                <w:sz w:val="24"/>
                <w:lang w:eastAsia="zh-CN"/>
              </w:rPr>
              <w:t>响应文件</w:t>
            </w:r>
            <w:r>
              <w:rPr>
                <w:rFonts w:hint="eastAsia" w:ascii="宋体" w:hAnsi="宋体" w:cs="宋体"/>
                <w:b/>
                <w:bCs/>
                <w:color w:val="auto"/>
                <w:sz w:val="24"/>
              </w:rPr>
              <w:t>章节及具体内容</w:t>
            </w:r>
          </w:p>
        </w:tc>
        <w:tc>
          <w:tcPr>
            <w:tcW w:w="1276" w:type="dxa"/>
          </w:tcPr>
          <w:p w14:paraId="62C20DB2">
            <w:pPr>
              <w:jc w:val="center"/>
              <w:rPr>
                <w:rFonts w:ascii="宋体" w:hAnsi="宋体" w:cs="宋体"/>
                <w:b/>
                <w:bCs/>
                <w:color w:val="auto"/>
                <w:sz w:val="24"/>
              </w:rPr>
            </w:pPr>
            <w:r>
              <w:rPr>
                <w:rFonts w:hint="eastAsia" w:ascii="宋体" w:hAnsi="宋体" w:cs="宋体"/>
                <w:b/>
                <w:bCs/>
                <w:color w:val="auto"/>
                <w:sz w:val="24"/>
              </w:rPr>
              <w:t>偏离说明</w:t>
            </w:r>
          </w:p>
        </w:tc>
      </w:tr>
      <w:tr w14:paraId="4BCF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CF365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0C87B5C">
            <w:pPr>
              <w:jc w:val="center"/>
              <w:rPr>
                <w:rFonts w:ascii="宋体" w:hAnsi="宋体" w:cs="宋体"/>
                <w:b/>
                <w:color w:val="auto"/>
                <w:kern w:val="0"/>
                <w:sz w:val="32"/>
                <w:szCs w:val="32"/>
              </w:rPr>
            </w:pPr>
          </w:p>
        </w:tc>
        <w:tc>
          <w:tcPr>
            <w:tcW w:w="3546" w:type="dxa"/>
          </w:tcPr>
          <w:p w14:paraId="17134118">
            <w:pPr>
              <w:jc w:val="center"/>
              <w:rPr>
                <w:rFonts w:ascii="宋体" w:hAnsi="宋体" w:cs="宋体"/>
                <w:b/>
                <w:color w:val="auto"/>
                <w:kern w:val="0"/>
                <w:sz w:val="32"/>
                <w:szCs w:val="32"/>
              </w:rPr>
            </w:pPr>
          </w:p>
        </w:tc>
        <w:tc>
          <w:tcPr>
            <w:tcW w:w="1276" w:type="dxa"/>
          </w:tcPr>
          <w:p w14:paraId="537F445B">
            <w:pPr>
              <w:jc w:val="center"/>
              <w:rPr>
                <w:rFonts w:ascii="宋体" w:hAnsi="宋体" w:cs="宋体"/>
                <w:b/>
                <w:color w:val="auto"/>
                <w:kern w:val="0"/>
                <w:sz w:val="32"/>
                <w:szCs w:val="32"/>
              </w:rPr>
            </w:pPr>
          </w:p>
        </w:tc>
      </w:tr>
      <w:tr w14:paraId="73C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650A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1361574">
            <w:pPr>
              <w:jc w:val="center"/>
              <w:rPr>
                <w:rFonts w:ascii="宋体" w:hAnsi="宋体" w:cs="宋体"/>
                <w:b/>
                <w:color w:val="auto"/>
                <w:kern w:val="0"/>
                <w:sz w:val="32"/>
                <w:szCs w:val="32"/>
              </w:rPr>
            </w:pPr>
          </w:p>
        </w:tc>
        <w:tc>
          <w:tcPr>
            <w:tcW w:w="3546" w:type="dxa"/>
          </w:tcPr>
          <w:p w14:paraId="7EFFCDDC">
            <w:pPr>
              <w:jc w:val="center"/>
              <w:rPr>
                <w:rFonts w:ascii="宋体" w:hAnsi="宋体" w:cs="宋体"/>
                <w:b/>
                <w:color w:val="auto"/>
                <w:kern w:val="0"/>
                <w:sz w:val="32"/>
                <w:szCs w:val="32"/>
              </w:rPr>
            </w:pPr>
          </w:p>
        </w:tc>
        <w:tc>
          <w:tcPr>
            <w:tcW w:w="1276" w:type="dxa"/>
          </w:tcPr>
          <w:p w14:paraId="391EF328">
            <w:pPr>
              <w:jc w:val="center"/>
              <w:rPr>
                <w:rFonts w:ascii="宋体" w:hAnsi="宋体" w:cs="宋体"/>
                <w:b/>
                <w:color w:val="auto"/>
                <w:kern w:val="0"/>
                <w:sz w:val="32"/>
                <w:szCs w:val="32"/>
              </w:rPr>
            </w:pPr>
          </w:p>
        </w:tc>
      </w:tr>
      <w:tr w14:paraId="4CDE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1341F">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AA088D8">
            <w:pPr>
              <w:jc w:val="center"/>
              <w:rPr>
                <w:rFonts w:ascii="宋体" w:hAnsi="宋体" w:cs="宋体"/>
                <w:b/>
                <w:color w:val="auto"/>
                <w:kern w:val="0"/>
                <w:sz w:val="32"/>
                <w:szCs w:val="32"/>
              </w:rPr>
            </w:pPr>
          </w:p>
        </w:tc>
        <w:tc>
          <w:tcPr>
            <w:tcW w:w="3546" w:type="dxa"/>
          </w:tcPr>
          <w:p w14:paraId="6E383238">
            <w:pPr>
              <w:jc w:val="center"/>
              <w:rPr>
                <w:rFonts w:ascii="宋体" w:hAnsi="宋体" w:cs="宋体"/>
                <w:b/>
                <w:color w:val="auto"/>
                <w:kern w:val="0"/>
                <w:sz w:val="32"/>
                <w:szCs w:val="32"/>
              </w:rPr>
            </w:pPr>
          </w:p>
        </w:tc>
        <w:tc>
          <w:tcPr>
            <w:tcW w:w="1276" w:type="dxa"/>
          </w:tcPr>
          <w:p w14:paraId="2B41DF3C">
            <w:pPr>
              <w:jc w:val="center"/>
              <w:rPr>
                <w:rFonts w:ascii="宋体" w:hAnsi="宋体" w:cs="宋体"/>
                <w:b/>
                <w:color w:val="auto"/>
                <w:kern w:val="0"/>
                <w:sz w:val="32"/>
                <w:szCs w:val="32"/>
              </w:rPr>
            </w:pPr>
          </w:p>
        </w:tc>
      </w:tr>
    </w:tbl>
    <w:p w14:paraId="2C37E80B">
      <w:pPr>
        <w:jc w:val="left"/>
        <w:rPr>
          <w:rFonts w:ascii="宋体" w:hAnsi="宋体" w:cs="宋体"/>
          <w:color w:val="auto"/>
          <w:kern w:val="0"/>
          <w:sz w:val="24"/>
        </w:rPr>
      </w:pPr>
      <w:r>
        <w:rPr>
          <w:rFonts w:hint="eastAsia" w:ascii="宋体" w:hAnsi="宋体" w:cs="宋体"/>
          <w:color w:val="auto"/>
          <w:kern w:val="0"/>
          <w:sz w:val="24"/>
          <w:lang w:eastAsia="zh-CN"/>
        </w:rPr>
        <w:t>供应商</w:t>
      </w:r>
      <w:r>
        <w:rPr>
          <w:rFonts w:hint="eastAsia" w:ascii="宋体" w:hAnsi="宋体" w:cs="宋体"/>
          <w:color w:val="auto"/>
          <w:kern w:val="0"/>
          <w:sz w:val="24"/>
        </w:rPr>
        <w:t>保证：除商务技术偏离表列出的偏离外，</w:t>
      </w:r>
      <w:r>
        <w:rPr>
          <w:rFonts w:hint="eastAsia" w:ascii="宋体" w:hAnsi="宋体" w:cs="宋体"/>
          <w:color w:val="auto"/>
          <w:kern w:val="0"/>
          <w:sz w:val="24"/>
          <w:lang w:eastAsia="zh-CN"/>
        </w:rPr>
        <w:t>供应商</w:t>
      </w:r>
      <w:r>
        <w:rPr>
          <w:rFonts w:hint="eastAsia" w:ascii="宋体" w:hAnsi="宋体" w:cs="宋体"/>
          <w:color w:val="auto"/>
          <w:kern w:val="0"/>
          <w:sz w:val="24"/>
        </w:rPr>
        <w:t>响应</w:t>
      </w:r>
      <w:r>
        <w:rPr>
          <w:rFonts w:hint="eastAsia" w:ascii="宋体" w:hAnsi="宋体" w:cs="宋体"/>
          <w:color w:val="auto"/>
          <w:kern w:val="0"/>
          <w:sz w:val="24"/>
          <w:lang w:eastAsia="zh-CN"/>
        </w:rPr>
        <w:t>交易文件</w:t>
      </w:r>
      <w:r>
        <w:rPr>
          <w:rFonts w:hint="eastAsia" w:ascii="宋体" w:hAnsi="宋体" w:cs="宋体"/>
          <w:color w:val="auto"/>
          <w:kern w:val="0"/>
          <w:sz w:val="24"/>
        </w:rPr>
        <w:t>的全部要求</w:t>
      </w:r>
    </w:p>
    <w:p w14:paraId="7ADE4879">
      <w:pPr>
        <w:jc w:val="center"/>
        <w:rPr>
          <w:rFonts w:ascii="宋体" w:hAnsi="宋体" w:cs="宋体"/>
          <w:b/>
          <w:color w:val="auto"/>
          <w:kern w:val="0"/>
          <w:sz w:val="32"/>
          <w:szCs w:val="32"/>
        </w:rPr>
      </w:pPr>
    </w:p>
    <w:p w14:paraId="391481A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482B97">
      <w:pPr>
        <w:ind w:firstLine="1911" w:firstLineChars="595"/>
        <w:rPr>
          <w:rFonts w:ascii="宋体" w:hAnsi="宋体" w:cs="宋体"/>
          <w:b/>
          <w:bCs/>
          <w:color w:val="auto"/>
          <w:sz w:val="32"/>
          <w:szCs w:val="32"/>
        </w:rPr>
      </w:pPr>
    </w:p>
    <w:p w14:paraId="44CCDA55">
      <w:pPr>
        <w:ind w:firstLine="1911" w:firstLineChars="595"/>
        <w:rPr>
          <w:rFonts w:ascii="宋体" w:hAnsi="宋体" w:cs="宋体"/>
          <w:b/>
          <w:bCs/>
          <w:color w:val="auto"/>
          <w:sz w:val="32"/>
          <w:szCs w:val="32"/>
        </w:rPr>
      </w:pPr>
    </w:p>
    <w:p w14:paraId="2AE3BF34">
      <w:pPr>
        <w:ind w:firstLine="1911" w:firstLineChars="595"/>
        <w:rPr>
          <w:rFonts w:ascii="宋体" w:hAnsi="宋体" w:cs="宋体"/>
          <w:b/>
          <w:bCs/>
          <w:color w:val="auto"/>
          <w:sz w:val="32"/>
          <w:szCs w:val="32"/>
        </w:rPr>
      </w:pPr>
    </w:p>
    <w:p w14:paraId="34C34F9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56778A5">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14:paraId="35F17F14">
      <w:pPr>
        <w:snapToGrid w:val="0"/>
        <w:spacing w:line="360" w:lineRule="auto"/>
        <w:rPr>
          <w:rFonts w:ascii="宋体" w:hAnsi="宋体" w:cs="宋体"/>
          <w:color w:val="auto"/>
          <w:sz w:val="24"/>
        </w:rPr>
      </w:pPr>
    </w:p>
    <w:p w14:paraId="5DE2918C">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34E8D73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项目交易要求参加响应。在这次响应过程中和中标后，我们将严格遵守国家法律法规要求，并郑重承诺：</w:t>
      </w:r>
    </w:p>
    <w:p w14:paraId="34DE549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438DF8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27BE5D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575C36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3EF2F4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0ECABA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A43CCC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63A3B8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BC2980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7E04016">
      <w:pPr>
        <w:autoSpaceDE w:val="0"/>
        <w:autoSpaceDN w:val="0"/>
        <w:spacing w:line="360" w:lineRule="auto"/>
        <w:ind w:left="2"/>
        <w:jc w:val="left"/>
        <w:rPr>
          <w:rFonts w:ascii="宋体" w:hAnsi="宋体" w:cs="宋体"/>
          <w:color w:val="auto"/>
          <w:kern w:val="0"/>
          <w:sz w:val="24"/>
          <w:lang w:val="zh-CN"/>
        </w:rPr>
      </w:pPr>
    </w:p>
    <w:p w14:paraId="19994FDE">
      <w:pPr>
        <w:autoSpaceDE w:val="0"/>
        <w:autoSpaceDN w:val="0"/>
        <w:spacing w:line="360" w:lineRule="auto"/>
        <w:ind w:left="2"/>
        <w:jc w:val="left"/>
        <w:rPr>
          <w:rFonts w:ascii="宋体" w:hAnsi="宋体" w:cs="宋体"/>
          <w:color w:val="auto"/>
          <w:kern w:val="0"/>
          <w:sz w:val="24"/>
          <w:lang w:val="zh-CN"/>
        </w:rPr>
      </w:pPr>
    </w:p>
    <w:p w14:paraId="6E4798B6">
      <w:pPr>
        <w:autoSpaceDE w:val="0"/>
        <w:autoSpaceDN w:val="0"/>
        <w:spacing w:line="360" w:lineRule="auto"/>
        <w:ind w:left="2"/>
        <w:jc w:val="left"/>
        <w:rPr>
          <w:rFonts w:ascii="宋体" w:hAnsi="宋体" w:cs="宋体"/>
          <w:color w:val="auto"/>
          <w:kern w:val="0"/>
          <w:sz w:val="24"/>
          <w:lang w:val="zh-CN"/>
        </w:rPr>
      </w:pPr>
    </w:p>
    <w:p w14:paraId="4DCCC76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142500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F5592A7">
      <w:pPr>
        <w:spacing w:line="360" w:lineRule="auto"/>
        <w:jc w:val="center"/>
        <w:rPr>
          <w:rFonts w:ascii="宋体" w:hAnsi="宋体" w:cs="宋体"/>
          <w:b/>
          <w:bCs/>
          <w:color w:val="auto"/>
          <w:sz w:val="24"/>
        </w:rPr>
      </w:pPr>
    </w:p>
    <w:p w14:paraId="64FA42F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7E859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1D41BE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18F4D3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EEF2AA1">
      <w:pPr>
        <w:spacing w:line="360" w:lineRule="auto"/>
        <w:jc w:val="center"/>
        <w:outlineLvl w:val="0"/>
        <w:rPr>
          <w:rFonts w:ascii="宋体" w:hAnsi="宋体" w:cs="宋体"/>
          <w:b/>
          <w:color w:val="auto"/>
          <w:kern w:val="0"/>
          <w:sz w:val="36"/>
          <w:szCs w:val="36"/>
        </w:rPr>
      </w:pPr>
    </w:p>
    <w:p w14:paraId="7E8065CD">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FBBD382">
      <w:pPr>
        <w:snapToGrid w:val="0"/>
        <w:spacing w:line="360" w:lineRule="auto"/>
        <w:ind w:right="480"/>
        <w:jc w:val="center"/>
        <w:rPr>
          <w:rFonts w:ascii="宋体" w:hAnsi="宋体" w:cs="宋体"/>
          <w:b/>
          <w:color w:val="auto"/>
          <w:kern w:val="0"/>
          <w:sz w:val="32"/>
          <w:szCs w:val="32"/>
        </w:rPr>
      </w:pPr>
    </w:p>
    <w:p w14:paraId="26644DC8">
      <w:pPr>
        <w:snapToGrid w:val="0"/>
        <w:spacing w:line="360" w:lineRule="auto"/>
        <w:ind w:right="480"/>
        <w:jc w:val="center"/>
        <w:rPr>
          <w:rFonts w:ascii="宋体" w:hAnsi="宋体" w:cs="宋体"/>
          <w:b/>
          <w:color w:val="auto"/>
          <w:kern w:val="0"/>
          <w:sz w:val="32"/>
          <w:szCs w:val="32"/>
        </w:rPr>
      </w:pPr>
    </w:p>
    <w:p w14:paraId="7A5A49DB">
      <w:pPr>
        <w:snapToGrid w:val="0"/>
        <w:spacing w:line="360" w:lineRule="auto"/>
        <w:ind w:right="480"/>
        <w:jc w:val="center"/>
        <w:rPr>
          <w:rFonts w:ascii="宋体" w:hAnsi="宋体" w:cs="宋体"/>
          <w:b/>
          <w:color w:val="auto"/>
          <w:kern w:val="0"/>
          <w:sz w:val="32"/>
          <w:szCs w:val="32"/>
        </w:rPr>
      </w:pPr>
    </w:p>
    <w:p w14:paraId="1BBAA8B1">
      <w:pPr>
        <w:snapToGrid w:val="0"/>
        <w:spacing w:line="360" w:lineRule="auto"/>
        <w:ind w:right="480"/>
        <w:jc w:val="center"/>
        <w:rPr>
          <w:rFonts w:ascii="宋体" w:hAnsi="宋体" w:cs="宋体"/>
          <w:b/>
          <w:color w:val="auto"/>
          <w:kern w:val="0"/>
          <w:sz w:val="32"/>
          <w:szCs w:val="32"/>
        </w:rPr>
      </w:pPr>
    </w:p>
    <w:p w14:paraId="283D4C7F">
      <w:pPr>
        <w:snapToGrid w:val="0"/>
        <w:spacing w:line="360" w:lineRule="auto"/>
        <w:ind w:right="480"/>
        <w:jc w:val="center"/>
        <w:rPr>
          <w:rFonts w:ascii="宋体" w:hAnsi="宋体" w:cs="宋体"/>
          <w:b/>
          <w:color w:val="auto"/>
          <w:kern w:val="0"/>
          <w:sz w:val="32"/>
          <w:szCs w:val="32"/>
        </w:rPr>
      </w:pPr>
    </w:p>
    <w:p w14:paraId="6011D08F">
      <w:pPr>
        <w:snapToGrid w:val="0"/>
        <w:spacing w:line="360" w:lineRule="auto"/>
        <w:ind w:right="480"/>
        <w:jc w:val="center"/>
        <w:rPr>
          <w:rFonts w:ascii="宋体" w:hAnsi="宋体" w:cs="宋体"/>
          <w:b/>
          <w:color w:val="auto"/>
          <w:kern w:val="0"/>
          <w:sz w:val="32"/>
          <w:szCs w:val="32"/>
        </w:rPr>
      </w:pPr>
    </w:p>
    <w:p w14:paraId="1964BE67">
      <w:pPr>
        <w:snapToGrid w:val="0"/>
        <w:spacing w:line="360" w:lineRule="auto"/>
        <w:ind w:right="480"/>
        <w:jc w:val="center"/>
        <w:rPr>
          <w:rFonts w:ascii="宋体" w:hAnsi="宋体" w:cs="宋体"/>
          <w:b/>
          <w:color w:val="auto"/>
          <w:kern w:val="0"/>
          <w:sz w:val="32"/>
          <w:szCs w:val="32"/>
        </w:rPr>
      </w:pPr>
    </w:p>
    <w:p w14:paraId="56FF7D63">
      <w:pPr>
        <w:snapToGrid w:val="0"/>
        <w:spacing w:line="360" w:lineRule="auto"/>
        <w:ind w:right="480"/>
        <w:jc w:val="center"/>
        <w:rPr>
          <w:rFonts w:ascii="宋体" w:hAnsi="宋体" w:cs="宋体"/>
          <w:b/>
          <w:color w:val="auto"/>
          <w:kern w:val="0"/>
          <w:sz w:val="32"/>
          <w:szCs w:val="32"/>
        </w:rPr>
      </w:pPr>
    </w:p>
    <w:p w14:paraId="03D52D22">
      <w:pPr>
        <w:snapToGrid w:val="0"/>
        <w:spacing w:line="360" w:lineRule="auto"/>
        <w:ind w:right="480"/>
        <w:jc w:val="center"/>
        <w:rPr>
          <w:rFonts w:ascii="宋体" w:hAnsi="宋体" w:cs="宋体"/>
          <w:b/>
          <w:color w:val="auto"/>
          <w:kern w:val="0"/>
          <w:sz w:val="32"/>
          <w:szCs w:val="32"/>
        </w:rPr>
      </w:pPr>
    </w:p>
    <w:p w14:paraId="5BFD6AD4">
      <w:pPr>
        <w:snapToGrid w:val="0"/>
        <w:spacing w:line="360" w:lineRule="auto"/>
        <w:ind w:right="480"/>
        <w:jc w:val="center"/>
        <w:rPr>
          <w:rFonts w:ascii="宋体" w:hAnsi="宋体" w:cs="宋体"/>
          <w:b/>
          <w:color w:val="auto"/>
          <w:kern w:val="0"/>
          <w:sz w:val="32"/>
          <w:szCs w:val="32"/>
        </w:rPr>
      </w:pPr>
    </w:p>
    <w:p w14:paraId="1F413FF9">
      <w:pPr>
        <w:snapToGrid w:val="0"/>
        <w:spacing w:line="360" w:lineRule="auto"/>
        <w:ind w:right="480"/>
        <w:jc w:val="center"/>
        <w:rPr>
          <w:rFonts w:ascii="宋体" w:hAnsi="宋体" w:cs="宋体"/>
          <w:b/>
          <w:color w:val="auto"/>
          <w:kern w:val="0"/>
          <w:sz w:val="32"/>
          <w:szCs w:val="32"/>
        </w:rPr>
      </w:pPr>
    </w:p>
    <w:p w14:paraId="4ED29B0E">
      <w:pPr>
        <w:snapToGrid w:val="0"/>
        <w:spacing w:line="360" w:lineRule="auto"/>
        <w:ind w:right="480"/>
        <w:jc w:val="center"/>
        <w:rPr>
          <w:rFonts w:ascii="宋体" w:hAnsi="宋体" w:cs="宋体"/>
          <w:b/>
          <w:color w:val="auto"/>
          <w:kern w:val="0"/>
          <w:sz w:val="32"/>
          <w:szCs w:val="32"/>
        </w:rPr>
      </w:pPr>
    </w:p>
    <w:p w14:paraId="1FB76073">
      <w:pPr>
        <w:snapToGrid w:val="0"/>
        <w:spacing w:line="360" w:lineRule="auto"/>
        <w:ind w:right="480"/>
        <w:jc w:val="center"/>
        <w:rPr>
          <w:rFonts w:ascii="宋体" w:hAnsi="宋体" w:cs="宋体"/>
          <w:b/>
          <w:color w:val="auto"/>
          <w:kern w:val="0"/>
          <w:sz w:val="32"/>
          <w:szCs w:val="32"/>
        </w:rPr>
      </w:pPr>
    </w:p>
    <w:p w14:paraId="7DFF51F5">
      <w:pPr>
        <w:snapToGrid w:val="0"/>
        <w:spacing w:line="360" w:lineRule="auto"/>
        <w:ind w:right="480"/>
        <w:jc w:val="center"/>
        <w:rPr>
          <w:rFonts w:ascii="宋体" w:hAnsi="宋体" w:cs="宋体"/>
          <w:b/>
          <w:color w:val="auto"/>
          <w:kern w:val="0"/>
          <w:sz w:val="32"/>
          <w:szCs w:val="32"/>
        </w:rPr>
      </w:pPr>
    </w:p>
    <w:p w14:paraId="5D1FC8E5">
      <w:pPr>
        <w:snapToGrid w:val="0"/>
        <w:spacing w:line="360" w:lineRule="auto"/>
        <w:ind w:right="480"/>
        <w:jc w:val="center"/>
        <w:rPr>
          <w:rFonts w:ascii="宋体" w:hAnsi="宋体" w:cs="宋体"/>
          <w:b/>
          <w:color w:val="auto"/>
          <w:kern w:val="0"/>
          <w:sz w:val="32"/>
          <w:szCs w:val="32"/>
        </w:rPr>
      </w:pPr>
    </w:p>
    <w:p w14:paraId="48304FB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72B3FB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BC6EAF4">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1FBC19D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按你方交易文件要求，我们，本响应文件签字方，谨此向你方发出要约如下：如你方接受本响应，我方承诺按照如下开标一览表（报价表）的价格完成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【交易编号：</w:t>
      </w:r>
      <w:r>
        <w:rPr>
          <w:rFonts w:hint="eastAsia" w:ascii="宋体" w:hAnsi="宋体" w:cs="宋体"/>
          <w:color w:val="auto"/>
          <w:sz w:val="24"/>
          <w:lang w:eastAsia="zh-CN"/>
        </w:rPr>
        <w:t>（交易编号）</w:t>
      </w:r>
      <w:r>
        <w:rPr>
          <w:rFonts w:hint="eastAsia" w:ascii="宋体" w:hAnsi="宋体" w:cs="宋体"/>
          <w:color w:val="auto"/>
          <w:sz w:val="24"/>
        </w:rPr>
        <w:t>】的实施</w:t>
      </w:r>
      <w:r>
        <w:rPr>
          <w:rFonts w:hint="eastAsia" w:ascii="宋体" w:hAnsi="宋体" w:cs="宋体"/>
          <w:color w:val="auto"/>
          <w:kern w:val="0"/>
          <w:sz w:val="24"/>
          <w:lang w:val="zh-CN"/>
        </w:rPr>
        <w:t>。</w:t>
      </w:r>
    </w:p>
    <w:p w14:paraId="67177ECC">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8"/>
        <w:gridCol w:w="3040"/>
        <w:gridCol w:w="2799"/>
        <w:gridCol w:w="2327"/>
      </w:tblGrid>
      <w:tr w14:paraId="3224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70B375BE">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F68A561">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响应优惠</w:t>
            </w:r>
            <w:r>
              <w:rPr>
                <w:rFonts w:hint="eastAsia" w:ascii="宋体" w:hAnsi="宋体" w:eastAsia="宋体" w:cs="宋体"/>
                <w:color w:val="auto"/>
                <w:szCs w:val="21"/>
                <w:highlight w:val="none"/>
              </w:rPr>
              <w:t>率</w:t>
            </w:r>
          </w:p>
          <w:p w14:paraId="353DAD54">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%（含）</w:t>
            </w:r>
            <w:r>
              <w:rPr>
                <w:rFonts w:hint="eastAsia" w:ascii="宋体" w:hAnsi="宋体" w:cs="宋体"/>
                <w:color w:val="auto"/>
                <w:szCs w:val="21"/>
                <w:highlight w:val="none"/>
                <w:lang w:val="en-US" w:eastAsia="zh-CN"/>
              </w:rPr>
              <w:t>- 40</w:t>
            </w:r>
            <w:r>
              <w:rPr>
                <w:rFonts w:hint="eastAsia" w:ascii="宋体" w:hAnsi="宋体" w:eastAsia="宋体" w:cs="宋体"/>
                <w:color w:val="auto"/>
                <w:szCs w:val="21"/>
                <w:highlight w:val="none"/>
              </w:rPr>
              <w:t>%（含）</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39867A79">
            <w:pPr>
              <w:pageBreakBefore w:val="0"/>
              <w:kinsoku/>
              <w:overflowPunct/>
              <w:topLinePunct w:val="0"/>
              <w:bidi w:val="0"/>
              <w:spacing w:line="240" w:lineRule="auto"/>
              <w:ind w:left="0" w:leftChars="0" w:right="0" w:rightChars="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项目负责人</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71C2720E">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1DE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69226FA1">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杭州市萧山区数据资源管理局2025</w:t>
            </w:r>
            <w:r>
              <w:rPr>
                <w:rFonts w:hint="eastAsia" w:ascii="宋体" w:hAnsi="宋体" w:eastAsia="宋体" w:cs="宋体"/>
                <w:color w:val="auto"/>
                <w:szCs w:val="21"/>
                <w:highlight w:val="none"/>
                <w:lang w:eastAsia="zh-CN"/>
              </w:rPr>
              <w:t>年度采购类招标代理预选供应商</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1C75D4A">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noWrap w:val="0"/>
            <w:vAlign w:val="center"/>
          </w:tcPr>
          <w:p w14:paraId="51487D68">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noWrap w:val="0"/>
            <w:vAlign w:val="center"/>
          </w:tcPr>
          <w:p w14:paraId="2A9C24BB">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r>
    </w:tbl>
    <w:p w14:paraId="5738EE4A">
      <w:pPr>
        <w:pStyle w:val="15"/>
        <w:ind w:left="0" w:leftChars="0" w:firstLine="0" w:firstLineChars="0"/>
        <w:rPr>
          <w:rFonts w:hint="eastAsia" w:ascii="宋体" w:hAnsi="宋体" w:cs="宋体"/>
          <w:b/>
          <w:color w:val="auto"/>
          <w:kern w:val="0"/>
          <w:sz w:val="24"/>
          <w:lang w:val="zh-CN"/>
        </w:rPr>
      </w:pPr>
    </w:p>
    <w:p w14:paraId="4B144E4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2953F5D">
      <w:pPr>
        <w:spacing w:line="360" w:lineRule="auto"/>
        <w:ind w:left="-2" w:leftChars="-1" w:firstLine="480" w:firstLineChars="2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1、供应商需按本表格式填写，</w:t>
      </w:r>
      <w:r>
        <w:rPr>
          <w:rFonts w:hint="eastAsia" w:ascii="宋体" w:hAnsi="宋体" w:cs="宋体"/>
          <w:b w:val="0"/>
          <w:bCs w:val="0"/>
          <w:color w:val="auto"/>
          <w:kern w:val="0"/>
          <w:sz w:val="24"/>
        </w:rPr>
        <w:t>否则视为</w:t>
      </w:r>
      <w:r>
        <w:rPr>
          <w:rFonts w:hint="eastAsia" w:ascii="宋体" w:hAnsi="宋体" w:cs="宋体"/>
          <w:b w:val="0"/>
          <w:bCs w:val="0"/>
          <w:color w:val="auto"/>
          <w:sz w:val="24"/>
          <w:lang w:eastAsia="zh-CN"/>
        </w:rPr>
        <w:t>响应文件</w:t>
      </w:r>
      <w:r>
        <w:rPr>
          <w:rFonts w:hint="eastAsia" w:ascii="宋体" w:hAnsi="宋体" w:cs="宋体"/>
          <w:b w:val="0"/>
          <w:bCs w:val="0"/>
          <w:color w:val="auto"/>
          <w:sz w:val="24"/>
        </w:rPr>
        <w:t>含有</w:t>
      </w:r>
      <w:r>
        <w:rPr>
          <w:rFonts w:hint="eastAsia" w:ascii="宋体" w:hAnsi="宋体" w:cs="宋体"/>
          <w:b w:val="0"/>
          <w:bCs w:val="0"/>
          <w:color w:val="auto"/>
          <w:sz w:val="24"/>
          <w:lang w:eastAsia="zh-CN"/>
        </w:rPr>
        <w:t>交易发起人</w:t>
      </w:r>
      <w:r>
        <w:rPr>
          <w:rFonts w:hint="eastAsia" w:ascii="宋体" w:hAnsi="宋体" w:cs="宋体"/>
          <w:b w:val="0"/>
          <w:bCs w:val="0"/>
          <w:color w:val="auto"/>
          <w:sz w:val="24"/>
        </w:rPr>
        <w:t>不能接受的附加条件，</w:t>
      </w:r>
      <w:r>
        <w:rPr>
          <w:rFonts w:hint="eastAsia" w:ascii="宋体" w:hAnsi="宋体" w:cs="宋体"/>
          <w:b w:val="0"/>
          <w:bCs w:val="0"/>
          <w:color w:val="auto"/>
          <w:sz w:val="24"/>
          <w:lang w:eastAsia="zh-CN"/>
        </w:rPr>
        <w:t>响应</w:t>
      </w:r>
      <w:r>
        <w:rPr>
          <w:rFonts w:hint="eastAsia" w:ascii="宋体" w:hAnsi="宋体" w:cs="宋体"/>
          <w:b w:val="0"/>
          <w:bCs w:val="0"/>
          <w:color w:val="auto"/>
          <w:sz w:val="24"/>
        </w:rPr>
        <w:t>无效</w:t>
      </w:r>
      <w:r>
        <w:rPr>
          <w:rFonts w:hint="eastAsia" w:ascii="宋体" w:hAnsi="宋体" w:cs="宋体"/>
          <w:b w:val="0"/>
          <w:bCs w:val="0"/>
          <w:color w:val="auto"/>
          <w:kern w:val="0"/>
          <w:sz w:val="24"/>
          <w:lang w:val="zh-CN"/>
        </w:rPr>
        <w:t>；</w:t>
      </w:r>
    </w:p>
    <w:p w14:paraId="0CD5A911">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kern w:val="0"/>
          <w:sz w:val="24"/>
          <w:highlight w:val="none"/>
          <w:lang w:val="zh-CN"/>
        </w:rPr>
        <w:t>2、有关本项目实施所涉及的一切费用均计入报价。交易发起人将以合同形式有偿取得货物或服务，不接受供应商给予的赠品、回扣或者与采购无关的其他商品、服务；采购内容未包含在《开标一览表（报价表）》名称栏中，供应商不能作出合理解释的，</w:t>
      </w:r>
      <w:r>
        <w:rPr>
          <w:rFonts w:hint="eastAsia" w:ascii="宋体" w:hAnsi="宋体" w:cs="宋体"/>
          <w:b w:val="0"/>
          <w:bCs w:val="0"/>
          <w:color w:val="auto"/>
          <w:kern w:val="0"/>
          <w:sz w:val="24"/>
          <w:highlight w:val="none"/>
        </w:rPr>
        <w:t>视为</w:t>
      </w: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含有</w:t>
      </w:r>
      <w:r>
        <w:rPr>
          <w:rFonts w:hint="eastAsia" w:ascii="宋体" w:hAnsi="宋体" w:cs="宋体"/>
          <w:b w:val="0"/>
          <w:bCs w:val="0"/>
          <w:color w:val="auto"/>
          <w:sz w:val="24"/>
          <w:highlight w:val="none"/>
          <w:lang w:eastAsia="zh-CN"/>
        </w:rPr>
        <w:t>交易发起人</w:t>
      </w:r>
      <w:r>
        <w:rPr>
          <w:rFonts w:hint="eastAsia" w:ascii="宋体" w:hAnsi="宋体" w:cs="宋体"/>
          <w:b w:val="0"/>
          <w:bCs w:val="0"/>
          <w:color w:val="auto"/>
          <w:sz w:val="24"/>
          <w:highlight w:val="none"/>
        </w:rPr>
        <w:t>不能接受的附加条件的，</w:t>
      </w:r>
      <w:r>
        <w:rPr>
          <w:rFonts w:hint="eastAsia" w:ascii="宋体" w:hAnsi="宋体" w:cs="宋体"/>
          <w:b w:val="0"/>
          <w:bCs w:val="0"/>
          <w:color w:val="auto"/>
          <w:sz w:val="24"/>
          <w:highlight w:val="none"/>
          <w:lang w:eastAsia="zh-CN"/>
        </w:rPr>
        <w:t>响应</w:t>
      </w:r>
      <w:r>
        <w:rPr>
          <w:rFonts w:hint="eastAsia" w:ascii="宋体" w:hAnsi="宋体" w:cs="宋体"/>
          <w:b w:val="0"/>
          <w:bCs w:val="0"/>
          <w:color w:val="auto"/>
          <w:sz w:val="24"/>
          <w:highlight w:val="none"/>
        </w:rPr>
        <w:t>无效。</w:t>
      </w:r>
    </w:p>
    <w:p w14:paraId="48A807BD">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6159369">
      <w:pPr>
        <w:spacing w:line="360" w:lineRule="auto"/>
        <w:ind w:right="960" w:firstLine="10440" w:firstLineChars="4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供应商</w:t>
      </w:r>
      <w:r>
        <w:rPr>
          <w:rFonts w:hint="eastAsia" w:asciiTheme="minorEastAsia" w:hAnsiTheme="minorEastAsia" w:eastAsiaTheme="minorEastAsia" w:cstheme="minorEastAsia"/>
          <w:color w:val="auto"/>
          <w:sz w:val="24"/>
        </w:rPr>
        <w:t>名称（电子签章）：</w:t>
      </w:r>
    </w:p>
    <w:p w14:paraId="6596F6BE">
      <w:pPr>
        <w:spacing w:line="360" w:lineRule="auto"/>
        <w:ind w:right="48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年   月   日</w:t>
      </w:r>
    </w:p>
    <w:p w14:paraId="759F8C3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12EDFD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231DF4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1</w:t>
      </w:r>
      <w:r>
        <w:rPr>
          <w:rFonts w:hint="eastAsia" w:ascii="宋体" w:hAnsi="宋体" w:cs="宋体"/>
          <w:b/>
          <w:color w:val="auto"/>
          <w:spacing w:val="6"/>
          <w:sz w:val="32"/>
          <w:szCs w:val="32"/>
        </w:rPr>
        <w:t>：质疑函范本及制作说明</w:t>
      </w:r>
    </w:p>
    <w:p w14:paraId="485582D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8CEAF16">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17DD4D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7483E8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A2948E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A63D10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963A5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EA7C91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4F3788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C9F212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F481D">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0209D2F">
      <w:pPr>
        <w:snapToGrid w:val="0"/>
        <w:spacing w:line="360" w:lineRule="auto"/>
        <w:rPr>
          <w:rFonts w:ascii="宋体" w:hAnsi="宋体" w:cs="宋体"/>
          <w:color w:val="auto"/>
          <w:sz w:val="24"/>
          <w:u w:val="dotted"/>
        </w:rPr>
      </w:pPr>
      <w:r>
        <w:rPr>
          <w:rFonts w:hint="eastAsia" w:ascii="宋体" w:hAnsi="宋体" w:cs="宋体"/>
          <w:color w:val="auto"/>
          <w:sz w:val="24"/>
          <w:lang w:eastAsia="zh-CN"/>
        </w:rPr>
        <w:t>交易发起人</w:t>
      </w:r>
      <w:r>
        <w:rPr>
          <w:rFonts w:hint="eastAsia" w:ascii="宋体" w:hAnsi="宋体" w:cs="宋体"/>
          <w:color w:val="auto"/>
          <w:sz w:val="24"/>
        </w:rPr>
        <w:t>名称：</w:t>
      </w:r>
      <w:r>
        <w:rPr>
          <w:rFonts w:hint="eastAsia" w:ascii="宋体" w:hAnsi="宋体" w:cs="宋体"/>
          <w:color w:val="auto"/>
          <w:sz w:val="24"/>
          <w:u w:val="dotted"/>
        </w:rPr>
        <w:t xml:space="preserve">                                         </w:t>
      </w:r>
    </w:p>
    <w:p w14:paraId="02BD5B0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A15458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F1557C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AB49636">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7ED99B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8734C9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D0C7D9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E9A5B2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8210496">
      <w:pPr>
        <w:snapToGrid w:val="0"/>
        <w:spacing w:line="360" w:lineRule="auto"/>
        <w:rPr>
          <w:rFonts w:ascii="宋体" w:hAnsi="宋体" w:cs="宋体"/>
          <w:color w:val="auto"/>
          <w:sz w:val="24"/>
        </w:rPr>
      </w:pPr>
      <w:r>
        <w:rPr>
          <w:rFonts w:hint="eastAsia" w:ascii="宋体" w:hAnsi="宋体" w:cs="宋体"/>
          <w:color w:val="auto"/>
          <w:sz w:val="24"/>
        </w:rPr>
        <w:t>……</w:t>
      </w:r>
    </w:p>
    <w:p w14:paraId="38C77D7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3F0E27C">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225D0E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5C5F5F0">
      <w:pPr>
        <w:spacing w:line="360" w:lineRule="auto"/>
        <w:rPr>
          <w:rFonts w:ascii="宋体" w:hAnsi="宋体" w:cs="宋体"/>
          <w:color w:val="auto"/>
          <w:sz w:val="24"/>
        </w:rPr>
      </w:pPr>
      <w:r>
        <w:rPr>
          <w:rFonts w:hint="eastAsia" w:ascii="宋体" w:hAnsi="宋体" w:cs="宋体"/>
          <w:color w:val="auto"/>
          <w:sz w:val="24"/>
        </w:rPr>
        <w:t xml:space="preserve">日期：    </w:t>
      </w:r>
    </w:p>
    <w:p w14:paraId="6E7A66D5">
      <w:pPr>
        <w:spacing w:line="360" w:lineRule="auto"/>
        <w:jc w:val="center"/>
        <w:rPr>
          <w:rFonts w:ascii="宋体" w:hAnsi="宋体" w:cs="宋体"/>
          <w:b/>
          <w:bCs/>
          <w:color w:val="auto"/>
          <w:sz w:val="24"/>
        </w:rPr>
      </w:pPr>
    </w:p>
    <w:p w14:paraId="70A2D1C8">
      <w:pPr>
        <w:spacing w:line="360" w:lineRule="auto"/>
        <w:rPr>
          <w:rFonts w:ascii="宋体" w:hAnsi="宋体" w:cs="宋体"/>
          <w:b/>
          <w:color w:val="auto"/>
          <w:sz w:val="24"/>
        </w:rPr>
      </w:pPr>
    </w:p>
    <w:p w14:paraId="16E5829F">
      <w:pPr>
        <w:spacing w:line="360" w:lineRule="auto"/>
        <w:rPr>
          <w:rFonts w:ascii="宋体" w:hAnsi="宋体" w:cs="宋体"/>
          <w:b/>
          <w:color w:val="auto"/>
          <w:sz w:val="24"/>
        </w:rPr>
      </w:pPr>
    </w:p>
    <w:p w14:paraId="2F0B676C">
      <w:pPr>
        <w:spacing w:line="360" w:lineRule="auto"/>
        <w:rPr>
          <w:rFonts w:ascii="宋体" w:hAnsi="宋体" w:cs="宋体"/>
          <w:b/>
          <w:color w:val="auto"/>
          <w:sz w:val="24"/>
        </w:rPr>
      </w:pPr>
    </w:p>
    <w:p w14:paraId="2532C861">
      <w:pPr>
        <w:spacing w:line="360" w:lineRule="auto"/>
        <w:rPr>
          <w:rFonts w:ascii="宋体" w:hAnsi="宋体" w:cs="宋体"/>
          <w:b/>
          <w:color w:val="auto"/>
          <w:sz w:val="24"/>
        </w:rPr>
      </w:pPr>
      <w:r>
        <w:rPr>
          <w:rFonts w:hint="eastAsia" w:ascii="宋体" w:hAnsi="宋体" w:cs="宋体"/>
          <w:b/>
          <w:color w:val="auto"/>
          <w:sz w:val="24"/>
        </w:rPr>
        <w:t>质疑函制作说明：</w:t>
      </w:r>
    </w:p>
    <w:p w14:paraId="74B33D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E1CE0D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36D929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536C49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79BFAB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535A6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BF157A4">
      <w:pPr>
        <w:widowControl/>
        <w:spacing w:line="360" w:lineRule="auto"/>
        <w:ind w:firstLine="600" w:firstLineChars="200"/>
        <w:jc w:val="left"/>
        <w:rPr>
          <w:rFonts w:ascii="宋体" w:hAnsi="宋体" w:cs="宋体"/>
          <w:color w:val="auto"/>
          <w:sz w:val="30"/>
          <w:szCs w:val="30"/>
        </w:rPr>
      </w:pPr>
    </w:p>
    <w:p w14:paraId="139BC0E5">
      <w:pPr>
        <w:spacing w:line="360" w:lineRule="auto"/>
        <w:jc w:val="center"/>
        <w:rPr>
          <w:rFonts w:ascii="宋体" w:hAnsi="宋体" w:cs="宋体"/>
          <w:b/>
          <w:color w:val="auto"/>
          <w:spacing w:val="6"/>
          <w:sz w:val="32"/>
          <w:szCs w:val="32"/>
        </w:rPr>
      </w:pPr>
    </w:p>
    <w:p w14:paraId="1CEEBD5F">
      <w:pPr>
        <w:spacing w:line="360" w:lineRule="auto"/>
        <w:jc w:val="center"/>
        <w:rPr>
          <w:rFonts w:ascii="宋体" w:hAnsi="宋体" w:cs="宋体"/>
          <w:b/>
          <w:color w:val="auto"/>
          <w:spacing w:val="6"/>
          <w:sz w:val="32"/>
          <w:szCs w:val="32"/>
        </w:rPr>
      </w:pPr>
    </w:p>
    <w:p w14:paraId="64FAB8CA">
      <w:pPr>
        <w:spacing w:line="360" w:lineRule="auto"/>
        <w:jc w:val="center"/>
        <w:rPr>
          <w:rFonts w:ascii="宋体" w:hAnsi="宋体" w:cs="宋体"/>
          <w:b/>
          <w:color w:val="auto"/>
          <w:spacing w:val="6"/>
          <w:sz w:val="32"/>
          <w:szCs w:val="32"/>
        </w:rPr>
      </w:pPr>
    </w:p>
    <w:p w14:paraId="2E578390">
      <w:pPr>
        <w:spacing w:line="360" w:lineRule="auto"/>
        <w:jc w:val="center"/>
        <w:rPr>
          <w:rFonts w:ascii="宋体" w:hAnsi="宋体" w:cs="宋体"/>
          <w:b/>
          <w:color w:val="auto"/>
          <w:spacing w:val="6"/>
          <w:sz w:val="32"/>
          <w:szCs w:val="32"/>
        </w:rPr>
      </w:pPr>
    </w:p>
    <w:p w14:paraId="01D393E6">
      <w:pPr>
        <w:spacing w:line="360" w:lineRule="auto"/>
        <w:jc w:val="center"/>
        <w:rPr>
          <w:rFonts w:ascii="宋体" w:hAnsi="宋体" w:cs="宋体"/>
          <w:b/>
          <w:color w:val="auto"/>
          <w:spacing w:val="6"/>
          <w:sz w:val="32"/>
          <w:szCs w:val="32"/>
        </w:rPr>
      </w:pPr>
    </w:p>
    <w:p w14:paraId="22A8F803">
      <w:pPr>
        <w:spacing w:line="360" w:lineRule="auto"/>
        <w:jc w:val="center"/>
        <w:rPr>
          <w:rFonts w:ascii="宋体" w:hAnsi="宋体" w:cs="宋体"/>
          <w:b/>
          <w:color w:val="auto"/>
          <w:spacing w:val="6"/>
          <w:sz w:val="32"/>
          <w:szCs w:val="32"/>
        </w:rPr>
      </w:pPr>
    </w:p>
    <w:p w14:paraId="63DF7BA0">
      <w:pPr>
        <w:spacing w:line="360" w:lineRule="auto"/>
        <w:jc w:val="center"/>
        <w:rPr>
          <w:rFonts w:ascii="宋体" w:hAnsi="宋体" w:cs="宋体"/>
          <w:b/>
          <w:color w:val="auto"/>
          <w:spacing w:val="6"/>
          <w:sz w:val="32"/>
          <w:szCs w:val="32"/>
        </w:rPr>
      </w:pPr>
    </w:p>
    <w:p w14:paraId="6A56E8DB">
      <w:pPr>
        <w:spacing w:line="360" w:lineRule="auto"/>
        <w:jc w:val="center"/>
        <w:rPr>
          <w:rFonts w:ascii="宋体" w:hAnsi="宋体" w:cs="宋体"/>
          <w:b/>
          <w:color w:val="auto"/>
          <w:spacing w:val="6"/>
          <w:sz w:val="32"/>
          <w:szCs w:val="32"/>
        </w:rPr>
      </w:pPr>
    </w:p>
    <w:p w14:paraId="53AA920D">
      <w:pPr>
        <w:spacing w:line="360" w:lineRule="auto"/>
        <w:jc w:val="center"/>
        <w:rPr>
          <w:rFonts w:ascii="宋体" w:hAnsi="宋体" w:cs="宋体"/>
          <w:b/>
          <w:color w:val="auto"/>
          <w:spacing w:val="6"/>
          <w:sz w:val="32"/>
          <w:szCs w:val="32"/>
        </w:rPr>
      </w:pPr>
    </w:p>
    <w:p w14:paraId="45C3C673">
      <w:pPr>
        <w:spacing w:line="360" w:lineRule="auto"/>
        <w:jc w:val="center"/>
        <w:rPr>
          <w:rFonts w:ascii="宋体" w:hAnsi="宋体" w:cs="宋体"/>
          <w:b/>
          <w:color w:val="auto"/>
          <w:spacing w:val="6"/>
          <w:sz w:val="32"/>
          <w:szCs w:val="32"/>
        </w:rPr>
      </w:pPr>
    </w:p>
    <w:p w14:paraId="12706F50">
      <w:pPr>
        <w:spacing w:line="360" w:lineRule="auto"/>
        <w:jc w:val="center"/>
        <w:rPr>
          <w:rFonts w:ascii="宋体" w:hAnsi="宋体" w:cs="宋体"/>
          <w:b/>
          <w:color w:val="auto"/>
          <w:spacing w:val="6"/>
          <w:sz w:val="32"/>
          <w:szCs w:val="32"/>
        </w:rPr>
      </w:pPr>
    </w:p>
    <w:p w14:paraId="0BEAAF22">
      <w:pPr>
        <w:spacing w:line="360" w:lineRule="auto"/>
        <w:jc w:val="center"/>
        <w:rPr>
          <w:rFonts w:ascii="宋体" w:hAnsi="宋体" w:cs="宋体"/>
          <w:b/>
          <w:color w:val="auto"/>
          <w:spacing w:val="6"/>
          <w:sz w:val="32"/>
          <w:szCs w:val="32"/>
        </w:rPr>
      </w:pPr>
    </w:p>
    <w:p w14:paraId="60A4C366">
      <w:pPr>
        <w:spacing w:line="360" w:lineRule="auto"/>
        <w:jc w:val="left"/>
        <w:rPr>
          <w:rFonts w:ascii="宋体" w:hAnsi="宋体" w:cs="宋体"/>
          <w:b/>
          <w:color w:val="auto"/>
          <w:spacing w:val="6"/>
          <w:sz w:val="32"/>
          <w:szCs w:val="32"/>
        </w:rPr>
      </w:pPr>
    </w:p>
    <w:p w14:paraId="67452B90">
      <w:pPr>
        <w:spacing w:line="360" w:lineRule="auto"/>
        <w:jc w:val="left"/>
        <w:rPr>
          <w:rFonts w:ascii="宋体" w:hAnsi="宋体" w:cs="宋体"/>
          <w:b/>
          <w:color w:val="auto"/>
          <w:spacing w:val="6"/>
          <w:sz w:val="32"/>
          <w:szCs w:val="32"/>
        </w:rPr>
      </w:pPr>
    </w:p>
    <w:p w14:paraId="4867BF57">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380D4C6F">
      <w:pPr>
        <w:spacing w:line="360" w:lineRule="auto"/>
        <w:rPr>
          <w:rFonts w:ascii="宋体" w:hAnsi="宋体" w:cs="宋体"/>
          <w:color w:val="auto"/>
          <w:sz w:val="24"/>
          <w:u w:val="single"/>
        </w:rPr>
      </w:pPr>
    </w:p>
    <w:p w14:paraId="7D944B52">
      <w:pPr>
        <w:spacing w:line="360" w:lineRule="auto"/>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z w:val="24"/>
          <w:u w:val="single"/>
          <w:lang w:eastAsia="zh-CN"/>
        </w:rPr>
        <w:t>交易发起人</w:t>
      </w:r>
      <w:r>
        <w:rPr>
          <w:rFonts w:hint="eastAsia" w:ascii="宋体" w:hAnsi="宋体" w:cs="宋体"/>
          <w:color w:val="auto"/>
          <w:sz w:val="24"/>
          <w:u w:val="single"/>
        </w:rPr>
        <w:t>）、（</w:t>
      </w:r>
      <w:r>
        <w:rPr>
          <w:rFonts w:hint="eastAsia" w:ascii="宋体" w:hAnsi="宋体" w:cs="宋体"/>
          <w:color w:val="auto"/>
          <w:sz w:val="24"/>
          <w:u w:val="single"/>
          <w:lang w:eastAsia="zh-CN"/>
        </w:rPr>
        <w:t>代理机构</w:t>
      </w:r>
      <w:r>
        <w:rPr>
          <w:rFonts w:hint="eastAsia" w:ascii="宋体" w:hAnsi="宋体" w:cs="宋体"/>
          <w:color w:val="auto"/>
          <w:sz w:val="24"/>
          <w:u w:val="single"/>
        </w:rPr>
        <w:t>）：</w:t>
      </w:r>
    </w:p>
    <w:p w14:paraId="054FA3E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bCs/>
          <w:color w:val="auto"/>
          <w:sz w:val="24"/>
          <w:lang w:eastAsia="zh-CN"/>
        </w:rPr>
        <w:t>响应</w:t>
      </w:r>
      <w:r>
        <w:rPr>
          <w:rFonts w:hint="eastAsia" w:ascii="宋体" w:hAnsi="宋体" w:cs="宋体"/>
          <w:bCs/>
          <w:color w:val="auto"/>
          <w:sz w:val="24"/>
        </w:rPr>
        <w:t>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3F3037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D0145DD">
      <w:pPr>
        <w:spacing w:line="360" w:lineRule="auto"/>
        <w:ind w:firstLine="494"/>
        <w:rPr>
          <w:rFonts w:ascii="宋体" w:hAnsi="宋体" w:cs="宋体"/>
          <w:color w:val="auto"/>
          <w:sz w:val="24"/>
        </w:rPr>
      </w:pPr>
    </w:p>
    <w:p w14:paraId="5A9E41CD">
      <w:pPr>
        <w:spacing w:line="360" w:lineRule="auto"/>
        <w:ind w:firstLine="494"/>
        <w:rPr>
          <w:rFonts w:ascii="宋体" w:hAnsi="宋体" w:cs="宋体"/>
          <w:color w:val="auto"/>
          <w:sz w:val="24"/>
        </w:rPr>
      </w:pPr>
    </w:p>
    <w:p w14:paraId="6F748100">
      <w:pPr>
        <w:spacing w:line="360" w:lineRule="auto"/>
        <w:ind w:firstLine="494"/>
        <w:rPr>
          <w:rFonts w:ascii="宋体" w:hAnsi="宋体" w:cs="宋体"/>
          <w:color w:val="auto"/>
          <w:sz w:val="24"/>
        </w:rPr>
      </w:pPr>
    </w:p>
    <w:p w14:paraId="09621D82">
      <w:pPr>
        <w:spacing w:line="360" w:lineRule="auto"/>
        <w:ind w:firstLine="494"/>
        <w:rPr>
          <w:rFonts w:ascii="宋体" w:hAnsi="宋体" w:cs="宋体"/>
          <w:color w:val="auto"/>
          <w:sz w:val="24"/>
        </w:rPr>
      </w:pPr>
    </w:p>
    <w:p w14:paraId="22890DA9">
      <w:pPr>
        <w:spacing w:line="360" w:lineRule="auto"/>
        <w:ind w:right="480" w:firstLine="4080" w:firstLineChars="17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（法定名称章）：</w:t>
      </w:r>
    </w:p>
    <w:p w14:paraId="7070EDC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6E3617A">
      <w:pPr>
        <w:rPr>
          <w:rFonts w:ascii="宋体" w:hAnsi="宋体" w:cs="宋体"/>
          <w:color w:val="auto"/>
          <w:sz w:val="24"/>
        </w:rPr>
      </w:pPr>
      <w:r>
        <w:rPr>
          <w:rFonts w:hint="eastAsia" w:ascii="宋体" w:hAnsi="宋体" w:cs="宋体"/>
          <w:b/>
          <w:bCs/>
          <w:color w:val="auto"/>
          <w:sz w:val="24"/>
        </w:rPr>
        <w:t>附：</w:t>
      </w:r>
    </w:p>
    <w:p w14:paraId="6A4F4363">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lang w:eastAsia="zh-CN"/>
        </w:rPr>
        <w:t>供应商</w:t>
      </w:r>
      <w:r>
        <w:rPr>
          <w:rFonts w:hint="eastAsia" w:ascii="宋体" w:hAnsi="宋体" w:cs="宋体"/>
          <w:color w:val="auto"/>
          <w:sz w:val="24"/>
        </w:rPr>
        <w:t xml:space="preserve">法定名称章（印模）                </w:t>
      </w:r>
      <w:r>
        <w:rPr>
          <w:rFonts w:hint="eastAsia" w:ascii="宋体" w:hAnsi="宋体" w:cs="宋体"/>
          <w:color w:val="auto"/>
          <w:sz w:val="24"/>
          <w:lang w:eastAsia="zh-CN"/>
        </w:rPr>
        <w:t>供应商</w:t>
      </w:r>
      <w:r>
        <w:rPr>
          <w:rFonts w:hint="eastAsia" w:ascii="宋体" w:hAnsi="宋体" w:cs="宋体"/>
          <w:color w:val="auto"/>
          <w:sz w:val="24"/>
        </w:rPr>
        <w:t>“XX专用章”（印模）</w:t>
      </w:r>
    </w:p>
    <w:p w14:paraId="4B1F6DFB">
      <w:pPr>
        <w:autoSpaceDE w:val="0"/>
        <w:autoSpaceDN w:val="0"/>
        <w:jc w:val="center"/>
        <w:rPr>
          <w:rFonts w:ascii="宋体" w:hAnsi="宋体" w:cs="宋体"/>
          <w:b/>
          <w:color w:val="auto"/>
          <w:spacing w:val="6"/>
          <w:sz w:val="32"/>
          <w:szCs w:val="32"/>
        </w:rPr>
      </w:pPr>
    </w:p>
    <w:p w14:paraId="01A3F0C6">
      <w:pPr>
        <w:autoSpaceDE w:val="0"/>
        <w:autoSpaceDN w:val="0"/>
        <w:jc w:val="center"/>
        <w:rPr>
          <w:rFonts w:ascii="宋体" w:hAnsi="宋体" w:cs="宋体"/>
          <w:b/>
          <w:color w:val="auto"/>
          <w:spacing w:val="6"/>
          <w:sz w:val="32"/>
          <w:szCs w:val="32"/>
        </w:rPr>
      </w:pPr>
    </w:p>
    <w:p w14:paraId="7F553EDE">
      <w:pPr>
        <w:autoSpaceDE w:val="0"/>
        <w:autoSpaceDN w:val="0"/>
        <w:jc w:val="center"/>
        <w:rPr>
          <w:rFonts w:ascii="宋体" w:hAnsi="宋体" w:cs="宋体"/>
          <w:b/>
          <w:color w:val="auto"/>
          <w:spacing w:val="6"/>
          <w:sz w:val="32"/>
          <w:szCs w:val="32"/>
        </w:rPr>
      </w:pPr>
    </w:p>
    <w:p w14:paraId="2D44E3E0">
      <w:pPr>
        <w:autoSpaceDE w:val="0"/>
        <w:autoSpaceDN w:val="0"/>
        <w:jc w:val="center"/>
        <w:rPr>
          <w:rFonts w:ascii="宋体" w:hAnsi="宋体" w:cs="宋体"/>
          <w:b/>
          <w:color w:val="auto"/>
          <w:spacing w:val="6"/>
          <w:sz w:val="32"/>
          <w:szCs w:val="32"/>
        </w:rPr>
      </w:pPr>
    </w:p>
    <w:p w14:paraId="03D0480F">
      <w:pPr>
        <w:autoSpaceDE w:val="0"/>
        <w:autoSpaceDN w:val="0"/>
        <w:jc w:val="center"/>
        <w:rPr>
          <w:rFonts w:ascii="宋体" w:hAnsi="宋体" w:cs="宋体"/>
          <w:b/>
          <w:color w:val="auto"/>
          <w:spacing w:val="6"/>
          <w:sz w:val="32"/>
          <w:szCs w:val="32"/>
        </w:rPr>
      </w:pPr>
    </w:p>
    <w:p w14:paraId="0767C98E">
      <w:pPr>
        <w:autoSpaceDE w:val="0"/>
        <w:autoSpaceDN w:val="0"/>
        <w:jc w:val="center"/>
        <w:rPr>
          <w:rFonts w:ascii="宋体" w:hAnsi="宋体" w:cs="宋体"/>
          <w:b/>
          <w:color w:val="auto"/>
          <w:spacing w:val="6"/>
          <w:sz w:val="32"/>
          <w:szCs w:val="32"/>
        </w:rPr>
      </w:pPr>
    </w:p>
    <w:p w14:paraId="1316B86E">
      <w:pPr>
        <w:autoSpaceDE w:val="0"/>
        <w:autoSpaceDN w:val="0"/>
        <w:jc w:val="center"/>
        <w:rPr>
          <w:rFonts w:ascii="宋体" w:hAnsi="宋体" w:cs="宋体"/>
          <w:b/>
          <w:color w:val="auto"/>
          <w:spacing w:val="6"/>
          <w:sz w:val="32"/>
          <w:szCs w:val="32"/>
        </w:rPr>
      </w:pPr>
    </w:p>
    <w:p w14:paraId="37471B06">
      <w:pPr>
        <w:autoSpaceDE w:val="0"/>
        <w:autoSpaceDN w:val="0"/>
        <w:jc w:val="center"/>
        <w:rPr>
          <w:rFonts w:ascii="宋体" w:hAnsi="宋体" w:cs="宋体"/>
          <w:b/>
          <w:color w:val="auto"/>
          <w:spacing w:val="6"/>
          <w:sz w:val="32"/>
          <w:szCs w:val="32"/>
        </w:rPr>
      </w:pPr>
    </w:p>
    <w:p w14:paraId="2FFDE557">
      <w:pPr>
        <w:autoSpaceDE w:val="0"/>
        <w:autoSpaceDN w:val="0"/>
        <w:jc w:val="center"/>
        <w:rPr>
          <w:rFonts w:ascii="宋体" w:hAnsi="宋体" w:cs="宋体"/>
          <w:b/>
          <w:color w:val="auto"/>
          <w:spacing w:val="6"/>
          <w:sz w:val="32"/>
          <w:szCs w:val="32"/>
        </w:rPr>
      </w:pPr>
    </w:p>
    <w:p w14:paraId="430B1919">
      <w:pPr>
        <w:autoSpaceDE w:val="0"/>
        <w:autoSpaceDN w:val="0"/>
        <w:jc w:val="center"/>
        <w:rPr>
          <w:rFonts w:ascii="宋体" w:hAnsi="宋体" w:cs="宋体"/>
          <w:b/>
          <w:color w:val="auto"/>
          <w:spacing w:val="6"/>
          <w:sz w:val="32"/>
          <w:szCs w:val="32"/>
        </w:rPr>
      </w:pPr>
    </w:p>
    <w:p w14:paraId="16F310DF">
      <w:pPr>
        <w:autoSpaceDE w:val="0"/>
        <w:autoSpaceDN w:val="0"/>
        <w:jc w:val="center"/>
        <w:rPr>
          <w:rFonts w:ascii="宋体" w:hAnsi="宋体" w:cs="宋体"/>
          <w:b/>
          <w:color w:val="auto"/>
          <w:spacing w:val="6"/>
          <w:sz w:val="32"/>
          <w:szCs w:val="32"/>
        </w:rPr>
      </w:pPr>
    </w:p>
    <w:p w14:paraId="4AB5699A">
      <w:pPr>
        <w:autoSpaceDE w:val="0"/>
        <w:autoSpaceDN w:val="0"/>
        <w:jc w:val="center"/>
        <w:rPr>
          <w:rFonts w:ascii="宋体" w:hAnsi="宋体" w:cs="宋体"/>
          <w:b/>
          <w:color w:val="auto"/>
          <w:spacing w:val="6"/>
          <w:sz w:val="32"/>
          <w:szCs w:val="32"/>
        </w:rPr>
      </w:pPr>
    </w:p>
    <w:p w14:paraId="5B5D411E">
      <w:pPr>
        <w:autoSpaceDE w:val="0"/>
        <w:autoSpaceDN w:val="0"/>
        <w:jc w:val="center"/>
        <w:rPr>
          <w:rFonts w:ascii="宋体" w:hAnsi="宋体" w:cs="宋体"/>
          <w:b/>
          <w:color w:val="auto"/>
          <w:spacing w:val="6"/>
          <w:sz w:val="32"/>
          <w:szCs w:val="32"/>
        </w:rPr>
      </w:pPr>
    </w:p>
    <w:p w14:paraId="3F744CCE">
      <w:pPr>
        <w:autoSpaceDE w:val="0"/>
        <w:autoSpaceDN w:val="0"/>
        <w:jc w:val="center"/>
        <w:rPr>
          <w:rFonts w:ascii="宋体" w:hAnsi="宋体" w:cs="宋体"/>
          <w:b/>
          <w:color w:val="auto"/>
          <w:spacing w:val="6"/>
          <w:sz w:val="32"/>
          <w:szCs w:val="32"/>
        </w:rPr>
      </w:pPr>
    </w:p>
    <w:p w14:paraId="2773EAEE">
      <w:pPr>
        <w:spacing w:line="360" w:lineRule="auto"/>
        <w:rPr>
          <w:rFonts w:cs="仿宋_GB2312"/>
          <w:b/>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0000500000000000000"/>
    <w:charset w:val="86"/>
    <w:family w:val="swiss"/>
    <w:pitch w:val="default"/>
    <w:sig w:usb0="A0000287" w:usb1="180F1C13" w:usb2="00000016" w:usb3="00000000" w:csb0="600401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C5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8FD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CF31">
    <w:pPr>
      <w:pStyle w:val="39"/>
      <w:framePr w:wrap="around" w:vAnchor="text" w:hAnchor="margin" w:xAlign="right" w:y="1"/>
      <w:rPr>
        <w:rStyle w:val="72"/>
      </w:rPr>
    </w:pPr>
    <w:r>
      <w:fldChar w:fldCharType="begin"/>
    </w:r>
    <w:r>
      <w:rPr>
        <w:rStyle w:val="72"/>
      </w:rPr>
      <w:instrText xml:space="preserve">PAGE  </w:instrText>
    </w:r>
    <w:r>
      <w:fldChar w:fldCharType="end"/>
    </w:r>
  </w:p>
  <w:p w14:paraId="784A8C6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661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131845147"/>
    <w:bookmarkStart w:id="409" w:name="_Toc91899912"/>
    <w:bookmarkStart w:id="410" w:name="_Toc164085800"/>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F002">
    <w:pPr>
      <w:pStyle w:val="39"/>
      <w:framePr w:wrap="around" w:vAnchor="text" w:hAnchor="margin" w:xAlign="right" w:y="1"/>
      <w:rPr>
        <w:rStyle w:val="72"/>
      </w:rPr>
    </w:pPr>
    <w:r>
      <w:fldChar w:fldCharType="begin"/>
    </w:r>
    <w:r>
      <w:rPr>
        <w:rStyle w:val="72"/>
      </w:rPr>
      <w:instrText xml:space="preserve">PAGE  </w:instrText>
    </w:r>
    <w:r>
      <w:fldChar w:fldCharType="end"/>
    </w:r>
  </w:p>
  <w:p w14:paraId="239A9BC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A6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C7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9D16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C6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5134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BE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446E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47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60A8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2B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669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45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4232D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4ACF">
    <w:pPr>
      <w:pStyle w:val="40"/>
      <w:pBdr>
        <w:bottom w:val="none" w:color="auto" w:sz="0" w:space="4"/>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A6D9">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E3C5">
    <w:pPr>
      <w:pStyle w:val="40"/>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F017">
    <w:pPr>
      <w:pStyle w:val="40"/>
      <w:rPr>
        <w:rFonts w:ascii="仿宋_GB2312" w:eastAsia="仿宋_GB2312"/>
        <w:b/>
        <w:i/>
        <w:u w:val="single"/>
      </w:rPr>
    </w:pPr>
    <w:r>
      <w:t></w:t>
    </w:r>
    <w:r>
      <w:rPr>
        <w:rFonts w:hint="eastAsia"/>
      </w:rPr>
      <w:t xml:space="preserve">                                                  </w:t>
    </w:r>
    <w:r>
      <w:t xml:space="preserve">          </w:t>
    </w:r>
  </w:p>
  <w:p w14:paraId="4DB7A6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62F4">
    <w:pPr>
      <w:pStyle w:val="40"/>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524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F429">
    <w:pPr>
      <w:pStyle w:val="40"/>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D23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7EF9">
    <w:pPr>
      <w:pStyle w:val="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ED78">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E0EC"/>
    <w:multiLevelType w:val="singleLevel"/>
    <w:tmpl w:val="F261E0EC"/>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N2JjYmZiYzEzY2IwMWMyNWY5Y2FkZGJiMGU0M2EifQ=="/>
    <w:docVar w:name="KSO_WPS_MARK_KEY" w:val="edc15236-9e4c-41e1-8fc9-2c891b08eec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98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37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CDB"/>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E1"/>
    <w:rsid w:val="001B3DCD"/>
    <w:rsid w:val="001B45B9"/>
    <w:rsid w:val="001B46B2"/>
    <w:rsid w:val="001B4725"/>
    <w:rsid w:val="001B48B2"/>
    <w:rsid w:val="001B49DA"/>
    <w:rsid w:val="001B4CA8"/>
    <w:rsid w:val="001B533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6C"/>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2D"/>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436"/>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8F"/>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B3D"/>
    <w:rsid w:val="0034257E"/>
    <w:rsid w:val="003429A1"/>
    <w:rsid w:val="003429FC"/>
    <w:rsid w:val="00343079"/>
    <w:rsid w:val="00343127"/>
    <w:rsid w:val="00343320"/>
    <w:rsid w:val="00343404"/>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39"/>
    <w:rsid w:val="00375850"/>
    <w:rsid w:val="0037632F"/>
    <w:rsid w:val="003767ED"/>
    <w:rsid w:val="00377B26"/>
    <w:rsid w:val="00381014"/>
    <w:rsid w:val="00381604"/>
    <w:rsid w:val="00381C68"/>
    <w:rsid w:val="00381F60"/>
    <w:rsid w:val="00383204"/>
    <w:rsid w:val="00383AB0"/>
    <w:rsid w:val="00383D3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5DB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6D"/>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BBC"/>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9F"/>
    <w:rsid w:val="00442C12"/>
    <w:rsid w:val="004434DF"/>
    <w:rsid w:val="0044354B"/>
    <w:rsid w:val="0044493E"/>
    <w:rsid w:val="00444A1F"/>
    <w:rsid w:val="00444FC6"/>
    <w:rsid w:val="00445874"/>
    <w:rsid w:val="00445C38"/>
    <w:rsid w:val="0044606D"/>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7F"/>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947"/>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0A6"/>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7F1"/>
    <w:rsid w:val="00581AA8"/>
    <w:rsid w:val="00581D39"/>
    <w:rsid w:val="005827A7"/>
    <w:rsid w:val="005839D2"/>
    <w:rsid w:val="00583A4E"/>
    <w:rsid w:val="00583D43"/>
    <w:rsid w:val="005846C3"/>
    <w:rsid w:val="00584F04"/>
    <w:rsid w:val="0058544C"/>
    <w:rsid w:val="00585623"/>
    <w:rsid w:val="005857F7"/>
    <w:rsid w:val="005865E9"/>
    <w:rsid w:val="005868FD"/>
    <w:rsid w:val="00587D7B"/>
    <w:rsid w:val="005904DB"/>
    <w:rsid w:val="005905ED"/>
    <w:rsid w:val="00590D11"/>
    <w:rsid w:val="0059112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B3"/>
    <w:rsid w:val="005D01C3"/>
    <w:rsid w:val="005D05FF"/>
    <w:rsid w:val="005D0FB4"/>
    <w:rsid w:val="005D1176"/>
    <w:rsid w:val="005D1747"/>
    <w:rsid w:val="005D266D"/>
    <w:rsid w:val="005D306D"/>
    <w:rsid w:val="005D3327"/>
    <w:rsid w:val="005D4854"/>
    <w:rsid w:val="005D5BCF"/>
    <w:rsid w:val="005D65BF"/>
    <w:rsid w:val="005D6D84"/>
    <w:rsid w:val="005D70A1"/>
    <w:rsid w:val="005D7584"/>
    <w:rsid w:val="005D775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878"/>
    <w:rsid w:val="00623A5E"/>
    <w:rsid w:val="006241E9"/>
    <w:rsid w:val="00625008"/>
    <w:rsid w:val="0062548B"/>
    <w:rsid w:val="006262E9"/>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6F61"/>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55"/>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09"/>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6B"/>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C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6F3F"/>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C4"/>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FA"/>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9B"/>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73"/>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B5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F8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492"/>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C6A"/>
    <w:rsid w:val="008D5ED9"/>
    <w:rsid w:val="008D65BE"/>
    <w:rsid w:val="008D7247"/>
    <w:rsid w:val="008D7567"/>
    <w:rsid w:val="008E0EE4"/>
    <w:rsid w:val="008E12BE"/>
    <w:rsid w:val="008E13FD"/>
    <w:rsid w:val="008E1ACC"/>
    <w:rsid w:val="008E1C24"/>
    <w:rsid w:val="008E2626"/>
    <w:rsid w:val="008E27A9"/>
    <w:rsid w:val="008E323C"/>
    <w:rsid w:val="008E32E0"/>
    <w:rsid w:val="008E35A6"/>
    <w:rsid w:val="008E36D9"/>
    <w:rsid w:val="008E3A5C"/>
    <w:rsid w:val="008E3A9A"/>
    <w:rsid w:val="008E429E"/>
    <w:rsid w:val="008E58A3"/>
    <w:rsid w:val="008E5938"/>
    <w:rsid w:val="008E599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E16"/>
    <w:rsid w:val="00936EA5"/>
    <w:rsid w:val="00937114"/>
    <w:rsid w:val="0094015D"/>
    <w:rsid w:val="00940916"/>
    <w:rsid w:val="009412B7"/>
    <w:rsid w:val="00941B13"/>
    <w:rsid w:val="0094215C"/>
    <w:rsid w:val="00942A27"/>
    <w:rsid w:val="00942F8E"/>
    <w:rsid w:val="00943543"/>
    <w:rsid w:val="0094403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EC6"/>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270"/>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A3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451"/>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BA1"/>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3E1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8B1"/>
    <w:rsid w:val="00A53785"/>
    <w:rsid w:val="00A53D28"/>
    <w:rsid w:val="00A5468F"/>
    <w:rsid w:val="00A54909"/>
    <w:rsid w:val="00A54DC0"/>
    <w:rsid w:val="00A550C9"/>
    <w:rsid w:val="00A55228"/>
    <w:rsid w:val="00A55410"/>
    <w:rsid w:val="00A55A04"/>
    <w:rsid w:val="00A564DE"/>
    <w:rsid w:val="00A56A15"/>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EA"/>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3CC"/>
    <w:rsid w:val="00A77828"/>
    <w:rsid w:val="00A77BAA"/>
    <w:rsid w:val="00A800F9"/>
    <w:rsid w:val="00A803A6"/>
    <w:rsid w:val="00A8073D"/>
    <w:rsid w:val="00A80D02"/>
    <w:rsid w:val="00A815FB"/>
    <w:rsid w:val="00A81AEB"/>
    <w:rsid w:val="00A82D32"/>
    <w:rsid w:val="00A82EAE"/>
    <w:rsid w:val="00A82FC7"/>
    <w:rsid w:val="00A83D8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84"/>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5F0"/>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F94"/>
    <w:rsid w:val="00AE315E"/>
    <w:rsid w:val="00AE319F"/>
    <w:rsid w:val="00AE31D9"/>
    <w:rsid w:val="00AE3CF0"/>
    <w:rsid w:val="00AE4546"/>
    <w:rsid w:val="00AE6575"/>
    <w:rsid w:val="00AE71EE"/>
    <w:rsid w:val="00AF03CF"/>
    <w:rsid w:val="00AF0A0A"/>
    <w:rsid w:val="00AF14FC"/>
    <w:rsid w:val="00AF1ED2"/>
    <w:rsid w:val="00AF1F4E"/>
    <w:rsid w:val="00AF207F"/>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F15"/>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0C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26"/>
    <w:rsid w:val="00B66C7A"/>
    <w:rsid w:val="00B672EA"/>
    <w:rsid w:val="00B6747B"/>
    <w:rsid w:val="00B70200"/>
    <w:rsid w:val="00B702D7"/>
    <w:rsid w:val="00B70389"/>
    <w:rsid w:val="00B70E01"/>
    <w:rsid w:val="00B718FA"/>
    <w:rsid w:val="00B72A0B"/>
    <w:rsid w:val="00B72CF0"/>
    <w:rsid w:val="00B7380E"/>
    <w:rsid w:val="00B740F6"/>
    <w:rsid w:val="00B74278"/>
    <w:rsid w:val="00B74615"/>
    <w:rsid w:val="00B74789"/>
    <w:rsid w:val="00B74857"/>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6EF"/>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29"/>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3"/>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94B"/>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A6"/>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E10"/>
    <w:rsid w:val="00CD70DB"/>
    <w:rsid w:val="00CD7544"/>
    <w:rsid w:val="00CD78D4"/>
    <w:rsid w:val="00CE0697"/>
    <w:rsid w:val="00CE14CB"/>
    <w:rsid w:val="00CE26A5"/>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4C"/>
    <w:rsid w:val="00D25676"/>
    <w:rsid w:val="00D2579F"/>
    <w:rsid w:val="00D2580E"/>
    <w:rsid w:val="00D265A7"/>
    <w:rsid w:val="00D2690C"/>
    <w:rsid w:val="00D26F8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EF9"/>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D05"/>
    <w:rsid w:val="00E44B7D"/>
    <w:rsid w:val="00E45A2C"/>
    <w:rsid w:val="00E46A6B"/>
    <w:rsid w:val="00E46A9C"/>
    <w:rsid w:val="00E47DB1"/>
    <w:rsid w:val="00E50BDD"/>
    <w:rsid w:val="00E510CF"/>
    <w:rsid w:val="00E513D7"/>
    <w:rsid w:val="00E5182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6BE"/>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58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94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CF5"/>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A2B"/>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E9B"/>
    <w:rsid w:val="00FC1269"/>
    <w:rsid w:val="00FC22D0"/>
    <w:rsid w:val="00FC38D4"/>
    <w:rsid w:val="00FC391E"/>
    <w:rsid w:val="00FC39B3"/>
    <w:rsid w:val="00FC3BB7"/>
    <w:rsid w:val="00FC4345"/>
    <w:rsid w:val="00FC444A"/>
    <w:rsid w:val="00FC453D"/>
    <w:rsid w:val="00FC4A89"/>
    <w:rsid w:val="00FC5856"/>
    <w:rsid w:val="00FC608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CDC"/>
    <w:rsid w:val="00FD54A8"/>
    <w:rsid w:val="00FD5573"/>
    <w:rsid w:val="00FD5AE4"/>
    <w:rsid w:val="00FD5F25"/>
    <w:rsid w:val="00FD60BE"/>
    <w:rsid w:val="00FD6894"/>
    <w:rsid w:val="00FD6AF0"/>
    <w:rsid w:val="00FD704D"/>
    <w:rsid w:val="00FD74EF"/>
    <w:rsid w:val="00FD79B8"/>
    <w:rsid w:val="00FD79F6"/>
    <w:rsid w:val="00FE033F"/>
    <w:rsid w:val="00FE07A8"/>
    <w:rsid w:val="00FE0A15"/>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7B273F"/>
    <w:rsid w:val="019F7441"/>
    <w:rsid w:val="01B37585"/>
    <w:rsid w:val="01D55165"/>
    <w:rsid w:val="01DF6BF8"/>
    <w:rsid w:val="01EC2C57"/>
    <w:rsid w:val="025F0711"/>
    <w:rsid w:val="02674F7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966074"/>
    <w:rsid w:val="05A16594"/>
    <w:rsid w:val="05A7762D"/>
    <w:rsid w:val="060E5941"/>
    <w:rsid w:val="06110FAF"/>
    <w:rsid w:val="06177C05"/>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F3D79"/>
    <w:rsid w:val="0AA374A5"/>
    <w:rsid w:val="0AAB7649"/>
    <w:rsid w:val="0ABC5606"/>
    <w:rsid w:val="0B27547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9EA1142"/>
    <w:rsid w:val="1A071A03"/>
    <w:rsid w:val="1A1F16AE"/>
    <w:rsid w:val="1A3B5C77"/>
    <w:rsid w:val="1A4728D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CC2B4E"/>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7A162F"/>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B23D9"/>
    <w:rsid w:val="27907362"/>
    <w:rsid w:val="28333E1D"/>
    <w:rsid w:val="28454BD6"/>
    <w:rsid w:val="28455253"/>
    <w:rsid w:val="28551971"/>
    <w:rsid w:val="285B1C53"/>
    <w:rsid w:val="28633CCD"/>
    <w:rsid w:val="289F7086"/>
    <w:rsid w:val="28C32028"/>
    <w:rsid w:val="28C6215E"/>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64825"/>
    <w:rsid w:val="2F946CCB"/>
    <w:rsid w:val="2FD25781"/>
    <w:rsid w:val="2FDC745C"/>
    <w:rsid w:val="2FFD7934"/>
    <w:rsid w:val="30733ACD"/>
    <w:rsid w:val="308C3862"/>
    <w:rsid w:val="309379D8"/>
    <w:rsid w:val="30A270F7"/>
    <w:rsid w:val="30DF1478"/>
    <w:rsid w:val="30EC586F"/>
    <w:rsid w:val="314550B7"/>
    <w:rsid w:val="319C6071"/>
    <w:rsid w:val="31AC537E"/>
    <w:rsid w:val="31E16592"/>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75A43"/>
    <w:rsid w:val="38BC0149"/>
    <w:rsid w:val="38D87D1C"/>
    <w:rsid w:val="38DA1863"/>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1473F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3FBB420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4B7A6C"/>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B7453"/>
    <w:rsid w:val="4809698F"/>
    <w:rsid w:val="4811697D"/>
    <w:rsid w:val="4850203D"/>
    <w:rsid w:val="487A3E25"/>
    <w:rsid w:val="487A6D29"/>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B6C97"/>
    <w:rsid w:val="4AB82D0F"/>
    <w:rsid w:val="4AEB7664"/>
    <w:rsid w:val="4AFD7C19"/>
    <w:rsid w:val="4B0567D1"/>
    <w:rsid w:val="4B236AAE"/>
    <w:rsid w:val="4B363761"/>
    <w:rsid w:val="4B707271"/>
    <w:rsid w:val="4B9739F7"/>
    <w:rsid w:val="4BEE2503"/>
    <w:rsid w:val="4C245A30"/>
    <w:rsid w:val="4CB6685F"/>
    <w:rsid w:val="4CC367FE"/>
    <w:rsid w:val="4CE126CD"/>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A6FE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32C6A"/>
    <w:rsid w:val="57032A2C"/>
    <w:rsid w:val="570F5219"/>
    <w:rsid w:val="57200A4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97B2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8F736A"/>
    <w:rsid w:val="62F40B65"/>
    <w:rsid w:val="62FC2CFE"/>
    <w:rsid w:val="63024505"/>
    <w:rsid w:val="631A0BAE"/>
    <w:rsid w:val="6321275B"/>
    <w:rsid w:val="634D51A7"/>
    <w:rsid w:val="635600A5"/>
    <w:rsid w:val="635B1DB5"/>
    <w:rsid w:val="63711FED"/>
    <w:rsid w:val="6374143E"/>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F6951"/>
    <w:rsid w:val="67011F07"/>
    <w:rsid w:val="672F3F24"/>
    <w:rsid w:val="673E055F"/>
    <w:rsid w:val="67551CE3"/>
    <w:rsid w:val="67A22552"/>
    <w:rsid w:val="67B22DCC"/>
    <w:rsid w:val="67BE71AA"/>
    <w:rsid w:val="67D90273"/>
    <w:rsid w:val="67DE5875"/>
    <w:rsid w:val="67E55852"/>
    <w:rsid w:val="67EB1AB4"/>
    <w:rsid w:val="67FA1285"/>
    <w:rsid w:val="68364B2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3A56CE"/>
    <w:rsid w:val="6D4772EC"/>
    <w:rsid w:val="6D8E6033"/>
    <w:rsid w:val="6D9078AF"/>
    <w:rsid w:val="6DAA3FEF"/>
    <w:rsid w:val="6DC0172B"/>
    <w:rsid w:val="6DCB690C"/>
    <w:rsid w:val="6DD41A5B"/>
    <w:rsid w:val="6DF43C2E"/>
    <w:rsid w:val="6DF51CA3"/>
    <w:rsid w:val="6E2461D9"/>
    <w:rsid w:val="6E8335BD"/>
    <w:rsid w:val="6E8E12EF"/>
    <w:rsid w:val="6E972936"/>
    <w:rsid w:val="6ED446C5"/>
    <w:rsid w:val="6F2A7D94"/>
    <w:rsid w:val="6F8331F1"/>
    <w:rsid w:val="6FA900DD"/>
    <w:rsid w:val="6FAE1A09"/>
    <w:rsid w:val="6FD75BF8"/>
    <w:rsid w:val="70051CCE"/>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0D491D"/>
    <w:rsid w:val="752E6DCD"/>
    <w:rsid w:val="7551380D"/>
    <w:rsid w:val="75600BE5"/>
    <w:rsid w:val="7564475C"/>
    <w:rsid w:val="757D004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342C3"/>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2594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72653"/>
    <w:rsid w:val="7BEE0103"/>
    <w:rsid w:val="7C0A0FE4"/>
    <w:rsid w:val="7C254906"/>
    <w:rsid w:val="7C4A6411"/>
    <w:rsid w:val="7C590818"/>
    <w:rsid w:val="7C7C10F6"/>
    <w:rsid w:val="7C853BEA"/>
    <w:rsid w:val="7C881368"/>
    <w:rsid w:val="7CE27788"/>
    <w:rsid w:val="7D0C32F1"/>
    <w:rsid w:val="7D0F408D"/>
    <w:rsid w:val="7D491C6C"/>
    <w:rsid w:val="7D5429C0"/>
    <w:rsid w:val="7D6E6D43"/>
    <w:rsid w:val="7D8C645B"/>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99"/>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0"/>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character" w:customStyle="1" w:styleId="963">
    <w:name w:val="未处理的提及2"/>
    <w:basedOn w:val="69"/>
    <w:autoRedefine/>
    <w:semiHidden/>
    <w:unhideWhenUsed/>
    <w:qFormat/>
    <w:uiPriority w:val="99"/>
    <w:rPr>
      <w:color w:val="605E5C"/>
      <w:shd w:val="clear" w:color="auto" w:fill="E1DFDD"/>
    </w:rPr>
  </w:style>
  <w:style w:type="paragraph" w:customStyle="1" w:styleId="96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965">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39</Pages>
  <Words>2756</Words>
  <Characters>3092</Characters>
  <Lines>284</Lines>
  <Paragraphs>80</Paragraphs>
  <TotalTime>1</TotalTime>
  <ScaleCrop>false</ScaleCrop>
  <LinksUpToDate>false</LinksUpToDate>
  <CharactersWithSpaces>3247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2023-11-18T06:34:00Z</dcterms:created>
  <dc:creator>玥</dc:creator>
  <cp:lastModifiedBy>山夆</cp:lastModifiedBy>
  <cp:lastPrinted>2024-05-20T03:10:00Z</cp:lastPrinted>
  <dcterms:modified xsi:type="dcterms:W3CDTF">2025-07-04T05:19:19Z</dcterms:modified>
  <dc:title>杭州市市民卡扩大发卡工程</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eyJoZGlkIjoiZTg5OGYyMjcwNmRmZWQxNmE0YjExMzU4ODU5NzMwMzQiLCJ1c2VySWQiOiI0NTI4MzE1NTEifQ==</vt:lpwstr>
  </property>
</Properties>
</file>