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3F715">
      <w:pPr>
        <w:shd w:val="clear"/>
        <w:spacing w:line="360" w:lineRule="auto"/>
        <w:jc w:val="center"/>
        <w:rPr>
          <w:rFonts w:cs="仿宋_GB2312" w:asciiTheme="majorEastAsia" w:hAnsiTheme="majorEastAsia" w:eastAsiaTheme="majorEastAsia"/>
          <w:color w:val="auto"/>
          <w:sz w:val="48"/>
          <w:szCs w:val="48"/>
          <w:highlight w:val="none"/>
        </w:rPr>
      </w:pPr>
    </w:p>
    <w:p w14:paraId="2255DCA9">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rPr>
        <w:t>奉化区江口街道园中村改造安置房建设工程（二期）配套幼儿园户外改造项目</w:t>
      </w:r>
    </w:p>
    <w:p w14:paraId="0689A6BD">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rPr>
        <w:t>公开招标采购文件</w:t>
      </w:r>
    </w:p>
    <w:p w14:paraId="4AE70130">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（电子招投标）</w:t>
      </w:r>
    </w:p>
    <w:p w14:paraId="47C3F0B3">
      <w:pPr>
        <w:shd w:val="clear"/>
        <w:snapToGrid w:val="0"/>
        <w:spacing w:line="360" w:lineRule="auto"/>
        <w:jc w:val="center"/>
        <w:rPr>
          <w:rFonts w:cs="仿宋_GB2312" w:asciiTheme="majorEastAsia" w:hAnsiTheme="majorEastAsia" w:eastAsiaTheme="majorEastAsia"/>
          <w:color w:val="auto"/>
          <w:sz w:val="30"/>
          <w:szCs w:val="30"/>
          <w:highlight w:val="none"/>
        </w:rPr>
      </w:pPr>
      <w:r>
        <w:rPr>
          <w:rFonts w:hint="eastAsia" w:cs="仿宋_GB2312" w:asciiTheme="majorEastAsia" w:hAnsiTheme="majorEastAsia" w:eastAsiaTheme="majorEastAsia"/>
          <w:color w:val="auto"/>
          <w:sz w:val="30"/>
          <w:szCs w:val="30"/>
          <w:highlight w:val="none"/>
        </w:rPr>
        <w:t>项目编号</w:t>
      </w:r>
      <w:r>
        <w:rPr>
          <w:rFonts w:cs="仿宋_GB2312" w:asciiTheme="majorEastAsia" w:hAnsiTheme="majorEastAsia" w:eastAsiaTheme="majorEastAsia"/>
          <w:color w:val="auto"/>
          <w:sz w:val="30"/>
          <w:szCs w:val="30"/>
          <w:highlight w:val="none"/>
        </w:rPr>
        <w:t>:</w:t>
      </w:r>
      <w:r>
        <w:rPr>
          <w:rFonts w:asciiTheme="majorEastAsia" w:hAnsiTheme="majorEastAsia" w:eastAsiaTheme="majorEastAsia"/>
          <w:color w:val="auto"/>
          <w:highlight w:val="none"/>
        </w:rPr>
        <w:t xml:space="preserve"> </w:t>
      </w:r>
      <w:r>
        <w:rPr>
          <w:rFonts w:cs="仿宋_GB2312" w:asciiTheme="majorEastAsia" w:hAnsiTheme="majorEastAsia" w:eastAsiaTheme="majorEastAsia"/>
          <w:color w:val="auto"/>
          <w:sz w:val="30"/>
          <w:szCs w:val="30"/>
          <w:highlight w:val="none"/>
        </w:rPr>
        <w:t>FHGQZB(202</w:t>
      </w:r>
      <w:r>
        <w:rPr>
          <w:rFonts w:hint="eastAsia" w:cs="仿宋_GB2312" w:asciiTheme="majorEastAsia" w:hAnsiTheme="majorEastAsia" w:eastAsiaTheme="majorEastAsia"/>
          <w:color w:val="auto"/>
          <w:sz w:val="30"/>
          <w:szCs w:val="30"/>
          <w:highlight w:val="none"/>
        </w:rPr>
        <w:t>5</w:t>
      </w:r>
      <w:r>
        <w:rPr>
          <w:rFonts w:cs="仿宋_GB2312" w:asciiTheme="majorEastAsia" w:hAnsiTheme="majorEastAsia" w:eastAsiaTheme="majorEastAsia"/>
          <w:color w:val="auto"/>
          <w:sz w:val="30"/>
          <w:szCs w:val="30"/>
          <w:highlight w:val="none"/>
        </w:rPr>
        <w:t>)</w:t>
      </w:r>
      <w:r>
        <w:rPr>
          <w:rFonts w:hint="eastAsia" w:cs="仿宋_GB2312" w:asciiTheme="majorEastAsia" w:hAnsiTheme="majorEastAsia" w:eastAsiaTheme="majorEastAsia"/>
          <w:color w:val="auto"/>
          <w:sz w:val="30"/>
          <w:szCs w:val="30"/>
          <w:highlight w:val="none"/>
          <w:lang w:val="en-US" w:eastAsia="zh-CN"/>
        </w:rPr>
        <w:t>193</w:t>
      </w:r>
      <w:r>
        <w:rPr>
          <w:rFonts w:cs="仿宋_GB2312" w:asciiTheme="majorEastAsia" w:hAnsiTheme="majorEastAsia" w:eastAsiaTheme="majorEastAsia"/>
          <w:color w:val="auto"/>
          <w:sz w:val="30"/>
          <w:szCs w:val="30"/>
          <w:highlight w:val="none"/>
        </w:rPr>
        <w:t>D</w:t>
      </w:r>
    </w:p>
    <w:p w14:paraId="4A943A0E">
      <w:pPr>
        <w:shd w:val="clear"/>
        <w:spacing w:line="360" w:lineRule="auto"/>
        <w:rPr>
          <w:rFonts w:cs="仿宋_GB2312" w:asciiTheme="majorEastAsia" w:hAnsiTheme="majorEastAsia" w:eastAsiaTheme="majorEastAsia"/>
          <w:color w:val="auto"/>
          <w:sz w:val="28"/>
          <w:szCs w:val="20"/>
          <w:highlight w:val="none"/>
        </w:rPr>
      </w:pPr>
    </w:p>
    <w:p w14:paraId="2F53364A">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w:t>
      </w:r>
    </w:p>
    <w:p w14:paraId="2EDE41AC">
      <w:pPr>
        <w:shd w:val="clear"/>
        <w:spacing w:line="360" w:lineRule="auto"/>
        <w:jc w:val="center"/>
        <w:rPr>
          <w:rFonts w:cs="仿宋_GB2312" w:asciiTheme="majorEastAsia" w:hAnsiTheme="majorEastAsia" w:eastAsiaTheme="majorEastAsia"/>
          <w:b/>
          <w:color w:val="auto"/>
          <w:sz w:val="44"/>
          <w:szCs w:val="44"/>
          <w:highlight w:val="none"/>
        </w:rPr>
      </w:pPr>
    </w:p>
    <w:p w14:paraId="66697CEC">
      <w:pPr>
        <w:pStyle w:val="25"/>
        <w:shd w:val="clear"/>
        <w:ind w:firstLine="560"/>
        <w:rPr>
          <w:color w:val="auto"/>
          <w:highlight w:val="none"/>
        </w:rPr>
      </w:pPr>
    </w:p>
    <w:p w14:paraId="7737A165">
      <w:pPr>
        <w:pStyle w:val="25"/>
        <w:shd w:val="clear"/>
        <w:ind w:firstLine="560"/>
        <w:rPr>
          <w:color w:val="auto"/>
          <w:highlight w:val="none"/>
        </w:rPr>
      </w:pPr>
    </w:p>
    <w:p w14:paraId="19B4E595">
      <w:pPr>
        <w:pStyle w:val="25"/>
        <w:shd w:val="clear"/>
        <w:ind w:firstLine="560"/>
        <w:rPr>
          <w:color w:val="auto"/>
          <w:highlight w:val="none"/>
        </w:rPr>
      </w:pPr>
    </w:p>
    <w:p w14:paraId="0E040C8C">
      <w:pPr>
        <w:pStyle w:val="25"/>
        <w:shd w:val="clear"/>
        <w:ind w:firstLine="560"/>
        <w:rPr>
          <w:color w:val="auto"/>
          <w:highlight w:val="none"/>
        </w:rPr>
      </w:pPr>
    </w:p>
    <w:p w14:paraId="157FE0E4">
      <w:pPr>
        <w:pStyle w:val="25"/>
        <w:shd w:val="clear"/>
        <w:ind w:firstLine="560"/>
        <w:rPr>
          <w:color w:val="auto"/>
          <w:highlight w:val="none"/>
        </w:rPr>
      </w:pPr>
    </w:p>
    <w:p w14:paraId="30ABC25F">
      <w:pPr>
        <w:pStyle w:val="25"/>
        <w:shd w:val="clear"/>
        <w:ind w:firstLine="560"/>
        <w:rPr>
          <w:color w:val="auto"/>
          <w:highlight w:val="none"/>
        </w:rPr>
      </w:pPr>
    </w:p>
    <w:p w14:paraId="44795940">
      <w:pPr>
        <w:shd w:val="clear"/>
        <w:spacing w:line="360" w:lineRule="auto"/>
        <w:jc w:val="center"/>
        <w:rPr>
          <w:rFonts w:cs="仿宋_GB2312" w:asciiTheme="majorEastAsia" w:hAnsiTheme="majorEastAsia" w:eastAsiaTheme="majorEastAsia"/>
          <w:color w:val="auto"/>
          <w:sz w:val="32"/>
          <w:szCs w:val="32"/>
          <w:highlight w:val="none"/>
        </w:rPr>
      </w:pPr>
    </w:p>
    <w:p w14:paraId="533E6ED4">
      <w:pPr>
        <w:shd w:val="clear"/>
        <w:snapToGrid w:val="0"/>
        <w:spacing w:line="360" w:lineRule="auto"/>
        <w:ind w:firstLine="960" w:firstLineChars="300"/>
        <w:rPr>
          <w:rFonts w:cs="仿宋_GB2312" w:asciiTheme="majorEastAsia" w:hAnsiTheme="majorEastAsia" w:eastAsiaTheme="majorEastAsia"/>
          <w:color w:val="auto"/>
          <w:sz w:val="32"/>
          <w:szCs w:val="32"/>
          <w:highlight w:val="none"/>
        </w:rPr>
      </w:pPr>
      <w:r>
        <w:rPr>
          <w:rFonts w:hint="eastAsia" w:cs="仿宋_GB2312" w:asciiTheme="majorEastAsia" w:hAnsiTheme="majorEastAsia" w:eastAsiaTheme="majorEastAsia"/>
          <w:color w:val="auto"/>
          <w:sz w:val="32"/>
          <w:szCs w:val="32"/>
          <w:highlight w:val="none"/>
        </w:rPr>
        <w:t>采购人：宁波市奉化区教育发展投资有限责任公司</w:t>
      </w:r>
    </w:p>
    <w:p w14:paraId="3B41B84B">
      <w:pPr>
        <w:shd w:val="clear"/>
        <w:spacing w:line="360" w:lineRule="auto"/>
        <w:ind w:firstLine="960" w:firstLineChars="300"/>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采购代理机构：宁波敬信项目管理咨询有限公司</w:t>
      </w:r>
    </w:p>
    <w:p w14:paraId="4F4B2B63">
      <w:pPr>
        <w:shd w:val="clear"/>
        <w:snapToGrid w:val="0"/>
        <w:spacing w:line="360" w:lineRule="auto"/>
        <w:jc w:val="center"/>
        <w:rPr>
          <w:rFonts w:cs="仿宋_GB2312" w:asciiTheme="majorEastAsia" w:hAnsiTheme="majorEastAsia" w:eastAsiaTheme="majorEastAsia"/>
          <w:bCs/>
          <w:color w:val="auto"/>
          <w:sz w:val="32"/>
          <w:szCs w:val="32"/>
          <w:highlight w:val="none"/>
        </w:rPr>
      </w:pPr>
    </w:p>
    <w:p w14:paraId="56583C71">
      <w:pPr>
        <w:shd w:val="clear"/>
        <w:snapToGrid w:val="0"/>
        <w:spacing w:line="360" w:lineRule="auto"/>
        <w:jc w:val="center"/>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二零二五年</w:t>
      </w:r>
    </w:p>
    <w:p w14:paraId="3C26FA6C">
      <w:pPr>
        <w:shd w:val="clear"/>
        <w:spacing w:line="360" w:lineRule="auto"/>
        <w:jc w:val="center"/>
        <w:rPr>
          <w:rFonts w:cs="仿宋_GB2312" w:asciiTheme="majorEastAsia" w:hAnsiTheme="majorEastAsia" w:eastAsiaTheme="majorEastAsia"/>
          <w:color w:val="auto"/>
          <w:sz w:val="24"/>
          <w:highlight w:val="none"/>
        </w:rPr>
      </w:pPr>
      <w:bookmarkStart w:id="0" w:name="_Hlt67893495"/>
      <w:bookmarkEnd w:id="0"/>
    </w:p>
    <w:p w14:paraId="0839EE18">
      <w:pPr>
        <w:shd w:val="clear"/>
        <w:spacing w:line="360" w:lineRule="auto"/>
        <w:jc w:val="center"/>
        <w:rPr>
          <w:rFonts w:cs="仿宋_GB2312" w:asciiTheme="majorEastAsia" w:hAnsiTheme="majorEastAsia" w:eastAsiaTheme="majorEastAsia"/>
          <w:color w:val="auto"/>
          <w:sz w:val="24"/>
          <w:highlight w:val="none"/>
        </w:rPr>
      </w:pPr>
    </w:p>
    <w:p w14:paraId="2D938C10">
      <w:pPr>
        <w:shd w:val="clear"/>
        <w:spacing w:line="360" w:lineRule="auto"/>
        <w:jc w:val="center"/>
        <w:rPr>
          <w:rFonts w:cs="仿宋_GB2312" w:asciiTheme="majorEastAsia" w:hAnsiTheme="majorEastAsia" w:eastAsiaTheme="majorEastAsia"/>
          <w:b/>
          <w:color w:val="auto"/>
          <w:sz w:val="48"/>
          <w:szCs w:val="48"/>
          <w:highlight w:val="none"/>
        </w:rPr>
      </w:pPr>
    </w:p>
    <w:p w14:paraId="4BA0B7F2">
      <w:pPr>
        <w:shd w:val="clear"/>
        <w:spacing w:line="360" w:lineRule="auto"/>
        <w:jc w:val="center"/>
        <w:rPr>
          <w:rFonts w:cs="仿宋_GB2312" w:asciiTheme="majorEastAsia" w:hAnsiTheme="majorEastAsia" w:eastAsiaTheme="majorEastAsia"/>
          <w:b/>
          <w:color w:val="auto"/>
          <w:sz w:val="48"/>
          <w:szCs w:val="48"/>
          <w:highlight w:val="none"/>
        </w:rPr>
      </w:pPr>
      <w:r>
        <w:rPr>
          <w:rFonts w:hint="eastAsia" w:cs="仿宋_GB2312" w:asciiTheme="majorEastAsia" w:hAnsiTheme="majorEastAsia" w:eastAsiaTheme="majorEastAsia"/>
          <w:b/>
          <w:color w:val="auto"/>
          <w:sz w:val="48"/>
          <w:szCs w:val="48"/>
          <w:highlight w:val="none"/>
        </w:rPr>
        <w:t>目</w:t>
      </w:r>
      <w:r>
        <w:rPr>
          <w:rFonts w:cs="仿宋_GB2312" w:asciiTheme="majorEastAsia" w:hAnsiTheme="majorEastAsia" w:eastAsiaTheme="majorEastAsia"/>
          <w:b/>
          <w:color w:val="auto"/>
          <w:sz w:val="48"/>
          <w:szCs w:val="48"/>
          <w:highlight w:val="none"/>
        </w:rPr>
        <w:t xml:space="preserve">  </w:t>
      </w:r>
      <w:r>
        <w:rPr>
          <w:rFonts w:hint="eastAsia" w:cs="仿宋_GB2312" w:asciiTheme="majorEastAsia" w:hAnsiTheme="majorEastAsia" w:eastAsiaTheme="majorEastAsia"/>
          <w:b/>
          <w:color w:val="auto"/>
          <w:sz w:val="48"/>
          <w:szCs w:val="48"/>
          <w:highlight w:val="none"/>
        </w:rPr>
        <w:t>录</w:t>
      </w:r>
    </w:p>
    <w:p w14:paraId="0EB0F7B9">
      <w:pPr>
        <w:shd w:val="clear"/>
        <w:spacing w:line="360" w:lineRule="auto"/>
        <w:rPr>
          <w:rFonts w:cs="仿宋_GB2312" w:asciiTheme="majorEastAsia" w:hAnsiTheme="majorEastAsia" w:eastAsiaTheme="majorEastAsia"/>
          <w:color w:val="auto"/>
          <w:sz w:val="32"/>
          <w:szCs w:val="32"/>
          <w:highlight w:val="none"/>
        </w:rPr>
      </w:pPr>
    </w:p>
    <w:p w14:paraId="6DD38485">
      <w:pPr>
        <w:shd w:val="clear"/>
        <w:spacing w:line="360" w:lineRule="auto"/>
        <w:rPr>
          <w:rFonts w:cs="仿宋_GB2312" w:asciiTheme="majorEastAsia" w:hAnsiTheme="majorEastAsia" w:eastAsiaTheme="majorEastAsia"/>
          <w:color w:val="auto"/>
          <w:sz w:val="32"/>
          <w:szCs w:val="32"/>
          <w:highlight w:val="none"/>
        </w:rPr>
      </w:pPr>
    </w:p>
    <w:p w14:paraId="27B95A0B">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第一部分      招标公告</w:t>
      </w:r>
    </w:p>
    <w:p w14:paraId="545D2435">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第二部分      投标须知</w:t>
      </w:r>
    </w:p>
    <w:p w14:paraId="35B59B12">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第三部分      采购需求</w:t>
      </w:r>
    </w:p>
    <w:p w14:paraId="3C93DC93">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第四部分      评标办法</w:t>
      </w:r>
    </w:p>
    <w:p w14:paraId="0D1E6FFE">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第五部分      拟签订的合同文本</w:t>
      </w:r>
    </w:p>
    <w:p w14:paraId="30BE78BA">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第六部分      应提交的有关格式范例</w:t>
      </w:r>
    </w:p>
    <w:p w14:paraId="67E9BEFE">
      <w:pPr>
        <w:shd w:val="clear"/>
        <w:spacing w:line="360" w:lineRule="auto"/>
        <w:ind w:firstLine="549" w:firstLineChars="229"/>
        <w:rPr>
          <w:rFonts w:cs="仿宋" w:asciiTheme="majorEastAsia" w:hAnsiTheme="majorEastAsia" w:eastAsiaTheme="majorEastAsia"/>
          <w:color w:val="auto"/>
          <w:sz w:val="24"/>
          <w:highlight w:val="none"/>
        </w:rPr>
      </w:pPr>
      <w:bookmarkStart w:id="1" w:name="_Hlt91233176"/>
      <w:bookmarkEnd w:id="1"/>
      <w:bookmarkStart w:id="2" w:name="_Toc91899869"/>
    </w:p>
    <w:p w14:paraId="5C73DEC5">
      <w:pPr>
        <w:shd w:val="clear"/>
        <w:spacing w:line="360" w:lineRule="auto"/>
        <w:ind w:firstLine="549" w:firstLineChars="229"/>
        <w:rPr>
          <w:rFonts w:cs="仿宋" w:asciiTheme="majorEastAsia" w:hAnsiTheme="majorEastAsia" w:eastAsiaTheme="majorEastAsia"/>
          <w:color w:val="auto"/>
          <w:sz w:val="24"/>
          <w:highlight w:val="none"/>
        </w:rPr>
      </w:pPr>
    </w:p>
    <w:p w14:paraId="04D2A6E8">
      <w:pPr>
        <w:shd w:val="clear"/>
        <w:spacing w:line="360" w:lineRule="auto"/>
        <w:ind w:firstLine="549" w:firstLineChars="229"/>
        <w:rPr>
          <w:rFonts w:cs="仿宋" w:asciiTheme="majorEastAsia" w:hAnsiTheme="majorEastAsia" w:eastAsiaTheme="majorEastAsia"/>
          <w:color w:val="auto"/>
          <w:sz w:val="24"/>
          <w:highlight w:val="none"/>
        </w:rPr>
      </w:pPr>
    </w:p>
    <w:p w14:paraId="0E773049">
      <w:pPr>
        <w:shd w:val="clear"/>
        <w:spacing w:line="360" w:lineRule="auto"/>
        <w:ind w:firstLine="549" w:firstLineChars="229"/>
        <w:rPr>
          <w:rFonts w:cs="仿宋" w:asciiTheme="majorEastAsia" w:hAnsiTheme="majorEastAsia" w:eastAsiaTheme="majorEastAsia"/>
          <w:color w:val="auto"/>
          <w:sz w:val="24"/>
          <w:highlight w:val="none"/>
        </w:rPr>
      </w:pPr>
    </w:p>
    <w:p w14:paraId="23089E2C">
      <w:pPr>
        <w:shd w:val="clear"/>
        <w:spacing w:line="360" w:lineRule="auto"/>
        <w:ind w:firstLine="549" w:firstLineChars="229"/>
        <w:rPr>
          <w:rFonts w:cs="仿宋" w:asciiTheme="majorEastAsia" w:hAnsiTheme="majorEastAsia" w:eastAsiaTheme="majorEastAsia"/>
          <w:color w:val="auto"/>
          <w:sz w:val="24"/>
          <w:highlight w:val="none"/>
        </w:rPr>
      </w:pPr>
    </w:p>
    <w:p w14:paraId="1CB3E2BE">
      <w:pPr>
        <w:shd w:val="clear"/>
        <w:spacing w:line="360" w:lineRule="auto"/>
        <w:ind w:firstLine="549" w:firstLineChars="229"/>
        <w:rPr>
          <w:rFonts w:cs="仿宋" w:asciiTheme="majorEastAsia" w:hAnsiTheme="majorEastAsia" w:eastAsiaTheme="majorEastAsia"/>
          <w:color w:val="auto"/>
          <w:sz w:val="24"/>
          <w:highlight w:val="none"/>
        </w:rPr>
      </w:pPr>
    </w:p>
    <w:p w14:paraId="02BEF268">
      <w:pPr>
        <w:shd w:val="clear"/>
        <w:spacing w:line="360" w:lineRule="auto"/>
        <w:ind w:firstLine="549" w:firstLineChars="229"/>
        <w:rPr>
          <w:rFonts w:cs="仿宋" w:asciiTheme="majorEastAsia" w:hAnsiTheme="majorEastAsia" w:eastAsiaTheme="majorEastAsia"/>
          <w:color w:val="auto"/>
          <w:sz w:val="24"/>
          <w:highlight w:val="none"/>
        </w:rPr>
      </w:pPr>
    </w:p>
    <w:p w14:paraId="7B89244C">
      <w:pPr>
        <w:shd w:val="clear"/>
        <w:spacing w:line="360" w:lineRule="auto"/>
        <w:ind w:firstLine="549" w:firstLineChars="229"/>
        <w:rPr>
          <w:rFonts w:cs="仿宋" w:asciiTheme="majorEastAsia" w:hAnsiTheme="majorEastAsia" w:eastAsiaTheme="majorEastAsia"/>
          <w:color w:val="auto"/>
          <w:sz w:val="24"/>
          <w:highlight w:val="none"/>
        </w:rPr>
      </w:pPr>
    </w:p>
    <w:p w14:paraId="60FB92A0">
      <w:pPr>
        <w:shd w:val="clear"/>
        <w:spacing w:line="360" w:lineRule="auto"/>
        <w:ind w:firstLine="549" w:firstLineChars="229"/>
        <w:rPr>
          <w:rFonts w:cs="仿宋" w:asciiTheme="majorEastAsia" w:hAnsiTheme="majorEastAsia" w:eastAsiaTheme="majorEastAsia"/>
          <w:color w:val="auto"/>
          <w:sz w:val="24"/>
          <w:highlight w:val="none"/>
        </w:rPr>
      </w:pPr>
    </w:p>
    <w:p w14:paraId="20E9E428">
      <w:pPr>
        <w:shd w:val="clear"/>
        <w:spacing w:line="360" w:lineRule="auto"/>
        <w:ind w:firstLine="549" w:firstLineChars="229"/>
        <w:rPr>
          <w:rFonts w:cs="仿宋" w:asciiTheme="majorEastAsia" w:hAnsiTheme="majorEastAsia" w:eastAsiaTheme="majorEastAsia"/>
          <w:color w:val="auto"/>
          <w:sz w:val="24"/>
          <w:highlight w:val="none"/>
        </w:rPr>
      </w:pPr>
    </w:p>
    <w:p w14:paraId="6B0574DB">
      <w:pPr>
        <w:widowControl/>
        <w:shd w:val="clear"/>
        <w:jc w:val="left"/>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br w:type="page"/>
      </w:r>
    </w:p>
    <w:p w14:paraId="435F12C4">
      <w:pPr>
        <w:shd w:val="clear"/>
        <w:spacing w:line="360" w:lineRule="auto"/>
        <w:ind w:firstLine="549" w:firstLineChars="229"/>
        <w:rPr>
          <w:rFonts w:cs="仿宋" w:asciiTheme="majorEastAsia" w:hAnsiTheme="majorEastAsia" w:eastAsiaTheme="majorEastAsia"/>
          <w:color w:val="auto"/>
          <w:sz w:val="24"/>
          <w:highlight w:val="none"/>
        </w:rPr>
      </w:pPr>
    </w:p>
    <w:bookmarkEnd w:id="2"/>
    <w:p w14:paraId="4E8ED876">
      <w:pPr>
        <w:shd w:val="clear"/>
        <w:spacing w:line="360" w:lineRule="auto"/>
        <w:jc w:val="center"/>
        <w:outlineLvl w:val="0"/>
        <w:rPr>
          <w:rFonts w:cs="仿宋" w:asciiTheme="majorEastAsia" w:hAnsiTheme="majorEastAsia" w:eastAsiaTheme="majorEastAsia"/>
          <w:b/>
          <w:color w:val="auto"/>
          <w:sz w:val="36"/>
          <w:szCs w:val="20"/>
          <w:highlight w:val="none"/>
        </w:r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r>
        <w:rPr>
          <w:rFonts w:hint="eastAsia" w:cs="仿宋" w:asciiTheme="majorEastAsia" w:hAnsiTheme="majorEastAsia" w:eastAsiaTheme="majorEastAsia"/>
          <w:b/>
          <w:color w:val="auto"/>
          <w:sz w:val="36"/>
          <w:szCs w:val="20"/>
          <w:highlight w:val="none"/>
        </w:rPr>
        <w:t>第一部分 招标公告</w:t>
      </w:r>
    </w:p>
    <w:p w14:paraId="03D79BE5">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项目概况</w:t>
      </w:r>
    </w:p>
    <w:p w14:paraId="07CDF8A7">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u w:val="single"/>
        </w:rPr>
        <w:t>奉化区江口街道园中村改造安置房建设工程（二期）配套幼儿园户外改造项目</w:t>
      </w:r>
      <w:r>
        <w:rPr>
          <w:rFonts w:hint="eastAsia" w:cs="仿宋" w:asciiTheme="majorEastAsia" w:hAnsiTheme="majorEastAsia" w:eastAsiaTheme="majorEastAsia"/>
          <w:color w:val="auto"/>
          <w:sz w:val="24"/>
          <w:highlight w:val="none"/>
        </w:rPr>
        <w:t xml:space="preserve">的潜在供应商应在乐采云平台（ </w:t>
      </w:r>
      <w:r>
        <w:rPr>
          <w:color w:val="auto"/>
          <w:highlight w:val="none"/>
        </w:rPr>
        <w:fldChar w:fldCharType="begin"/>
      </w:r>
      <w:r>
        <w:rPr>
          <w:color w:val="auto"/>
          <w:highlight w:val="none"/>
        </w:rPr>
        <w:instrText xml:space="preserve"> HYPERLINK "https://www.zcygov.cn/）获取（下载）招标文件，并于2023年00月00日09点00分00秒" </w:instrText>
      </w:r>
      <w:r>
        <w:rPr>
          <w:color w:val="auto"/>
          <w:highlight w:val="none"/>
        </w:rPr>
        <w:fldChar w:fldCharType="separate"/>
      </w:r>
      <w:r>
        <w:rPr>
          <w:rStyle w:val="24"/>
          <w:rFonts w:hint="eastAsia" w:cs="仿宋" w:asciiTheme="majorEastAsia" w:hAnsiTheme="majorEastAsia" w:eastAsiaTheme="majorEastAsia"/>
          <w:color w:val="auto"/>
          <w:sz w:val="24"/>
          <w:szCs w:val="24"/>
          <w:highlight w:val="none"/>
        </w:rPr>
        <w:t>https://www.lecaiyun.com/）获取（下载）招标文件，并于</w:t>
      </w:r>
      <w:r>
        <w:rPr>
          <w:rStyle w:val="24"/>
          <w:rFonts w:hint="eastAsia" w:cs="仿宋" w:asciiTheme="majorEastAsia" w:hAnsiTheme="majorEastAsia" w:eastAsiaTheme="majorEastAsia"/>
          <w:color w:val="auto"/>
          <w:kern w:val="2"/>
          <w:sz w:val="24"/>
          <w:szCs w:val="24"/>
          <w:highlight w:val="none"/>
        </w:rPr>
        <w:t>2025年0</w:t>
      </w:r>
      <w:r>
        <w:rPr>
          <w:rStyle w:val="24"/>
          <w:rFonts w:hint="eastAsia" w:cs="仿宋" w:asciiTheme="majorEastAsia" w:hAnsiTheme="majorEastAsia" w:eastAsiaTheme="majorEastAsia"/>
          <w:color w:val="auto"/>
          <w:kern w:val="2"/>
          <w:sz w:val="24"/>
          <w:szCs w:val="24"/>
          <w:highlight w:val="none"/>
          <w:lang w:val="en-US" w:eastAsia="zh-CN"/>
        </w:rPr>
        <w:t>7</w:t>
      </w:r>
      <w:r>
        <w:rPr>
          <w:rStyle w:val="24"/>
          <w:rFonts w:hint="eastAsia" w:cs="仿宋" w:asciiTheme="majorEastAsia" w:hAnsiTheme="majorEastAsia" w:eastAsiaTheme="majorEastAsia"/>
          <w:color w:val="auto"/>
          <w:kern w:val="2"/>
          <w:sz w:val="24"/>
          <w:szCs w:val="24"/>
          <w:highlight w:val="none"/>
        </w:rPr>
        <w:t>月0</w:t>
      </w:r>
      <w:r>
        <w:rPr>
          <w:rStyle w:val="24"/>
          <w:rFonts w:hint="eastAsia" w:cs="仿宋" w:asciiTheme="majorEastAsia" w:hAnsiTheme="majorEastAsia" w:eastAsiaTheme="majorEastAsia"/>
          <w:color w:val="auto"/>
          <w:kern w:val="2"/>
          <w:sz w:val="24"/>
          <w:szCs w:val="24"/>
          <w:highlight w:val="none"/>
          <w:lang w:val="en-US" w:eastAsia="zh-CN"/>
        </w:rPr>
        <w:t>7</w:t>
      </w:r>
      <w:r>
        <w:rPr>
          <w:rStyle w:val="24"/>
          <w:rFonts w:hint="eastAsia" w:cs="仿宋" w:asciiTheme="majorEastAsia" w:hAnsiTheme="majorEastAsia" w:eastAsiaTheme="majorEastAsia"/>
          <w:color w:val="auto"/>
          <w:kern w:val="2"/>
          <w:sz w:val="24"/>
          <w:szCs w:val="24"/>
          <w:highlight w:val="none"/>
        </w:rPr>
        <w:t>日14点00分</w:t>
      </w:r>
      <w:r>
        <w:rPr>
          <w:rStyle w:val="24"/>
          <w:rFonts w:hint="eastAsia" w:cs="仿宋" w:asciiTheme="majorEastAsia" w:hAnsiTheme="majorEastAsia" w:eastAsiaTheme="majorEastAsia"/>
          <w:bCs/>
          <w:color w:val="auto"/>
          <w:kern w:val="2"/>
          <w:sz w:val="24"/>
          <w:szCs w:val="24"/>
          <w:highlight w:val="none"/>
        </w:rPr>
        <w:t>00秒</w:t>
      </w:r>
      <w:r>
        <w:rPr>
          <w:rStyle w:val="24"/>
          <w:rFonts w:hint="eastAsia" w:cs="仿宋" w:asciiTheme="majorEastAsia" w:hAnsiTheme="majorEastAsia" w:eastAsiaTheme="majorEastAsia"/>
          <w:bCs/>
          <w:color w:val="auto"/>
          <w:kern w:val="2"/>
          <w:sz w:val="24"/>
          <w:szCs w:val="24"/>
          <w:highlight w:val="none"/>
        </w:rPr>
        <w:fldChar w:fldCharType="end"/>
      </w:r>
      <w:r>
        <w:rPr>
          <w:rFonts w:hint="eastAsia" w:cs="仿宋" w:asciiTheme="majorEastAsia" w:hAnsiTheme="majorEastAsia" w:eastAsiaTheme="majorEastAsia"/>
          <w:bCs/>
          <w:color w:val="auto"/>
          <w:sz w:val="24"/>
          <w:highlight w:val="none"/>
        </w:rPr>
        <w:t>（北京时间）前</w:t>
      </w:r>
      <w:r>
        <w:rPr>
          <w:rFonts w:hint="eastAsia" w:cs="仿宋" w:asciiTheme="majorEastAsia" w:hAnsiTheme="majorEastAsia" w:eastAsiaTheme="majorEastAsia"/>
          <w:color w:val="auto"/>
          <w:sz w:val="24"/>
          <w:highlight w:val="none"/>
        </w:rPr>
        <w:t>递交（上传）投标文件。</w:t>
      </w:r>
    </w:p>
    <w:p w14:paraId="57D3D6E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一、项目基本情况                                            </w:t>
      </w:r>
    </w:p>
    <w:p w14:paraId="1FE92D9B">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项目编号：</w:t>
      </w:r>
      <w:r>
        <w:rPr>
          <w:rFonts w:hint="eastAsia" w:cs="仿宋" w:asciiTheme="majorEastAsia" w:hAnsiTheme="majorEastAsia" w:eastAsiaTheme="majorEastAsia"/>
          <w:bCs/>
          <w:color w:val="auto"/>
          <w:sz w:val="24"/>
          <w:highlight w:val="none"/>
        </w:rPr>
        <w:t>FHGQZB(2025)</w:t>
      </w:r>
      <w:r>
        <w:rPr>
          <w:rFonts w:hint="eastAsia" w:cs="仿宋" w:asciiTheme="majorEastAsia" w:hAnsiTheme="majorEastAsia" w:eastAsiaTheme="majorEastAsia"/>
          <w:bCs/>
          <w:color w:val="auto"/>
          <w:sz w:val="24"/>
          <w:highlight w:val="none"/>
          <w:lang w:val="en-US" w:eastAsia="zh-CN"/>
        </w:rPr>
        <w:t>193</w:t>
      </w:r>
      <w:r>
        <w:rPr>
          <w:rFonts w:hint="eastAsia" w:cs="仿宋" w:asciiTheme="majorEastAsia" w:hAnsiTheme="majorEastAsia" w:eastAsiaTheme="majorEastAsia"/>
          <w:bCs/>
          <w:color w:val="auto"/>
          <w:sz w:val="24"/>
          <w:highlight w:val="none"/>
        </w:rPr>
        <w:t>D</w:t>
      </w:r>
      <w:r>
        <w:rPr>
          <w:rFonts w:hint="eastAsia" w:cs="仿宋" w:asciiTheme="majorEastAsia" w:hAnsiTheme="majorEastAsia" w:eastAsiaTheme="majorEastAsia"/>
          <w:b/>
          <w:color w:val="auto"/>
          <w:sz w:val="24"/>
          <w:highlight w:val="none"/>
        </w:rPr>
        <w:t xml:space="preserve">   </w:t>
      </w: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档案编号</w:t>
      </w:r>
      <w:r>
        <w:rPr>
          <w:rFonts w:hint="eastAsia" w:ascii="宋体" w:hAnsi="宋体" w:cs="宋体"/>
          <w:color w:val="auto"/>
          <w:sz w:val="24"/>
          <w:highlight w:val="none"/>
        </w:rPr>
        <w:t>:</w:t>
      </w:r>
      <w:r>
        <w:rPr>
          <w:rFonts w:hint="eastAsia" w:cs="仿宋" w:asciiTheme="majorEastAsia" w:hAnsiTheme="majorEastAsia" w:eastAsiaTheme="majorEastAsia"/>
          <w:bCs/>
          <w:color w:val="auto"/>
          <w:sz w:val="24"/>
          <w:highlight w:val="none"/>
        </w:rPr>
        <w:t xml:space="preserve"> </w:t>
      </w:r>
      <w:r>
        <w:rPr>
          <w:rFonts w:hint="eastAsia" w:ascii="宋体" w:hAnsi="宋体" w:cs="宋体"/>
          <w:color w:val="auto"/>
          <w:sz w:val="24"/>
          <w:highlight w:val="none"/>
        </w:rPr>
        <w:t>JX-25149</w:t>
      </w:r>
    </w:p>
    <w:p w14:paraId="1F06F9EE">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 xml:space="preserve"> 项目名称：</w:t>
      </w:r>
      <w:r>
        <w:rPr>
          <w:rFonts w:hint="eastAsia" w:cs="仿宋" w:asciiTheme="majorEastAsia" w:hAnsiTheme="majorEastAsia" w:eastAsiaTheme="majorEastAsia"/>
          <w:bCs/>
          <w:color w:val="auto"/>
          <w:sz w:val="24"/>
          <w:highlight w:val="none"/>
        </w:rPr>
        <w:t>奉化区江口街道园中村改造安置房建设工程（二期）配套幼儿园户外改造项目</w:t>
      </w:r>
    </w:p>
    <w:p w14:paraId="019E4C0C">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    预算金额（元）：</w:t>
      </w:r>
      <w:r>
        <w:rPr>
          <w:rFonts w:hint="eastAsia" w:cs="仿宋" w:asciiTheme="majorEastAsia" w:hAnsiTheme="majorEastAsia" w:eastAsiaTheme="majorEastAsia"/>
          <w:bCs/>
          <w:color w:val="auto"/>
          <w:sz w:val="24"/>
          <w:highlight w:val="none"/>
        </w:rPr>
        <w:t>1341708；</w:t>
      </w:r>
    </w:p>
    <w:p w14:paraId="2BFE3CB9">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最高限价（元）：</w:t>
      </w:r>
      <w:r>
        <w:rPr>
          <w:rFonts w:hint="eastAsia" w:cs="仿宋" w:asciiTheme="majorEastAsia" w:hAnsiTheme="majorEastAsia" w:eastAsiaTheme="majorEastAsia"/>
          <w:bCs/>
          <w:color w:val="auto"/>
          <w:sz w:val="24"/>
          <w:highlight w:val="none"/>
        </w:rPr>
        <w:t>1341708；</w:t>
      </w:r>
    </w:p>
    <w:p w14:paraId="3451683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采购需求：</w:t>
      </w:r>
      <w:r>
        <w:rPr>
          <w:rFonts w:hint="eastAsia" w:cs="仿宋" w:asciiTheme="majorEastAsia" w:hAnsiTheme="majorEastAsia" w:eastAsiaTheme="majorEastAsia"/>
          <w:bCs/>
          <w:color w:val="auto"/>
          <w:sz w:val="24"/>
          <w:highlight w:val="none"/>
        </w:rPr>
        <w:t>户外改造，</w:t>
      </w:r>
      <w:r>
        <w:rPr>
          <w:rFonts w:hint="eastAsia" w:cs="仿宋" w:asciiTheme="majorEastAsia" w:hAnsiTheme="majorEastAsia" w:eastAsiaTheme="majorEastAsia"/>
          <w:color w:val="auto"/>
          <w:sz w:val="24"/>
          <w:highlight w:val="none"/>
        </w:rPr>
        <w:t>具体</w:t>
      </w:r>
      <w:r>
        <w:rPr>
          <w:rFonts w:hint="eastAsia" w:cs="仿宋" w:asciiTheme="majorEastAsia" w:hAnsiTheme="majorEastAsia" w:eastAsiaTheme="majorEastAsia"/>
          <w:bCs/>
          <w:color w:val="auto"/>
          <w:sz w:val="24"/>
          <w:highlight w:val="none"/>
        </w:rPr>
        <w:t>详见招标文件第三部分采购需求。</w:t>
      </w:r>
    </w:p>
    <w:p w14:paraId="173FD5C2">
      <w:pPr>
        <w:pStyle w:val="5"/>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合同履约期限：</w:t>
      </w:r>
      <w:r>
        <w:rPr>
          <w:rFonts w:hint="eastAsia" w:cs="仿宋" w:asciiTheme="majorEastAsia" w:hAnsiTheme="majorEastAsia" w:eastAsiaTheme="majorEastAsia"/>
          <w:bCs/>
          <w:color w:val="auto"/>
          <w:sz w:val="24"/>
          <w:highlight w:val="none"/>
        </w:rPr>
        <w:t>详见采购文件。</w:t>
      </w:r>
      <w:r>
        <w:rPr>
          <w:rFonts w:cs="仿宋" w:asciiTheme="majorEastAsia" w:hAnsiTheme="majorEastAsia" w:eastAsiaTheme="majorEastAsia"/>
          <w:bCs/>
          <w:color w:val="auto"/>
          <w:sz w:val="24"/>
          <w:highlight w:val="none"/>
        </w:rPr>
        <w:t xml:space="preserve"> </w:t>
      </w:r>
    </w:p>
    <w:p w14:paraId="0EE1382F">
      <w:pPr>
        <w:pStyle w:val="5"/>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本项目接受联合体投标：</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b/>
          <w:color w:val="auto"/>
          <w:sz w:val="24"/>
          <w:highlight w:val="none"/>
        </w:rPr>
        <w:t>是，</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b/>
          <w:color w:val="auto"/>
          <w:sz w:val="24"/>
          <w:highlight w:val="none"/>
        </w:rPr>
        <w:t>否</w:t>
      </w:r>
      <w:r>
        <w:rPr>
          <w:rFonts w:hint="eastAsia" w:cs="仿宋" w:asciiTheme="majorEastAsia" w:hAnsiTheme="majorEastAsia" w:eastAsiaTheme="majorEastAsia"/>
          <w:color w:val="auto"/>
          <w:kern w:val="0"/>
          <w:sz w:val="24"/>
          <w:highlight w:val="none"/>
        </w:rPr>
        <w:t>。</w:t>
      </w:r>
    </w:p>
    <w:p w14:paraId="15C35446">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二、申请人的资格要求：</w:t>
      </w:r>
    </w:p>
    <w:p w14:paraId="6FC81E8F">
      <w:pPr>
        <w:shd w:val="clear"/>
        <w:spacing w:line="360" w:lineRule="auto"/>
        <w:ind w:firstLine="48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39D78A3F">
      <w:pPr>
        <w:shd w:val="clear"/>
        <w:spacing w:line="360" w:lineRule="auto"/>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 xml:space="preserve">    2.落实政府采购政策需满足的资格要求：</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color w:val="auto"/>
          <w:sz w:val="24"/>
          <w:highlight w:val="none"/>
        </w:rPr>
        <w:t>无；</w:t>
      </w:r>
    </w:p>
    <w:p w14:paraId="2019500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w:t>
      </w:r>
      <w:r>
        <w:rPr>
          <w:rFonts w:hint="eastAsia" w:ascii="宋体" w:hAnsi="宋体" w:cs="宋体"/>
          <w:color w:val="auto"/>
          <w:sz w:val="24"/>
          <w:highlight w:val="none"/>
        </w:rPr>
        <w:t>/</w:t>
      </w:r>
    </w:p>
    <w:p w14:paraId="7B2DF9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C6815F8">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三、获取招标文件 </w:t>
      </w:r>
    </w:p>
    <w:p w14:paraId="55FE8E2E">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u w:val="single"/>
        </w:rPr>
        <w:t>2025年0</w:t>
      </w:r>
      <w:r>
        <w:rPr>
          <w:rFonts w:hint="eastAsia" w:cs="仿宋" w:asciiTheme="majorEastAsia" w:hAnsiTheme="majorEastAsia" w:eastAsiaTheme="majorEastAsia"/>
          <w:color w:val="auto"/>
          <w:sz w:val="24"/>
          <w:highlight w:val="none"/>
          <w:u w:val="single"/>
          <w:lang w:val="en-US" w:eastAsia="zh-CN"/>
        </w:rPr>
        <w:t>6</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13</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2025年0</w:t>
      </w:r>
      <w:r>
        <w:rPr>
          <w:rFonts w:hint="eastAsia" w:cs="仿宋" w:asciiTheme="majorEastAsia" w:hAnsiTheme="majorEastAsia" w:eastAsiaTheme="majorEastAsia"/>
          <w:color w:val="auto"/>
          <w:sz w:val="24"/>
          <w:highlight w:val="none"/>
          <w:u w:val="single"/>
          <w:lang w:val="en-US" w:eastAsia="zh-CN"/>
        </w:rPr>
        <w:t>6</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20</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w:t>
      </w:r>
    </w:p>
    <w:p w14:paraId="2CD08A2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75C4BD2">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供应商登录乐采云平台https://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 xml:space="preserve">/在线申请获取招标文件（进入“项目采购”应用，在获取采购文件菜单中选择项目，申请获取招标文件）。 </w:t>
      </w:r>
    </w:p>
    <w:p w14:paraId="50AD69EC">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0C22A0C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四、提交投标文件截止时间、开标时间和地点</w:t>
      </w:r>
    </w:p>
    <w:p w14:paraId="3955A7FD">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u w:val="single"/>
        </w:rPr>
        <w:t xml:space="preserve"> 2025年0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日14点00分</w:t>
      </w:r>
      <w:r>
        <w:rPr>
          <w:rFonts w:hint="eastAsia" w:cs="仿宋" w:asciiTheme="majorEastAsia" w:hAnsiTheme="majorEastAsia" w:eastAsiaTheme="majorEastAsia"/>
          <w:bCs/>
          <w:color w:val="auto"/>
          <w:sz w:val="24"/>
          <w:highlight w:val="none"/>
          <w:u w:val="single"/>
        </w:rPr>
        <w:t xml:space="preserve"> </w:t>
      </w:r>
      <w:r>
        <w:rPr>
          <w:rFonts w:hint="eastAsia" w:cs="仿宋" w:asciiTheme="majorEastAsia" w:hAnsiTheme="majorEastAsia" w:eastAsiaTheme="majorEastAsia"/>
          <w:color w:val="auto"/>
          <w:sz w:val="24"/>
          <w:highlight w:val="none"/>
        </w:rPr>
        <w:t>（北京时间）。</w:t>
      </w:r>
    </w:p>
    <w:p w14:paraId="0605E216">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4B4ADB4">
      <w:pPr>
        <w:shd w:val="clear"/>
        <w:spacing w:line="360" w:lineRule="auto"/>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sz w:val="24"/>
          <w:highlight w:val="none"/>
          <w:u w:val="single"/>
        </w:rPr>
        <w:t>2025年0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日14点00分</w:t>
      </w:r>
      <w:r>
        <w:rPr>
          <w:rFonts w:hint="eastAsia" w:cs="仿宋" w:asciiTheme="majorEastAsia" w:hAnsiTheme="majorEastAsia" w:eastAsiaTheme="majorEastAsia"/>
          <w:color w:val="auto"/>
          <w:sz w:val="24"/>
          <w:highlight w:val="none"/>
        </w:rPr>
        <w:t>。</w:t>
      </w:r>
    </w:p>
    <w:p w14:paraId="16A6BC49">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rPr>
        <w:t>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7C38D765">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开标地点（线下）：</w:t>
      </w:r>
      <w:r>
        <w:rPr>
          <w:rFonts w:hint="eastAsia" w:cs="仿宋" w:asciiTheme="majorEastAsia" w:hAnsiTheme="majorEastAsia" w:eastAsiaTheme="majorEastAsia"/>
          <w:bCs/>
          <w:color w:val="auto"/>
          <w:sz w:val="24"/>
          <w:highlight w:val="none"/>
        </w:rPr>
        <w:t>宁波市奉化区公共资源交易中心开标厅</w:t>
      </w:r>
      <w:r>
        <w:rPr>
          <w:rFonts w:hint="eastAsia" w:cs="仿宋" w:asciiTheme="majorEastAsia" w:hAnsiTheme="majorEastAsia" w:eastAsiaTheme="majorEastAsia"/>
          <w:bCs/>
          <w:color w:val="auto"/>
          <w:sz w:val="24"/>
          <w:highlight w:val="none"/>
          <w:lang w:val="en-US" w:eastAsia="zh-CN"/>
        </w:rPr>
        <w:t>一</w:t>
      </w:r>
      <w:r>
        <w:rPr>
          <w:rFonts w:hint="eastAsia" w:cs="仿宋" w:asciiTheme="majorEastAsia" w:hAnsiTheme="majorEastAsia" w:eastAsiaTheme="majorEastAsia"/>
          <w:bCs/>
          <w:color w:val="auto"/>
          <w:sz w:val="24"/>
          <w:highlight w:val="none"/>
        </w:rPr>
        <w:t>（宁波市奉化区大成东路277号4楼）</w:t>
      </w:r>
    </w:p>
    <w:p w14:paraId="74EA76E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 xml:space="preserve">五、公告期限 </w:t>
      </w:r>
    </w:p>
    <w:p w14:paraId="012BDFE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14:paraId="2F5598FB">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六、其他补充事宜</w:t>
      </w:r>
    </w:p>
    <w:p w14:paraId="08A683E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认为招标文件使自己的权益受到损害的，可以自获取招标文件之日或者招标文件公告期限届满之日（公告期限届满后获取招标文件的，以公告期限届满之日为准）起七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w:t>
      </w:r>
    </w:p>
    <w:p w14:paraId="733543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进行招投标活动，不接受纸质投标文件；②投标准备：注册账号--点击“商家入驻”，进行政府采购供应商资料填写；申领CA数字证书---申领流程详见“浙江企业采购信息服务网-下载专区-电子交易客户端-CA驱动和申领流程”；安装“乐采云电子交易客户端”----前往“浙江企业采购信息服务网-下载专区-电子交易客户端（https://b.zhengcaiyun.cn/luban/category?parentId=550045&amp;childrenCode=qicaiCategory17&amp;utm=luban.luban-PC-39026.959-pc-websitegroup-navBar-front.8.ebdec73052c711ef9ade896d008b9248）”进行下载并安装；</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在开标前应确保成为浙江省政府采购网正式注册入库供应商，并完成CA数字证书办理。完成CA数字证书办理在资料齐全的情况下预计7个工作日左右，请各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合理预估时间，及时办理。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按照平台提示和招标文件的规定在半小时内完成在线解密。⑨具体操作指南：详见乐采云平台“服务中心-帮助文档-项目采购-操作流程-电子招投标-政府采购项目电子交易管理操作指南-供应商”。</w:t>
      </w:r>
    </w:p>
    <w:p w14:paraId="249605AE">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七、对本次采购提出询问、质疑、投诉，请按以下方式联系</w:t>
      </w:r>
    </w:p>
    <w:p w14:paraId="754B5C54">
      <w:pPr>
        <w:shd w:val="clear"/>
        <w:spacing w:line="360" w:lineRule="auto"/>
        <w:rPr>
          <w:rFonts w:ascii="宋体" w:hAnsi="宋体" w:cs="仿宋"/>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ascii="宋体" w:hAnsi="宋体" w:cs="仿宋"/>
          <w:color w:val="auto"/>
          <w:sz w:val="24"/>
          <w:highlight w:val="none"/>
        </w:rPr>
        <w:t xml:space="preserve">   1.采购人信息</w:t>
      </w:r>
    </w:p>
    <w:p w14:paraId="703C847E">
      <w:pPr>
        <w:shd w:val="clear"/>
        <w:spacing w:line="360" w:lineRule="auto"/>
        <w:rPr>
          <w:rFonts w:cs="仿宋" w:asciiTheme="majorEastAsia" w:hAnsiTheme="majorEastAsia" w:eastAsiaTheme="majorEastAsia"/>
          <w:color w:val="auto"/>
          <w:sz w:val="24"/>
          <w:highlight w:val="none"/>
        </w:rPr>
      </w:pPr>
      <w:r>
        <w:rPr>
          <w:rFonts w:hint="eastAsia" w:ascii="宋体" w:hAnsi="宋体" w:cs="仿宋"/>
          <w:color w:val="auto"/>
          <w:sz w:val="24"/>
          <w:highlight w:val="none"/>
        </w:rPr>
        <w:t xml:space="preserve">    </w:t>
      </w:r>
      <w:r>
        <w:rPr>
          <w:rFonts w:hint="eastAsia" w:cs="仿宋" w:asciiTheme="majorEastAsia" w:hAnsiTheme="majorEastAsia" w:eastAsiaTheme="majorEastAsia"/>
          <w:color w:val="auto"/>
          <w:sz w:val="24"/>
          <w:highlight w:val="none"/>
        </w:rPr>
        <w:t>名    称：宁波市奉化区教育发展投资有限责任公司</w:t>
      </w:r>
    </w:p>
    <w:p w14:paraId="37F9BD4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w:t>
      </w:r>
      <w:r>
        <w:rPr>
          <w:rFonts w:hint="eastAsia" w:ascii="宋体" w:hAnsi="宋体" w:cs="宋体"/>
          <w:color w:val="auto"/>
          <w:sz w:val="24"/>
          <w:highlight w:val="none"/>
        </w:rPr>
        <w:t>宁波市奉化区锦屏街道桥西岸路128-2号</w:t>
      </w:r>
    </w:p>
    <w:p w14:paraId="786E5D52">
      <w:pPr>
        <w:shd w:val="clear"/>
        <w:spacing w:line="360" w:lineRule="auto"/>
        <w:ind w:firstLine="48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项目联系人：</w:t>
      </w:r>
      <w:r>
        <w:rPr>
          <w:rFonts w:hint="eastAsia" w:ascii="宋体" w:hAnsi="宋体" w:cs="宋体"/>
          <w:color w:val="auto"/>
          <w:sz w:val="24"/>
          <w:highlight w:val="none"/>
        </w:rPr>
        <w:t>顾先生</w:t>
      </w:r>
    </w:p>
    <w:p w14:paraId="47E3E81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联系方式</w:t>
      </w:r>
      <w:r>
        <w:rPr>
          <w:rFonts w:hint="eastAsia" w:ascii="宋体" w:hAnsi="宋体" w:cs="宋体"/>
          <w:color w:val="auto"/>
          <w:sz w:val="24"/>
          <w:highlight w:val="none"/>
        </w:rPr>
        <w:t>：</w:t>
      </w:r>
      <w:r>
        <w:rPr>
          <w:rFonts w:ascii="宋体" w:hAnsi="宋体" w:cs="宋体"/>
          <w:color w:val="auto"/>
          <w:sz w:val="24"/>
          <w:highlight w:val="none"/>
        </w:rPr>
        <w:t>0574-88506809</w:t>
      </w:r>
    </w:p>
    <w:p w14:paraId="0E286FFE">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2.采购代理机构信息            </w:t>
      </w:r>
    </w:p>
    <w:p w14:paraId="6D1178C7">
      <w:pPr>
        <w:shd w:val="clear"/>
        <w:spacing w:line="360" w:lineRule="auto"/>
        <w:ind w:firstLine="480"/>
        <w:rPr>
          <w:rFonts w:ascii="宋体" w:hAnsi="宋体"/>
          <w:color w:val="auto"/>
          <w:sz w:val="24"/>
          <w:highlight w:val="none"/>
        </w:rPr>
      </w:pPr>
      <w:r>
        <w:rPr>
          <w:rFonts w:hint="eastAsia" w:ascii="宋体" w:hAnsi="宋体" w:cs="仿宋"/>
          <w:color w:val="auto"/>
          <w:sz w:val="24"/>
          <w:highlight w:val="none"/>
        </w:rPr>
        <w:t>名    称：</w:t>
      </w:r>
      <w:r>
        <w:rPr>
          <w:rFonts w:hint="eastAsia" w:ascii="宋体" w:hAnsi="宋体"/>
          <w:color w:val="auto"/>
          <w:sz w:val="24"/>
          <w:highlight w:val="none"/>
        </w:rPr>
        <w:t>宁波敬信项目管理咨询有限公司</w:t>
      </w:r>
    </w:p>
    <w:p w14:paraId="36789785">
      <w:pPr>
        <w:shd w:val="clear"/>
        <w:spacing w:line="360" w:lineRule="auto"/>
        <w:ind w:firstLine="480"/>
        <w:rPr>
          <w:rFonts w:ascii="宋体" w:hAnsi="宋体" w:cs="仿宋"/>
          <w:color w:val="auto"/>
          <w:sz w:val="24"/>
          <w:highlight w:val="none"/>
        </w:rPr>
      </w:pPr>
      <w:r>
        <w:rPr>
          <w:rFonts w:hint="eastAsia" w:ascii="宋体" w:hAnsi="宋体" w:cs="仿宋"/>
          <w:color w:val="auto"/>
          <w:sz w:val="24"/>
          <w:highlight w:val="none"/>
        </w:rPr>
        <w:t>地    址：</w:t>
      </w:r>
      <w:r>
        <w:rPr>
          <w:rFonts w:hint="eastAsia"/>
          <w:color w:val="auto"/>
          <w:sz w:val="24"/>
          <w:highlight w:val="none"/>
        </w:rPr>
        <w:t>宁波市奉化区岳林东路商业二</w:t>
      </w:r>
      <w:r>
        <w:rPr>
          <w:color w:val="auto"/>
          <w:sz w:val="24"/>
          <w:highlight w:val="none"/>
        </w:rPr>
        <w:t>16</w:t>
      </w:r>
      <w:r>
        <w:rPr>
          <w:rFonts w:hint="eastAsia"/>
          <w:color w:val="auto"/>
          <w:sz w:val="24"/>
          <w:highlight w:val="none"/>
        </w:rPr>
        <w:t>幢</w:t>
      </w:r>
      <w:r>
        <w:rPr>
          <w:color w:val="auto"/>
          <w:sz w:val="24"/>
          <w:highlight w:val="none"/>
        </w:rPr>
        <w:t>502</w:t>
      </w:r>
      <w:r>
        <w:rPr>
          <w:rFonts w:hint="eastAsia"/>
          <w:color w:val="auto"/>
          <w:sz w:val="24"/>
          <w:highlight w:val="none"/>
        </w:rPr>
        <w:t>室（惠政丽都北门）</w:t>
      </w:r>
      <w:r>
        <w:rPr>
          <w:rFonts w:hint="eastAsia" w:ascii="宋体" w:hAnsi="宋体" w:cs="仿宋"/>
          <w:color w:val="auto"/>
          <w:sz w:val="24"/>
          <w:highlight w:val="none"/>
        </w:rPr>
        <w:t xml:space="preserve"> </w:t>
      </w:r>
    </w:p>
    <w:p w14:paraId="31DC6DC2">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传    真：</w:t>
      </w:r>
      <w:r>
        <w:rPr>
          <w:rFonts w:ascii="宋体" w:hAnsi="宋体"/>
          <w:color w:val="auto"/>
          <w:sz w:val="24"/>
          <w:highlight w:val="none"/>
        </w:rPr>
        <w:t>0574-88</w:t>
      </w:r>
      <w:r>
        <w:rPr>
          <w:rFonts w:hint="eastAsia" w:ascii="宋体" w:hAnsi="宋体"/>
          <w:color w:val="auto"/>
          <w:sz w:val="24"/>
          <w:highlight w:val="none"/>
        </w:rPr>
        <w:t>98638</w:t>
      </w:r>
      <w:r>
        <w:rPr>
          <w:rFonts w:hint="eastAsia" w:ascii="宋体" w:hAnsi="宋体"/>
          <w:color w:val="auto"/>
          <w:sz w:val="24"/>
          <w:highlight w:val="none"/>
          <w:lang w:val="en-US" w:eastAsia="zh-CN"/>
        </w:rPr>
        <w:t>6</w:t>
      </w:r>
      <w:r>
        <w:rPr>
          <w:rFonts w:hint="eastAsia" w:ascii="宋体" w:hAnsi="宋体" w:cs="仿宋"/>
          <w:color w:val="auto"/>
          <w:sz w:val="24"/>
          <w:highlight w:val="none"/>
        </w:rPr>
        <w:t xml:space="preserve">            </w:t>
      </w:r>
    </w:p>
    <w:p w14:paraId="1D7F0DAC">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项目联系人（询问）</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罗女士</w:t>
      </w:r>
      <w:r>
        <w:rPr>
          <w:rFonts w:hint="eastAsia" w:ascii="宋体" w:hAnsi="宋体" w:cs="仿宋"/>
          <w:color w:val="auto"/>
          <w:sz w:val="24"/>
          <w:highlight w:val="none"/>
        </w:rPr>
        <w:t xml:space="preserve">       </w:t>
      </w:r>
    </w:p>
    <w:p w14:paraId="5DA02D41">
      <w:pPr>
        <w:shd w:val="clear"/>
        <w:spacing w:line="360" w:lineRule="auto"/>
        <w:rPr>
          <w:rFonts w:hint="eastAsia" w:ascii="宋体" w:hAnsi="宋体" w:eastAsia="宋体" w:cs="仿宋"/>
          <w:color w:val="auto"/>
          <w:sz w:val="24"/>
          <w:highlight w:val="none"/>
          <w:lang w:eastAsia="zh-CN"/>
        </w:rPr>
      </w:pPr>
      <w:r>
        <w:rPr>
          <w:rFonts w:hint="eastAsia" w:ascii="宋体" w:hAnsi="宋体" w:cs="仿宋"/>
          <w:color w:val="auto"/>
          <w:sz w:val="24"/>
          <w:highlight w:val="none"/>
        </w:rPr>
        <w:t xml:space="preserve">    项目联系方式（询问）：</w:t>
      </w:r>
      <w:r>
        <w:rPr>
          <w:rFonts w:ascii="宋体" w:hAnsi="宋体"/>
          <w:color w:val="auto"/>
          <w:sz w:val="24"/>
          <w:highlight w:val="none"/>
        </w:rPr>
        <w:t>0574-88</w:t>
      </w:r>
      <w:r>
        <w:rPr>
          <w:rFonts w:hint="eastAsia" w:ascii="宋体" w:hAnsi="宋体"/>
          <w:color w:val="auto"/>
          <w:sz w:val="24"/>
          <w:highlight w:val="none"/>
        </w:rPr>
        <w:t>98638</w:t>
      </w:r>
      <w:r>
        <w:rPr>
          <w:rFonts w:hint="eastAsia" w:ascii="宋体" w:hAnsi="宋体"/>
          <w:color w:val="auto"/>
          <w:sz w:val="24"/>
          <w:highlight w:val="none"/>
          <w:lang w:val="en-US" w:eastAsia="zh-CN"/>
        </w:rPr>
        <w:t>6</w:t>
      </w:r>
    </w:p>
    <w:p w14:paraId="1C264C24">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质疑联系人：</w:t>
      </w:r>
      <w:r>
        <w:rPr>
          <w:rFonts w:hint="eastAsia" w:ascii="宋体" w:hAnsi="宋体"/>
          <w:color w:val="auto"/>
          <w:sz w:val="24"/>
          <w:highlight w:val="none"/>
        </w:rPr>
        <w:t>丁先生</w:t>
      </w:r>
      <w:r>
        <w:rPr>
          <w:rFonts w:hint="eastAsia" w:ascii="宋体" w:hAnsi="宋体" w:cs="仿宋"/>
          <w:color w:val="auto"/>
          <w:sz w:val="24"/>
          <w:highlight w:val="none"/>
        </w:rPr>
        <w:t xml:space="preserve">           </w:t>
      </w:r>
    </w:p>
    <w:p w14:paraId="3ED872E0">
      <w:pPr>
        <w:shd w:val="clear"/>
        <w:spacing w:line="360" w:lineRule="auto"/>
        <w:rPr>
          <w:rFonts w:hint="default" w:ascii="宋体" w:hAnsi="宋体" w:eastAsia="宋体" w:cs="仿宋"/>
          <w:color w:val="auto"/>
          <w:sz w:val="24"/>
          <w:highlight w:val="none"/>
          <w:lang w:val="en-US" w:eastAsia="zh-CN"/>
        </w:rPr>
      </w:pPr>
      <w:r>
        <w:rPr>
          <w:rFonts w:hint="eastAsia" w:ascii="宋体" w:hAnsi="宋体" w:cs="仿宋"/>
          <w:color w:val="auto"/>
          <w:sz w:val="24"/>
          <w:highlight w:val="none"/>
        </w:rPr>
        <w:t xml:space="preserve">    质疑联系方式：</w:t>
      </w:r>
      <w:r>
        <w:rPr>
          <w:rFonts w:hint="eastAsia" w:ascii="宋体" w:hAnsi="宋体"/>
          <w:color w:val="auto"/>
          <w:sz w:val="24"/>
          <w:szCs w:val="21"/>
          <w:highlight w:val="none"/>
        </w:rPr>
        <w:t>0574-889863</w:t>
      </w:r>
      <w:r>
        <w:rPr>
          <w:rFonts w:hint="eastAsia" w:ascii="宋体" w:hAnsi="宋体"/>
          <w:color w:val="auto"/>
          <w:sz w:val="24"/>
          <w:szCs w:val="21"/>
          <w:highlight w:val="none"/>
          <w:lang w:val="en-US" w:eastAsia="zh-CN"/>
        </w:rPr>
        <w:t>81</w:t>
      </w:r>
    </w:p>
    <w:p w14:paraId="15F6A3E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3.监督管理部门            </w:t>
      </w:r>
    </w:p>
    <w:p w14:paraId="38ED254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名    称：宁波市奉化区教育局监察（信访）室</w:t>
      </w:r>
    </w:p>
    <w:p w14:paraId="223B40A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址：宁波市奉化区桥西岸路南端128号</w:t>
      </w:r>
    </w:p>
    <w:p w14:paraId="74EA6224">
      <w:pPr>
        <w:shd w:val="clear"/>
        <w:spacing w:line="360" w:lineRule="auto"/>
        <w:ind w:firstLine="240"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传    真：</w:t>
      </w:r>
      <w:r>
        <w:rPr>
          <w:rFonts w:hint="eastAsia" w:ascii="宋体" w:hAnsi="宋体" w:cs="宋体"/>
          <w:bCs/>
          <w:color w:val="auto"/>
          <w:sz w:val="24"/>
          <w:highlight w:val="none"/>
        </w:rPr>
        <w:t>0574-88523822</w:t>
      </w:r>
      <w:r>
        <w:rPr>
          <w:rFonts w:hint="eastAsia" w:cs="仿宋" w:asciiTheme="majorEastAsia" w:hAnsiTheme="majorEastAsia" w:eastAsiaTheme="majorEastAsia"/>
          <w:color w:val="auto"/>
          <w:sz w:val="24"/>
          <w:highlight w:val="none"/>
        </w:rPr>
        <w:t xml:space="preserve"> </w:t>
      </w:r>
    </w:p>
    <w:p w14:paraId="7BB48A6A">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联 系 人 ：</w:t>
      </w:r>
      <w:r>
        <w:rPr>
          <w:rFonts w:hint="eastAsia" w:ascii="宋体" w:hAnsi="宋体" w:cs="宋体"/>
          <w:bCs/>
          <w:color w:val="auto"/>
          <w:sz w:val="24"/>
          <w:highlight w:val="none"/>
        </w:rPr>
        <w:t>毛先生</w:t>
      </w:r>
    </w:p>
    <w:p w14:paraId="1D14DEF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监督投诉电话：</w:t>
      </w:r>
      <w:r>
        <w:rPr>
          <w:rFonts w:hint="eastAsia" w:ascii="宋体" w:hAnsi="宋体" w:cs="宋体"/>
          <w:bCs/>
          <w:color w:val="auto"/>
          <w:sz w:val="24"/>
          <w:highlight w:val="none"/>
        </w:rPr>
        <w:t xml:space="preserve">0574-88523822  </w:t>
      </w:r>
      <w:r>
        <w:rPr>
          <w:rFonts w:hint="eastAsia" w:cs="仿宋" w:asciiTheme="majorEastAsia" w:hAnsiTheme="majorEastAsia" w:eastAsiaTheme="majorEastAsia"/>
          <w:color w:val="auto"/>
          <w:sz w:val="24"/>
          <w:highlight w:val="none"/>
        </w:rPr>
        <w:t xml:space="preserve">         </w:t>
      </w:r>
    </w:p>
    <w:p w14:paraId="5ED0414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若对项目采购电子交易系统操作有疑问，可登录乐采云（https://www.lecaiyun.com/），点击右侧咨询小采，获取采小蜜智能服务管家帮助，或拨打乐采云服务热线95763获取热线服务帮助。</w:t>
      </w:r>
    </w:p>
    <w:p w14:paraId="69118C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CA问题联系电话（人工）：汇信CA 400-888-4636；天谷CA 400-087-8198。</w:t>
      </w:r>
    </w:p>
    <w:p w14:paraId="62FA8F49">
      <w:pPr>
        <w:pStyle w:val="9"/>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cs="仿宋" w:asciiTheme="majorEastAsia" w:hAnsiTheme="majorEastAsia" w:eastAsiaTheme="majorEastAsia"/>
          <w:b/>
          <w:color w:val="auto"/>
          <w:sz w:val="36"/>
          <w:szCs w:val="20"/>
          <w:highlight w:val="none"/>
        </w:rPr>
        <w:br w:type="page"/>
      </w:r>
    </w:p>
    <w:p w14:paraId="31E17579">
      <w:pPr>
        <w:pStyle w:val="9"/>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7"/>
      <w:r>
        <w:rPr>
          <w:rFonts w:hint="eastAsia" w:cs="仿宋" w:asciiTheme="majorEastAsia" w:hAnsiTheme="majorEastAsia" w:eastAsiaTheme="majorEastAsia"/>
          <w:b/>
          <w:color w:val="auto"/>
          <w:sz w:val="36"/>
          <w:szCs w:val="20"/>
          <w:highlight w:val="none"/>
        </w:rPr>
        <w:t xml:space="preserve"> 投标须知</w:t>
      </w:r>
      <w:bookmarkEnd w:id="8"/>
    </w:p>
    <w:p w14:paraId="021E65CA">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tbl>
      <w:tblPr>
        <w:tblStyle w:val="18"/>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14:paraId="13266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74E4B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8123EA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14:paraId="7D0B05F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本项目的特别规定</w:t>
            </w:r>
          </w:p>
        </w:tc>
      </w:tr>
      <w:tr w14:paraId="79C7D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14:paraId="7D09D87C">
            <w:pPr>
              <w:shd w:val="clear"/>
              <w:snapToGrid w:val="0"/>
              <w:spacing w:line="360" w:lineRule="auto"/>
              <w:jc w:val="center"/>
              <w:rPr>
                <w:rFonts w:cs="仿宋" w:asciiTheme="majorEastAsia" w:hAnsiTheme="majorEastAsia" w:eastAsiaTheme="majorEastAsia"/>
                <w:color w:val="auto"/>
                <w:sz w:val="24"/>
                <w:highlight w:val="none"/>
              </w:rPr>
            </w:pPr>
          </w:p>
          <w:p w14:paraId="757D7F44">
            <w:pPr>
              <w:shd w:val="clear"/>
              <w:snapToGrid w:val="0"/>
              <w:spacing w:line="360" w:lineRule="auto"/>
              <w:jc w:val="center"/>
              <w:rPr>
                <w:rFonts w:cs="仿宋" w:asciiTheme="majorEastAsia" w:hAnsiTheme="majorEastAsia" w:eastAsiaTheme="majorEastAsia"/>
                <w:color w:val="auto"/>
                <w:sz w:val="24"/>
                <w:highlight w:val="none"/>
              </w:rPr>
            </w:pPr>
          </w:p>
          <w:p w14:paraId="231C2E7B">
            <w:pPr>
              <w:shd w:val="clear"/>
              <w:snapToGrid w:val="0"/>
              <w:spacing w:line="360" w:lineRule="auto"/>
              <w:jc w:val="center"/>
              <w:rPr>
                <w:rFonts w:cs="仿宋" w:asciiTheme="majorEastAsia" w:hAnsiTheme="majorEastAsia" w:eastAsiaTheme="majorEastAsia"/>
                <w:color w:val="auto"/>
                <w:sz w:val="24"/>
                <w:highlight w:val="none"/>
              </w:rPr>
            </w:pPr>
          </w:p>
          <w:p w14:paraId="6931FF39">
            <w:pPr>
              <w:shd w:val="clear"/>
              <w:snapToGrid w:val="0"/>
              <w:spacing w:line="360" w:lineRule="auto"/>
              <w:jc w:val="center"/>
              <w:rPr>
                <w:rFonts w:cs="仿宋" w:asciiTheme="majorEastAsia" w:hAnsiTheme="majorEastAsia" w:eastAsiaTheme="majorEastAsia"/>
                <w:color w:val="auto"/>
                <w:sz w:val="24"/>
                <w:highlight w:val="none"/>
              </w:rPr>
            </w:pPr>
          </w:p>
          <w:p w14:paraId="2FC8701F">
            <w:pPr>
              <w:shd w:val="clear"/>
              <w:snapToGrid w:val="0"/>
              <w:spacing w:line="360" w:lineRule="auto"/>
              <w:jc w:val="center"/>
              <w:rPr>
                <w:rFonts w:cs="仿宋" w:asciiTheme="majorEastAsia" w:hAnsiTheme="majorEastAsia" w:eastAsiaTheme="majorEastAsia"/>
                <w:color w:val="auto"/>
                <w:sz w:val="24"/>
                <w:highlight w:val="none"/>
              </w:rPr>
            </w:pPr>
          </w:p>
          <w:p w14:paraId="474B0A74">
            <w:pPr>
              <w:shd w:val="clear"/>
              <w:snapToGrid w:val="0"/>
              <w:spacing w:line="360" w:lineRule="auto"/>
              <w:jc w:val="center"/>
              <w:rPr>
                <w:rFonts w:cs="仿宋" w:asciiTheme="majorEastAsia" w:hAnsiTheme="majorEastAsia" w:eastAsiaTheme="majorEastAsia"/>
                <w:color w:val="auto"/>
                <w:sz w:val="24"/>
                <w:highlight w:val="none"/>
              </w:rPr>
            </w:pPr>
          </w:p>
          <w:p w14:paraId="2C986DB0">
            <w:pPr>
              <w:shd w:val="clear"/>
              <w:snapToGrid w:val="0"/>
              <w:spacing w:line="360" w:lineRule="auto"/>
              <w:jc w:val="center"/>
              <w:rPr>
                <w:rFonts w:cs="仿宋" w:asciiTheme="majorEastAsia" w:hAnsiTheme="majorEastAsia" w:eastAsiaTheme="majorEastAsia"/>
                <w:color w:val="auto"/>
                <w:sz w:val="24"/>
                <w:highlight w:val="none"/>
              </w:rPr>
            </w:pPr>
          </w:p>
          <w:p w14:paraId="497CF2C0">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926A3B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14:paraId="1B55DA43">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有关本项目实施所需的所有费用（含税费）均计入报价。</w:t>
            </w:r>
            <w:r>
              <w:rPr>
                <w:rFonts w:hint="eastAsia" w:cs="仿宋" w:asciiTheme="majorEastAsia" w:hAnsiTheme="majorEastAsia" w:eastAsiaTheme="majorEastAsia"/>
                <w:color w:val="auto"/>
                <w:sz w:val="24"/>
                <w:highlight w:val="none"/>
              </w:rPr>
              <w:t>开标一览表是报价的唯一载体</w:t>
            </w:r>
            <w:r>
              <w:rPr>
                <w:rFonts w:hint="eastAsia" w:cs="仿宋" w:asciiTheme="majorEastAsia" w:hAnsiTheme="majorEastAsia" w:eastAsiaTheme="majorEastAsia"/>
                <w:color w:val="auto"/>
                <w:kern w:val="0"/>
                <w:sz w:val="24"/>
                <w:highlight w:val="none"/>
                <w:lang w:val="zh-CN"/>
              </w:rPr>
              <w:t>。投标文件中价格全部采用人民币报价。招标文件未列明，而供应商认为必需的费用也需列入报价。</w:t>
            </w:r>
          </w:p>
          <w:p w14:paraId="591076C7">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投标报价出现下列情形的，投标无效：</w:t>
            </w:r>
          </w:p>
          <w:p w14:paraId="04F07ABC">
            <w:pPr>
              <w:shd w:val="clear"/>
              <w:snapToGrid w:val="0"/>
              <w:spacing w:line="360" w:lineRule="auto"/>
              <w:ind w:firstLine="241" w:firstLineChars="100"/>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投标文件出现不是唯一的、有选择性投标报价的；</w:t>
            </w:r>
          </w:p>
          <w:p w14:paraId="37A69AA1">
            <w:pPr>
              <w:shd w:val="clear"/>
              <w:snapToGrid w:val="0"/>
              <w:spacing w:line="360" w:lineRule="auto"/>
              <w:ind w:firstLine="241" w:firstLineChars="1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投标报价超过招标文件中规定的预算金额或者最高限价的;</w:t>
            </w:r>
          </w:p>
          <w:p w14:paraId="63483340">
            <w:pPr>
              <w:shd w:val="clear"/>
              <w:spacing w:line="360" w:lineRule="auto"/>
              <w:ind w:firstLine="241" w:firstLineChars="1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cs="仿宋" w:asciiTheme="majorEastAsia" w:hAnsiTheme="majorEastAsia" w:eastAsiaTheme="majorEastAsia"/>
                <w:b/>
                <w:color w:val="auto"/>
                <w:sz w:val="24"/>
                <w:szCs w:val="21"/>
                <w:highlight w:val="none"/>
              </w:rPr>
              <w:t>;</w:t>
            </w:r>
          </w:p>
          <w:p w14:paraId="52E50C6F">
            <w:pPr>
              <w:shd w:val="clear"/>
              <w:spacing w:line="360" w:lineRule="auto"/>
              <w:ind w:firstLine="241"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kern w:val="0"/>
                <w:sz w:val="24"/>
                <w:highlight w:val="none"/>
              </w:rPr>
              <w:t>供应商对根据修正原则修正后的报价不确认的</w:t>
            </w:r>
            <w:r>
              <w:rPr>
                <w:rFonts w:hint="eastAsia" w:cs="仿宋" w:asciiTheme="majorEastAsia" w:hAnsiTheme="majorEastAsia" w:eastAsiaTheme="majorEastAsia"/>
                <w:b/>
                <w:color w:val="auto"/>
                <w:sz w:val="24"/>
                <w:highlight w:val="none"/>
              </w:rPr>
              <w:t>。</w:t>
            </w:r>
          </w:p>
        </w:tc>
      </w:tr>
      <w:tr w14:paraId="45CD1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751FD1">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5E5C792">
            <w:pPr>
              <w:pStyle w:val="9"/>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28"/>
                <w:sz w:val="24"/>
                <w:szCs w:val="24"/>
                <w:highlight w:val="none"/>
              </w:rPr>
              <w:t>投标保证金</w:t>
            </w:r>
          </w:p>
        </w:tc>
        <w:tc>
          <w:tcPr>
            <w:tcW w:w="6662" w:type="dxa"/>
            <w:tcBorders>
              <w:top w:val="single" w:color="000000" w:sz="8" w:space="0"/>
              <w:left w:val="single" w:color="000000" w:sz="2" w:space="0"/>
              <w:bottom w:val="single" w:color="000000" w:sz="8" w:space="0"/>
              <w:right w:val="single" w:color="000000" w:sz="8" w:space="0"/>
            </w:tcBorders>
            <w:vAlign w:val="center"/>
          </w:tcPr>
          <w:p w14:paraId="0B82A582">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投标保证金：人民币壹万元整。投标保证金须从投标人的基本账户转出以非现金方式交纳，形式：单位网银、转账支票、银行汇票或汇兑。</w:t>
            </w:r>
          </w:p>
          <w:p w14:paraId="738C3472">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账户名：宁波市奉化区政务服务中心(区公共资源交易中心)</w:t>
            </w:r>
          </w:p>
          <w:p w14:paraId="449358F9">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账号：231000003436009010071</w:t>
            </w:r>
          </w:p>
          <w:p w14:paraId="2729236D">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开户行：宁波奉化农村商业银行股份有限公司锦屏支行</w:t>
            </w:r>
          </w:p>
          <w:p w14:paraId="3DD64FFE">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电话、传真：0574—88589092</w:t>
            </w:r>
          </w:p>
          <w:p w14:paraId="51D34381">
            <w:pPr>
              <w:shd w:val="clea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在本项目</w:t>
            </w: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bCs/>
                <w:color w:val="auto"/>
                <w:sz w:val="24"/>
                <w:highlight w:val="none"/>
              </w:rPr>
              <w:t>前</w:t>
            </w:r>
            <w:r>
              <w:rPr>
                <w:rFonts w:hint="eastAsia" w:ascii="宋体" w:hAnsi="宋体"/>
                <w:color w:val="auto"/>
                <w:sz w:val="24"/>
                <w:highlight w:val="none"/>
              </w:rPr>
              <w:t>须足额缴纳（以实际到账时间为准），并在汇款信息或转账支票中注明项目名称。</w:t>
            </w:r>
          </w:p>
          <w:p w14:paraId="4C681DC9">
            <w:pPr>
              <w:shd w:val="clear"/>
              <w:spacing w:line="360" w:lineRule="auto"/>
              <w:rPr>
                <w:rFonts w:cs="仿宋" w:asciiTheme="majorEastAsia" w:hAnsiTheme="majorEastAsia" w:eastAsiaTheme="majorEastAsia"/>
                <w:b/>
                <w:color w:val="auto"/>
                <w:kern w:val="0"/>
                <w:sz w:val="24"/>
                <w:highlight w:val="none"/>
              </w:rPr>
            </w:pPr>
            <w:r>
              <w:rPr>
                <w:rFonts w:hint="eastAsia" w:hAnsi="宋体"/>
                <w:b/>
                <w:color w:val="auto"/>
                <w:sz w:val="24"/>
                <w:highlight w:val="none"/>
              </w:rPr>
              <w:t>注：</w:t>
            </w:r>
            <w:r>
              <w:rPr>
                <w:rFonts w:hint="eastAsia" w:hAnsi="宋体"/>
                <w:color w:val="auto"/>
                <w:sz w:val="24"/>
                <w:highlight w:val="none"/>
              </w:rPr>
              <w:t>▲</w:t>
            </w:r>
            <w:r>
              <w:rPr>
                <w:rFonts w:hint="eastAsia" w:hAnsi="宋体"/>
                <w:b/>
                <w:color w:val="auto"/>
                <w:sz w:val="24"/>
                <w:highlight w:val="none"/>
              </w:rPr>
              <w:t>投标保证金按规定时间到账，超时的作无效标处理。</w:t>
            </w:r>
          </w:p>
        </w:tc>
      </w:tr>
      <w:tr w14:paraId="39609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CCF328">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79707EE">
            <w:pPr>
              <w:shd w:val="clear"/>
              <w:snapToGrid w:val="0"/>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14:paraId="3B4DAF3D">
            <w:pPr>
              <w:shd w:val="clear"/>
              <w:spacing w:line="360" w:lineRule="auto"/>
              <w:jc w:val="left"/>
              <w:rPr>
                <w:rFonts w:cs="仿宋" w:asciiTheme="majorEastAsia" w:hAnsiTheme="majorEastAsia" w:eastAsiaTheme="majorEastAsia"/>
                <w:color w:val="auto"/>
                <w:sz w:val="24"/>
                <w:highlight w:val="none"/>
              </w:rPr>
            </w:pPr>
            <w:r>
              <w:rPr>
                <w:rFonts w:hint="eastAsia" w:cs="仿宋" w:asciiTheme="minorEastAsia" w:hAnsiTheme="minorEastAsia" w:eastAsiaTheme="minorEastAsia"/>
                <w:color w:val="auto"/>
                <w:sz w:val="24"/>
                <w:highlight w:val="none"/>
              </w:rPr>
              <w:t>不同意分包。</w:t>
            </w:r>
          </w:p>
        </w:tc>
      </w:tr>
      <w:tr w14:paraId="7C10E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5F33C9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0D12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14:paraId="00FE386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资格证明文件：见招标文件第二部分9.1。</w:t>
            </w:r>
          </w:p>
          <w:p w14:paraId="6C29FAF8">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资格证明文件不全的或者不符合招标文件标明的资格要求的</w:t>
            </w:r>
            <w:r>
              <w:rPr>
                <w:rFonts w:hint="eastAsia" w:cs="仿宋" w:asciiTheme="majorEastAsia" w:hAnsiTheme="majorEastAsia" w:eastAsiaTheme="majorEastAsia"/>
                <w:color w:val="auto"/>
                <w:sz w:val="24"/>
                <w:highlight w:val="none"/>
                <w:lang w:val="zh-CN"/>
              </w:rPr>
              <w:t>，视为供应商不具备招标文件中规定的资格要求，投标无效。</w:t>
            </w:r>
          </w:p>
        </w:tc>
      </w:tr>
      <w:tr w14:paraId="282DF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1B058A6E">
            <w:pPr>
              <w:shd w:val="clear"/>
              <w:snapToGrid w:val="0"/>
              <w:spacing w:line="360" w:lineRule="auto"/>
              <w:jc w:val="center"/>
              <w:rPr>
                <w:rFonts w:cs="仿宋" w:asciiTheme="majorEastAsia" w:hAnsiTheme="majorEastAsia" w:eastAsiaTheme="majorEastAsia"/>
                <w:color w:val="auto"/>
                <w:sz w:val="24"/>
                <w:highlight w:val="none"/>
              </w:rPr>
            </w:pPr>
          </w:p>
          <w:p w14:paraId="5AF9C81A">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25CD94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14:paraId="781B5DF5">
            <w:pPr>
              <w:shd w:val="clear"/>
              <w:spacing w:line="360" w:lineRule="auto"/>
              <w:rPr>
                <w:rFonts w:ascii="仿宋" w:hAnsi="仿宋" w:eastAsia="仿宋" w:cs="仿宋"/>
                <w:color w:val="auto"/>
                <w:sz w:val="24"/>
                <w:szCs w:val="20"/>
                <w:highlight w:val="none"/>
              </w:rPr>
            </w:pPr>
            <w:r>
              <w:rPr>
                <w:rFonts w:hint="eastAsia" w:cs="仿宋" w:asciiTheme="minorEastAsia" w:hAnsiTheme="minorEastAsia" w:eastAsiaTheme="minorEastAsia"/>
                <w:color w:val="auto"/>
                <w:kern w:val="0"/>
                <w:sz w:val="24"/>
                <w:highlight w:val="none"/>
              </w:rPr>
              <w:t>自行踏勘</w:t>
            </w:r>
            <w:r>
              <w:rPr>
                <w:rFonts w:hint="eastAsia" w:cs="仿宋" w:asciiTheme="minorEastAsia" w:hAnsiTheme="minorEastAsia" w:eastAsiaTheme="minorEastAsia"/>
                <w:color w:val="auto"/>
                <w:sz w:val="24"/>
                <w:szCs w:val="20"/>
                <w:highlight w:val="none"/>
              </w:rPr>
              <w:t>。</w:t>
            </w:r>
          </w:p>
        </w:tc>
      </w:tr>
      <w:tr w14:paraId="739B2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BAFE2E">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1223B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14:paraId="59D8867D">
            <w:pPr>
              <w:shd w:val="clear"/>
              <w:spacing w:line="360" w:lineRule="auto"/>
              <w:rPr>
                <w:rFonts w:cs="仿宋" w:asciiTheme="minorEastAsia" w:hAnsiTheme="minorEastAsia" w:eastAsiaTheme="minorEastAsia"/>
                <w:color w:val="auto"/>
                <w:kern w:val="0"/>
                <w:sz w:val="24"/>
                <w:highlight w:val="none"/>
              </w:rPr>
            </w:pP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要求提供，</w:t>
            </w:r>
          </w:p>
          <w:p w14:paraId="210256EE">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（1）</w:t>
            </w:r>
            <w:r>
              <w:rPr>
                <w:rFonts w:hint="eastAsia" w:cs="仿宋" w:asciiTheme="minorEastAsia" w:hAnsiTheme="minorEastAsia" w:eastAsiaTheme="minorEastAsia"/>
                <w:snapToGrid w:val="0"/>
                <w:color w:val="auto"/>
                <w:kern w:val="28"/>
                <w:sz w:val="24"/>
                <w:highlight w:val="none"/>
              </w:rPr>
              <w:t>样品：</w:t>
            </w:r>
            <w:r>
              <w:rPr>
                <w:rFonts w:hint="eastAsia" w:ascii="宋体" w:hAnsi="宋体"/>
                <w:color w:val="auto"/>
                <w:sz w:val="24"/>
                <w:highlight w:val="none"/>
                <w:u w:val="single"/>
              </w:rPr>
              <w:t>详见</w:t>
            </w:r>
            <w:r>
              <w:rPr>
                <w:rFonts w:hint="eastAsia" w:cs="仿宋" w:asciiTheme="minorEastAsia" w:hAnsiTheme="minorEastAsia" w:eastAsiaTheme="minorEastAsia"/>
                <w:color w:val="auto"/>
                <w:sz w:val="24"/>
                <w:highlight w:val="none"/>
                <w:u w:val="single"/>
              </w:rPr>
              <w:t>第三部分 采购需求</w:t>
            </w:r>
            <w:r>
              <w:rPr>
                <w:rFonts w:hint="eastAsia" w:cs="仿宋" w:asciiTheme="minorEastAsia" w:hAnsiTheme="minorEastAsia" w:eastAsiaTheme="minorEastAsia"/>
                <w:color w:val="auto"/>
                <w:kern w:val="0"/>
                <w:sz w:val="24"/>
                <w:highlight w:val="none"/>
              </w:rPr>
              <w:t>；</w:t>
            </w:r>
          </w:p>
          <w:p w14:paraId="392041F1">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w:t>
            </w:r>
            <w:r>
              <w:rPr>
                <w:rFonts w:hint="eastAsia" w:cs="仿宋" w:asciiTheme="minorEastAsia" w:hAnsiTheme="minorEastAsia" w:eastAsiaTheme="minorEastAsia"/>
                <w:snapToGrid w:val="0"/>
                <w:color w:val="auto"/>
                <w:kern w:val="28"/>
                <w:sz w:val="24"/>
                <w:highlight w:val="none"/>
              </w:rPr>
              <w:t>样品的标准和要求：</w:t>
            </w:r>
            <w:r>
              <w:rPr>
                <w:rFonts w:hint="eastAsia" w:cs="仿宋" w:asciiTheme="minorEastAsia" w:hAnsiTheme="minorEastAsia" w:eastAsiaTheme="minorEastAsia"/>
                <w:color w:val="auto"/>
                <w:sz w:val="24"/>
                <w:highlight w:val="none"/>
                <w:u w:val="single"/>
              </w:rPr>
              <w:t>详见第三部分 采购需求</w:t>
            </w:r>
            <w:r>
              <w:rPr>
                <w:rFonts w:hint="eastAsia" w:cs="仿宋" w:asciiTheme="minorEastAsia" w:hAnsiTheme="minorEastAsia" w:eastAsiaTheme="minorEastAsia"/>
                <w:color w:val="auto"/>
                <w:kern w:val="0"/>
                <w:sz w:val="24"/>
                <w:highlight w:val="none"/>
              </w:rPr>
              <w:t>；</w:t>
            </w:r>
          </w:p>
          <w:p w14:paraId="0DCCC768">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（3）样品的评审方法以及评审标准</w:t>
            </w:r>
            <w:r>
              <w:rPr>
                <w:rFonts w:hint="eastAsia" w:cs="仿宋" w:asciiTheme="minorEastAsia" w:hAnsiTheme="minorEastAsia" w:eastAsiaTheme="minorEastAsia"/>
                <w:snapToGrid w:val="0"/>
                <w:color w:val="auto"/>
                <w:kern w:val="28"/>
                <w:sz w:val="24"/>
                <w:highlight w:val="none"/>
              </w:rPr>
              <w:t>：</w:t>
            </w:r>
            <w:r>
              <w:rPr>
                <w:rFonts w:hint="eastAsia" w:cs="仿宋" w:asciiTheme="minorEastAsia" w:hAnsiTheme="minorEastAsia" w:eastAsiaTheme="minorEastAsia"/>
                <w:snapToGrid w:val="0"/>
                <w:color w:val="auto"/>
                <w:kern w:val="28"/>
                <w:sz w:val="24"/>
                <w:highlight w:val="none"/>
                <w:u w:val="single"/>
              </w:rPr>
              <w:t>详见</w:t>
            </w:r>
            <w:r>
              <w:rPr>
                <w:rFonts w:hint="eastAsia" w:cs="仿宋" w:asciiTheme="minorEastAsia" w:hAnsiTheme="minorEastAsia" w:eastAsiaTheme="minorEastAsia"/>
                <w:color w:val="auto"/>
                <w:sz w:val="24"/>
                <w:highlight w:val="none"/>
                <w:u w:val="single"/>
              </w:rPr>
              <w:t>第四部分 评标办法</w:t>
            </w:r>
            <w:r>
              <w:rPr>
                <w:rFonts w:hint="eastAsia" w:cs="仿宋" w:asciiTheme="minorEastAsia" w:hAnsiTheme="minorEastAsia" w:eastAsiaTheme="minorEastAsia"/>
                <w:color w:val="auto"/>
                <w:kern w:val="0"/>
                <w:sz w:val="24"/>
                <w:highlight w:val="none"/>
              </w:rPr>
              <w:t>；</w:t>
            </w:r>
          </w:p>
          <w:p w14:paraId="18ED394C">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（4）是否需要随样品提交检测报告：</w:t>
            </w: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否；</w:t>
            </w:r>
          </w:p>
          <w:p w14:paraId="420FD52F">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（5）提供样品的时间：</w:t>
            </w:r>
            <w:r>
              <w:rPr>
                <w:rFonts w:hint="eastAsia" w:cs="仿宋" w:asciiTheme="majorEastAsia" w:hAnsiTheme="majorEastAsia" w:eastAsiaTheme="majorEastAsia"/>
                <w:color w:val="auto"/>
                <w:sz w:val="24"/>
                <w:highlight w:val="none"/>
                <w:u w:val="single"/>
              </w:rPr>
              <w:t>投标截止时间</w:t>
            </w:r>
            <w:r>
              <w:rPr>
                <w:rFonts w:hint="eastAsia" w:cs="仿宋" w:asciiTheme="minorEastAsia" w:hAnsiTheme="minorEastAsia" w:eastAsiaTheme="minorEastAsia"/>
                <w:color w:val="auto"/>
                <w:sz w:val="24"/>
                <w:highlight w:val="none"/>
                <w:u w:val="single"/>
              </w:rPr>
              <w:t>前（法定节假日除外）</w:t>
            </w:r>
            <w:r>
              <w:rPr>
                <w:rFonts w:hint="eastAsia" w:cs="仿宋" w:asciiTheme="minorEastAsia" w:hAnsiTheme="minorEastAsia" w:eastAsiaTheme="minorEastAsia"/>
                <w:color w:val="auto"/>
                <w:kern w:val="0"/>
                <w:sz w:val="24"/>
                <w:highlight w:val="none"/>
              </w:rPr>
              <w:t>；地点：</w:t>
            </w:r>
            <w:r>
              <w:rPr>
                <w:rFonts w:hint="eastAsia" w:cs="仿宋" w:asciiTheme="minorEastAsia" w:hAnsiTheme="minorEastAsia" w:eastAsiaTheme="minorEastAsia"/>
                <w:color w:val="auto"/>
                <w:kern w:val="0"/>
                <w:sz w:val="24"/>
                <w:highlight w:val="none"/>
                <w:u w:val="single"/>
              </w:rPr>
              <w:t>奉化区公共资源交易中心</w:t>
            </w:r>
            <w:r>
              <w:rPr>
                <w:rFonts w:hint="eastAsia" w:cs="仿宋" w:asciiTheme="minorEastAsia" w:hAnsiTheme="minorEastAsia" w:eastAsiaTheme="minorEastAsia"/>
                <w:color w:val="auto"/>
                <w:sz w:val="24"/>
                <w:highlight w:val="none"/>
                <w:u w:val="single"/>
              </w:rPr>
              <w:t>样品室</w:t>
            </w:r>
            <w:r>
              <w:rPr>
                <w:rFonts w:hint="eastAsia" w:cs="仿宋" w:asciiTheme="minorEastAsia" w:hAnsiTheme="minorEastAsia" w:eastAsiaTheme="minorEastAsia"/>
                <w:color w:val="auto"/>
                <w:kern w:val="0"/>
                <w:sz w:val="24"/>
                <w:highlight w:val="none"/>
              </w:rPr>
              <w:t>；联系人</w:t>
            </w: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auto"/>
                <w:sz w:val="24"/>
                <w:highlight w:val="none"/>
                <w:u w:val="single"/>
              </w:rPr>
              <w:t>丁先生</w:t>
            </w: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auto"/>
                <w:kern w:val="28"/>
                <w:sz w:val="24"/>
                <w:highlight w:val="none"/>
              </w:rPr>
              <w:t>联系电话：</w:t>
            </w:r>
            <w:r>
              <w:rPr>
                <w:rFonts w:cs="仿宋" w:asciiTheme="minorEastAsia" w:hAnsiTheme="minorEastAsia" w:eastAsiaTheme="minorEastAsia"/>
                <w:color w:val="auto"/>
                <w:sz w:val="24"/>
                <w:highlight w:val="none"/>
                <w:u w:val="single"/>
              </w:rPr>
              <w:t>13777265503</w:t>
            </w:r>
            <w:r>
              <w:rPr>
                <w:rFonts w:hint="eastAsia" w:cs="仿宋" w:asciiTheme="minorEastAsia" w:hAnsiTheme="minorEastAsia" w:eastAsiaTheme="minorEastAsia"/>
                <w:color w:val="auto"/>
                <w:sz w:val="24"/>
                <w:highlight w:val="none"/>
              </w:rPr>
              <w:t>。请</w:t>
            </w:r>
            <w:r>
              <w:rPr>
                <w:rFonts w:hint="eastAsia" w:cs="仿宋" w:asciiTheme="minorEastAsia" w:hAnsiTheme="minorEastAsia" w:eastAsiaTheme="minorEastAsia"/>
                <w:color w:val="auto"/>
                <w:kern w:val="0"/>
                <w:sz w:val="24"/>
                <w:highlight w:val="none"/>
                <w:lang w:val="zh-CN"/>
              </w:rPr>
              <w:t>供应商</w:t>
            </w:r>
            <w:r>
              <w:rPr>
                <w:rFonts w:hint="eastAsia" w:cs="仿宋" w:asciiTheme="minorEastAsia" w:hAnsiTheme="minorEastAsia" w:eastAsiaTheme="minorEastAsia"/>
                <w:color w:val="auto"/>
                <w:sz w:val="24"/>
                <w:highlight w:val="none"/>
              </w:rPr>
              <w:t>在上述时间内提供样品并按规定位置摆放完毕。超过截止时间的，采购人或采购代理机构将不予接收，并将清场并封闭样品现场。</w:t>
            </w:r>
          </w:p>
          <w:p w14:paraId="7746C00C">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79015BF">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（7）制作、运输、安装和保管样品所发生的一切费用由</w:t>
            </w:r>
            <w:r>
              <w:rPr>
                <w:rFonts w:hint="eastAsia" w:cs="仿宋" w:asciiTheme="minorEastAsia" w:hAnsiTheme="minorEastAsia" w:eastAsiaTheme="minorEastAsia"/>
                <w:color w:val="auto"/>
                <w:kern w:val="0"/>
                <w:sz w:val="24"/>
                <w:highlight w:val="none"/>
                <w:lang w:val="zh-CN"/>
              </w:rPr>
              <w:t>供应商承担</w:t>
            </w:r>
            <w:r>
              <w:rPr>
                <w:rFonts w:hint="eastAsia" w:cs="仿宋" w:asciiTheme="minorEastAsia" w:hAnsiTheme="minorEastAsia" w:eastAsiaTheme="minorEastAsia"/>
                <w:color w:val="auto"/>
                <w:sz w:val="24"/>
                <w:highlight w:val="none"/>
              </w:rPr>
              <w:t>。</w:t>
            </w:r>
          </w:p>
        </w:tc>
      </w:tr>
      <w:tr w14:paraId="50EAF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AD71739">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5A42814E">
            <w:pPr>
              <w:shd w:val="clear"/>
              <w:snapToGrid w:val="0"/>
              <w:spacing w:line="360" w:lineRule="auto"/>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14:paraId="335291C0">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sym w:font="Wingdings" w:char="F0FE"/>
            </w:r>
            <w:r>
              <w:rPr>
                <w:rFonts w:hint="eastAsia" w:cs="仿宋" w:asciiTheme="minorEastAsia" w:hAnsiTheme="minorEastAsia" w:eastAsiaTheme="minorEastAsia"/>
                <w:color w:val="auto"/>
                <w:sz w:val="24"/>
                <w:highlight w:val="none"/>
              </w:rPr>
              <w:t>组织。</w:t>
            </w:r>
          </w:p>
          <w:p w14:paraId="7A27EDD2">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具体要求详见评分标准。</w:t>
            </w:r>
          </w:p>
          <w:p w14:paraId="25BF2B10">
            <w:pPr>
              <w:shd w:val="clear"/>
              <w:spacing w:line="360" w:lineRule="auto"/>
              <w:ind w:firstLine="480" w:firstLineChars="200"/>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在评标时安排每个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进行方案讲解演示。讲解前，每个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均需在开标厅内等候，每个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时间不超过</w:t>
            </w:r>
            <w:r>
              <w:rPr>
                <w:rFonts w:hint="eastAsia" w:cs="仿宋" w:asciiTheme="minorEastAsia" w:hAnsiTheme="minorEastAsia" w:eastAsiaTheme="minorEastAsia"/>
                <w:color w:val="auto"/>
                <w:sz w:val="24"/>
                <w:highlight w:val="none"/>
                <w:u w:val="single"/>
              </w:rPr>
              <w:t>10</w:t>
            </w:r>
            <w:r>
              <w:rPr>
                <w:rFonts w:hint="eastAsia" w:cs="仿宋" w:asciiTheme="minorEastAsia" w:hAnsiTheme="minorEastAsia" w:eastAsiaTheme="minorEastAsia"/>
                <w:color w:val="auto"/>
                <w:sz w:val="24"/>
                <w:highlight w:val="none"/>
              </w:rPr>
              <w:t>分钟，讲解次序以投标文件解密时间先后次序为准，讲解演示人员不超过</w:t>
            </w:r>
            <w:r>
              <w:rPr>
                <w:rFonts w:hint="eastAsia" w:cs="仿宋" w:asciiTheme="minorEastAsia" w:hAnsiTheme="minorEastAsia" w:eastAsiaTheme="minorEastAsia"/>
                <w:color w:val="auto"/>
                <w:sz w:val="24"/>
                <w:highlight w:val="none"/>
                <w:u w:val="single"/>
              </w:rPr>
              <w:t>1</w:t>
            </w:r>
            <w:r>
              <w:rPr>
                <w:rFonts w:hint="eastAsia" w:cs="仿宋" w:asciiTheme="minorEastAsia" w:hAnsiTheme="minorEastAsia" w:eastAsiaTheme="minorEastAsia"/>
                <w:color w:val="auto"/>
                <w:sz w:val="24"/>
                <w:highlight w:val="none"/>
              </w:rPr>
              <w:t>人。讲解演示结束后按要求解答评标委员会提问。</w:t>
            </w:r>
          </w:p>
        </w:tc>
      </w:tr>
      <w:tr w14:paraId="6C2795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6818053">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43B9525">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6DD7D3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本项目不允许采购进口产品。</w:t>
            </w:r>
          </w:p>
        </w:tc>
      </w:tr>
      <w:tr w14:paraId="083ED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CF6476F">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47A8021">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360AF5D8">
            <w:pPr>
              <w:shd w:val="clear"/>
              <w:spacing w:line="360" w:lineRule="auto"/>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sz w:val="24"/>
                <w:highlight w:val="none"/>
              </w:rPr>
              <w:t>货物类，单一产品或</w:t>
            </w:r>
            <w:r>
              <w:rPr>
                <w:rFonts w:hint="eastAsia" w:cs="仿宋" w:asciiTheme="majorEastAsia" w:hAnsiTheme="majorEastAsia" w:eastAsiaTheme="majorEastAsia"/>
                <w:color w:val="auto"/>
                <w:kern w:val="0"/>
                <w:sz w:val="24"/>
                <w:highlight w:val="none"/>
              </w:rPr>
              <w:t>核心产品为：</w:t>
            </w:r>
            <w:r>
              <w:rPr>
                <w:rFonts w:hint="eastAsia" w:cs="仿宋" w:asciiTheme="majorEastAsia" w:hAnsiTheme="majorEastAsia" w:eastAsiaTheme="majorEastAsia"/>
                <w:color w:val="auto"/>
                <w:kern w:val="0"/>
                <w:sz w:val="24"/>
                <w:highlight w:val="none"/>
                <w:u w:val="single"/>
              </w:rPr>
              <w:t>木屋功能架组合</w:t>
            </w:r>
            <w:r>
              <w:rPr>
                <w:rFonts w:hint="eastAsia" w:cs="仿宋" w:asciiTheme="majorEastAsia" w:hAnsiTheme="majorEastAsia" w:eastAsiaTheme="majorEastAsia"/>
                <w:color w:val="auto"/>
                <w:sz w:val="24"/>
                <w:highlight w:val="none"/>
              </w:rPr>
              <w:t>。</w:t>
            </w:r>
          </w:p>
          <w:p w14:paraId="47B80D1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多家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提供相同品牌产品（单一产品采购项目中的该产品或者非单一产品采购项目的核心产品）且通过资格审查、符合性审查的不同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参加同一合同项下投标的，按一家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计算，评审后得分最高的同品牌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获得中标人推荐资格；评审得分相同的，报价评审得分最高的同品牌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获得中标人推荐资格；评审得分和报价评审得分均相同的，由采购人或评标委员会采取随机抽取方式确定，其他同品牌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不作为中标候选人。</w:t>
            </w:r>
          </w:p>
        </w:tc>
      </w:tr>
      <w:tr w14:paraId="579F2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3F16EE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860A00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14:paraId="01236F50">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标的：</w:t>
            </w:r>
            <w:r>
              <w:rPr>
                <w:rFonts w:hint="eastAsia" w:cs="仿宋" w:asciiTheme="majorEastAsia" w:hAnsiTheme="majorEastAsia" w:eastAsiaTheme="majorEastAsia"/>
                <w:color w:val="auto"/>
                <w:kern w:val="0"/>
                <w:sz w:val="24"/>
                <w:highlight w:val="none"/>
                <w:u w:val="single"/>
              </w:rPr>
              <w:t>详见“采购清单”</w:t>
            </w:r>
            <w:r>
              <w:rPr>
                <w:rFonts w:hint="eastAsia" w:cs="仿宋" w:asciiTheme="majorEastAsia" w:hAnsiTheme="majorEastAsia" w:eastAsiaTheme="majorEastAsia"/>
                <w:color w:val="auto"/>
                <w:kern w:val="0"/>
                <w:sz w:val="24"/>
                <w:highlight w:val="none"/>
              </w:rPr>
              <w:t>，属于</w:t>
            </w:r>
            <w:r>
              <w:rPr>
                <w:rFonts w:hint="eastAsia" w:cs="仿宋" w:asciiTheme="majorEastAsia" w:hAnsiTheme="majorEastAsia" w:eastAsiaTheme="majorEastAsia"/>
                <w:color w:val="auto"/>
                <w:kern w:val="0"/>
                <w:sz w:val="24"/>
                <w:highlight w:val="none"/>
                <w:u w:val="single"/>
              </w:rPr>
              <w:t>工业</w:t>
            </w:r>
            <w:r>
              <w:rPr>
                <w:rFonts w:hint="eastAsia" w:cs="仿宋" w:asciiTheme="majorEastAsia" w:hAnsiTheme="majorEastAsia" w:eastAsiaTheme="majorEastAsia"/>
                <w:color w:val="auto"/>
                <w:kern w:val="0"/>
                <w:sz w:val="24"/>
                <w:highlight w:val="none"/>
              </w:rPr>
              <w:t>行业。</w:t>
            </w:r>
          </w:p>
        </w:tc>
      </w:tr>
      <w:tr w14:paraId="71166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vAlign w:val="center"/>
          </w:tcPr>
          <w:p w14:paraId="509FE65D">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68924E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14:paraId="734967F6">
            <w:pPr>
              <w:shd w:val="clear"/>
              <w:spacing w:line="360" w:lineRule="auto"/>
              <w:rPr>
                <w:rFonts w:cs="仿宋" w:asciiTheme="majorEastAsia" w:hAnsiTheme="majorEastAsia" w:eastAsiaTheme="majorEastAsia"/>
                <w:snapToGrid w:val="0"/>
                <w:color w:val="auto"/>
                <w:kern w:val="28"/>
                <w:sz w:val="24"/>
                <w:highlight w:val="none"/>
              </w:rPr>
            </w:pPr>
            <w:r>
              <w:rPr>
                <w:rFonts w:hint="eastAsia" w:ascii="宋体" w:hAnsi="宋体" w:cs="宋体"/>
                <w:color w:val="auto"/>
                <w:sz w:val="24"/>
                <w:highlight w:val="none"/>
              </w:rPr>
              <w:t>本项目中标服务费</w:t>
            </w:r>
            <w:r>
              <w:rPr>
                <w:rFonts w:hint="eastAsia" w:ascii="宋体" w:hAnsi="宋体" w:cs="宋体"/>
                <w:color w:val="auto"/>
                <w:sz w:val="24"/>
                <w:highlight w:val="none"/>
                <w:u w:val="single"/>
              </w:rPr>
              <w:t xml:space="preserve"> 17800 </w:t>
            </w:r>
            <w:r>
              <w:rPr>
                <w:rFonts w:hint="eastAsia" w:ascii="宋体" w:hAnsi="宋体" w:cs="宋体"/>
                <w:color w:val="auto"/>
                <w:sz w:val="24"/>
                <w:highlight w:val="none"/>
              </w:rPr>
              <w:t>元中标人应在本公司发出中标通知书5个工作日内向本招标公司支付中标服务费。中标服务费只收现金、银行票汇款、电汇款。</w:t>
            </w:r>
          </w:p>
        </w:tc>
      </w:tr>
      <w:bookmarkEnd w:id="9"/>
    </w:tbl>
    <w:p w14:paraId="7F22BACE">
      <w:pPr>
        <w:shd w:val="clear"/>
        <w:spacing w:line="360" w:lineRule="auto"/>
        <w:ind w:firstLine="3845" w:firstLineChars="1197"/>
        <w:outlineLvl w:val="0"/>
        <w:rPr>
          <w:rFonts w:cs="仿宋" w:asciiTheme="majorEastAsia" w:hAnsiTheme="majorEastAsia" w:eastAsiaTheme="majorEastAsia"/>
          <w:b/>
          <w:color w:val="auto"/>
          <w:sz w:val="32"/>
          <w:szCs w:val="20"/>
          <w:highlight w:val="none"/>
        </w:rPr>
      </w:pPr>
      <w:bookmarkStart w:id="10" w:name="_Toc164416483"/>
      <w:bookmarkStart w:id="11" w:name="第三部分"/>
      <w:r>
        <w:rPr>
          <w:rFonts w:cs="仿宋" w:asciiTheme="majorEastAsia" w:hAnsiTheme="majorEastAsia" w:eastAsiaTheme="majorEastAsia"/>
          <w:b/>
          <w:color w:val="auto"/>
          <w:sz w:val="32"/>
          <w:szCs w:val="20"/>
          <w:highlight w:val="none"/>
        </w:rPr>
        <w:br w:type="page"/>
      </w:r>
      <w:r>
        <w:rPr>
          <w:rFonts w:hint="eastAsia" w:cs="仿宋" w:asciiTheme="majorEastAsia" w:hAnsiTheme="majorEastAsia" w:eastAsiaTheme="majorEastAsia"/>
          <w:b/>
          <w:color w:val="auto"/>
          <w:sz w:val="32"/>
          <w:szCs w:val="20"/>
          <w:highlight w:val="none"/>
        </w:rPr>
        <w:t>一、总则</w:t>
      </w:r>
    </w:p>
    <w:p w14:paraId="0051082E">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适用范围</w:t>
      </w:r>
    </w:p>
    <w:p w14:paraId="77102B40">
      <w:pPr>
        <w:shd w:val="clear"/>
        <w:snapToGrid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68BB4EC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定义</w:t>
      </w:r>
    </w:p>
    <w:p w14:paraId="1714E58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2C097D1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53F0249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”系指是指响应招标、参加投标竞争的法人、其他组织或者自然人。</w:t>
      </w:r>
    </w:p>
    <w:p w14:paraId="7F1EC79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 “负责人”系指法人企业的法定负责人，或其他组织为法律、行政法规规定代表单位行使职权的主要负责人，或自然人本人。</w:t>
      </w:r>
    </w:p>
    <w:p w14:paraId="6EFB28A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2.5“电子签名”系指数据电文中以电子形式所含、所附用于识别签名人身份并表明签名人认可其中内容的数据；“公章”系指单位法定名称章。</w:t>
      </w:r>
    </w:p>
    <w:p w14:paraId="2D88C70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2.6“电子交易平台”是指本项目采购活动所依托的采购云平台（https://www.lecaiyun.com/）。</w:t>
      </w:r>
    </w:p>
    <w:p w14:paraId="13BB049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 “▲” 系指实质性要求条款，“</w:t>
      </w:r>
      <w:r>
        <w:rPr>
          <w:rFonts w:ascii="Wingdings" w:hAnsi="Wingdings" w:eastAsia="仿宋" w:cs="仿宋"/>
          <w:color w:val="auto"/>
          <w:kern w:val="0"/>
          <w:sz w:val="24"/>
          <w:highlight w:val="none"/>
        </w:rPr>
        <w:t></w:t>
      </w:r>
      <w:r>
        <w:rPr>
          <w:rFonts w:hint="eastAsia" w:cs="仿宋" w:asciiTheme="majorEastAsia" w:hAnsiTheme="majorEastAsia" w:eastAsiaTheme="majorEastAsia"/>
          <w:color w:val="auto"/>
          <w:sz w:val="24"/>
          <w:highlight w:val="none"/>
        </w:rPr>
        <w:t>” 系指适用本项目的要求，“</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color w:val="auto"/>
          <w:sz w:val="24"/>
          <w:highlight w:val="none"/>
        </w:rPr>
        <w:t>” 系指不适用本项目的要求。</w:t>
      </w:r>
    </w:p>
    <w:p w14:paraId="61F9D470">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采购项目需要落实的政府采购政策</w:t>
      </w:r>
    </w:p>
    <w:p w14:paraId="7F07B9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5EA9BB3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3.2支持绿色发展</w:t>
      </w:r>
    </w:p>
    <w:p w14:paraId="716B30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3.3支持中小企业发展</w:t>
      </w:r>
    </w:p>
    <w:p w14:paraId="38EDD8C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65AED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符合中小企业划分标准的个体工商户，在政府采购活动中视同中小企业。</w:t>
      </w:r>
    </w:p>
    <w:p w14:paraId="7E5E9B1C">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Cs/>
          <w:color w:val="auto"/>
          <w:sz w:val="24"/>
          <w:highlight w:val="none"/>
        </w:rPr>
        <w:t>3.3.2</w:t>
      </w:r>
      <w:r>
        <w:rPr>
          <w:rFonts w:hint="eastAsia" w:cs="仿宋" w:asciiTheme="majorEastAsia" w:hAnsiTheme="majorEastAsia" w:eastAsiaTheme="majorEastAsia"/>
          <w:color w:val="auto"/>
          <w:kern w:val="0"/>
          <w:sz w:val="24"/>
          <w:highlight w:val="none"/>
        </w:rPr>
        <w:t>在政府采购活动中，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提供的货物、工程或者服务符合下列情形的，享受中小企业扶持政策：</w:t>
      </w:r>
    </w:p>
    <w:p w14:paraId="1301BB93">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3.3.2.1在货物采购项目中，货物由中小企业制造，即货物由中小企业生产且使用该中小企业商号或者注册商标；</w:t>
      </w:r>
    </w:p>
    <w:p w14:paraId="390672E9">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3.3.2.2在工程采购项目中，工程由中小企业承建，即工程施工单位为中小企业；</w:t>
      </w:r>
    </w:p>
    <w:p w14:paraId="452531FE">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3.3.2.3在服务采购项目中，服务由中小企业承接，即提供服务的人员为中小企业依照《中华人民共和国劳动合同法》订立劳动合同的从业人员。</w:t>
      </w:r>
    </w:p>
    <w:p w14:paraId="3630E2A1">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在货物采购项目中，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提供的货物既有中小企业制造货物，也有大型企业制造货物的，不享受中小企业扶持政策。</w:t>
      </w:r>
    </w:p>
    <w:p w14:paraId="290AA832">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以联合体形式参加政府采购活动，联合体各方均为中小企业的，联合体视同中小企业。其中，联合体各方均为小微企业的，联合体视同小微企业。</w:t>
      </w:r>
    </w:p>
    <w:p w14:paraId="7F6A38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74BBB7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3.3.4符合《关于促进残疾人就业政府采购政策的通知》（财库〔2017〕141号）规定的条件并提供《残疾人福利性单位声明函》的残疾人福利性单位视同小型、微型企业；</w:t>
      </w:r>
    </w:p>
    <w:p w14:paraId="312B34A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F65780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3.3.6可享受中小企业扶持政策的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应按照招标文件格式要求提供《中小企业声明函》，</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提供的《中小企业声明函》与实际情况不符的，不享受中小企业扶持政策。声明内容不实的，属于提供虚假材料谋取中标、成交的，依法承担法律责任。</w:t>
      </w:r>
    </w:p>
    <w:p w14:paraId="636154A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3.3.7中小企业享受扶持政策获得政府采购合同的，小微企业不得将合同分包给大中型企业，中型企业不得将合同分包给大型企业。</w:t>
      </w:r>
    </w:p>
    <w:p w14:paraId="20DC75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w:t>
      </w:r>
    </w:p>
    <w:p w14:paraId="5FB3A23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4.1关于分公司投标</w:t>
      </w:r>
    </w:p>
    <w:p w14:paraId="58A5B3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除银行、保险、石油石化、电力、电信等特殊行业外。法人的分支机构由于不能独立承担民事责任，不能以分支机构的身份参加政府采购，只能以法人身份参加。 </w:t>
      </w:r>
    </w:p>
    <w:p w14:paraId="7D619D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4.2关于知识产权</w:t>
      </w:r>
    </w:p>
    <w:p w14:paraId="54868A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w:t>
      </w:r>
    </w:p>
    <w:p w14:paraId="3A14BCA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4.2.2 投标报价应包含所有应向所有权人支付的专利权、商标权或其它知识产权的一切相关费用。</w:t>
      </w:r>
    </w:p>
    <w:p w14:paraId="0A8327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4.2.3 系统软件、通用软件必须是具有在中国境内的合法使用权或版权的正版软件，涉及到第三方提出侵权或知识产权的起诉及支付版税等费用由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承担所有责任及费用。</w:t>
      </w:r>
    </w:p>
    <w:p w14:paraId="55EC549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的风险</w:t>
      </w:r>
    </w:p>
    <w:p w14:paraId="3CF66E3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应详细阅读招标文件中的全部内容和要求，按照招标文件的要求提交投标文件，没有按照招标文件要求提供投标文件和资料导致的风险由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承担,并对所提供的全部资料的真实性承担法律责任。</w:t>
      </w:r>
    </w:p>
    <w:p w14:paraId="0A8B5E9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 无论因何种原因导致本次采购活动终止致</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损失的，相关责任人均不承担任何责任。</w:t>
      </w:r>
    </w:p>
    <w:p w14:paraId="79A0562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询问、质疑、投诉</w:t>
      </w:r>
    </w:p>
    <w:p w14:paraId="46519A5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.1供应商询问</w:t>
      </w:r>
    </w:p>
    <w:p w14:paraId="795D3B31">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77D860">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.2供应商质疑</w:t>
      </w:r>
    </w:p>
    <w:p w14:paraId="75EB373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.1提出质疑的供应商应当是参与所质疑项目采购活动的供应商。潜在供应商已依法获取其可质疑的招标文件的，可以对该文件提出质疑。</w:t>
      </w:r>
    </w:p>
    <w:p w14:paraId="50C68DC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B16921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5.2.2.1对招标文件提出质疑的，质疑期限为供应商获得招标文件之日或者招标文件公告期限届满之日起计算。</w:t>
      </w:r>
    </w:p>
    <w:p w14:paraId="0CBE7AD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5.2.2.2对采购过程提出质疑的，质疑期限为各采购程序环节结束之日起计算。</w:t>
      </w:r>
    </w:p>
    <w:p w14:paraId="3393B9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5.2.2.3对采购结果提出质疑的，质疑期限自采购结果公告期限届满之日起计算。</w:t>
      </w:r>
    </w:p>
    <w:p w14:paraId="50830E2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5.2.2.4对同一采购程序环节的质疑，供应商须一次性提出。</w:t>
      </w:r>
    </w:p>
    <w:p w14:paraId="0F7A64D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w:t>
      </w:r>
      <w:r>
        <w:rPr>
          <w:rFonts w:hint="eastAsia" w:cs="仿宋" w:asciiTheme="majorEastAsia" w:hAnsiTheme="majorEastAsia" w:eastAsiaTheme="majorEastAsia"/>
          <w:color w:val="auto"/>
          <w:sz w:val="24"/>
          <w:highlight w:val="none"/>
        </w:rPr>
        <w:t>供应商提出质疑应当提交质疑函和必要的证明材料。质疑函应当包括下列内容：</w:t>
      </w:r>
    </w:p>
    <w:p w14:paraId="29FD056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.2.3.1供应商的姓名或者名称、地址、邮编、联系人及联系电话；</w:t>
      </w:r>
    </w:p>
    <w:p w14:paraId="144BDB0A">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.2.3.2质疑项目的名称、编号；</w:t>
      </w:r>
    </w:p>
    <w:p w14:paraId="52D2954C">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.2.3.3具体、明确的质疑事项和与质疑事项相关的请求；</w:t>
      </w:r>
    </w:p>
    <w:p w14:paraId="70450D3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.2.3.4事实依据；</w:t>
      </w:r>
    </w:p>
    <w:p w14:paraId="745FC96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.2.3.5必要的法律依据；</w:t>
      </w:r>
    </w:p>
    <w:p w14:paraId="05B74325">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.2.3.6提出质疑的日期。</w:t>
      </w:r>
    </w:p>
    <w:p w14:paraId="5E4977C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5.2.3.7对招标文件提出质疑的需要提供在乐采云平台获取招标文件的截图。</w:t>
      </w:r>
    </w:p>
    <w:p w14:paraId="071EA6D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7657AD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质疑函范本请到浙江企业采购信息服务网下载专区下载。</w:t>
      </w:r>
    </w:p>
    <w:p w14:paraId="5D41AA0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.4采购人或者采购代理机构应当在收到供应商的书面质疑后七个工作日内作出答复，并以书面形式通知质疑供应商和其他与质疑处理结果有利害关系的政府采购当事人，但答复的内容不得涉及商业秘密。</w:t>
      </w:r>
    </w:p>
    <w:p w14:paraId="43CAFD5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.5询问或者质疑事项可能影响采购结果的，采购人应当暂停签订合同，已经签订合同的，应当中止履行合同。</w:t>
      </w:r>
    </w:p>
    <w:p w14:paraId="3806B34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.3供应商投诉</w:t>
      </w:r>
    </w:p>
    <w:p w14:paraId="71D1550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5.3.1质疑供应商对采购人、采购代理机构的答复不满意或者采购人、采购代理机构未在规定的时间内作出答复的，可以在答复期满后十五个工作日内向监督管理部门提出投诉。监督管理部门应当在收到投诉后三十个工作日内，对投诉事项作出处理决定，并以书面形式通知投诉人和与投诉事项有关的当事人。</w:t>
      </w:r>
    </w:p>
    <w:p w14:paraId="45FE0FA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供应商投诉的事项不得超出已质疑事项的范围，基于质疑答复内容提出的投诉事项除外。</w:t>
      </w:r>
    </w:p>
    <w:p w14:paraId="3D98095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5.3.3供应商投诉应当有明确的请求和必要的证明材料。</w:t>
      </w:r>
    </w:p>
    <w:p w14:paraId="418D6B1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5.3.4 以联合体形式参加政府采购活动的，其投诉应当由组成联合体的所有供应商共同提出。</w:t>
      </w:r>
    </w:p>
    <w:p w14:paraId="0365B7E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5.3.5投诉人对监督管理部门的投诉处理决定不服或监督管理部门逾期未作处理的，可以向区国资管理中心反映。供应商或相关利害关系人在采购过程中发现涉及违法违纪行为或造成国有资产损失的，可以向纪检监察部门和区国资管理中心反映。举报违法行为，应提供有效线索和证明材料。</w:t>
      </w:r>
    </w:p>
    <w:p w14:paraId="3E94BE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投诉书范本请到浙江企业采购信息服务网下载专区下载。</w:t>
      </w:r>
    </w:p>
    <w:p w14:paraId="31EB0818">
      <w:pPr>
        <w:pStyle w:val="25"/>
        <w:shd w:val="clear"/>
        <w:ind w:firstLine="560"/>
        <w:rPr>
          <w:color w:val="auto"/>
          <w:highlight w:val="none"/>
        </w:rPr>
      </w:pPr>
    </w:p>
    <w:p w14:paraId="12836C92">
      <w:pPr>
        <w:shd w:val="clear"/>
        <w:spacing w:line="360" w:lineRule="auto"/>
        <w:jc w:val="center"/>
        <w:outlineLvl w:val="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 xml:space="preserve">      二、招标文件的构成、澄清、修改</w:t>
      </w:r>
    </w:p>
    <w:p w14:paraId="7358030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招标文件的构成</w:t>
      </w:r>
    </w:p>
    <w:p w14:paraId="6B442302">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 招标文件包括下列文件及附件：</w:t>
      </w:r>
    </w:p>
    <w:p w14:paraId="71D421A0">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6.1.1 招标公告；</w:t>
      </w:r>
    </w:p>
    <w:p w14:paraId="13A58DD4">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6.1.2 </w:t>
      </w:r>
      <w:r>
        <w:rPr>
          <w:rFonts w:hint="eastAsia" w:cs="仿宋" w:asciiTheme="majorEastAsia" w:hAnsiTheme="majorEastAsia" w:eastAsiaTheme="majorEastAsia"/>
          <w:color w:val="auto"/>
          <w:sz w:val="24"/>
          <w:szCs w:val="24"/>
          <w:highlight w:val="none"/>
          <w:lang w:val="zh-CN"/>
        </w:rPr>
        <w:t>投标</w:t>
      </w:r>
      <w:r>
        <w:rPr>
          <w:rFonts w:hint="eastAsia" w:cs="仿宋" w:asciiTheme="majorEastAsia" w:hAnsiTheme="majorEastAsia" w:eastAsiaTheme="majorEastAsia"/>
          <w:color w:val="auto"/>
          <w:sz w:val="24"/>
          <w:szCs w:val="24"/>
          <w:highlight w:val="none"/>
        </w:rPr>
        <w:t>须知；</w:t>
      </w:r>
    </w:p>
    <w:p w14:paraId="6DE84743">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6.1.3 采购需求；</w:t>
      </w:r>
    </w:p>
    <w:p w14:paraId="521512D0">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6.1.4 评标办法；</w:t>
      </w:r>
    </w:p>
    <w:p w14:paraId="3974D0C6">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6.1.5 拟签订的合同文本；</w:t>
      </w:r>
    </w:p>
    <w:p w14:paraId="0016B351">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6.1.6 应提交的有关格式范例； </w:t>
      </w:r>
    </w:p>
    <w:p w14:paraId="3E585FC4">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6.1.7附件（如有）。</w:t>
      </w:r>
    </w:p>
    <w:p w14:paraId="2699FC6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6.2与本项目有关的</w:t>
      </w:r>
      <w:r>
        <w:rPr>
          <w:rFonts w:hint="eastAsia" w:cs="仿宋" w:asciiTheme="majorEastAsia" w:hAnsiTheme="majorEastAsia" w:eastAsiaTheme="majorEastAsia"/>
          <w:bCs/>
          <w:color w:val="auto"/>
          <w:sz w:val="24"/>
          <w:highlight w:val="none"/>
        </w:rPr>
        <w:t>澄清或者修改的内容为招标文件的组成部分</w:t>
      </w:r>
      <w:r>
        <w:rPr>
          <w:rFonts w:hint="eastAsia" w:cs="仿宋" w:asciiTheme="majorEastAsia" w:hAnsiTheme="majorEastAsia" w:eastAsiaTheme="majorEastAsia"/>
          <w:color w:val="auto"/>
          <w:sz w:val="24"/>
          <w:highlight w:val="none"/>
        </w:rPr>
        <w:t>。</w:t>
      </w:r>
    </w:p>
    <w:p w14:paraId="2A8BEA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招标文件的澄清、修改</w:t>
      </w:r>
    </w:p>
    <w:p w14:paraId="6236837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14:paraId="15D2A6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7.2 更正公告为招标文件的组成部分，一经在网站发布，视同已通知所有招标文件的收受人，不再采用其它方式传达相关信息, 若因未能及时了解到上述网站上发布的相关信息而导致的一切后果自行承担。</w:t>
      </w:r>
    </w:p>
    <w:p w14:paraId="0B8340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7.3 如更正公告有重新发布电子招标文件的，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应下载最新发布的电子招标文件制作投标文件。</w:t>
      </w:r>
    </w:p>
    <w:p w14:paraId="7DF2329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7.4 已获取招标文件的潜在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，若有问题需要澄清，应于投标截止时间前，以书面形式向采购代理机构提出。</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在规定的时间内未对招标文件提出疑问、质疑或要求澄清的，将视其为无异议。对招标文件中描述有歧义或前后不一致的地方，评标委员会有权进行评判，但对同一条款的评判应适用于每个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w:t>
      </w:r>
    </w:p>
    <w:p w14:paraId="749E5C26">
      <w:pPr>
        <w:pStyle w:val="25"/>
        <w:shd w:val="clear"/>
        <w:ind w:firstLine="560"/>
        <w:rPr>
          <w:color w:val="auto"/>
          <w:highlight w:val="none"/>
        </w:rPr>
      </w:pPr>
    </w:p>
    <w:p w14:paraId="6AF528FF">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w:t>
      </w:r>
    </w:p>
    <w:p w14:paraId="0590843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投标文件的语言</w:t>
      </w:r>
    </w:p>
    <w:p w14:paraId="632F7F50">
      <w:pPr>
        <w:shd w:val="clear"/>
        <w:autoSpaceDE w:val="0"/>
        <w:autoSpaceDN w:val="0"/>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投标文件及</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与采购有关的来往通知、函件和文件均应使用中文。</w:t>
      </w:r>
    </w:p>
    <w:p w14:paraId="57AB360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投标文件的组成</w:t>
      </w:r>
    </w:p>
    <w:p w14:paraId="18BE792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9.1 </w:t>
      </w:r>
      <w:r>
        <w:rPr>
          <w:rFonts w:hint="eastAsia" w:cs="仿宋" w:asciiTheme="majorEastAsia" w:hAnsiTheme="majorEastAsia" w:eastAsiaTheme="majorEastAsia"/>
          <w:b/>
          <w:color w:val="auto"/>
          <w:sz w:val="24"/>
          <w:highlight w:val="none"/>
        </w:rPr>
        <w:t>资格文件</w:t>
      </w:r>
      <w:r>
        <w:rPr>
          <w:rFonts w:hint="eastAsia" w:cs="仿宋" w:asciiTheme="majorEastAsia" w:hAnsiTheme="majorEastAsia" w:eastAsiaTheme="majorEastAsia"/>
          <w:color w:val="auto"/>
          <w:sz w:val="24"/>
          <w:highlight w:val="none"/>
        </w:rPr>
        <w:t>：</w:t>
      </w:r>
    </w:p>
    <w:p w14:paraId="2019217F">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9.1.1有效的企业法人营业执照（或事业法人登记证）、其他组织（个体工商户）的营业执照或者民办非企业单位登记证书；</w:t>
      </w:r>
    </w:p>
    <w:p w14:paraId="5B7931D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9.1.2符合参加政府采购活动应当具备的一般条件的承诺函(格式见第六部分)；</w:t>
      </w:r>
    </w:p>
    <w:p w14:paraId="4F9F5A3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9.1.3落实政府采购政策需满足的资格要求（如适用）；</w:t>
      </w:r>
    </w:p>
    <w:p w14:paraId="3EDBB2D0">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9.1.4本项目的特定资格要求（如有）。</w:t>
      </w:r>
    </w:p>
    <w:p w14:paraId="6DE6DB7E">
      <w:pPr>
        <w:shd w:val="clear"/>
        <w:snapToGrid w:val="0"/>
        <w:spacing w:line="360" w:lineRule="auto"/>
        <w:ind w:firstLine="480" w:firstLineChars="200"/>
        <w:rPr>
          <w:rFonts w:cs="仿宋" w:asciiTheme="majorEastAsia" w:hAnsiTheme="majorEastAsia" w:eastAsiaTheme="majorEastAsia"/>
          <w:b/>
          <w:bCs/>
          <w:color w:val="auto"/>
          <w:sz w:val="24"/>
          <w:highlight w:val="none"/>
          <w:lang w:val="zh-CN"/>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bCs/>
          <w:color w:val="auto"/>
          <w:sz w:val="24"/>
          <w:highlight w:val="none"/>
        </w:rPr>
        <w:t>商务技术</w:t>
      </w:r>
      <w:r>
        <w:rPr>
          <w:rFonts w:hint="eastAsia" w:cs="仿宋" w:asciiTheme="majorEastAsia" w:hAnsiTheme="majorEastAsia" w:eastAsiaTheme="majorEastAsia"/>
          <w:b/>
          <w:bCs/>
          <w:color w:val="auto"/>
          <w:sz w:val="24"/>
          <w:highlight w:val="none"/>
          <w:lang w:val="zh-CN"/>
        </w:rPr>
        <w:t>文件：</w:t>
      </w:r>
    </w:p>
    <w:p w14:paraId="29D93CF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 评分索引表</w:t>
      </w:r>
    </w:p>
    <w:p w14:paraId="41A14FE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9.2.2 符合性自查表；</w:t>
      </w:r>
    </w:p>
    <w:p w14:paraId="3B97772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9.2.3 投标函；</w:t>
      </w:r>
      <w:r>
        <w:rPr>
          <w:rFonts w:hint="eastAsia" w:cs="仿宋" w:asciiTheme="majorEastAsia" w:hAnsiTheme="majorEastAsia" w:eastAsiaTheme="majorEastAsia"/>
          <w:color w:val="auto"/>
          <w:sz w:val="24"/>
          <w:highlight w:val="none"/>
          <w:lang w:val="zh-CN"/>
        </w:rPr>
        <w:t xml:space="preserve"> </w:t>
      </w:r>
    </w:p>
    <w:p w14:paraId="1969D3F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9.2.4 授权委托书或法定代表人（单位负责人、自然人本人）身份证明；</w:t>
      </w:r>
    </w:p>
    <w:p w14:paraId="3BEF82D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9.2.5 投标人基本情况表；</w:t>
      </w:r>
    </w:p>
    <w:p w14:paraId="232FE55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9.2.6 距采购人最近或者能为本项目提供最优服务的网点情况表；</w:t>
      </w:r>
    </w:p>
    <w:p w14:paraId="10F17EC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7 评标标准相应的商务技术资料；</w:t>
      </w:r>
    </w:p>
    <w:p w14:paraId="44A049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9.2.8 商务响应表；</w:t>
      </w:r>
    </w:p>
    <w:p w14:paraId="6549B39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9.2.9 技术响应表；</w:t>
      </w:r>
    </w:p>
    <w:p w14:paraId="20D2E32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9.2.10 同类业绩情况一览表；</w:t>
      </w:r>
    </w:p>
    <w:p w14:paraId="4FD8A5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9.2.11</w:t>
      </w:r>
      <w:r>
        <w:rPr>
          <w:rFonts w:hint="eastAsia" w:cs="仿宋" w:asciiTheme="majorEastAsia" w:hAnsiTheme="majorEastAsia" w:eastAsiaTheme="majorEastAsia"/>
          <w:color w:val="auto"/>
          <w:sz w:val="24"/>
          <w:highlight w:val="none"/>
          <w:lang w:val="zh-CN"/>
        </w:rPr>
        <w:t>政府采购供应商廉洁自律承诺书；</w:t>
      </w:r>
    </w:p>
    <w:p w14:paraId="2939E14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9.2.12其他资料（如有）。</w:t>
      </w:r>
    </w:p>
    <w:p w14:paraId="7FB3C7FC">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kern w:val="0"/>
          <w:sz w:val="24"/>
          <w:highlight w:val="none"/>
        </w:rPr>
        <w:t>9</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rPr>
        <w:t xml:space="preserve">3 </w:t>
      </w:r>
      <w:r>
        <w:rPr>
          <w:rFonts w:hint="eastAsia" w:cs="仿宋" w:asciiTheme="majorEastAsia" w:hAnsiTheme="majorEastAsia" w:eastAsiaTheme="majorEastAsia"/>
          <w:b/>
          <w:color w:val="auto"/>
          <w:sz w:val="24"/>
          <w:highlight w:val="none"/>
        </w:rPr>
        <w:t>报价文件：</w:t>
      </w:r>
      <w:r>
        <w:rPr>
          <w:rFonts w:hint="eastAsia" w:cs="仿宋" w:asciiTheme="majorEastAsia" w:hAnsiTheme="majorEastAsia" w:eastAsiaTheme="majorEastAsia"/>
          <w:color w:val="auto"/>
          <w:sz w:val="24"/>
          <w:highlight w:val="none"/>
        </w:rPr>
        <w:t xml:space="preserve"> </w:t>
      </w:r>
    </w:p>
    <w:p w14:paraId="0BAE36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9.3.1 开标一览表；</w:t>
      </w:r>
    </w:p>
    <w:p w14:paraId="6AB117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9.3.2 投标报价明细表；</w:t>
      </w:r>
    </w:p>
    <w:p w14:paraId="664ED91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9.3.3 中小企业声明函（如有）；</w:t>
      </w:r>
    </w:p>
    <w:p w14:paraId="6C164D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9.3.4 残疾人福利性单位声明函（如有）；</w:t>
      </w:r>
    </w:p>
    <w:p w14:paraId="4D88497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9.3.5 监狱企业的证明文件（如有）；</w:t>
      </w:r>
    </w:p>
    <w:p w14:paraId="752C93E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9.3.6 政府采购统计基础信息表；</w:t>
      </w:r>
    </w:p>
    <w:p w14:paraId="74E5132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9.3.7其他资料（如有）。</w:t>
      </w:r>
    </w:p>
    <w:p w14:paraId="534E9F05">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投标文件的编制</w:t>
      </w:r>
    </w:p>
    <w:p w14:paraId="5453CFC7">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.1投标文件分为资格文件、商务技术文件、报价文件三部分。各供应商在编制投标文件时请按照招标文件第六部分规定的格式进行。</w:t>
      </w:r>
      <w:r>
        <w:rPr>
          <w:rFonts w:hint="eastAsia" w:cs="仿宋" w:asciiTheme="majorEastAsia" w:hAnsiTheme="majorEastAsia" w:eastAsiaTheme="majorEastAsia"/>
          <w:color w:val="auto"/>
          <w:kern w:val="0"/>
          <w:sz w:val="24"/>
          <w:highlight w:val="none"/>
        </w:rPr>
        <w:t>未有规定格式的资料，</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应自行编制，但至少须包含9.投标文件组成中的内容。</w:t>
      </w:r>
      <w:r>
        <w:rPr>
          <w:rFonts w:hint="eastAsia" w:cs="仿宋" w:asciiTheme="majorEastAsia" w:hAnsiTheme="majorEastAsia" w:eastAsiaTheme="majorEastAsia"/>
          <w:color w:val="auto"/>
          <w:kern w:val="0"/>
          <w:sz w:val="24"/>
          <w:highlight w:val="none"/>
          <w:lang w:val="zh-CN"/>
        </w:rPr>
        <w:t>混乱的编排导致投标文件被误读或评标委员会查找不到有效文件是供应商的风险。</w:t>
      </w:r>
    </w:p>
    <w:p w14:paraId="18269300">
      <w:pPr>
        <w:shd w:val="clear"/>
        <w:wordWrap w:val="0"/>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rPr>
        <w:t>10.2</w:t>
      </w:r>
      <w:r>
        <w:rPr>
          <w:rFonts w:hint="eastAsia" w:cs="仿宋" w:asciiTheme="majorEastAsia" w:hAnsiTheme="majorEastAsia" w:eastAsiaTheme="majorEastAsia"/>
          <w:color w:val="auto"/>
          <w:kern w:val="0"/>
          <w:sz w:val="24"/>
          <w:highlight w:val="none"/>
          <w:lang w:val="zh-CN"/>
        </w:rPr>
        <w:t>供应商进行电子投标应安装客户端软件</w:t>
      </w:r>
      <w:r>
        <w:rPr>
          <w:rFonts w:hint="eastAsia" w:cs="仿宋" w:asciiTheme="majorEastAsia" w:hAnsiTheme="majorEastAsia" w:eastAsiaTheme="majorEastAsia"/>
          <w:color w:val="auto"/>
          <w:kern w:val="0"/>
          <w:sz w:val="24"/>
          <w:highlight w:val="none"/>
        </w:rPr>
        <w:t>—“乐采云</w:t>
      </w:r>
      <w:r>
        <w:rPr>
          <w:rFonts w:hint="eastAsia" w:cs="仿宋" w:asciiTheme="majorEastAsia" w:hAnsiTheme="majorEastAsia" w:eastAsiaTheme="majorEastAsia"/>
          <w:color w:val="auto"/>
          <w:kern w:val="0"/>
          <w:sz w:val="24"/>
          <w:highlight w:val="none"/>
          <w:lang w:val="zh-CN"/>
        </w:rPr>
        <w:t>电子交易客户端</w:t>
      </w:r>
      <w:r>
        <w:rPr>
          <w:rFonts w:hint="eastAsia" w:cs="仿宋" w:asciiTheme="majorEastAsia" w:hAnsiTheme="majorEastAsia" w:eastAsiaTheme="majorEastAsia"/>
          <w:color w:val="auto"/>
          <w:kern w:val="0"/>
          <w:sz w:val="24"/>
          <w:highlight w:val="none"/>
        </w:rPr>
        <w:t>”（下载地址：https://b.zhengcaiyun.cn/luban/category?parentId=550045&amp;childrenCode=qicaiCategory17&amp;utm=luban.luban-PC-39026.959-pc-websitegroup-navBar-front.8.ebdec73052c711ef9ade896d008b9248），</w:t>
      </w:r>
      <w:r>
        <w:rPr>
          <w:rFonts w:hint="eastAsia" w:cs="仿宋" w:asciiTheme="majorEastAsia" w:hAnsiTheme="majorEastAsia" w:eastAsiaTheme="majorEastAsia"/>
          <w:color w:val="auto"/>
          <w:kern w:val="0"/>
          <w:sz w:val="24"/>
          <w:highlight w:val="none"/>
          <w:lang w:val="zh-CN"/>
        </w:rPr>
        <w:t>并按照招标文件和电子交易平台的要求编制并加密投标文件。供应商未按规定加密的投标文件，电子交易平台将拒收并提示。</w:t>
      </w:r>
    </w:p>
    <w:p w14:paraId="55726352">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.3使用“</w:t>
      </w:r>
      <w:r>
        <w:rPr>
          <w:rFonts w:hint="eastAsia" w:cs="仿宋" w:asciiTheme="majorEastAsia" w:hAnsiTheme="majorEastAsia" w:eastAsiaTheme="majorEastAsia"/>
          <w:color w:val="auto"/>
          <w:kern w:val="0"/>
          <w:sz w:val="24"/>
          <w:highlight w:val="none"/>
        </w:rPr>
        <w:t>乐</w:t>
      </w:r>
      <w:r>
        <w:rPr>
          <w:rFonts w:hint="eastAsia" w:cs="仿宋" w:asciiTheme="majorEastAsia" w:hAnsiTheme="majorEastAsia" w:eastAsiaTheme="majorEastAsia"/>
          <w:color w:val="auto"/>
          <w:kern w:val="0"/>
          <w:sz w:val="24"/>
          <w:highlight w:val="none"/>
          <w:lang w:val="zh-CN"/>
        </w:rPr>
        <w:t>采云电子交易客户端”需要提前申领CA数字证书，申领流程请自行前往“浙江企业采购信息服务网-下载专区-电子交易客户端-CA驱动和申领流程”进行查阅。</w:t>
      </w:r>
    </w:p>
    <w:p w14:paraId="0B5A6BB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投标文件的签署、盖章</w:t>
      </w:r>
    </w:p>
    <w:p w14:paraId="1B28F8A3">
      <w:pPr>
        <w:pStyle w:val="41"/>
        <w:shd w:val="clear"/>
        <w:snapToGrid w:val="0"/>
        <w:spacing w:before="0"/>
        <w:ind w:firstLine="480"/>
        <w:rPr>
          <w:rFonts w:cs="仿宋" w:asciiTheme="majorEastAsia" w:hAnsiTheme="majorEastAsia" w:eastAsiaTheme="majorEastAsia"/>
          <w:b/>
          <w:color w:val="auto"/>
          <w:highlight w:val="none"/>
        </w:rPr>
      </w:pPr>
      <w:r>
        <w:rPr>
          <w:rFonts w:hint="eastAsia" w:cs="仿宋" w:asciiTheme="majorEastAsia" w:hAnsiTheme="majorEastAsia" w:eastAsiaTheme="majorEastAsia"/>
          <w:color w:val="auto"/>
          <w:szCs w:val="24"/>
          <w:highlight w:val="none"/>
        </w:rPr>
        <w:t>11.1投标文件按照招标文件第六部分格式要</w:t>
      </w:r>
      <w:r>
        <w:rPr>
          <w:rFonts w:hint="eastAsia" w:cs="仿宋" w:asciiTheme="majorEastAsia" w:hAnsiTheme="majorEastAsia" w:eastAsiaTheme="majorEastAsia"/>
          <w:color w:val="auto"/>
          <w:highlight w:val="none"/>
        </w:rPr>
        <w:t>求进行签署、盖章。</w:t>
      </w:r>
      <w:r>
        <w:rPr>
          <w:rFonts w:hint="eastAsia" w:cs="仿宋" w:asciiTheme="majorEastAsia" w:hAnsiTheme="majorEastAsia" w:eastAsiaTheme="majorEastAsia"/>
          <w:b/>
          <w:color w:val="auto"/>
          <w:highlight w:val="none"/>
        </w:rPr>
        <w:t>▲供应商的投标文件未按照招标文件要求签署、盖章的，其投标无效</w:t>
      </w:r>
      <w:r>
        <w:rPr>
          <w:rFonts w:hint="eastAsia" w:cs="仿宋" w:asciiTheme="majorEastAsia" w:hAnsiTheme="majorEastAsia" w:eastAsiaTheme="majorEastAsia"/>
          <w:color w:val="auto"/>
          <w:szCs w:val="24"/>
          <w:highlight w:val="none"/>
        </w:rPr>
        <w:t>。</w:t>
      </w:r>
    </w:p>
    <w:p w14:paraId="19A7A795">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11.2为确保网上操作合法、有效和安全，</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应当在投标截止时间前完成在“政府采购云平台”的身份认证，确保在电子投标过程中能够对相关数据电文进行加密和使用电子签名。</w:t>
      </w:r>
    </w:p>
    <w:p w14:paraId="574DD8CA">
      <w:pPr>
        <w:pStyle w:val="41"/>
        <w:shd w:val="clear"/>
        <w:snapToGrid w:val="0"/>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highlight w:val="none"/>
        </w:rPr>
        <w:t>11.3招标文件对投标文件签署、盖章的要求适用于电子签名。</w:t>
      </w:r>
    </w:p>
    <w:p w14:paraId="68BE333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投标文件的提交、补充、修改、撤回</w:t>
      </w:r>
    </w:p>
    <w:p w14:paraId="4894796E">
      <w:pPr>
        <w:pStyle w:val="41"/>
        <w:shd w:val="clear"/>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2B7964">
      <w:pPr>
        <w:pStyle w:val="41"/>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12.2电子交易平台收到投标文件，将妥善保存并即时向供应商发出确认回执通知。在投标截止时间前，除供应商补充、修改或者撤回投标文件外，任何单位和个人不得解密或提取投标文件。</w:t>
      </w:r>
    </w:p>
    <w:p w14:paraId="1A770AF2">
      <w:pPr>
        <w:pStyle w:val="41"/>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12.3采购人、采购代理机构可以视情况延长投标文件提交的截止时间。在上述情况下，采购代理机构与</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szCs w:val="24"/>
          <w:highlight w:val="none"/>
        </w:rPr>
        <w:t>以前在投标截止期方面的全部权利、责任和义务，将适用于延长至新的投标截止期。</w:t>
      </w:r>
    </w:p>
    <w:p w14:paraId="370E43E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投标有效期</w:t>
      </w:r>
    </w:p>
    <w:p w14:paraId="55AE9D85">
      <w:pPr>
        <w:shd w:val="clear"/>
        <w:spacing w:line="360" w:lineRule="auto"/>
        <w:ind w:firstLine="480" w:firstLineChars="200"/>
        <w:rPr>
          <w:rFonts w:cs="仿宋" w:asciiTheme="majorEastAsia" w:hAnsiTheme="majorEastAsia" w:eastAsiaTheme="majorEastAsia"/>
          <w:b/>
          <w:color w:val="auto"/>
          <w:sz w:val="24"/>
          <w:szCs w:val="21"/>
          <w:highlight w:val="none"/>
        </w:rPr>
      </w:pPr>
      <w:r>
        <w:rPr>
          <w:rFonts w:hint="eastAsia" w:cs="仿宋" w:asciiTheme="majorEastAsia" w:hAnsiTheme="majorEastAsia" w:eastAsiaTheme="majorEastAsia"/>
          <w:color w:val="auto"/>
          <w:sz w:val="24"/>
          <w:szCs w:val="20"/>
          <w:highlight w:val="none"/>
        </w:rPr>
        <w:t>投标有效期为从提交投标文件的截止之日起90天。▲</w:t>
      </w:r>
      <w:r>
        <w:rPr>
          <w:rFonts w:hint="eastAsia" w:cs="仿宋" w:asciiTheme="majorEastAsia" w:hAnsiTheme="majorEastAsia" w:eastAsiaTheme="majorEastAsia"/>
          <w:b/>
          <w:color w:val="auto"/>
          <w:sz w:val="24"/>
          <w:szCs w:val="20"/>
          <w:highlight w:val="none"/>
        </w:rPr>
        <w:t>供应商的投标文件中承</w:t>
      </w:r>
      <w:r>
        <w:rPr>
          <w:rFonts w:hint="eastAsia" w:cs="仿宋" w:asciiTheme="majorEastAsia" w:hAnsiTheme="majorEastAsia" w:eastAsiaTheme="majorEastAsia"/>
          <w:b/>
          <w:color w:val="auto"/>
          <w:sz w:val="24"/>
          <w:szCs w:val="21"/>
          <w:highlight w:val="none"/>
        </w:rPr>
        <w:t>诺的投标有效期少于招标文件中载明的投标有效期的，投标无效。</w:t>
      </w:r>
    </w:p>
    <w:p w14:paraId="1023C018">
      <w:pPr>
        <w:pStyle w:val="41"/>
        <w:shd w:val="clear"/>
        <w:spacing w:before="0"/>
        <w:ind w:firstLine="643"/>
        <w:rPr>
          <w:rFonts w:cs="仿宋" w:asciiTheme="majorEastAsia" w:hAnsiTheme="majorEastAsia" w:eastAsiaTheme="majorEastAsia"/>
          <w:b/>
          <w:color w:val="auto"/>
          <w:sz w:val="32"/>
          <w:highlight w:val="none"/>
        </w:rPr>
      </w:pPr>
    </w:p>
    <w:p w14:paraId="7B786CC2">
      <w:pPr>
        <w:pStyle w:val="41"/>
        <w:shd w:val="clear"/>
        <w:spacing w:before="0"/>
        <w:ind w:firstLine="1928" w:firstLineChars="6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四、开标、资格审查与信用信息查询</w:t>
      </w:r>
    </w:p>
    <w:p w14:paraId="3E2F31F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开标 </w:t>
      </w:r>
    </w:p>
    <w:p w14:paraId="563628BC">
      <w:pPr>
        <w:pStyle w:val="36"/>
        <w:shd w:val="clear"/>
        <w:spacing w:before="0" w:line="360" w:lineRule="auto"/>
        <w:ind w:left="0" w:firstLine="480" w:firstLineChars="2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14.1采购代理机构按照招标文件规定的时间通过电子交易平台组织开标，所有</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均应当准时在线参加。</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不足3家的，不得开标。</w:t>
      </w:r>
    </w:p>
    <w:p w14:paraId="6218FD31">
      <w:pPr>
        <w:pStyle w:val="36"/>
        <w:shd w:val="clear"/>
        <w:spacing w:before="0" w:line="360" w:lineRule="auto"/>
        <w:ind w:left="0" w:firstLine="240" w:firstLineChars="1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14.2开标时，电子交易平台按开标时间自动提取所有投标文件。采购代理机构依托电子交易平台发起开始解密指令，</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w:t>
      </w:r>
    </w:p>
    <w:p w14:paraId="263A2C0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资格审查</w:t>
      </w:r>
    </w:p>
    <w:p w14:paraId="19379D9D">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15.1开标后，采购人或采购代理机构依据法律法规和招标文件的规定，对供应商的资格条件进行审查。</w:t>
      </w:r>
    </w:p>
    <w:p w14:paraId="1CB0B2C7">
      <w:pPr>
        <w:pStyle w:val="41"/>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2对未通过资格审查的供应商，采购人或采购代理机构告知其未通过的原因。</w:t>
      </w:r>
    </w:p>
    <w:p w14:paraId="3879D168">
      <w:pPr>
        <w:pStyle w:val="41"/>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3合格供应商不足3家的，不再评标。</w:t>
      </w:r>
    </w:p>
    <w:p w14:paraId="325770F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w:t>
      </w:r>
    </w:p>
    <w:p w14:paraId="446E196E">
      <w:pPr>
        <w:pStyle w:val="41"/>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16.1信用信息查询渠道及截止时间：采购代理机构将通过“信用中国”网站(www.creditchina.gov.cn)、中国政府采购网(www.ccgp.gov.cn)渠道查询供应商投标截止时间当天的信用记录。</w:t>
      </w:r>
    </w:p>
    <w:p w14:paraId="71C04F6C">
      <w:pPr>
        <w:pStyle w:val="41"/>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16.2信用信息的使用规则：经查询列入失信被执行人名单、重大税收违法失信主体、政府采购严重违法失信行为记录名单的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将被拒绝参与政府采购活动。</w:t>
      </w:r>
    </w:p>
    <w:p w14:paraId="06CA0513">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 w:asciiTheme="majorEastAsia" w:hAnsiTheme="majorEastAsia" w:eastAsiaTheme="majorEastAsia"/>
          <w:color w:val="auto"/>
          <w:highlight w:val="none"/>
        </w:rPr>
        <w:t>。</w:t>
      </w:r>
    </w:p>
    <w:p w14:paraId="4E7C6831">
      <w:pPr>
        <w:shd w:val="clear"/>
        <w:snapToGrid w:val="0"/>
        <w:spacing w:line="360" w:lineRule="auto"/>
        <w:jc w:val="center"/>
        <w:outlineLvl w:val="0"/>
        <w:rPr>
          <w:rFonts w:cs="仿宋" w:asciiTheme="majorEastAsia" w:hAnsiTheme="majorEastAsia" w:eastAsiaTheme="majorEastAsia"/>
          <w:b/>
          <w:color w:val="auto"/>
          <w:sz w:val="36"/>
          <w:szCs w:val="36"/>
          <w:highlight w:val="none"/>
        </w:rPr>
      </w:pPr>
    </w:p>
    <w:p w14:paraId="4A1DD31B">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五、评标</w:t>
      </w:r>
    </w:p>
    <w:p w14:paraId="5D33271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bookmarkStart w:id="12" w:name="_Toc91899903"/>
      <w:r>
        <w:rPr>
          <w:rFonts w:hint="eastAsia" w:cs="仿宋" w:asciiTheme="majorEastAsia" w:hAnsiTheme="majorEastAsia" w:eastAsiaTheme="majorEastAsia"/>
          <w:b/>
          <w:color w:val="auto"/>
          <w:sz w:val="24"/>
          <w:highlight w:val="none"/>
        </w:rPr>
        <w:t>评标委员会</w:t>
      </w:r>
    </w:p>
    <w:p w14:paraId="6031D67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17.1 本次招标依法组建评标委员会。评标委员会由采购人代表和评审专家组成，评审专家从专家库随机抽取。</w:t>
      </w:r>
    </w:p>
    <w:p w14:paraId="43AAEEA5">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224430E7">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 评审专家有下列情形之一的，受到邀请应主动提出回避，采购当事人也可以要求该评审专家回避：</w:t>
      </w:r>
    </w:p>
    <w:p w14:paraId="3279F028">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17.3.1 参加采购活动前三年内，与供应商存在劳动关系，或者担任过供应商的董事、监事，或者是供应商的控股股东或实际控制人；</w:t>
      </w:r>
    </w:p>
    <w:p w14:paraId="15B5CEA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17.3.2 与供应商的法定代表人或者负责人有夫妻、直系血亲、三代以内旁系血亲或者近姻亲关系；</w:t>
      </w:r>
    </w:p>
    <w:p w14:paraId="7A067A89">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17.3.3 任职单位与参加该采购项目供应商存在行政隶属关系；</w:t>
      </w:r>
    </w:p>
    <w:p w14:paraId="7044C7D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17.3.4 曾经参加过该采购项目的进口产品或招标文件、采购需求、采购方式的论证和咨询服务工作；</w:t>
      </w:r>
    </w:p>
    <w:p w14:paraId="4860D4BE">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17.3.5 是参加该采购项目供应商的上级主管部门、控股或参股单位的工作人员，或与该供应商存在其他经济利益关系；</w:t>
      </w:r>
    </w:p>
    <w:p w14:paraId="55F62064">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17.3.6 评标委员会成员之间具有配偶、近亲属关系等；</w:t>
      </w:r>
    </w:p>
    <w:p w14:paraId="7CDEB9B8">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17.3.7 法律、法规、规章规定应当回避以及其他可能影响政府采购活动公平、公正进行的关系。</w:t>
      </w:r>
    </w:p>
    <w:p w14:paraId="1CA95132">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17.4 评标委员会判断投标文件的有效性、合格性和响应情况，仅依据投标人所递交一切文件的真实表述，不受与本项目无直接关联的外部信息、传言而影响自身的专业判断。</w:t>
      </w:r>
    </w:p>
    <w:p w14:paraId="7B27F44C">
      <w:pPr>
        <w:pStyle w:val="41"/>
        <w:shd w:val="clear"/>
        <w:spacing w:before="0"/>
        <w:ind w:firstLine="480"/>
        <w:rPr>
          <w:rFonts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14:paraId="09A8987C">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评标</w:t>
      </w:r>
    </w:p>
    <w:p w14:paraId="00336FE6">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评标委员会将根据招标文件和有关规定，履行评标工作职责，并按照评标方法及评分标准，全面衡量各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对招标文件的响应情况。对实质上响应招标文件的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，按照评审因素的量化指标推荐综合得分排名第一的为中标候选人。</w:t>
      </w:r>
    </w:p>
    <w:p w14:paraId="1E4A30B4">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得分相同的，按投标报价由低到高顺序排列。得分且投标报价相同的，投标文件满足招标文件全部实质性要求，且按照评审因素的量化指标评审得分最高的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为排名第一的中标候选人。</w:t>
      </w:r>
    </w:p>
    <w:p w14:paraId="22F5EA2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详见招标文件第四部分评标办法。</w:t>
      </w:r>
    </w:p>
    <w:p w14:paraId="425698A7">
      <w:pPr>
        <w:shd w:val="clear"/>
        <w:spacing w:line="360" w:lineRule="auto"/>
        <w:rPr>
          <w:rFonts w:cs="仿宋" w:asciiTheme="majorEastAsia" w:hAnsiTheme="majorEastAsia" w:eastAsiaTheme="majorEastAsia"/>
          <w:b/>
          <w:color w:val="auto"/>
          <w:sz w:val="24"/>
          <w:highlight w:val="none"/>
        </w:rPr>
      </w:pPr>
    </w:p>
    <w:p w14:paraId="62F4F12E">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六、定 标</w:t>
      </w:r>
    </w:p>
    <w:p w14:paraId="3AC838B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确定中标供应商</w:t>
      </w:r>
    </w:p>
    <w:p w14:paraId="637C645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本项目由评标委员会推荐一个中标候选人，采购人不得在评标委员会推荐的中标候选人以外确定中标候选人。</w:t>
      </w:r>
    </w:p>
    <w:p w14:paraId="4B65061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中标通知与中标结果公告</w:t>
      </w:r>
    </w:p>
    <w:p w14:paraId="66B59776">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20.1自中标人确定之日起2个工作日内，采购代理机构通过电子交易平台向中标人发出中标通知书，同时编制发布采购结果公告。采购代理机构也可以以纸质形式进行中标通知。</w:t>
      </w:r>
    </w:p>
    <w:p w14:paraId="73CDF8D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42BDDCC6">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20.3公告期限为1个工作日。</w:t>
      </w:r>
    </w:p>
    <w:p w14:paraId="4AE65A2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七、合同授予</w:t>
      </w:r>
    </w:p>
    <w:p w14:paraId="70EBB3B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合同授予</w:t>
      </w:r>
    </w:p>
    <w:p w14:paraId="0095C5F8">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合同主要条款详见第五部分拟签订的合同文本。</w:t>
      </w:r>
    </w:p>
    <w:p w14:paraId="0963125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合同的签订</w:t>
      </w:r>
    </w:p>
    <w:p w14:paraId="14F243F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22.1 采购人与中标供应商应当通过电子交易平台在中标通知书发出之日起三十日内，按照招标文件及中标供应商的投标文件确定的事项签订政府采购合同，并在合同签订之日起2个工作日内依法发布合同公告。</w:t>
      </w:r>
    </w:p>
    <w:p w14:paraId="3A2D4ED2">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lang w:val="zh-CN"/>
        </w:rPr>
        <w:t>2</w:t>
      </w:r>
      <w:r>
        <w:rPr>
          <w:rFonts w:hint="eastAsia" w:cs="仿宋" w:asciiTheme="majorEastAsia" w:hAnsiTheme="majorEastAsia" w:eastAsiaTheme="majorEastAsia"/>
          <w:color w:val="auto"/>
          <w:kern w:val="0"/>
          <w:szCs w:val="24"/>
          <w:highlight w:val="none"/>
        </w:rPr>
        <w:t>2</w:t>
      </w:r>
      <w:r>
        <w:rPr>
          <w:rFonts w:hint="eastAsia" w:cs="仿宋" w:asciiTheme="majorEastAsia" w:hAnsiTheme="majorEastAsia" w:eastAsiaTheme="majorEastAsia"/>
          <w:color w:val="auto"/>
          <w:kern w:val="0"/>
          <w:szCs w:val="24"/>
          <w:highlight w:val="none"/>
          <w:lang w:val="zh-CN"/>
        </w:rPr>
        <w:t>.2中标供应商按规定的日期、时间、地点，由法定代表人或其授权代表与采购人代表签订合同。如中标人为联合体的，由联合体成员各方法定代表人或其授权代表与采购人代表签订合同。</w:t>
      </w:r>
    </w:p>
    <w:p w14:paraId="4D997BAB">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22.3如签订合同并生效后，供应商无故拒绝或延期，除按照合同条款处理外，列入不良行为记录名单，并给予通报。</w:t>
      </w:r>
    </w:p>
    <w:p w14:paraId="320343F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22.4中标供应商拒绝与采购人签订合同的，列入不良行为记录名单，采购人、采购代理机构重新开展政府采购活动。</w:t>
      </w:r>
    </w:p>
    <w:p w14:paraId="41A36FC1">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22.5采购合同由采购人与中标供应商根据招标文件、投标文件等内容通过政府采购电子交易平台在线签订，自动备案。</w:t>
      </w:r>
    </w:p>
    <w:p w14:paraId="53B264F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投标保证金的交纳与退还</w:t>
      </w:r>
    </w:p>
    <w:p w14:paraId="019A16F9">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23.1 ▲投标人须按规定提交投标保证金。否则作无效标处理。</w:t>
      </w:r>
    </w:p>
    <w:p w14:paraId="5EAE9C87">
      <w:pPr>
        <w:pStyle w:val="41"/>
        <w:shd w:val="clear"/>
        <w:spacing w:before="0"/>
        <w:ind w:left="483" w:leftChars="230" w:firstLine="0"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23.2保证金形式：单位网银、转账支票、汇票、汇兑。</w:t>
      </w:r>
      <w:r>
        <w:rPr>
          <w:rFonts w:hint="eastAsia" w:cs="仿宋" w:asciiTheme="majorEastAsia" w:hAnsiTheme="majorEastAsia" w:eastAsiaTheme="majorEastAsia"/>
          <w:color w:val="auto"/>
          <w:kern w:val="0"/>
          <w:szCs w:val="24"/>
          <w:highlight w:val="none"/>
        </w:rPr>
        <w:br w:type="textWrapping"/>
      </w:r>
      <w:r>
        <w:rPr>
          <w:rFonts w:hint="eastAsia" w:cs="仿宋" w:asciiTheme="majorEastAsia" w:hAnsiTheme="majorEastAsia" w:eastAsiaTheme="majorEastAsia"/>
          <w:color w:val="auto"/>
          <w:kern w:val="0"/>
          <w:szCs w:val="24"/>
          <w:highlight w:val="none"/>
        </w:rPr>
        <w:t>23.3未中标人的投标保证金在中标通知书发出后5个工作日内退还。</w:t>
      </w:r>
    </w:p>
    <w:p w14:paraId="0B76996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highlight w:val="none"/>
        </w:rPr>
        <w:t>23.4中标人应在中标通知书发出后按招标文件规定的时间内与招标人签订合同，并交纳招标文件规定的履约保证金，中标人的投标保证金在合同签订后5个工作日内退还。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23.5保证金不计息。</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23.6投标人有下列情形之一的，投标保证金将不予退还：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23.6.1投标人在投标有效期内撤回投标文件的；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23.6.2未按规定提交履约保证金的；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23.6.3投标人在投标过程中弄虚作假，提供虚假材料的；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23.6.4中标人无正当理由不与招标人签订合同的；</w:t>
      </w:r>
    </w:p>
    <w:p w14:paraId="173018D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履约保证金</w:t>
      </w:r>
    </w:p>
    <w:p w14:paraId="0E892288">
      <w:pPr>
        <w:shd w:val="clear"/>
        <w:tabs>
          <w:tab w:val="left" w:pos="0"/>
        </w:tabs>
        <w:spacing w:line="360" w:lineRule="auto"/>
        <w:ind w:firstLine="482"/>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cs="仿宋" w:asciiTheme="majorEastAsia" w:hAnsiTheme="majorEastAsia" w:eastAsiaTheme="majorEastAsia"/>
          <w:color w:val="auto"/>
          <w:sz w:val="24"/>
          <w:highlight w:val="none"/>
        </w:rPr>
        <w:t>。鼓励和支持供应商以银行、保险公司出具的保函形式提供履约保证金。</w:t>
      </w:r>
      <w:r>
        <w:rPr>
          <w:rFonts w:hint="eastAsia" w:cs="仿宋" w:asciiTheme="majorEastAsia" w:hAnsiTheme="majorEastAsia" w:eastAsiaTheme="majorEastAsia"/>
          <w:b/>
          <w:color w:val="auto"/>
          <w:sz w:val="24"/>
          <w:highlight w:val="none"/>
        </w:rPr>
        <w:t>采购人不得拒收履约保函。</w:t>
      </w:r>
    </w:p>
    <w:p w14:paraId="02EB9BEB">
      <w:pPr>
        <w:pStyle w:val="6"/>
        <w:shd w:val="clear"/>
        <w:rPr>
          <w:rFonts w:asciiTheme="majorEastAsia" w:hAnsiTheme="majorEastAsia" w:eastAsiaTheme="majorEastAsia"/>
          <w:color w:val="auto"/>
          <w:highlight w:val="none"/>
        </w:rPr>
      </w:pPr>
    </w:p>
    <w:p w14:paraId="4B395930">
      <w:pPr>
        <w:shd w:val="clear"/>
        <w:snapToGrid w:val="0"/>
        <w:spacing w:line="360" w:lineRule="auto"/>
        <w:ind w:firstLine="3357" w:firstLineChars="1045"/>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32"/>
          <w:highlight w:val="none"/>
        </w:rPr>
        <w:t>八、电子交易活动的中止</w:t>
      </w:r>
    </w:p>
    <w:p w14:paraId="4230BC5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电子交易活动的中止</w:t>
      </w:r>
    </w:p>
    <w:p w14:paraId="23C97D9D">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采购过程中出现以下情形，导致电子交易平台无法正常运行，或者无法保证电子交易的公平、公正和安全时，采购代理机构可中止电子交易活动：</w:t>
      </w:r>
    </w:p>
    <w:p w14:paraId="5CE944DE">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25.1电子交易平台发生故障而无法登录访问的； </w:t>
      </w:r>
    </w:p>
    <w:p w14:paraId="01A78FBF">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25.2电子交易平台应用或数据库出现错误，不能进行正常操作的；</w:t>
      </w:r>
    </w:p>
    <w:p w14:paraId="4BDEBACD">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25.3电子交易平台发现严重安全漏洞，有潜在泄密危险的；</w:t>
      </w:r>
    </w:p>
    <w:p w14:paraId="199CD51D">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25.4病毒发作导致不能进行正常操作的； </w:t>
      </w:r>
    </w:p>
    <w:p w14:paraId="423E6212">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25.5其他无法保证电子交易的公平、公正和安全的情况。</w:t>
      </w:r>
    </w:p>
    <w:p w14:paraId="5B77943C">
      <w:pPr>
        <w:shd w:val="clear"/>
        <w:tabs>
          <w:tab w:val="left" w:pos="0"/>
        </w:tabs>
        <w:spacing w:line="360" w:lineRule="auto"/>
        <w:ind w:firstLine="480"/>
        <w:rPr>
          <w:rFonts w:cs="仿宋" w:asciiTheme="majorEastAsia" w:hAnsiTheme="majorEastAsia" w:eastAsiaTheme="majorEastAsia"/>
          <w:color w:val="auto"/>
          <w:sz w:val="24"/>
          <w:highlight w:val="none"/>
        </w:rPr>
      </w:pPr>
    </w:p>
    <w:p w14:paraId="5747CCB4">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九、验收</w:t>
      </w:r>
    </w:p>
    <w:p w14:paraId="630CF9B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验收</w:t>
      </w:r>
    </w:p>
    <w:p w14:paraId="06A073D0">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A88AC48">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3C0F883">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bookmarkEnd w:id="10"/>
      <w:bookmarkEnd w:id="11"/>
      <w:bookmarkEnd w:id="12"/>
      <w:bookmarkStart w:id="13" w:name="_Hlt74730295"/>
      <w:bookmarkEnd w:id="13"/>
      <w:bookmarkStart w:id="14" w:name="_Hlt74714665"/>
      <w:bookmarkEnd w:id="14"/>
      <w:bookmarkStart w:id="15" w:name="_Hlt75236101"/>
      <w:bookmarkEnd w:id="15"/>
      <w:bookmarkStart w:id="16" w:name="_Hlt68072990"/>
      <w:bookmarkEnd w:id="16"/>
      <w:bookmarkStart w:id="17" w:name="_Hlt74729768"/>
      <w:bookmarkEnd w:id="17"/>
      <w:bookmarkStart w:id="18" w:name="_Hlt75236290"/>
      <w:bookmarkEnd w:id="18"/>
      <w:bookmarkStart w:id="19" w:name="_Hlt68057669"/>
      <w:bookmarkEnd w:id="19"/>
      <w:bookmarkStart w:id="20" w:name="_Hlt74707468"/>
      <w:bookmarkEnd w:id="20"/>
      <w:bookmarkStart w:id="21" w:name="_Hlt75236011"/>
      <w:bookmarkEnd w:id="21"/>
      <w:bookmarkStart w:id="22" w:name="_Hlt68073093"/>
      <w:bookmarkEnd w:id="22"/>
      <w:bookmarkStart w:id="23" w:name="_Hlt68072998"/>
      <w:bookmarkEnd w:id="23"/>
      <w:bookmarkStart w:id="24" w:name="_Hlt68403820"/>
      <w:bookmarkEnd w:id="24"/>
      <w:bookmarkStart w:id="25" w:name="第四部分"/>
    </w:p>
    <w:p w14:paraId="349B2D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br w:type="page"/>
      </w:r>
    </w:p>
    <w:p w14:paraId="7B20E22B">
      <w:pPr>
        <w:shd w:val="clear"/>
        <w:tabs>
          <w:tab w:val="left" w:pos="0"/>
        </w:tabs>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采购需求</w:t>
      </w:r>
      <w:bookmarkStart w:id="26" w:name="_Toc500353170"/>
      <w:bookmarkStart w:id="27" w:name="_Toc238060530"/>
      <w:bookmarkStart w:id="28" w:name="_Toc3177"/>
      <w:bookmarkStart w:id="29" w:name="_Toc238060864"/>
      <w:bookmarkStart w:id="30" w:name="_Toc337648124"/>
      <w:bookmarkStart w:id="31" w:name="_Toc238302725"/>
      <w:bookmarkStart w:id="32" w:name="_Toc234496368"/>
      <w:bookmarkStart w:id="33" w:name="_Toc238282729"/>
    </w:p>
    <w:bookmarkEnd w:id="26"/>
    <w:bookmarkEnd w:id="27"/>
    <w:bookmarkEnd w:id="28"/>
    <w:bookmarkEnd w:id="29"/>
    <w:bookmarkEnd w:id="30"/>
    <w:bookmarkEnd w:id="31"/>
    <w:bookmarkEnd w:id="32"/>
    <w:bookmarkEnd w:id="33"/>
    <w:p w14:paraId="3BDB6EB3">
      <w:pPr>
        <w:shd w:val="clear"/>
        <w:spacing w:line="360" w:lineRule="auto"/>
        <w:rPr>
          <w:rFonts w:asciiTheme="minorEastAsia" w:hAnsiTheme="minorEastAsia" w:eastAsiaTheme="minorEastAsia"/>
          <w:color w:val="auto"/>
          <w:sz w:val="28"/>
          <w:highlight w:val="none"/>
        </w:rPr>
      </w:pPr>
      <w:bookmarkStart w:id="34" w:name="_Toc471938839"/>
      <w:r>
        <w:rPr>
          <w:rFonts w:hint="eastAsia" w:asciiTheme="minorEastAsia" w:hAnsiTheme="minorEastAsia" w:eastAsiaTheme="minorEastAsia"/>
          <w:color w:val="auto"/>
          <w:sz w:val="28"/>
          <w:highlight w:val="none"/>
        </w:rPr>
        <w:t>一</w:t>
      </w:r>
      <w:bookmarkEnd w:id="34"/>
      <w:r>
        <w:rPr>
          <w:rFonts w:hint="eastAsia" w:asciiTheme="minorEastAsia" w:hAnsiTheme="minorEastAsia" w:eastAsiaTheme="minorEastAsia"/>
          <w:color w:val="auto"/>
          <w:sz w:val="28"/>
          <w:highlight w:val="none"/>
        </w:rPr>
        <w:t>、基本情况</w:t>
      </w:r>
    </w:p>
    <w:p w14:paraId="31FA0CF0">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幼儿园秉承“自然教育”核心思想，以“顺应天性、自然成长”为理念宗旨，以“自然成长课程”为特色。</w:t>
      </w:r>
    </w:p>
    <w:p w14:paraId="58B65E10">
      <w:pPr>
        <w:shd w:val="clear"/>
        <w:spacing w:line="360" w:lineRule="auto"/>
        <w:rPr>
          <w:rFonts w:asciiTheme="minorEastAsia" w:hAnsiTheme="minorEastAsia" w:eastAsiaTheme="minorEastAsia"/>
          <w:color w:val="auto"/>
          <w:sz w:val="28"/>
          <w:highlight w:val="none"/>
        </w:rPr>
      </w:pPr>
      <w:bookmarkStart w:id="35" w:name="_Toc462044159"/>
      <w:r>
        <w:rPr>
          <w:rFonts w:hint="eastAsia" w:asciiTheme="minorEastAsia" w:hAnsiTheme="minorEastAsia" w:eastAsiaTheme="minorEastAsia"/>
          <w:color w:val="auto"/>
          <w:sz w:val="28"/>
          <w:highlight w:val="none"/>
        </w:rPr>
        <w:t>二、</w:t>
      </w:r>
      <w:bookmarkEnd w:id="35"/>
      <w:r>
        <w:rPr>
          <w:rFonts w:hint="eastAsia" w:asciiTheme="minorEastAsia" w:hAnsiTheme="minorEastAsia" w:eastAsiaTheme="minorEastAsia"/>
          <w:color w:val="auto"/>
          <w:sz w:val="28"/>
          <w:highlight w:val="none"/>
        </w:rPr>
        <w:t>深化设计方案</w:t>
      </w:r>
    </w:p>
    <w:p w14:paraId="0B607B1F">
      <w:pPr>
        <w:shd w:val="clear"/>
        <w:spacing w:line="360" w:lineRule="auto"/>
        <w:ind w:firstLine="480" w:firstLineChars="200"/>
        <w:rPr>
          <w:color w:val="auto"/>
          <w:highlight w:val="none"/>
        </w:rPr>
      </w:pPr>
      <w:r>
        <w:rPr>
          <w:rFonts w:hint="eastAsia" w:asciiTheme="minorEastAsia" w:hAnsiTheme="minorEastAsia" w:eastAsiaTheme="minorEastAsia"/>
          <w:color w:val="auto"/>
          <w:sz w:val="24"/>
          <w:highlight w:val="none"/>
        </w:rPr>
        <w:t>整个布局应符合省级幼儿园户外要求，需容纳人数270左右。要包含土坡拓展区、沙水区、种植体验区、大型玩具区、户外生活体验区、休闲区、养殖区、涂鸦区等功能区域，不仅在外观上凸显和谐美观，还能集中体现园所理念，要尽量满足3-6岁（三个年龄段）儿童学习与发展。通过充分挖掘场地的自然潜力，开辟可供幼儿翻滚、蹦跳、玩沙、玩水、自由游戏的户外活动场地。</w:t>
      </w:r>
    </w:p>
    <w:p w14:paraId="222D5646">
      <w:pPr>
        <w:shd w:val="clear"/>
        <w:spacing w:line="360" w:lineRule="auto"/>
        <w:rPr>
          <w:rFonts w:asciiTheme="minorEastAsia" w:hAnsiTheme="minorEastAsia" w:eastAsiaTheme="minorEastAsia"/>
          <w:color w:val="auto"/>
          <w:sz w:val="28"/>
          <w:highlight w:val="none"/>
        </w:rPr>
      </w:pPr>
      <w:bookmarkStart w:id="36" w:name="_Toc462044160"/>
      <w:r>
        <w:rPr>
          <w:rFonts w:hint="eastAsia" w:asciiTheme="minorEastAsia" w:hAnsiTheme="minorEastAsia" w:eastAsiaTheme="minorEastAsia"/>
          <w:color w:val="auto"/>
          <w:sz w:val="28"/>
          <w:highlight w:val="none"/>
        </w:rPr>
        <w:t>三</w:t>
      </w:r>
      <w:bookmarkEnd w:id="36"/>
      <w:r>
        <w:rPr>
          <w:rFonts w:hint="eastAsia" w:asciiTheme="minorEastAsia" w:hAnsiTheme="minorEastAsia" w:eastAsiaTheme="minorEastAsia"/>
          <w:color w:val="auto"/>
          <w:sz w:val="28"/>
          <w:highlight w:val="none"/>
        </w:rPr>
        <w:t>、总体要求</w:t>
      </w:r>
    </w:p>
    <w:p w14:paraId="2132FD39">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满足绿化、美化、净化、儿童化的要求；满足幼儿生理、心理、行为特征的需求；</w:t>
      </w:r>
      <w:r>
        <w:rPr>
          <w:rFonts w:hint="eastAsia" w:asciiTheme="minorEastAsia" w:hAnsiTheme="minorEastAsia" w:eastAsiaTheme="minorEastAsia"/>
          <w:color w:val="auto"/>
          <w:sz w:val="24"/>
          <w:highlight w:val="none"/>
        </w:rPr>
        <w:t>注重</w:t>
      </w:r>
      <w:r>
        <w:rPr>
          <w:rFonts w:asciiTheme="minorEastAsia" w:hAnsiTheme="minorEastAsia" w:eastAsiaTheme="minorEastAsia"/>
          <w:color w:val="auto"/>
          <w:sz w:val="24"/>
          <w:highlight w:val="none"/>
        </w:rPr>
        <w:t>虚实的排列、色彩的处理</w:t>
      </w:r>
      <w:r>
        <w:rPr>
          <w:rFonts w:hint="eastAsia" w:asciiTheme="minorEastAsia" w:hAnsiTheme="minorEastAsia" w:eastAsiaTheme="minorEastAsia"/>
          <w:color w:val="auto"/>
          <w:sz w:val="24"/>
          <w:highlight w:val="none"/>
        </w:rPr>
        <w:t>等。</w:t>
      </w:r>
    </w:p>
    <w:p w14:paraId="4D504F2A">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 有助于幼儿平衡协调能力的发展以及力量和耐力的锻炼，可供幼儿跑跳、钻爬、攀登等，创设一个富有“童趣”的室外环境空间。</w:t>
      </w:r>
    </w:p>
    <w:p w14:paraId="2AF96EBC">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3．体现自然教育和真心育真人的理念，要有整体的规划理念，为后期改造乃至全园的景观设计提供设想。</w:t>
      </w:r>
    </w:p>
    <w:p w14:paraId="3298FA88">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4．合理考虑省级幼儿园所必须配置的区域划分。</w:t>
      </w:r>
    </w:p>
    <w:p w14:paraId="544D75E9">
      <w:pPr>
        <w:pStyle w:val="25"/>
        <w:shd w:val="clear"/>
        <w:spacing w:line="360" w:lineRule="auto"/>
        <w:ind w:firstLine="480"/>
        <w:rPr>
          <w:rFonts w:asciiTheme="minorEastAsia" w:hAnsiTheme="minorEastAsia" w:eastAsiaTheme="minorEastAsia"/>
          <w:color w:val="auto"/>
          <w:sz w:val="24"/>
          <w:highlight w:val="none"/>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r>
        <w:rPr>
          <w:rFonts w:hint="eastAsia" w:asciiTheme="minorEastAsia" w:hAnsiTheme="minorEastAsia" w:eastAsiaTheme="minorEastAsia"/>
          <w:color w:val="auto"/>
          <w:sz w:val="24"/>
          <w:highlight w:val="none"/>
        </w:rPr>
        <w:t>5．各类设施材料需保证幼儿安全，注重基础设施细节处理。</w:t>
      </w:r>
    </w:p>
    <w:p w14:paraId="2B53A8C6">
      <w:pPr>
        <w:shd w:val="clea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8"/>
          <w:highlight w:val="none"/>
        </w:rPr>
        <w:t>四、采购清单</w:t>
      </w:r>
    </w:p>
    <w:tbl>
      <w:tblPr>
        <w:tblStyle w:val="18"/>
        <w:tblW w:w="5061" w:type="pct"/>
        <w:tblInd w:w="-181" w:type="dxa"/>
        <w:tblLayout w:type="fixed"/>
        <w:tblCellMar>
          <w:top w:w="0" w:type="dxa"/>
          <w:left w:w="108" w:type="dxa"/>
          <w:bottom w:w="0" w:type="dxa"/>
          <w:right w:w="108" w:type="dxa"/>
        </w:tblCellMar>
      </w:tblPr>
      <w:tblGrid>
        <w:gridCol w:w="779"/>
        <w:gridCol w:w="1627"/>
        <w:gridCol w:w="830"/>
        <w:gridCol w:w="703"/>
        <w:gridCol w:w="2680"/>
        <w:gridCol w:w="8089"/>
      </w:tblGrid>
      <w:tr w14:paraId="309FB61F">
        <w:tblPrEx>
          <w:tblCellMar>
            <w:top w:w="0" w:type="dxa"/>
            <w:left w:w="108" w:type="dxa"/>
            <w:bottom w:w="0" w:type="dxa"/>
            <w:right w:w="108" w:type="dxa"/>
          </w:tblCellMar>
        </w:tblPrEx>
        <w:trPr>
          <w:trHeight w:val="8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EE84">
            <w:pPr>
              <w:widowControl/>
              <w:shd w:val="clear"/>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序号</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398D">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名称</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201A">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648B">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单位</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4A2E">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参考图片</w:t>
            </w:r>
          </w:p>
        </w:tc>
        <w:tc>
          <w:tcPr>
            <w:tcW w:w="2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886A">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参数</w:t>
            </w:r>
          </w:p>
        </w:tc>
      </w:tr>
      <w:tr w14:paraId="0FFB0BE5">
        <w:tblPrEx>
          <w:tblCellMar>
            <w:top w:w="0" w:type="dxa"/>
            <w:left w:w="108" w:type="dxa"/>
            <w:bottom w:w="0" w:type="dxa"/>
            <w:right w:w="108" w:type="dxa"/>
          </w:tblCellMar>
        </w:tblPrEx>
        <w:trPr>
          <w:trHeight w:val="9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B0BA">
            <w:pPr>
              <w:widowControl/>
              <w:shd w:val="clear"/>
              <w:jc w:val="center"/>
              <w:textAlignment w:val="center"/>
              <w:rPr>
                <w:rFonts w:ascii="宋体" w:hAnsi="宋体" w:cs="宋体"/>
                <w:b/>
                <w:bCs/>
                <w:color w:val="auto"/>
                <w:kern w:val="0"/>
                <w:sz w:val="24"/>
                <w:highlight w:val="none"/>
                <w:lang w:bidi="ar"/>
              </w:rPr>
            </w:pPr>
            <w:r>
              <w:rPr>
                <w:rFonts w:hint="eastAsia" w:ascii="宋体" w:hAnsi="宋体" w:cs="宋体"/>
                <w:color w:val="auto"/>
                <w:kern w:val="0"/>
                <w:sz w:val="18"/>
                <w:szCs w:val="18"/>
                <w:highlight w:val="none"/>
                <w:lang w:bidi="ar"/>
              </w:rPr>
              <w:t xml:space="preserve">1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38553">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lang w:bidi="ar"/>
              </w:rPr>
              <w:t>木屋功能架组合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814BD">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6FA2">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lang w:bidi="ar"/>
              </w:rPr>
              <w:t xml:space="preserve"> 组</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9B54">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4560" behindDoc="0" locked="0" layoutInCell="1" allowOverlap="1">
                  <wp:simplePos x="0" y="0"/>
                  <wp:positionH relativeFrom="column">
                    <wp:posOffset>43180</wp:posOffset>
                  </wp:positionH>
                  <wp:positionV relativeFrom="paragraph">
                    <wp:posOffset>378460</wp:posOffset>
                  </wp:positionV>
                  <wp:extent cx="1366520" cy="694055"/>
                  <wp:effectExtent l="0" t="0" r="5080" b="10795"/>
                  <wp:wrapNone/>
                  <wp:docPr id="113" name="image1"/>
                  <wp:cNvGraphicFramePr/>
                  <a:graphic xmlns:a="http://schemas.openxmlformats.org/drawingml/2006/main">
                    <a:graphicData uri="http://schemas.openxmlformats.org/drawingml/2006/picture">
                      <pic:pic xmlns:pic="http://schemas.openxmlformats.org/drawingml/2006/picture">
                        <pic:nvPicPr>
                          <pic:cNvPr id="113" name="image1"/>
                          <pic:cNvPicPr/>
                        </pic:nvPicPr>
                        <pic:blipFill>
                          <a:blip r:embed="rId12"/>
                          <a:stretch>
                            <a:fillRect/>
                          </a:stretch>
                        </pic:blipFill>
                        <pic:spPr>
                          <a:xfrm>
                            <a:off x="0" y="0"/>
                            <a:ext cx="1366520" cy="6940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60D4">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规格：2930*545*715cm</w:t>
            </w:r>
            <w:r>
              <w:rPr>
                <w:rFonts w:hint="eastAsia" w:ascii="宋体" w:hAnsi="宋体" w:cs="宋体"/>
                <w:color w:val="auto"/>
                <w:kern w:val="0"/>
                <w:sz w:val="18"/>
                <w:szCs w:val="18"/>
                <w:highlight w:val="none"/>
                <w:lang w:eastAsia="zh-CN" w:bidi="ar"/>
              </w:rPr>
              <w:t>；</w:t>
            </w:r>
          </w:p>
          <w:p w14:paraId="0A25EB01">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所投木屋功能架组合符合GB/T 27689-2011标准</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平台和楼梯采用2mm厚镀锌钢板激光切割折弯焊接成型，表面铺设15mm厚PS塑木。平台表面塑木板铺设方式：镙丝钉从平台底部自下而上固定，平台表面没有镙丝钉。木屋顶板和侧板也为15mm厚PS塑木，立柱采用镀锌钢管114*2mm、龙骨主料采用80*40*2.2mm辅料采用40*40*2mm、50*30*2mm、栏杆横杆采用镀锌钢管48*2mm，竖杆采用镀锌钢管32*1.8mm。底部采用脚盘打膨胀螺丝与地面固定</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所投产品配件镀锌板通过抗拉强度、规定塑性延伸强度、断后伸长率、洛氏硬度、中性盐雾实验及试验评级、高温抗拉强度、高温规定塑性延伸强度、高温断后伸长率、冲击测试、密度测试；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所投产品配件平台通过抗拉强度、规定塑性延伸强度、断后伸长率、洛氏硬度、中性盐雾实验及试验评级、高温抗拉强度、高温规定塑性延伸强度、高温断后伸长率、冲击测试、密度测试；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所投产品配件脚盘通过抗拉强度、规定塑性延伸强度、断后伸长率、洛氏硬度、中性盐雾实验及试验评级、高温抗拉强度、高温规定塑性延伸强度、高温断后伸长率、冲击测试、密度测试；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7.</w:t>
            </w:r>
            <w:r>
              <w:rPr>
                <w:rFonts w:hint="eastAsia" w:ascii="宋体" w:hAnsi="宋体" w:cs="宋体"/>
                <w:color w:val="auto"/>
                <w:kern w:val="0"/>
                <w:sz w:val="18"/>
                <w:szCs w:val="18"/>
                <w:highlight w:val="none"/>
                <w:lang w:bidi="ar"/>
              </w:rPr>
              <w:t>所投产品配件膨胀螺丝通过抗拉强度、规定塑性延伸强度、断后伸长率、洛氏硬度、中性盐雾实验及试验评级、高温抗拉强度、高温规定塑性延伸强度、高温断后伸长率、冲击测试、密度测试；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材料工艺及特点：</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8.</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在潮湿环境下不长斑、不发霉、不生虫、不开裂，相比于木材少去后期维护保养费用。★所投产品原材料塑木具有合格检测报告（检测内容含：抗紫外线老化、耐磨性、硬度）；（投标文件中提供具有CMA标志的第三方检测报告扫描件或复印件。）</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9.</w:t>
            </w:r>
            <w:r>
              <w:rPr>
                <w:rFonts w:hint="eastAsia" w:ascii="宋体" w:hAnsi="宋体" w:cs="宋体"/>
                <w:color w:val="auto"/>
                <w:kern w:val="0"/>
                <w:sz w:val="18"/>
                <w:szCs w:val="18"/>
                <w:highlight w:val="none"/>
                <w:lang w:bidi="ar"/>
              </w:rPr>
              <w:t>工程塑料：工程塑料添加抗止外线稳定及静电防止剂,表面处理:模铸面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（1）原料:采用工程塑料,将颜色粉末与聚乙烯基材充分混合,让滚塑生产时可以充分的将颜色与基材密不可分, 让抗紫外线,退色,脆化,静电等元素长久不会流失.与一般厂家的只是将颜色粉末与聚乙烯基材以干拌方式混合有极大的性能分别. 颜色五年不退色，抗紫外线色牢度达8级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（2）模具表面处理:采模铸面处理,展现较高的产质量感与防刮性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10.</w:t>
            </w:r>
            <w:r>
              <w:rPr>
                <w:rFonts w:hint="eastAsia" w:ascii="宋体" w:hAnsi="宋体" w:cs="宋体"/>
                <w:color w:val="auto"/>
                <w:kern w:val="0"/>
                <w:sz w:val="18"/>
                <w:szCs w:val="18"/>
                <w:highlight w:val="none"/>
                <w:lang w:bidi="ar"/>
              </w:rPr>
              <w:t>钢管部件：镀锌钢管的部件采用符合要求的钢管，确保强度与安全性.原材料采用CO2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2）防止退色:粉末喷涂材料添加抗紫外线稳定剂,确保颜色保持长久鲜艳.直接使用镀锌厚度达到每平米120克的优质环保镀锌管，除油后用户外环保聚胺酯静电粉末喷涂，确保户外正常使用8年。★所投产品配件镀锌管具有合格检测报告（检测内容含：抗拉强度、规定塑性延伸强度、断后伸长率、洛氏硬度、中性盐雾实验及试验评级、高温抗拉强度、高温规定塑性延伸强度、高温断后伸长率、冲击测试、密度测试）；（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11.</w:t>
            </w:r>
            <w:r>
              <w:rPr>
                <w:rFonts w:hint="eastAsia" w:ascii="宋体" w:hAnsi="宋体" w:cs="宋体"/>
                <w:color w:val="auto"/>
                <w:kern w:val="0"/>
                <w:sz w:val="18"/>
                <w:szCs w:val="18"/>
                <w:highlight w:val="none"/>
                <w:lang w:bidi="ar"/>
              </w:rPr>
              <w:t>平行爬网：φ16mm钢芯缆绳，采用钢丝绳是将力学性能和几何尺寸符合要求的钢丝按照一定的规则捻制在一起的螺旋状钢丝束，钢丝绳由钢丝、绳芯及润滑脂组成。钢丝绳是先由6股钢丝捻成股，再以绳芯为中心，由一定数量股捻绕成螺旋状的绳；再覆以变色锦纶编织绳，强度大，抗磨损，耐腐蚀，安全性能好，安全使用性能好。网绳编织采用专用尼龙连接扣连接。爬网底再铺设六边型机编晴纶网，网孔不大于60mm。★所投产品配件钢丝绳具有合格检测报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检测内容含：抗拉强度、规定塑性延伸强度、断后伸长率、洛氏硬度、中性盐雾实验及试验评级、高温抗拉强度、高温规定塑性延伸强度、高温断后伸长率、冲击测试、密度测试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12.</w:t>
            </w:r>
            <w:r>
              <w:rPr>
                <w:rFonts w:hint="eastAsia" w:ascii="宋体" w:hAnsi="宋体" w:cs="宋体"/>
                <w:color w:val="auto"/>
                <w:kern w:val="0"/>
                <w:sz w:val="18"/>
                <w:szCs w:val="18"/>
                <w:highlight w:val="none"/>
                <w:lang w:bidi="ar"/>
              </w:rPr>
              <w:t>网桶钻洞：绳子采用14mm航海船用缆绳，中芯为镀铬钢丝，外层再覆以变色锦纶编织绳，强度大，抗磨损，耐腐蚀，安全性能好，安全使用性能好，网绳编织采用专用绳网扣连接</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所投产品配件U型扣通过抗拉强度、规定塑性延伸强度、断后伸长率、洛氏硬度、中性盐雾实验及试验评级、高温抗拉强度、高温规定塑性延伸强度、高温断后伸长率、冲击测试、密度测试；★所投产品配件绳网扣具有合格检测报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检测内容含：抗拉强度、规定塑性延伸强度、断后伸长率、洛氏硬度、中性盐雾实验及试验评级、高温抗拉强度、高温规定塑性延伸强度、高温断后伸长率、冲击测试、密度测试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13.</w:t>
            </w:r>
            <w:r>
              <w:rPr>
                <w:rFonts w:hint="eastAsia" w:ascii="宋体" w:hAnsi="宋体" w:cs="宋体"/>
                <w:color w:val="auto"/>
                <w:kern w:val="0"/>
                <w:sz w:val="18"/>
                <w:szCs w:val="18"/>
                <w:highlight w:val="none"/>
                <w:lang w:bidi="ar"/>
              </w:rPr>
              <w:t>装饰PC板：采用纯聚甲基丙烯酸甲酯（PMMA）材料制成，厚度不小于4.5mm，透光率达80%以上，有极佳的耐候性，抗冲击力强</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14.</w:t>
            </w:r>
            <w:r>
              <w:rPr>
                <w:rFonts w:hint="eastAsia" w:ascii="宋体" w:hAnsi="宋体" w:cs="宋体"/>
                <w:color w:val="auto"/>
                <w:kern w:val="0"/>
                <w:sz w:val="18"/>
                <w:szCs w:val="18"/>
                <w:highlight w:val="none"/>
                <w:lang w:bidi="ar"/>
              </w:rPr>
              <w:t>PE板材质：高密度聚乙烯，厚度1.5cm，产品无臭，无毒，手感似蜡，具有优良的耐低温性能(最低使用温度可达-70～-100℃)，化学稳定性好</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15.</w:t>
            </w:r>
            <w:r>
              <w:rPr>
                <w:rFonts w:hint="eastAsia" w:ascii="宋体" w:hAnsi="宋体" w:cs="宋体"/>
                <w:color w:val="auto"/>
                <w:kern w:val="0"/>
                <w:sz w:val="18"/>
                <w:szCs w:val="18"/>
                <w:highlight w:val="none"/>
                <w:lang w:bidi="ar"/>
              </w:rPr>
              <w:t xml:space="preserve">五金配件采用材质：304不锈钢半圆头，T 型平头螺丝、采用防松螺母。表面处理：机械抛光   </w:t>
            </w:r>
          </w:p>
          <w:p w14:paraId="55F7386E">
            <w:pPr>
              <w:widowControl/>
              <w:shd w:val="clear"/>
              <w:jc w:val="left"/>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cs="宋体"/>
                <w:color w:val="auto"/>
                <w:kern w:val="0"/>
                <w:sz w:val="18"/>
                <w:szCs w:val="18"/>
                <w:highlight w:val="none"/>
                <w:lang w:bidi="ar"/>
              </w:rPr>
              <w:t>所投产品配件螺丝通过抗拉强度、规定塑性延伸强度、断后伸长率、洛氏硬度、中性盐雾实验及试验评级、高温抗拉强度、高温规定塑性延伸强度、高温断后伸长率、冲击测试、密度测试；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★所投产品配件防松螺母具有合格检测报告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检测内容含：抗拉强度、规定塑性延伸强度、断后伸长率、洛氏硬度、中性盐雾实验及试验评级、高温抗拉强度、高温规定塑性延伸强度、高温断后伸长率、冲击测试、密度测试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16.</w:t>
            </w:r>
            <w:r>
              <w:rPr>
                <w:rFonts w:hint="eastAsia" w:ascii="宋体" w:hAnsi="宋体" w:cs="宋体"/>
                <w:color w:val="auto"/>
                <w:kern w:val="0"/>
                <w:sz w:val="18"/>
                <w:szCs w:val="18"/>
                <w:highlight w:val="none"/>
                <w:lang w:bidi="ar"/>
              </w:rPr>
              <w:t>功能部件：采用厚15mmPE板，触碰进入敏捷模式，该模式下，孩子们要以最快的速度触摸按钮。触碰绿灯进入记忆模式，该模式下，每回合依次触摸，孩子们通过记忆按顺序依次触摸相应的按钮，所有的传动机构均内嵌</w:t>
            </w:r>
            <w:r>
              <w:rPr>
                <w:rFonts w:hint="eastAsia" w:ascii="宋体" w:hAnsi="宋体" w:cs="宋体"/>
                <w:color w:val="auto"/>
                <w:kern w:val="0"/>
                <w:sz w:val="18"/>
                <w:szCs w:val="18"/>
                <w:highlight w:val="none"/>
                <w:lang w:eastAsia="zh-CN" w:bidi="ar"/>
              </w:rPr>
              <w:t>。</w:t>
            </w:r>
          </w:p>
        </w:tc>
      </w:tr>
      <w:tr w14:paraId="6B83830E">
        <w:tblPrEx>
          <w:tblCellMar>
            <w:top w:w="0" w:type="dxa"/>
            <w:left w:w="108" w:type="dxa"/>
            <w:bottom w:w="0" w:type="dxa"/>
            <w:right w:w="108" w:type="dxa"/>
          </w:tblCellMar>
        </w:tblPrEx>
        <w:trPr>
          <w:trHeight w:val="24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F5FB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9013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帐篷</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A85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B482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35C9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59264" behindDoc="0" locked="0" layoutInCell="1" allowOverlap="1">
                  <wp:simplePos x="0" y="0"/>
                  <wp:positionH relativeFrom="column">
                    <wp:posOffset>299720</wp:posOffset>
                  </wp:positionH>
                  <wp:positionV relativeFrom="paragraph">
                    <wp:posOffset>261620</wp:posOffset>
                  </wp:positionV>
                  <wp:extent cx="1082675" cy="1178560"/>
                  <wp:effectExtent l="0" t="0" r="3175" b="2540"/>
                  <wp:wrapNone/>
                  <wp:docPr id="58" name="image6"/>
                  <wp:cNvGraphicFramePr/>
                  <a:graphic xmlns:a="http://schemas.openxmlformats.org/drawingml/2006/main">
                    <a:graphicData uri="http://schemas.openxmlformats.org/drawingml/2006/picture">
                      <pic:pic xmlns:pic="http://schemas.openxmlformats.org/drawingml/2006/picture">
                        <pic:nvPicPr>
                          <pic:cNvPr id="58" name="image6"/>
                          <pic:cNvPicPr/>
                        </pic:nvPicPr>
                        <pic:blipFill>
                          <a:blip r:embed="rId13"/>
                          <a:stretch>
                            <a:fillRect/>
                          </a:stretch>
                        </pic:blipFill>
                        <pic:spPr>
                          <a:xfrm>
                            <a:off x="0" y="0"/>
                            <a:ext cx="1082675" cy="11785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A1E93">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规格：250*250*270cm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立柱木头材质芬兰木，圆立柱直径8cm,表面处理：进行压、刨、铣、冲等处理后，表面进行防腐、防蛀处理，后采用原子灰进行三次刮灰抹平，并打磨光滑，表面喷涂三次聚氨脂清漆，围布为防水帆布</w:t>
            </w:r>
            <w:r>
              <w:rPr>
                <w:rFonts w:hint="eastAsia" w:ascii="宋体" w:hAnsi="宋体" w:cs="宋体"/>
                <w:color w:val="auto"/>
                <w:kern w:val="0"/>
                <w:sz w:val="18"/>
                <w:szCs w:val="18"/>
                <w:highlight w:val="none"/>
                <w:lang w:eastAsia="zh-CN" w:bidi="ar"/>
              </w:rPr>
              <w:t>；</w:t>
            </w:r>
          </w:p>
          <w:p w14:paraId="58EF5B3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所投产品原材料芬兰木具有合格检测报告（检测内容须含：黑曲霉0级、土曲霉0级、宛氏拟青霉0级、绳状青霉0级、出芽短梗霉0级、 球毛壳霉0级）。（投标文件中提供具有CMA标志的第三方检测报告扫描件或复印件）</w:t>
            </w:r>
          </w:p>
        </w:tc>
      </w:tr>
      <w:tr w14:paraId="76287E80">
        <w:tblPrEx>
          <w:tblCellMar>
            <w:top w:w="0" w:type="dxa"/>
            <w:left w:w="108" w:type="dxa"/>
            <w:bottom w:w="0" w:type="dxa"/>
            <w:right w:w="108" w:type="dxa"/>
          </w:tblCellMar>
        </w:tblPrEx>
        <w:trPr>
          <w:trHeight w:val="26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F406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87AB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拱形小屋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019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5390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732C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0288" behindDoc="0" locked="0" layoutInCell="1" allowOverlap="1">
                  <wp:simplePos x="0" y="0"/>
                  <wp:positionH relativeFrom="column">
                    <wp:posOffset>57150</wp:posOffset>
                  </wp:positionH>
                  <wp:positionV relativeFrom="paragraph">
                    <wp:posOffset>139065</wp:posOffset>
                  </wp:positionV>
                  <wp:extent cx="1449705" cy="1083310"/>
                  <wp:effectExtent l="0" t="0" r="17145" b="2540"/>
                  <wp:wrapNone/>
                  <wp:docPr id="61" name="image4"/>
                  <wp:cNvGraphicFramePr/>
                  <a:graphic xmlns:a="http://schemas.openxmlformats.org/drawingml/2006/main">
                    <a:graphicData uri="http://schemas.openxmlformats.org/drawingml/2006/picture">
                      <pic:pic xmlns:pic="http://schemas.openxmlformats.org/drawingml/2006/picture">
                        <pic:nvPicPr>
                          <pic:cNvPr id="61" name="image4"/>
                          <pic:cNvPicPr/>
                        </pic:nvPicPr>
                        <pic:blipFill>
                          <a:blip r:embed="rId14"/>
                          <a:stretch>
                            <a:fillRect/>
                          </a:stretch>
                        </pic:blipFill>
                        <pic:spPr>
                          <a:xfrm>
                            <a:off x="0" y="0"/>
                            <a:ext cx="1449705" cy="108331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24A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225*100*155cm</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木头材质芬兰木，厚度40mm表面处理：进行压、刨、铣、冲等处理后，表面进行防腐、防蛀处理，后采用原子灰进行三次刮灰抹平，并打磨光滑，表面喷涂三次聚氨脂清漆</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材质防盗螺丝，并采用螺栓连接，牢固可靠，不易松动脱落及变形和损坏</w:t>
            </w:r>
            <w:r>
              <w:rPr>
                <w:rStyle w:val="60"/>
                <w:rFonts w:hint="eastAsia"/>
                <w:color w:val="auto"/>
                <w:highlight w:val="none"/>
                <w:lang w:eastAsia="zh-CN" w:bidi="ar"/>
              </w:rPr>
              <w:t>；</w:t>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7AD3FA0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C2E0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B692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拱挤木地板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43B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CDA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645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1312" behindDoc="0" locked="0" layoutInCell="1" allowOverlap="1">
                  <wp:simplePos x="0" y="0"/>
                  <wp:positionH relativeFrom="column">
                    <wp:posOffset>33020</wp:posOffset>
                  </wp:positionH>
                  <wp:positionV relativeFrom="paragraph">
                    <wp:posOffset>635</wp:posOffset>
                  </wp:positionV>
                  <wp:extent cx="1472565" cy="1129665"/>
                  <wp:effectExtent l="0" t="0" r="13335" b="13335"/>
                  <wp:wrapNone/>
                  <wp:docPr id="59" name="image3"/>
                  <wp:cNvGraphicFramePr/>
                  <a:graphic xmlns:a="http://schemas.openxmlformats.org/drawingml/2006/main">
                    <a:graphicData uri="http://schemas.openxmlformats.org/drawingml/2006/picture">
                      <pic:pic xmlns:pic="http://schemas.openxmlformats.org/drawingml/2006/picture">
                        <pic:nvPicPr>
                          <pic:cNvPr id="59" name="image3"/>
                          <pic:cNvPicPr/>
                        </pic:nvPicPr>
                        <pic:blipFill>
                          <a:blip r:embed="rId15"/>
                          <a:stretch>
                            <a:fillRect/>
                          </a:stretch>
                        </pic:blipFill>
                        <pic:spPr>
                          <a:xfrm>
                            <a:off x="0" y="0"/>
                            <a:ext cx="1472565" cy="11296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1182">
            <w:pPr>
              <w:widowControl/>
              <w:shd w:val="clear"/>
              <w:jc w:val="left"/>
              <w:textAlignment w:val="center"/>
              <w:rPr>
                <w:rFonts w:ascii="宋体" w:hAnsi="宋体" w:cs="宋体"/>
                <w:color w:val="auto"/>
                <w:sz w:val="18"/>
                <w:szCs w:val="18"/>
                <w:highlight w:val="none"/>
              </w:rPr>
            </w:pPr>
            <w:r>
              <w:rPr>
                <w:rStyle w:val="60"/>
                <w:rFonts w:hint="default"/>
                <w:color w:val="auto"/>
                <w:highlight w:val="none"/>
                <w:lang w:bidi="ar"/>
              </w:rPr>
              <w:t>地板规格；</w:t>
            </w:r>
            <w:r>
              <w:rPr>
                <w:rStyle w:val="61"/>
                <w:rFonts w:hint="default"/>
                <w:color w:val="auto"/>
                <w:highlight w:val="none"/>
                <w:lang w:bidi="ar"/>
              </w:rPr>
              <w:t>4000*145*23mm</w:t>
            </w:r>
            <w:r>
              <w:rPr>
                <w:rStyle w:val="60"/>
                <w:rFonts w:hint="default"/>
                <w:color w:val="auto"/>
                <w:highlight w:val="none"/>
                <w:lang w:bidi="ar"/>
              </w:rPr>
              <w:t>，热镀锌方管龙骨规格</w:t>
            </w:r>
            <w:r>
              <w:rPr>
                <w:rStyle w:val="61"/>
                <w:rFonts w:hint="default"/>
                <w:color w:val="auto"/>
                <w:highlight w:val="none"/>
                <w:lang w:bidi="ar"/>
              </w:rPr>
              <w:t>6000*50*30mm</w:t>
            </w:r>
            <w:r>
              <w:rPr>
                <w:rStyle w:val="60"/>
                <w:rFonts w:hint="default"/>
                <w:color w:val="auto"/>
                <w:highlight w:val="none"/>
                <w:lang w:bidi="ar"/>
              </w:rPr>
              <w:t>厚度</w:t>
            </w:r>
            <w:r>
              <w:rPr>
                <w:rStyle w:val="61"/>
                <w:rFonts w:hint="default"/>
                <w:color w:val="auto"/>
                <w:highlight w:val="none"/>
                <w:lang w:bidi="ar"/>
              </w:rPr>
              <w:t>2.0mm</w:t>
            </w:r>
            <w:r>
              <w:rPr>
                <w:rStyle w:val="60"/>
                <w:rFonts w:hint="default"/>
                <w:color w:val="auto"/>
                <w:highlight w:val="none"/>
                <w:lang w:bidi="ar"/>
              </w:rPr>
              <w:t>，龙骨间距</w:t>
            </w:r>
            <w:r>
              <w:rPr>
                <w:rStyle w:val="61"/>
                <w:rFonts w:hint="default"/>
                <w:color w:val="auto"/>
                <w:highlight w:val="none"/>
                <w:lang w:bidi="ar"/>
              </w:rPr>
              <w:t>400mm。</w:t>
            </w:r>
          </w:p>
        </w:tc>
      </w:tr>
      <w:tr w14:paraId="0F818582">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4ACE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524B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灶台棚架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6E3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0A36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B563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2336" behindDoc="0" locked="0" layoutInCell="1" allowOverlap="1">
                  <wp:simplePos x="0" y="0"/>
                  <wp:positionH relativeFrom="column">
                    <wp:posOffset>69850</wp:posOffset>
                  </wp:positionH>
                  <wp:positionV relativeFrom="paragraph">
                    <wp:posOffset>133985</wp:posOffset>
                  </wp:positionV>
                  <wp:extent cx="1332230" cy="814705"/>
                  <wp:effectExtent l="0" t="0" r="1270" b="4445"/>
                  <wp:wrapNone/>
                  <wp:docPr id="60" name="image5"/>
                  <wp:cNvGraphicFramePr/>
                  <a:graphic xmlns:a="http://schemas.openxmlformats.org/drawingml/2006/main">
                    <a:graphicData uri="http://schemas.openxmlformats.org/drawingml/2006/picture">
                      <pic:pic xmlns:pic="http://schemas.openxmlformats.org/drawingml/2006/picture">
                        <pic:nvPicPr>
                          <pic:cNvPr id="60" name="image5"/>
                          <pic:cNvPicPr/>
                        </pic:nvPicPr>
                        <pic:blipFill>
                          <a:blip r:embed="rId16"/>
                          <a:stretch>
                            <a:fillRect/>
                          </a:stretch>
                        </pic:blipFill>
                        <pic:spPr>
                          <a:xfrm>
                            <a:off x="0" y="0"/>
                            <a:ext cx="1332230" cy="81470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B19BA">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590*200*280cm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次面漆制作而成。木桩</w:t>
            </w:r>
            <w:r>
              <w:rPr>
                <w:rStyle w:val="60"/>
                <w:rFonts w:hint="eastAsia"/>
                <w:color w:val="auto"/>
                <w:highlight w:val="none"/>
                <w:lang w:eastAsia="zh-CN" w:bidi="ar"/>
              </w:rPr>
              <w:t>直径</w:t>
            </w:r>
            <w:r>
              <w:rPr>
                <w:rStyle w:val="61"/>
                <w:rFonts w:hint="default"/>
                <w:color w:val="auto"/>
                <w:highlight w:val="none"/>
                <w:lang w:bidi="ar"/>
              </w:rPr>
              <w:t>30cm10</w:t>
            </w:r>
            <w:r>
              <w:rPr>
                <w:rStyle w:val="60"/>
                <w:rFonts w:hint="default"/>
                <w:color w:val="auto"/>
                <w:highlight w:val="none"/>
                <w:lang w:bidi="ar"/>
              </w:rPr>
              <w:t>个。</w:t>
            </w:r>
          </w:p>
        </w:tc>
      </w:tr>
      <w:tr w14:paraId="0B7082A3">
        <w:tblPrEx>
          <w:tblCellMar>
            <w:top w:w="0" w:type="dxa"/>
            <w:left w:w="108" w:type="dxa"/>
            <w:bottom w:w="0" w:type="dxa"/>
            <w:right w:w="108" w:type="dxa"/>
          </w:tblCellMar>
        </w:tblPrEx>
        <w:trPr>
          <w:trHeight w:val="157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BE74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3943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弧形桌凳</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4F1D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ADCD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D44E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3360" behindDoc="0" locked="0" layoutInCell="1" allowOverlap="1">
                  <wp:simplePos x="0" y="0"/>
                  <wp:positionH relativeFrom="column">
                    <wp:posOffset>71755</wp:posOffset>
                  </wp:positionH>
                  <wp:positionV relativeFrom="paragraph">
                    <wp:posOffset>201930</wp:posOffset>
                  </wp:positionV>
                  <wp:extent cx="1401445" cy="655955"/>
                  <wp:effectExtent l="0" t="0" r="8255" b="10795"/>
                  <wp:wrapNone/>
                  <wp:docPr id="62" name="image7"/>
                  <wp:cNvGraphicFramePr/>
                  <a:graphic xmlns:a="http://schemas.openxmlformats.org/drawingml/2006/main">
                    <a:graphicData uri="http://schemas.openxmlformats.org/drawingml/2006/picture">
                      <pic:pic xmlns:pic="http://schemas.openxmlformats.org/drawingml/2006/picture">
                        <pic:nvPicPr>
                          <pic:cNvPr id="62" name="image7"/>
                          <pic:cNvPicPr/>
                        </pic:nvPicPr>
                        <pic:blipFill>
                          <a:blip r:embed="rId17"/>
                          <a:stretch>
                            <a:fillRect/>
                          </a:stretch>
                        </pic:blipFill>
                        <pic:spPr>
                          <a:xfrm>
                            <a:off x="0" y="0"/>
                            <a:ext cx="1401445" cy="6559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5D9B8">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590*70*55cm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次面漆制作而成。木桩</w:t>
            </w:r>
            <w:r>
              <w:rPr>
                <w:rStyle w:val="60"/>
                <w:rFonts w:hint="eastAsia"/>
                <w:color w:val="auto"/>
                <w:highlight w:val="none"/>
                <w:lang w:val="en-US" w:eastAsia="zh-CN" w:bidi="ar"/>
              </w:rPr>
              <w:t>直径</w:t>
            </w:r>
            <w:r>
              <w:rPr>
                <w:rStyle w:val="61"/>
                <w:rFonts w:hint="default"/>
                <w:color w:val="auto"/>
                <w:highlight w:val="none"/>
                <w:lang w:bidi="ar"/>
              </w:rPr>
              <w:t>30cm，10</w:t>
            </w:r>
            <w:r>
              <w:rPr>
                <w:rStyle w:val="60"/>
                <w:rFonts w:hint="default"/>
                <w:color w:val="auto"/>
                <w:highlight w:val="none"/>
                <w:lang w:bidi="ar"/>
              </w:rPr>
              <w:t>个。</w:t>
            </w:r>
          </w:p>
        </w:tc>
      </w:tr>
      <w:tr w14:paraId="05AC4B3D">
        <w:tblPrEx>
          <w:tblCellMar>
            <w:top w:w="0" w:type="dxa"/>
            <w:left w:w="108" w:type="dxa"/>
            <w:bottom w:w="0" w:type="dxa"/>
            <w:right w:w="108" w:type="dxa"/>
          </w:tblCellMar>
        </w:tblPrEx>
        <w:trPr>
          <w:trHeight w:val="216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8745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610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篝火组合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C006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99D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E304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4384" behindDoc="0" locked="0" layoutInCell="1" allowOverlap="1">
                  <wp:simplePos x="0" y="0"/>
                  <wp:positionH relativeFrom="column">
                    <wp:posOffset>123825</wp:posOffset>
                  </wp:positionH>
                  <wp:positionV relativeFrom="paragraph">
                    <wp:posOffset>147955</wp:posOffset>
                  </wp:positionV>
                  <wp:extent cx="1313180" cy="955675"/>
                  <wp:effectExtent l="0" t="0" r="1270" b="15875"/>
                  <wp:wrapNone/>
                  <wp:docPr id="63" name="image9"/>
                  <wp:cNvGraphicFramePr/>
                  <a:graphic xmlns:a="http://schemas.openxmlformats.org/drawingml/2006/main">
                    <a:graphicData uri="http://schemas.openxmlformats.org/drawingml/2006/picture">
                      <pic:pic xmlns:pic="http://schemas.openxmlformats.org/drawingml/2006/picture">
                        <pic:nvPicPr>
                          <pic:cNvPr id="63" name="image9"/>
                          <pic:cNvPicPr/>
                        </pic:nvPicPr>
                        <pic:blipFill>
                          <a:blip r:embed="rId18"/>
                          <a:stretch>
                            <a:fillRect/>
                          </a:stretch>
                        </pic:blipFill>
                        <pic:spPr>
                          <a:xfrm>
                            <a:off x="0" y="0"/>
                            <a:ext cx="1313180" cy="9556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52DEA">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规格：210*200*90cm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主体材质芬兰木，厚度20m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产品外表和内表以及儿童手指可触及处无毛刺及尖锐的棱角，油漆采用户外哑光漆</w:t>
            </w:r>
            <w:r>
              <w:rPr>
                <w:rFonts w:hint="eastAsia" w:ascii="宋体" w:hAnsi="宋体" w:cs="宋体"/>
                <w:color w:val="auto"/>
                <w:kern w:val="0"/>
                <w:sz w:val="18"/>
                <w:szCs w:val="18"/>
                <w:highlight w:val="none"/>
                <w:lang w:eastAsia="zh-CN" w:bidi="ar"/>
              </w:rPr>
              <w:t>；</w:t>
            </w:r>
          </w:p>
          <w:p w14:paraId="648A0F9E">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所投产品原材料芬兰木抑菌率≥99%（检测内容须含：金黄色葡萄球菌、白色念珠菌、大肠杆菌、肺炎克雷伯氏菌）。</w:t>
            </w:r>
          </w:p>
        </w:tc>
      </w:tr>
      <w:tr w14:paraId="2592970A">
        <w:tblPrEx>
          <w:tblCellMar>
            <w:top w:w="0" w:type="dxa"/>
            <w:left w:w="108" w:type="dxa"/>
            <w:bottom w:w="0" w:type="dxa"/>
            <w:right w:w="108" w:type="dxa"/>
          </w:tblCellMar>
        </w:tblPrEx>
        <w:trPr>
          <w:trHeight w:val="27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689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A705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蔬菜铺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74F6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DA8F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215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5408" behindDoc="0" locked="0" layoutInCell="1" allowOverlap="1">
                  <wp:simplePos x="0" y="0"/>
                  <wp:positionH relativeFrom="column">
                    <wp:posOffset>316865</wp:posOffset>
                  </wp:positionH>
                  <wp:positionV relativeFrom="paragraph">
                    <wp:posOffset>211455</wp:posOffset>
                  </wp:positionV>
                  <wp:extent cx="957580" cy="1052830"/>
                  <wp:effectExtent l="0" t="0" r="13970" b="13970"/>
                  <wp:wrapNone/>
                  <wp:docPr id="64" name="image10"/>
                  <wp:cNvGraphicFramePr/>
                  <a:graphic xmlns:a="http://schemas.openxmlformats.org/drawingml/2006/main">
                    <a:graphicData uri="http://schemas.openxmlformats.org/drawingml/2006/picture">
                      <pic:pic xmlns:pic="http://schemas.openxmlformats.org/drawingml/2006/picture">
                        <pic:nvPicPr>
                          <pic:cNvPr id="64" name="image10"/>
                          <pic:cNvPicPr/>
                        </pic:nvPicPr>
                        <pic:blipFill>
                          <a:blip r:embed="rId19"/>
                          <a:stretch>
                            <a:fillRect/>
                          </a:stretch>
                        </pic:blipFill>
                        <pic:spPr>
                          <a:xfrm>
                            <a:off x="0" y="0"/>
                            <a:ext cx="957580" cy="10528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64716">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规格：100*40*120cm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.产品边角圆润，无飞边毛刺，使用中具有足够的安全性和稳定</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木质部分：材质为防腐木，厚度15m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.五金零件：材质：不锈钢半圆头，T 型平头螺丝。表面处理：机械抛光。</w:t>
            </w:r>
          </w:p>
          <w:p w14:paraId="4731381B">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产品原材料防腐木抑菌率≥99%（内容含：金黄色葡萄球菌、白色念珠菌、大肠杆菌、肺炎克雷伯氏菌）。</w:t>
            </w:r>
          </w:p>
        </w:tc>
      </w:tr>
      <w:tr w14:paraId="5F838948">
        <w:tblPrEx>
          <w:tblCellMar>
            <w:top w:w="0" w:type="dxa"/>
            <w:left w:w="108" w:type="dxa"/>
            <w:bottom w:w="0" w:type="dxa"/>
            <w:right w:w="108" w:type="dxa"/>
          </w:tblCellMar>
        </w:tblPrEx>
        <w:trPr>
          <w:trHeight w:val="26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A37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591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水果铺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3E52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E39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EFA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6432" behindDoc="0" locked="0" layoutInCell="1" allowOverlap="1">
                  <wp:simplePos x="0" y="0"/>
                  <wp:positionH relativeFrom="column">
                    <wp:posOffset>288290</wp:posOffset>
                  </wp:positionH>
                  <wp:positionV relativeFrom="paragraph">
                    <wp:posOffset>31115</wp:posOffset>
                  </wp:positionV>
                  <wp:extent cx="995680" cy="1348105"/>
                  <wp:effectExtent l="0" t="0" r="13970" b="4445"/>
                  <wp:wrapNone/>
                  <wp:docPr id="96" name="image8"/>
                  <wp:cNvGraphicFramePr/>
                  <a:graphic xmlns:a="http://schemas.openxmlformats.org/drawingml/2006/main">
                    <a:graphicData uri="http://schemas.openxmlformats.org/drawingml/2006/picture">
                      <pic:pic xmlns:pic="http://schemas.openxmlformats.org/drawingml/2006/picture">
                        <pic:nvPicPr>
                          <pic:cNvPr id="96" name="image8"/>
                          <pic:cNvPicPr/>
                        </pic:nvPicPr>
                        <pic:blipFill>
                          <a:blip r:embed="rId20"/>
                          <a:stretch>
                            <a:fillRect/>
                          </a:stretch>
                        </pic:blipFill>
                        <pic:spPr>
                          <a:xfrm>
                            <a:off x="0" y="0"/>
                            <a:ext cx="995680" cy="134810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9474F">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规格：100*40*120cm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.产品边角圆润，无飞边毛刺，使用中具有足够的安全性和稳定</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木质部分：材质为防腐木，厚度15m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.五金零件：材质：不锈钢半圆头，T 型平头螺丝。表面处理：机械抛光</w:t>
            </w:r>
            <w:r>
              <w:rPr>
                <w:rFonts w:hint="eastAsia" w:ascii="宋体" w:hAnsi="宋体" w:cs="宋体"/>
                <w:color w:val="auto"/>
                <w:kern w:val="0"/>
                <w:sz w:val="18"/>
                <w:szCs w:val="18"/>
                <w:highlight w:val="none"/>
                <w:lang w:eastAsia="zh-CN" w:bidi="ar"/>
              </w:rPr>
              <w:t>；</w:t>
            </w:r>
          </w:p>
          <w:p w14:paraId="61724FC1">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产品原材料防腐木检测符合黑曲霉0级、土曲霉0级、宛氏拟青霉0级、绳状青霉0级、出芽短梗霉0级、 球毛壳霉0级。</w:t>
            </w:r>
          </w:p>
        </w:tc>
      </w:tr>
      <w:tr w14:paraId="1731F4BE">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B015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64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磨盘架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454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EEB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96CB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7456" behindDoc="0" locked="0" layoutInCell="1" allowOverlap="1">
                  <wp:simplePos x="0" y="0"/>
                  <wp:positionH relativeFrom="column">
                    <wp:posOffset>545465</wp:posOffset>
                  </wp:positionH>
                  <wp:positionV relativeFrom="paragraph">
                    <wp:posOffset>233045</wp:posOffset>
                  </wp:positionV>
                  <wp:extent cx="767080" cy="728980"/>
                  <wp:effectExtent l="0" t="0" r="13970" b="13970"/>
                  <wp:wrapNone/>
                  <wp:docPr id="94" name="image13"/>
                  <wp:cNvGraphicFramePr/>
                  <a:graphic xmlns:a="http://schemas.openxmlformats.org/drawingml/2006/main">
                    <a:graphicData uri="http://schemas.openxmlformats.org/drawingml/2006/picture">
                      <pic:pic xmlns:pic="http://schemas.openxmlformats.org/drawingml/2006/picture">
                        <pic:nvPicPr>
                          <pic:cNvPr id="94" name="image13"/>
                          <pic:cNvPicPr/>
                        </pic:nvPicPr>
                        <pic:blipFill>
                          <a:blip r:embed="rId21"/>
                          <a:stretch>
                            <a:fillRect/>
                          </a:stretch>
                        </pic:blipFill>
                        <pic:spPr>
                          <a:xfrm>
                            <a:off x="0" y="0"/>
                            <a:ext cx="767080" cy="7289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5977">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规格：80*25*115cm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采用芬兰木，厚度15mm,经过高温杀菌处理制作。油漆采用户外环保木油经过2次底漆2次面漆制作而成</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含花岗岩磨盘直径60cm。</w:t>
            </w:r>
          </w:p>
        </w:tc>
      </w:tr>
      <w:tr w14:paraId="2266A21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637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3DF1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码头指示牌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53AD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5EE1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36E0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8480" behindDoc="0" locked="0" layoutInCell="1" allowOverlap="1">
                  <wp:simplePos x="0" y="0"/>
                  <wp:positionH relativeFrom="column">
                    <wp:posOffset>102870</wp:posOffset>
                  </wp:positionH>
                  <wp:positionV relativeFrom="paragraph">
                    <wp:posOffset>124460</wp:posOffset>
                  </wp:positionV>
                  <wp:extent cx="1338580" cy="1033780"/>
                  <wp:effectExtent l="0" t="0" r="13970" b="13970"/>
                  <wp:wrapNone/>
                  <wp:docPr id="76" name="image12"/>
                  <wp:cNvGraphicFramePr/>
                  <a:graphic xmlns:a="http://schemas.openxmlformats.org/drawingml/2006/main">
                    <a:graphicData uri="http://schemas.openxmlformats.org/drawingml/2006/picture">
                      <pic:pic xmlns:pic="http://schemas.openxmlformats.org/drawingml/2006/picture">
                        <pic:nvPicPr>
                          <pic:cNvPr id="76" name="image12"/>
                          <pic:cNvPicPr/>
                        </pic:nvPicPr>
                        <pic:blipFill>
                          <a:blip r:embed="rId22"/>
                          <a:stretch>
                            <a:fillRect/>
                          </a:stretch>
                        </pic:blipFill>
                        <pic:spPr>
                          <a:xfrm>
                            <a:off x="0" y="0"/>
                            <a:ext cx="1338580" cy="10337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1F84A">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规格：800*45*200cm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镀锌钢管框架+15mmPS塑木+防水沥青瓦+5mm透明耐力板.镀锌钢管规格3*5cm厚度2.0mm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在潮湿环境下不长斑、不发霉、不生虫、不开裂，相比于木材少去后期维护保养费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钢管部件：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（1）使用钢管的部件采用符合要求的钢管，确保强度与安全性.表面处理:静电防滑表面喷涂,并以镀锌钢管为基材, 加上表面热处理与静电无毒粉末喷涂.镀锌与粉末喷涂,双重表面涂层,延长表面保护涂层寿命与钢管氧化时间</w:t>
            </w:r>
            <w:r>
              <w:rPr>
                <w:rFonts w:hint="eastAsia" w:ascii="宋体" w:hAnsi="宋体" w:cs="宋体"/>
                <w:color w:val="auto"/>
                <w:kern w:val="0"/>
                <w:sz w:val="18"/>
                <w:szCs w:val="18"/>
                <w:highlight w:val="none"/>
                <w:lang w:eastAsia="zh-CN" w:bidi="ar"/>
              </w:rPr>
              <w:t>；</w:t>
            </w:r>
          </w:p>
          <w:p w14:paraId="329300E3">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（2）防止退色:粉末喷涂材料添加抗紫外线稳定剂,确保颜色保持长久鲜艳.直接使用镀锌厚度达到每平米180克的优质环保镀锌管，除油后用户外环保聚胺酯静电粉末喷涂，确保户外正常使用8年。</w:t>
            </w:r>
          </w:p>
        </w:tc>
      </w:tr>
      <w:tr w14:paraId="158FF857">
        <w:tblPrEx>
          <w:tblCellMar>
            <w:top w:w="0" w:type="dxa"/>
            <w:left w:w="108" w:type="dxa"/>
            <w:bottom w:w="0" w:type="dxa"/>
            <w:right w:w="108" w:type="dxa"/>
          </w:tblCellMar>
        </w:tblPrEx>
        <w:trPr>
          <w:trHeight w:val="346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54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5C5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收纳柜组合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A51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8A03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06C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9504" behindDoc="0" locked="0" layoutInCell="1" allowOverlap="1">
                  <wp:simplePos x="0" y="0"/>
                  <wp:positionH relativeFrom="column">
                    <wp:posOffset>95885</wp:posOffset>
                  </wp:positionH>
                  <wp:positionV relativeFrom="paragraph">
                    <wp:posOffset>589915</wp:posOffset>
                  </wp:positionV>
                  <wp:extent cx="1470025" cy="753110"/>
                  <wp:effectExtent l="0" t="0" r="15875" b="8890"/>
                  <wp:wrapNone/>
                  <wp:docPr id="65" name="image11"/>
                  <wp:cNvGraphicFramePr/>
                  <a:graphic xmlns:a="http://schemas.openxmlformats.org/drawingml/2006/main">
                    <a:graphicData uri="http://schemas.openxmlformats.org/drawingml/2006/picture">
                      <pic:pic xmlns:pic="http://schemas.openxmlformats.org/drawingml/2006/picture">
                        <pic:nvPicPr>
                          <pic:cNvPr id="65" name="image11"/>
                          <pic:cNvPicPr/>
                        </pic:nvPicPr>
                        <pic:blipFill>
                          <a:blip r:embed="rId23"/>
                          <a:stretch>
                            <a:fillRect/>
                          </a:stretch>
                        </pic:blipFill>
                        <pic:spPr>
                          <a:xfrm>
                            <a:off x="0" y="0"/>
                            <a:ext cx="1470025" cy="75311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9271">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规格：800*45*200cm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镀锌钢管框架+15mmPS塑木+防水沥青瓦+5mm透明耐力板</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在潮湿环境下不长斑、不发霉、不生虫、不开裂，相比于木材少去后期维护保养费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钢管部件：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（1）使用钢管的部件采用符合GB/T13793－2016要求的钢管，确保强度与安全性.表面处理:静电防滑表面喷涂,并以镀锌钢管为基材, 加上表面热处理与静电无毒粉末喷涂.镀锌与粉末喷涂,双重表面涂层,延长表面保护涂层寿命与钢管氧化时间</w:t>
            </w:r>
            <w:r>
              <w:rPr>
                <w:rFonts w:hint="eastAsia" w:ascii="宋体" w:hAnsi="宋体" w:cs="宋体"/>
                <w:color w:val="auto"/>
                <w:kern w:val="0"/>
                <w:sz w:val="18"/>
                <w:szCs w:val="18"/>
                <w:highlight w:val="none"/>
                <w:lang w:eastAsia="zh-CN" w:bidi="ar"/>
              </w:rPr>
              <w:t>；</w:t>
            </w:r>
          </w:p>
          <w:p w14:paraId="186B07A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（2）防止退色:粉末喷涂材料添加抗紫外线稳定剂,确保颜色保持长久鲜艳.直接使用镀锌厚度达到每平米180克的优质环保镀锌管，除油后用户外环保聚胺酯静电粉末喷涂，确保户外正常使用8年。</w:t>
            </w:r>
          </w:p>
        </w:tc>
      </w:tr>
      <w:tr w14:paraId="2D7A7099">
        <w:tblPrEx>
          <w:tblCellMar>
            <w:top w:w="0" w:type="dxa"/>
            <w:left w:w="108" w:type="dxa"/>
            <w:bottom w:w="0" w:type="dxa"/>
            <w:right w:w="108" w:type="dxa"/>
          </w:tblCellMar>
        </w:tblPrEx>
        <w:trPr>
          <w:trHeight w:val="1888"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7145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791C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 木桥</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9F90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DD7B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84D3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0528" behindDoc="0" locked="0" layoutInCell="1" allowOverlap="1">
                  <wp:simplePos x="0" y="0"/>
                  <wp:positionH relativeFrom="column">
                    <wp:posOffset>436880</wp:posOffset>
                  </wp:positionH>
                  <wp:positionV relativeFrom="paragraph">
                    <wp:posOffset>132715</wp:posOffset>
                  </wp:positionV>
                  <wp:extent cx="861060" cy="759460"/>
                  <wp:effectExtent l="0" t="0" r="15240" b="2540"/>
                  <wp:wrapNone/>
                  <wp:docPr id="68" name="image16"/>
                  <wp:cNvGraphicFramePr/>
                  <a:graphic xmlns:a="http://schemas.openxmlformats.org/drawingml/2006/main">
                    <a:graphicData uri="http://schemas.openxmlformats.org/drawingml/2006/picture">
                      <pic:pic xmlns:pic="http://schemas.openxmlformats.org/drawingml/2006/picture">
                        <pic:nvPicPr>
                          <pic:cNvPr id="68" name="image16"/>
                          <pic:cNvPicPr/>
                        </pic:nvPicPr>
                        <pic:blipFill>
                          <a:blip r:embed="rId24"/>
                          <a:stretch>
                            <a:fillRect/>
                          </a:stretch>
                        </pic:blipFill>
                        <pic:spPr>
                          <a:xfrm>
                            <a:off x="0" y="0"/>
                            <a:ext cx="861060" cy="7594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4B02">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300*80*100cm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采用芬兰木，厚度20mm,护栏间距9cm,经过高温杀菌处理制作。油漆采用户外环保木油经过</w:t>
            </w:r>
            <w:r>
              <w:rPr>
                <w:rStyle w:val="61"/>
                <w:rFonts w:hint="default"/>
                <w:color w:val="auto"/>
                <w:highlight w:val="none"/>
                <w:lang w:bidi="ar"/>
              </w:rPr>
              <w:t xml:space="preserve">2 </w:t>
            </w:r>
            <w:r>
              <w:rPr>
                <w:rStyle w:val="60"/>
                <w:rFonts w:hint="default"/>
                <w:color w:val="auto"/>
                <w:highlight w:val="none"/>
                <w:lang w:bidi="ar"/>
              </w:rPr>
              <w:t>次底漆</w:t>
            </w:r>
            <w:r>
              <w:rPr>
                <w:rStyle w:val="61"/>
                <w:rFonts w:hint="default"/>
                <w:color w:val="auto"/>
                <w:highlight w:val="none"/>
                <w:lang w:bidi="ar"/>
              </w:rPr>
              <w:t xml:space="preserve">2 </w:t>
            </w:r>
            <w:r>
              <w:rPr>
                <w:rStyle w:val="60"/>
                <w:rFonts w:hint="default"/>
                <w:color w:val="auto"/>
                <w:highlight w:val="none"/>
                <w:lang w:bidi="ar"/>
              </w:rPr>
              <w:t>次面漆制作而成</w:t>
            </w:r>
            <w:r>
              <w:rPr>
                <w:rStyle w:val="60"/>
                <w:rFonts w:hint="eastAsia"/>
                <w:color w:val="auto"/>
                <w:highlight w:val="none"/>
                <w:lang w:eastAsia="zh-CN" w:bidi="ar"/>
              </w:rPr>
              <w:t>。</w:t>
            </w:r>
          </w:p>
        </w:tc>
      </w:tr>
      <w:tr w14:paraId="2EBF752B">
        <w:tblPrEx>
          <w:tblCellMar>
            <w:top w:w="0" w:type="dxa"/>
            <w:left w:w="108" w:type="dxa"/>
            <w:bottom w:w="0" w:type="dxa"/>
            <w:right w:w="108" w:type="dxa"/>
          </w:tblCellMar>
        </w:tblPrEx>
        <w:trPr>
          <w:trHeight w:val="32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5F1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9AAD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玩沙架 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D5CE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E44A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2FD5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1552" behindDoc="0" locked="0" layoutInCell="1" allowOverlap="1">
                  <wp:simplePos x="0" y="0"/>
                  <wp:positionH relativeFrom="column">
                    <wp:posOffset>158750</wp:posOffset>
                  </wp:positionH>
                  <wp:positionV relativeFrom="paragraph">
                    <wp:posOffset>397510</wp:posOffset>
                  </wp:positionV>
                  <wp:extent cx="1425575" cy="1062355"/>
                  <wp:effectExtent l="0" t="0" r="3175" b="4445"/>
                  <wp:wrapNone/>
                  <wp:docPr id="77" name="image14"/>
                  <wp:cNvGraphicFramePr/>
                  <a:graphic xmlns:a="http://schemas.openxmlformats.org/drawingml/2006/main">
                    <a:graphicData uri="http://schemas.openxmlformats.org/drawingml/2006/picture">
                      <pic:pic xmlns:pic="http://schemas.openxmlformats.org/drawingml/2006/picture">
                        <pic:nvPicPr>
                          <pic:cNvPr id="77" name="image14"/>
                          <pic:cNvPicPr/>
                        </pic:nvPicPr>
                        <pic:blipFill>
                          <a:blip r:embed="rId25"/>
                          <a:stretch>
                            <a:fillRect/>
                          </a:stretch>
                        </pic:blipFill>
                        <pic:spPr>
                          <a:xfrm>
                            <a:off x="0" y="0"/>
                            <a:ext cx="1425575" cy="10623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7E935">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规格：260*40*200cm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 xml:space="preserve">主体材质芬兰木，主立柱：  7*7cm ，表面处理：进行压、刨、铣、冲等处理后，表面进行防腐、防蛀处理，后采用原子灰进行三次刮灰抹平，并打磨光滑，表面喷涂三次聚氨脂清漆；  </w:t>
            </w:r>
          </w:p>
          <w:p w14:paraId="13F57C79">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螺丝均采用不锈钢 304#材质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防盗螺丝，并采用防松螺母连接，牢固可靠，不易松动脱落及变形和损坏。可常年用于海边不生锈。  </w:t>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产品外表和内表以及儿童手指可触及处无毛刺及尖锐的棱角，油漆采用户外哑光漆。</w:t>
            </w:r>
          </w:p>
        </w:tc>
      </w:tr>
      <w:tr w14:paraId="3D8DE16F">
        <w:tblPrEx>
          <w:tblCellMar>
            <w:top w:w="0" w:type="dxa"/>
            <w:left w:w="108" w:type="dxa"/>
            <w:bottom w:w="0" w:type="dxa"/>
            <w:right w:w="108" w:type="dxa"/>
          </w:tblCellMar>
        </w:tblPrEx>
        <w:trPr>
          <w:trHeight w:val="25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C97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900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玩沙架 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E95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E14D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DB0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2576" behindDoc="0" locked="0" layoutInCell="1" allowOverlap="1">
                  <wp:simplePos x="0" y="0"/>
                  <wp:positionH relativeFrom="column">
                    <wp:posOffset>320675</wp:posOffset>
                  </wp:positionH>
                  <wp:positionV relativeFrom="paragraph">
                    <wp:posOffset>328930</wp:posOffset>
                  </wp:positionV>
                  <wp:extent cx="1251585" cy="1122680"/>
                  <wp:effectExtent l="0" t="0" r="5715" b="1270"/>
                  <wp:wrapNone/>
                  <wp:docPr id="66" name="image15"/>
                  <wp:cNvGraphicFramePr/>
                  <a:graphic xmlns:a="http://schemas.openxmlformats.org/drawingml/2006/main">
                    <a:graphicData uri="http://schemas.openxmlformats.org/drawingml/2006/picture">
                      <pic:pic xmlns:pic="http://schemas.openxmlformats.org/drawingml/2006/picture">
                        <pic:nvPicPr>
                          <pic:cNvPr id="66" name="image15"/>
                          <pic:cNvPicPr/>
                        </pic:nvPicPr>
                        <pic:blipFill>
                          <a:blip r:embed="rId26"/>
                          <a:stretch>
                            <a:fillRect/>
                          </a:stretch>
                        </pic:blipFill>
                        <pic:spPr>
                          <a:xfrm>
                            <a:off x="0" y="0"/>
                            <a:ext cx="1251585" cy="11226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CA07">
            <w:pPr>
              <w:widowControl/>
              <w:shd w:val="clear"/>
              <w:jc w:val="left"/>
              <w:textAlignment w:val="center"/>
              <w:rPr>
                <w:rStyle w:val="61"/>
                <w:rFonts w:hint="default"/>
                <w:color w:val="auto"/>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345*30*320cm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主体材质芬兰木，主立柱：</w:t>
            </w:r>
            <w:r>
              <w:rPr>
                <w:rStyle w:val="61"/>
                <w:rFonts w:hint="default"/>
                <w:color w:val="auto"/>
                <w:highlight w:val="none"/>
                <w:lang w:bidi="ar"/>
              </w:rPr>
              <w:t xml:space="preserve">  7*7cm </w:t>
            </w:r>
            <w:r>
              <w:rPr>
                <w:rStyle w:val="60"/>
                <w:rFonts w:hint="default"/>
                <w:color w:val="auto"/>
                <w:highlight w:val="none"/>
                <w:lang w:bidi="ar"/>
              </w:rPr>
              <w:t>，表面处理：进行压、刨、铣、冲等处理后，表面进行防腐、防蛀处理，后采用原子灰进行三次刮灰抹平，并打磨光滑，表面喷涂三次聚氨脂清漆；</w:t>
            </w:r>
            <w:r>
              <w:rPr>
                <w:rStyle w:val="61"/>
                <w:rFonts w:hint="default"/>
                <w:color w:val="auto"/>
                <w:highlight w:val="none"/>
                <w:lang w:bidi="ar"/>
              </w:rPr>
              <w:t xml:space="preserve">  </w:t>
            </w:r>
          </w:p>
          <w:p w14:paraId="4F29679B">
            <w:pPr>
              <w:widowControl/>
              <w:shd w:val="clear"/>
              <w:jc w:val="left"/>
              <w:textAlignment w:val="center"/>
              <w:rPr>
                <w:rStyle w:val="60"/>
                <w:rFonts w:hint="eastAsia" w:eastAsia="宋体"/>
                <w:color w:val="auto"/>
                <w:highlight w:val="none"/>
                <w:lang w:eastAsia="zh-CN" w:bidi="ar"/>
              </w:rPr>
            </w:pPr>
            <w:r>
              <w:rPr>
                <w:rStyle w:val="61"/>
                <w:rFonts w:hint="eastAsia"/>
                <w:color w:val="auto"/>
                <w:highlight w:val="none"/>
                <w:lang w:val="en-US" w:eastAsia="zh-CN" w:bidi="ar"/>
              </w:rPr>
              <w:t>3.</w:t>
            </w:r>
            <w:r>
              <w:rPr>
                <w:rStyle w:val="60"/>
                <w:rFonts w:hint="default"/>
                <w:color w:val="auto"/>
                <w:highlight w:val="none"/>
                <w:lang w:bidi="ar"/>
              </w:rPr>
              <w:t>拉索由工型轴、沙漏和小水桶组成，工型轴：</w:t>
            </w:r>
            <w:r>
              <w:rPr>
                <w:rStyle w:val="61"/>
                <w:rFonts w:hint="default"/>
                <w:color w:val="auto"/>
                <w:highlight w:val="none"/>
                <w:lang w:bidi="ar"/>
              </w:rPr>
              <w:t xml:space="preserve">46*10*16cm </w:t>
            </w:r>
            <w:r>
              <w:rPr>
                <w:rStyle w:val="60"/>
                <w:rFonts w:hint="default"/>
                <w:color w:val="auto"/>
                <w:highlight w:val="none"/>
                <w:lang w:bidi="ar"/>
              </w:rPr>
              <w:t>，造型采用</w:t>
            </w:r>
            <w:r>
              <w:rPr>
                <w:rStyle w:val="61"/>
                <w:rFonts w:hint="default"/>
                <w:color w:val="auto"/>
                <w:highlight w:val="none"/>
                <w:lang w:bidi="ar"/>
              </w:rPr>
              <w:t xml:space="preserve">PE </w:t>
            </w:r>
            <w:r>
              <w:rPr>
                <w:rStyle w:val="60"/>
                <w:rFonts w:hint="default"/>
                <w:color w:val="auto"/>
                <w:highlight w:val="none"/>
                <w:lang w:bidi="ar"/>
              </w:rPr>
              <w:t>板雕刻，</w:t>
            </w:r>
            <w:r>
              <w:rPr>
                <w:rStyle w:val="61"/>
                <w:rFonts w:hint="default"/>
                <w:color w:val="auto"/>
                <w:highlight w:val="none"/>
                <w:lang w:bidi="ar"/>
              </w:rPr>
              <w:t xml:space="preserve"> </w:t>
            </w:r>
            <w:r>
              <w:rPr>
                <w:rStyle w:val="60"/>
                <w:rFonts w:hint="default"/>
                <w:color w:val="auto"/>
                <w:highlight w:val="none"/>
                <w:lang w:bidi="ar"/>
              </w:rPr>
              <w:t>中间轴承不锈钢材质，绳索采用航海绳；沙漏</w:t>
            </w:r>
            <w:r>
              <w:rPr>
                <w:rStyle w:val="61"/>
                <w:rFonts w:hint="default"/>
                <w:color w:val="auto"/>
                <w:highlight w:val="none"/>
                <w:lang w:bidi="ar"/>
              </w:rPr>
              <w:t xml:space="preserve"> 20*10*17cm </w:t>
            </w:r>
            <w:r>
              <w:rPr>
                <w:rStyle w:val="60"/>
                <w:rFonts w:hint="default"/>
                <w:color w:val="auto"/>
                <w:highlight w:val="none"/>
                <w:lang w:bidi="ar"/>
              </w:rPr>
              <w:t>，小水桶规格为</w:t>
            </w:r>
            <w:r>
              <w:rPr>
                <w:rStyle w:val="61"/>
                <w:rFonts w:hint="default"/>
                <w:color w:val="auto"/>
                <w:highlight w:val="none"/>
                <w:lang w:bidi="ar"/>
              </w:rPr>
              <w:t>17*17*8.5cm</w:t>
            </w:r>
            <w:r>
              <w:rPr>
                <w:rStyle w:val="60"/>
                <w:rFonts w:hint="eastAsia"/>
                <w:color w:val="auto"/>
                <w:highlight w:val="none"/>
                <w:lang w:eastAsia="zh-CN" w:bidi="ar"/>
              </w:rPr>
              <w:t>；</w:t>
            </w:r>
          </w:p>
          <w:p w14:paraId="7FECD50B">
            <w:pPr>
              <w:widowControl/>
              <w:shd w:val="clear"/>
              <w:jc w:val="left"/>
              <w:textAlignment w:val="center"/>
              <w:rPr>
                <w:rStyle w:val="60"/>
                <w:rFonts w:hint="eastAsia" w:eastAsia="宋体"/>
                <w:color w:val="auto"/>
                <w:highlight w:val="none"/>
                <w:lang w:eastAsia="zh-CN" w:bidi="ar"/>
              </w:rPr>
            </w:pPr>
            <w:r>
              <w:rPr>
                <w:rStyle w:val="61"/>
                <w:rFonts w:hint="eastAsia"/>
                <w:color w:val="auto"/>
                <w:highlight w:val="none"/>
                <w:lang w:val="en-US" w:eastAsia="zh-CN" w:bidi="ar"/>
              </w:rPr>
              <w:t>4.</w:t>
            </w:r>
            <w:r>
              <w:rPr>
                <w:rStyle w:val="60"/>
                <w:rFonts w:hint="default"/>
                <w:color w:val="auto"/>
                <w:highlight w:val="none"/>
                <w:lang w:bidi="ar"/>
              </w:rPr>
              <w:t>螺丝均采用不锈钢</w:t>
            </w:r>
            <w:r>
              <w:rPr>
                <w:rStyle w:val="61"/>
                <w:rFonts w:hint="default"/>
                <w:color w:val="auto"/>
                <w:highlight w:val="none"/>
                <w:lang w:bidi="ar"/>
              </w:rPr>
              <w:t xml:space="preserve"> 304#</w:t>
            </w:r>
            <w:r>
              <w:rPr>
                <w:rStyle w:val="60"/>
                <w:rFonts w:hint="default"/>
                <w:color w:val="auto"/>
                <w:highlight w:val="none"/>
                <w:lang w:bidi="ar"/>
              </w:rPr>
              <w:t>材质防盗螺丝，并采用防松螺母连接，牢固可靠，不易松动脱落及变形和损坏。可常年用于海边不生锈</w:t>
            </w:r>
            <w:r>
              <w:rPr>
                <w:rStyle w:val="60"/>
                <w:rFonts w:hint="eastAsia"/>
                <w:color w:val="auto"/>
                <w:highlight w:val="none"/>
                <w:lang w:eastAsia="zh-CN" w:bidi="ar"/>
              </w:rPr>
              <w:t>；</w:t>
            </w:r>
          </w:p>
          <w:p w14:paraId="2B40DEAA">
            <w:pPr>
              <w:widowControl/>
              <w:shd w:val="clear"/>
              <w:jc w:val="left"/>
              <w:textAlignment w:val="center"/>
              <w:rPr>
                <w:rFonts w:ascii="宋体" w:hAnsi="宋体" w:cs="宋体"/>
                <w:color w:val="auto"/>
                <w:sz w:val="18"/>
                <w:szCs w:val="18"/>
                <w:highlight w:val="none"/>
              </w:rPr>
            </w:pPr>
            <w:r>
              <w:rPr>
                <w:rStyle w:val="61"/>
                <w:rFonts w:hint="eastAsia"/>
                <w:color w:val="auto"/>
                <w:highlight w:val="none"/>
                <w:lang w:val="en-US" w:eastAsia="zh-CN" w:bidi="ar"/>
              </w:rPr>
              <w:t>5.</w:t>
            </w:r>
            <w:r>
              <w:rPr>
                <w:rStyle w:val="60"/>
                <w:rFonts w:hint="default"/>
                <w:color w:val="auto"/>
                <w:highlight w:val="none"/>
                <w:lang w:bidi="ar"/>
              </w:rPr>
              <w:t>产品外表和内表以及儿童手指可触及处无毛刺及尖锐的棱角，油漆采用户外哑光漆。</w:t>
            </w:r>
          </w:p>
        </w:tc>
      </w:tr>
      <w:tr w14:paraId="26C701B3">
        <w:tblPrEx>
          <w:tblCellMar>
            <w:top w:w="0" w:type="dxa"/>
            <w:left w:w="108" w:type="dxa"/>
            <w:bottom w:w="0" w:type="dxa"/>
            <w:right w:w="108" w:type="dxa"/>
          </w:tblCellMar>
        </w:tblPrEx>
        <w:trPr>
          <w:trHeight w:val="20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FA4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56E8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玩沙架 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7EDB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571D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8C6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3600" behindDoc="0" locked="0" layoutInCell="1" allowOverlap="1">
                  <wp:simplePos x="0" y="0"/>
                  <wp:positionH relativeFrom="column">
                    <wp:posOffset>254000</wp:posOffset>
                  </wp:positionH>
                  <wp:positionV relativeFrom="paragraph">
                    <wp:posOffset>264160</wp:posOffset>
                  </wp:positionV>
                  <wp:extent cx="1138555" cy="968375"/>
                  <wp:effectExtent l="0" t="0" r="4445" b="3175"/>
                  <wp:wrapNone/>
                  <wp:docPr id="80" name="image18"/>
                  <wp:cNvGraphicFramePr/>
                  <a:graphic xmlns:a="http://schemas.openxmlformats.org/drawingml/2006/main">
                    <a:graphicData uri="http://schemas.openxmlformats.org/drawingml/2006/picture">
                      <pic:pic xmlns:pic="http://schemas.openxmlformats.org/drawingml/2006/picture">
                        <pic:nvPicPr>
                          <pic:cNvPr id="80" name="image18"/>
                          <pic:cNvPicPr/>
                        </pic:nvPicPr>
                        <pic:blipFill>
                          <a:blip r:embed="rId27"/>
                          <a:stretch>
                            <a:fillRect/>
                          </a:stretch>
                        </pic:blipFill>
                        <pic:spPr>
                          <a:xfrm>
                            <a:off x="0" y="0"/>
                            <a:ext cx="1138555" cy="9683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B3887">
            <w:pPr>
              <w:widowControl/>
              <w:shd w:val="clear"/>
              <w:jc w:val="left"/>
              <w:textAlignment w:val="center"/>
              <w:rPr>
                <w:rStyle w:val="61"/>
                <w:rFonts w:hint="default"/>
                <w:color w:val="auto"/>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195*75*200cm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主体材质芬兰木，主立柱：</w:t>
            </w:r>
            <w:r>
              <w:rPr>
                <w:rStyle w:val="61"/>
                <w:rFonts w:hint="default"/>
                <w:color w:val="auto"/>
                <w:highlight w:val="none"/>
                <w:lang w:bidi="ar"/>
              </w:rPr>
              <w:t xml:space="preserve">  7*7cm </w:t>
            </w:r>
            <w:r>
              <w:rPr>
                <w:rStyle w:val="60"/>
                <w:rFonts w:hint="default"/>
                <w:color w:val="auto"/>
                <w:highlight w:val="none"/>
                <w:lang w:bidi="ar"/>
              </w:rPr>
              <w:t>，表面处理：进行压、刨、铣、冲等处理后，表面进行防腐、防蛀处理，后采用原子灰进行三次刮灰抹平，并打磨光滑，表面喷涂三次聚氨脂清漆；</w:t>
            </w:r>
            <w:r>
              <w:rPr>
                <w:rStyle w:val="61"/>
                <w:rFonts w:hint="default"/>
                <w:color w:val="auto"/>
                <w:highlight w:val="none"/>
                <w:lang w:bidi="ar"/>
              </w:rPr>
              <w:t xml:space="preserve">  </w:t>
            </w:r>
          </w:p>
          <w:p w14:paraId="62563578">
            <w:pPr>
              <w:widowControl/>
              <w:shd w:val="clear"/>
              <w:jc w:val="left"/>
              <w:textAlignment w:val="center"/>
              <w:rPr>
                <w:rStyle w:val="61"/>
                <w:rFonts w:hint="default"/>
                <w:color w:val="auto"/>
                <w:highlight w:val="none"/>
                <w:lang w:bidi="ar"/>
              </w:rPr>
            </w:pP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 xml:space="preserve"> 304#</w:t>
            </w:r>
            <w:r>
              <w:rPr>
                <w:rStyle w:val="60"/>
                <w:rFonts w:hint="default"/>
                <w:color w:val="auto"/>
                <w:highlight w:val="none"/>
                <w:lang w:bidi="ar"/>
              </w:rPr>
              <w:t>材质防盗螺丝，并采用防松螺母连接，牢固可靠，不易松动脱落及变形和损坏。可常年用于海边不生锈</w:t>
            </w:r>
            <w:r>
              <w:rPr>
                <w:rStyle w:val="60"/>
                <w:rFonts w:hint="eastAsia"/>
                <w:color w:val="auto"/>
                <w:highlight w:val="none"/>
                <w:lang w:eastAsia="zh-CN" w:bidi="ar"/>
              </w:rPr>
              <w:t>；</w:t>
            </w:r>
            <w:r>
              <w:rPr>
                <w:rStyle w:val="61"/>
                <w:rFonts w:hint="default"/>
                <w:color w:val="auto"/>
                <w:highlight w:val="none"/>
                <w:lang w:bidi="ar"/>
              </w:rPr>
              <w:t xml:space="preserve"> </w:t>
            </w:r>
          </w:p>
          <w:p w14:paraId="3240CFA5">
            <w:pPr>
              <w:widowControl/>
              <w:shd w:val="clear"/>
              <w:jc w:val="left"/>
              <w:textAlignment w:val="center"/>
              <w:rPr>
                <w:rFonts w:ascii="宋体" w:hAnsi="宋体" w:cs="宋体"/>
                <w:color w:val="auto"/>
                <w:sz w:val="18"/>
                <w:szCs w:val="18"/>
                <w:highlight w:val="none"/>
              </w:rPr>
            </w:pPr>
            <w:r>
              <w:rPr>
                <w:rStyle w:val="60"/>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6A35E5B5">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865A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A3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搅拌桌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9B9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5622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5FF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4624" behindDoc="0" locked="0" layoutInCell="1" allowOverlap="1">
                  <wp:simplePos x="0" y="0"/>
                  <wp:positionH relativeFrom="column">
                    <wp:posOffset>587375</wp:posOffset>
                  </wp:positionH>
                  <wp:positionV relativeFrom="paragraph">
                    <wp:posOffset>299720</wp:posOffset>
                  </wp:positionV>
                  <wp:extent cx="681355" cy="596265"/>
                  <wp:effectExtent l="0" t="0" r="4445" b="13335"/>
                  <wp:wrapNone/>
                  <wp:docPr id="71" name="image22"/>
                  <wp:cNvGraphicFramePr/>
                  <a:graphic xmlns:a="http://schemas.openxmlformats.org/drawingml/2006/main">
                    <a:graphicData uri="http://schemas.openxmlformats.org/drawingml/2006/picture">
                      <pic:pic xmlns:pic="http://schemas.openxmlformats.org/drawingml/2006/picture">
                        <pic:nvPicPr>
                          <pic:cNvPr id="71" name="image22"/>
                          <pic:cNvPicPr/>
                        </pic:nvPicPr>
                        <pic:blipFill>
                          <a:blip r:embed="rId28"/>
                          <a:stretch>
                            <a:fillRect/>
                          </a:stretch>
                        </pic:blipFill>
                        <pic:spPr>
                          <a:xfrm>
                            <a:off x="0" y="0"/>
                            <a:ext cx="681355" cy="5962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A7EC">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规格：80*80*60cm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材质：芬兰木7*7cm，,304不锈钢10mm经过高温杀菌处理制作。油漆采用户外环保木油经过2 次底漆2 次面漆制作而成</w:t>
            </w:r>
            <w:r>
              <w:rPr>
                <w:rFonts w:hint="eastAsia" w:ascii="宋体" w:hAnsi="宋体" w:cs="宋体"/>
                <w:color w:val="auto"/>
                <w:kern w:val="0"/>
                <w:sz w:val="18"/>
                <w:szCs w:val="18"/>
                <w:highlight w:val="none"/>
                <w:lang w:eastAsia="zh-CN" w:bidi="ar"/>
              </w:rPr>
              <w:t>。</w:t>
            </w:r>
          </w:p>
        </w:tc>
      </w:tr>
      <w:tr w14:paraId="7DA5C9D7">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0A1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9F49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沙漏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BFEC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C6FD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376F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5648" behindDoc="0" locked="0" layoutInCell="1" allowOverlap="1">
                  <wp:simplePos x="0" y="0"/>
                  <wp:positionH relativeFrom="column">
                    <wp:posOffset>577215</wp:posOffset>
                  </wp:positionH>
                  <wp:positionV relativeFrom="paragraph">
                    <wp:posOffset>269875</wp:posOffset>
                  </wp:positionV>
                  <wp:extent cx="702310" cy="655955"/>
                  <wp:effectExtent l="0" t="0" r="2540" b="10795"/>
                  <wp:wrapNone/>
                  <wp:docPr id="78" name="image21"/>
                  <wp:cNvGraphicFramePr/>
                  <a:graphic xmlns:a="http://schemas.openxmlformats.org/drawingml/2006/main">
                    <a:graphicData uri="http://schemas.openxmlformats.org/drawingml/2006/picture">
                      <pic:pic xmlns:pic="http://schemas.openxmlformats.org/drawingml/2006/picture">
                        <pic:nvPicPr>
                          <pic:cNvPr id="78" name="image21"/>
                          <pic:cNvPicPr/>
                        </pic:nvPicPr>
                        <pic:blipFill>
                          <a:blip r:embed="rId29"/>
                          <a:stretch>
                            <a:fillRect/>
                          </a:stretch>
                        </pic:blipFill>
                        <pic:spPr>
                          <a:xfrm>
                            <a:off x="0" y="0"/>
                            <a:ext cx="702310" cy="6559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A9AAE">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规格：30*30*60cm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材质：芬兰木7*7cm，经过高温杀菌处理制作。油漆采用户外环保木油经过2 次底漆2 次面漆制作而成。</w:t>
            </w:r>
          </w:p>
        </w:tc>
      </w:tr>
      <w:tr w14:paraId="1457CC2E">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CF2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1722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三层沙漏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658E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5E04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AC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6672" behindDoc="0" locked="0" layoutInCell="1" allowOverlap="1">
                  <wp:simplePos x="0" y="0"/>
                  <wp:positionH relativeFrom="column">
                    <wp:posOffset>581025</wp:posOffset>
                  </wp:positionH>
                  <wp:positionV relativeFrom="paragraph">
                    <wp:posOffset>234950</wp:posOffset>
                  </wp:positionV>
                  <wp:extent cx="694055" cy="723900"/>
                  <wp:effectExtent l="0" t="0" r="10795" b="0"/>
                  <wp:wrapNone/>
                  <wp:docPr id="72" name="image20"/>
                  <wp:cNvGraphicFramePr/>
                  <a:graphic xmlns:a="http://schemas.openxmlformats.org/drawingml/2006/main">
                    <a:graphicData uri="http://schemas.openxmlformats.org/drawingml/2006/picture">
                      <pic:pic xmlns:pic="http://schemas.openxmlformats.org/drawingml/2006/picture">
                        <pic:nvPicPr>
                          <pic:cNvPr id="72" name="image20"/>
                          <pic:cNvPicPr/>
                        </pic:nvPicPr>
                        <pic:blipFill>
                          <a:blip r:embed="rId30"/>
                          <a:stretch>
                            <a:fillRect/>
                          </a:stretch>
                        </pic:blipFill>
                        <pic:spPr>
                          <a:xfrm>
                            <a:off x="0" y="0"/>
                            <a:ext cx="694055" cy="72390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713C">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规格：30*28*60cm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材质：芬兰木厚度20mm，经过高温杀菌处理制作。油漆采用户外环保木油经过2 次底漆2 次面漆制作而成</w:t>
            </w:r>
            <w:r>
              <w:rPr>
                <w:rFonts w:hint="eastAsia" w:ascii="宋体" w:hAnsi="宋体" w:cs="宋体"/>
                <w:color w:val="auto"/>
                <w:kern w:val="0"/>
                <w:sz w:val="18"/>
                <w:szCs w:val="18"/>
                <w:highlight w:val="none"/>
                <w:lang w:eastAsia="zh-CN" w:bidi="ar"/>
              </w:rPr>
              <w:t>。</w:t>
            </w:r>
          </w:p>
        </w:tc>
      </w:tr>
      <w:tr w14:paraId="7290864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4A2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78D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天平</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DD35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FE32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01DE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7696" behindDoc="0" locked="0" layoutInCell="1" allowOverlap="1">
                  <wp:simplePos x="0" y="0"/>
                  <wp:positionH relativeFrom="column">
                    <wp:posOffset>540385</wp:posOffset>
                  </wp:positionH>
                  <wp:positionV relativeFrom="paragraph">
                    <wp:posOffset>194945</wp:posOffset>
                  </wp:positionV>
                  <wp:extent cx="774700" cy="806450"/>
                  <wp:effectExtent l="0" t="0" r="6350" b="12700"/>
                  <wp:wrapNone/>
                  <wp:docPr id="85" name="image19"/>
                  <wp:cNvGraphicFramePr/>
                  <a:graphic xmlns:a="http://schemas.openxmlformats.org/drawingml/2006/main">
                    <a:graphicData uri="http://schemas.openxmlformats.org/drawingml/2006/picture">
                      <pic:pic xmlns:pic="http://schemas.openxmlformats.org/drawingml/2006/picture">
                        <pic:nvPicPr>
                          <pic:cNvPr id="85" name="image19"/>
                          <pic:cNvPicPr/>
                        </pic:nvPicPr>
                        <pic:blipFill>
                          <a:blip r:embed="rId31"/>
                          <a:stretch>
                            <a:fillRect/>
                          </a:stretch>
                        </pic:blipFill>
                        <pic:spPr>
                          <a:xfrm>
                            <a:off x="0" y="0"/>
                            <a:ext cx="774700" cy="80645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AAA77">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规格：60*30*75cm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材质：芬兰木厚度20mm，经过高温杀菌处理制作。油漆采用户外环保木油经过2 次底漆2 次面漆制作而成</w:t>
            </w:r>
            <w:r>
              <w:rPr>
                <w:rFonts w:hint="eastAsia" w:ascii="宋体" w:hAnsi="宋体" w:cs="宋体"/>
                <w:color w:val="auto"/>
                <w:kern w:val="0"/>
                <w:sz w:val="18"/>
                <w:szCs w:val="18"/>
                <w:highlight w:val="none"/>
                <w:lang w:eastAsia="zh-CN" w:bidi="ar"/>
              </w:rPr>
              <w:t>。</w:t>
            </w:r>
          </w:p>
        </w:tc>
      </w:tr>
      <w:tr w14:paraId="6FCAB997">
        <w:tblPrEx>
          <w:tblCellMar>
            <w:top w:w="0" w:type="dxa"/>
            <w:left w:w="108" w:type="dxa"/>
            <w:bottom w:w="0" w:type="dxa"/>
            <w:right w:w="108" w:type="dxa"/>
          </w:tblCellMar>
        </w:tblPrEx>
        <w:trPr>
          <w:trHeight w:val="163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93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6030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滑道组合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B3A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E7BF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BABC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8720" behindDoc="0" locked="0" layoutInCell="1" allowOverlap="1">
                  <wp:simplePos x="0" y="0"/>
                  <wp:positionH relativeFrom="column">
                    <wp:posOffset>70485</wp:posOffset>
                  </wp:positionH>
                  <wp:positionV relativeFrom="paragraph">
                    <wp:posOffset>192405</wp:posOffset>
                  </wp:positionV>
                  <wp:extent cx="1412240" cy="748030"/>
                  <wp:effectExtent l="0" t="0" r="16510" b="13970"/>
                  <wp:wrapNone/>
                  <wp:docPr id="70" name="image17"/>
                  <wp:cNvGraphicFramePr/>
                  <a:graphic xmlns:a="http://schemas.openxmlformats.org/drawingml/2006/main">
                    <a:graphicData uri="http://schemas.openxmlformats.org/drawingml/2006/picture">
                      <pic:pic xmlns:pic="http://schemas.openxmlformats.org/drawingml/2006/picture">
                        <pic:nvPicPr>
                          <pic:cNvPr id="70" name="image17"/>
                          <pic:cNvPicPr/>
                        </pic:nvPicPr>
                        <pic:blipFill>
                          <a:blip r:embed="rId32"/>
                          <a:stretch>
                            <a:fillRect/>
                          </a:stretch>
                        </pic:blipFill>
                        <pic:spPr>
                          <a:xfrm>
                            <a:off x="0" y="0"/>
                            <a:ext cx="1412240" cy="7480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D0AB">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规格：1000*130*300cm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采用芬兰木，直径12cm，经过高温杀菌处理制作。油漆采用户外环保木油经过 2 次底漆 2 次面漆制作而成。</w:t>
            </w:r>
          </w:p>
        </w:tc>
      </w:tr>
      <w:tr w14:paraId="2DF43572">
        <w:tblPrEx>
          <w:tblCellMar>
            <w:top w:w="0" w:type="dxa"/>
            <w:left w:w="108" w:type="dxa"/>
            <w:bottom w:w="0" w:type="dxa"/>
            <w:right w:w="108" w:type="dxa"/>
          </w:tblCellMar>
        </w:tblPrEx>
        <w:trPr>
          <w:trHeight w:val="1888"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44AE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34EB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土坡山洞</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0CA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55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C83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9744" behindDoc="0" locked="0" layoutInCell="1" allowOverlap="1">
                  <wp:simplePos x="0" y="0"/>
                  <wp:positionH relativeFrom="column">
                    <wp:posOffset>358775</wp:posOffset>
                  </wp:positionH>
                  <wp:positionV relativeFrom="paragraph">
                    <wp:posOffset>59055</wp:posOffset>
                  </wp:positionV>
                  <wp:extent cx="1135380" cy="883285"/>
                  <wp:effectExtent l="0" t="0" r="7620" b="12065"/>
                  <wp:wrapNone/>
                  <wp:docPr id="95" name="image25"/>
                  <wp:cNvGraphicFramePr/>
                  <a:graphic xmlns:a="http://schemas.openxmlformats.org/drawingml/2006/main">
                    <a:graphicData uri="http://schemas.openxmlformats.org/drawingml/2006/picture">
                      <pic:pic xmlns:pic="http://schemas.openxmlformats.org/drawingml/2006/picture">
                        <pic:nvPicPr>
                          <pic:cNvPr id="95" name="image25"/>
                          <pic:cNvPicPr/>
                        </pic:nvPicPr>
                        <pic:blipFill>
                          <a:blip r:embed="rId33"/>
                          <a:stretch>
                            <a:fillRect/>
                          </a:stretch>
                        </pic:blipFill>
                        <pic:spPr>
                          <a:xfrm>
                            <a:off x="0" y="0"/>
                            <a:ext cx="1135380" cy="88328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31856">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材质：304不锈钢3.0mm直径 78cm，含堆土坡，长4.5米，高1.2米</w:t>
            </w:r>
            <w:r>
              <w:rPr>
                <w:rFonts w:hint="eastAsia" w:ascii="宋体" w:hAnsi="宋体" w:cs="宋体"/>
                <w:color w:val="auto"/>
                <w:kern w:val="0"/>
                <w:sz w:val="18"/>
                <w:szCs w:val="18"/>
                <w:highlight w:val="none"/>
                <w:lang w:eastAsia="zh-CN" w:bidi="ar"/>
              </w:rPr>
              <w:t>；</w:t>
            </w:r>
          </w:p>
          <w:p w14:paraId="6B28280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不锈钢板符合抗拉强度、规定塑性延伸强度、断后伸长率、洛氏硬度、中性盐雾实验及试验评级、高温抗拉强度、高温规定塑性延伸强度、高温断后伸长率、冲击测试、密度测试。</w:t>
            </w:r>
          </w:p>
        </w:tc>
      </w:tr>
      <w:tr w14:paraId="711416BE">
        <w:tblPrEx>
          <w:tblCellMar>
            <w:top w:w="0" w:type="dxa"/>
            <w:left w:w="108" w:type="dxa"/>
            <w:bottom w:w="0" w:type="dxa"/>
            <w:right w:w="108" w:type="dxa"/>
          </w:tblCellMar>
        </w:tblPrEx>
        <w:trPr>
          <w:trHeight w:val="6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D4B3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FAB3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拓展区地面</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42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250</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F2AB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11EC">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980DF">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bidi="ar"/>
              </w:rPr>
              <w:t>原海绵城市填平改为山坡和拓展地，面积205㎡，深度50cm。土方为23m³,原深坑黄土回填，回填深度50cm,黄土夯实</w:t>
            </w:r>
            <w:r>
              <w:rPr>
                <w:rFonts w:hint="eastAsia" w:ascii="宋体" w:hAnsi="宋体" w:cs="宋体"/>
                <w:color w:val="auto"/>
                <w:kern w:val="0"/>
                <w:sz w:val="18"/>
                <w:szCs w:val="18"/>
                <w:highlight w:val="none"/>
                <w:lang w:eastAsia="zh-CN" w:bidi="ar"/>
              </w:rPr>
              <w:t>。</w:t>
            </w:r>
          </w:p>
        </w:tc>
      </w:tr>
      <w:tr w14:paraId="7C7A42B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982B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B69C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木爬</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1A4C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7C5B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D0E8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0768" behindDoc="0" locked="0" layoutInCell="1" allowOverlap="1">
                  <wp:simplePos x="0" y="0"/>
                  <wp:positionH relativeFrom="column">
                    <wp:posOffset>387350</wp:posOffset>
                  </wp:positionH>
                  <wp:positionV relativeFrom="paragraph">
                    <wp:posOffset>337820</wp:posOffset>
                  </wp:positionV>
                  <wp:extent cx="1082675" cy="520065"/>
                  <wp:effectExtent l="0" t="0" r="3175" b="13335"/>
                  <wp:wrapNone/>
                  <wp:docPr id="89" name="image27"/>
                  <wp:cNvGraphicFramePr/>
                  <a:graphic xmlns:a="http://schemas.openxmlformats.org/drawingml/2006/main">
                    <a:graphicData uri="http://schemas.openxmlformats.org/drawingml/2006/picture">
                      <pic:pic xmlns:pic="http://schemas.openxmlformats.org/drawingml/2006/picture">
                        <pic:nvPicPr>
                          <pic:cNvPr id="89" name="image27"/>
                          <pic:cNvPicPr/>
                        </pic:nvPicPr>
                        <pic:blipFill>
                          <a:blip r:embed="rId34"/>
                          <a:stretch>
                            <a:fillRect/>
                          </a:stretch>
                        </pic:blipFill>
                        <pic:spPr>
                          <a:xfrm>
                            <a:off x="0" y="0"/>
                            <a:ext cx="1082675" cy="5200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8D6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长度 80cm采用芬兰木，圆木直径 6cm ，经过高温杀菌处理制作。油漆采用户外环保木油经过2 次底漆2 次面漆制作而成。</w:t>
            </w:r>
          </w:p>
        </w:tc>
      </w:tr>
      <w:tr w14:paraId="780FE6CD">
        <w:tblPrEx>
          <w:tblCellMar>
            <w:top w:w="0" w:type="dxa"/>
            <w:left w:w="108" w:type="dxa"/>
            <w:bottom w:w="0" w:type="dxa"/>
            <w:right w:w="108" w:type="dxa"/>
          </w:tblCellMar>
        </w:tblPrEx>
        <w:trPr>
          <w:trHeight w:val="24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9AA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9DD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木制体能组合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A6B9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45E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B746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1792" behindDoc="0" locked="0" layoutInCell="1" allowOverlap="1">
                  <wp:simplePos x="0" y="0"/>
                  <wp:positionH relativeFrom="column">
                    <wp:posOffset>41910</wp:posOffset>
                  </wp:positionH>
                  <wp:positionV relativeFrom="paragraph">
                    <wp:posOffset>252730</wp:posOffset>
                  </wp:positionV>
                  <wp:extent cx="1478915" cy="1000125"/>
                  <wp:effectExtent l="0" t="0" r="6985" b="9525"/>
                  <wp:wrapNone/>
                  <wp:docPr id="81" name="image24"/>
                  <wp:cNvGraphicFramePr/>
                  <a:graphic xmlns:a="http://schemas.openxmlformats.org/drawingml/2006/main">
                    <a:graphicData uri="http://schemas.openxmlformats.org/drawingml/2006/picture">
                      <pic:pic xmlns:pic="http://schemas.openxmlformats.org/drawingml/2006/picture">
                        <pic:nvPicPr>
                          <pic:cNvPr id="81" name="image24"/>
                          <pic:cNvPicPr/>
                        </pic:nvPicPr>
                        <pic:blipFill>
                          <a:blip r:embed="rId35"/>
                          <a:stretch>
                            <a:fillRect/>
                          </a:stretch>
                        </pic:blipFill>
                        <pic:spPr>
                          <a:xfrm>
                            <a:off x="0" y="0"/>
                            <a:ext cx="1478915" cy="100012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0C32">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规格：1550*170*210cm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立柱 10*10cm 采用芬兰木，经过高温杀菌处理制作。油漆采用户外环保木油经过 2 次底漆 2 次面漆制作而成。平行爬网：φ16mm 钢芯缆绳，网绳编织采用专用尼龙连接扣连接。爬网底再铺设六边型机编晴纶网，网孔不大于60mm。</w:t>
            </w:r>
          </w:p>
        </w:tc>
      </w:tr>
      <w:tr w14:paraId="3B5DBFF8">
        <w:tblPrEx>
          <w:tblCellMar>
            <w:top w:w="0" w:type="dxa"/>
            <w:left w:w="108" w:type="dxa"/>
            <w:bottom w:w="0" w:type="dxa"/>
            <w:right w:w="108" w:type="dxa"/>
          </w:tblCellMar>
        </w:tblPrEx>
        <w:trPr>
          <w:trHeight w:val="250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AE17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C616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停车场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07CC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2D2F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740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2816" behindDoc="0" locked="0" layoutInCell="1" allowOverlap="1">
                  <wp:simplePos x="0" y="0"/>
                  <wp:positionH relativeFrom="column">
                    <wp:posOffset>70485</wp:posOffset>
                  </wp:positionH>
                  <wp:positionV relativeFrom="paragraph">
                    <wp:posOffset>268605</wp:posOffset>
                  </wp:positionV>
                  <wp:extent cx="1343025" cy="1261745"/>
                  <wp:effectExtent l="0" t="0" r="9525" b="14605"/>
                  <wp:wrapNone/>
                  <wp:docPr id="88" name="image23"/>
                  <wp:cNvGraphicFramePr/>
                  <a:graphic xmlns:a="http://schemas.openxmlformats.org/drawingml/2006/main">
                    <a:graphicData uri="http://schemas.openxmlformats.org/drawingml/2006/picture">
                      <pic:pic xmlns:pic="http://schemas.openxmlformats.org/drawingml/2006/picture">
                        <pic:nvPicPr>
                          <pic:cNvPr id="88" name="image23"/>
                          <pic:cNvPicPr/>
                        </pic:nvPicPr>
                        <pic:blipFill>
                          <a:blip r:embed="rId36"/>
                          <a:stretch>
                            <a:fillRect/>
                          </a:stretch>
                        </pic:blipFill>
                        <pic:spPr>
                          <a:xfrm>
                            <a:off x="0" y="0"/>
                            <a:ext cx="1343025" cy="126174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C139A">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300*120*210cm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采用芬兰木，立柱10*10cm,经过高温杀菌处理制作。油漆采用户外环保木油经过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4B23FAA3">
        <w:tblPrEx>
          <w:tblCellMar>
            <w:top w:w="0" w:type="dxa"/>
            <w:left w:w="108" w:type="dxa"/>
            <w:bottom w:w="0" w:type="dxa"/>
            <w:right w:w="108" w:type="dxa"/>
          </w:tblCellMar>
        </w:tblPrEx>
        <w:trPr>
          <w:trHeight w:val="9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21D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6BB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旗台</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F3F6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E70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7B4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3840" behindDoc="0" locked="0" layoutInCell="1" allowOverlap="1">
                  <wp:simplePos x="0" y="0"/>
                  <wp:positionH relativeFrom="column">
                    <wp:posOffset>71755</wp:posOffset>
                  </wp:positionH>
                  <wp:positionV relativeFrom="paragraph">
                    <wp:posOffset>129540</wp:posOffset>
                  </wp:positionV>
                  <wp:extent cx="1400175" cy="461645"/>
                  <wp:effectExtent l="0" t="0" r="9525" b="14605"/>
                  <wp:wrapNone/>
                  <wp:docPr id="82" name="image26"/>
                  <wp:cNvGraphicFramePr/>
                  <a:graphic xmlns:a="http://schemas.openxmlformats.org/drawingml/2006/main">
                    <a:graphicData uri="http://schemas.openxmlformats.org/drawingml/2006/picture">
                      <pic:pic xmlns:pic="http://schemas.openxmlformats.org/drawingml/2006/picture">
                        <pic:nvPicPr>
                          <pic:cNvPr id="82" name="image26"/>
                          <pic:cNvPicPr/>
                        </pic:nvPicPr>
                        <pic:blipFill>
                          <a:blip r:embed="rId37"/>
                          <a:stretch>
                            <a:fillRect/>
                          </a:stretch>
                        </pic:blipFill>
                        <pic:spPr>
                          <a:xfrm>
                            <a:off x="0" y="0"/>
                            <a:ext cx="1400175" cy="46164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50FD">
            <w:pPr>
              <w:widowControl/>
              <w:shd w:val="clear"/>
              <w:jc w:val="left"/>
              <w:textAlignment w:val="center"/>
              <w:rPr>
                <w:rFonts w:hint="eastAsia" w:ascii="宋体" w:hAnsi="宋体" w:eastAsia="宋体" w:cs="宋体"/>
                <w:color w:val="auto"/>
                <w:sz w:val="18"/>
                <w:szCs w:val="18"/>
                <w:highlight w:val="none"/>
                <w:lang w:eastAsia="zh-CN"/>
              </w:rPr>
            </w:pPr>
            <w:r>
              <w:rPr>
                <w:rStyle w:val="60"/>
                <w:rFonts w:hint="default"/>
                <w:color w:val="auto"/>
                <w:highlight w:val="none"/>
                <w:lang w:bidi="ar"/>
              </w:rPr>
              <w:t>拱挤木地板</w:t>
            </w:r>
            <w:r>
              <w:rPr>
                <w:rStyle w:val="61"/>
                <w:rFonts w:hint="default"/>
                <w:color w:val="auto"/>
                <w:highlight w:val="none"/>
                <w:lang w:bidi="ar"/>
              </w:rPr>
              <w:t>500*260*20cm</w:t>
            </w:r>
            <w:r>
              <w:rPr>
                <w:rStyle w:val="60"/>
                <w:rFonts w:hint="default"/>
                <w:color w:val="auto"/>
                <w:highlight w:val="none"/>
                <w:lang w:bidi="ar"/>
              </w:rPr>
              <w:t>；</w:t>
            </w:r>
            <w:r>
              <w:rPr>
                <w:rStyle w:val="61"/>
                <w:rFonts w:hint="default"/>
                <w:color w:val="auto"/>
                <w:highlight w:val="none"/>
                <w:lang w:bidi="ar"/>
              </w:rPr>
              <w:t>304</w:t>
            </w:r>
            <w:r>
              <w:rPr>
                <w:rStyle w:val="60"/>
                <w:rFonts w:hint="default"/>
                <w:color w:val="auto"/>
                <w:highlight w:val="none"/>
                <w:lang w:bidi="ar"/>
              </w:rPr>
              <w:t>不锈钢旗杆厚度2.0；旗杆高度</w:t>
            </w:r>
            <w:r>
              <w:rPr>
                <w:rStyle w:val="61"/>
                <w:rFonts w:hint="default"/>
                <w:color w:val="auto"/>
                <w:highlight w:val="none"/>
                <w:lang w:bidi="ar"/>
              </w:rPr>
              <w:t>880cm</w:t>
            </w:r>
            <w:r>
              <w:rPr>
                <w:rStyle w:val="60"/>
                <w:rFonts w:hint="default"/>
                <w:color w:val="auto"/>
                <w:highlight w:val="none"/>
                <w:lang w:bidi="ar"/>
              </w:rPr>
              <w:t>,地板规格；4000*145*23mm</w:t>
            </w:r>
            <w:r>
              <w:rPr>
                <w:rStyle w:val="60"/>
                <w:rFonts w:hint="eastAsia"/>
                <w:color w:val="auto"/>
                <w:highlight w:val="none"/>
                <w:lang w:eastAsia="zh-CN" w:bidi="ar"/>
              </w:rPr>
              <w:t>。</w:t>
            </w:r>
          </w:p>
        </w:tc>
      </w:tr>
      <w:tr w14:paraId="685FE032">
        <w:tblPrEx>
          <w:tblCellMar>
            <w:top w:w="0" w:type="dxa"/>
            <w:left w:w="108" w:type="dxa"/>
            <w:bottom w:w="0" w:type="dxa"/>
            <w:right w:w="108" w:type="dxa"/>
          </w:tblCellMar>
        </w:tblPrEx>
        <w:trPr>
          <w:trHeight w:val="28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6ED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638A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2AD4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7AF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93B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4864" behindDoc="0" locked="0" layoutInCell="1" allowOverlap="1">
                  <wp:simplePos x="0" y="0"/>
                  <wp:positionH relativeFrom="column">
                    <wp:posOffset>70485</wp:posOffset>
                  </wp:positionH>
                  <wp:positionV relativeFrom="paragraph">
                    <wp:posOffset>375920</wp:posOffset>
                  </wp:positionV>
                  <wp:extent cx="1394460" cy="782955"/>
                  <wp:effectExtent l="0" t="0" r="15240" b="17145"/>
                  <wp:wrapNone/>
                  <wp:docPr id="67" name="image29"/>
                  <wp:cNvGraphicFramePr/>
                  <a:graphic xmlns:a="http://schemas.openxmlformats.org/drawingml/2006/main">
                    <a:graphicData uri="http://schemas.openxmlformats.org/drawingml/2006/picture">
                      <pic:pic xmlns:pic="http://schemas.openxmlformats.org/drawingml/2006/picture">
                        <pic:nvPicPr>
                          <pic:cNvPr id="67" name="image29"/>
                          <pic:cNvPicPr/>
                        </pic:nvPicPr>
                        <pic:blipFill>
                          <a:blip r:embed="rId38"/>
                          <a:stretch>
                            <a:fillRect/>
                          </a:stretch>
                        </pic:blipFill>
                        <pic:spPr>
                          <a:xfrm>
                            <a:off x="0" y="0"/>
                            <a:ext cx="1394460" cy="7829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3AF4">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规格：700*120*160cm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材质：镀锌钢管+铝塑板；</w:t>
            </w:r>
          </w:p>
          <w:p w14:paraId="007798C1">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 xml:space="preserve">铝塑板：厚度不小于  4mm，双面木纹，压条采用铝合金； </w:t>
            </w:r>
          </w:p>
          <w:p w14:paraId="30C49068">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 xml:space="preserve">铁件立柱：5*5cm，厚度为 2mm，辅助材料：2*4cm、3*5cm 、2*2cm ，厚度  1.5mm ，镀锌钢管，表面光滑，抗紫外光线能力强，色彩鲜艳，不易脱落，耐腐蚀；  </w:t>
            </w:r>
          </w:p>
          <w:p w14:paraId="292D332F">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 xml:space="preserve">顶部采用双层防水沥青瓦片。门采用铝合金百合门； </w:t>
            </w:r>
          </w:p>
          <w:p w14:paraId="13092162">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产品外表和内表以及儿童手指可触及处无毛刺及尖锐的棱角，油漆采用户外哑光漆；</w:t>
            </w:r>
          </w:p>
          <w:p w14:paraId="535C16B2">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7.</w:t>
            </w:r>
            <w:r>
              <w:rPr>
                <w:rFonts w:hint="eastAsia" w:ascii="宋体" w:hAnsi="宋体" w:cs="宋体"/>
                <w:color w:val="auto"/>
                <w:kern w:val="0"/>
                <w:sz w:val="18"/>
                <w:szCs w:val="18"/>
                <w:highlight w:val="none"/>
                <w:lang w:bidi="ar"/>
              </w:rPr>
              <w:t>螺丝均采用不锈钢 304#材质防盗螺丝，并采用防松螺母固定，牢固可靠，不易松动脱落及变形和损坏。</w:t>
            </w:r>
          </w:p>
        </w:tc>
      </w:tr>
      <w:tr w14:paraId="58FC208F">
        <w:tblPrEx>
          <w:tblCellMar>
            <w:top w:w="0" w:type="dxa"/>
            <w:left w:w="108" w:type="dxa"/>
            <w:bottom w:w="0" w:type="dxa"/>
            <w:right w:w="108" w:type="dxa"/>
          </w:tblCellMar>
        </w:tblPrEx>
        <w:trPr>
          <w:trHeight w:val="9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33D6">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B4D">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木屋组合玩具</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85352">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8EEC">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CE16">
            <w:pPr>
              <w:widowControl/>
              <w:shd w:val="clear"/>
              <w:jc w:val="center"/>
              <w:textAlignment w:val="center"/>
              <w:rPr>
                <w:rFonts w:ascii="宋体" w:hAnsi="宋体" w:cs="宋体"/>
                <w:color w:val="auto"/>
                <w:kern w:val="0"/>
                <w:sz w:val="18"/>
                <w:szCs w:val="18"/>
                <w:highlight w:val="none"/>
                <w:bdr w:val="single" w:color="000000" w:sz="4" w:space="0"/>
                <w:lang w:bidi="ar"/>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5584" behindDoc="0" locked="0" layoutInCell="1" allowOverlap="1">
                  <wp:simplePos x="0" y="0"/>
                  <wp:positionH relativeFrom="column">
                    <wp:posOffset>-3175</wp:posOffset>
                  </wp:positionH>
                  <wp:positionV relativeFrom="paragraph">
                    <wp:posOffset>747395</wp:posOffset>
                  </wp:positionV>
                  <wp:extent cx="1433195" cy="1312545"/>
                  <wp:effectExtent l="0" t="0" r="14605" b="1905"/>
                  <wp:wrapNone/>
                  <wp:docPr id="57" name="image28"/>
                  <wp:cNvGraphicFramePr/>
                  <a:graphic xmlns:a="http://schemas.openxmlformats.org/drawingml/2006/main">
                    <a:graphicData uri="http://schemas.openxmlformats.org/drawingml/2006/picture">
                      <pic:pic xmlns:pic="http://schemas.openxmlformats.org/drawingml/2006/picture">
                        <pic:nvPicPr>
                          <pic:cNvPr id="57" name="image28"/>
                          <pic:cNvPicPr/>
                        </pic:nvPicPr>
                        <pic:blipFill>
                          <a:blip r:embed="rId39"/>
                          <a:stretch>
                            <a:fillRect/>
                          </a:stretch>
                        </pic:blipFill>
                        <pic:spPr>
                          <a:xfrm>
                            <a:off x="0" y="0"/>
                            <a:ext cx="1433195" cy="131254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31A4">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规格：720*500*350cm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平台采用2mm厚镀锌钢板激光切割折弯焊接成型，表面铺设15mm厚PS塑木。平台表面塑木板铺设方式：镙丝钉从平台底部自下而上固定，平台表面没有镙丝钉。木屋顶板和侧板也为15mm厚PS塑木，立柱采用镀锌钢管114*2mm、龙骨主料采用80*40*2.2mm辅料采用40*40*2mm、50*30*2mm、栏杆横杆采用镀锌钢管48*2mm，竖杆采用镀锌钢管32*1.8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材料工艺及特点：</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在潮湿环境下不长斑、不发霉、不生虫、不开裂，相比于木材少去后期维护保养费用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工程塑料：工程塑料添加抗止外线稳定及静电防止剂,表面处理:模铸面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（1）原料:采用工程塑料,将颜色粉末与聚乙烯基材充分混合,让滚塑生产时可以充分的将颜色与基材密不可分, 让抗紫外线,退色,脆化,静电等元素长久不会流失.与一般厂家的只是将颜色粉末与聚乙烯基材以干拌方式混合有极大的性能分别. 颜色五年不退色，抗紫外线色牢度达8级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（2）模具表面处理:采模铸面处理,展现较高的产质量感与防刮性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钢管部件：镀锌钢管的部件采用符合要求的钢管，确保强度与安全性.原材料采用CO2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。（2）防止退色:粉末喷涂材料添加抗紫外线稳定剂,确保颜色保持长久鲜艳.直接使用镀锌厚度达到每平米120克的优质环保镀锌管，除油后用户外环保聚胺酯静电粉末喷涂，确保户外正常使用8年</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平行爬网：φ16mm钢芯缆绳，采用钢丝绳是将力学性能和几何尺寸符合要求的钢丝按照一定的规则捻制在一起的螺旋状钢丝束，钢丝绳由钢丝、绳芯及润滑脂组成。网绳编织采用专用尼龙连接扣连接。爬网底再铺设六边型机编晴纶网，网孔不大于60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7.</w:t>
            </w:r>
            <w:r>
              <w:rPr>
                <w:rFonts w:hint="eastAsia" w:ascii="宋体" w:hAnsi="宋体" w:cs="宋体"/>
                <w:color w:val="auto"/>
                <w:kern w:val="0"/>
                <w:sz w:val="18"/>
                <w:szCs w:val="18"/>
                <w:highlight w:val="none"/>
                <w:lang w:bidi="ar"/>
              </w:rPr>
              <w:t>装饰PC板：采用纯聚甲基丙烯酸甲酯（PMMA）材料制成，厚度不小于4.5mm，透光率达80%以上，有极佳的耐候性，抗冲击力强</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8.</w:t>
            </w:r>
            <w:r>
              <w:rPr>
                <w:rFonts w:hint="eastAsia" w:ascii="宋体" w:hAnsi="宋体" w:cs="宋体"/>
                <w:color w:val="auto"/>
                <w:kern w:val="0"/>
                <w:sz w:val="18"/>
                <w:szCs w:val="18"/>
                <w:highlight w:val="none"/>
                <w:lang w:bidi="ar"/>
              </w:rPr>
              <w:t>PE板材质：高密度聚乙烯，厚度1.5cm，产品无臭，无毒，手感似蜡，具有优良的耐低温性能(最低使用温度可达-70～-100℃)，化学稳定性好</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9.</w:t>
            </w:r>
            <w:r>
              <w:rPr>
                <w:rFonts w:hint="eastAsia" w:ascii="宋体" w:hAnsi="宋体" w:cs="宋体"/>
                <w:color w:val="auto"/>
                <w:kern w:val="0"/>
                <w:sz w:val="18"/>
                <w:szCs w:val="18"/>
                <w:highlight w:val="none"/>
                <w:lang w:bidi="ar"/>
              </w:rPr>
              <w:t>五金配件采用材质：304不锈钢半圆头，T 型平头螺丝。表面处理：机械抛光 。</w:t>
            </w:r>
          </w:p>
        </w:tc>
      </w:tr>
      <w:tr w14:paraId="3F68BD31">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F599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436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拱门花架组合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1A9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765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9B5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5888" behindDoc="0" locked="0" layoutInCell="1" allowOverlap="1">
                  <wp:simplePos x="0" y="0"/>
                  <wp:positionH relativeFrom="column">
                    <wp:posOffset>73025</wp:posOffset>
                  </wp:positionH>
                  <wp:positionV relativeFrom="paragraph">
                    <wp:posOffset>232410</wp:posOffset>
                  </wp:positionV>
                  <wp:extent cx="1355090" cy="824865"/>
                  <wp:effectExtent l="0" t="0" r="16510" b="13335"/>
                  <wp:wrapNone/>
                  <wp:docPr id="73" name="image31"/>
                  <wp:cNvGraphicFramePr/>
                  <a:graphic xmlns:a="http://schemas.openxmlformats.org/drawingml/2006/main">
                    <a:graphicData uri="http://schemas.openxmlformats.org/drawingml/2006/picture">
                      <pic:pic xmlns:pic="http://schemas.openxmlformats.org/drawingml/2006/picture">
                        <pic:nvPicPr>
                          <pic:cNvPr id="73" name="image31"/>
                          <pic:cNvPicPr/>
                        </pic:nvPicPr>
                        <pic:blipFill>
                          <a:blip r:embed="rId40"/>
                          <a:stretch>
                            <a:fillRect/>
                          </a:stretch>
                        </pic:blipFill>
                        <pic:spPr>
                          <a:xfrm>
                            <a:off x="0" y="0"/>
                            <a:ext cx="1355090" cy="8248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19FC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规格：840*200*240cm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采用芬兰木，经过高温杀菌处理制作。油漆采用户外环保木油经过2次底漆2次面漆制作而成。</w:t>
            </w:r>
          </w:p>
        </w:tc>
      </w:tr>
      <w:tr w14:paraId="19D2DD10">
        <w:tblPrEx>
          <w:tblCellMar>
            <w:top w:w="0" w:type="dxa"/>
            <w:left w:w="108" w:type="dxa"/>
            <w:bottom w:w="0" w:type="dxa"/>
            <w:right w:w="108" w:type="dxa"/>
          </w:tblCellMar>
        </w:tblPrEx>
        <w:trPr>
          <w:trHeight w:val="250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F92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580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指示牌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E8E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8804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FCC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6912" behindDoc="0" locked="0" layoutInCell="1" allowOverlap="1">
                  <wp:simplePos x="0" y="0"/>
                  <wp:positionH relativeFrom="column">
                    <wp:posOffset>495935</wp:posOffset>
                  </wp:positionH>
                  <wp:positionV relativeFrom="paragraph">
                    <wp:posOffset>69850</wp:posOffset>
                  </wp:positionV>
                  <wp:extent cx="588010" cy="1452880"/>
                  <wp:effectExtent l="0" t="0" r="2540" b="13970"/>
                  <wp:wrapNone/>
                  <wp:docPr id="69" name="image32"/>
                  <wp:cNvGraphicFramePr/>
                  <a:graphic xmlns:a="http://schemas.openxmlformats.org/drawingml/2006/main">
                    <a:graphicData uri="http://schemas.openxmlformats.org/drawingml/2006/picture">
                      <pic:pic xmlns:pic="http://schemas.openxmlformats.org/drawingml/2006/picture">
                        <pic:nvPicPr>
                          <pic:cNvPr id="69" name="image32"/>
                          <pic:cNvPicPr/>
                        </pic:nvPicPr>
                        <pic:blipFill>
                          <a:blip r:embed="rId41"/>
                          <a:stretch>
                            <a:fillRect/>
                          </a:stretch>
                        </pic:blipFill>
                        <pic:spPr>
                          <a:xfrm>
                            <a:off x="0" y="0"/>
                            <a:ext cx="588010" cy="14528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A33D">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840*200*240cm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采用芬兰木，5*5cm，经过高温杀菌处理制作。油漆采用户外环保木油经过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次面漆制作而成。横梁间距25cm</w:t>
            </w:r>
            <w:r>
              <w:rPr>
                <w:rStyle w:val="60"/>
                <w:rFonts w:hint="eastAsia"/>
                <w:color w:val="auto"/>
                <w:highlight w:val="none"/>
                <w:lang w:eastAsia="zh-CN" w:bidi="ar"/>
              </w:rPr>
              <w:t>。</w:t>
            </w:r>
          </w:p>
        </w:tc>
      </w:tr>
      <w:tr w14:paraId="43D02DE7">
        <w:tblPrEx>
          <w:tblCellMar>
            <w:top w:w="0" w:type="dxa"/>
            <w:left w:w="108" w:type="dxa"/>
            <w:bottom w:w="0" w:type="dxa"/>
            <w:right w:w="108" w:type="dxa"/>
          </w:tblCellMar>
        </w:tblPrEx>
        <w:trPr>
          <w:trHeight w:val="24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2A905">
            <w:pPr>
              <w:widowControl/>
              <w:shd w:val="clear"/>
              <w:jc w:val="center"/>
              <w:textAlignment w:val="center"/>
              <w:rPr>
                <w:rFonts w:ascii="宋体" w:hAnsi="宋体" w:cs="宋体"/>
                <w:color w:val="auto"/>
                <w:sz w:val="18"/>
                <w:szCs w:val="18"/>
                <w:highlight w:val="none"/>
              </w:rPr>
            </w:pPr>
            <w:bookmarkStart w:id="431" w:name="_GoBack" w:colFirst="5" w:colLast="5"/>
            <w:r>
              <w:rPr>
                <w:rFonts w:hint="eastAsia" w:ascii="宋体" w:hAnsi="宋体" w:cs="宋体"/>
                <w:color w:val="auto"/>
                <w:kern w:val="0"/>
                <w:sz w:val="18"/>
                <w:szCs w:val="18"/>
                <w:highlight w:val="none"/>
                <w:lang w:bidi="ar"/>
              </w:rPr>
              <w:t xml:space="preserve">32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B90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画室</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A6E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6AA7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E122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7936" behindDoc="0" locked="0" layoutInCell="1" allowOverlap="1">
                  <wp:simplePos x="0" y="0"/>
                  <wp:positionH relativeFrom="column">
                    <wp:posOffset>92710</wp:posOffset>
                  </wp:positionH>
                  <wp:positionV relativeFrom="paragraph">
                    <wp:posOffset>243205</wp:posOffset>
                  </wp:positionV>
                  <wp:extent cx="1233170" cy="1186180"/>
                  <wp:effectExtent l="0" t="0" r="5080" b="13970"/>
                  <wp:wrapNone/>
                  <wp:docPr id="74" name="image30"/>
                  <wp:cNvGraphicFramePr/>
                  <a:graphic xmlns:a="http://schemas.openxmlformats.org/drawingml/2006/main">
                    <a:graphicData uri="http://schemas.openxmlformats.org/drawingml/2006/picture">
                      <pic:pic xmlns:pic="http://schemas.openxmlformats.org/drawingml/2006/picture">
                        <pic:nvPicPr>
                          <pic:cNvPr id="74" name="image30"/>
                          <pic:cNvPicPr/>
                        </pic:nvPicPr>
                        <pic:blipFill>
                          <a:blip r:embed="rId42"/>
                          <a:stretch>
                            <a:fillRect/>
                          </a:stretch>
                        </pic:blipFill>
                        <pic:spPr>
                          <a:xfrm>
                            <a:off x="0" y="0"/>
                            <a:ext cx="1233170" cy="11861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ED7F">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3.2*3.2*2.7m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613797E4">
        <w:tblPrEx>
          <w:tblCellMar>
            <w:top w:w="0" w:type="dxa"/>
            <w:left w:w="108" w:type="dxa"/>
            <w:bottom w:w="0" w:type="dxa"/>
            <w:right w:w="108" w:type="dxa"/>
          </w:tblCellMar>
        </w:tblPrEx>
        <w:trPr>
          <w:trHeight w:val="188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21C0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3C6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画架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8AC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1103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9B22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8960" behindDoc="0" locked="0" layoutInCell="1" allowOverlap="1">
                  <wp:simplePos x="0" y="0"/>
                  <wp:positionH relativeFrom="column">
                    <wp:posOffset>514350</wp:posOffset>
                  </wp:positionH>
                  <wp:positionV relativeFrom="paragraph">
                    <wp:posOffset>150495</wp:posOffset>
                  </wp:positionV>
                  <wp:extent cx="827405" cy="895985"/>
                  <wp:effectExtent l="0" t="0" r="10795" b="18415"/>
                  <wp:wrapNone/>
                  <wp:docPr id="75" name="image33"/>
                  <wp:cNvGraphicFramePr/>
                  <a:graphic xmlns:a="http://schemas.openxmlformats.org/drawingml/2006/main">
                    <a:graphicData uri="http://schemas.openxmlformats.org/drawingml/2006/picture">
                      <pic:pic xmlns:pic="http://schemas.openxmlformats.org/drawingml/2006/picture">
                        <pic:nvPicPr>
                          <pic:cNvPr id="75" name="image33"/>
                          <pic:cNvPicPr/>
                        </pic:nvPicPr>
                        <pic:blipFill>
                          <a:blip r:embed="rId43"/>
                          <a:stretch>
                            <a:fillRect/>
                          </a:stretch>
                        </pic:blipFill>
                        <pic:spPr>
                          <a:xfrm>
                            <a:off x="0" y="0"/>
                            <a:ext cx="827405" cy="89598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28622">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规格：0.5*0.5*0.8m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木头材质芬兰木，厚度15mm,表面处理：进行压、刨、铣、冲等处理后，表面进行防腐、防蛀处理，后采用原子灰进行三次刮灰抹平，并打磨光滑，表面喷涂三次聚氨脂清漆</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材质防盗螺丝，并采用螺栓连接，牢固可靠，不易松动脱落及变形和损坏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bookmarkEnd w:id="431"/>
      <w:tr w14:paraId="0B2CEBDE">
        <w:tblPrEx>
          <w:tblCellMar>
            <w:top w:w="0" w:type="dxa"/>
            <w:left w:w="108" w:type="dxa"/>
            <w:bottom w:w="0" w:type="dxa"/>
            <w:right w:w="108" w:type="dxa"/>
          </w:tblCellMar>
        </w:tblPrEx>
        <w:trPr>
          <w:trHeight w:val="22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60EA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3BD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储物柜组合1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6DE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508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F3D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9984" behindDoc="0" locked="0" layoutInCell="1" allowOverlap="1">
                  <wp:simplePos x="0" y="0"/>
                  <wp:positionH relativeFrom="column">
                    <wp:posOffset>196850</wp:posOffset>
                  </wp:positionH>
                  <wp:positionV relativeFrom="paragraph">
                    <wp:posOffset>63500</wp:posOffset>
                  </wp:positionV>
                  <wp:extent cx="1348105" cy="1055370"/>
                  <wp:effectExtent l="0" t="0" r="4445" b="11430"/>
                  <wp:wrapNone/>
                  <wp:docPr id="84" name="image34"/>
                  <wp:cNvGraphicFramePr/>
                  <a:graphic xmlns:a="http://schemas.openxmlformats.org/drawingml/2006/main">
                    <a:graphicData uri="http://schemas.openxmlformats.org/drawingml/2006/picture">
                      <pic:pic xmlns:pic="http://schemas.openxmlformats.org/drawingml/2006/picture">
                        <pic:nvPicPr>
                          <pic:cNvPr id="84" name="image34"/>
                          <pic:cNvPicPr/>
                        </pic:nvPicPr>
                        <pic:blipFill>
                          <a:blip r:embed="rId44"/>
                          <a:stretch>
                            <a:fillRect/>
                          </a:stretch>
                        </pic:blipFill>
                        <pic:spPr>
                          <a:xfrm>
                            <a:off x="0" y="0"/>
                            <a:ext cx="1348105" cy="105537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F736">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435*60*220cm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default"/>
                <w:color w:val="auto"/>
                <w:highlight w:val="none"/>
                <w:lang w:bidi="ar"/>
              </w:rPr>
              <w:t>+</w:t>
            </w:r>
            <w:r>
              <w:rPr>
                <w:rStyle w:val="60"/>
                <w:rFonts w:hint="default"/>
                <w:color w:val="auto"/>
                <w:highlight w:val="none"/>
                <w:lang w:bidi="ar"/>
              </w:rPr>
              <w:t>镀锌钢管5*5cm厚度2.0mm</w:t>
            </w:r>
            <w:r>
              <w:rPr>
                <w:rStyle w:val="60"/>
                <w:rFonts w:hint="eastAsia"/>
                <w:color w:val="auto"/>
                <w:highlight w:val="none"/>
                <w:lang w:eastAsia="zh-CN" w:bidi="ar"/>
              </w:rPr>
              <w:t>。</w:t>
            </w:r>
          </w:p>
        </w:tc>
      </w:tr>
      <w:tr w14:paraId="140FAD9A">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8C3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3E37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储物柜组合2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F259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ABB2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813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1008" behindDoc="0" locked="0" layoutInCell="1" allowOverlap="1">
                  <wp:simplePos x="0" y="0"/>
                  <wp:positionH relativeFrom="column">
                    <wp:posOffset>215900</wp:posOffset>
                  </wp:positionH>
                  <wp:positionV relativeFrom="paragraph">
                    <wp:posOffset>184785</wp:posOffset>
                  </wp:positionV>
                  <wp:extent cx="1148080" cy="1170940"/>
                  <wp:effectExtent l="0" t="0" r="13970" b="10160"/>
                  <wp:wrapNone/>
                  <wp:docPr id="79" name="image35"/>
                  <wp:cNvGraphicFramePr/>
                  <a:graphic xmlns:a="http://schemas.openxmlformats.org/drawingml/2006/main">
                    <a:graphicData uri="http://schemas.openxmlformats.org/drawingml/2006/picture">
                      <pic:pic xmlns:pic="http://schemas.openxmlformats.org/drawingml/2006/picture">
                        <pic:nvPicPr>
                          <pic:cNvPr id="79" name="image35"/>
                          <pic:cNvPicPr/>
                        </pic:nvPicPr>
                        <pic:blipFill>
                          <a:blip r:embed="rId45"/>
                          <a:stretch>
                            <a:fillRect/>
                          </a:stretch>
                        </pic:blipFill>
                        <pic:spPr>
                          <a:xfrm>
                            <a:off x="0" y="0"/>
                            <a:ext cx="1148080" cy="117094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0426">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295*50*175cm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115644E5">
        <w:tblPrEx>
          <w:tblCellMar>
            <w:top w:w="0" w:type="dxa"/>
            <w:left w:w="108" w:type="dxa"/>
            <w:bottom w:w="0" w:type="dxa"/>
            <w:right w:w="108" w:type="dxa"/>
          </w:tblCellMar>
        </w:tblPrEx>
        <w:trPr>
          <w:trHeight w:val="15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2446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F27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操作桌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062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CFA1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24F4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2032" behindDoc="0" locked="0" layoutInCell="1" allowOverlap="1">
                  <wp:simplePos x="0" y="0"/>
                  <wp:positionH relativeFrom="column">
                    <wp:posOffset>69850</wp:posOffset>
                  </wp:positionH>
                  <wp:positionV relativeFrom="paragraph">
                    <wp:posOffset>192405</wp:posOffset>
                  </wp:positionV>
                  <wp:extent cx="1386840" cy="516255"/>
                  <wp:effectExtent l="0" t="0" r="3810" b="17145"/>
                  <wp:wrapNone/>
                  <wp:docPr id="83" name="image39"/>
                  <wp:cNvGraphicFramePr/>
                  <a:graphic xmlns:a="http://schemas.openxmlformats.org/drawingml/2006/main">
                    <a:graphicData uri="http://schemas.openxmlformats.org/drawingml/2006/picture">
                      <pic:pic xmlns:pic="http://schemas.openxmlformats.org/drawingml/2006/picture">
                        <pic:nvPicPr>
                          <pic:cNvPr id="83" name="image39"/>
                          <pic:cNvPicPr/>
                        </pic:nvPicPr>
                        <pic:blipFill>
                          <a:blip r:embed="rId46"/>
                          <a:stretch>
                            <a:fillRect/>
                          </a:stretch>
                        </pic:blipFill>
                        <pic:spPr>
                          <a:xfrm>
                            <a:off x="0" y="0"/>
                            <a:ext cx="1386840" cy="5162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2979D">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规格：315*105*60cm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采用芬兰木厚度20mm，不含凳子。</w:t>
            </w:r>
          </w:p>
        </w:tc>
      </w:tr>
      <w:tr w14:paraId="26C9CF17">
        <w:tblPrEx>
          <w:tblCellMar>
            <w:top w:w="0" w:type="dxa"/>
            <w:left w:w="108" w:type="dxa"/>
            <w:bottom w:w="0" w:type="dxa"/>
            <w:right w:w="108" w:type="dxa"/>
          </w:tblCellMar>
        </w:tblPrEx>
        <w:trPr>
          <w:trHeight w:val="18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1B8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C97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涂鸦桌椅组合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ACD9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C78E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047F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3056" behindDoc="0" locked="0" layoutInCell="1" allowOverlap="1">
                  <wp:simplePos x="0" y="0"/>
                  <wp:positionH relativeFrom="column">
                    <wp:posOffset>71755</wp:posOffset>
                  </wp:positionH>
                  <wp:positionV relativeFrom="paragraph">
                    <wp:posOffset>427990</wp:posOffset>
                  </wp:positionV>
                  <wp:extent cx="1254125" cy="675640"/>
                  <wp:effectExtent l="0" t="0" r="3175" b="10160"/>
                  <wp:wrapNone/>
                  <wp:docPr id="86" name="image38"/>
                  <wp:cNvGraphicFramePr/>
                  <a:graphic xmlns:a="http://schemas.openxmlformats.org/drawingml/2006/main">
                    <a:graphicData uri="http://schemas.openxmlformats.org/drawingml/2006/picture">
                      <pic:pic xmlns:pic="http://schemas.openxmlformats.org/drawingml/2006/picture">
                        <pic:nvPicPr>
                          <pic:cNvPr id="86" name="image38"/>
                          <pic:cNvPicPr/>
                        </pic:nvPicPr>
                        <pic:blipFill>
                          <a:blip r:embed="rId47"/>
                          <a:stretch>
                            <a:fillRect/>
                          </a:stretch>
                        </pic:blipFill>
                        <pic:spPr>
                          <a:xfrm>
                            <a:off x="0" y="0"/>
                            <a:ext cx="1254125" cy="67564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6ECBD">
            <w:pPr>
              <w:widowControl/>
              <w:numPr>
                <w:ilvl w:val="0"/>
                <w:numId w:val="0"/>
              </w:numPr>
              <w:shd w:val="clear"/>
              <w:ind w:left="180" w:leftChars="0" w:hanging="180" w:hangingChars="100"/>
              <w:jc w:val="left"/>
              <w:textAlignment w:val="center"/>
              <w:rPr>
                <w:rFonts w:hint="eastAsia" w:ascii="宋体" w:hAnsi="宋体" w:cs="宋体"/>
                <w:color w:val="auto"/>
                <w:kern w:val="0"/>
                <w:sz w:val="18"/>
                <w:szCs w:val="18"/>
                <w:highlight w:val="none"/>
                <w:lang w:bidi="ar"/>
              </w:rPr>
            </w:pPr>
            <w:r>
              <w:rPr>
                <w:rFonts w:hint="eastAsia" w:ascii="宋体" w:hAnsi="宋体" w:eastAsia="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桌120*120*54cm，1张/祖</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长椅70*30*27cm，2张/组</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单人座椅30*30*27cm，2张/组</w:t>
            </w:r>
          </w:p>
          <w:p w14:paraId="22D630EF">
            <w:pPr>
              <w:widowControl/>
              <w:numPr>
                <w:ilvl w:val="0"/>
                <w:numId w:val="0"/>
              </w:numPr>
              <w:shd w:val="clear"/>
              <w:ind w:left="180" w:leftChars="0" w:hanging="180" w:hangingChars="100"/>
              <w:jc w:val="left"/>
              <w:textAlignment w:val="center"/>
              <w:rPr>
                <w:rFonts w:ascii="宋体" w:hAnsi="宋体" w:cs="宋体"/>
                <w:color w:val="auto"/>
                <w:sz w:val="18"/>
                <w:szCs w:val="18"/>
                <w:highlight w:val="none"/>
              </w:rPr>
            </w:pPr>
            <w:r>
              <w:rPr>
                <w:rFonts w:ascii="宋体" w:hAnsi="宋体" w:eastAsia="宋体" w:cs="宋体"/>
                <w:color w:val="auto"/>
                <w:kern w:val="2"/>
                <w:sz w:val="18"/>
                <w:szCs w:val="18"/>
                <w:highlight w:val="none"/>
                <w:lang w:val="en-US" w:eastAsia="zh-CN" w:bidi="ar-SA"/>
              </w:rPr>
              <w:t>2.</w:t>
            </w:r>
            <w:r>
              <w:rPr>
                <w:rFonts w:hint="eastAsia" w:ascii="宋体" w:hAnsi="宋体" w:cs="宋体"/>
                <w:color w:val="auto"/>
                <w:kern w:val="0"/>
                <w:sz w:val="18"/>
                <w:szCs w:val="18"/>
                <w:highlight w:val="none"/>
                <w:lang w:bidi="ar"/>
              </w:rPr>
              <w:t>采用芬兰木，厚度20mm,经过高温杀菌处理制作。油漆采用户外环保木油经过2次底漆2次面漆制作而成。</w:t>
            </w:r>
          </w:p>
        </w:tc>
      </w:tr>
      <w:tr w14:paraId="4BCE867E">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496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92D7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收纳组合架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1D1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EA81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864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4080" behindDoc="0" locked="0" layoutInCell="1" allowOverlap="1">
                  <wp:simplePos x="0" y="0"/>
                  <wp:positionH relativeFrom="column">
                    <wp:posOffset>142875</wp:posOffset>
                  </wp:positionH>
                  <wp:positionV relativeFrom="paragraph">
                    <wp:posOffset>37465</wp:posOffset>
                  </wp:positionV>
                  <wp:extent cx="1274445" cy="1120775"/>
                  <wp:effectExtent l="0" t="0" r="1905" b="3175"/>
                  <wp:wrapNone/>
                  <wp:docPr id="87" name="image36"/>
                  <wp:cNvGraphicFramePr/>
                  <a:graphic xmlns:a="http://schemas.openxmlformats.org/drawingml/2006/main">
                    <a:graphicData uri="http://schemas.openxmlformats.org/drawingml/2006/picture">
                      <pic:pic xmlns:pic="http://schemas.openxmlformats.org/drawingml/2006/picture">
                        <pic:nvPicPr>
                          <pic:cNvPr id="87" name="image36"/>
                          <pic:cNvPicPr/>
                        </pic:nvPicPr>
                        <pic:blipFill>
                          <a:blip r:embed="rId48"/>
                          <a:stretch>
                            <a:fillRect/>
                          </a:stretch>
                        </pic:blipFill>
                        <pic:spPr>
                          <a:xfrm>
                            <a:off x="0" y="0"/>
                            <a:ext cx="1274445" cy="11207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80F79">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1"/>
                <w:rFonts w:hint="default"/>
                <w:color w:val="auto"/>
                <w:highlight w:val="none"/>
                <w:lang w:bidi="ar"/>
              </w:rPr>
              <w:t>240*40*150cm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采用芬兰木，经过高温杀菌处理制作。油漆采用户外环保木油经过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6567F3CD">
        <w:tblPrEx>
          <w:tblCellMar>
            <w:top w:w="0" w:type="dxa"/>
            <w:left w:w="108" w:type="dxa"/>
            <w:bottom w:w="0" w:type="dxa"/>
            <w:right w:w="108" w:type="dxa"/>
          </w:tblCellMar>
        </w:tblPrEx>
        <w:trPr>
          <w:trHeight w:val="251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145F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13B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收纳柜</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BA4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D74E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9A57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5104" behindDoc="0" locked="0" layoutInCell="1" allowOverlap="1">
                  <wp:simplePos x="0" y="0"/>
                  <wp:positionH relativeFrom="column">
                    <wp:posOffset>288290</wp:posOffset>
                  </wp:positionH>
                  <wp:positionV relativeFrom="paragraph">
                    <wp:posOffset>46355</wp:posOffset>
                  </wp:positionV>
                  <wp:extent cx="899160" cy="1516380"/>
                  <wp:effectExtent l="0" t="0" r="15240" b="7620"/>
                  <wp:wrapNone/>
                  <wp:docPr id="90" name="image37"/>
                  <wp:cNvGraphicFramePr/>
                  <a:graphic xmlns:a="http://schemas.openxmlformats.org/drawingml/2006/main">
                    <a:graphicData uri="http://schemas.openxmlformats.org/drawingml/2006/picture">
                      <pic:pic xmlns:pic="http://schemas.openxmlformats.org/drawingml/2006/picture">
                        <pic:nvPicPr>
                          <pic:cNvPr id="90" name="image37"/>
                          <pic:cNvPicPr/>
                        </pic:nvPicPr>
                        <pic:blipFill>
                          <a:blip r:embed="rId49"/>
                          <a:stretch>
                            <a:fillRect/>
                          </a:stretch>
                        </pic:blipFill>
                        <pic:spPr>
                          <a:xfrm>
                            <a:off x="0" y="0"/>
                            <a:ext cx="899160" cy="15163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BFAD5">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130*40*185cm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次面漆制作而成。3*5cn厚度2.omm镀锌钢管框架</w:t>
            </w:r>
            <w:r>
              <w:rPr>
                <w:rStyle w:val="61"/>
                <w:rFonts w:hint="default"/>
                <w:color w:val="auto"/>
                <w:highlight w:val="none"/>
                <w:lang w:bidi="ar"/>
              </w:rPr>
              <w:t>+</w:t>
            </w:r>
            <w:r>
              <w:rPr>
                <w:rStyle w:val="60"/>
                <w:rFonts w:hint="default"/>
                <w:color w:val="auto"/>
                <w:highlight w:val="none"/>
                <w:lang w:bidi="ar"/>
              </w:rPr>
              <w:t>门板为</w:t>
            </w:r>
            <w:r>
              <w:rPr>
                <w:rStyle w:val="61"/>
                <w:rFonts w:hint="default"/>
                <w:color w:val="auto"/>
                <w:highlight w:val="none"/>
                <w:lang w:bidi="ar"/>
              </w:rPr>
              <w:t>5mm</w:t>
            </w:r>
            <w:r>
              <w:rPr>
                <w:rStyle w:val="60"/>
                <w:rFonts w:hint="default"/>
                <w:color w:val="auto"/>
                <w:highlight w:val="none"/>
                <w:lang w:bidi="ar"/>
              </w:rPr>
              <w:t>厚的耐力板</w:t>
            </w:r>
            <w:r>
              <w:rPr>
                <w:rStyle w:val="60"/>
                <w:rFonts w:hint="eastAsia"/>
                <w:color w:val="auto"/>
                <w:highlight w:val="none"/>
                <w:lang w:eastAsia="zh-CN" w:bidi="ar"/>
              </w:rPr>
              <w:t>。</w:t>
            </w:r>
          </w:p>
        </w:tc>
      </w:tr>
      <w:tr w14:paraId="43BF6C92">
        <w:tblPrEx>
          <w:tblCellMar>
            <w:top w:w="0" w:type="dxa"/>
            <w:left w:w="108" w:type="dxa"/>
            <w:bottom w:w="0" w:type="dxa"/>
            <w:right w:w="108" w:type="dxa"/>
          </w:tblCellMar>
        </w:tblPrEx>
        <w:trPr>
          <w:trHeight w:val="22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9D8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C323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火车头涂鸦板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26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A7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E8A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6128" behindDoc="0" locked="0" layoutInCell="1" allowOverlap="1">
                  <wp:simplePos x="0" y="0"/>
                  <wp:positionH relativeFrom="column">
                    <wp:posOffset>352425</wp:posOffset>
                  </wp:positionH>
                  <wp:positionV relativeFrom="paragraph">
                    <wp:posOffset>47625</wp:posOffset>
                  </wp:positionV>
                  <wp:extent cx="1149985" cy="1301750"/>
                  <wp:effectExtent l="0" t="0" r="12065" b="12700"/>
                  <wp:wrapNone/>
                  <wp:docPr id="92" name="image44"/>
                  <wp:cNvGraphicFramePr/>
                  <a:graphic xmlns:a="http://schemas.openxmlformats.org/drawingml/2006/main">
                    <a:graphicData uri="http://schemas.openxmlformats.org/drawingml/2006/picture">
                      <pic:pic xmlns:pic="http://schemas.openxmlformats.org/drawingml/2006/picture">
                        <pic:nvPicPr>
                          <pic:cNvPr id="92" name="image44"/>
                          <pic:cNvPicPr/>
                        </pic:nvPicPr>
                        <pic:blipFill>
                          <a:blip r:embed="rId50"/>
                          <a:stretch>
                            <a:fillRect/>
                          </a:stretch>
                        </pic:blipFill>
                        <pic:spPr>
                          <a:xfrm>
                            <a:off x="0" y="0"/>
                            <a:ext cx="1149985" cy="130175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A90B9">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150*10*155cm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3*5cn厚度2.omm镀锌钢管框架</w:t>
            </w:r>
            <w:r>
              <w:rPr>
                <w:rStyle w:val="61"/>
                <w:rFonts w:hint="default"/>
                <w:color w:val="auto"/>
                <w:highlight w:val="none"/>
                <w:lang w:bidi="ar"/>
              </w:rPr>
              <w:t>+</w:t>
            </w:r>
            <w:r>
              <w:rPr>
                <w:rStyle w:val="60"/>
                <w:rFonts w:hint="default"/>
                <w:color w:val="auto"/>
                <w:highlight w:val="none"/>
                <w:lang w:bidi="ar"/>
              </w:rPr>
              <w:t>金属蜂窝板画板</w:t>
            </w:r>
            <w:r>
              <w:rPr>
                <w:rStyle w:val="60"/>
                <w:rFonts w:hint="eastAsia"/>
                <w:color w:val="auto"/>
                <w:highlight w:val="none"/>
                <w:lang w:eastAsia="zh-CN" w:bidi="ar"/>
              </w:rPr>
              <w:t>。</w:t>
            </w:r>
          </w:p>
        </w:tc>
      </w:tr>
      <w:tr w14:paraId="7E7D70FF">
        <w:tblPrEx>
          <w:tblCellMar>
            <w:top w:w="0" w:type="dxa"/>
            <w:left w:w="108" w:type="dxa"/>
            <w:bottom w:w="0" w:type="dxa"/>
            <w:right w:w="108" w:type="dxa"/>
          </w:tblCellMar>
        </w:tblPrEx>
        <w:trPr>
          <w:trHeight w:val="15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582B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B90B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车厢涂鸦板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C21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6C8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7BBA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7152" behindDoc="0" locked="0" layoutInCell="1" allowOverlap="1">
                  <wp:simplePos x="0" y="0"/>
                  <wp:positionH relativeFrom="column">
                    <wp:posOffset>73660</wp:posOffset>
                  </wp:positionH>
                  <wp:positionV relativeFrom="paragraph">
                    <wp:posOffset>191135</wp:posOffset>
                  </wp:positionV>
                  <wp:extent cx="1389380" cy="718185"/>
                  <wp:effectExtent l="0" t="0" r="1270" b="5715"/>
                  <wp:wrapNone/>
                  <wp:docPr id="93" name="image45"/>
                  <wp:cNvGraphicFramePr/>
                  <a:graphic xmlns:a="http://schemas.openxmlformats.org/drawingml/2006/main">
                    <a:graphicData uri="http://schemas.openxmlformats.org/drawingml/2006/picture">
                      <pic:pic xmlns:pic="http://schemas.openxmlformats.org/drawingml/2006/picture">
                        <pic:nvPicPr>
                          <pic:cNvPr id="93" name="image45"/>
                          <pic:cNvPicPr/>
                        </pic:nvPicPr>
                        <pic:blipFill>
                          <a:blip r:embed="rId51"/>
                          <a:stretch>
                            <a:fillRect/>
                          </a:stretch>
                        </pic:blipFill>
                        <pic:spPr>
                          <a:xfrm>
                            <a:off x="0" y="0"/>
                            <a:ext cx="1389380" cy="71818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CBD8">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120*10*140cm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3*5cn厚度2.omm镀锌钢管框架</w:t>
            </w:r>
            <w:r>
              <w:rPr>
                <w:rStyle w:val="61"/>
                <w:rFonts w:hint="default"/>
                <w:color w:val="auto"/>
                <w:highlight w:val="none"/>
                <w:lang w:bidi="ar"/>
              </w:rPr>
              <w:t>+</w:t>
            </w:r>
            <w:r>
              <w:rPr>
                <w:rStyle w:val="60"/>
                <w:rFonts w:hint="default"/>
                <w:color w:val="auto"/>
                <w:highlight w:val="none"/>
                <w:lang w:bidi="ar"/>
              </w:rPr>
              <w:t>金属蜂窝板画板</w:t>
            </w:r>
            <w:r>
              <w:rPr>
                <w:rStyle w:val="60"/>
                <w:rFonts w:hint="eastAsia"/>
                <w:color w:val="auto"/>
                <w:highlight w:val="none"/>
                <w:lang w:eastAsia="zh-CN" w:bidi="ar"/>
              </w:rPr>
              <w:t>。</w:t>
            </w:r>
          </w:p>
        </w:tc>
      </w:tr>
      <w:tr w14:paraId="504F05DF">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5B4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F08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户外涂鸦组合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F25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E2FD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D35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8176" behindDoc="0" locked="0" layoutInCell="1" allowOverlap="1">
                  <wp:simplePos x="0" y="0"/>
                  <wp:positionH relativeFrom="column">
                    <wp:posOffset>70485</wp:posOffset>
                  </wp:positionH>
                  <wp:positionV relativeFrom="paragraph">
                    <wp:posOffset>281305</wp:posOffset>
                  </wp:positionV>
                  <wp:extent cx="1247140" cy="1021715"/>
                  <wp:effectExtent l="0" t="0" r="10160" b="6985"/>
                  <wp:wrapNone/>
                  <wp:docPr id="97" name="image40"/>
                  <wp:cNvGraphicFramePr/>
                  <a:graphic xmlns:a="http://schemas.openxmlformats.org/drawingml/2006/main">
                    <a:graphicData uri="http://schemas.openxmlformats.org/drawingml/2006/picture">
                      <pic:pic xmlns:pic="http://schemas.openxmlformats.org/drawingml/2006/picture">
                        <pic:nvPicPr>
                          <pic:cNvPr id="97" name="image40"/>
                          <pic:cNvPicPr/>
                        </pic:nvPicPr>
                        <pic:blipFill>
                          <a:blip r:embed="rId52"/>
                          <a:stretch>
                            <a:fillRect/>
                          </a:stretch>
                        </pic:blipFill>
                        <pic:spPr>
                          <a:xfrm>
                            <a:off x="0" y="0"/>
                            <a:ext cx="1247140" cy="102171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1296">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360*50*110cm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0"/>
                <w:rFonts w:hint="eastAsia"/>
                <w:color w:val="auto"/>
                <w:highlight w:val="none"/>
                <w:lang w:eastAsia="zh-CN" w:bidi="ar"/>
              </w:rPr>
              <w:t>。</w:t>
            </w:r>
          </w:p>
        </w:tc>
      </w:tr>
      <w:tr w14:paraId="548BC638">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EAB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2E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冲洗画架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143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55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FCA1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9200" behindDoc="0" locked="0" layoutInCell="1" allowOverlap="1">
                  <wp:simplePos x="0" y="0"/>
                  <wp:positionH relativeFrom="column">
                    <wp:posOffset>71755</wp:posOffset>
                  </wp:positionH>
                  <wp:positionV relativeFrom="paragraph">
                    <wp:posOffset>205105</wp:posOffset>
                  </wp:positionV>
                  <wp:extent cx="1236345" cy="897890"/>
                  <wp:effectExtent l="0" t="0" r="1905" b="16510"/>
                  <wp:wrapNone/>
                  <wp:docPr id="99" name="image42"/>
                  <wp:cNvGraphicFramePr/>
                  <a:graphic xmlns:a="http://schemas.openxmlformats.org/drawingml/2006/main">
                    <a:graphicData uri="http://schemas.openxmlformats.org/drawingml/2006/picture">
                      <pic:pic xmlns:pic="http://schemas.openxmlformats.org/drawingml/2006/picture">
                        <pic:nvPicPr>
                          <pic:cNvPr id="99" name="image42"/>
                          <pic:cNvPicPr/>
                        </pic:nvPicPr>
                        <pic:blipFill>
                          <a:blip r:embed="rId53"/>
                          <a:stretch>
                            <a:fillRect/>
                          </a:stretch>
                        </pic:blipFill>
                        <pic:spPr>
                          <a:xfrm>
                            <a:off x="0" y="0"/>
                            <a:ext cx="1236345" cy="89789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472A">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100*55*110cm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eastAsia"/>
                <w:color w:val="auto"/>
                <w:highlight w:val="none"/>
                <w:lang w:eastAsia="zh-CN" w:bidi="ar"/>
              </w:rPr>
              <w:t>。</w:t>
            </w:r>
          </w:p>
        </w:tc>
      </w:tr>
      <w:tr w14:paraId="43BB76BD">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1C4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C44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收纳屋组合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CC3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BA3C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C821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0224" behindDoc="0" locked="0" layoutInCell="1" allowOverlap="1">
                  <wp:simplePos x="0" y="0"/>
                  <wp:positionH relativeFrom="column">
                    <wp:posOffset>73025</wp:posOffset>
                  </wp:positionH>
                  <wp:positionV relativeFrom="paragraph">
                    <wp:posOffset>313690</wp:posOffset>
                  </wp:positionV>
                  <wp:extent cx="1268095" cy="965200"/>
                  <wp:effectExtent l="0" t="0" r="8255" b="6350"/>
                  <wp:wrapNone/>
                  <wp:docPr id="110" name="image41"/>
                  <wp:cNvGraphicFramePr/>
                  <a:graphic xmlns:a="http://schemas.openxmlformats.org/drawingml/2006/main">
                    <a:graphicData uri="http://schemas.openxmlformats.org/drawingml/2006/picture">
                      <pic:pic xmlns:pic="http://schemas.openxmlformats.org/drawingml/2006/picture">
                        <pic:nvPicPr>
                          <pic:cNvPr id="110" name="image41"/>
                          <pic:cNvPicPr/>
                        </pic:nvPicPr>
                        <pic:blipFill>
                          <a:blip r:embed="rId54"/>
                          <a:stretch>
                            <a:fillRect/>
                          </a:stretch>
                        </pic:blipFill>
                        <pic:spPr>
                          <a:xfrm>
                            <a:off x="0" y="0"/>
                            <a:ext cx="1268095" cy="96520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917A">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575*80*185cm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default"/>
                <w:color w:val="auto"/>
                <w:highlight w:val="none"/>
                <w:lang w:bidi="ar"/>
              </w:rPr>
              <w:t>+</w:t>
            </w:r>
            <w:r>
              <w:rPr>
                <w:rStyle w:val="60"/>
                <w:rFonts w:hint="default"/>
                <w:color w:val="auto"/>
                <w:highlight w:val="none"/>
                <w:lang w:bidi="ar"/>
              </w:rPr>
              <w:t>顶部防水沥青瓦。</w:t>
            </w:r>
          </w:p>
        </w:tc>
      </w:tr>
      <w:tr w14:paraId="2B75A468">
        <w:tblPrEx>
          <w:tblCellMar>
            <w:top w:w="0" w:type="dxa"/>
            <w:left w:w="108" w:type="dxa"/>
            <w:bottom w:w="0" w:type="dxa"/>
            <w:right w:w="108" w:type="dxa"/>
          </w:tblCellMar>
        </w:tblPrEx>
        <w:trPr>
          <w:trHeight w:val="252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BFB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56F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种植架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574E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D072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13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1248" behindDoc="0" locked="0" layoutInCell="1" allowOverlap="1">
                  <wp:simplePos x="0" y="0"/>
                  <wp:positionH relativeFrom="column">
                    <wp:posOffset>533400</wp:posOffset>
                  </wp:positionH>
                  <wp:positionV relativeFrom="paragraph">
                    <wp:posOffset>26035</wp:posOffset>
                  </wp:positionV>
                  <wp:extent cx="790575" cy="1548130"/>
                  <wp:effectExtent l="0" t="0" r="9525" b="13970"/>
                  <wp:wrapNone/>
                  <wp:docPr id="112" name="image46"/>
                  <wp:cNvGraphicFramePr/>
                  <a:graphic xmlns:a="http://schemas.openxmlformats.org/drawingml/2006/main">
                    <a:graphicData uri="http://schemas.openxmlformats.org/drawingml/2006/picture">
                      <pic:pic xmlns:pic="http://schemas.openxmlformats.org/drawingml/2006/picture">
                        <pic:nvPicPr>
                          <pic:cNvPr id="112" name="image46"/>
                          <pic:cNvPicPr/>
                        </pic:nvPicPr>
                        <pic:blipFill>
                          <a:blip r:embed="rId55"/>
                          <a:stretch>
                            <a:fillRect/>
                          </a:stretch>
                        </pic:blipFill>
                        <pic:spPr>
                          <a:xfrm>
                            <a:off x="0" y="0"/>
                            <a:ext cx="790575" cy="15481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3B7D">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55*40*160cm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采用芬兰木，圆立柱直径8cm,经过高温杀菌处理制作。油漆采用户外环保木油经过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2AB0576C">
        <w:tblPrEx>
          <w:tblCellMar>
            <w:top w:w="0" w:type="dxa"/>
            <w:left w:w="108" w:type="dxa"/>
            <w:bottom w:w="0" w:type="dxa"/>
            <w:right w:w="108" w:type="dxa"/>
          </w:tblCellMar>
        </w:tblPrEx>
        <w:trPr>
          <w:trHeight w:val="188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DA6E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D08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自然门头组合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822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BD71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8A6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2272" behindDoc="0" locked="0" layoutInCell="1" allowOverlap="1">
                  <wp:simplePos x="0" y="0"/>
                  <wp:positionH relativeFrom="column">
                    <wp:posOffset>71755</wp:posOffset>
                  </wp:positionH>
                  <wp:positionV relativeFrom="paragraph">
                    <wp:posOffset>166370</wp:posOffset>
                  </wp:positionV>
                  <wp:extent cx="1374775" cy="925830"/>
                  <wp:effectExtent l="0" t="0" r="15875" b="7620"/>
                  <wp:wrapNone/>
                  <wp:docPr id="109" name="image43"/>
                  <wp:cNvGraphicFramePr/>
                  <a:graphic xmlns:a="http://schemas.openxmlformats.org/drawingml/2006/main">
                    <a:graphicData uri="http://schemas.openxmlformats.org/drawingml/2006/picture">
                      <pic:pic xmlns:pic="http://schemas.openxmlformats.org/drawingml/2006/picture">
                        <pic:nvPicPr>
                          <pic:cNvPr id="109" name="image43"/>
                          <pic:cNvPicPr/>
                        </pic:nvPicPr>
                        <pic:blipFill>
                          <a:blip r:embed="rId56"/>
                          <a:stretch>
                            <a:fillRect/>
                          </a:stretch>
                        </pic:blipFill>
                        <pic:spPr>
                          <a:xfrm>
                            <a:off x="0" y="0"/>
                            <a:ext cx="1374775" cy="9258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96CA">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规格：650*90*310cm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采用芬兰木，厚度20mm,经过高温杀菌处理制作。油漆采用户外环保木油经过2次底漆2次面漆制作而成。+仿真茅草顶宽度100cm，厚度3cm</w:t>
            </w:r>
            <w:r>
              <w:rPr>
                <w:rFonts w:hint="eastAsia" w:ascii="宋体" w:hAnsi="宋体" w:cs="宋体"/>
                <w:color w:val="auto"/>
                <w:kern w:val="0"/>
                <w:sz w:val="18"/>
                <w:szCs w:val="18"/>
                <w:highlight w:val="none"/>
                <w:lang w:eastAsia="zh-CN" w:bidi="ar"/>
              </w:rPr>
              <w:t>。</w:t>
            </w:r>
          </w:p>
        </w:tc>
      </w:tr>
      <w:tr w14:paraId="43F8F1F0">
        <w:tblPrEx>
          <w:tblCellMar>
            <w:top w:w="0" w:type="dxa"/>
            <w:left w:w="108" w:type="dxa"/>
            <w:bottom w:w="0" w:type="dxa"/>
            <w:right w:w="108" w:type="dxa"/>
          </w:tblCellMar>
        </w:tblPrEx>
        <w:trPr>
          <w:trHeight w:val="157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3F61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A1AC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围栏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F1D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F41B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FBF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3296" behindDoc="0" locked="0" layoutInCell="1" allowOverlap="1">
                  <wp:simplePos x="0" y="0"/>
                  <wp:positionH relativeFrom="column">
                    <wp:posOffset>70485</wp:posOffset>
                  </wp:positionH>
                  <wp:positionV relativeFrom="paragraph">
                    <wp:posOffset>193675</wp:posOffset>
                  </wp:positionV>
                  <wp:extent cx="1316990" cy="690880"/>
                  <wp:effectExtent l="0" t="0" r="16510" b="13970"/>
                  <wp:wrapNone/>
                  <wp:docPr id="98" name="image51"/>
                  <wp:cNvGraphicFramePr/>
                  <a:graphic xmlns:a="http://schemas.openxmlformats.org/drawingml/2006/main">
                    <a:graphicData uri="http://schemas.openxmlformats.org/drawingml/2006/picture">
                      <pic:pic xmlns:pic="http://schemas.openxmlformats.org/drawingml/2006/picture">
                        <pic:nvPicPr>
                          <pic:cNvPr id="98" name="image51"/>
                          <pic:cNvPicPr/>
                        </pic:nvPicPr>
                        <pic:blipFill>
                          <a:blip r:embed="rId57"/>
                          <a:stretch>
                            <a:fillRect/>
                          </a:stretch>
                        </pic:blipFill>
                        <pic:spPr>
                          <a:xfrm>
                            <a:off x="0" y="0"/>
                            <a:ext cx="1316990" cy="6908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261D">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高</w:t>
            </w:r>
            <w:r>
              <w:rPr>
                <w:rStyle w:val="61"/>
                <w:rFonts w:hint="default"/>
                <w:color w:val="auto"/>
                <w:highlight w:val="none"/>
                <w:lang w:bidi="ar"/>
              </w:rPr>
              <w:t>30-50cm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次面漆制作而成。护栏间距5cm</w:t>
            </w:r>
            <w:r>
              <w:rPr>
                <w:rStyle w:val="60"/>
                <w:rFonts w:hint="eastAsia"/>
                <w:color w:val="auto"/>
                <w:highlight w:val="none"/>
                <w:lang w:eastAsia="zh-CN" w:bidi="ar"/>
              </w:rPr>
              <w:t>。</w:t>
            </w:r>
          </w:p>
        </w:tc>
      </w:tr>
      <w:tr w14:paraId="5EDB0BA5">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A59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EAB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养殖房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4012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329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CCC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4320" behindDoc="0" locked="0" layoutInCell="1" allowOverlap="1">
                  <wp:simplePos x="0" y="0"/>
                  <wp:positionH relativeFrom="column">
                    <wp:posOffset>70485</wp:posOffset>
                  </wp:positionH>
                  <wp:positionV relativeFrom="paragraph">
                    <wp:posOffset>237490</wp:posOffset>
                  </wp:positionV>
                  <wp:extent cx="1316990" cy="1109980"/>
                  <wp:effectExtent l="0" t="0" r="16510" b="13970"/>
                  <wp:wrapNone/>
                  <wp:docPr id="107" name="image47"/>
                  <wp:cNvGraphicFramePr/>
                  <a:graphic xmlns:a="http://schemas.openxmlformats.org/drawingml/2006/main">
                    <a:graphicData uri="http://schemas.openxmlformats.org/drawingml/2006/picture">
                      <pic:pic xmlns:pic="http://schemas.openxmlformats.org/drawingml/2006/picture">
                        <pic:nvPicPr>
                          <pic:cNvPr id="107" name="image47"/>
                          <pic:cNvPicPr/>
                        </pic:nvPicPr>
                        <pic:blipFill>
                          <a:blip r:embed="rId58"/>
                          <a:stretch>
                            <a:fillRect/>
                          </a:stretch>
                        </pic:blipFill>
                        <pic:spPr>
                          <a:xfrm>
                            <a:off x="0" y="0"/>
                            <a:ext cx="1316990" cy="11099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9500">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320*180*240cm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次面漆制作而成。护栏间距5cm</w:t>
            </w:r>
            <w:r>
              <w:rPr>
                <w:rStyle w:val="60"/>
                <w:rFonts w:hint="eastAsia"/>
                <w:color w:val="auto"/>
                <w:highlight w:val="none"/>
                <w:lang w:eastAsia="zh-CN" w:bidi="ar"/>
              </w:rPr>
              <w:t>。</w:t>
            </w:r>
          </w:p>
        </w:tc>
      </w:tr>
      <w:tr w14:paraId="71D0A9B8">
        <w:tblPrEx>
          <w:tblCellMar>
            <w:top w:w="0" w:type="dxa"/>
            <w:left w:w="108" w:type="dxa"/>
            <w:bottom w:w="0" w:type="dxa"/>
            <w:right w:w="108" w:type="dxa"/>
          </w:tblCellMar>
        </w:tblPrEx>
        <w:trPr>
          <w:trHeight w:val="15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CAEE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4721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围栏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302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746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4AA5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5344" behindDoc="0" locked="0" layoutInCell="1" allowOverlap="1">
                  <wp:simplePos x="0" y="0"/>
                  <wp:positionH relativeFrom="column">
                    <wp:posOffset>71755</wp:posOffset>
                  </wp:positionH>
                  <wp:positionV relativeFrom="paragraph">
                    <wp:posOffset>257175</wp:posOffset>
                  </wp:positionV>
                  <wp:extent cx="1254125" cy="638175"/>
                  <wp:effectExtent l="0" t="0" r="3175" b="9525"/>
                  <wp:wrapNone/>
                  <wp:docPr id="104" name="image50"/>
                  <wp:cNvGraphicFramePr/>
                  <a:graphic xmlns:a="http://schemas.openxmlformats.org/drawingml/2006/main">
                    <a:graphicData uri="http://schemas.openxmlformats.org/drawingml/2006/picture">
                      <pic:pic xmlns:pic="http://schemas.openxmlformats.org/drawingml/2006/picture">
                        <pic:nvPicPr>
                          <pic:cNvPr id="104" name="image50"/>
                          <pic:cNvPicPr/>
                        </pic:nvPicPr>
                        <pic:blipFill>
                          <a:blip r:embed="rId59"/>
                          <a:stretch>
                            <a:fillRect/>
                          </a:stretch>
                        </pic:blipFill>
                        <pic:spPr>
                          <a:xfrm>
                            <a:off x="0" y="0"/>
                            <a:ext cx="1254125" cy="6381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7B04A">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高</w:t>
            </w:r>
            <w:r>
              <w:rPr>
                <w:rStyle w:val="61"/>
                <w:rFonts w:hint="default"/>
                <w:color w:val="auto"/>
                <w:highlight w:val="none"/>
                <w:lang w:bidi="ar"/>
              </w:rPr>
              <w:t>60cm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采用芬兰木，圆立柱直径8cm,经过高温杀菌处理制作。油漆采用户外环保木油经过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次面漆制作而成。护栏间距30cm</w:t>
            </w:r>
            <w:r>
              <w:rPr>
                <w:rStyle w:val="60"/>
                <w:rFonts w:hint="eastAsia"/>
                <w:color w:val="auto"/>
                <w:highlight w:val="none"/>
                <w:lang w:eastAsia="zh-CN" w:bidi="ar"/>
              </w:rPr>
              <w:t>。</w:t>
            </w:r>
          </w:p>
        </w:tc>
      </w:tr>
      <w:tr w14:paraId="3D0A7062">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2BA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E588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小木门</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4023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ABF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4E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6368" behindDoc="0" locked="0" layoutInCell="1" allowOverlap="1">
                  <wp:simplePos x="0" y="0"/>
                  <wp:positionH relativeFrom="column">
                    <wp:posOffset>577850</wp:posOffset>
                  </wp:positionH>
                  <wp:positionV relativeFrom="paragraph">
                    <wp:posOffset>133350</wp:posOffset>
                  </wp:positionV>
                  <wp:extent cx="701675" cy="929005"/>
                  <wp:effectExtent l="0" t="0" r="3175" b="4445"/>
                  <wp:wrapNone/>
                  <wp:docPr id="100" name="image52"/>
                  <wp:cNvGraphicFramePr/>
                  <a:graphic xmlns:a="http://schemas.openxmlformats.org/drawingml/2006/main">
                    <a:graphicData uri="http://schemas.openxmlformats.org/drawingml/2006/picture">
                      <pic:pic xmlns:pic="http://schemas.openxmlformats.org/drawingml/2006/picture">
                        <pic:nvPicPr>
                          <pic:cNvPr id="100" name="image52"/>
                          <pic:cNvPicPr/>
                        </pic:nvPicPr>
                        <pic:blipFill>
                          <a:blip r:embed="rId60"/>
                          <a:stretch>
                            <a:fillRect/>
                          </a:stretch>
                        </pic:blipFill>
                        <pic:spPr>
                          <a:xfrm>
                            <a:off x="0" y="0"/>
                            <a:ext cx="701675" cy="92900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2AD0">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80cm（宽）*6cm（厚）*120cm（高）cm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次面漆制作而成。门缝间隙3cm</w:t>
            </w:r>
            <w:r>
              <w:rPr>
                <w:rStyle w:val="60"/>
                <w:rFonts w:hint="eastAsia"/>
                <w:color w:val="auto"/>
                <w:highlight w:val="none"/>
                <w:lang w:eastAsia="zh-CN" w:bidi="ar"/>
              </w:rPr>
              <w:t>。</w:t>
            </w:r>
          </w:p>
        </w:tc>
      </w:tr>
      <w:tr w14:paraId="42FF99A2">
        <w:tblPrEx>
          <w:tblCellMar>
            <w:top w:w="0" w:type="dxa"/>
            <w:left w:w="108" w:type="dxa"/>
            <w:bottom w:w="0" w:type="dxa"/>
            <w:right w:w="108" w:type="dxa"/>
          </w:tblCellMar>
        </w:tblPrEx>
        <w:trPr>
          <w:trHeight w:val="27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35D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FC1B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养鸡房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9F26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8DDA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D794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7392" behindDoc="0" locked="0" layoutInCell="1" allowOverlap="1">
                  <wp:simplePos x="0" y="0"/>
                  <wp:positionH relativeFrom="column">
                    <wp:posOffset>52705</wp:posOffset>
                  </wp:positionH>
                  <wp:positionV relativeFrom="paragraph">
                    <wp:posOffset>375920</wp:posOffset>
                  </wp:positionV>
                  <wp:extent cx="1245235" cy="939165"/>
                  <wp:effectExtent l="0" t="0" r="12065" b="13335"/>
                  <wp:wrapNone/>
                  <wp:docPr id="106" name="image49"/>
                  <wp:cNvGraphicFramePr/>
                  <a:graphic xmlns:a="http://schemas.openxmlformats.org/drawingml/2006/main">
                    <a:graphicData uri="http://schemas.openxmlformats.org/drawingml/2006/picture">
                      <pic:pic xmlns:pic="http://schemas.openxmlformats.org/drawingml/2006/picture">
                        <pic:nvPicPr>
                          <pic:cNvPr id="106" name="image49"/>
                          <pic:cNvPicPr/>
                        </pic:nvPicPr>
                        <pic:blipFill>
                          <a:blip r:embed="rId61"/>
                          <a:stretch>
                            <a:fillRect/>
                          </a:stretch>
                        </pic:blipFill>
                        <pic:spPr>
                          <a:xfrm>
                            <a:off x="0" y="0"/>
                            <a:ext cx="1245235" cy="9391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2B7B">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230*200*125cm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主体材质芬兰木，厚度15mm,表面处理：进行压、刨、铣、冲等处理后，表面进行防腐、防蛀处理，后采用原子灰进行三次刮灰抹平，并打磨光滑，表面喷涂三次聚氨脂清漆。</w:t>
            </w:r>
            <w:r>
              <w:rPr>
                <w:rStyle w:val="61"/>
                <w:rFonts w:hint="default"/>
                <w:color w:val="auto"/>
                <w:highlight w:val="none"/>
                <w:lang w:bidi="ar"/>
              </w:rPr>
              <w:t>+</w:t>
            </w:r>
            <w:r>
              <w:rPr>
                <w:rStyle w:val="60"/>
                <w:rFonts w:hint="default"/>
                <w:color w:val="auto"/>
                <w:highlight w:val="none"/>
                <w:lang w:bidi="ar"/>
              </w:rPr>
              <w:t>钢丝围网跑笼。网格3*3cm</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136A10F0">
        <w:tblPrEx>
          <w:tblCellMar>
            <w:top w:w="0" w:type="dxa"/>
            <w:left w:w="108" w:type="dxa"/>
            <w:bottom w:w="0" w:type="dxa"/>
            <w:right w:w="108" w:type="dxa"/>
          </w:tblCellMar>
        </w:tblPrEx>
        <w:trPr>
          <w:trHeight w:val="2198"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877C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835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养鸡围栏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1069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F1E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99DB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8416" behindDoc="0" locked="0" layoutInCell="1" allowOverlap="1">
                  <wp:simplePos x="0" y="0"/>
                  <wp:positionH relativeFrom="column">
                    <wp:posOffset>70485</wp:posOffset>
                  </wp:positionH>
                  <wp:positionV relativeFrom="paragraph">
                    <wp:posOffset>273685</wp:posOffset>
                  </wp:positionV>
                  <wp:extent cx="1343025" cy="1028065"/>
                  <wp:effectExtent l="0" t="0" r="9525" b="635"/>
                  <wp:wrapNone/>
                  <wp:docPr id="103" name="image48"/>
                  <wp:cNvGraphicFramePr/>
                  <a:graphic xmlns:a="http://schemas.openxmlformats.org/drawingml/2006/main">
                    <a:graphicData uri="http://schemas.openxmlformats.org/drawingml/2006/picture">
                      <pic:pic xmlns:pic="http://schemas.openxmlformats.org/drawingml/2006/picture">
                        <pic:nvPicPr>
                          <pic:cNvPr id="103" name="image48"/>
                          <pic:cNvPicPr/>
                        </pic:nvPicPr>
                        <pic:blipFill>
                          <a:blip r:embed="rId62"/>
                          <a:stretch>
                            <a:fillRect/>
                          </a:stretch>
                        </pic:blipFill>
                        <pic:spPr>
                          <a:xfrm>
                            <a:off x="0" y="0"/>
                            <a:ext cx="1343025" cy="10280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90EC3">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高</w:t>
            </w:r>
            <w:r>
              <w:rPr>
                <w:rStyle w:val="61"/>
                <w:rFonts w:hint="default"/>
                <w:color w:val="auto"/>
                <w:highlight w:val="none"/>
                <w:lang w:bidi="ar"/>
              </w:rPr>
              <w:t>100cm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立柱采用芬兰木，立柱5*7cm,经过高温杀菌处理制作。油漆采用户外环保木油经过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default"/>
                <w:color w:val="auto"/>
                <w:highlight w:val="none"/>
                <w:lang w:bidi="ar"/>
              </w:rPr>
              <w:t>+</w:t>
            </w:r>
            <w:r>
              <w:rPr>
                <w:rStyle w:val="60"/>
                <w:rFonts w:hint="default"/>
                <w:color w:val="auto"/>
                <w:highlight w:val="none"/>
                <w:lang w:bidi="ar"/>
              </w:rPr>
              <w:t>钢丝围网。网格3*3cm</w:t>
            </w:r>
            <w:r>
              <w:rPr>
                <w:rStyle w:val="60"/>
                <w:rFonts w:hint="eastAsia"/>
                <w:color w:val="auto"/>
                <w:highlight w:val="none"/>
                <w:lang w:eastAsia="zh-CN" w:bidi="ar"/>
              </w:rPr>
              <w:t>。</w:t>
            </w:r>
          </w:p>
        </w:tc>
      </w:tr>
      <w:tr w14:paraId="191A7987">
        <w:tblPrEx>
          <w:tblCellMar>
            <w:top w:w="0" w:type="dxa"/>
            <w:left w:w="108" w:type="dxa"/>
            <w:bottom w:w="0" w:type="dxa"/>
            <w:right w:w="108" w:type="dxa"/>
          </w:tblCellMar>
        </w:tblPrEx>
        <w:trPr>
          <w:trHeight w:val="25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746C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F429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兔子房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0AC8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7E97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512D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9440" behindDoc="0" locked="0" layoutInCell="1" allowOverlap="1">
                  <wp:simplePos x="0" y="0"/>
                  <wp:positionH relativeFrom="column">
                    <wp:posOffset>114300</wp:posOffset>
                  </wp:positionH>
                  <wp:positionV relativeFrom="paragraph">
                    <wp:posOffset>501015</wp:posOffset>
                  </wp:positionV>
                  <wp:extent cx="1238250" cy="699770"/>
                  <wp:effectExtent l="0" t="0" r="0" b="5080"/>
                  <wp:wrapNone/>
                  <wp:docPr id="111" name="image55"/>
                  <wp:cNvGraphicFramePr/>
                  <a:graphic xmlns:a="http://schemas.openxmlformats.org/drawingml/2006/main">
                    <a:graphicData uri="http://schemas.openxmlformats.org/drawingml/2006/picture">
                      <pic:pic xmlns:pic="http://schemas.openxmlformats.org/drawingml/2006/picture">
                        <pic:nvPicPr>
                          <pic:cNvPr id="111" name="image55"/>
                          <pic:cNvPicPr/>
                        </pic:nvPicPr>
                        <pic:blipFill>
                          <a:blip r:embed="rId63"/>
                          <a:stretch>
                            <a:fillRect/>
                          </a:stretch>
                        </pic:blipFill>
                        <pic:spPr>
                          <a:xfrm>
                            <a:off x="0" y="0"/>
                            <a:ext cx="1238250" cy="69977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57AFD">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450*210*200cm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主体材质芬兰木，厚度15mm表面处理：进行压、刨、铣、冲等处理后，表面进行防腐、防蛀处理，后采用原子灰进行三次刮灰抹平，并打磨光滑，表面喷涂三次聚氨脂清漆。</w:t>
            </w:r>
            <w:r>
              <w:rPr>
                <w:rStyle w:val="61"/>
                <w:rFonts w:hint="default"/>
                <w:color w:val="auto"/>
                <w:highlight w:val="none"/>
                <w:lang w:bidi="ar"/>
              </w:rPr>
              <w:t>+</w:t>
            </w:r>
            <w:r>
              <w:rPr>
                <w:rStyle w:val="60"/>
                <w:rFonts w:hint="default"/>
                <w:color w:val="auto"/>
                <w:highlight w:val="none"/>
                <w:lang w:bidi="ar"/>
              </w:rPr>
              <w:t>钢丝围网跑笼。网格3*3cm</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5F568B2E">
        <w:tblPrEx>
          <w:tblCellMar>
            <w:top w:w="0" w:type="dxa"/>
            <w:left w:w="108" w:type="dxa"/>
            <w:bottom w:w="0" w:type="dxa"/>
            <w:right w:w="108" w:type="dxa"/>
          </w:tblCellMar>
        </w:tblPrEx>
        <w:trPr>
          <w:trHeight w:val="26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B26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8829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松鼠房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F60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6C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8C9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0464" behindDoc="0" locked="0" layoutInCell="1" allowOverlap="1">
                  <wp:simplePos x="0" y="0"/>
                  <wp:positionH relativeFrom="column">
                    <wp:posOffset>130175</wp:posOffset>
                  </wp:positionH>
                  <wp:positionV relativeFrom="paragraph">
                    <wp:posOffset>372110</wp:posOffset>
                  </wp:positionV>
                  <wp:extent cx="1245235" cy="719455"/>
                  <wp:effectExtent l="0" t="0" r="12065" b="4445"/>
                  <wp:wrapNone/>
                  <wp:docPr id="108" name="image54"/>
                  <wp:cNvGraphicFramePr/>
                  <a:graphic xmlns:a="http://schemas.openxmlformats.org/drawingml/2006/main">
                    <a:graphicData uri="http://schemas.openxmlformats.org/drawingml/2006/picture">
                      <pic:pic xmlns:pic="http://schemas.openxmlformats.org/drawingml/2006/picture">
                        <pic:nvPicPr>
                          <pic:cNvPr id="108" name="image54"/>
                          <pic:cNvPicPr/>
                        </pic:nvPicPr>
                        <pic:blipFill>
                          <a:blip r:embed="rId64"/>
                          <a:stretch>
                            <a:fillRect/>
                          </a:stretch>
                        </pic:blipFill>
                        <pic:spPr>
                          <a:xfrm>
                            <a:off x="0" y="0"/>
                            <a:ext cx="1245235" cy="7194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D3E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600*650*150cm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主体材质芬兰木，厚度15mm,表面处理：进行压、刨、铣、冲等处理后，表面进行防腐、防蛀处理，后采用原子灰进行三次刮灰抹平，并打磨光滑，表面喷涂三次聚氨脂清漆。</w:t>
            </w:r>
            <w:r>
              <w:rPr>
                <w:rStyle w:val="61"/>
                <w:rFonts w:hint="default"/>
                <w:color w:val="auto"/>
                <w:highlight w:val="none"/>
                <w:lang w:bidi="ar"/>
              </w:rPr>
              <w:t>+</w:t>
            </w:r>
            <w:r>
              <w:rPr>
                <w:rStyle w:val="60"/>
                <w:rFonts w:hint="default"/>
                <w:color w:val="auto"/>
                <w:highlight w:val="none"/>
                <w:lang w:bidi="ar"/>
              </w:rPr>
              <w:t>钢丝围网跑笼。网格2*2cm</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73B5D165">
        <w:tblPrEx>
          <w:tblCellMar>
            <w:top w:w="0" w:type="dxa"/>
            <w:left w:w="108" w:type="dxa"/>
            <w:bottom w:w="0" w:type="dxa"/>
            <w:right w:w="108" w:type="dxa"/>
          </w:tblCellMar>
        </w:tblPrEx>
        <w:trPr>
          <w:trHeight w:val="297"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0DD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C137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沙水区主体定制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0E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210</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369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F575">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14CE9">
            <w:pPr>
              <w:widowControl/>
              <w:shd w:val="clear"/>
              <w:jc w:val="left"/>
              <w:textAlignment w:val="center"/>
              <w:rPr>
                <w:rStyle w:val="60"/>
                <w:rFonts w:hint="default"/>
                <w:color w:val="auto"/>
                <w:highlight w:val="none"/>
                <w:lang w:bidi="ar"/>
              </w:rPr>
            </w:pPr>
            <w:r>
              <w:rPr>
                <w:rStyle w:val="60"/>
                <w:rFonts w:hint="default"/>
                <w:color w:val="auto"/>
                <w:highlight w:val="none"/>
                <w:lang w:bidi="ar"/>
              </w:rPr>
              <w:t>1、清除原来混泥土基层，</w:t>
            </w:r>
            <w:r>
              <w:rPr>
                <w:rStyle w:val="61"/>
                <w:rFonts w:hint="default"/>
                <w:color w:val="auto"/>
                <w:highlight w:val="none"/>
                <w:lang w:bidi="ar"/>
              </w:rPr>
              <w:t xml:space="preserve"> </w:t>
            </w:r>
            <w:r>
              <w:rPr>
                <w:rStyle w:val="60"/>
                <w:rFonts w:hint="default"/>
                <w:color w:val="auto"/>
                <w:highlight w:val="none"/>
                <w:lang w:bidi="ar"/>
              </w:rPr>
              <w:t>垃圾外运距离12千米；</w:t>
            </w:r>
          </w:p>
          <w:p w14:paraId="18286972">
            <w:pPr>
              <w:widowControl/>
              <w:shd w:val="clear"/>
              <w:jc w:val="left"/>
              <w:textAlignment w:val="center"/>
              <w:rPr>
                <w:rStyle w:val="60"/>
                <w:rFonts w:hint="default"/>
                <w:color w:val="auto"/>
                <w:highlight w:val="none"/>
                <w:lang w:bidi="ar"/>
              </w:rPr>
            </w:pPr>
            <w:r>
              <w:rPr>
                <w:rStyle w:val="61"/>
                <w:rFonts w:hint="default"/>
                <w:color w:val="auto"/>
                <w:highlight w:val="none"/>
                <w:lang w:bidi="ar"/>
              </w:rPr>
              <w:t>2</w:t>
            </w:r>
            <w:r>
              <w:rPr>
                <w:rStyle w:val="60"/>
                <w:rFonts w:hint="default"/>
                <w:color w:val="auto"/>
                <w:highlight w:val="none"/>
                <w:lang w:bidi="ar"/>
              </w:rPr>
              <w:t>、砖规格24*12*5cm砌砖墙围边，水泥砂浆抹光；</w:t>
            </w:r>
          </w:p>
          <w:p w14:paraId="148DF0EF">
            <w:pPr>
              <w:widowControl/>
              <w:shd w:val="clear"/>
              <w:jc w:val="left"/>
              <w:textAlignment w:val="center"/>
              <w:rPr>
                <w:rStyle w:val="60"/>
                <w:rFonts w:hint="default"/>
                <w:color w:val="auto"/>
                <w:highlight w:val="none"/>
                <w:lang w:bidi="ar"/>
              </w:rPr>
            </w:pPr>
            <w:r>
              <w:rPr>
                <w:rStyle w:val="61"/>
                <w:rFonts w:hint="default"/>
                <w:color w:val="auto"/>
                <w:highlight w:val="none"/>
                <w:lang w:bidi="ar"/>
              </w:rPr>
              <w:t>3</w:t>
            </w:r>
            <w:r>
              <w:rPr>
                <w:rStyle w:val="60"/>
                <w:rFonts w:hint="default"/>
                <w:color w:val="auto"/>
                <w:highlight w:val="none"/>
                <w:lang w:bidi="ar"/>
              </w:rPr>
              <w:t>、给排水管溢水管铺设；</w:t>
            </w:r>
          </w:p>
          <w:p w14:paraId="38319ADD">
            <w:pPr>
              <w:widowControl/>
              <w:shd w:val="clear"/>
              <w:jc w:val="left"/>
              <w:textAlignment w:val="center"/>
              <w:rPr>
                <w:rStyle w:val="60"/>
                <w:rFonts w:hint="default"/>
                <w:color w:val="auto"/>
                <w:highlight w:val="none"/>
                <w:lang w:bidi="ar"/>
              </w:rPr>
            </w:pPr>
            <w:r>
              <w:rPr>
                <w:rStyle w:val="61"/>
                <w:rFonts w:hint="default"/>
                <w:color w:val="auto"/>
                <w:highlight w:val="none"/>
                <w:lang w:bidi="ar"/>
              </w:rPr>
              <w:t>4</w:t>
            </w:r>
            <w:r>
              <w:rPr>
                <w:rStyle w:val="60"/>
                <w:rFonts w:hint="default"/>
                <w:color w:val="auto"/>
                <w:highlight w:val="none"/>
                <w:lang w:bidi="ar"/>
              </w:rPr>
              <w:t>、</w:t>
            </w:r>
            <w:r>
              <w:rPr>
                <w:rStyle w:val="61"/>
                <w:rFonts w:hint="default"/>
                <w:color w:val="auto"/>
                <w:highlight w:val="none"/>
                <w:lang w:bidi="ar"/>
              </w:rPr>
              <w:t>200</w:t>
            </w:r>
            <w:r>
              <w:rPr>
                <w:rStyle w:val="60"/>
                <w:rFonts w:hint="default"/>
                <w:color w:val="auto"/>
                <w:highlight w:val="none"/>
                <w:lang w:bidi="ar"/>
              </w:rPr>
              <w:t>厚</w:t>
            </w:r>
            <w:r>
              <w:rPr>
                <w:rStyle w:val="61"/>
                <w:rFonts w:hint="default"/>
                <w:color w:val="auto"/>
                <w:highlight w:val="none"/>
                <w:lang w:bidi="ar"/>
              </w:rPr>
              <w:t>30~40</w:t>
            </w:r>
            <w:r>
              <w:rPr>
                <w:rStyle w:val="60"/>
                <w:rFonts w:hint="default"/>
                <w:color w:val="auto"/>
                <w:highlight w:val="none"/>
                <w:lang w:bidi="ar"/>
              </w:rPr>
              <w:t>碎石满铺。内置</w:t>
            </w:r>
            <w:r>
              <w:rPr>
                <w:rStyle w:val="61"/>
                <w:rFonts w:hint="default"/>
                <w:color w:val="auto"/>
                <w:highlight w:val="none"/>
                <w:lang w:bidi="ar"/>
              </w:rPr>
              <w:t>Ф110</w:t>
            </w:r>
            <w:r>
              <w:rPr>
                <w:rStyle w:val="60"/>
                <w:rFonts w:hint="default"/>
                <w:color w:val="auto"/>
                <w:highlight w:val="none"/>
                <w:lang w:bidi="ar"/>
              </w:rPr>
              <w:t>透水管</w:t>
            </w:r>
            <w:r>
              <w:rPr>
                <w:rStyle w:val="61"/>
                <w:rFonts w:hint="default"/>
                <w:color w:val="auto"/>
                <w:highlight w:val="none"/>
                <w:lang w:bidi="ar"/>
              </w:rPr>
              <w:t>@200CM</w:t>
            </w:r>
            <w:r>
              <w:rPr>
                <w:rStyle w:val="60"/>
                <w:rFonts w:hint="default"/>
                <w:color w:val="auto"/>
                <w:highlight w:val="none"/>
                <w:lang w:bidi="ar"/>
              </w:rPr>
              <w:t>；</w:t>
            </w:r>
          </w:p>
          <w:p w14:paraId="3B76CB7E">
            <w:pPr>
              <w:widowControl/>
              <w:shd w:val="clear"/>
              <w:jc w:val="left"/>
              <w:textAlignment w:val="center"/>
              <w:rPr>
                <w:rStyle w:val="60"/>
                <w:rFonts w:hint="default"/>
                <w:color w:val="auto"/>
                <w:highlight w:val="none"/>
                <w:lang w:bidi="ar"/>
              </w:rPr>
            </w:pPr>
            <w:r>
              <w:rPr>
                <w:rStyle w:val="61"/>
                <w:rFonts w:hint="default"/>
                <w:color w:val="auto"/>
                <w:highlight w:val="none"/>
                <w:lang w:bidi="ar"/>
              </w:rPr>
              <w:t>5</w:t>
            </w:r>
            <w:r>
              <w:rPr>
                <w:rStyle w:val="60"/>
                <w:rFonts w:hint="default"/>
                <w:color w:val="auto"/>
                <w:highlight w:val="none"/>
                <w:lang w:bidi="ar"/>
              </w:rPr>
              <w:t>、</w:t>
            </w:r>
            <w:r>
              <w:rPr>
                <w:rStyle w:val="61"/>
                <w:rFonts w:hint="default"/>
                <w:color w:val="auto"/>
                <w:highlight w:val="none"/>
                <w:lang w:bidi="ar"/>
              </w:rPr>
              <w:t>3~8</w:t>
            </w:r>
            <w:r>
              <w:rPr>
                <w:rStyle w:val="60"/>
                <w:rFonts w:hint="default"/>
                <w:color w:val="auto"/>
                <w:highlight w:val="none"/>
                <w:lang w:bidi="ar"/>
              </w:rPr>
              <w:t>鹅卵石铺设厚度6cm；</w:t>
            </w:r>
          </w:p>
          <w:p w14:paraId="57D9E310">
            <w:pPr>
              <w:widowControl/>
              <w:shd w:val="clear"/>
              <w:jc w:val="left"/>
              <w:textAlignment w:val="center"/>
              <w:rPr>
                <w:rStyle w:val="60"/>
                <w:rFonts w:hint="default"/>
                <w:color w:val="auto"/>
                <w:highlight w:val="none"/>
                <w:lang w:bidi="ar"/>
              </w:rPr>
            </w:pPr>
            <w:r>
              <w:rPr>
                <w:rFonts w:hint="eastAsia" w:ascii="宋体" w:hAnsi="宋体" w:cs="宋体"/>
                <w:color w:val="auto"/>
                <w:sz w:val="18"/>
                <w:szCs w:val="18"/>
                <w:highlight w:val="none"/>
                <w:lang w:bidi="ar"/>
              </w:rPr>
              <w:t>6、</w:t>
            </w:r>
            <w:r>
              <w:rPr>
                <w:rStyle w:val="60"/>
                <w:rFonts w:hint="default"/>
                <w:color w:val="auto"/>
                <w:highlight w:val="none"/>
                <w:lang w:bidi="ar"/>
              </w:rPr>
              <w:t>透</w:t>
            </w:r>
            <w:r>
              <w:rPr>
                <w:rStyle w:val="61"/>
                <w:rFonts w:hint="default"/>
                <w:color w:val="auto"/>
                <w:highlight w:val="none"/>
                <w:lang w:bidi="ar"/>
              </w:rPr>
              <w:t xml:space="preserve">  </w:t>
            </w:r>
            <w:r>
              <w:rPr>
                <w:rStyle w:val="60"/>
                <w:rFonts w:hint="default"/>
                <w:color w:val="auto"/>
                <w:highlight w:val="none"/>
                <w:lang w:bidi="ar"/>
              </w:rPr>
              <w:t>水布一道；</w:t>
            </w:r>
          </w:p>
          <w:p w14:paraId="44EF549C">
            <w:pPr>
              <w:widowControl/>
              <w:shd w:val="clear"/>
              <w:jc w:val="left"/>
              <w:textAlignment w:val="center"/>
              <w:rPr>
                <w:rFonts w:ascii="宋体" w:hAnsi="宋体" w:cs="宋体"/>
                <w:color w:val="auto"/>
                <w:sz w:val="18"/>
                <w:szCs w:val="18"/>
                <w:highlight w:val="none"/>
              </w:rPr>
            </w:pPr>
            <w:r>
              <w:rPr>
                <w:rFonts w:hint="eastAsia" w:ascii="宋体" w:hAnsi="宋体" w:cs="宋体"/>
                <w:color w:val="auto"/>
                <w:sz w:val="18"/>
                <w:szCs w:val="18"/>
                <w:highlight w:val="none"/>
              </w:rPr>
              <w:t>7、</w:t>
            </w:r>
            <w:r>
              <w:rPr>
                <w:rStyle w:val="60"/>
                <w:rFonts w:hint="default"/>
                <w:color w:val="auto"/>
                <w:highlight w:val="none"/>
                <w:lang w:bidi="ar"/>
              </w:rPr>
              <w:t>选择干净河沙铺</w:t>
            </w:r>
            <w:r>
              <w:rPr>
                <w:rStyle w:val="61"/>
                <w:rFonts w:hint="default"/>
                <w:color w:val="auto"/>
                <w:highlight w:val="none"/>
                <w:lang w:bidi="ar"/>
              </w:rPr>
              <w:t>300MM</w:t>
            </w:r>
            <w:r>
              <w:rPr>
                <w:rStyle w:val="60"/>
                <w:rFonts w:hint="default"/>
                <w:color w:val="auto"/>
                <w:highlight w:val="none"/>
                <w:lang w:bidi="ar"/>
              </w:rPr>
              <w:t>厚。</w:t>
            </w:r>
          </w:p>
        </w:tc>
      </w:tr>
      <w:tr w14:paraId="65037A12">
        <w:tblPrEx>
          <w:tblCellMar>
            <w:top w:w="0" w:type="dxa"/>
            <w:left w:w="108" w:type="dxa"/>
            <w:bottom w:w="0" w:type="dxa"/>
            <w:right w:w="108" w:type="dxa"/>
          </w:tblCellMar>
        </w:tblPrEx>
        <w:trPr>
          <w:trHeight w:val="10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318C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7295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种植园地</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ED1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9926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EBB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1488" behindDoc="0" locked="0" layoutInCell="1" allowOverlap="1">
                  <wp:simplePos x="0" y="0"/>
                  <wp:positionH relativeFrom="column">
                    <wp:posOffset>46990</wp:posOffset>
                  </wp:positionH>
                  <wp:positionV relativeFrom="paragraph">
                    <wp:posOffset>160655</wp:posOffset>
                  </wp:positionV>
                  <wp:extent cx="1332230" cy="340360"/>
                  <wp:effectExtent l="0" t="0" r="1270" b="2540"/>
                  <wp:wrapNone/>
                  <wp:docPr id="101" name="图片_2"/>
                  <wp:cNvGraphicFramePr/>
                  <a:graphic xmlns:a="http://schemas.openxmlformats.org/drawingml/2006/main">
                    <a:graphicData uri="http://schemas.openxmlformats.org/drawingml/2006/picture">
                      <pic:pic xmlns:pic="http://schemas.openxmlformats.org/drawingml/2006/picture">
                        <pic:nvPicPr>
                          <pic:cNvPr id="101" name="图片_2"/>
                          <pic:cNvPicPr/>
                        </pic:nvPicPr>
                        <pic:blipFill>
                          <a:blip r:embed="rId65"/>
                          <a:stretch>
                            <a:fillRect/>
                          </a:stretch>
                        </pic:blipFill>
                        <pic:spPr>
                          <a:xfrm>
                            <a:off x="0" y="0"/>
                            <a:ext cx="1332230" cy="3403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745F">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1.长方形规格：1800*300*15CM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（现场定制）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2.材质：芬兰木，鹅软石，水泥；</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3.种植围栏高0.25m、长度17.8m，浇灌系统，20cm种植土。</w:t>
            </w:r>
          </w:p>
        </w:tc>
      </w:tr>
      <w:tr w14:paraId="0AC6C81F">
        <w:tblPrEx>
          <w:tblCellMar>
            <w:top w:w="0" w:type="dxa"/>
            <w:left w:w="108" w:type="dxa"/>
            <w:bottom w:w="0" w:type="dxa"/>
            <w:right w:w="108" w:type="dxa"/>
          </w:tblCellMar>
        </w:tblPrEx>
        <w:trPr>
          <w:trHeight w:val="7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CE7F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4F5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马尼拉草坪</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D694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980</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23C9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75C8E">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15BB9">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混合草,养护时间一年。</w:t>
            </w:r>
          </w:p>
        </w:tc>
      </w:tr>
      <w:tr w14:paraId="2E9D7CF9">
        <w:tblPrEx>
          <w:tblCellMar>
            <w:top w:w="0" w:type="dxa"/>
            <w:left w:w="108" w:type="dxa"/>
            <w:bottom w:w="0" w:type="dxa"/>
            <w:right w:w="108" w:type="dxa"/>
          </w:tblCellMar>
        </w:tblPrEx>
        <w:trPr>
          <w:trHeight w:val="324"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E8C8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C06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悬浮地板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684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1807</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5CA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197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2512" behindDoc="0" locked="0" layoutInCell="1" allowOverlap="1">
                  <wp:simplePos x="0" y="0"/>
                  <wp:positionH relativeFrom="column">
                    <wp:posOffset>151765</wp:posOffset>
                  </wp:positionH>
                  <wp:positionV relativeFrom="paragraph">
                    <wp:posOffset>1043940</wp:posOffset>
                  </wp:positionV>
                  <wp:extent cx="1403985" cy="762000"/>
                  <wp:effectExtent l="0" t="0" r="5715" b="0"/>
                  <wp:wrapNone/>
                  <wp:docPr id="105" name="图片_56"/>
                  <wp:cNvGraphicFramePr/>
                  <a:graphic xmlns:a="http://schemas.openxmlformats.org/drawingml/2006/main">
                    <a:graphicData uri="http://schemas.openxmlformats.org/drawingml/2006/picture">
                      <pic:pic xmlns:pic="http://schemas.openxmlformats.org/drawingml/2006/picture">
                        <pic:nvPicPr>
                          <pic:cNvPr id="105" name="图片_56"/>
                          <pic:cNvPicPr/>
                        </pic:nvPicPr>
                        <pic:blipFill>
                          <a:blip r:embed="rId66"/>
                          <a:stretch>
                            <a:fillRect/>
                          </a:stretch>
                        </pic:blipFill>
                        <pic:spPr>
                          <a:xfrm>
                            <a:off x="0" y="0"/>
                            <a:ext cx="1403985" cy="76200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C344F">
            <w:pPr>
              <w:widowControl/>
              <w:shd w:val="clear"/>
              <w:jc w:val="left"/>
              <w:textAlignment w:val="center"/>
              <w:rPr>
                <w:rFonts w:hint="eastAsia" w:ascii="宋体" w:hAnsi="宋体" w:cs="宋体"/>
                <w:color w:val="auto"/>
                <w:kern w:val="0"/>
                <w:sz w:val="18"/>
                <w:szCs w:val="18"/>
                <w:highlight w:val="none"/>
                <w:lang w:eastAsia="zh-CN" w:bidi="ar"/>
              </w:rPr>
            </w:pPr>
            <w:r>
              <w:rPr>
                <w:rFonts w:hint="eastAsia" w:ascii="宋体" w:hAnsi="宋体" w:cs="宋体"/>
                <w:color w:val="auto"/>
                <w:kern w:val="0"/>
                <w:sz w:val="18"/>
                <w:szCs w:val="18"/>
                <w:highlight w:val="none"/>
                <w:lang w:bidi="ar"/>
              </w:rPr>
              <w:t>1、产品规格：248mm（±2mm）×248mm（±0.2mm）×15mm（±0.2mm），190g（±2g)</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2、食品级改性聚丙烯材质，100%原生料，无毒无味，绿色、安全，环保；</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3、磨砂纹理：不反光，不刺眼，色泽柔和，极大提供摩擦力，防滑效果更显著</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4、缓冲系统：由不少于32颗弹性垫组成且单颗弹性垫直径不低于16mm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5、安全系统：由不少于1个安全固定装置组成，中间可拆卸卡扣的长宽不低于34mm，可打膨胀螺丝固定于地面，防止悬浮地板移位。</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具体参数</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1、冲击吸收≥26%；</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2、垂直变形≤5mm；</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3、阻燃：I级；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4、篮球反弹率≥95；</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5、摩擦系数：0.5-0.7；</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6、滚动负荷：施加载荷1500N时，地板不应有裂纹、断裂、劈裂等损坏；</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7、高温试验（100℃，72h）:无融化、无龟裂、无明显色差；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8、低温试验（-50℃，72h）:无龟裂、无明显色差；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9、悬浮式拼装运动地板提供连续4年的灼热丝试验，结果均为合格</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10、悬浮地板安全卫士材料通过标准冻融循环检测，检测结果：无开裂、粉化</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11、悬浮式拼装运动地板低温（零下18℃）试验条件下4500h，依据GB36246-2018《中小学合成材料面层运动场地》相关要求，冲击吸收≥20%；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12、悬浮式拼装运动地板耐热水测试（30℃）试验条件下4500h，依据GB36246-2018《中小学合成材料面层运动场地》相关要求，断裂伸长率≥40%；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13、悬浮地板在-30℃-80℃高低温循环下经过1万小时，依据GB36246-2018《中小学合成材料面层运动场地》及GB/T 14833-2020《合成材料运动场地面层》相关要求，拉伸强度≥0.5MPa </w:t>
            </w:r>
            <w:r>
              <w:rPr>
                <w:rFonts w:hint="eastAsia" w:ascii="宋体" w:hAnsi="宋体" w:cs="宋体"/>
                <w:color w:val="auto"/>
                <w:kern w:val="0"/>
                <w:sz w:val="18"/>
                <w:szCs w:val="18"/>
                <w:highlight w:val="none"/>
                <w:lang w:eastAsia="zh-CN" w:bidi="ar"/>
              </w:rPr>
              <w:t>；</w:t>
            </w:r>
          </w:p>
          <w:p w14:paraId="1AAB893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14、悬浮地板在环境温度为70℃时在20KN的重力下经过1万次的反复压缩，依据GB36246-2018《中小学合成材料面层运动场地》相关要求，拉断伸长率≥45%。</w:t>
            </w:r>
          </w:p>
        </w:tc>
      </w:tr>
      <w:tr w14:paraId="4C602C89">
        <w:tblPrEx>
          <w:tblCellMar>
            <w:top w:w="0" w:type="dxa"/>
            <w:left w:w="108" w:type="dxa"/>
            <w:bottom w:w="0" w:type="dxa"/>
            <w:right w:w="108" w:type="dxa"/>
          </w:tblCellMar>
        </w:tblPrEx>
        <w:trPr>
          <w:trHeight w:val="15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9FBF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0BF9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护栏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855B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9912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7324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3536" behindDoc="0" locked="0" layoutInCell="1" allowOverlap="1">
                  <wp:simplePos x="0" y="0"/>
                  <wp:positionH relativeFrom="column">
                    <wp:posOffset>540385</wp:posOffset>
                  </wp:positionH>
                  <wp:positionV relativeFrom="paragraph">
                    <wp:posOffset>97155</wp:posOffset>
                  </wp:positionV>
                  <wp:extent cx="644525" cy="784860"/>
                  <wp:effectExtent l="0" t="0" r="3175" b="15240"/>
                  <wp:wrapNone/>
                  <wp:docPr id="102" name="image53"/>
                  <wp:cNvGraphicFramePr/>
                  <a:graphic xmlns:a="http://schemas.openxmlformats.org/drawingml/2006/main">
                    <a:graphicData uri="http://schemas.openxmlformats.org/drawingml/2006/picture">
                      <pic:pic xmlns:pic="http://schemas.openxmlformats.org/drawingml/2006/picture">
                        <pic:nvPicPr>
                          <pic:cNvPr id="102" name="image53"/>
                          <pic:cNvPicPr/>
                        </pic:nvPicPr>
                        <pic:blipFill>
                          <a:blip r:embed="rId67"/>
                          <a:stretch>
                            <a:fillRect/>
                          </a:stretch>
                        </pic:blipFill>
                        <pic:spPr>
                          <a:xfrm>
                            <a:off x="0" y="0"/>
                            <a:ext cx="644525" cy="7848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1BD7">
            <w:pPr>
              <w:widowControl/>
              <w:shd w:val="clear"/>
              <w:jc w:val="left"/>
              <w:textAlignment w:val="center"/>
              <w:rPr>
                <w:rFonts w:ascii="宋体" w:hAnsi="宋体" w:cs="宋体"/>
                <w:color w:val="auto"/>
                <w:sz w:val="18"/>
                <w:szCs w:val="18"/>
                <w:highlight w:val="none"/>
              </w:rPr>
            </w:pPr>
            <w:r>
              <w:rPr>
                <w:rStyle w:val="60"/>
                <w:rFonts w:hint="default"/>
                <w:color w:val="auto"/>
                <w:highlight w:val="none"/>
                <w:lang w:bidi="ar"/>
              </w:rPr>
              <w:t>采用芬兰木厚度15mm，护栏高度55cm,经过高温杀菌处理制作。油漆采用户外环保木油经过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57B75CCA">
        <w:tblPrEx>
          <w:tblCellMar>
            <w:top w:w="0" w:type="dxa"/>
            <w:left w:w="108" w:type="dxa"/>
            <w:bottom w:w="0" w:type="dxa"/>
            <w:right w:w="108" w:type="dxa"/>
          </w:tblCellMar>
        </w:tblPrEx>
        <w:trPr>
          <w:trHeight w:val="9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8DF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10A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透水砖小路</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BC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34.2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CADF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E900E">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6C50C">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bidi="ar"/>
              </w:rPr>
              <w:t>1.长方形规格：5700*60CM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2.材质：透水砖规格;20*10*5cm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3.混凝土基层厚度8cm，铺透水砖</w:t>
            </w:r>
            <w:r>
              <w:rPr>
                <w:rFonts w:hint="eastAsia" w:ascii="宋体" w:hAnsi="宋体" w:cs="宋体"/>
                <w:color w:val="auto"/>
                <w:kern w:val="0"/>
                <w:sz w:val="18"/>
                <w:szCs w:val="18"/>
                <w:highlight w:val="none"/>
                <w:lang w:eastAsia="zh-CN" w:bidi="ar"/>
              </w:rPr>
              <w:t>。</w:t>
            </w:r>
          </w:p>
        </w:tc>
      </w:tr>
    </w:tbl>
    <w:p w14:paraId="6B8BA683">
      <w:pPr>
        <w:shd w:val="clear"/>
        <w:spacing w:line="360" w:lineRule="auto"/>
        <w:rPr>
          <w:rFonts w:asciiTheme="minorEastAsia" w:hAnsiTheme="minorEastAsia" w:eastAsiaTheme="minorEastAsia"/>
          <w:color w:val="auto"/>
          <w:sz w:val="24"/>
          <w:highlight w:val="none"/>
        </w:rPr>
      </w:pPr>
    </w:p>
    <w:p w14:paraId="3EEFB712">
      <w:pPr>
        <w:shd w:val="clear"/>
        <w:spacing w:line="360" w:lineRule="auto"/>
        <w:rPr>
          <w:rFonts w:asciiTheme="minorEastAsia" w:hAnsiTheme="minorEastAsia" w:eastAsiaTheme="minorEastAsia"/>
          <w:color w:val="auto"/>
          <w:sz w:val="24"/>
          <w:highlight w:val="none"/>
        </w:rPr>
      </w:pPr>
    </w:p>
    <w:p w14:paraId="6511B87A">
      <w:pPr>
        <w:shd w:val="clea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注</w:t>
      </w:r>
      <w:r>
        <w:rPr>
          <w:rFonts w:hint="eastAsia" w:asciiTheme="minorEastAsia" w:hAnsiTheme="minorEastAsia" w:eastAsiaTheme="minorEastAsia"/>
          <w:color w:val="auto"/>
          <w:sz w:val="24"/>
          <w:highlight w:val="none"/>
        </w:rPr>
        <w:t>：1、以上</w:t>
      </w:r>
      <w:r>
        <w:rPr>
          <w:rFonts w:hint="eastAsia" w:asciiTheme="minorEastAsia" w:hAnsiTheme="minorEastAsia" w:eastAsiaTheme="minorEastAsia"/>
          <w:color w:val="auto"/>
          <w:sz w:val="24"/>
          <w:highlight w:val="none"/>
          <w:lang w:val="en-US" w:eastAsia="zh-CN"/>
        </w:rPr>
        <w:t>数量</w:t>
      </w:r>
      <w:r>
        <w:rPr>
          <w:rFonts w:hint="eastAsia" w:asciiTheme="minorEastAsia" w:hAnsiTheme="minorEastAsia" w:eastAsiaTheme="minorEastAsia"/>
          <w:color w:val="auto"/>
          <w:sz w:val="24"/>
          <w:highlight w:val="none"/>
        </w:rPr>
        <w:t>及图片供参考，投标人应根据图纸结合以上采购要求划分不同功能区域并进行深化设计，内容不得缺项，同时投标人深化设计后的</w:t>
      </w:r>
      <w:r>
        <w:rPr>
          <w:rFonts w:hint="eastAsia" w:asciiTheme="minorEastAsia" w:hAnsiTheme="minorEastAsia" w:eastAsiaTheme="minorEastAsia"/>
          <w:color w:val="auto"/>
          <w:sz w:val="24"/>
          <w:highlight w:val="none"/>
          <w:lang w:eastAsia="zh-CN"/>
        </w:rPr>
        <w:t>数量</w:t>
      </w:r>
      <w:r>
        <w:rPr>
          <w:rFonts w:hint="eastAsia" w:asciiTheme="minorEastAsia" w:hAnsiTheme="minorEastAsia" w:eastAsiaTheme="minorEastAsia"/>
          <w:color w:val="auto"/>
          <w:sz w:val="24"/>
          <w:highlight w:val="none"/>
        </w:rPr>
        <w:t>不得少于表中所列。（规格、材质要求</w:t>
      </w:r>
      <w:r>
        <w:rPr>
          <w:rFonts w:hint="eastAsia" w:asciiTheme="minorEastAsia" w:hAnsiTheme="minorEastAsia" w:eastAsiaTheme="minorEastAsia"/>
          <w:color w:val="auto"/>
          <w:sz w:val="24"/>
          <w:highlight w:val="none"/>
          <w:lang w:val="en-US" w:eastAsia="zh-CN"/>
        </w:rPr>
        <w:t>也需符合采购清单要求</w:t>
      </w:r>
      <w:r>
        <w:rPr>
          <w:rFonts w:hint="eastAsia" w:asciiTheme="minorEastAsia" w:hAnsiTheme="minorEastAsia" w:eastAsiaTheme="minorEastAsia"/>
          <w:color w:val="auto"/>
          <w:sz w:val="24"/>
          <w:highlight w:val="none"/>
        </w:rPr>
        <w:t>）</w:t>
      </w:r>
    </w:p>
    <w:p w14:paraId="0CE2141E">
      <w:pPr>
        <w:pStyle w:val="25"/>
        <w:shd w:val="clear"/>
        <w:ind w:firstLine="480"/>
        <w:rPr>
          <w:rFonts w:eastAsiaTheme="minorEastAsia"/>
          <w:color w:val="auto"/>
          <w:highlight w:val="none"/>
        </w:rPr>
      </w:pPr>
      <w:r>
        <w:rPr>
          <w:rFonts w:hint="eastAsia" w:asciiTheme="minorEastAsia" w:hAnsiTheme="minorEastAsia" w:eastAsiaTheme="minorEastAsia"/>
          <w:color w:val="auto"/>
          <w:sz w:val="24"/>
          <w:highlight w:val="none"/>
        </w:rPr>
        <w:t>2、以上产品尺寸允许偏离±1%。</w:t>
      </w:r>
    </w:p>
    <w:p w14:paraId="19A06519">
      <w:pPr>
        <w:shd w:val="clear"/>
        <w:spacing w:line="360" w:lineRule="auto"/>
        <w:rPr>
          <w:rFonts w:asciiTheme="minorEastAsia" w:hAnsiTheme="minorEastAsia" w:eastAsiaTheme="minorEastAsia"/>
          <w:b/>
          <w:bCs/>
          <w:color w:val="auto"/>
          <w:sz w:val="28"/>
          <w:highlight w:val="none"/>
        </w:rPr>
      </w:pPr>
      <w:r>
        <w:rPr>
          <w:rFonts w:hint="eastAsia" w:asciiTheme="minorEastAsia" w:hAnsiTheme="minorEastAsia" w:eastAsiaTheme="minorEastAsia"/>
          <w:b/>
          <w:bCs/>
          <w:color w:val="auto"/>
          <w:sz w:val="28"/>
          <w:highlight w:val="none"/>
        </w:rPr>
        <w:t>五、图纸</w:t>
      </w:r>
    </w:p>
    <w:p w14:paraId="0D1A907B">
      <w:pPr>
        <w:pStyle w:val="25"/>
        <w:shd w:val="clear"/>
        <w:spacing w:line="360" w:lineRule="auto"/>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olor w:val="auto"/>
          <w:sz w:val="24"/>
          <w:highlight w:val="none"/>
        </w:rPr>
        <w:t>详见附件：图纸</w:t>
      </w:r>
    </w:p>
    <w:p w14:paraId="6AF5249F">
      <w:pPr>
        <w:pStyle w:val="25"/>
        <w:shd w:val="clear"/>
        <w:spacing w:line="360" w:lineRule="auto"/>
        <w:ind w:firstLine="480"/>
        <w:rPr>
          <w:rFonts w:asciiTheme="minorEastAsia" w:hAnsiTheme="minorEastAsia" w:eastAsiaTheme="minorEastAsia" w:cstheme="minorEastAsia"/>
          <w:color w:val="auto"/>
          <w:sz w:val="24"/>
          <w:highlight w:val="none"/>
        </w:rPr>
      </w:pPr>
    </w:p>
    <w:p w14:paraId="60560C65">
      <w:pPr>
        <w:pStyle w:val="25"/>
        <w:shd w:val="clear"/>
        <w:spacing w:line="360" w:lineRule="auto"/>
        <w:ind w:firstLine="480"/>
        <w:rPr>
          <w:rFonts w:asciiTheme="minorEastAsia" w:hAnsiTheme="minorEastAsia" w:eastAsiaTheme="minorEastAsia" w:cstheme="minorEastAsia"/>
          <w:color w:val="auto"/>
          <w:sz w:val="24"/>
          <w:highlight w:val="none"/>
        </w:rPr>
        <w:sectPr>
          <w:pgSz w:w="16838" w:h="11906" w:orient="landscape"/>
          <w:pgMar w:top="1418" w:right="1276" w:bottom="1418" w:left="1247" w:header="851" w:footer="992" w:gutter="0"/>
          <w:cols w:space="720" w:num="1"/>
          <w:titlePg/>
          <w:docGrid w:linePitch="312" w:charSpace="0"/>
        </w:sectPr>
      </w:pPr>
    </w:p>
    <w:p w14:paraId="794119A8">
      <w:pPr>
        <w:widowControl/>
        <w:shd w:val="clear"/>
        <w:spacing w:line="360" w:lineRule="auto"/>
        <w:jc w:val="left"/>
        <w:rPr>
          <w:rFonts w:asciiTheme="majorEastAsia" w:hAnsiTheme="majorEastAsia" w:eastAsiaTheme="majorEastAsia"/>
          <w:b/>
          <w:color w:val="auto"/>
          <w:sz w:val="28"/>
          <w:highlight w:val="none"/>
        </w:rPr>
      </w:pPr>
      <w:r>
        <w:rPr>
          <w:rFonts w:hint="eastAsia" w:asciiTheme="majorEastAsia" w:hAnsiTheme="majorEastAsia" w:eastAsiaTheme="majorEastAsia"/>
          <w:b/>
          <w:color w:val="auto"/>
          <w:sz w:val="28"/>
          <w:highlight w:val="none"/>
        </w:rPr>
        <w:t>六、商务要求</w:t>
      </w:r>
    </w:p>
    <w:tbl>
      <w:tblPr>
        <w:tblStyle w:val="18"/>
        <w:tblW w:w="0" w:type="auto"/>
        <w:tblInd w:w="0" w:type="dxa"/>
        <w:tblLayout w:type="fixed"/>
        <w:tblCellMar>
          <w:top w:w="0" w:type="dxa"/>
          <w:left w:w="108" w:type="dxa"/>
          <w:bottom w:w="0" w:type="dxa"/>
          <w:right w:w="108" w:type="dxa"/>
        </w:tblCellMar>
      </w:tblPr>
      <w:tblGrid>
        <w:gridCol w:w="1936"/>
        <w:gridCol w:w="7186"/>
      </w:tblGrid>
      <w:tr w14:paraId="27E5369C">
        <w:tblPrEx>
          <w:tblCellMar>
            <w:top w:w="0" w:type="dxa"/>
            <w:left w:w="108" w:type="dxa"/>
            <w:bottom w:w="0" w:type="dxa"/>
            <w:right w:w="108" w:type="dxa"/>
          </w:tblCellMar>
        </w:tblPrEx>
        <w:trPr>
          <w:trHeight w:val="35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00F6F17">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项目</w:t>
            </w:r>
          </w:p>
        </w:tc>
        <w:tc>
          <w:tcPr>
            <w:tcW w:w="7186" w:type="dxa"/>
            <w:tcBorders>
              <w:top w:val="single" w:color="000000" w:sz="4" w:space="0"/>
              <w:left w:val="single" w:color="000000" w:sz="4" w:space="0"/>
              <w:bottom w:val="single" w:color="000000" w:sz="4" w:space="0"/>
              <w:right w:val="single" w:color="000000" w:sz="4" w:space="0"/>
            </w:tcBorders>
            <w:vAlign w:val="center"/>
          </w:tcPr>
          <w:p w14:paraId="09FADF4D">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要 求</w:t>
            </w:r>
          </w:p>
        </w:tc>
      </w:tr>
      <w:tr w14:paraId="08B0BEB3">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F576AE8">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投标报价</w:t>
            </w:r>
          </w:p>
        </w:tc>
        <w:tc>
          <w:tcPr>
            <w:tcW w:w="7186" w:type="dxa"/>
            <w:tcBorders>
              <w:top w:val="single" w:color="000000" w:sz="4" w:space="0"/>
              <w:left w:val="single" w:color="000000" w:sz="4" w:space="0"/>
              <w:bottom w:val="single" w:color="000000" w:sz="4" w:space="0"/>
              <w:right w:val="single" w:color="000000" w:sz="4" w:space="0"/>
            </w:tcBorders>
            <w:vAlign w:val="center"/>
          </w:tcPr>
          <w:p w14:paraId="66F1398C">
            <w:pPr>
              <w:pStyle w:val="25"/>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投标报价应包括完成招标文件及“采购清单”范围内的货款、深化设计、标准附件、备品备件、专用工具、包装、运输、装卸、保险、税金、货到就位以及保管、安装及所需要配件、辅助材料、调试、验收、保修等一切税金和费用。</w:t>
            </w:r>
          </w:p>
          <w:p w14:paraId="6CEAAE21">
            <w:pPr>
              <w:pStyle w:val="25"/>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（2）中标人应考虑交货期间内材料等价格上涨因素，中标后的价格将不予调整。</w:t>
            </w:r>
          </w:p>
          <w:p w14:paraId="00DD79EB">
            <w:pPr>
              <w:pStyle w:val="25"/>
              <w:shd w:val="clear"/>
              <w:ind w:firstLine="0" w:firstLineChars="0"/>
              <w:rPr>
                <w:rFonts w:hint="eastAsia"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（3）投标人须提供保证货物在验收合格后保修期内正常使用所必需的辅助材料、人员服务费用和检查、维护、保养费用等，其价格含在总价中。</w:t>
            </w:r>
          </w:p>
          <w:p w14:paraId="47592F4E">
            <w:pPr>
              <w:pStyle w:val="25"/>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（4）本项目不对未中标单位进行深化设计补偿。</w:t>
            </w:r>
          </w:p>
        </w:tc>
      </w:tr>
      <w:tr w14:paraId="3DCF8781">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6A962DF">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付款条件</w:t>
            </w:r>
          </w:p>
        </w:tc>
        <w:tc>
          <w:tcPr>
            <w:tcW w:w="7186" w:type="dxa"/>
            <w:tcBorders>
              <w:top w:val="single" w:color="000000" w:sz="4" w:space="0"/>
              <w:left w:val="single" w:color="000000" w:sz="4" w:space="0"/>
              <w:bottom w:val="single" w:color="000000" w:sz="4" w:space="0"/>
              <w:right w:val="single" w:color="000000" w:sz="4" w:space="0"/>
            </w:tcBorders>
            <w:vAlign w:val="center"/>
          </w:tcPr>
          <w:p w14:paraId="6FB28A20">
            <w:pPr>
              <w:shd w:val="clear"/>
              <w:ind w:left="1"/>
              <w:rPr>
                <w:rFonts w:eastAsiaTheme="majorEastAsia"/>
                <w:color w:val="auto"/>
                <w:highlight w:val="none"/>
              </w:rPr>
            </w:pPr>
            <w:r>
              <w:rPr>
                <w:rFonts w:hint="eastAsia" w:cs="仿宋" w:asciiTheme="majorEastAsia" w:hAnsiTheme="majorEastAsia" w:eastAsiaTheme="majorEastAsia"/>
                <w:color w:val="auto"/>
                <w:kern w:val="0"/>
                <w:sz w:val="24"/>
                <w:highlight w:val="none"/>
              </w:rPr>
              <w:t>合同签订后招标人向中标人支付合同价的25%的货物预付款；项目验收合格后支付至合同价的98%；余款在质保期满后付清。（支付款项前，中标人需提供有效正规增值税</w:t>
            </w:r>
            <w:r>
              <w:rPr>
                <w:rFonts w:hint="eastAsia" w:cs="仿宋" w:asciiTheme="majorEastAsia" w:hAnsiTheme="majorEastAsia" w:eastAsiaTheme="majorEastAsia"/>
                <w:color w:val="auto"/>
                <w:kern w:val="0"/>
                <w:sz w:val="24"/>
                <w:highlight w:val="none"/>
                <w:lang w:val="en-US" w:eastAsia="zh-CN"/>
              </w:rPr>
              <w:t>专用</w:t>
            </w:r>
            <w:r>
              <w:rPr>
                <w:rFonts w:hint="eastAsia" w:cs="仿宋" w:asciiTheme="majorEastAsia" w:hAnsiTheme="majorEastAsia" w:eastAsiaTheme="majorEastAsia"/>
                <w:color w:val="auto"/>
                <w:kern w:val="0"/>
                <w:sz w:val="24"/>
                <w:highlight w:val="none"/>
              </w:rPr>
              <w:t>发票，采购人在收到中标供应商提供的发票后在合同约定的时间支付相应款项，否则采购人有权延迟支付相应费用而不被视为违约，亦无须承担任何违约责任。）</w:t>
            </w:r>
          </w:p>
        </w:tc>
      </w:tr>
      <w:tr w14:paraId="430B0A05">
        <w:tblPrEx>
          <w:tblCellMar>
            <w:top w:w="0" w:type="dxa"/>
            <w:left w:w="108" w:type="dxa"/>
            <w:bottom w:w="0" w:type="dxa"/>
            <w:right w:w="108" w:type="dxa"/>
          </w:tblCellMar>
        </w:tblPrEx>
        <w:trPr>
          <w:trHeight w:val="342"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48013B">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交货期及地点</w:t>
            </w:r>
          </w:p>
        </w:tc>
        <w:tc>
          <w:tcPr>
            <w:tcW w:w="7186" w:type="dxa"/>
            <w:tcBorders>
              <w:top w:val="single" w:color="000000" w:sz="4" w:space="0"/>
              <w:left w:val="single" w:color="000000" w:sz="4" w:space="0"/>
              <w:bottom w:val="single" w:color="000000" w:sz="4" w:space="0"/>
              <w:right w:val="single" w:color="000000" w:sz="4" w:space="0"/>
            </w:tcBorders>
            <w:vAlign w:val="center"/>
          </w:tcPr>
          <w:p w14:paraId="5187B207">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w:t>
            </w:r>
            <w:r>
              <w:rPr>
                <w:rFonts w:hint="eastAsia" w:cs="仿宋" w:asciiTheme="majorEastAsia" w:hAnsiTheme="majorEastAsia" w:eastAsiaTheme="majorEastAsia"/>
                <w:color w:val="auto"/>
                <w:kern w:val="0"/>
                <w:sz w:val="24"/>
                <w:highlight w:val="none"/>
                <w:lang w:val="en-US" w:eastAsia="zh-CN"/>
              </w:rPr>
              <w:t>接到业主通知之日起</w:t>
            </w:r>
            <w:r>
              <w:rPr>
                <w:rFonts w:hint="eastAsia" w:cs="仿宋" w:asciiTheme="majorEastAsia" w:hAnsiTheme="majorEastAsia" w:eastAsiaTheme="majorEastAsia"/>
                <w:color w:val="auto"/>
                <w:kern w:val="0"/>
                <w:sz w:val="24"/>
                <w:highlight w:val="none"/>
              </w:rPr>
              <w:t>60日历天。</w:t>
            </w:r>
          </w:p>
          <w:p w14:paraId="7E08E30E">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地点：业主指定地点。</w:t>
            </w:r>
          </w:p>
        </w:tc>
      </w:tr>
      <w:tr w14:paraId="0BB85B59">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10D6B40C">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产品及服务质量保证</w:t>
            </w:r>
          </w:p>
        </w:tc>
        <w:tc>
          <w:tcPr>
            <w:tcW w:w="7186" w:type="dxa"/>
            <w:tcBorders>
              <w:top w:val="single" w:color="000000" w:sz="4" w:space="0"/>
              <w:left w:val="single" w:color="000000" w:sz="4" w:space="0"/>
              <w:bottom w:val="single" w:color="000000" w:sz="4" w:space="0"/>
              <w:right w:val="single" w:color="000000" w:sz="4" w:space="0"/>
            </w:tcBorders>
            <w:vAlign w:val="center"/>
          </w:tcPr>
          <w:p w14:paraId="5E30DD1F">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（一）供应商保证所供的商品必须是出厂原装合格产品,如发生所供的商品与合同不符,采购人有权拒收或退货,由此产生的一切责任和后果由供应商承担。</w:t>
            </w:r>
          </w:p>
          <w:p w14:paraId="55446BDD">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（二）在所供商品交付时，供应商必须向采购人提供产品说明书、质量保证书、保修卡等必须具备的相关资料和必备附件。</w:t>
            </w:r>
          </w:p>
        </w:tc>
      </w:tr>
      <w:tr w14:paraId="0A4D94CB">
        <w:tblPrEx>
          <w:tblCellMar>
            <w:top w:w="0" w:type="dxa"/>
            <w:left w:w="108" w:type="dxa"/>
            <w:bottom w:w="0" w:type="dxa"/>
            <w:right w:w="108" w:type="dxa"/>
          </w:tblCellMar>
        </w:tblPrEx>
        <w:trPr>
          <w:trHeight w:val="54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A1B743E">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w:t>
            </w:r>
          </w:p>
        </w:tc>
        <w:tc>
          <w:tcPr>
            <w:tcW w:w="7186" w:type="dxa"/>
            <w:tcBorders>
              <w:top w:val="single" w:color="000000" w:sz="4" w:space="0"/>
              <w:left w:val="single" w:color="000000" w:sz="4" w:space="0"/>
              <w:bottom w:val="single" w:color="000000" w:sz="4" w:space="0"/>
              <w:right w:val="single" w:color="000000" w:sz="4" w:space="0"/>
            </w:tcBorders>
            <w:vAlign w:val="center"/>
          </w:tcPr>
          <w:p w14:paraId="565A23FC">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质保期自供货完成并验收合格移交之日起24个月。质保期内被免费更换的零部件质量保证：自更换之日起计24个月。</w:t>
            </w:r>
          </w:p>
        </w:tc>
      </w:tr>
      <w:tr w14:paraId="05E7793A">
        <w:tblPrEx>
          <w:tblCellMar>
            <w:top w:w="0" w:type="dxa"/>
            <w:left w:w="108" w:type="dxa"/>
            <w:bottom w:w="0" w:type="dxa"/>
            <w:right w:w="108" w:type="dxa"/>
          </w:tblCellMar>
        </w:tblPrEx>
        <w:trPr>
          <w:trHeight w:val="666"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BD7D1FA">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售后技术服务要求</w:t>
            </w:r>
          </w:p>
        </w:tc>
        <w:tc>
          <w:tcPr>
            <w:tcW w:w="7186" w:type="dxa"/>
            <w:tcBorders>
              <w:top w:val="single" w:color="000000" w:sz="4" w:space="0"/>
              <w:left w:val="single" w:color="000000" w:sz="4" w:space="0"/>
              <w:bottom w:val="single" w:color="000000" w:sz="4" w:space="0"/>
              <w:right w:val="single" w:color="000000" w:sz="4" w:space="0"/>
            </w:tcBorders>
            <w:vAlign w:val="center"/>
          </w:tcPr>
          <w:p w14:paraId="42644A22">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标人需为本项目提供7×24小时售后服务。接到要求提供服务的电话后立即做出响应。60分钟内派出合格的服务人员到达业主设备使用现场。一般故障4小时内修复，重大故障12小时内修复。规定时间内不能修复的免费提供同档次产品供甲方使用。</w:t>
            </w:r>
          </w:p>
        </w:tc>
      </w:tr>
      <w:tr w14:paraId="64C49E89">
        <w:tblPrEx>
          <w:tblCellMar>
            <w:top w:w="0" w:type="dxa"/>
            <w:left w:w="108" w:type="dxa"/>
            <w:bottom w:w="0" w:type="dxa"/>
            <w:right w:w="108" w:type="dxa"/>
          </w:tblCellMar>
        </w:tblPrEx>
        <w:tc>
          <w:tcPr>
            <w:tcW w:w="1936" w:type="dxa"/>
            <w:tcBorders>
              <w:top w:val="single" w:color="000000" w:sz="4" w:space="0"/>
              <w:left w:val="single" w:color="000000" w:sz="4" w:space="0"/>
              <w:bottom w:val="single" w:color="000000" w:sz="4" w:space="0"/>
              <w:right w:val="single" w:color="000000" w:sz="4" w:space="0"/>
            </w:tcBorders>
            <w:vAlign w:val="center"/>
          </w:tcPr>
          <w:p w14:paraId="585FDEAB">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合同终止</w:t>
            </w:r>
          </w:p>
        </w:tc>
        <w:tc>
          <w:tcPr>
            <w:tcW w:w="7186" w:type="dxa"/>
            <w:tcBorders>
              <w:top w:val="single" w:color="000000" w:sz="4" w:space="0"/>
              <w:left w:val="single" w:color="000000" w:sz="4" w:space="0"/>
              <w:bottom w:val="single" w:color="000000" w:sz="4" w:space="0"/>
              <w:right w:val="single" w:color="000000" w:sz="4" w:space="0"/>
            </w:tcBorders>
            <w:vAlign w:val="center"/>
          </w:tcPr>
          <w:p w14:paraId="6915A496">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（一）未能使合同货物达到合同附件规定的技术性能和指标的；</w:t>
            </w:r>
          </w:p>
          <w:p w14:paraId="2D7103FD">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（二）未能在合同规定的期限（或采购人同意延长的最终期限）内提供全部或部分货物的；</w:t>
            </w:r>
          </w:p>
          <w:p w14:paraId="660CCD2E">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（三）未能履行合同规定的其它义务。</w:t>
            </w:r>
          </w:p>
        </w:tc>
      </w:tr>
    </w:tbl>
    <w:p w14:paraId="2C96DACC">
      <w:pPr>
        <w:widowControl/>
        <w:shd w:val="clear"/>
        <w:jc w:val="center"/>
        <w:rPr>
          <w:rFonts w:cs="仿宋" w:asciiTheme="majorEastAsia" w:hAnsiTheme="majorEastAsia" w:eastAsiaTheme="majorEastAsia"/>
          <w:b/>
          <w:color w:val="auto"/>
          <w:sz w:val="36"/>
          <w:szCs w:val="36"/>
          <w:highlight w:val="none"/>
        </w:rPr>
      </w:pPr>
      <w:r>
        <w:rPr>
          <w:color w:val="auto"/>
          <w:highlight w:val="none"/>
        </w:rPr>
        <w:br w:type="page"/>
      </w:r>
      <w:r>
        <w:rPr>
          <w:rFonts w:hint="eastAsia" w:cs="仿宋" w:asciiTheme="majorEastAsia" w:hAnsiTheme="majorEastAsia" w:eastAsiaTheme="majorEastAsia"/>
          <w:b/>
          <w:color w:val="auto"/>
          <w:sz w:val="36"/>
          <w:szCs w:val="36"/>
          <w:highlight w:val="none"/>
        </w:rPr>
        <w:t xml:space="preserve">第四部分   </w:t>
      </w:r>
      <w:bookmarkStart w:id="37" w:name="_Toc184312075"/>
      <w:bookmarkEnd w:id="37"/>
      <w:bookmarkStart w:id="38" w:name="_Toc184312138"/>
      <w:bookmarkEnd w:id="38"/>
      <w:bookmarkStart w:id="39" w:name="_Toc184313267"/>
      <w:bookmarkEnd w:id="39"/>
      <w:bookmarkStart w:id="40" w:name="_Toc184314472"/>
      <w:bookmarkEnd w:id="40"/>
      <w:bookmarkStart w:id="41" w:name="_Toc184312068"/>
      <w:bookmarkEnd w:id="41"/>
      <w:bookmarkStart w:id="42" w:name="_Toc184312072"/>
      <w:bookmarkEnd w:id="42"/>
      <w:bookmarkStart w:id="43" w:name="_Toc184312100"/>
      <w:bookmarkEnd w:id="43"/>
      <w:bookmarkStart w:id="44" w:name="_Toc184308037"/>
      <w:bookmarkEnd w:id="44"/>
      <w:bookmarkStart w:id="45" w:name="_Toc184308064"/>
      <w:bookmarkEnd w:id="45"/>
      <w:bookmarkStart w:id="46" w:name="_Toc184314466"/>
      <w:bookmarkEnd w:id="46"/>
      <w:bookmarkStart w:id="47" w:name="_Toc184310280"/>
      <w:bookmarkEnd w:id="47"/>
      <w:bookmarkStart w:id="48" w:name="_Toc184314418"/>
      <w:bookmarkEnd w:id="48"/>
      <w:bookmarkStart w:id="49" w:name="_Toc184308039"/>
      <w:bookmarkEnd w:id="49"/>
      <w:bookmarkStart w:id="50" w:name="_Toc184313307"/>
      <w:bookmarkEnd w:id="50"/>
      <w:bookmarkStart w:id="51" w:name="_Toc184310327"/>
      <w:bookmarkEnd w:id="51"/>
      <w:bookmarkStart w:id="52" w:name="_Toc184310292"/>
      <w:bookmarkEnd w:id="52"/>
      <w:bookmarkStart w:id="53" w:name="_Toc184313287"/>
      <w:bookmarkEnd w:id="53"/>
      <w:bookmarkStart w:id="54" w:name="_Toc184314468"/>
      <w:bookmarkEnd w:id="54"/>
      <w:bookmarkStart w:id="55" w:name="_Toc184308074"/>
      <w:bookmarkEnd w:id="55"/>
      <w:bookmarkStart w:id="56" w:name="_Toc184308083"/>
      <w:bookmarkEnd w:id="56"/>
      <w:bookmarkStart w:id="57" w:name="_Toc184308104"/>
      <w:bookmarkEnd w:id="57"/>
      <w:bookmarkStart w:id="58" w:name="_Toc184312102"/>
      <w:bookmarkEnd w:id="58"/>
      <w:bookmarkStart w:id="59" w:name="_Toc184308079"/>
      <w:bookmarkEnd w:id="59"/>
      <w:bookmarkStart w:id="60" w:name="_Toc184310324"/>
      <w:bookmarkEnd w:id="60"/>
      <w:bookmarkStart w:id="61" w:name="_Toc184314454"/>
      <w:bookmarkEnd w:id="61"/>
      <w:bookmarkStart w:id="62" w:name="_Toc184314458"/>
      <w:bookmarkEnd w:id="62"/>
      <w:bookmarkStart w:id="63" w:name="_Toc184314420"/>
      <w:bookmarkEnd w:id="63"/>
      <w:bookmarkStart w:id="64" w:name="_Toc184314412"/>
      <w:bookmarkEnd w:id="64"/>
      <w:bookmarkStart w:id="65" w:name="_Toc184312104"/>
      <w:bookmarkEnd w:id="65"/>
      <w:bookmarkStart w:id="66" w:name="_Toc184313274"/>
      <w:bookmarkEnd w:id="66"/>
      <w:bookmarkStart w:id="67" w:name="_Toc184310297"/>
      <w:bookmarkEnd w:id="67"/>
      <w:bookmarkStart w:id="68" w:name="_Toc184312099"/>
      <w:bookmarkEnd w:id="68"/>
      <w:bookmarkStart w:id="69" w:name="_Toc184310304"/>
      <w:bookmarkEnd w:id="69"/>
      <w:bookmarkStart w:id="70" w:name="_Toc184313281"/>
      <w:bookmarkEnd w:id="70"/>
      <w:bookmarkStart w:id="71" w:name="_Toc184312127"/>
      <w:bookmarkEnd w:id="71"/>
      <w:bookmarkStart w:id="72" w:name="_Toc184313266"/>
      <w:bookmarkEnd w:id="72"/>
      <w:bookmarkStart w:id="73" w:name="_Toc184310307"/>
      <w:bookmarkEnd w:id="73"/>
      <w:bookmarkStart w:id="74" w:name="_Toc184313294"/>
      <w:bookmarkEnd w:id="74"/>
      <w:bookmarkStart w:id="75" w:name="_Toc184313277"/>
      <w:bookmarkEnd w:id="75"/>
      <w:bookmarkStart w:id="76" w:name="_Toc184308106"/>
      <w:bookmarkEnd w:id="76"/>
      <w:bookmarkStart w:id="77" w:name="_Toc184314464"/>
      <w:bookmarkEnd w:id="77"/>
      <w:bookmarkStart w:id="78" w:name="_Toc184313257"/>
      <w:bookmarkEnd w:id="78"/>
      <w:bookmarkStart w:id="79" w:name="_Toc184314411"/>
      <w:bookmarkEnd w:id="79"/>
      <w:bookmarkStart w:id="80" w:name="_Toc184313249"/>
      <w:bookmarkEnd w:id="80"/>
      <w:bookmarkStart w:id="81" w:name="_Toc184310323"/>
      <w:bookmarkEnd w:id="81"/>
      <w:bookmarkStart w:id="82" w:name="_Toc184314426"/>
      <w:bookmarkEnd w:id="82"/>
      <w:bookmarkStart w:id="83" w:name="_Toc184308105"/>
      <w:bookmarkEnd w:id="83"/>
      <w:bookmarkStart w:id="84" w:name="_Toc184312129"/>
      <w:bookmarkEnd w:id="84"/>
      <w:bookmarkStart w:id="85" w:name="_Toc184310289"/>
      <w:bookmarkEnd w:id="85"/>
      <w:bookmarkStart w:id="86" w:name="_Toc184312110"/>
      <w:bookmarkEnd w:id="86"/>
      <w:bookmarkStart w:id="87" w:name="_Toc184308099"/>
      <w:bookmarkEnd w:id="87"/>
      <w:bookmarkStart w:id="88" w:name="_Toc184312103"/>
      <w:bookmarkEnd w:id="88"/>
      <w:bookmarkStart w:id="89" w:name="_Toc184313275"/>
      <w:bookmarkEnd w:id="89"/>
      <w:bookmarkStart w:id="90" w:name="_Toc184313272"/>
      <w:bookmarkEnd w:id="90"/>
      <w:bookmarkStart w:id="91" w:name="_Toc184310288"/>
      <w:bookmarkEnd w:id="91"/>
      <w:bookmarkStart w:id="92" w:name="_Toc184314444"/>
      <w:bookmarkEnd w:id="92"/>
      <w:bookmarkStart w:id="93" w:name="_Toc184308085"/>
      <w:bookmarkEnd w:id="93"/>
      <w:bookmarkStart w:id="94" w:name="_Toc184312112"/>
      <w:bookmarkEnd w:id="94"/>
      <w:bookmarkStart w:id="95" w:name="_Toc184312131"/>
      <w:bookmarkEnd w:id="95"/>
      <w:bookmarkStart w:id="96" w:name="_Toc184312090"/>
      <w:bookmarkEnd w:id="96"/>
      <w:bookmarkStart w:id="97" w:name="_Toc184313310"/>
      <w:bookmarkEnd w:id="97"/>
      <w:bookmarkStart w:id="98" w:name="_Toc184314421"/>
      <w:bookmarkEnd w:id="98"/>
      <w:bookmarkStart w:id="99" w:name="_Toc184310298"/>
      <w:bookmarkEnd w:id="99"/>
      <w:bookmarkStart w:id="100" w:name="_Toc184312137"/>
      <w:bookmarkEnd w:id="100"/>
      <w:bookmarkStart w:id="101" w:name="_Toc184314461"/>
      <w:bookmarkEnd w:id="101"/>
      <w:bookmarkStart w:id="102" w:name="_Toc184310322"/>
      <w:bookmarkEnd w:id="102"/>
      <w:bookmarkStart w:id="103" w:name="_Toc184312095"/>
      <w:bookmarkEnd w:id="103"/>
      <w:bookmarkStart w:id="104" w:name="_Toc184308103"/>
      <w:bookmarkEnd w:id="104"/>
      <w:bookmarkStart w:id="105" w:name="_Toc184314479"/>
      <w:bookmarkEnd w:id="105"/>
      <w:bookmarkStart w:id="106" w:name="_Toc184313303"/>
      <w:bookmarkEnd w:id="106"/>
      <w:bookmarkStart w:id="107" w:name="_Toc184313252"/>
      <w:bookmarkEnd w:id="107"/>
      <w:bookmarkStart w:id="108" w:name="_Toc184308040"/>
      <w:bookmarkEnd w:id="108"/>
      <w:bookmarkStart w:id="109" w:name="_Toc184310281"/>
      <w:bookmarkEnd w:id="109"/>
      <w:bookmarkStart w:id="110" w:name="_Toc184312136"/>
      <w:bookmarkEnd w:id="110"/>
      <w:bookmarkStart w:id="111" w:name="_Toc184308089"/>
      <w:bookmarkEnd w:id="111"/>
      <w:bookmarkStart w:id="112" w:name="_Toc184312082"/>
      <w:bookmarkEnd w:id="112"/>
      <w:bookmarkStart w:id="113" w:name="_Toc184313250"/>
      <w:bookmarkEnd w:id="113"/>
      <w:bookmarkStart w:id="114" w:name="_Toc184313286"/>
      <w:bookmarkEnd w:id="114"/>
      <w:bookmarkStart w:id="115" w:name="_Toc184308091"/>
      <w:bookmarkEnd w:id="115"/>
      <w:bookmarkStart w:id="116" w:name="_Toc184308045"/>
      <w:bookmarkEnd w:id="116"/>
      <w:bookmarkStart w:id="117" w:name="_Toc184308057"/>
      <w:bookmarkEnd w:id="117"/>
      <w:bookmarkStart w:id="118" w:name="_Toc184314478"/>
      <w:bookmarkEnd w:id="118"/>
      <w:bookmarkStart w:id="119" w:name="_Toc184314432"/>
      <w:bookmarkEnd w:id="119"/>
      <w:bookmarkStart w:id="120" w:name="_Toc184314436"/>
      <w:bookmarkEnd w:id="120"/>
      <w:bookmarkStart w:id="121" w:name="_Toc184310341"/>
      <w:bookmarkEnd w:id="121"/>
      <w:bookmarkStart w:id="122" w:name="_Toc184313254"/>
      <w:bookmarkEnd w:id="122"/>
      <w:bookmarkStart w:id="123" w:name="_Toc184314434"/>
      <w:bookmarkEnd w:id="123"/>
      <w:bookmarkStart w:id="124" w:name="_Toc184313283"/>
      <w:bookmarkEnd w:id="124"/>
      <w:bookmarkStart w:id="125" w:name="_Toc184308053"/>
      <w:bookmarkEnd w:id="125"/>
      <w:bookmarkStart w:id="126" w:name="_Toc184308084"/>
      <w:bookmarkEnd w:id="126"/>
      <w:bookmarkStart w:id="127" w:name="_Toc184314480"/>
      <w:bookmarkEnd w:id="127"/>
      <w:bookmarkStart w:id="128" w:name="_Toc184312125"/>
      <w:bookmarkEnd w:id="128"/>
      <w:bookmarkStart w:id="129" w:name="_Toc184313248"/>
      <w:bookmarkEnd w:id="129"/>
      <w:bookmarkStart w:id="130" w:name="_Toc184314441"/>
      <w:bookmarkEnd w:id="130"/>
      <w:bookmarkStart w:id="131" w:name="_Toc184314419"/>
      <w:bookmarkEnd w:id="131"/>
      <w:bookmarkStart w:id="132" w:name="_Toc184308071"/>
      <w:bookmarkEnd w:id="132"/>
      <w:bookmarkStart w:id="133" w:name="_Toc184308108"/>
      <w:bookmarkEnd w:id="133"/>
      <w:bookmarkStart w:id="134" w:name="_Toc184312114"/>
      <w:bookmarkEnd w:id="134"/>
      <w:bookmarkStart w:id="135" w:name="_Toc184308081"/>
      <w:bookmarkEnd w:id="135"/>
      <w:bookmarkStart w:id="136" w:name="_Toc184310333"/>
      <w:bookmarkEnd w:id="136"/>
      <w:bookmarkStart w:id="137" w:name="_Toc184312091"/>
      <w:bookmarkEnd w:id="137"/>
      <w:bookmarkStart w:id="138" w:name="_Toc184308075"/>
      <w:bookmarkEnd w:id="138"/>
      <w:bookmarkStart w:id="139" w:name="_Toc184314456"/>
      <w:bookmarkEnd w:id="139"/>
      <w:bookmarkStart w:id="140" w:name="_Toc184313264"/>
      <w:bookmarkEnd w:id="140"/>
      <w:bookmarkStart w:id="141" w:name="_Toc184310312"/>
      <w:bookmarkEnd w:id="141"/>
      <w:bookmarkStart w:id="142" w:name="_Toc184312107"/>
      <w:bookmarkEnd w:id="142"/>
      <w:bookmarkStart w:id="143" w:name="_Toc184314447"/>
      <w:bookmarkEnd w:id="143"/>
      <w:bookmarkStart w:id="144" w:name="_Toc184310314"/>
      <w:bookmarkEnd w:id="144"/>
      <w:bookmarkStart w:id="145" w:name="_Toc184314473"/>
      <w:bookmarkEnd w:id="145"/>
      <w:bookmarkStart w:id="146" w:name="_Toc184314451"/>
      <w:bookmarkEnd w:id="146"/>
      <w:bookmarkStart w:id="147" w:name="_Toc184314413"/>
      <w:bookmarkEnd w:id="147"/>
      <w:bookmarkStart w:id="148" w:name="_Toc184308066"/>
      <w:bookmarkEnd w:id="148"/>
      <w:bookmarkStart w:id="149" w:name="_Toc184310320"/>
      <w:bookmarkEnd w:id="149"/>
      <w:bookmarkStart w:id="150" w:name="_Toc184310315"/>
      <w:bookmarkEnd w:id="150"/>
      <w:bookmarkStart w:id="151" w:name="_Toc184313293"/>
      <w:bookmarkEnd w:id="151"/>
      <w:bookmarkStart w:id="152" w:name="_Toc184312070"/>
      <w:bookmarkEnd w:id="152"/>
      <w:bookmarkStart w:id="153" w:name="_Toc184308047"/>
      <w:bookmarkEnd w:id="153"/>
      <w:bookmarkStart w:id="154" w:name="_Toc184310328"/>
      <w:bookmarkEnd w:id="154"/>
      <w:bookmarkStart w:id="155" w:name="_Toc184314440"/>
      <w:bookmarkEnd w:id="155"/>
      <w:bookmarkStart w:id="156" w:name="_Toc184310294"/>
      <w:bookmarkEnd w:id="156"/>
      <w:bookmarkStart w:id="157" w:name="_Toc184310277"/>
      <w:bookmarkEnd w:id="157"/>
      <w:bookmarkStart w:id="158" w:name="_Toc184313306"/>
      <w:bookmarkEnd w:id="158"/>
      <w:bookmarkStart w:id="159" w:name="_Toc184314445"/>
      <w:bookmarkEnd w:id="159"/>
      <w:bookmarkStart w:id="160" w:name="_Toc184312081"/>
      <w:bookmarkEnd w:id="160"/>
      <w:bookmarkStart w:id="161" w:name="_Toc184313265"/>
      <w:bookmarkEnd w:id="161"/>
      <w:bookmarkStart w:id="162" w:name="_Toc184310284"/>
      <w:bookmarkEnd w:id="162"/>
      <w:bookmarkStart w:id="163" w:name="_Toc184314438"/>
      <w:bookmarkEnd w:id="163"/>
      <w:bookmarkStart w:id="164" w:name="_Toc184314415"/>
      <w:bookmarkEnd w:id="164"/>
      <w:bookmarkStart w:id="165" w:name="_Toc184312126"/>
      <w:bookmarkEnd w:id="165"/>
      <w:bookmarkStart w:id="166" w:name="_Toc184310310"/>
      <w:bookmarkEnd w:id="166"/>
      <w:bookmarkStart w:id="167" w:name="_Toc184314449"/>
      <w:bookmarkEnd w:id="167"/>
      <w:bookmarkStart w:id="168" w:name="_Toc184313278"/>
      <w:bookmarkEnd w:id="168"/>
      <w:bookmarkStart w:id="169" w:name="_Toc184314463"/>
      <w:bookmarkEnd w:id="169"/>
      <w:bookmarkStart w:id="170" w:name="_Toc184312089"/>
      <w:bookmarkEnd w:id="170"/>
      <w:bookmarkStart w:id="171" w:name="_Toc184312097"/>
      <w:bookmarkEnd w:id="171"/>
      <w:bookmarkStart w:id="172" w:name="_Toc184312096"/>
      <w:bookmarkEnd w:id="172"/>
      <w:bookmarkStart w:id="173" w:name="_Toc184312073"/>
      <w:bookmarkEnd w:id="173"/>
      <w:bookmarkStart w:id="174" w:name="_Toc184314470"/>
      <w:bookmarkEnd w:id="174"/>
      <w:bookmarkStart w:id="175" w:name="_Toc184310313"/>
      <w:bookmarkEnd w:id="175"/>
      <w:bookmarkStart w:id="176" w:name="_Toc184312133"/>
      <w:bookmarkEnd w:id="176"/>
      <w:bookmarkStart w:id="177" w:name="_Toc184310309"/>
      <w:bookmarkEnd w:id="177"/>
      <w:bookmarkStart w:id="178" w:name="_Toc184312135"/>
      <w:bookmarkEnd w:id="178"/>
      <w:bookmarkStart w:id="179" w:name="_Toc184308100"/>
      <w:bookmarkEnd w:id="179"/>
      <w:bookmarkStart w:id="180" w:name="_Toc184314471"/>
      <w:bookmarkEnd w:id="180"/>
      <w:bookmarkStart w:id="181" w:name="_Toc184314476"/>
      <w:bookmarkEnd w:id="181"/>
      <w:bookmarkStart w:id="182" w:name="_Toc184308090"/>
      <w:bookmarkEnd w:id="182"/>
      <w:bookmarkStart w:id="183" w:name="_Toc184314425"/>
      <w:bookmarkEnd w:id="183"/>
      <w:bookmarkStart w:id="184" w:name="_Toc184310299"/>
      <w:bookmarkEnd w:id="184"/>
      <w:bookmarkStart w:id="185" w:name="_Toc184312101"/>
      <w:bookmarkEnd w:id="185"/>
      <w:bookmarkStart w:id="186" w:name="_Toc184312111"/>
      <w:bookmarkEnd w:id="186"/>
      <w:bookmarkStart w:id="187" w:name="_Toc184312116"/>
      <w:bookmarkEnd w:id="187"/>
      <w:bookmarkStart w:id="188" w:name="_Toc184310274"/>
      <w:bookmarkEnd w:id="188"/>
      <w:bookmarkStart w:id="189" w:name="_Toc184313259"/>
      <w:bookmarkEnd w:id="189"/>
      <w:bookmarkStart w:id="190" w:name="_Toc184308041"/>
      <w:bookmarkEnd w:id="190"/>
      <w:bookmarkStart w:id="191" w:name="_Toc184308096"/>
      <w:bookmarkEnd w:id="191"/>
      <w:bookmarkStart w:id="192" w:name="_Toc184313301"/>
      <w:bookmarkEnd w:id="192"/>
      <w:bookmarkStart w:id="193" w:name="_Toc184308076"/>
      <w:bookmarkEnd w:id="193"/>
      <w:bookmarkStart w:id="194" w:name="_Toc184314469"/>
      <w:bookmarkEnd w:id="194"/>
      <w:bookmarkStart w:id="195" w:name="_Toc184313238"/>
      <w:bookmarkEnd w:id="195"/>
      <w:bookmarkStart w:id="196" w:name="_Toc184314433"/>
      <w:bookmarkEnd w:id="196"/>
      <w:bookmarkStart w:id="197" w:name="_Toc184308051"/>
      <w:bookmarkEnd w:id="197"/>
      <w:bookmarkStart w:id="198" w:name="_Toc184314457"/>
      <w:bookmarkEnd w:id="198"/>
      <w:bookmarkStart w:id="199" w:name="_Toc184313258"/>
      <w:bookmarkEnd w:id="199"/>
      <w:bookmarkStart w:id="200" w:name="_Toc184312139"/>
      <w:bookmarkEnd w:id="200"/>
      <w:bookmarkStart w:id="201" w:name="_Toc184308094"/>
      <w:bookmarkEnd w:id="201"/>
      <w:bookmarkStart w:id="202" w:name="_Toc184312130"/>
      <w:bookmarkEnd w:id="202"/>
      <w:bookmarkStart w:id="203" w:name="_Toc184308093"/>
      <w:bookmarkEnd w:id="203"/>
      <w:bookmarkStart w:id="204" w:name="_Toc184308052"/>
      <w:bookmarkEnd w:id="204"/>
      <w:bookmarkStart w:id="205" w:name="_Toc184312076"/>
      <w:bookmarkEnd w:id="205"/>
      <w:bookmarkStart w:id="206" w:name="_Toc184313260"/>
      <w:bookmarkEnd w:id="206"/>
      <w:bookmarkStart w:id="207" w:name="_Toc184308063"/>
      <w:bookmarkEnd w:id="207"/>
      <w:bookmarkStart w:id="208" w:name="_Toc184314439"/>
      <w:bookmarkEnd w:id="208"/>
      <w:bookmarkStart w:id="209" w:name="_Toc184310285"/>
      <w:bookmarkEnd w:id="209"/>
      <w:bookmarkStart w:id="210" w:name="_Toc184308055"/>
      <w:bookmarkEnd w:id="210"/>
      <w:bookmarkStart w:id="211" w:name="_Toc184308054"/>
      <w:bookmarkEnd w:id="211"/>
      <w:bookmarkStart w:id="212" w:name="_Toc184312086"/>
      <w:bookmarkEnd w:id="212"/>
      <w:bookmarkStart w:id="213" w:name="_Toc184308077"/>
      <w:bookmarkEnd w:id="213"/>
      <w:bookmarkStart w:id="214" w:name="_Toc184312083"/>
      <w:bookmarkEnd w:id="214"/>
      <w:bookmarkStart w:id="215" w:name="_Toc184312115"/>
      <w:bookmarkEnd w:id="215"/>
      <w:bookmarkStart w:id="216" w:name="_Toc184310282"/>
      <w:bookmarkEnd w:id="216"/>
      <w:bookmarkStart w:id="217" w:name="_Toc184312093"/>
      <w:bookmarkEnd w:id="217"/>
      <w:bookmarkStart w:id="218" w:name="_Toc184308069"/>
      <w:bookmarkEnd w:id="218"/>
      <w:bookmarkStart w:id="219" w:name="_Toc184313243"/>
      <w:bookmarkEnd w:id="219"/>
      <w:bookmarkStart w:id="220" w:name="_Toc184310291"/>
      <w:bookmarkEnd w:id="220"/>
      <w:bookmarkStart w:id="221" w:name="_Toc184310275"/>
      <w:bookmarkEnd w:id="221"/>
      <w:bookmarkStart w:id="222" w:name="_Toc184312094"/>
      <w:bookmarkEnd w:id="222"/>
      <w:bookmarkStart w:id="223" w:name="_Toc184313246"/>
      <w:bookmarkEnd w:id="223"/>
      <w:bookmarkStart w:id="224" w:name="_Toc184313292"/>
      <w:bookmarkEnd w:id="224"/>
      <w:bookmarkStart w:id="225" w:name="_Toc184312079"/>
      <w:bookmarkEnd w:id="225"/>
      <w:bookmarkStart w:id="226" w:name="_Toc184313309"/>
      <w:bookmarkEnd w:id="226"/>
      <w:bookmarkStart w:id="227" w:name="_Toc184314414"/>
      <w:bookmarkEnd w:id="227"/>
      <w:bookmarkStart w:id="228" w:name="_Toc184310295"/>
      <w:bookmarkEnd w:id="228"/>
      <w:bookmarkStart w:id="229" w:name="_Toc184313300"/>
      <w:bookmarkEnd w:id="229"/>
      <w:bookmarkStart w:id="230" w:name="_Toc184310296"/>
      <w:bookmarkEnd w:id="230"/>
      <w:bookmarkStart w:id="231" w:name="_Toc184314410"/>
      <w:bookmarkEnd w:id="231"/>
      <w:bookmarkStart w:id="232" w:name="_Toc184312134"/>
      <w:bookmarkEnd w:id="232"/>
      <w:bookmarkStart w:id="233" w:name="_Toc184314459"/>
      <w:bookmarkEnd w:id="233"/>
      <w:bookmarkStart w:id="234" w:name="_Toc184310336"/>
      <w:bookmarkEnd w:id="234"/>
      <w:bookmarkStart w:id="235" w:name="_Toc184310342"/>
      <w:bookmarkEnd w:id="235"/>
      <w:bookmarkStart w:id="236" w:name="_Toc184312069"/>
      <w:bookmarkEnd w:id="236"/>
      <w:bookmarkStart w:id="237" w:name="_Toc184310334"/>
      <w:bookmarkEnd w:id="237"/>
      <w:bookmarkStart w:id="238" w:name="_Toc184314477"/>
      <w:bookmarkEnd w:id="238"/>
      <w:bookmarkStart w:id="239" w:name="_Toc184310286"/>
      <w:bookmarkEnd w:id="239"/>
      <w:bookmarkStart w:id="240" w:name="_Toc184314446"/>
      <w:bookmarkEnd w:id="240"/>
      <w:bookmarkStart w:id="241" w:name="_Toc184310317"/>
      <w:bookmarkEnd w:id="241"/>
      <w:bookmarkStart w:id="242" w:name="_Toc184314450"/>
      <w:bookmarkEnd w:id="242"/>
      <w:bookmarkStart w:id="243" w:name="_Toc184314453"/>
      <w:bookmarkEnd w:id="243"/>
      <w:bookmarkStart w:id="244" w:name="_Toc184308087"/>
      <w:bookmarkEnd w:id="244"/>
      <w:bookmarkStart w:id="245" w:name="_Toc184313242"/>
      <w:bookmarkEnd w:id="245"/>
      <w:bookmarkStart w:id="246" w:name="_Toc184312132"/>
      <w:bookmarkEnd w:id="246"/>
      <w:bookmarkStart w:id="247" w:name="_Toc184310278"/>
      <w:bookmarkEnd w:id="247"/>
      <w:bookmarkStart w:id="248" w:name="_Toc184308062"/>
      <w:bookmarkEnd w:id="248"/>
      <w:bookmarkStart w:id="249" w:name="_Toc184310329"/>
      <w:bookmarkEnd w:id="249"/>
      <w:bookmarkStart w:id="250" w:name="_Toc184312120"/>
      <w:bookmarkEnd w:id="250"/>
      <w:bookmarkStart w:id="251" w:name="_Toc184312118"/>
      <w:bookmarkEnd w:id="251"/>
      <w:bookmarkStart w:id="252" w:name="_Toc184313297"/>
      <w:bookmarkEnd w:id="252"/>
      <w:bookmarkStart w:id="253" w:name="_Toc184312085"/>
      <w:bookmarkEnd w:id="253"/>
      <w:bookmarkStart w:id="254" w:name="_Toc184310318"/>
      <w:bookmarkEnd w:id="254"/>
      <w:bookmarkStart w:id="255" w:name="_Toc184312117"/>
      <w:bookmarkEnd w:id="255"/>
      <w:bookmarkStart w:id="256" w:name="_Toc184313269"/>
      <w:bookmarkEnd w:id="256"/>
      <w:bookmarkStart w:id="257" w:name="_Toc184310311"/>
      <w:bookmarkEnd w:id="257"/>
      <w:bookmarkStart w:id="258" w:name="_Toc184312071"/>
      <w:bookmarkEnd w:id="258"/>
      <w:bookmarkStart w:id="259" w:name="_Toc184314452"/>
      <w:bookmarkEnd w:id="259"/>
      <w:bookmarkStart w:id="260" w:name="_Toc184313276"/>
      <w:bookmarkEnd w:id="260"/>
      <w:bookmarkStart w:id="261" w:name="_Toc184314475"/>
      <w:bookmarkEnd w:id="261"/>
      <w:bookmarkStart w:id="262" w:name="_Toc184314430"/>
      <w:bookmarkEnd w:id="262"/>
      <w:bookmarkStart w:id="263" w:name="_Toc184313284"/>
      <w:bookmarkEnd w:id="263"/>
      <w:bookmarkStart w:id="264" w:name="_Toc184312113"/>
      <w:bookmarkEnd w:id="264"/>
      <w:bookmarkStart w:id="265" w:name="_Toc184312123"/>
      <w:bookmarkEnd w:id="265"/>
      <w:bookmarkStart w:id="266" w:name="_Toc184312077"/>
      <w:bookmarkEnd w:id="266"/>
      <w:bookmarkStart w:id="267" w:name="_Toc184310301"/>
      <w:bookmarkEnd w:id="267"/>
      <w:bookmarkStart w:id="268" w:name="_Toc184313290"/>
      <w:bookmarkEnd w:id="268"/>
      <w:bookmarkStart w:id="269" w:name="_Toc184312121"/>
      <w:bookmarkEnd w:id="269"/>
      <w:bookmarkStart w:id="270" w:name="_Toc184313270"/>
      <w:bookmarkEnd w:id="270"/>
      <w:bookmarkStart w:id="271" w:name="_Toc184314460"/>
      <w:bookmarkEnd w:id="271"/>
      <w:bookmarkStart w:id="272" w:name="_Toc184308073"/>
      <w:bookmarkEnd w:id="272"/>
      <w:bookmarkStart w:id="273" w:name="_Toc184314417"/>
      <w:bookmarkEnd w:id="273"/>
      <w:bookmarkStart w:id="274" w:name="_Toc184308042"/>
      <w:bookmarkEnd w:id="274"/>
      <w:bookmarkStart w:id="275" w:name="_Toc184308058"/>
      <w:bookmarkEnd w:id="275"/>
      <w:bookmarkStart w:id="276" w:name="_Toc184312078"/>
      <w:bookmarkEnd w:id="276"/>
      <w:bookmarkStart w:id="277" w:name="_Toc184310332"/>
      <w:bookmarkEnd w:id="277"/>
      <w:bookmarkStart w:id="278" w:name="_Toc184308056"/>
      <w:bookmarkEnd w:id="278"/>
      <w:bookmarkStart w:id="279" w:name="_Toc184313288"/>
      <w:bookmarkEnd w:id="279"/>
      <w:bookmarkStart w:id="280" w:name="_Toc184312122"/>
      <w:bookmarkEnd w:id="280"/>
      <w:bookmarkStart w:id="281" w:name="_Toc184313305"/>
      <w:bookmarkEnd w:id="281"/>
      <w:bookmarkStart w:id="282" w:name="_Toc184308107"/>
      <w:bookmarkEnd w:id="282"/>
      <w:bookmarkStart w:id="283" w:name="_Toc184310340"/>
      <w:bookmarkEnd w:id="283"/>
      <w:bookmarkStart w:id="284" w:name="_Toc184312080"/>
      <w:bookmarkEnd w:id="284"/>
      <w:bookmarkStart w:id="285" w:name="_Toc184314429"/>
      <w:bookmarkEnd w:id="285"/>
      <w:bookmarkStart w:id="286" w:name="_Toc184310302"/>
      <w:bookmarkEnd w:id="286"/>
      <w:bookmarkStart w:id="287" w:name="_Toc184310308"/>
      <w:bookmarkEnd w:id="287"/>
      <w:bookmarkStart w:id="288" w:name="_Toc184310339"/>
      <w:bookmarkEnd w:id="288"/>
      <w:bookmarkStart w:id="289" w:name="_Toc184310293"/>
      <w:bookmarkEnd w:id="289"/>
      <w:bookmarkStart w:id="290" w:name="_Toc184310330"/>
      <w:bookmarkEnd w:id="290"/>
      <w:bookmarkStart w:id="291" w:name="_Toc184314442"/>
      <w:bookmarkEnd w:id="291"/>
      <w:bookmarkStart w:id="292" w:name="_Toc184313251"/>
      <w:bookmarkEnd w:id="292"/>
      <w:bookmarkStart w:id="293" w:name="_Toc184314448"/>
      <w:bookmarkEnd w:id="293"/>
      <w:bookmarkStart w:id="294" w:name="_Toc184313256"/>
      <w:bookmarkEnd w:id="294"/>
      <w:bookmarkStart w:id="295" w:name="_Toc184313285"/>
      <w:bookmarkEnd w:id="295"/>
      <w:bookmarkStart w:id="296" w:name="_Toc184310303"/>
      <w:bookmarkEnd w:id="296"/>
      <w:bookmarkStart w:id="297" w:name="_Toc184308080"/>
      <w:bookmarkEnd w:id="297"/>
      <w:bookmarkStart w:id="298" w:name="_Toc184313304"/>
      <w:bookmarkEnd w:id="298"/>
      <w:bookmarkStart w:id="299" w:name="_Toc184313263"/>
      <w:bookmarkEnd w:id="299"/>
      <w:bookmarkStart w:id="300" w:name="_Toc184308061"/>
      <w:bookmarkEnd w:id="300"/>
      <w:bookmarkStart w:id="301" w:name="_Toc184314435"/>
      <w:bookmarkEnd w:id="301"/>
      <w:bookmarkStart w:id="302" w:name="_Toc184308067"/>
      <w:bookmarkEnd w:id="302"/>
      <w:bookmarkStart w:id="303" w:name="_Toc184310300"/>
      <w:bookmarkEnd w:id="303"/>
      <w:bookmarkStart w:id="304" w:name="_Toc184310338"/>
      <w:bookmarkEnd w:id="304"/>
      <w:bookmarkStart w:id="305" w:name="_Toc184313289"/>
      <w:bookmarkEnd w:id="305"/>
      <w:bookmarkStart w:id="306" w:name="_Toc184313247"/>
      <w:bookmarkEnd w:id="306"/>
      <w:bookmarkStart w:id="307" w:name="_Toc184312124"/>
      <w:bookmarkEnd w:id="307"/>
      <w:bookmarkStart w:id="308" w:name="_Toc184314462"/>
      <w:bookmarkEnd w:id="308"/>
      <w:bookmarkStart w:id="309" w:name="_Toc184312084"/>
      <w:bookmarkEnd w:id="309"/>
      <w:bookmarkStart w:id="310" w:name="_Toc184308046"/>
      <w:bookmarkEnd w:id="310"/>
      <w:bookmarkStart w:id="311" w:name="_Toc184312074"/>
      <w:bookmarkEnd w:id="311"/>
      <w:bookmarkStart w:id="312" w:name="_Toc184313299"/>
      <w:bookmarkEnd w:id="312"/>
      <w:bookmarkStart w:id="313" w:name="_Toc184313261"/>
      <w:bookmarkEnd w:id="313"/>
      <w:bookmarkStart w:id="314" w:name="_Toc184308070"/>
      <w:bookmarkEnd w:id="314"/>
      <w:bookmarkStart w:id="315" w:name="_Toc184310283"/>
      <w:bookmarkEnd w:id="315"/>
      <w:bookmarkStart w:id="316" w:name="_Toc184310326"/>
      <w:bookmarkEnd w:id="316"/>
      <w:bookmarkStart w:id="317" w:name="_Toc184313255"/>
      <w:bookmarkEnd w:id="317"/>
      <w:bookmarkStart w:id="318" w:name="_Toc184314424"/>
      <w:bookmarkEnd w:id="318"/>
      <w:bookmarkStart w:id="319" w:name="_Toc184312088"/>
      <w:bookmarkEnd w:id="319"/>
      <w:bookmarkStart w:id="320" w:name="_Toc184312108"/>
      <w:bookmarkEnd w:id="320"/>
      <w:bookmarkStart w:id="321" w:name="_Toc184310276"/>
      <w:bookmarkEnd w:id="321"/>
      <w:bookmarkStart w:id="322" w:name="_Toc184310343"/>
      <w:bookmarkEnd w:id="322"/>
      <w:bookmarkStart w:id="323" w:name="_Toc184312109"/>
      <w:bookmarkEnd w:id="323"/>
      <w:bookmarkStart w:id="324" w:name="_Toc184308095"/>
      <w:bookmarkEnd w:id="324"/>
      <w:bookmarkStart w:id="325" w:name="_Toc184313302"/>
      <w:bookmarkEnd w:id="325"/>
      <w:bookmarkStart w:id="326" w:name="_Toc184308043"/>
      <w:bookmarkEnd w:id="326"/>
      <w:bookmarkStart w:id="327" w:name="_Toc184312119"/>
      <w:bookmarkEnd w:id="327"/>
      <w:bookmarkStart w:id="328" w:name="_Toc184308092"/>
      <w:bookmarkEnd w:id="328"/>
      <w:bookmarkStart w:id="329" w:name="_Toc184310321"/>
      <w:bookmarkEnd w:id="329"/>
      <w:bookmarkStart w:id="330" w:name="_Toc184308097"/>
      <w:bookmarkEnd w:id="330"/>
      <w:bookmarkStart w:id="331" w:name="_Toc184314481"/>
      <w:bookmarkEnd w:id="331"/>
      <w:bookmarkStart w:id="332" w:name="_Toc184313298"/>
      <w:bookmarkEnd w:id="332"/>
      <w:bookmarkStart w:id="333" w:name="_Toc184314416"/>
      <w:bookmarkEnd w:id="333"/>
      <w:bookmarkStart w:id="334" w:name="_Toc184314431"/>
      <w:bookmarkEnd w:id="334"/>
      <w:bookmarkStart w:id="335" w:name="_Toc184313296"/>
      <w:bookmarkEnd w:id="335"/>
      <w:bookmarkStart w:id="336" w:name="_Toc184308101"/>
      <w:bookmarkEnd w:id="336"/>
      <w:bookmarkStart w:id="337" w:name="_Toc184313241"/>
      <w:bookmarkEnd w:id="337"/>
      <w:bookmarkStart w:id="338" w:name="_Toc184308060"/>
      <w:bookmarkEnd w:id="338"/>
      <w:bookmarkStart w:id="339" w:name="_Toc184308072"/>
      <w:bookmarkEnd w:id="339"/>
      <w:bookmarkStart w:id="340" w:name="_Toc184310279"/>
      <w:bookmarkEnd w:id="340"/>
      <w:bookmarkStart w:id="341" w:name="_Toc184313244"/>
      <w:bookmarkEnd w:id="341"/>
      <w:bookmarkStart w:id="342" w:name="_Toc184308068"/>
      <w:bookmarkEnd w:id="342"/>
      <w:bookmarkStart w:id="343" w:name="_Toc184313262"/>
      <w:bookmarkEnd w:id="343"/>
      <w:bookmarkStart w:id="344" w:name="_Toc184310305"/>
      <w:bookmarkEnd w:id="344"/>
      <w:bookmarkStart w:id="345" w:name="_Toc184313295"/>
      <w:bookmarkEnd w:id="345"/>
      <w:bookmarkStart w:id="346" w:name="_Toc184312092"/>
      <w:bookmarkEnd w:id="346"/>
      <w:bookmarkStart w:id="347" w:name="_Toc184310290"/>
      <w:bookmarkEnd w:id="347"/>
      <w:bookmarkStart w:id="348" w:name="_Toc184313239"/>
      <w:bookmarkEnd w:id="348"/>
      <w:bookmarkStart w:id="349" w:name="_Toc184308036"/>
      <w:bookmarkEnd w:id="349"/>
      <w:bookmarkStart w:id="350" w:name="_Toc184308049"/>
      <w:bookmarkEnd w:id="350"/>
      <w:bookmarkStart w:id="351" w:name="_Toc184313268"/>
      <w:bookmarkEnd w:id="351"/>
      <w:bookmarkStart w:id="352" w:name="_Toc184314474"/>
      <w:bookmarkEnd w:id="352"/>
      <w:bookmarkStart w:id="353" w:name="_Toc184308044"/>
      <w:bookmarkEnd w:id="353"/>
      <w:bookmarkStart w:id="354" w:name="_Toc184310344"/>
      <w:bookmarkEnd w:id="354"/>
      <w:bookmarkStart w:id="355" w:name="_Toc184312128"/>
      <w:bookmarkEnd w:id="355"/>
      <w:bookmarkStart w:id="356" w:name="_Toc184310325"/>
      <w:bookmarkEnd w:id="356"/>
      <w:bookmarkStart w:id="357" w:name="_Toc184314423"/>
      <w:bookmarkEnd w:id="357"/>
      <w:bookmarkStart w:id="358" w:name="_Toc184310306"/>
      <w:bookmarkEnd w:id="358"/>
      <w:bookmarkStart w:id="359" w:name="_Toc184310273"/>
      <w:bookmarkEnd w:id="359"/>
      <w:bookmarkStart w:id="360" w:name="_Toc184313280"/>
      <w:bookmarkEnd w:id="360"/>
      <w:bookmarkStart w:id="361" w:name="_Toc184313282"/>
      <w:bookmarkEnd w:id="361"/>
      <w:bookmarkStart w:id="362" w:name="_Toc184313279"/>
      <w:bookmarkEnd w:id="362"/>
      <w:bookmarkStart w:id="363" w:name="_Toc184314427"/>
      <w:bookmarkEnd w:id="363"/>
      <w:bookmarkStart w:id="364" w:name="_Toc184313253"/>
      <w:bookmarkEnd w:id="364"/>
      <w:bookmarkStart w:id="365" w:name="_Toc184308050"/>
      <w:bookmarkEnd w:id="365"/>
      <w:bookmarkStart w:id="366" w:name="_Toc184310316"/>
      <w:bookmarkEnd w:id="366"/>
      <w:bookmarkStart w:id="367" w:name="_Toc184310287"/>
      <w:bookmarkEnd w:id="367"/>
      <w:bookmarkStart w:id="368" w:name="_Toc184310331"/>
      <w:bookmarkEnd w:id="368"/>
      <w:bookmarkStart w:id="369" w:name="_Toc184312105"/>
      <w:bookmarkEnd w:id="369"/>
      <w:bookmarkStart w:id="370" w:name="_Toc184308078"/>
      <w:bookmarkEnd w:id="370"/>
      <w:bookmarkStart w:id="371" w:name="_Toc184308038"/>
      <w:bookmarkEnd w:id="371"/>
      <w:bookmarkStart w:id="372" w:name="_Toc184313273"/>
      <w:bookmarkEnd w:id="372"/>
      <w:bookmarkStart w:id="373" w:name="_Toc184313271"/>
      <w:bookmarkEnd w:id="373"/>
      <w:bookmarkStart w:id="374" w:name="_Toc184314437"/>
      <w:bookmarkEnd w:id="374"/>
      <w:bookmarkStart w:id="375" w:name="_Toc184310335"/>
      <w:bookmarkEnd w:id="375"/>
      <w:bookmarkStart w:id="376" w:name="_Toc184314422"/>
      <w:bookmarkEnd w:id="376"/>
      <w:bookmarkStart w:id="377" w:name="_Toc184308059"/>
      <w:bookmarkEnd w:id="377"/>
      <w:bookmarkStart w:id="378" w:name="_Toc184308088"/>
      <w:bookmarkEnd w:id="378"/>
      <w:bookmarkStart w:id="379" w:name="_Toc184314455"/>
      <w:bookmarkEnd w:id="379"/>
      <w:bookmarkStart w:id="380" w:name="_Toc184313291"/>
      <w:bookmarkEnd w:id="380"/>
      <w:bookmarkStart w:id="381" w:name="_Toc184314467"/>
      <w:bookmarkEnd w:id="381"/>
      <w:bookmarkStart w:id="382" w:name="_Toc184312098"/>
      <w:bookmarkEnd w:id="382"/>
      <w:bookmarkStart w:id="383" w:name="_Toc184313245"/>
      <w:bookmarkEnd w:id="383"/>
      <w:bookmarkStart w:id="384" w:name="_Toc184308098"/>
      <w:bookmarkEnd w:id="384"/>
      <w:bookmarkStart w:id="385" w:name="_Toc184308065"/>
      <w:bookmarkEnd w:id="385"/>
      <w:bookmarkStart w:id="386" w:name="_Toc184310319"/>
      <w:bookmarkEnd w:id="386"/>
      <w:bookmarkStart w:id="387" w:name="_Toc184312087"/>
      <w:bookmarkEnd w:id="387"/>
      <w:bookmarkStart w:id="388" w:name="_Toc184310272"/>
      <w:bookmarkEnd w:id="388"/>
      <w:bookmarkStart w:id="389" w:name="_Toc184308086"/>
      <w:bookmarkEnd w:id="389"/>
      <w:bookmarkStart w:id="390" w:name="_Toc184314482"/>
      <w:bookmarkEnd w:id="390"/>
      <w:bookmarkStart w:id="391" w:name="_Toc184313308"/>
      <w:bookmarkEnd w:id="391"/>
      <w:bookmarkStart w:id="392" w:name="_Toc184314443"/>
      <w:bookmarkEnd w:id="392"/>
      <w:bookmarkStart w:id="393" w:name="_Toc184312067"/>
      <w:bookmarkEnd w:id="393"/>
      <w:bookmarkStart w:id="394" w:name="_Toc184313240"/>
      <w:bookmarkEnd w:id="394"/>
      <w:bookmarkStart w:id="395" w:name="_Toc184312106"/>
      <w:bookmarkEnd w:id="395"/>
      <w:bookmarkStart w:id="396" w:name="_Toc184310337"/>
      <w:bookmarkEnd w:id="396"/>
      <w:bookmarkStart w:id="397" w:name="_Toc184308048"/>
      <w:bookmarkEnd w:id="397"/>
      <w:bookmarkStart w:id="398" w:name="_Toc184314428"/>
      <w:bookmarkEnd w:id="398"/>
      <w:bookmarkStart w:id="399" w:name="_Toc184308082"/>
      <w:bookmarkEnd w:id="399"/>
      <w:bookmarkStart w:id="400" w:name="_Toc184308102"/>
      <w:bookmarkEnd w:id="400"/>
      <w:bookmarkStart w:id="401" w:name="_Toc184314465"/>
      <w:bookmarkEnd w:id="401"/>
      <w:r>
        <w:rPr>
          <w:rFonts w:hint="eastAsia" w:cs="仿宋" w:asciiTheme="majorEastAsia" w:hAnsiTheme="majorEastAsia" w:eastAsiaTheme="majorEastAsia"/>
          <w:b/>
          <w:color w:val="auto"/>
          <w:sz w:val="36"/>
          <w:szCs w:val="36"/>
          <w:highlight w:val="none"/>
        </w:rPr>
        <w:t>评标办法</w:t>
      </w:r>
    </w:p>
    <w:p w14:paraId="09B8B3F6">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评标办法前附表</w:t>
      </w:r>
    </w:p>
    <w:tbl>
      <w:tblPr>
        <w:tblStyle w:val="18"/>
        <w:tblpPr w:leftFromText="180" w:rightFromText="180" w:vertAnchor="text" w:horzAnchor="page" w:tblpX="1301" w:tblpY="306"/>
        <w:tblOverlap w:val="never"/>
        <w:tblW w:w="9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201"/>
        <w:gridCol w:w="34"/>
        <w:gridCol w:w="736"/>
        <w:gridCol w:w="6704"/>
      </w:tblGrid>
      <w:tr w14:paraId="0400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blHeader/>
        </w:trPr>
        <w:tc>
          <w:tcPr>
            <w:tcW w:w="3288" w:type="dxa"/>
            <w:gridSpan w:val="4"/>
            <w:vAlign w:val="center"/>
          </w:tcPr>
          <w:p w14:paraId="0461B6D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投标单位评分项及分值</w:t>
            </w:r>
          </w:p>
        </w:tc>
        <w:tc>
          <w:tcPr>
            <w:tcW w:w="6704" w:type="dxa"/>
            <w:vAlign w:val="center"/>
          </w:tcPr>
          <w:p w14:paraId="4A621C5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说明备注</w:t>
            </w:r>
          </w:p>
        </w:tc>
      </w:tr>
      <w:tr w14:paraId="04D0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992" w:type="dxa"/>
            <w:gridSpan w:val="5"/>
            <w:vAlign w:val="center"/>
          </w:tcPr>
          <w:p w14:paraId="62698A3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资信技术分60分</w:t>
            </w:r>
          </w:p>
        </w:tc>
      </w:tr>
      <w:tr w14:paraId="3B97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552" w:type="dxa"/>
            <w:gridSpan w:val="3"/>
            <w:vAlign w:val="center"/>
          </w:tcPr>
          <w:p w14:paraId="460E03F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一、技术参数响应情况（1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p>
        </w:tc>
        <w:tc>
          <w:tcPr>
            <w:tcW w:w="7440" w:type="dxa"/>
            <w:gridSpan w:val="2"/>
            <w:vAlign w:val="center"/>
          </w:tcPr>
          <w:p w14:paraId="4F470649">
            <w:pPr>
              <w:shd w:val="clear"/>
              <w:rPr>
                <w:rFonts w:ascii="宋体" w:hAnsi="宋体" w:cs="宋体"/>
                <w:color w:val="auto"/>
                <w:sz w:val="24"/>
                <w:highlight w:val="none"/>
              </w:rPr>
            </w:pPr>
            <w:r>
              <w:rPr>
                <w:rFonts w:hint="eastAsia" w:ascii="宋体" w:hAnsi="宋体" w:cs="宋体"/>
                <w:color w:val="auto"/>
                <w:sz w:val="24"/>
                <w:highlight w:val="none"/>
              </w:rPr>
              <w:t>投标人所投产品的技术参数完全符合招标文件采购需求的得1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分；一般技术参数每负偏离一项扣1分，标★的技术参数有负偏离的每条扣2分；负偏离达</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项及以上的作无效投标处理。投标文件中如要求提供相关证明文件材料，未提供或提供不满足的视为负偏离。</w:t>
            </w:r>
          </w:p>
        </w:tc>
      </w:tr>
      <w:tr w14:paraId="4495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restart"/>
            <w:vAlign w:val="center"/>
          </w:tcPr>
          <w:p w14:paraId="6D753D7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二、设备选型的合理性(20分)</w:t>
            </w:r>
          </w:p>
        </w:tc>
        <w:tc>
          <w:tcPr>
            <w:tcW w:w="1235" w:type="dxa"/>
            <w:gridSpan w:val="2"/>
            <w:vAlign w:val="center"/>
          </w:tcPr>
          <w:p w14:paraId="18B8E516">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木屋功能架组合(8分)</w:t>
            </w:r>
          </w:p>
        </w:tc>
        <w:tc>
          <w:tcPr>
            <w:tcW w:w="7440" w:type="dxa"/>
            <w:gridSpan w:val="2"/>
            <w:vAlign w:val="center"/>
          </w:tcPr>
          <w:p w14:paraId="7BA74854">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在投标文件中提供木屋功能架组合五视图、安装图及结构分解图，并进行评议：图纸满足采购需求的得1.5分，结构明确清晰、分解合理的得1.5分，安装步骤明确、实用的得1.5分，各个视图内容完整、尺寸表述清楚、详尽的得1.5分，以上内容存在不足或有所欠缺的对应项得0.5分，不符合的对应项不得分，共6分。</w:t>
            </w:r>
          </w:p>
          <w:p w14:paraId="27C8FE6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注：投标文件中提供木屋功能架组合五视图、安装图及结构分解图，未提供或提供不全的不得分。</w:t>
            </w:r>
          </w:p>
          <w:p w14:paraId="2605FD1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2、木屋功能架组合所选用主材、油漆、五金配件等使用原材料质量良好、环保安全的得1分，以上内容存在不足或有所欠缺的得0.5分，未提供或不符合的不得分；</w:t>
            </w:r>
          </w:p>
          <w:p w14:paraId="273803B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3、木屋功能架组合造型样式、色彩搭配等外观美观适用的得1分，以上内容存在不足或有所欠缺的得0.5分，未提供或不符合的不得分。</w:t>
            </w:r>
          </w:p>
        </w:tc>
      </w:tr>
      <w:tr w14:paraId="621D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continue"/>
            <w:vAlign w:val="center"/>
          </w:tcPr>
          <w:p w14:paraId="339DE45E">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0177A92D">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木屋组合玩具（4分）</w:t>
            </w:r>
          </w:p>
        </w:tc>
        <w:tc>
          <w:tcPr>
            <w:tcW w:w="7440" w:type="dxa"/>
            <w:gridSpan w:val="2"/>
            <w:shd w:val="clear" w:color="auto" w:fill="auto"/>
            <w:vAlign w:val="center"/>
          </w:tcPr>
          <w:p w14:paraId="36BFF3B8">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在投标文件中提供木屋组合玩具五视图、安装图及结构分解图，并进行评议：图纸满足采购需求的得1分，结构明确清晰、分解合理的得1分，安装步骤明确、实用的得1分，各个视图内容完整、尺寸表述清楚、详尽的得1分，以上内容存在不足或有所欠缺的对应项得0.5分，不符合的对应项不得分，共</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p w14:paraId="5F658251">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注：投标文件中提供木屋组合玩具五视图、安装图及结构分解图，未提供或提供不全的不得分。</w:t>
            </w:r>
          </w:p>
        </w:tc>
      </w:tr>
      <w:tr w14:paraId="3A6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7" w:type="dxa"/>
            <w:vMerge w:val="continue"/>
            <w:vAlign w:val="center"/>
          </w:tcPr>
          <w:p w14:paraId="23F3A5AB">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720FDB52">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悬浮运动地板（8分）</w:t>
            </w:r>
          </w:p>
        </w:tc>
        <w:tc>
          <w:tcPr>
            <w:tcW w:w="7440" w:type="dxa"/>
            <w:gridSpan w:val="2"/>
            <w:shd w:val="clear" w:color="auto" w:fill="auto"/>
            <w:vAlign w:val="center"/>
          </w:tcPr>
          <w:p w14:paraId="44A124A5">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1、投标人根据采购要求提供尺寸为248mm（±2mm）×248mm（±0.2mm）×15mm（±0.2mm），190g（±2g)的悬浮运动地板一块，并对所提供样品进行评议：</w:t>
            </w:r>
          </w:p>
          <w:p w14:paraId="690475A9">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所投悬浮运动地板外观整洁美观的得1分，制作工艺良好、无毛边、无缺陷的得1分，材质材料安全可靠的得1分，产品底部弹性垫设计合理、缓冲效果好的得1分，拼接便捷、咬合牢固的得1分，以上内容存在不足或有所欠缺的对应项得0.5分，共5分。</w:t>
            </w:r>
          </w:p>
          <w:p w14:paraId="4A0F76E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2、所投产品制造商具有有效期内的质量管理体系认证、环境管理体系认证、职业健康安全管理体系认证证书（认证范围均包括悬浮式拼装运动地板</w:t>
            </w:r>
            <w:r>
              <w:rPr>
                <w:rFonts w:hint="eastAsia" w:ascii="宋体" w:hAnsi="宋体" w:cs="宋体"/>
                <w:color w:val="auto"/>
                <w:sz w:val="24"/>
                <w:highlight w:val="none"/>
                <w:lang w:val="en-US" w:eastAsia="zh-CN"/>
              </w:rPr>
              <w:t>相关内容</w:t>
            </w:r>
            <w:r>
              <w:rPr>
                <w:rFonts w:hint="eastAsia" w:ascii="宋体" w:hAnsi="宋体" w:cs="宋体"/>
                <w:color w:val="auto"/>
                <w:sz w:val="24"/>
                <w:highlight w:val="none"/>
              </w:rPr>
              <w:t>）的，每提供一个得1分，共3分。</w:t>
            </w:r>
          </w:p>
          <w:p w14:paraId="67A570F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注：投标文件中提供相关证书复印件等证明材料，未提供的对应证书不得分，认证范围</w:t>
            </w:r>
            <w:r>
              <w:rPr>
                <w:rFonts w:hint="eastAsia" w:ascii="宋体" w:hAnsi="宋体" w:cs="宋体"/>
                <w:color w:val="auto"/>
                <w:sz w:val="24"/>
                <w:highlight w:val="none"/>
                <w:lang w:val="en-US" w:eastAsia="zh-CN"/>
              </w:rPr>
              <w:t>不符合</w:t>
            </w:r>
            <w:r>
              <w:rPr>
                <w:rFonts w:hint="eastAsia" w:ascii="宋体" w:hAnsi="宋体" w:cs="宋体"/>
                <w:color w:val="auto"/>
                <w:sz w:val="24"/>
                <w:highlight w:val="none"/>
              </w:rPr>
              <w:t>的对应证书不得分。</w:t>
            </w:r>
          </w:p>
        </w:tc>
      </w:tr>
      <w:tr w14:paraId="1279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1317" w:type="dxa"/>
            <w:vMerge w:val="restart"/>
            <w:vAlign w:val="center"/>
          </w:tcPr>
          <w:p w14:paraId="116E11B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三、项目深化设计方案（</w:t>
            </w:r>
            <w:r>
              <w:rPr>
                <w:rFonts w:hint="eastAsia" w:ascii="宋体" w:hAnsi="宋体" w:cs="宋体"/>
                <w:color w:val="auto"/>
                <w:sz w:val="24"/>
                <w:highlight w:val="none"/>
                <w:lang w:val="en-US" w:eastAsia="zh-CN"/>
              </w:rPr>
              <w:t>18</w:t>
            </w:r>
            <w:r>
              <w:rPr>
                <w:rFonts w:hint="eastAsia" w:ascii="宋体" w:hAnsi="宋体" w:cs="宋体"/>
                <w:color w:val="auto"/>
                <w:sz w:val="24"/>
                <w:highlight w:val="none"/>
              </w:rPr>
              <w:t>分）</w:t>
            </w:r>
          </w:p>
        </w:tc>
        <w:tc>
          <w:tcPr>
            <w:tcW w:w="1235" w:type="dxa"/>
            <w:gridSpan w:val="2"/>
            <w:vAlign w:val="center"/>
          </w:tcPr>
          <w:p w14:paraId="2F05B540">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种植体验区（2分）</w:t>
            </w:r>
          </w:p>
        </w:tc>
        <w:tc>
          <w:tcPr>
            <w:tcW w:w="7440" w:type="dxa"/>
            <w:gridSpan w:val="2"/>
            <w:vAlign w:val="center"/>
          </w:tcPr>
          <w:p w14:paraId="45979A51">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种植体验区规划设计及效果图，并进行评议：规划设计清晰合理的得0.5分、设备布局合理的得0.5分、效果展示美观的得0.5分、幼童的适用性高的得0.5分，未提供或不符合的对应项不得分，共2分。</w:t>
            </w:r>
          </w:p>
        </w:tc>
      </w:tr>
      <w:tr w14:paraId="1D8E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317" w:type="dxa"/>
            <w:vMerge w:val="continue"/>
            <w:vAlign w:val="center"/>
          </w:tcPr>
          <w:p w14:paraId="02DFEA14">
            <w:pPr>
              <w:shd w:val="clear"/>
              <w:spacing w:line="0" w:lineRule="atLeast"/>
              <w:rPr>
                <w:rFonts w:ascii="宋体" w:hAnsi="宋体" w:cs="宋体"/>
                <w:color w:val="auto"/>
                <w:sz w:val="24"/>
                <w:highlight w:val="none"/>
              </w:rPr>
            </w:pPr>
          </w:p>
        </w:tc>
        <w:tc>
          <w:tcPr>
            <w:tcW w:w="1235" w:type="dxa"/>
            <w:gridSpan w:val="2"/>
            <w:vAlign w:val="center"/>
          </w:tcPr>
          <w:p w14:paraId="223B11F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户外生活体验区（2分）</w:t>
            </w:r>
          </w:p>
        </w:tc>
        <w:tc>
          <w:tcPr>
            <w:tcW w:w="7440" w:type="dxa"/>
            <w:gridSpan w:val="2"/>
            <w:vAlign w:val="center"/>
          </w:tcPr>
          <w:p w14:paraId="70BFD3FD">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户外生活体验区规划设计及效果图，并进行评议：规划设计清晰合理的得0.5分、设备布局合理的得0.5分、效果展示美观的得0.5分、幼童的适用性高的得0.5分，未提供或不符合的对应项不得分，共2分。</w:t>
            </w:r>
          </w:p>
        </w:tc>
      </w:tr>
      <w:tr w14:paraId="5FAF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317" w:type="dxa"/>
            <w:vMerge w:val="continue"/>
            <w:vAlign w:val="center"/>
          </w:tcPr>
          <w:p w14:paraId="2E2261A1">
            <w:pPr>
              <w:shd w:val="clear"/>
              <w:spacing w:line="0" w:lineRule="atLeast"/>
              <w:rPr>
                <w:rFonts w:ascii="宋体" w:hAnsi="宋体" w:cs="宋体"/>
                <w:color w:val="auto"/>
                <w:sz w:val="24"/>
                <w:highlight w:val="none"/>
              </w:rPr>
            </w:pPr>
          </w:p>
        </w:tc>
        <w:tc>
          <w:tcPr>
            <w:tcW w:w="1235" w:type="dxa"/>
            <w:gridSpan w:val="2"/>
            <w:vAlign w:val="center"/>
          </w:tcPr>
          <w:p w14:paraId="72688278">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沙水区（2分）</w:t>
            </w:r>
          </w:p>
        </w:tc>
        <w:tc>
          <w:tcPr>
            <w:tcW w:w="7440" w:type="dxa"/>
            <w:gridSpan w:val="2"/>
            <w:vAlign w:val="center"/>
          </w:tcPr>
          <w:p w14:paraId="7581FAA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沙水区规划设计及效果图，并进行评议：规划设计清晰合理的得0.5分、设备布局合理的得0.5分、效果展示美观的得0.5分、幼童的适用性高的得0.5分，未提供或不符合的对应项不得分，共2分。</w:t>
            </w:r>
          </w:p>
        </w:tc>
      </w:tr>
      <w:tr w14:paraId="4A84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0F7D717D">
            <w:pPr>
              <w:shd w:val="clear"/>
              <w:spacing w:line="0" w:lineRule="atLeast"/>
              <w:rPr>
                <w:rFonts w:ascii="宋体" w:hAnsi="宋体" w:cs="宋体"/>
                <w:color w:val="auto"/>
                <w:sz w:val="24"/>
                <w:highlight w:val="none"/>
              </w:rPr>
            </w:pPr>
          </w:p>
        </w:tc>
        <w:tc>
          <w:tcPr>
            <w:tcW w:w="1235" w:type="dxa"/>
            <w:gridSpan w:val="2"/>
            <w:vAlign w:val="center"/>
          </w:tcPr>
          <w:p w14:paraId="7387445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土坡拓展区（2分）</w:t>
            </w:r>
          </w:p>
        </w:tc>
        <w:tc>
          <w:tcPr>
            <w:tcW w:w="7440" w:type="dxa"/>
            <w:gridSpan w:val="2"/>
            <w:vAlign w:val="center"/>
          </w:tcPr>
          <w:p w14:paraId="23FC1B0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土坡拓展区规划设计及效果图，并进行评议：规划设计清晰合理的得0.5分、设备布局合理的得0.5分、效果展示美观的得0.5分、幼童的适用性高的得0.5分，未提供或不符合的对应项不得分，共2分。</w:t>
            </w:r>
          </w:p>
        </w:tc>
      </w:tr>
      <w:tr w14:paraId="012D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6C7B7858">
            <w:pPr>
              <w:shd w:val="clear"/>
              <w:spacing w:line="0" w:lineRule="atLeast"/>
              <w:rPr>
                <w:rFonts w:ascii="宋体" w:hAnsi="宋体" w:cs="宋体"/>
                <w:color w:val="auto"/>
                <w:sz w:val="24"/>
                <w:highlight w:val="none"/>
              </w:rPr>
            </w:pPr>
          </w:p>
        </w:tc>
        <w:tc>
          <w:tcPr>
            <w:tcW w:w="1235" w:type="dxa"/>
            <w:gridSpan w:val="2"/>
            <w:vAlign w:val="center"/>
          </w:tcPr>
          <w:p w14:paraId="37D9496C">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休闲区（2分）</w:t>
            </w:r>
          </w:p>
        </w:tc>
        <w:tc>
          <w:tcPr>
            <w:tcW w:w="7440" w:type="dxa"/>
            <w:gridSpan w:val="2"/>
            <w:vAlign w:val="center"/>
          </w:tcPr>
          <w:p w14:paraId="4BC3A58C">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休闲区规划设计及效果图，并进行评议：规划设计清晰合理的得0.5分、设备布局合理的得0.5分、效果展示美观的得0.5分、幼童的适用性高的得0.5分，未提供或不符合的对应项不得分，共2分。</w:t>
            </w:r>
          </w:p>
        </w:tc>
      </w:tr>
      <w:tr w14:paraId="6CB0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23DE4AD5">
            <w:pPr>
              <w:shd w:val="clear"/>
              <w:spacing w:line="0" w:lineRule="atLeast"/>
              <w:rPr>
                <w:rFonts w:ascii="宋体" w:hAnsi="宋体" w:cs="宋体"/>
                <w:color w:val="auto"/>
                <w:sz w:val="24"/>
                <w:highlight w:val="none"/>
              </w:rPr>
            </w:pPr>
          </w:p>
        </w:tc>
        <w:tc>
          <w:tcPr>
            <w:tcW w:w="1235" w:type="dxa"/>
            <w:gridSpan w:val="2"/>
            <w:vAlign w:val="center"/>
          </w:tcPr>
          <w:p w14:paraId="7DAF999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养殖区（2分）</w:t>
            </w:r>
          </w:p>
        </w:tc>
        <w:tc>
          <w:tcPr>
            <w:tcW w:w="7440" w:type="dxa"/>
            <w:gridSpan w:val="2"/>
            <w:vAlign w:val="center"/>
          </w:tcPr>
          <w:p w14:paraId="45F16BD2">
            <w:pPr>
              <w:shd w:val="clear"/>
              <w:spacing w:line="0" w:lineRule="atLeast"/>
              <w:rPr>
                <w:rFonts w:asciiTheme="minorEastAsia" w:hAnsiTheme="minorEastAsia" w:eastAsiaTheme="minorEastAsia"/>
                <w:color w:val="auto"/>
                <w:sz w:val="24"/>
                <w:highlight w:val="none"/>
              </w:rPr>
            </w:pPr>
            <w:r>
              <w:rPr>
                <w:rFonts w:hint="eastAsia" w:ascii="宋体" w:hAnsi="宋体" w:cs="宋体"/>
                <w:color w:val="auto"/>
                <w:sz w:val="24"/>
                <w:highlight w:val="none"/>
              </w:rPr>
              <w:t>投标人结合本项目采购清单中设备配置情况及图纸，提供养殖区规划设计及效果图，并进行评议：规划设计清晰合理的得0.5分、设备布局合理的得0.5分、效果展示美观的得0.5分、幼童的适用性高的得0.5分，未提供或不符合的对应项不得分，共2分。</w:t>
            </w:r>
          </w:p>
        </w:tc>
      </w:tr>
      <w:tr w14:paraId="5D93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4BFECFF9">
            <w:pPr>
              <w:shd w:val="clear"/>
              <w:spacing w:line="0" w:lineRule="atLeast"/>
              <w:rPr>
                <w:rFonts w:ascii="宋体" w:hAnsi="宋体" w:cs="宋体"/>
                <w:color w:val="auto"/>
                <w:sz w:val="24"/>
                <w:highlight w:val="none"/>
              </w:rPr>
            </w:pPr>
          </w:p>
        </w:tc>
        <w:tc>
          <w:tcPr>
            <w:tcW w:w="1235" w:type="dxa"/>
            <w:gridSpan w:val="2"/>
            <w:vAlign w:val="center"/>
          </w:tcPr>
          <w:p w14:paraId="1D613B79">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涂鸦区（2分）</w:t>
            </w:r>
          </w:p>
        </w:tc>
        <w:tc>
          <w:tcPr>
            <w:tcW w:w="7440" w:type="dxa"/>
            <w:gridSpan w:val="2"/>
            <w:vAlign w:val="center"/>
          </w:tcPr>
          <w:p w14:paraId="4E7E6D43">
            <w:pPr>
              <w:shd w:val="clear"/>
              <w:spacing w:line="0" w:lineRule="atLeast"/>
              <w:rPr>
                <w:rFonts w:asciiTheme="minorEastAsia" w:hAnsiTheme="minorEastAsia" w:eastAsiaTheme="minorEastAsia"/>
                <w:color w:val="auto"/>
                <w:sz w:val="24"/>
                <w:highlight w:val="none"/>
              </w:rPr>
            </w:pPr>
            <w:r>
              <w:rPr>
                <w:rFonts w:hint="eastAsia" w:ascii="宋体" w:hAnsi="宋体" w:cs="宋体"/>
                <w:color w:val="auto"/>
                <w:sz w:val="24"/>
                <w:highlight w:val="none"/>
              </w:rPr>
              <w:t>投标人结合本项目采购清单中设备配置情况及图纸，提供涂鸦区规划设计及效果图，并进行评议：规划设计清晰合理的得0.5分、设备布局合理的得0.5分、效果展示美观的得0.5分、幼童的适用性高的得0.5分，未提供或不符合的对应项不得分，共2分。</w:t>
            </w:r>
          </w:p>
        </w:tc>
      </w:tr>
      <w:tr w14:paraId="7700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317" w:type="dxa"/>
            <w:vMerge w:val="continue"/>
            <w:vAlign w:val="center"/>
          </w:tcPr>
          <w:p w14:paraId="4DC9EB31">
            <w:pPr>
              <w:shd w:val="clear"/>
              <w:spacing w:line="0" w:lineRule="atLeast"/>
              <w:rPr>
                <w:rFonts w:ascii="宋体" w:hAnsi="宋体" w:cs="宋体"/>
                <w:color w:val="auto"/>
                <w:sz w:val="24"/>
                <w:highlight w:val="none"/>
              </w:rPr>
            </w:pPr>
          </w:p>
        </w:tc>
        <w:tc>
          <w:tcPr>
            <w:tcW w:w="1235" w:type="dxa"/>
            <w:gridSpan w:val="2"/>
            <w:vAlign w:val="center"/>
          </w:tcPr>
          <w:p w14:paraId="6E9F5246">
            <w:pPr>
              <w:shd w:val="clear"/>
              <w:spacing w:line="0" w:lineRule="atLeast"/>
              <w:jc w:val="left"/>
              <w:rPr>
                <w:rFonts w:ascii="宋体" w:hAnsi="宋体" w:cs="宋体"/>
                <w:color w:val="auto"/>
                <w:sz w:val="24"/>
                <w:highlight w:val="none"/>
              </w:rPr>
            </w:pPr>
            <w:r>
              <w:rPr>
                <w:rFonts w:ascii="宋体" w:hAnsi="宋体" w:cs="宋体"/>
                <w:color w:val="auto"/>
                <w:sz w:val="24"/>
                <w:highlight w:val="none"/>
              </w:rPr>
              <w:t>方案讲解演示</w:t>
            </w:r>
            <w:r>
              <w:rPr>
                <w:rFonts w:hint="eastAsia" w:ascii="宋体" w:hAnsi="宋体" w:cs="宋体"/>
                <w:color w:val="auto"/>
                <w:sz w:val="24"/>
                <w:highlight w:val="none"/>
              </w:rPr>
              <w:t>（4分）</w:t>
            </w:r>
          </w:p>
        </w:tc>
        <w:tc>
          <w:tcPr>
            <w:tcW w:w="7440" w:type="dxa"/>
            <w:gridSpan w:val="2"/>
            <w:vAlign w:val="center"/>
          </w:tcPr>
          <w:p w14:paraId="142E4B0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针对本项目总体深化设计方案的讲解与演示进行评议：深化设计理念先进的得0.5分、深化设计思路清晰的得0.5分、整体规划科学合理的得0.5分、区域的衔接与过渡流畅且安全的得0.5分，未提供或不符合的对应项不得分，共2分；</w:t>
            </w:r>
          </w:p>
          <w:p w14:paraId="63B981E4">
            <w:pPr>
              <w:shd w:val="clear"/>
              <w:spacing w:line="0" w:lineRule="atLeast"/>
              <w:rPr>
                <w:color w:val="auto"/>
                <w:sz w:val="24"/>
                <w:highlight w:val="none"/>
              </w:rPr>
            </w:pPr>
            <w:r>
              <w:rPr>
                <w:rFonts w:hint="eastAsia" w:ascii="宋体" w:hAnsi="宋体" w:cs="宋体"/>
                <w:color w:val="auto"/>
                <w:sz w:val="24"/>
                <w:highlight w:val="none"/>
              </w:rPr>
              <w:t>2、针对本项目的各项区域设计布局的讲解与演示进行评议：方案合理的得0.5分、可行的得0.5分、安全性高的得0.5分、美观度好的得0.5分，未提供或不符合的对应项不得分，共2分。</w:t>
            </w:r>
          </w:p>
        </w:tc>
      </w:tr>
      <w:tr w14:paraId="477D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52" w:type="dxa"/>
            <w:gridSpan w:val="3"/>
            <w:vAlign w:val="center"/>
          </w:tcPr>
          <w:p w14:paraId="58008C8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四、</w:t>
            </w:r>
            <w:r>
              <w:rPr>
                <w:rFonts w:ascii="宋体" w:hAnsi="宋体" w:cs="宋体"/>
                <w:color w:val="auto"/>
                <w:sz w:val="24"/>
                <w:highlight w:val="none"/>
              </w:rPr>
              <w:t>实施方案</w:t>
            </w:r>
            <w:r>
              <w:rPr>
                <w:rFonts w:hint="eastAsia" w:ascii="宋体" w:hAnsi="宋体" w:cs="宋体"/>
                <w:color w:val="auto"/>
                <w:sz w:val="24"/>
                <w:highlight w:val="none"/>
              </w:rPr>
              <w:t>（2分）</w:t>
            </w:r>
          </w:p>
        </w:tc>
        <w:tc>
          <w:tcPr>
            <w:tcW w:w="7440" w:type="dxa"/>
            <w:gridSpan w:val="2"/>
            <w:vAlign w:val="center"/>
          </w:tcPr>
          <w:p w14:paraId="6CF6AA6F">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根据投标人提供的项目实施方案，包括人员计划安排、组织方案、设备供货方案、验收方案，方案合理详细、可行性强的对应项得0.5分，未提供或不符合的对应项不得分，最多得2分。</w:t>
            </w:r>
          </w:p>
        </w:tc>
      </w:tr>
      <w:tr w14:paraId="530F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52" w:type="dxa"/>
            <w:gridSpan w:val="3"/>
            <w:vAlign w:val="center"/>
          </w:tcPr>
          <w:p w14:paraId="125707B8">
            <w:pPr>
              <w:pStyle w:val="25"/>
              <w:shd w:val="clear"/>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五、工期计划（2分）</w:t>
            </w:r>
          </w:p>
        </w:tc>
        <w:tc>
          <w:tcPr>
            <w:tcW w:w="7440" w:type="dxa"/>
            <w:gridSpan w:val="2"/>
            <w:vAlign w:val="center"/>
          </w:tcPr>
          <w:p w14:paraId="16DC3A9E">
            <w:pPr>
              <w:shd w:val="clear"/>
              <w:spacing w:line="300" w:lineRule="exact"/>
              <w:rPr>
                <w:color w:val="auto"/>
                <w:sz w:val="24"/>
                <w:highlight w:val="none"/>
              </w:rPr>
            </w:pPr>
            <w:r>
              <w:rPr>
                <w:rFonts w:hint="eastAsia" w:ascii="宋体" w:hAnsi="宋体" w:cs="宋体"/>
                <w:color w:val="auto"/>
                <w:sz w:val="24"/>
                <w:highlight w:val="none"/>
              </w:rPr>
              <w:t>对投标人针对本项目的工期计划详细可行的得1分、工期最大限度有利于采购人且可行（工期不得超出采购文件要求）的得1分，以上内容有所欠缺的对应项得0.5分，未提供或不符合的对应项不得分，共2分。</w:t>
            </w:r>
          </w:p>
        </w:tc>
      </w:tr>
      <w:tr w14:paraId="2FCB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552" w:type="dxa"/>
            <w:gridSpan w:val="3"/>
            <w:vAlign w:val="center"/>
          </w:tcPr>
          <w:p w14:paraId="779ED27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六、履约能力（2分）</w:t>
            </w:r>
          </w:p>
        </w:tc>
        <w:tc>
          <w:tcPr>
            <w:tcW w:w="7440" w:type="dxa"/>
            <w:gridSpan w:val="2"/>
            <w:vAlign w:val="center"/>
          </w:tcPr>
          <w:p w14:paraId="3860F07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投标人自2020年1月1日以来（以合同签订时间为准）完成过同类项目业绩的，每提供一个得1分，共2分。</w:t>
            </w:r>
          </w:p>
          <w:p w14:paraId="0DFCB5C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注：投标文件中提供合同复印件和中标通知书并加盖单位公章，未提供或提供不全的不得分。</w:t>
            </w:r>
          </w:p>
        </w:tc>
      </w:tr>
      <w:tr w14:paraId="6082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019CA65E">
            <w:pPr>
              <w:shd w:val="clear"/>
              <w:spacing w:line="0" w:lineRule="atLeast"/>
              <w:ind w:left="480" w:hanging="480" w:hangingChars="200"/>
              <w:rPr>
                <w:rFonts w:ascii="宋体" w:hAnsi="宋体" w:cs="宋体"/>
                <w:color w:val="auto"/>
                <w:sz w:val="24"/>
                <w:highlight w:val="none"/>
              </w:rPr>
            </w:pPr>
            <w:r>
              <w:rPr>
                <w:rFonts w:hint="eastAsia" w:ascii="宋体" w:hAnsi="宋体"/>
                <w:color w:val="auto"/>
                <w:sz w:val="24"/>
                <w:highlight w:val="none"/>
              </w:rPr>
              <w:t>七、服务保障方案及服务能力</w:t>
            </w:r>
            <w:r>
              <w:rPr>
                <w:rFonts w:hint="eastAsia" w:ascii="宋体" w:hAnsi="宋体" w:cs="宋体"/>
                <w:color w:val="auto"/>
                <w:sz w:val="24"/>
                <w:highlight w:val="none"/>
              </w:rPr>
              <w:t>(2分)</w:t>
            </w:r>
          </w:p>
        </w:tc>
        <w:tc>
          <w:tcPr>
            <w:tcW w:w="7440" w:type="dxa"/>
            <w:gridSpan w:val="2"/>
            <w:vAlign w:val="center"/>
          </w:tcPr>
          <w:p w14:paraId="0246B6A2">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对投标单位针对本项目的售后技术服务承诺，包括售后服务承诺、应急措施进行评议：承诺内容详细、有利于项目实施的得0.5分，措施针对性强、具有可操作性的得0.5分，未提供或不符合的对应项不得分，共1分。</w:t>
            </w:r>
          </w:p>
          <w:p w14:paraId="0477AB6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2、对投标单位针对本项目售后服务点设置合理的得0.5分，仓库备品备件充足的得0.5分，未提供或不符合的对应项不得分，共1分。</w:t>
            </w:r>
          </w:p>
          <w:p w14:paraId="3D19DD5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（投标文件中提供售后服务点照片、办公室及仓库照片、相关租赁合同复印件等证明材料。）</w:t>
            </w:r>
          </w:p>
        </w:tc>
      </w:tr>
      <w:tr w14:paraId="5FCC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61FCD67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八、政策加分（1分）</w:t>
            </w:r>
          </w:p>
        </w:tc>
        <w:tc>
          <w:tcPr>
            <w:tcW w:w="7440" w:type="dxa"/>
            <w:gridSpan w:val="2"/>
            <w:vAlign w:val="center"/>
          </w:tcPr>
          <w:p w14:paraId="658A50C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（1）投标人是国家认定的少数民族地区企业的加0.5分。</w:t>
            </w:r>
          </w:p>
          <w:p w14:paraId="3118A1A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节能产品、环境标志产品政策性因素得分（0.5分）。投标产品如属于节能产品的得0.25分，投标产品如属于环境标志产品的得0.25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14:paraId="118E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2" w:type="dxa"/>
            <w:gridSpan w:val="5"/>
            <w:vAlign w:val="center"/>
          </w:tcPr>
          <w:p w14:paraId="34166E8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价格分40分</w:t>
            </w:r>
          </w:p>
        </w:tc>
      </w:tr>
      <w:tr w14:paraId="27A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518" w:type="dxa"/>
            <w:gridSpan w:val="2"/>
            <w:vAlign w:val="center"/>
          </w:tcPr>
          <w:p w14:paraId="2EB3833D">
            <w:pPr>
              <w:shd w:val="clear"/>
              <w:spacing w:line="0" w:lineRule="atLeast"/>
              <w:jc w:val="center"/>
              <w:rPr>
                <w:rFonts w:ascii="宋体" w:hAnsi="宋体" w:cs="宋体"/>
                <w:color w:val="auto"/>
                <w:sz w:val="24"/>
                <w:highlight w:val="none"/>
              </w:rPr>
            </w:pPr>
            <w:r>
              <w:rPr>
                <w:rFonts w:hint="eastAsia" w:ascii="宋体" w:hAnsi="宋体" w:cs="宋体"/>
                <w:color w:val="auto"/>
                <w:sz w:val="24"/>
                <w:highlight w:val="none"/>
              </w:rPr>
              <w:t>价格分40分</w:t>
            </w:r>
          </w:p>
        </w:tc>
        <w:tc>
          <w:tcPr>
            <w:tcW w:w="7474" w:type="dxa"/>
            <w:gridSpan w:val="3"/>
            <w:vAlign w:val="center"/>
          </w:tcPr>
          <w:p w14:paraId="0250E14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满足采购文件要求且参与评审价格最低为评标基准价，其价格分为满分，其余投标人的价格分以下列公式计算：</w:t>
            </w:r>
          </w:p>
          <w:p w14:paraId="2F7647DE">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投标报价得分=（评标基准价/参与评审的价格）×价格权值×100。</w:t>
            </w:r>
          </w:p>
          <w:p w14:paraId="1C01230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参与评审价格=投标价格×（1-小微企业价格扣除优惠值10%）</w:t>
            </w:r>
          </w:p>
        </w:tc>
      </w:tr>
    </w:tbl>
    <w:p w14:paraId="0758B02D">
      <w:pPr>
        <w:widowControl/>
        <w:shd w:val="clear"/>
        <w:jc w:val="left"/>
        <w:rPr>
          <w:rFonts w:cs="仿宋" w:asciiTheme="majorEastAsia" w:hAnsiTheme="majorEastAsia" w:eastAsiaTheme="majorEastAsia"/>
          <w:color w:val="auto"/>
          <w:sz w:val="20"/>
          <w:szCs w:val="20"/>
          <w:highlight w:val="none"/>
        </w:rPr>
      </w:pPr>
    </w:p>
    <w:p w14:paraId="3CFAF287">
      <w:pPr>
        <w:shd w:val="clear"/>
        <w:snapToGrid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编制投标文件（商务技术文件部分）时，建议按此目录（序号和内容）提供评标标准相应的商务技术资料。 </w:t>
      </w:r>
    </w:p>
    <w:p w14:paraId="756A1567">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一、评标方法</w:t>
      </w:r>
    </w:p>
    <w:p w14:paraId="0ADAB3D4">
      <w:pPr>
        <w:shd w:val="clear"/>
        <w:spacing w:line="360" w:lineRule="auto"/>
        <w:ind w:firstLine="472" w:firstLineChars="19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1.本项目采用综合评分法。</w:t>
      </w:r>
      <w:r>
        <w:rPr>
          <w:rFonts w:hint="eastAsia" w:cs="仿宋" w:asciiTheme="majorEastAsia" w:hAnsiTheme="majorEastAsia" w:eastAsiaTheme="majorEastAsia"/>
          <w:color w:val="auto"/>
          <w:kern w:val="0"/>
          <w:sz w:val="24"/>
          <w:highlight w:val="none"/>
        </w:rPr>
        <w:t>综合评分法，是指投标文件满足招标文件全部实质性要求，且按照评审因素的量化指标评审得分最高的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为中标候选人的评标方法。</w:t>
      </w:r>
    </w:p>
    <w:p w14:paraId="3937E07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二、评标标准</w:t>
      </w:r>
    </w:p>
    <w:p w14:paraId="36297269">
      <w:pPr>
        <w:shd w:val="clear"/>
        <w:spacing w:line="360" w:lineRule="auto"/>
        <w:ind w:firstLine="472" w:firstLineChars="196"/>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b/>
          <w:color w:val="auto"/>
          <w:sz w:val="24"/>
          <w:highlight w:val="none"/>
        </w:rPr>
        <w:t>评标标准：</w:t>
      </w:r>
      <w:r>
        <w:rPr>
          <w:rFonts w:hint="eastAsia" w:cs="仿宋" w:asciiTheme="majorEastAsia" w:hAnsiTheme="majorEastAsia" w:eastAsiaTheme="majorEastAsia"/>
          <w:color w:val="auto"/>
          <w:kern w:val="0"/>
          <w:sz w:val="24"/>
          <w:highlight w:val="none"/>
        </w:rPr>
        <w:t>见评标办法前附表。</w:t>
      </w:r>
    </w:p>
    <w:p w14:paraId="191BDBEF">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三、评标程序</w:t>
      </w:r>
    </w:p>
    <w:p w14:paraId="307622C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3.1 符合性审查。</w:t>
      </w:r>
      <w:r>
        <w:rPr>
          <w:rFonts w:hint="eastAsia" w:cs="仿宋" w:asciiTheme="majorEastAsia" w:hAnsiTheme="majorEastAsia" w:eastAsiaTheme="majorEastAsia"/>
          <w:color w:val="auto"/>
          <w:kern w:val="0"/>
          <w:sz w:val="24"/>
          <w:highlight w:val="none"/>
        </w:rPr>
        <w:t>评标委员会应当对符合资格的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的投标文件进行符合性审查，以确定其是否满足招标文件的实质性要求。不满足招标文件的实质性要求的，投标无效。</w:t>
      </w:r>
    </w:p>
    <w:p w14:paraId="14807322">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3.2 商务技术评审。</w:t>
      </w:r>
      <w:r>
        <w:rPr>
          <w:rFonts w:hint="eastAsia" w:cs="仿宋" w:asciiTheme="majorEastAsia" w:hAnsiTheme="majorEastAsia" w:eastAsiaTheme="majorEastAsia"/>
          <w:color w:val="auto"/>
          <w:kern w:val="0"/>
          <w:sz w:val="24"/>
          <w:highlight w:val="none"/>
        </w:rPr>
        <w:t>评标委员会应当按照招标文件中规定的评标方法和标准，对符合性审查合格的投标文件进行商务和技术评估。</w:t>
      </w:r>
    </w:p>
    <w:p w14:paraId="1BC2D424">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3.3 汇总商务技术得分。</w:t>
      </w:r>
      <w:r>
        <w:rPr>
          <w:rFonts w:hint="eastAsia" w:cs="仿宋" w:asciiTheme="majorEastAsia" w:hAnsiTheme="majorEastAsia" w:eastAsiaTheme="majorEastAsia"/>
          <w:color w:val="auto"/>
          <w:kern w:val="0"/>
          <w:sz w:val="24"/>
          <w:highlight w:val="none"/>
        </w:rPr>
        <w:t>评标委员会各成员应当独立对每个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的商务和技术文件进行评价，并汇总商务技术得分情况。</w:t>
      </w:r>
    </w:p>
    <w:p w14:paraId="2502BF5B">
      <w:pPr>
        <w:shd w:val="clear"/>
        <w:spacing w:line="360" w:lineRule="auto"/>
        <w:ind w:firstLine="482" w:firstLineChars="2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3.4 报价评审。</w:t>
      </w:r>
    </w:p>
    <w:p w14:paraId="0343051D">
      <w:pPr>
        <w:pStyle w:val="41"/>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3.4.1投标文件报价出现前后不一致的，按照下列规定修正：</w:t>
      </w:r>
    </w:p>
    <w:p w14:paraId="4330F9B9">
      <w:pPr>
        <w:pStyle w:val="41"/>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3.4.1.1电子交易平台生成的开标记录表(报价表)内容与投标文件中开标一览表(报价表)不一致的，以投标文件中开标一览表(报价表)为准；</w:t>
      </w:r>
    </w:p>
    <w:p w14:paraId="29E5E504">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3.4.1.2</w:t>
      </w:r>
      <w:r>
        <w:rPr>
          <w:rFonts w:hint="eastAsia" w:cs="仿宋" w:asciiTheme="majorEastAsia" w:hAnsiTheme="majorEastAsia" w:eastAsiaTheme="majorEastAsia"/>
          <w:color w:val="auto"/>
          <w:kern w:val="0"/>
          <w:highlight w:val="none"/>
        </w:rPr>
        <w:t>投标文件中开标一览表(报价表)内容与投标文件中相应内容不一致的，以开标一览表(报价表)为准；</w:t>
      </w:r>
    </w:p>
    <w:p w14:paraId="09115D6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3.4.1.3 大写金额和小写金额不一致的，以大写金额为准;</w:t>
      </w:r>
    </w:p>
    <w:p w14:paraId="63D5B9D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3.4.1.4 单价金额小数点或者百分比有明显错位的，以开标一览表的总价为准，并修改单价;</w:t>
      </w:r>
    </w:p>
    <w:p w14:paraId="3BA1E13E">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3.4.1.5 总价金额与按单价汇总金额不一致的，以单价金额计算结果为准；</w:t>
      </w:r>
    </w:p>
    <w:p w14:paraId="5AA957E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确认后产生约束力。</w:t>
      </w:r>
    </w:p>
    <w:p w14:paraId="275ED0E8">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3.4.2投标文件出现不是唯一的、有选择性投标报价的，投标无效。</w:t>
      </w:r>
    </w:p>
    <w:p w14:paraId="16C76CC0">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3.4.3投标报价超过招标文件中规定的预算金额或者最高限价的，投标无效。</w:t>
      </w:r>
    </w:p>
    <w:p w14:paraId="0B49059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3.4.4评标委员会认为</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的报价明显低于其他通过符合性审查</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的报价，有可能影响产品质量或者不能诚信履约的，应当要求其在30分钟内提供书面说明，必要时提交相关证明材料;</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不能证明其报价合理性的，评标委员会应当将其作为无效投标处理。</w:t>
      </w:r>
    </w:p>
    <w:p w14:paraId="35A9CAA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3.5编写评标报告。</w:t>
      </w:r>
      <w:r>
        <w:rPr>
          <w:rFonts w:hint="eastAsia" w:cs="仿宋" w:asciiTheme="majorEastAsia" w:hAnsiTheme="majorEastAsia" w:eastAsiaTheme="maj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97E2216">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四、评标中的其他事项</w:t>
      </w:r>
    </w:p>
    <w:p w14:paraId="5817E6F2">
      <w:pPr>
        <w:pStyle w:val="41"/>
        <w:shd w:val="clear"/>
        <w:spacing w:before="0"/>
        <w:ind w:firstLine="482"/>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b/>
          <w:color w:val="auto"/>
          <w:kern w:val="0"/>
          <w:szCs w:val="24"/>
          <w:highlight w:val="none"/>
        </w:rPr>
        <w:t>4.1投标澄清、说明或者补正。</w:t>
      </w:r>
      <w:r>
        <w:rPr>
          <w:rFonts w:hint="eastAsia" w:cs="仿宋" w:asciiTheme="majorEastAsia" w:hAnsiTheme="majorEastAsia" w:eastAsiaTheme="majorEastAsia"/>
          <w:color w:val="auto"/>
          <w:kern w:val="0"/>
          <w:szCs w:val="24"/>
          <w:highlight w:val="none"/>
        </w:rPr>
        <w:t>对于投标文件中含义不明确、同类问题表述不一致或者有明显文字和计算错误的内容需要</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作出必要的澄清、说明或者补正的，评标委员会和</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通过电子交易平台交换数据电文，</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提交使用电子签名的相关数据电文或通过平台上传加盖公章的扫描件。给予</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提交澄清、说明或补正的时间不得少于半小时，</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已经明确表示澄清说明或补正完毕的除外。</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的澄清、说明或者补正不得超出投标文件的范围或者改变投标文件的实质性内容。</w:t>
      </w:r>
    </w:p>
    <w:p w14:paraId="195963AD">
      <w:pPr>
        <w:pStyle w:val="7"/>
        <w:shd w:val="clear"/>
        <w:spacing w:line="360" w:lineRule="auto"/>
        <w:ind w:firstLine="482"/>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b/>
          <w:color w:val="auto"/>
          <w:kern w:val="0"/>
          <w:highlight w:val="none"/>
        </w:rPr>
        <w:t>4.2投标无效的情形。</w:t>
      </w:r>
    </w:p>
    <w:p w14:paraId="7B5A9B6D">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4.2.1 没有响应招标文件实质性要求的投标将被视为无效投标。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不得通过修正或撤消不合要求的偏离或保留从而使其投标成为实质上响应的投标，但经评标委员会认定属于</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修改、补正投标文件后，不影响评标委员会对其投标文件所作的评价和评分结果。</w:t>
      </w:r>
    </w:p>
    <w:p w14:paraId="32C5EEB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 在电子开评标时，如发现下列情形之一的，将被视为无效投标文件：</w:t>
      </w:r>
    </w:p>
    <w:p w14:paraId="6B3B606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4.2.2.1电子投标文件解密失败的；</w:t>
      </w:r>
    </w:p>
    <w:p w14:paraId="4ADD27B2">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4.2.2.2投标文件未按招标文件要求加密、签字、盖章的；（投标文件中加盖</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公章部分均须CA签章。）</w:t>
      </w:r>
    </w:p>
    <w:p w14:paraId="100CA8D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 在资格审查、符合性审查和商务评审时，如发现下列情形之一的，将被视为无效投标文件：</w:t>
      </w:r>
    </w:p>
    <w:p w14:paraId="25FBD360">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 资格证明文件不全的或者不符合招标文件标明的资格要求的；</w:t>
      </w:r>
    </w:p>
    <w:p w14:paraId="107B38E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4.2.3.2 投标文件未按招标文件要求签署、盖章的；</w:t>
      </w:r>
    </w:p>
    <w:p w14:paraId="609D7648">
      <w:pPr>
        <w:shd w:val="clear"/>
        <w:spacing w:line="360" w:lineRule="auto"/>
        <w:ind w:firstLine="480" w:firstLineChars="200"/>
        <w:rPr>
          <w:color w:val="auto"/>
          <w:highlight w:val="none"/>
        </w:rPr>
      </w:pPr>
      <w:r>
        <w:rPr>
          <w:rFonts w:hint="eastAsia" w:cs="仿宋" w:asciiTheme="majorEastAsia" w:hAnsiTheme="majorEastAsia" w:eastAsiaTheme="majorEastAsia"/>
          <w:color w:val="auto"/>
          <w:kern w:val="0"/>
          <w:sz w:val="24"/>
          <w:highlight w:val="none"/>
        </w:rPr>
        <w:t>4.2.3.3投标代表人未能出具身份证明或与法定代表人授权委托人身份不符的；</w:t>
      </w:r>
    </w:p>
    <w:p w14:paraId="7972D69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4.2.3.4 投标文件格式不规范、项目不齐全或者内容虚假的；</w:t>
      </w:r>
    </w:p>
    <w:p w14:paraId="3BB0BAF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4.2.3.5 投标文件的实质性内容未使用中文表述、意思表述不明确、前后矛盾或者使用计量单位不符合招标文件要求的（经评标委员会认定并允许其当场更正的笔误除外）；</w:t>
      </w:r>
    </w:p>
    <w:p w14:paraId="7CB02F7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4.2.3.6 投标有效期、交货时间、质保期等商务条款不能满足招标文件要求的；</w:t>
      </w:r>
    </w:p>
    <w:p w14:paraId="6DF2C4B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4.2.3.7 带“▲”的条款不能满足招标文件要求、未实质性响应招标文件要求或者投标文件有采购人不能接受的附加条件的；</w:t>
      </w:r>
    </w:p>
    <w:p w14:paraId="1817D6B9">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4.2.3.8 单位负责人为同一人或者存在直接控股、管理关系的不同供应商参加同一合同项下的政府采购活动的；</w:t>
      </w:r>
    </w:p>
    <w:p w14:paraId="55BD0CF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4.2.3.9 为采购项目提供整体设计、规范编制或者项目管理、监理、检测等服务的供应商参加该采购项目的其他采购活动的；</w:t>
      </w:r>
    </w:p>
    <w:p w14:paraId="13322B88">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4.2.3.10 商务技术文件中出现本项目投标报价或单价的。</w:t>
      </w:r>
    </w:p>
    <w:p w14:paraId="47A36DF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4.3.在技术评审时，如发现下列情形之一的，将被视为无效投标文件：</w:t>
      </w:r>
    </w:p>
    <w:p w14:paraId="0CA440D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4.3.1未提供或未如实提供投标货物的技术参数，或者投标文件标明的响应或偏离与事实不符或虚假投标的；</w:t>
      </w:r>
    </w:p>
    <w:p w14:paraId="4D39BA8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4.3.2 明显不符合招标文件要求的规格型号、质量标准，或者与招标文件中标“▲”的技术指标、主要功能项目发生实质性偏离的；</w:t>
      </w:r>
    </w:p>
    <w:p w14:paraId="2C14F1E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4.3.3 允许偏离的技术、性能指标或辅助功能项目发生负偏离达</w:t>
      </w:r>
      <w:r>
        <w:rPr>
          <w:rFonts w:hint="eastAsia" w:cs="仿宋" w:asciiTheme="majorEastAsia" w:hAnsiTheme="majorEastAsia" w:eastAsiaTheme="majorEastAsia"/>
          <w:color w:val="auto"/>
          <w:kern w:val="0"/>
          <w:sz w:val="24"/>
          <w:highlight w:val="none"/>
          <w:u w:val="single"/>
          <w:lang w:val="en-US" w:eastAsia="zh-CN"/>
        </w:rPr>
        <w:t>7</w:t>
      </w:r>
      <w:r>
        <w:rPr>
          <w:rFonts w:hint="eastAsia" w:cs="仿宋" w:asciiTheme="majorEastAsia" w:hAnsiTheme="majorEastAsia" w:eastAsiaTheme="majorEastAsia"/>
          <w:color w:val="auto"/>
          <w:kern w:val="0"/>
          <w:sz w:val="24"/>
          <w:highlight w:val="none"/>
          <w:u w:val="none"/>
        </w:rPr>
        <w:t>项</w:t>
      </w:r>
      <w:r>
        <w:rPr>
          <w:rFonts w:hint="eastAsia" w:cs="仿宋" w:asciiTheme="majorEastAsia" w:hAnsiTheme="majorEastAsia" w:eastAsiaTheme="majorEastAsia"/>
          <w:color w:val="auto"/>
          <w:kern w:val="0"/>
          <w:sz w:val="24"/>
          <w:highlight w:val="none"/>
        </w:rPr>
        <w:t>（含）以上的，；</w:t>
      </w:r>
    </w:p>
    <w:p w14:paraId="18A9DD1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4.3.4 投标技术方案不明确，存在一个或一个以上备选（替代）投标方案的；</w:t>
      </w:r>
    </w:p>
    <w:p w14:paraId="253907E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4.3.5 与其他参加本次投标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的投标文件（技术文件）的文字表述内容差错相同2处以上的；</w:t>
      </w:r>
    </w:p>
    <w:p w14:paraId="5E59C2B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 在报价评审时，如发现下列情形之一的，投标文件将被视为无效：</w:t>
      </w:r>
    </w:p>
    <w:p w14:paraId="3D7612D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4.4.1 未采用人民币报价或者未按照招标文件标明的币种报价的；</w:t>
      </w:r>
    </w:p>
    <w:p w14:paraId="0187FE7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4.4.2 报价超出最高限价，或者超出采购预算金额的；</w:t>
      </w:r>
    </w:p>
    <w:p w14:paraId="46AC52F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4.4.3 投标报价具有选择性的；</w:t>
      </w:r>
    </w:p>
    <w:p w14:paraId="1B74B69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4.4.4 投标报价中出现缺项、漏项或被评标委员会认定为有可能影响产品质量或者不能诚信履约的且不能在合理的时间内证明其报价合理性的；</w:t>
      </w:r>
    </w:p>
    <w:p w14:paraId="180DC5B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4.4.5供应商对根据修正原则修正后的报价不确认的。</w:t>
      </w:r>
    </w:p>
    <w:p w14:paraId="206BCE7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4.5其他无效情形：</w:t>
      </w:r>
    </w:p>
    <w:p w14:paraId="0EEC138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4.5.1 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的投标文件出自同一终端设备或在相同Internet主机分配地址（相同IP地址）进行网上报名、投标的；</w:t>
      </w:r>
    </w:p>
    <w:p w14:paraId="3F14059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4.5.2 法律、法规、规章（适用本市的）及省级以上规范性文件（适用本市的）规定的其他无效情形。</w:t>
      </w:r>
    </w:p>
    <w:p w14:paraId="7F212FEA">
      <w:pPr>
        <w:pStyle w:val="7"/>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5.废标。</w:t>
      </w:r>
      <w:r>
        <w:rPr>
          <w:rFonts w:hint="eastAsia" w:cs="仿宋" w:asciiTheme="majorEastAsia" w:hAnsiTheme="majorEastAsia" w:eastAsiaTheme="majorEastAsia"/>
          <w:color w:val="auto"/>
          <w:highlight w:val="none"/>
        </w:rPr>
        <w:t>根据《中华人民共和国政府采购法》第三十六条之规定，在采购中，出现下列情形之一的，应予废标：</w:t>
      </w:r>
    </w:p>
    <w:p w14:paraId="1C161B7D">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5.1符合专业条件的供应商或者对招标文件作实质响应的供应商不足3家的；</w:t>
      </w:r>
    </w:p>
    <w:p w14:paraId="02EE4249">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5.2出现影响采购公正的违法、违规行为的；</w:t>
      </w:r>
    </w:p>
    <w:p w14:paraId="0CDD1760">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5.3</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的报价均超过了采购预算，采购人不能支付的；</w:t>
      </w:r>
    </w:p>
    <w:p w14:paraId="1392AB82">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5.4因重大变故，采购任务取消的。</w:t>
      </w:r>
    </w:p>
    <w:p w14:paraId="051EEDD3">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废标后，采购代理机构应当将废标理由通知所有</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w:t>
      </w:r>
    </w:p>
    <w:p w14:paraId="2ABC8130">
      <w:pPr>
        <w:pStyle w:val="7"/>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6.修改招标文件，重新组织采购活动。</w:t>
      </w:r>
      <w:r>
        <w:rPr>
          <w:rFonts w:hint="eastAsia" w:cs="仿宋" w:asciiTheme="majorEastAsia" w:hAnsiTheme="majorEastAsia" w:eastAsiaTheme="maj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60411BF">
      <w:pPr>
        <w:pStyle w:val="7"/>
        <w:shd w:val="clear"/>
        <w:adjustRightInd w:val="0"/>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highlight w:val="none"/>
        </w:rPr>
        <w:t>7.重新开展采购。</w:t>
      </w:r>
      <w:r>
        <w:rPr>
          <w:rFonts w:hint="eastAsia" w:cs="仿宋" w:asciiTheme="majorEastAsia" w:hAnsiTheme="majorEastAsia" w:eastAsiaTheme="majorEastAsia"/>
          <w:color w:val="auto"/>
          <w:highlight w:val="none"/>
        </w:rPr>
        <w:t>有政府采购法第七十一条、第七十二条规定的违法行为之一，影响或者可能影响中标、成交结果的，依照下列规定处理：</w:t>
      </w:r>
    </w:p>
    <w:p w14:paraId="5F1E7F10">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7.1未确定中标或者中标人的，终止本次政府采购活动，重新开展政府采购活动。</w:t>
      </w:r>
    </w:p>
    <w:p w14:paraId="0039F7B3">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7.2已确定中标或者中标人但尚未签订政府采购合同的，中标或者成交结果无效，重新开展政府采购活动。</w:t>
      </w:r>
    </w:p>
    <w:p w14:paraId="604144A5">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7.3政府采购合同已签订但尚未履行的，撤销合同，重新开展政府采购活动。</w:t>
      </w:r>
    </w:p>
    <w:p w14:paraId="658E194D">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7.4政府采购合同已经履行，给采购人、供应商造成损失的，由责任人承担赔偿责任。</w:t>
      </w:r>
    </w:p>
    <w:p w14:paraId="2A3F7C4B">
      <w:pPr>
        <w:pStyle w:val="7"/>
        <w:shd w:val="clear"/>
        <w:adjustRightInd w:val="0"/>
        <w:snapToGrid w:val="0"/>
        <w:spacing w:line="360" w:lineRule="auto"/>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color w:val="auto"/>
          <w:highlight w:val="none"/>
        </w:rPr>
        <w:t>7.5政府采购当事人有其他违反政府采购法</w:t>
      </w:r>
      <w:r>
        <w:rPr>
          <w:rFonts w:hint="eastAsia" w:cs="仿宋" w:asciiTheme="majorEastAsia" w:hAnsiTheme="majorEastAsia" w:eastAsiaTheme="majorEastAsia"/>
          <w:color w:val="auto"/>
          <w:kern w:val="0"/>
          <w:highlight w:val="none"/>
        </w:rPr>
        <w:t>或者政府采购法实施条例等法律法规规定</w:t>
      </w:r>
      <w:r>
        <w:rPr>
          <w:rFonts w:hint="eastAsia" w:cs="仿宋" w:asciiTheme="majorEastAsia" w:hAnsiTheme="majorEastAsia" w:eastAsiaTheme="majorEastAsia"/>
          <w:color w:val="auto"/>
          <w:highlight w:val="none"/>
        </w:rPr>
        <w:t>的行为，经改正后仍然影响或者可能影响中标、成交结果或者依法被认定为中标、成交无效的，依照7.1-7.4规定处理。</w:t>
      </w:r>
      <w:bookmarkEnd w:id="25"/>
      <w:bookmarkStart w:id="402" w:name="第五部分"/>
      <w:bookmarkStart w:id="403" w:name="_Toc86217003"/>
      <w:r>
        <w:rPr>
          <w:rFonts w:hint="eastAsia" w:cs="仿宋" w:asciiTheme="majorEastAsia" w:hAnsiTheme="majorEastAsia" w:eastAsiaTheme="majorEastAsia"/>
          <w:b/>
          <w:color w:val="auto"/>
          <w:sz w:val="36"/>
          <w:szCs w:val="36"/>
          <w:highlight w:val="none"/>
        </w:rPr>
        <w:br w:type="page"/>
      </w:r>
    </w:p>
    <w:p w14:paraId="6B429AD8">
      <w:pPr>
        <w:pStyle w:val="7"/>
        <w:numPr>
          <w:ilvl w:val="0"/>
          <w:numId w:val="2"/>
        </w:numPr>
        <w:shd w:val="clear"/>
        <w:adjustRightInd w:val="0"/>
        <w:snapToGrid w:val="0"/>
        <w:spacing w:line="360" w:lineRule="auto"/>
        <w:ind w:firstLine="0" w:firstLineChars="0"/>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拟签订的合同文本</w:t>
      </w:r>
    </w:p>
    <w:p w14:paraId="0C4B15B6">
      <w:pPr>
        <w:shd w:val="clear"/>
        <w:spacing w:line="360" w:lineRule="auto"/>
        <w:jc w:val="center"/>
        <w:rPr>
          <w:rFonts w:ascii="仿宋" w:hAnsi="仿宋" w:eastAsia="仿宋" w:cs="仿宋"/>
          <w:b/>
          <w:color w:val="auto"/>
          <w:sz w:val="36"/>
          <w:szCs w:val="36"/>
          <w:highlight w:val="none"/>
        </w:rPr>
      </w:pPr>
    </w:p>
    <w:p w14:paraId="3D86047F">
      <w:pPr>
        <w:shd w:val="clear"/>
        <w:spacing w:line="360" w:lineRule="auto"/>
        <w:jc w:val="center"/>
        <w:rPr>
          <w:rFonts w:ascii="仿宋" w:hAnsi="仿宋" w:eastAsia="仿宋" w:cs="仿宋"/>
          <w:b/>
          <w:color w:val="auto"/>
          <w:sz w:val="36"/>
          <w:szCs w:val="36"/>
          <w:highlight w:val="none"/>
        </w:rPr>
      </w:pPr>
    </w:p>
    <w:p w14:paraId="490862D2">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48A20E9">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47E71B3">
      <w:pPr>
        <w:pStyle w:val="42"/>
        <w:shd w:val="clear"/>
        <w:ind w:left="0" w:leftChars="0" w:firstLine="0" w:firstLineChars="0"/>
        <w:rPr>
          <w:rFonts w:ascii="仿宋" w:hAnsi="仿宋" w:eastAsia="仿宋" w:cs="仿宋"/>
          <w:color w:val="auto"/>
          <w:szCs w:val="24"/>
          <w:highlight w:val="none"/>
        </w:rPr>
      </w:pPr>
    </w:p>
    <w:p w14:paraId="3BF0E738">
      <w:pPr>
        <w:pStyle w:val="42"/>
        <w:shd w:val="clear"/>
        <w:rPr>
          <w:rFonts w:ascii="仿宋" w:hAnsi="仿宋" w:eastAsia="仿宋" w:cs="仿宋"/>
          <w:color w:val="auto"/>
          <w:szCs w:val="24"/>
          <w:highlight w:val="none"/>
        </w:rPr>
      </w:pPr>
    </w:p>
    <w:p w14:paraId="30265891">
      <w:pPr>
        <w:shd w:val="clear"/>
        <w:spacing w:before="120" w:line="360" w:lineRule="auto"/>
        <w:rPr>
          <w:rFonts w:ascii="仿宋" w:hAnsi="仿宋" w:eastAsia="仿宋" w:cs="仿宋"/>
          <w:color w:val="auto"/>
          <w:sz w:val="24"/>
          <w:highlight w:val="none"/>
        </w:rPr>
      </w:pPr>
    </w:p>
    <w:p w14:paraId="6F5C9B5B">
      <w:pPr>
        <w:shd w:val="clear"/>
        <w:spacing w:before="120" w:line="360" w:lineRule="auto"/>
        <w:ind w:left="960" w:firstLine="720" w:firstLineChars="3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奉化区江口街道园中村改造安置房建设工程（二期）配套幼儿园户外改造项目   </w:t>
      </w:r>
    </w:p>
    <w:p w14:paraId="37D46C9A">
      <w:pPr>
        <w:pStyle w:val="34"/>
        <w:shd w:val="clear"/>
        <w:spacing w:before="12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78B105DD">
      <w:pPr>
        <w:pStyle w:val="34"/>
        <w:shd w:val="clear"/>
        <w:spacing w:before="120"/>
        <w:rPr>
          <w:rFonts w:ascii="仿宋" w:hAnsi="仿宋" w:eastAsia="仿宋" w:cs="仿宋"/>
          <w:color w:val="auto"/>
          <w:szCs w:val="24"/>
          <w:highlight w:val="none"/>
        </w:rPr>
      </w:pPr>
    </w:p>
    <w:p w14:paraId="04FF9AB4">
      <w:pPr>
        <w:shd w:val="clear"/>
        <w:spacing w:line="360" w:lineRule="auto"/>
        <w:rPr>
          <w:rFonts w:ascii="仿宋" w:hAnsi="仿宋" w:eastAsia="仿宋" w:cs="仿宋"/>
          <w:color w:val="auto"/>
          <w:sz w:val="24"/>
          <w:highlight w:val="none"/>
        </w:rPr>
      </w:pPr>
    </w:p>
    <w:p w14:paraId="6B7294F1">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宁波市奉化区教育发展投资有限责任公司   </w:t>
      </w:r>
    </w:p>
    <w:p w14:paraId="29C123DA">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AD0DFA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569A91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558C6D8">
      <w:pPr>
        <w:shd w:val="clea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u w:val="single"/>
          <w:lang w:val="zh-CN"/>
        </w:rPr>
        <w:br w:type="page"/>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u w:val="single"/>
          <w:lang w:val="zh-CN"/>
        </w:rPr>
        <w:t xml:space="preserve"> 宁波市奉化区教育发展投资有限责任公司  </w:t>
      </w:r>
      <w:r>
        <w:rPr>
          <w:rFonts w:hint="eastAsia" w:ascii="仿宋" w:hAnsi="仿宋" w:eastAsia="仿宋" w:cs="仿宋"/>
          <w:color w:val="auto"/>
          <w:sz w:val="24"/>
          <w:highlight w:val="none"/>
          <w:lang w:val="zh-CN"/>
        </w:rPr>
        <w:t>以</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公开招标</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对</w:t>
      </w:r>
      <w:r>
        <w:rPr>
          <w:rFonts w:hint="eastAsia" w:ascii="仿宋" w:hAnsi="仿宋" w:eastAsia="仿宋" w:cs="仿宋"/>
          <w:color w:val="auto"/>
          <w:sz w:val="24"/>
          <w:highlight w:val="none"/>
          <w:u w:val="single"/>
          <w:lang w:val="zh-CN"/>
        </w:rPr>
        <w:t>奉化区江口街道园中村改造安置房建设工程（二期）配套幼儿园户外改造</w:t>
      </w:r>
      <w:r>
        <w:rPr>
          <w:rFonts w:hint="eastAsia" w:ascii="仿宋" w:hAnsi="仿宋" w:eastAsia="仿宋" w:cs="仿宋"/>
          <w:color w:val="auto"/>
          <w:sz w:val="24"/>
          <w:highlight w:val="none"/>
          <w:lang w:val="zh-CN"/>
        </w:rPr>
        <w:t>项目进行了采购。经</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评审小组</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评定，</w:t>
      </w:r>
      <w:r>
        <w:rPr>
          <w:rFonts w:hint="eastAsia" w:ascii="仿宋" w:hAnsi="仿宋" w:eastAsia="仿宋" w:cs="仿宋"/>
          <w:color w:val="auto"/>
          <w:sz w:val="24"/>
          <w:highlight w:val="none"/>
          <w:u w:val="single"/>
          <w:lang w:val="zh-CN"/>
        </w:rPr>
        <w:t xml:space="preserve">   （中标供应商名称）</w:t>
      </w:r>
      <w:r>
        <w:rPr>
          <w:rFonts w:hint="eastAsia" w:ascii="仿宋" w:hAnsi="仿宋" w:eastAsia="仿宋" w:cs="仿宋"/>
          <w:color w:val="auto"/>
          <w:sz w:val="24"/>
          <w:highlight w:val="none"/>
          <w:lang w:val="zh-CN"/>
        </w:rPr>
        <w:t>为该项目中标供应商。现于中标通知书发出之日起三十日内，按照采购文件确定的事项签订本合同。</w:t>
      </w:r>
    </w:p>
    <w:p w14:paraId="24135A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宁波市奉化区教育发展投资有限责任公司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C4C4A28">
      <w:pPr>
        <w:shd w:val="clear"/>
        <w:adjustRightInd w:val="0"/>
        <w:spacing w:line="360" w:lineRule="auto"/>
        <w:ind w:firstLine="482" w:firstLineChars="200"/>
        <w:outlineLvl w:val="0"/>
        <w:rPr>
          <w:rFonts w:ascii="仿宋" w:hAnsi="仿宋" w:eastAsia="仿宋" w:cs="仿宋"/>
          <w:b/>
          <w:color w:val="auto"/>
          <w:sz w:val="24"/>
          <w:highlight w:val="none"/>
        </w:rPr>
      </w:pPr>
      <w:bookmarkStart w:id="404" w:name="_Toc2232"/>
      <w:bookmarkStart w:id="405" w:name="_Toc3029"/>
      <w:bookmarkStart w:id="406" w:name="_Toc24059"/>
      <w:r>
        <w:rPr>
          <w:rFonts w:hint="eastAsia" w:ascii="仿宋" w:hAnsi="仿宋" w:eastAsia="仿宋" w:cs="仿宋"/>
          <w:b/>
          <w:color w:val="auto"/>
          <w:sz w:val="24"/>
          <w:highlight w:val="none"/>
        </w:rPr>
        <w:t>1 定义</w:t>
      </w:r>
    </w:p>
    <w:p w14:paraId="2AE62B1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EA12C3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“合同”系指采购人和中标供应商签订的载明双方当事人所达成的协议，并包括所有的附件、附录和构成合同的其他文件。</w:t>
      </w:r>
    </w:p>
    <w:p w14:paraId="79782A7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“合同价”系指根据合同约定，中标供应商在完全履行合同义务后，采购人应支付给中标供应商的价格。</w:t>
      </w:r>
    </w:p>
    <w:p w14:paraId="25269A0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“货物”系指中标供应商根据合同约定应向采购人交付的一切各种形态和种类的物品，包括原材料、燃料、设备、机械、仪表、备件、计算机软件、产品等，并包括工具、手册等其他相关资料。</w:t>
      </w:r>
    </w:p>
    <w:p w14:paraId="247668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“甲方”系指与中标供应商签署合同的采购人；采购人委托采购代理机构代表其与乙方签订合同的，采购人的授权委托书作为合同附件。</w:t>
      </w:r>
    </w:p>
    <w:p w14:paraId="6EB7C5C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6BB009D">
      <w:pPr>
        <w:shd w:val="clea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1.6 “现场”系指合同约定货物将要运至或者安装的地点。</w:t>
      </w:r>
    </w:p>
    <w:p w14:paraId="47D3E8F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 合同组成部分</w:t>
      </w:r>
      <w:bookmarkEnd w:id="404"/>
      <w:bookmarkEnd w:id="405"/>
      <w:bookmarkEnd w:id="406"/>
    </w:p>
    <w:p w14:paraId="2F750D5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2AF0B76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本合同及其补充合同、变更协议；</w:t>
      </w:r>
    </w:p>
    <w:p w14:paraId="04A08EA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中标通知书；</w:t>
      </w:r>
    </w:p>
    <w:p w14:paraId="75E3508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投标文件（含澄清或者说明文件）；</w:t>
      </w:r>
    </w:p>
    <w:p w14:paraId="281473B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招标文件（含澄清或者修改文件）；</w:t>
      </w:r>
    </w:p>
    <w:p w14:paraId="1262F9D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其他相关采购文件。</w:t>
      </w:r>
    </w:p>
    <w:p w14:paraId="1E9A5733">
      <w:pPr>
        <w:shd w:val="clear"/>
        <w:adjustRightInd w:val="0"/>
        <w:spacing w:line="360" w:lineRule="auto"/>
        <w:ind w:firstLine="482" w:firstLineChars="200"/>
        <w:outlineLvl w:val="0"/>
        <w:rPr>
          <w:rFonts w:ascii="仿宋" w:hAnsi="仿宋" w:eastAsia="仿宋" w:cs="仿宋"/>
          <w:b/>
          <w:color w:val="auto"/>
          <w:sz w:val="24"/>
          <w:highlight w:val="none"/>
        </w:rPr>
      </w:pPr>
      <w:bookmarkStart w:id="407" w:name="_Toc24300"/>
      <w:bookmarkStart w:id="408" w:name="_Toc27126"/>
      <w:bookmarkStart w:id="409" w:name="_Toc21295"/>
      <w:r>
        <w:rPr>
          <w:rFonts w:hint="eastAsia" w:ascii="仿宋" w:hAnsi="仿宋" w:eastAsia="仿宋" w:cs="仿宋"/>
          <w:b/>
          <w:color w:val="auto"/>
          <w:sz w:val="24"/>
          <w:highlight w:val="none"/>
        </w:rPr>
        <w:t>3 货物</w:t>
      </w:r>
      <w:bookmarkEnd w:id="407"/>
      <w:bookmarkEnd w:id="408"/>
      <w:bookmarkEnd w:id="409"/>
    </w:p>
    <w:tbl>
      <w:tblPr>
        <w:tblStyle w:val="18"/>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14:paraId="2089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6FDDDCA">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538E2AAB">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925" w:type="dxa"/>
            <w:tcBorders>
              <w:top w:val="single" w:color="auto" w:sz="4" w:space="0"/>
              <w:left w:val="single" w:color="auto" w:sz="4" w:space="0"/>
              <w:bottom w:val="single" w:color="auto" w:sz="4" w:space="0"/>
              <w:right w:val="single" w:color="auto" w:sz="4" w:space="0"/>
            </w:tcBorders>
            <w:vAlign w:val="center"/>
          </w:tcPr>
          <w:p w14:paraId="6D30A482">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1C041360">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品牌名称</w:t>
            </w:r>
          </w:p>
        </w:tc>
        <w:tc>
          <w:tcPr>
            <w:tcW w:w="3461" w:type="dxa"/>
            <w:tcBorders>
              <w:top w:val="single" w:color="auto" w:sz="4" w:space="0"/>
              <w:left w:val="single" w:color="auto" w:sz="4" w:space="0"/>
              <w:bottom w:val="single" w:color="auto" w:sz="4" w:space="0"/>
              <w:right w:val="single" w:color="auto" w:sz="4" w:space="0"/>
            </w:tcBorders>
            <w:vAlign w:val="center"/>
          </w:tcPr>
          <w:p w14:paraId="581B483A">
            <w:pPr>
              <w:pStyle w:val="38"/>
              <w:shd w:val="clea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规格型号/技术要求/质量要求</w:t>
            </w:r>
          </w:p>
        </w:tc>
        <w:tc>
          <w:tcPr>
            <w:tcW w:w="1186" w:type="dxa"/>
            <w:tcBorders>
              <w:top w:val="single" w:color="auto" w:sz="4" w:space="0"/>
              <w:left w:val="single" w:color="auto" w:sz="4" w:space="0"/>
              <w:bottom w:val="single" w:color="auto" w:sz="4" w:space="0"/>
              <w:right w:val="single" w:color="auto" w:sz="4" w:space="0"/>
            </w:tcBorders>
            <w:vAlign w:val="center"/>
          </w:tcPr>
          <w:p w14:paraId="74F8BCC1">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r>
      <w:tr w14:paraId="0622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A77B929">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5A65AA5A">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4E5B4B4">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708CBFF8">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AEA7B57">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0B73BB10">
            <w:pPr>
              <w:pStyle w:val="38"/>
              <w:shd w:val="clear"/>
              <w:spacing w:line="360" w:lineRule="auto"/>
              <w:ind w:firstLine="200"/>
              <w:jc w:val="center"/>
              <w:rPr>
                <w:rFonts w:ascii="仿宋" w:hAnsi="仿宋" w:eastAsia="仿宋" w:cs="仿宋"/>
                <w:color w:val="auto"/>
                <w:sz w:val="24"/>
                <w:szCs w:val="24"/>
                <w:highlight w:val="none"/>
              </w:rPr>
            </w:pPr>
          </w:p>
        </w:tc>
      </w:tr>
      <w:tr w14:paraId="5D3A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084DA12">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0566CA8">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7370F14">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85013D8">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43972CD">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2253055">
            <w:pPr>
              <w:pStyle w:val="38"/>
              <w:shd w:val="clear"/>
              <w:spacing w:line="360" w:lineRule="auto"/>
              <w:ind w:firstLine="200"/>
              <w:jc w:val="center"/>
              <w:rPr>
                <w:rFonts w:ascii="仿宋" w:hAnsi="仿宋" w:eastAsia="仿宋" w:cs="仿宋"/>
                <w:color w:val="auto"/>
                <w:sz w:val="24"/>
                <w:szCs w:val="24"/>
                <w:highlight w:val="none"/>
              </w:rPr>
            </w:pPr>
          </w:p>
        </w:tc>
      </w:tr>
      <w:tr w14:paraId="5018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7583B0E4">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E5BFE5F">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2E7DA2A9">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D5A4F6C">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6114052D">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5C6EC73C">
            <w:pPr>
              <w:pStyle w:val="38"/>
              <w:shd w:val="clear"/>
              <w:spacing w:line="360" w:lineRule="auto"/>
              <w:ind w:firstLine="200"/>
              <w:jc w:val="center"/>
              <w:rPr>
                <w:rFonts w:ascii="仿宋" w:hAnsi="仿宋" w:eastAsia="仿宋" w:cs="仿宋"/>
                <w:color w:val="auto"/>
                <w:sz w:val="24"/>
                <w:szCs w:val="24"/>
                <w:highlight w:val="none"/>
              </w:rPr>
            </w:pPr>
          </w:p>
        </w:tc>
      </w:tr>
      <w:tr w14:paraId="5BFB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39300D1">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3E1C75AA">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508767CF">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D51E7D0">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43D88FA5">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A64CB6B">
            <w:pPr>
              <w:pStyle w:val="38"/>
              <w:shd w:val="clear"/>
              <w:spacing w:line="360" w:lineRule="auto"/>
              <w:ind w:firstLine="200"/>
              <w:jc w:val="center"/>
              <w:rPr>
                <w:rFonts w:ascii="仿宋" w:hAnsi="仿宋" w:eastAsia="仿宋" w:cs="仿宋"/>
                <w:color w:val="auto"/>
                <w:sz w:val="24"/>
                <w:szCs w:val="24"/>
                <w:highlight w:val="none"/>
              </w:rPr>
            </w:pPr>
          </w:p>
        </w:tc>
      </w:tr>
    </w:tbl>
    <w:p w14:paraId="14167E5A">
      <w:pPr>
        <w:pStyle w:val="25"/>
        <w:shd w:val="clear"/>
        <w:ind w:firstLine="560"/>
        <w:rPr>
          <w:color w:val="auto"/>
          <w:highlight w:val="none"/>
        </w:rPr>
      </w:pPr>
    </w:p>
    <w:p w14:paraId="5587A101">
      <w:pPr>
        <w:shd w:val="clear"/>
        <w:adjustRightInd w:val="0"/>
        <w:spacing w:line="360" w:lineRule="auto"/>
        <w:ind w:firstLine="482" w:firstLineChars="200"/>
        <w:outlineLvl w:val="0"/>
        <w:rPr>
          <w:rFonts w:ascii="仿宋" w:hAnsi="仿宋" w:eastAsia="仿宋" w:cs="仿宋"/>
          <w:b/>
          <w:color w:val="auto"/>
          <w:sz w:val="24"/>
          <w:highlight w:val="none"/>
        </w:rPr>
      </w:pPr>
      <w:bookmarkStart w:id="410" w:name="_Toc21551"/>
      <w:bookmarkStart w:id="411" w:name="_Toc21631"/>
      <w:bookmarkStart w:id="412" w:name="_Toc23292"/>
      <w:r>
        <w:rPr>
          <w:rFonts w:hint="eastAsia" w:ascii="仿宋" w:hAnsi="仿宋" w:eastAsia="仿宋" w:cs="仿宋"/>
          <w:b/>
          <w:color w:val="auto"/>
          <w:sz w:val="24"/>
          <w:highlight w:val="none"/>
        </w:rPr>
        <w:t>4 价款</w:t>
      </w:r>
      <w:bookmarkEnd w:id="410"/>
      <w:bookmarkEnd w:id="411"/>
      <w:bookmarkEnd w:id="412"/>
    </w:p>
    <w:p w14:paraId="0FFA4C0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BA74ED">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F29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5CCD2F">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AF2DF2E">
            <w:pPr>
              <w:pStyle w:val="38"/>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D8E96CA">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D18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67AE202">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5D5D322">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439100C">
            <w:pPr>
              <w:pStyle w:val="38"/>
              <w:shd w:val="clear"/>
              <w:spacing w:line="360" w:lineRule="auto"/>
              <w:ind w:firstLine="200"/>
              <w:jc w:val="center"/>
              <w:rPr>
                <w:rFonts w:ascii="仿宋" w:hAnsi="仿宋" w:eastAsia="仿宋" w:cs="仿宋"/>
                <w:color w:val="auto"/>
                <w:sz w:val="24"/>
                <w:szCs w:val="24"/>
                <w:highlight w:val="none"/>
              </w:rPr>
            </w:pPr>
          </w:p>
        </w:tc>
      </w:tr>
      <w:tr w14:paraId="55C3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178D00">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A4DC0B9">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A421D64">
            <w:pPr>
              <w:pStyle w:val="38"/>
              <w:shd w:val="clear"/>
              <w:spacing w:line="360" w:lineRule="auto"/>
              <w:ind w:firstLine="200"/>
              <w:jc w:val="center"/>
              <w:rPr>
                <w:rFonts w:ascii="仿宋" w:hAnsi="仿宋" w:eastAsia="仿宋" w:cs="仿宋"/>
                <w:color w:val="auto"/>
                <w:sz w:val="24"/>
                <w:szCs w:val="24"/>
                <w:highlight w:val="none"/>
              </w:rPr>
            </w:pPr>
          </w:p>
        </w:tc>
      </w:tr>
      <w:tr w14:paraId="2403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9891E5">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C681B6D">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C361AC5">
            <w:pPr>
              <w:pStyle w:val="38"/>
              <w:shd w:val="clear"/>
              <w:spacing w:line="360" w:lineRule="auto"/>
              <w:ind w:firstLine="200"/>
              <w:jc w:val="center"/>
              <w:rPr>
                <w:rFonts w:ascii="仿宋" w:hAnsi="仿宋" w:eastAsia="仿宋" w:cs="仿宋"/>
                <w:color w:val="auto"/>
                <w:sz w:val="24"/>
                <w:szCs w:val="24"/>
                <w:highlight w:val="none"/>
              </w:rPr>
            </w:pPr>
          </w:p>
        </w:tc>
      </w:tr>
      <w:tr w14:paraId="7B9E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69EAD9">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9C93C5">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D90EFEE">
            <w:pPr>
              <w:pStyle w:val="38"/>
              <w:shd w:val="clear"/>
              <w:spacing w:line="360" w:lineRule="auto"/>
              <w:ind w:firstLine="200"/>
              <w:jc w:val="center"/>
              <w:rPr>
                <w:rFonts w:ascii="仿宋" w:hAnsi="仿宋" w:eastAsia="仿宋" w:cs="仿宋"/>
                <w:color w:val="auto"/>
                <w:sz w:val="24"/>
                <w:szCs w:val="24"/>
                <w:highlight w:val="none"/>
              </w:rPr>
            </w:pPr>
          </w:p>
        </w:tc>
      </w:tr>
      <w:tr w14:paraId="4844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7777D4D">
            <w:pPr>
              <w:pStyle w:val="38"/>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72F75F4">
            <w:pPr>
              <w:pStyle w:val="38"/>
              <w:shd w:val="clear"/>
              <w:spacing w:line="360" w:lineRule="auto"/>
              <w:ind w:firstLine="200"/>
              <w:jc w:val="center"/>
              <w:rPr>
                <w:rFonts w:ascii="仿宋" w:hAnsi="仿宋" w:eastAsia="仿宋" w:cs="仿宋"/>
                <w:color w:val="auto"/>
                <w:sz w:val="24"/>
                <w:szCs w:val="24"/>
                <w:highlight w:val="none"/>
              </w:rPr>
            </w:pPr>
          </w:p>
        </w:tc>
      </w:tr>
    </w:tbl>
    <w:p w14:paraId="070E466A">
      <w:pPr>
        <w:shd w:val="clear"/>
        <w:adjustRightInd w:val="0"/>
        <w:spacing w:line="360" w:lineRule="auto"/>
        <w:ind w:firstLine="482" w:firstLineChars="200"/>
        <w:outlineLvl w:val="0"/>
        <w:rPr>
          <w:rFonts w:ascii="仿宋" w:hAnsi="仿宋" w:eastAsia="仿宋" w:cs="仿宋"/>
          <w:b/>
          <w:color w:val="auto"/>
          <w:sz w:val="24"/>
          <w:highlight w:val="none"/>
        </w:rPr>
      </w:pPr>
      <w:bookmarkStart w:id="413" w:name="_Toc10340"/>
      <w:bookmarkStart w:id="414" w:name="_Toc22618"/>
      <w:bookmarkStart w:id="415" w:name="_Toc1814"/>
      <w:r>
        <w:rPr>
          <w:rFonts w:hint="eastAsia" w:ascii="仿宋" w:hAnsi="仿宋" w:eastAsia="仿宋" w:cs="仿宋"/>
          <w:b/>
          <w:color w:val="auto"/>
          <w:sz w:val="24"/>
          <w:highlight w:val="none"/>
        </w:rPr>
        <w:t>5 付款</w:t>
      </w:r>
      <w:bookmarkEnd w:id="413"/>
      <w:bookmarkEnd w:id="414"/>
      <w:bookmarkEnd w:id="415"/>
      <w:r>
        <w:rPr>
          <w:rFonts w:hint="eastAsia" w:ascii="仿宋" w:hAnsi="仿宋" w:eastAsia="仿宋" w:cs="仿宋"/>
          <w:b/>
          <w:color w:val="auto"/>
          <w:sz w:val="24"/>
          <w:highlight w:val="none"/>
        </w:rPr>
        <w:t>方式、时间和条件</w:t>
      </w:r>
    </w:p>
    <w:p w14:paraId="1849CF83">
      <w:pPr>
        <w:pStyle w:val="37"/>
        <w:shd w:val="clear"/>
        <w:spacing w:before="0" w:beforeAutospacing="0" w:after="0" w:afterAutospacing="0" w:line="360" w:lineRule="auto"/>
        <w:ind w:firstLine="480"/>
        <w:rPr>
          <w:rFonts w:ascii="仿宋" w:hAnsi="仿宋" w:eastAsia="仿宋" w:cs="仿宋"/>
          <w:b/>
          <w:bCs/>
          <w:i/>
          <w:iCs/>
          <w:color w:val="auto"/>
          <w:kern w:val="2"/>
          <w:highlight w:val="none"/>
          <w:u w:val="single"/>
        </w:rPr>
      </w:pPr>
      <w:bookmarkStart w:id="416" w:name="_Toc2846"/>
      <w:bookmarkStart w:id="417" w:name="_Toc32071"/>
      <w:bookmarkStart w:id="418" w:name="_Toc19304"/>
      <w:r>
        <w:rPr>
          <w:rFonts w:hint="eastAsia" w:ascii="仿宋" w:hAnsi="仿宋" w:eastAsia="仿宋" w:cs="仿宋"/>
          <w:color w:val="auto"/>
          <w:kern w:val="2"/>
          <w:highlight w:val="none"/>
        </w:rPr>
        <w:t>5.1 资金支付的方式、时间和条件：</w:t>
      </w:r>
      <w:r>
        <w:rPr>
          <w:rFonts w:hint="eastAsia" w:ascii="仿宋" w:hAnsi="仿宋" w:eastAsia="仿宋" w:cs="仿宋"/>
          <w:b/>
          <w:bCs/>
          <w:i/>
          <w:iCs/>
          <w:color w:val="auto"/>
          <w:kern w:val="2"/>
          <w:highlight w:val="none"/>
          <w:u w:val="single"/>
        </w:rPr>
        <w:t xml:space="preserve"> </w:t>
      </w:r>
      <w:r>
        <w:rPr>
          <w:rFonts w:hint="eastAsia" w:ascii="仿宋" w:hAnsi="仿宋" w:eastAsia="仿宋" w:cs="仿宋"/>
          <w:b w:val="0"/>
          <w:bCs w:val="0"/>
          <w:i w:val="0"/>
          <w:iCs w:val="0"/>
          <w:color w:val="auto"/>
          <w:kern w:val="2"/>
          <w:highlight w:val="none"/>
          <w:u w:val="single"/>
        </w:rPr>
        <w:t>合同签订后招标人向中标人支付合同价的25%的货物预付款；项目验收合格后支付至合同价的98%；余款在质保期满后付清。（支付款项前，中标人需提供有效正规增值税</w:t>
      </w:r>
      <w:r>
        <w:rPr>
          <w:rFonts w:hint="eastAsia" w:ascii="仿宋" w:hAnsi="仿宋" w:eastAsia="仿宋" w:cs="仿宋"/>
          <w:b w:val="0"/>
          <w:bCs w:val="0"/>
          <w:i w:val="0"/>
          <w:iCs w:val="0"/>
          <w:color w:val="auto"/>
          <w:kern w:val="2"/>
          <w:highlight w:val="none"/>
          <w:u w:val="single"/>
          <w:lang w:val="en-US" w:eastAsia="zh-CN"/>
        </w:rPr>
        <w:t>专用</w:t>
      </w:r>
      <w:r>
        <w:rPr>
          <w:rFonts w:hint="eastAsia" w:ascii="仿宋" w:hAnsi="仿宋" w:eastAsia="仿宋" w:cs="仿宋"/>
          <w:b w:val="0"/>
          <w:bCs w:val="0"/>
          <w:i w:val="0"/>
          <w:iCs w:val="0"/>
          <w:color w:val="auto"/>
          <w:kern w:val="2"/>
          <w:highlight w:val="none"/>
          <w:u w:val="single"/>
        </w:rPr>
        <w:t>发票，采购人在收到中标供应商提供的发票后在合同约定的时间支付相应款项，否则采购人有权延迟支付相应费用而不被视为违约，亦无须承担任何违约责任。）</w:t>
      </w:r>
      <w:r>
        <w:rPr>
          <w:rFonts w:hint="eastAsia" w:ascii="仿宋" w:hAnsi="仿宋" w:eastAsia="仿宋" w:cs="仿宋"/>
          <w:b/>
          <w:bCs/>
          <w:i/>
          <w:iCs/>
          <w:color w:val="auto"/>
          <w:kern w:val="2"/>
          <w:highlight w:val="none"/>
          <w:u w:val="single"/>
        </w:rPr>
        <w:t xml:space="preserve"> </w:t>
      </w:r>
    </w:p>
    <w:p w14:paraId="669A3501">
      <w:pPr>
        <w:pStyle w:val="37"/>
        <w:shd w:val="clear"/>
        <w:spacing w:before="0" w:beforeAutospacing="0" w:after="0" w:afterAutospacing="0" w:line="360" w:lineRule="auto"/>
        <w:ind w:firstLine="480"/>
        <w:rPr>
          <w:rFonts w:ascii="仿宋" w:hAnsi="仿宋" w:eastAsia="仿宋" w:cs="仿宋"/>
          <w:color w:val="auto"/>
          <w:kern w:val="2"/>
          <w:highlight w:val="none"/>
        </w:rPr>
      </w:pPr>
      <w:r>
        <w:rPr>
          <w:rFonts w:hint="eastAsia" w:ascii="仿宋" w:hAnsi="仿宋" w:eastAsia="仿宋" w:cs="仿宋"/>
          <w:color w:val="auto"/>
          <w:kern w:val="2"/>
          <w:highlight w:val="none"/>
        </w:rPr>
        <w:t>5.2 乙方收款账户：</w:t>
      </w:r>
    </w:p>
    <w:p w14:paraId="314B5F9C">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16D72074">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7170ADB6">
      <w:pPr>
        <w:shd w:val="clear"/>
        <w:autoSpaceDE w:val="0"/>
        <w:autoSpaceDN w:val="0"/>
        <w:spacing w:line="360" w:lineRule="auto"/>
        <w:ind w:left="1470" w:leftChars="700"/>
        <w:rPr>
          <w:rFonts w:ascii="仿宋" w:hAnsi="仿宋" w:eastAsia="仿宋" w:cs="仿宋"/>
          <w:color w:val="auto"/>
          <w:sz w:val="24"/>
          <w:highlight w:val="none"/>
          <w:lang w:val="zh-CN"/>
        </w:rPr>
      </w:pPr>
      <w:r>
        <w:rPr>
          <w:rFonts w:hint="eastAsia" w:ascii="仿宋" w:hAnsi="仿宋" w:eastAsia="仿宋" w:cs="仿宋"/>
          <w:color w:val="auto"/>
          <w:sz w:val="24"/>
          <w:highlight w:val="none"/>
        </w:rPr>
        <w:t>开户账号：</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lang w:val="zh-CN"/>
        </w:rPr>
        <w:t xml:space="preserve">      </w:t>
      </w:r>
    </w:p>
    <w:p w14:paraId="78A59FFD">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6 货物交付期限、地点</w:t>
      </w:r>
      <w:bookmarkEnd w:id="416"/>
      <w:bookmarkEnd w:id="417"/>
      <w:bookmarkEnd w:id="418"/>
    </w:p>
    <w:p w14:paraId="1828B338">
      <w:pPr>
        <w:shd w:val="clear"/>
        <w:adjustRightIn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6.1 交付期限：</w:t>
      </w:r>
      <w:r>
        <w:rPr>
          <w:rFonts w:hint="eastAsia" w:ascii="仿宋" w:hAnsi="仿宋" w:eastAsia="仿宋" w:cs="仿宋"/>
          <w:b/>
          <w:i/>
          <w:color w:val="auto"/>
          <w:highlight w:val="none"/>
          <w:u w:val="single"/>
        </w:rPr>
        <w:t xml:space="preserve">   </w:t>
      </w:r>
      <w:r>
        <w:rPr>
          <w:rFonts w:hint="eastAsia" w:ascii="仿宋" w:hAnsi="仿宋" w:eastAsia="仿宋" w:cs="仿宋"/>
          <w:bCs/>
          <w:iCs/>
          <w:color w:val="auto"/>
          <w:highlight w:val="none"/>
          <w:u w:val="single"/>
        </w:rPr>
        <w:t xml:space="preserve">符合进场施工条件起60日历天。 </w:t>
      </w:r>
      <w:r>
        <w:rPr>
          <w:rFonts w:hint="eastAsia" w:ascii="仿宋" w:hAnsi="仿宋" w:eastAsia="仿宋" w:cs="仿宋"/>
          <w:b/>
          <w:i/>
          <w:color w:val="auto"/>
          <w:highlight w:val="none"/>
          <w:u w:val="single"/>
        </w:rPr>
        <w:t xml:space="preserve"> </w:t>
      </w:r>
    </w:p>
    <w:p w14:paraId="408382CB">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 交付地点：</w:t>
      </w:r>
      <w:r>
        <w:rPr>
          <w:rFonts w:hint="eastAsia" w:ascii="仿宋" w:hAnsi="仿宋" w:eastAsia="仿宋" w:cs="仿宋"/>
          <w:b/>
          <w:i/>
          <w:color w:val="auto"/>
          <w:highlight w:val="none"/>
          <w:u w:val="single"/>
        </w:rPr>
        <w:t xml:space="preserve">        </w:t>
      </w:r>
      <w:r>
        <w:rPr>
          <w:rFonts w:hint="eastAsia" w:ascii="仿宋" w:hAnsi="仿宋" w:eastAsia="仿宋" w:cs="仿宋"/>
          <w:bCs/>
          <w:iCs/>
          <w:color w:val="auto"/>
          <w:highlight w:val="none"/>
          <w:u w:val="single"/>
        </w:rPr>
        <w:t>业主指定地点。</w:t>
      </w:r>
      <w:r>
        <w:rPr>
          <w:rFonts w:hint="eastAsia" w:ascii="仿宋" w:hAnsi="仿宋" w:eastAsia="仿宋" w:cs="仿宋"/>
          <w:b/>
          <w:i/>
          <w:color w:val="auto"/>
          <w:highlight w:val="none"/>
          <w:u w:val="single"/>
        </w:rPr>
        <w:t xml:space="preserve">           </w:t>
      </w:r>
    </w:p>
    <w:p w14:paraId="45FBDF0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7 技术规范</w:t>
      </w:r>
    </w:p>
    <w:p w14:paraId="22EFB78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7BBC9819">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8 知识产权</w:t>
      </w:r>
    </w:p>
    <w:p w14:paraId="3B12F5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CE3E6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8.2具有知识产权的计算机软件等货物的知识产权归属，除合同另有规定外，归甲方所有。</w:t>
      </w:r>
    </w:p>
    <w:p w14:paraId="79BDDA9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9 包装和装运</w:t>
      </w:r>
    </w:p>
    <w:p w14:paraId="626CF4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D9320E6">
      <w:pPr>
        <w:shd w:val="clea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510FD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10 履约保证金</w:t>
      </w:r>
    </w:p>
    <w:p w14:paraId="43786A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10.1 招标文件要求乙方提交履约保证金的，乙方应按</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方式（可以支票、汇票、本票或者银行保函等非现金形式），在合同签订并生效后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日内提交不超过合同金额1%的履约保证金。</w:t>
      </w:r>
    </w:p>
    <w:p w14:paraId="295822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10.2  履约保证金在</w:t>
      </w:r>
      <w:r>
        <w:rPr>
          <w:rFonts w:hint="eastAsia" w:ascii="仿宋" w:hAnsi="仿宋" w:eastAsia="仿宋" w:cs="仿宋"/>
          <w:b/>
          <w:i/>
          <w:color w:val="auto"/>
          <w:highlight w:val="none"/>
          <w:u w:val="single"/>
        </w:rPr>
        <w:t xml:space="preserve">              </w:t>
      </w:r>
      <w:r>
        <w:rPr>
          <w:rFonts w:hint="eastAsia" w:ascii="仿宋" w:hAnsi="仿宋" w:eastAsia="仿宋" w:cs="仿宋"/>
          <w:color w:val="auto"/>
          <w:sz w:val="24"/>
          <w:highlight w:val="none"/>
        </w:rPr>
        <w:t>（合同规定的履约时间）内不予退还。乙方在前述约定期间届满前能履行完合同约定义务事项的，甲方在前述约定期间届满之日起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个工作日内，将履约保证金无息退还乙方。</w:t>
      </w:r>
    </w:p>
    <w:p w14:paraId="3AA2FB2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B98CD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11 履约检查和问题反馈</w:t>
      </w:r>
    </w:p>
    <w:p w14:paraId="16F9DEC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11.1甲方有权在其认为必要时，对乙方是否能够按照合同约定交付货物进行履约检查，以确保乙方所交付的货物能够依约满足甲方之项目需求，但不得因履约检查妨碍乙方的正常工作，乙方应予积极配合；</w:t>
      </w:r>
    </w:p>
    <w:p w14:paraId="6B431B7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合同履行期间，甲方有权将履行过程中出现的问题反馈给乙方，双方当事人应以书面形式约定需要完善和改进的内容。</w:t>
      </w:r>
    </w:p>
    <w:p w14:paraId="386F37FC">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12 检验和验收</w:t>
      </w:r>
    </w:p>
    <w:p w14:paraId="5FB2484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12.1货物交付前，乙方应对货物的质量、数量等方面进行详细、全面的检验，并向甲方出具证明货物符合合同约定的文件；货物交付时，乙方在交付后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个工作日内组织验收，并可依法邀请相关方参加，验收应出具验收书。</w:t>
      </w:r>
    </w:p>
    <w:p w14:paraId="755391E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681FF2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技术资料和保密义务</w:t>
      </w:r>
    </w:p>
    <w:p w14:paraId="0141351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 乙方有权依据合同约定和项目需要，向甲方了解有关情况，调阅有关资料等，甲方应予积极配合；</w:t>
      </w:r>
    </w:p>
    <w:p w14:paraId="52C1E9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13.2 乙方有义务妥善保管和保护由甲方提供的前款信息和资料等；</w:t>
      </w:r>
    </w:p>
    <w:p w14:paraId="2C657B4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230541">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14 质量保证及售后服务</w:t>
      </w:r>
    </w:p>
    <w:p w14:paraId="32152FE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14.1 乙方应建立和完善履行合同的内部质量保证体系，并提供相关内部规章制度给甲方，以便甲方进行监督检查；</w:t>
      </w:r>
    </w:p>
    <w:p w14:paraId="16C1066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乙方应保证履行合同的人员数量和素质、软件和硬件设备的配置、场地、环境和设施等满足全面履行合同的要求，并应接受甲方的监督检查。</w:t>
      </w:r>
    </w:p>
    <w:p w14:paraId="4E803F5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 质保期：</w:t>
      </w:r>
    </w:p>
    <w:p w14:paraId="5F88566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售后技术服务：</w:t>
      </w:r>
    </w:p>
    <w:p w14:paraId="0446B29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 货物交付</w:t>
      </w:r>
    </w:p>
    <w:p w14:paraId="7905BAA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15.1 货物所有权：乙方自货物交付起，甲方获得该货物的所有权，对该货物享有占有、使用、收益和处分的权利。</w:t>
      </w:r>
    </w:p>
    <w:p w14:paraId="5B310E0F">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15.2 货物交付：交付方式：</w:t>
      </w:r>
      <w:r>
        <w:rPr>
          <w:rFonts w:hint="eastAsia" w:ascii="仿宋" w:hAnsi="仿宋" w:eastAsia="仿宋" w:cs="仿宋"/>
          <w:color w:val="auto"/>
          <w:sz w:val="24"/>
          <w:highlight w:val="none"/>
          <w:u w:val="single"/>
        </w:rPr>
        <w:t>现实交付</w:t>
      </w:r>
      <w:r>
        <w:rPr>
          <w:rFonts w:hint="eastAsia" w:ascii="仿宋" w:hAnsi="仿宋" w:eastAsia="仿宋" w:cs="仿宋"/>
          <w:color w:val="auto"/>
          <w:sz w:val="24"/>
          <w:highlight w:val="none"/>
        </w:rPr>
        <w:t>，如果该货物有从物（附件）应与货物一并交付。交付地点：</w:t>
      </w:r>
      <w:r>
        <w:rPr>
          <w:rFonts w:hint="eastAsia" w:ascii="仿宋" w:hAnsi="仿宋" w:eastAsia="仿宋" w:cs="仿宋"/>
          <w:color w:val="auto"/>
          <w:sz w:val="24"/>
          <w:highlight w:val="none"/>
          <w:u w:val="single"/>
        </w:rPr>
        <w:t>甲方指定地点</w:t>
      </w:r>
      <w:r>
        <w:rPr>
          <w:rFonts w:hint="eastAsia" w:ascii="仿宋" w:hAnsi="仿宋" w:eastAsia="仿宋" w:cs="仿宋"/>
          <w:color w:val="auto"/>
          <w:sz w:val="24"/>
          <w:highlight w:val="none"/>
        </w:rPr>
        <w:t>。</w:t>
      </w:r>
    </w:p>
    <w:p w14:paraId="338864D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货物瑕疵担保责任</w:t>
      </w:r>
    </w:p>
    <w:p w14:paraId="7DD0F85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15.3.1乙方保证所提供的货物不受其他人追夺和不存在没有被告知的权利负担。</w:t>
      </w:r>
    </w:p>
    <w:p w14:paraId="154DBCB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15.3.2乙方保证在本合同有效期内，所提供的产品无质量瑕疵或质量不符合本合同及其它相关文件中规定的要求，均是正规生产厂家生产并获得市场准入的正规产品。</w:t>
      </w:r>
    </w:p>
    <w:p w14:paraId="20244AE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15.3.3如果甲方发现提供的产品存在质量瑕疵或质量不符合规定的要求，甲方有权要求乙方在规定的时间内进行维修或更换，并由乙方承担相应的费用。</w:t>
      </w:r>
    </w:p>
    <w:p w14:paraId="1D0E7A2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15.3.4在质量瑕疵或质量不符合规定的情况下，乙方应对甲方承担相应的赔偿责任。</w:t>
      </w:r>
    </w:p>
    <w:p w14:paraId="7D4518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15.3.5乙方应当在规定的时间内对甲方提出的投诉或索赔做出及时回复。</w:t>
      </w:r>
    </w:p>
    <w:p w14:paraId="6545BF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15.3.6如果主要货物存在瑕疵需解除合同，其效力及于从物（附件），如果从物有瑕疵但不及主物使用的，则合同解除效力不及主物；如果交付货物为数物的其中一物有瑕疵，甲方就有瑕疵的部分解除合同；如果分批交付货物的某批货物存在瑕疵，甲方就该批货物解除合同，但如果各批交付的货物是互有联系的，甲方则可以就该批以及以后各批货物解除合同。</w:t>
      </w:r>
    </w:p>
    <w:p w14:paraId="10F565B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15.3.7乙方应保证在本合同有效期内提供有效的售后服务，并负责更换或调整相关产品。</w:t>
      </w:r>
    </w:p>
    <w:p w14:paraId="5BECA2A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 货物风险承担</w:t>
      </w:r>
    </w:p>
    <w:p w14:paraId="3BF934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15.4.1甲方亲自提取标的物的，乙方将标的物置于约定或法定地点时起，风险由甲方承担。</w:t>
      </w:r>
    </w:p>
    <w:p w14:paraId="471D4CB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15.4.2乙方出卖交由承运人运输的在途标的物，除当事人另有约定外，自合同成立时起，在途风险由甲方承担。乙方在合同成立时知道或者应当知道标的物已经毁损、灭失却未告知甲方的，由乙方负担风险。</w:t>
      </w:r>
    </w:p>
    <w:p w14:paraId="604862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15.4.3对于需要运输的标的物，没有约定交付地点或约定不明确的，自乙方将标的物交付给第一承运人起，风险由甲方承担。“标的物需要运输的”是指标的物由乙方负责办理托运，承运人系独立于合同当事人之外的运输业者的情形。</w:t>
      </w:r>
    </w:p>
    <w:p w14:paraId="78AAD2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15.4.4甲方受领迟延的，自迟延成立时起由甲方负担标的物风险。</w:t>
      </w:r>
    </w:p>
    <w:p w14:paraId="1B0F530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15.4.5乙方按照约定未交付有关标的物的单证和资料的，不影响风险的转移。</w:t>
      </w:r>
    </w:p>
    <w:p w14:paraId="4CBECE2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15.4.6因标的物质量不符合要求致使不能实现合同目的，甲方拒绝接受标的物或者解除合同的，风险由乙方承担。</w:t>
      </w:r>
    </w:p>
    <w:p w14:paraId="1E113E3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15.4.7风险由甲方承担的，不影响因乙方违约、甲方要求其承担违约责任的权利。</w:t>
      </w:r>
    </w:p>
    <w:p w14:paraId="1B3246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15.4.8甲乙双方对风险负担没有约定，标的物为种类物，乙方未以装运单据、加盖标记、通知甲方等可识别的方式清楚地将标的物特定于合同，甲方不负担风险。</w:t>
      </w:r>
    </w:p>
    <w:p w14:paraId="1DE320B5">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16 延迟交货</w:t>
      </w:r>
    </w:p>
    <w:p w14:paraId="7FAC76B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69E4F44">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合同变更</w:t>
      </w:r>
    </w:p>
    <w:p w14:paraId="7C885F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6168C47">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18 合同转让和分包</w:t>
      </w:r>
    </w:p>
    <w:p w14:paraId="709CA5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本合同不允许转让。</w:t>
      </w:r>
    </w:p>
    <w:p w14:paraId="2B62C0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本合同不允许分包。但采购文件允许且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BDA3BBD">
      <w:pPr>
        <w:shd w:val="clear"/>
        <w:spacing w:line="360" w:lineRule="auto"/>
        <w:ind w:firstLine="482" w:firstLineChars="200"/>
        <w:outlineLvl w:val="0"/>
        <w:rPr>
          <w:rFonts w:ascii="仿宋" w:hAnsi="仿宋" w:eastAsia="仿宋" w:cs="仿宋"/>
          <w:b/>
          <w:color w:val="auto"/>
          <w:sz w:val="24"/>
          <w:highlight w:val="none"/>
        </w:rPr>
      </w:pPr>
      <w:bookmarkStart w:id="419" w:name="_Toc21423"/>
      <w:bookmarkStart w:id="420" w:name="_Toc27250"/>
      <w:bookmarkStart w:id="421" w:name="_Toc19554"/>
      <w:r>
        <w:rPr>
          <w:rFonts w:hint="eastAsia" w:ascii="仿宋" w:hAnsi="仿宋" w:eastAsia="仿宋" w:cs="仿宋"/>
          <w:b/>
          <w:color w:val="auto"/>
          <w:sz w:val="24"/>
          <w:highlight w:val="none"/>
        </w:rPr>
        <w:t>19 违约责任</w:t>
      </w:r>
      <w:bookmarkEnd w:id="419"/>
      <w:bookmarkEnd w:id="420"/>
      <w:bookmarkEnd w:id="421"/>
    </w:p>
    <w:p w14:paraId="4B2E526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除不可抗力外，如果乙方拒绝履行合同，或没有按照本合同约定的期限、地点和方式交付货物，那么甲方可要求乙方支付违约金，违约金按每日计合同总价的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%；迟延交付货物的违约金计算数额达到前述最高限额之日起，甲方有权在要求乙方支付违约金的同时，书面通知乙方并解除本合同；</w:t>
      </w:r>
    </w:p>
    <w:p w14:paraId="67F3006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%；迟延付款的违约金计算数额达到前述最高限额之日起，乙方有权在要求甲方支付违约金的同时，书面通知甲方并解除本合同；</w:t>
      </w:r>
    </w:p>
    <w:p w14:paraId="560F95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并解除本合同；</w:t>
      </w:r>
    </w:p>
    <w:p w14:paraId="4DB4F63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3DEAF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914EF6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19.6 如果出现政府采购监督管理部门在处理投诉事项期间，书面通知甲方暂停采购活动的情形，或者询问或质疑事项可能影响中标结果的，导致甲方中止履行合同的情形，均不视为甲方违约。</w:t>
      </w:r>
    </w:p>
    <w:p w14:paraId="1FB7DCEE">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不可抗力</w:t>
      </w:r>
    </w:p>
    <w:p w14:paraId="4FB8E3D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20.1如果任何一方遭遇法律规定的不可抗力，致使合同履行受阻时，履行合同的期限应予延长，延长的期限应相当于不可抗力所影响的时间；</w:t>
      </w:r>
    </w:p>
    <w:p w14:paraId="215333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 因不可抗力致使不能实现合同目的的，当事人可以解除合同；</w:t>
      </w:r>
    </w:p>
    <w:p w14:paraId="0E20DEE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20.3 因不可抗力致使合同有变更必要的，双方当事人应在不可抗力发生后</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日内以书面形式变更合同；</w:t>
      </w:r>
    </w:p>
    <w:p w14:paraId="5468BA7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20.4受不可抗力影响的一方在不可抗力发生后，应在</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日内以书面形式通知对方当事人，并在</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rPr>
        <w:t>日内，将有关部门出具的证明文件送达对方当事人。</w:t>
      </w:r>
    </w:p>
    <w:p w14:paraId="7034B0C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 税费</w:t>
      </w:r>
    </w:p>
    <w:p w14:paraId="772AC3F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74582A32">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22 乙方破产</w:t>
      </w:r>
    </w:p>
    <w:p w14:paraId="3B4BB6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1861796">
      <w:pPr>
        <w:shd w:val="clear"/>
        <w:spacing w:line="360" w:lineRule="auto"/>
        <w:ind w:firstLine="482" w:firstLineChars="200"/>
        <w:outlineLvl w:val="0"/>
        <w:rPr>
          <w:rFonts w:ascii="仿宋" w:hAnsi="仿宋" w:eastAsia="仿宋" w:cs="仿宋"/>
          <w:b/>
          <w:color w:val="auto"/>
          <w:sz w:val="24"/>
          <w:highlight w:val="none"/>
        </w:rPr>
      </w:pPr>
      <w:bookmarkStart w:id="422" w:name="_Toc28375"/>
      <w:bookmarkStart w:id="423" w:name="_Toc15583"/>
      <w:bookmarkStart w:id="424" w:name="_Toc16021"/>
      <w:r>
        <w:rPr>
          <w:rFonts w:hint="eastAsia" w:ascii="仿宋" w:hAnsi="仿宋" w:eastAsia="仿宋" w:cs="仿宋"/>
          <w:b/>
          <w:color w:val="auto"/>
          <w:sz w:val="24"/>
          <w:highlight w:val="none"/>
        </w:rPr>
        <w:t>23 合同争议的解决</w:t>
      </w:r>
      <w:bookmarkEnd w:id="422"/>
      <w:bookmarkEnd w:id="423"/>
      <w:bookmarkEnd w:id="424"/>
    </w:p>
    <w:p w14:paraId="01A6CFD3">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本合同履行过程中发生的任何争议，双方当事人均可通过和解或者调解解决；不愿和解、调解或者和解、调解不成的，可以向宁波市奉化区人民法院提起诉讼。</w:t>
      </w:r>
    </w:p>
    <w:p w14:paraId="3905D17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24 合同中止、终止</w:t>
      </w:r>
    </w:p>
    <w:p w14:paraId="0AAF350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 双方当事人不得擅自中止或者终止合同；</w:t>
      </w:r>
    </w:p>
    <w:p w14:paraId="6947CA6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24.2合同继续履行将损害国家利益和社会公共利益的，双方当事人应当中止或者终止合同。有过错的一方应当承担赔偿责任，双方当事人都有过错的，各自承担相应的责任。</w:t>
      </w:r>
    </w:p>
    <w:p w14:paraId="1BC17A2F">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25 通知和送达</w:t>
      </w:r>
    </w:p>
    <w:p w14:paraId="473EF50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25.1任何一方因履行合同而以合同第一部分尾部所列明的传真或电子邮件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5421C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以当面交付方式送达的，交付之时视为送达；以电子邮件方式送达的，发出电子邮件之时视为送达；以传真方式送达的，发出传真之时视为送达；以邮寄方式送达的，邮件挂号寄出或者交邮之日之次日视为送达。</w:t>
      </w:r>
    </w:p>
    <w:p w14:paraId="098D0E1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26 计量单位</w:t>
      </w:r>
    </w:p>
    <w:p w14:paraId="7AF9DB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3E6FE6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27合同使用的文字和适用的法律</w:t>
      </w:r>
    </w:p>
    <w:p w14:paraId="4949733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合同使用汉语书就、变更和解释；</w:t>
      </w:r>
    </w:p>
    <w:p w14:paraId="5ABA328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合同适用中华人民共和国法律。</w:t>
      </w:r>
    </w:p>
    <w:p w14:paraId="5C7E31ED">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28合同效力</w:t>
      </w:r>
    </w:p>
    <w:p w14:paraId="76C00D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本合同一式四份，甲乙双方各两份，每份均具有同等法律效力。本合同自双方当事人盖章或者签字时生效。</w:t>
      </w:r>
    </w:p>
    <w:p w14:paraId="458A7FE0">
      <w:pPr>
        <w:shd w:val="clear"/>
        <w:autoSpaceDE w:val="0"/>
        <w:autoSpaceDN w:val="0"/>
        <w:spacing w:line="360" w:lineRule="auto"/>
        <w:rPr>
          <w:rFonts w:ascii="仿宋" w:hAnsi="仿宋" w:eastAsia="仿宋" w:cs="仿宋"/>
          <w:color w:val="auto"/>
          <w:sz w:val="24"/>
          <w:highlight w:val="none"/>
          <w:lang w:val="zh-CN"/>
        </w:rPr>
      </w:pPr>
    </w:p>
    <w:p w14:paraId="6692206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甲方名称（公章）</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乙方名称（公章）</w:t>
      </w:r>
      <w:r>
        <w:rPr>
          <w:rFonts w:hint="eastAsia" w:ascii="仿宋" w:hAnsi="仿宋" w:eastAsia="仿宋" w:cs="仿宋"/>
          <w:color w:val="auto"/>
          <w:sz w:val="24"/>
          <w:highlight w:val="none"/>
          <w:lang w:val="zh-CN"/>
        </w:rPr>
        <w:t>：</w:t>
      </w:r>
    </w:p>
    <w:p w14:paraId="3709A11F">
      <w:pPr>
        <w:shd w:val="clear"/>
        <w:autoSpaceDE w:val="0"/>
        <w:autoSpaceDN w:val="0"/>
        <w:spacing w:line="360" w:lineRule="auto"/>
        <w:rPr>
          <w:rFonts w:ascii="仿宋" w:hAnsi="仿宋" w:eastAsia="仿宋" w:cs="仿宋"/>
          <w:color w:val="auto"/>
          <w:sz w:val="24"/>
          <w:highlight w:val="none"/>
          <w:lang w:val="zh-CN"/>
        </w:rPr>
      </w:pPr>
    </w:p>
    <w:p w14:paraId="1AA535B9">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12BA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A61FB0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 xml:space="preserve"> 法定代表人或授权代表（签字）: </w:t>
      </w:r>
    </w:p>
    <w:p w14:paraId="29EE76B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FCF69D3">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5EDFE4">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EE6059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470C5F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4365D7">
      <w:pPr>
        <w:pStyle w:val="25"/>
        <w:shd w:val="clear"/>
        <w:spacing w:line="360" w:lineRule="auto"/>
        <w:ind w:firstLine="480"/>
        <w:rPr>
          <w:rFonts w:ascii="仿宋" w:hAnsi="仿宋" w:eastAsia="仿宋" w:cs="仿宋"/>
          <w:color w:val="auto"/>
          <w:sz w:val="24"/>
          <w:highlight w:val="none"/>
        </w:rPr>
      </w:pPr>
    </w:p>
    <w:p w14:paraId="73BCB587">
      <w:pPr>
        <w:pStyle w:val="25"/>
        <w:shd w:val="clear"/>
        <w:spacing w:line="360" w:lineRule="auto"/>
        <w:ind w:firstLine="480"/>
        <w:rPr>
          <w:rFonts w:ascii="仿宋" w:hAnsi="仿宋" w:eastAsia="仿宋" w:cs="仿宋"/>
          <w:color w:val="auto"/>
          <w:sz w:val="24"/>
          <w:highlight w:val="none"/>
        </w:rPr>
      </w:pPr>
    </w:p>
    <w:p w14:paraId="6BC124A4">
      <w:pPr>
        <w:pStyle w:val="25"/>
        <w:shd w:val="clear"/>
        <w:spacing w:line="360" w:lineRule="auto"/>
        <w:ind w:firstLine="0" w:firstLineChars="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rPr>
        <w:t>见证人（公章）：采购代理机构名称</w:t>
      </w:r>
    </w:p>
    <w:p w14:paraId="69D06472">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住所：                             </w:t>
      </w:r>
    </w:p>
    <w:p w14:paraId="178BB5A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p>
    <w:p w14:paraId="6082DAED">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联系人：                                                                    </w:t>
      </w:r>
    </w:p>
    <w:p w14:paraId="0ED65E18">
      <w:pPr>
        <w:pStyle w:val="25"/>
        <w:shd w:val="clear"/>
        <w:ind w:firstLine="0" w:firstLineChars="0"/>
        <w:rPr>
          <w:color w:val="auto"/>
          <w:highlight w:val="none"/>
        </w:rPr>
      </w:pPr>
      <w:r>
        <w:rPr>
          <w:rFonts w:hint="eastAsia" w:ascii="仿宋" w:hAnsi="仿宋" w:eastAsia="仿宋" w:cs="仿宋"/>
          <w:color w:val="auto"/>
          <w:sz w:val="24"/>
          <w:highlight w:val="none"/>
          <w:lang w:val="zh-CN"/>
        </w:rPr>
        <w:t>电话:</w:t>
      </w:r>
      <w:r>
        <w:rPr>
          <w:color w:val="auto"/>
          <w:highlight w:val="none"/>
        </w:rPr>
        <w:br w:type="page"/>
      </w:r>
    </w:p>
    <w:p w14:paraId="105F20C4">
      <w:pPr>
        <w:shd w:val="clear"/>
        <w:spacing w:line="360" w:lineRule="auto"/>
        <w:jc w:val="center"/>
        <w:rPr>
          <w:rFonts w:cs="仿宋" w:asciiTheme="majorEastAsia" w:hAnsiTheme="majorEastAsia" w:eastAsiaTheme="majorEastAsia"/>
          <w:b/>
          <w:color w:val="auto"/>
          <w:sz w:val="24"/>
          <w:highlight w:val="none"/>
        </w:rPr>
      </w:pPr>
    </w:p>
    <w:p w14:paraId="1C788C09">
      <w:pPr>
        <w:shd w:val="clear"/>
        <w:spacing w:line="360" w:lineRule="auto"/>
        <w:ind w:left="720" w:firstLine="723" w:firstLineChars="200"/>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402"/>
      <w:r>
        <w:rPr>
          <w:rFonts w:hint="eastAsia" w:cs="仿宋" w:asciiTheme="majorEastAsia" w:hAnsiTheme="majorEastAsia" w:eastAsiaTheme="majorEastAsia"/>
          <w:b/>
          <w:color w:val="auto"/>
          <w:sz w:val="36"/>
          <w:szCs w:val="20"/>
          <w:highlight w:val="none"/>
        </w:rPr>
        <w:t xml:space="preserve"> </w:t>
      </w:r>
      <w:bookmarkEnd w:id="403"/>
      <w:r>
        <w:rPr>
          <w:rFonts w:hint="eastAsia" w:cs="仿宋" w:asciiTheme="majorEastAsia" w:hAnsiTheme="majorEastAsia" w:eastAsiaTheme="majorEastAsia"/>
          <w:b/>
          <w:color w:val="auto"/>
          <w:sz w:val="36"/>
          <w:szCs w:val="20"/>
          <w:highlight w:val="none"/>
        </w:rPr>
        <w:t>应提交的有关格式范例</w:t>
      </w:r>
    </w:p>
    <w:p w14:paraId="6DDB8B75">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60FF8203">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6612AEB0">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2C1D7E63">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7D0541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有效的企业法人营业执照（或事业法人登记证）、其他组织（个体工商户）的营业执照或者民办非企业单位登记证书；</w:t>
      </w:r>
    </w:p>
    <w:p w14:paraId="657B716E">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符合参加政府采购活动应当具备的一般条件的承诺函；</w:t>
      </w:r>
    </w:p>
    <w:p w14:paraId="3B978B09">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落实政府采购政策需满足的资格要求；</w:t>
      </w:r>
    </w:p>
    <w:p w14:paraId="243EC00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本项目的特定资格要求。</w:t>
      </w:r>
    </w:p>
    <w:p w14:paraId="3905D0CB">
      <w:pPr>
        <w:pStyle w:val="25"/>
        <w:shd w:val="clear"/>
        <w:spacing w:line="360" w:lineRule="auto"/>
        <w:ind w:firstLine="480"/>
        <w:rPr>
          <w:rFonts w:cs="仿宋" w:asciiTheme="majorEastAsia" w:hAnsiTheme="majorEastAsia" w:eastAsiaTheme="majorEastAsia"/>
          <w:color w:val="auto"/>
          <w:sz w:val="24"/>
          <w:highlight w:val="none"/>
        </w:rPr>
      </w:pPr>
    </w:p>
    <w:p w14:paraId="1290F429">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0A561910">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0B9AE1D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0D02B1F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我方参与（项目名称）【项目编号：     】政府采购活动，郑重承诺：</w:t>
      </w:r>
    </w:p>
    <w:p w14:paraId="5E599BAE">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63EB2EE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p>
    <w:p w14:paraId="46F3D67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006AC06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7AC424B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449B638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0754260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1EAFCF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（二）未被信用中国（www.creditchina.gov.cn)、中国政府采购网（www.ccgp.gov.cn）列入失信被执行人、重大税收违法失信主体、政府采购严重违法失信行为记录名单。</w:t>
      </w:r>
    </w:p>
    <w:p w14:paraId="23CC358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3E504317">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7E78BD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29186535">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02B1BF06">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2B41D6B9">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1C6CAF8F">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454E474D">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5FC7785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D54BD1D">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4DE606D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二、落实政府采购政策需满足的资格要求</w:t>
      </w:r>
    </w:p>
    <w:p w14:paraId="52C6D1B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79DD0DB1">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.专门面向中小企业，货物全部由符合政策要求的中小企业（或小微企业）制造或者服务全部由符合政策要求的中小企业（或小微企业）承接的，提供相应的中小企业声明函。 </w:t>
      </w:r>
    </w:p>
    <w:p w14:paraId="20B4BCCE">
      <w:pPr>
        <w:widowControl/>
        <w:shd w:val="clear"/>
        <w:spacing w:line="360" w:lineRule="auto"/>
        <w:ind w:firstLine="480"/>
        <w:jc w:val="left"/>
        <w:rPr>
          <w:rFonts w:cs="仿宋" w:asciiTheme="majorEastAsia" w:hAnsiTheme="majorEastAsia" w:eastAsiaTheme="majorEastAsia"/>
          <w:color w:val="auto"/>
          <w:sz w:val="24"/>
          <w:highlight w:val="none"/>
        </w:rPr>
      </w:pPr>
    </w:p>
    <w:p w14:paraId="6DEB3B94">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1A50AF6">
      <w:pPr>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rPr>
        <w:t>三、本项目的特定资格要求</w:t>
      </w:r>
    </w:p>
    <w:p w14:paraId="0E515156">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44F0C0C3">
      <w:pPr>
        <w:shd w:val="clear"/>
        <w:spacing w:line="360" w:lineRule="auto"/>
        <w:rPr>
          <w:rFonts w:cs="仿宋" w:asciiTheme="majorEastAsia" w:hAnsiTheme="majorEastAsia" w:eastAsiaTheme="majorEastAsia"/>
          <w:color w:val="auto"/>
          <w:highlight w:val="none"/>
        </w:rPr>
      </w:pPr>
    </w:p>
    <w:p w14:paraId="3403FCE8">
      <w:pPr>
        <w:shd w:val="clear"/>
        <w:spacing w:line="360" w:lineRule="auto"/>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br w:type="page"/>
      </w:r>
    </w:p>
    <w:p w14:paraId="0EB1D6EC">
      <w:pPr>
        <w:shd w:val="clear"/>
        <w:spacing w:line="360" w:lineRule="auto"/>
        <w:ind w:right="420"/>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14644616">
      <w:pPr>
        <w:shd w:val="clear"/>
        <w:spacing w:line="360" w:lineRule="auto"/>
        <w:jc w:val="center"/>
        <w:outlineLvl w:val="0"/>
        <w:rPr>
          <w:rFonts w:cs="仿宋" w:asciiTheme="majorEastAsia" w:hAnsiTheme="majorEastAsia" w:eastAsiaTheme="majorEastAsia"/>
          <w:b/>
          <w:color w:val="auto"/>
          <w:kern w:val="0"/>
          <w:sz w:val="24"/>
          <w:highlight w:val="none"/>
        </w:rPr>
      </w:pPr>
    </w:p>
    <w:p w14:paraId="3D57BF3B">
      <w:pPr>
        <w:shd w:val="clear"/>
        <w:spacing w:line="360" w:lineRule="auto"/>
        <w:ind w:left="3990" w:leftChars="1900"/>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 录</w:t>
      </w:r>
    </w:p>
    <w:p w14:paraId="0EE2B605">
      <w:pPr>
        <w:shd w:val="clear"/>
        <w:snapToGrid w:val="0"/>
        <w:spacing w:line="360" w:lineRule="auto"/>
        <w:ind w:firstLine="960" w:firstLineChars="400"/>
        <w:rPr>
          <w:rFonts w:cs="仿宋" w:asciiTheme="majorEastAsia" w:hAnsiTheme="majorEastAsia" w:eastAsiaTheme="majorEastAsia"/>
          <w:color w:val="auto"/>
          <w:sz w:val="24"/>
          <w:highlight w:val="none"/>
        </w:rPr>
      </w:pPr>
    </w:p>
    <w:p w14:paraId="2D4D4F24">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1评分索引表</w:t>
      </w:r>
    </w:p>
    <w:p w14:paraId="29AE533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符合性自查表；</w:t>
      </w:r>
    </w:p>
    <w:p w14:paraId="21031A8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投标函；</w:t>
      </w:r>
      <w:r>
        <w:rPr>
          <w:rFonts w:hint="eastAsia" w:cs="仿宋" w:asciiTheme="majorEastAsia" w:hAnsiTheme="majorEastAsia" w:eastAsiaTheme="majorEastAsia"/>
          <w:color w:val="auto"/>
          <w:sz w:val="28"/>
          <w:szCs w:val="28"/>
          <w:highlight w:val="none"/>
          <w:lang w:val="zh-CN"/>
        </w:rPr>
        <w:t xml:space="preserve"> </w:t>
      </w:r>
    </w:p>
    <w:p w14:paraId="722A307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授权委托书或法定代表人（单位负责人、自然人本人）身份证明；</w:t>
      </w:r>
    </w:p>
    <w:p w14:paraId="2DF2640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投标人基本情况表；</w:t>
      </w:r>
    </w:p>
    <w:p w14:paraId="2602FCC9">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距采购人最近或者能为本项目提供最优服务的网点情况表；</w:t>
      </w:r>
    </w:p>
    <w:p w14:paraId="5CFE8470">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评标标准相应的商务技术资料；</w:t>
      </w:r>
    </w:p>
    <w:p w14:paraId="660FB22F">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8 商务响应表；</w:t>
      </w:r>
    </w:p>
    <w:p w14:paraId="16D0062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9 技术响应表；</w:t>
      </w:r>
    </w:p>
    <w:p w14:paraId="2D039708">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10 同类业绩情况一览表；</w:t>
      </w:r>
    </w:p>
    <w:p w14:paraId="081C9653">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lang w:val="zh-CN"/>
        </w:rPr>
      </w:pPr>
      <w:r>
        <w:rPr>
          <w:rFonts w:hint="eastAsia" w:cs="仿宋" w:asciiTheme="majorEastAsia" w:hAnsiTheme="majorEastAsia" w:eastAsiaTheme="majorEastAsia"/>
          <w:color w:val="auto"/>
          <w:sz w:val="28"/>
          <w:szCs w:val="28"/>
          <w:highlight w:val="none"/>
        </w:rPr>
        <w:t xml:space="preserve">11 </w:t>
      </w:r>
      <w:r>
        <w:rPr>
          <w:rFonts w:hint="eastAsia" w:cs="仿宋" w:asciiTheme="majorEastAsia" w:hAnsiTheme="majorEastAsia" w:eastAsiaTheme="majorEastAsia"/>
          <w:color w:val="auto"/>
          <w:sz w:val="28"/>
          <w:szCs w:val="28"/>
          <w:highlight w:val="none"/>
          <w:lang w:val="zh-CN"/>
        </w:rPr>
        <w:t>政府采购供应商廉洁自律承诺书；</w:t>
      </w:r>
    </w:p>
    <w:p w14:paraId="63CC08A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12 其他资料。</w:t>
      </w:r>
    </w:p>
    <w:p w14:paraId="4A73849B">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p>
    <w:p w14:paraId="3D74BFC3">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评分索引表</w:t>
      </w:r>
    </w:p>
    <w:p w14:paraId="69510623">
      <w:pPr>
        <w:shd w:val="clear"/>
        <w:snapToGrid w:val="0"/>
        <w:spacing w:before="50" w:after="50"/>
        <w:rPr>
          <w:rFonts w:ascii="宋体" w:hAnsi="宋体"/>
          <w:b/>
          <w:color w:val="auto"/>
          <w:sz w:val="24"/>
          <w:highlight w:val="none"/>
        </w:rPr>
      </w:pPr>
    </w:p>
    <w:p w14:paraId="455D4875">
      <w:pPr>
        <w:shd w:val="clear"/>
        <w:snapToGrid w:val="0"/>
        <w:spacing w:before="50" w:after="50" w:line="360" w:lineRule="auto"/>
        <w:rPr>
          <w:rFonts w:ascii="宋体" w:hAnsi="宋体"/>
          <w:b/>
          <w:color w:val="auto"/>
          <w:sz w:val="24"/>
          <w:highlight w:val="none"/>
          <w:u w:val="single"/>
        </w:rPr>
      </w:pPr>
      <w:r>
        <w:rPr>
          <w:rFonts w:hint="eastAsia" w:ascii="宋体" w:hAnsi="宋体"/>
          <w:b/>
          <w:color w:val="auto"/>
          <w:sz w:val="24"/>
          <w:highlight w:val="none"/>
        </w:rPr>
        <w:t>投标单位名称：</w:t>
      </w:r>
    </w:p>
    <w:tbl>
      <w:tblPr>
        <w:tblStyle w:val="18"/>
        <w:tblW w:w="87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5819"/>
        <w:gridCol w:w="1627"/>
      </w:tblGrid>
      <w:tr w14:paraId="0B746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9F369D7">
            <w:pPr>
              <w:pStyle w:val="15"/>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序号</w:t>
            </w:r>
          </w:p>
        </w:tc>
        <w:tc>
          <w:tcPr>
            <w:tcW w:w="5819" w:type="dxa"/>
            <w:tcBorders>
              <w:top w:val="single" w:color="auto" w:sz="4" w:space="0"/>
              <w:left w:val="single" w:color="auto" w:sz="4" w:space="0"/>
              <w:bottom w:val="single" w:color="auto" w:sz="4" w:space="0"/>
              <w:right w:val="single" w:color="auto" w:sz="4" w:space="0"/>
            </w:tcBorders>
            <w:vAlign w:val="center"/>
          </w:tcPr>
          <w:p w14:paraId="2C7EC551">
            <w:pPr>
              <w:pStyle w:val="15"/>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评分标准</w:t>
            </w:r>
          </w:p>
        </w:tc>
        <w:tc>
          <w:tcPr>
            <w:tcW w:w="1627" w:type="dxa"/>
            <w:tcBorders>
              <w:top w:val="single" w:color="auto" w:sz="4" w:space="0"/>
              <w:left w:val="single" w:color="auto" w:sz="4" w:space="0"/>
              <w:bottom w:val="single" w:color="auto" w:sz="4" w:space="0"/>
              <w:right w:val="single" w:color="auto" w:sz="4" w:space="0"/>
            </w:tcBorders>
            <w:vAlign w:val="center"/>
          </w:tcPr>
          <w:p w14:paraId="1D8A0E93">
            <w:pPr>
              <w:pStyle w:val="15"/>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页码</w:t>
            </w:r>
          </w:p>
        </w:tc>
      </w:tr>
      <w:tr w14:paraId="7431E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54BBB59">
            <w:pPr>
              <w:widowControl/>
              <w:shd w:val="clear"/>
              <w:jc w:val="center"/>
              <w:rPr>
                <w:rFonts w:ascii="宋体" w:hAnsi="宋体"/>
                <w:color w:val="auto"/>
                <w:sz w:val="24"/>
                <w:highlight w:val="none"/>
              </w:rPr>
            </w:pPr>
            <w:r>
              <w:rPr>
                <w:rFonts w:hint="eastAsia" w:ascii="宋体" w:hAnsi="宋体"/>
                <w:color w:val="auto"/>
                <w:sz w:val="24"/>
                <w:highlight w:val="none"/>
              </w:rPr>
              <w:t>1</w:t>
            </w:r>
          </w:p>
        </w:tc>
        <w:tc>
          <w:tcPr>
            <w:tcW w:w="5819" w:type="dxa"/>
            <w:tcBorders>
              <w:top w:val="single" w:color="auto" w:sz="4" w:space="0"/>
              <w:left w:val="single" w:color="auto" w:sz="4" w:space="0"/>
              <w:right w:val="single" w:color="auto" w:sz="4" w:space="0"/>
            </w:tcBorders>
            <w:vAlign w:val="center"/>
          </w:tcPr>
          <w:p w14:paraId="7320BF46">
            <w:pPr>
              <w:shd w:val="clear"/>
              <w:jc w:val="center"/>
              <w:rPr>
                <w:rFonts w:ascii="宋体" w:hAnsi="宋体"/>
                <w:color w:val="auto"/>
                <w:sz w:val="24"/>
                <w:highlight w:val="none"/>
              </w:rPr>
            </w:pPr>
            <w:r>
              <w:rPr>
                <w:rFonts w:hint="eastAsia" w:ascii="宋体" w:hAnsi="宋体"/>
                <w:color w:val="auto"/>
                <w:sz w:val="24"/>
                <w:highlight w:val="none"/>
              </w:rPr>
              <w:t>（报价除外）</w:t>
            </w:r>
          </w:p>
        </w:tc>
        <w:tc>
          <w:tcPr>
            <w:tcW w:w="1627" w:type="dxa"/>
            <w:tcBorders>
              <w:top w:val="single" w:color="auto" w:sz="4" w:space="0"/>
              <w:left w:val="single" w:color="auto" w:sz="4" w:space="0"/>
              <w:right w:val="single" w:color="auto" w:sz="4" w:space="0"/>
            </w:tcBorders>
            <w:vAlign w:val="center"/>
          </w:tcPr>
          <w:p w14:paraId="3B82F89C">
            <w:pPr>
              <w:shd w:val="clear"/>
              <w:jc w:val="center"/>
              <w:rPr>
                <w:rFonts w:ascii="宋体" w:hAnsi="宋体"/>
                <w:bCs/>
                <w:color w:val="auto"/>
                <w:sz w:val="24"/>
                <w:highlight w:val="none"/>
              </w:rPr>
            </w:pPr>
          </w:p>
        </w:tc>
      </w:tr>
      <w:tr w14:paraId="6C57A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062CA2B">
            <w:pPr>
              <w:widowControl/>
              <w:shd w:val="clear"/>
              <w:jc w:val="center"/>
              <w:rPr>
                <w:rFonts w:ascii="宋体" w:hAnsi="宋体"/>
                <w:color w:val="auto"/>
                <w:sz w:val="24"/>
                <w:highlight w:val="none"/>
              </w:rPr>
            </w:pPr>
            <w:r>
              <w:rPr>
                <w:rFonts w:hint="eastAsia" w:ascii="宋体" w:hAnsi="宋体"/>
                <w:color w:val="auto"/>
                <w:sz w:val="24"/>
                <w:highlight w:val="none"/>
              </w:rPr>
              <w:t>2</w:t>
            </w:r>
          </w:p>
        </w:tc>
        <w:tc>
          <w:tcPr>
            <w:tcW w:w="5819" w:type="dxa"/>
            <w:tcBorders>
              <w:top w:val="single" w:color="auto" w:sz="4" w:space="0"/>
              <w:left w:val="single" w:color="auto" w:sz="4" w:space="0"/>
              <w:right w:val="single" w:color="auto" w:sz="4" w:space="0"/>
            </w:tcBorders>
            <w:vAlign w:val="center"/>
          </w:tcPr>
          <w:p w14:paraId="722D595C">
            <w:pPr>
              <w:widowControl/>
              <w:shd w:val="clear"/>
              <w:jc w:val="center"/>
              <w:rPr>
                <w:rFonts w:ascii="宋体" w:hAnsi="宋体" w:cs="宋体"/>
                <w:color w:val="auto"/>
                <w:kern w:val="0"/>
                <w:sz w:val="24"/>
                <w:highlight w:val="none"/>
              </w:rPr>
            </w:pPr>
          </w:p>
        </w:tc>
        <w:tc>
          <w:tcPr>
            <w:tcW w:w="1627" w:type="dxa"/>
            <w:tcBorders>
              <w:top w:val="single" w:color="auto" w:sz="4" w:space="0"/>
              <w:left w:val="single" w:color="auto" w:sz="4" w:space="0"/>
              <w:right w:val="single" w:color="auto" w:sz="4" w:space="0"/>
            </w:tcBorders>
            <w:vAlign w:val="center"/>
          </w:tcPr>
          <w:p w14:paraId="611EDF7E">
            <w:pPr>
              <w:shd w:val="clear"/>
              <w:jc w:val="center"/>
              <w:rPr>
                <w:rFonts w:ascii="宋体" w:hAnsi="宋体"/>
                <w:bCs/>
                <w:color w:val="auto"/>
                <w:sz w:val="24"/>
                <w:highlight w:val="none"/>
              </w:rPr>
            </w:pPr>
          </w:p>
        </w:tc>
      </w:tr>
      <w:tr w14:paraId="74940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BAF2B3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94E3FFD">
            <w:pPr>
              <w:shd w:val="clear"/>
              <w:ind w:left="55" w:leftChars="26"/>
              <w:rPr>
                <w:rFonts w:ascii="宋体" w:hAnsi="宋体" w:cs="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7EE473">
            <w:pPr>
              <w:shd w:val="clear"/>
              <w:jc w:val="center"/>
              <w:rPr>
                <w:rFonts w:ascii="宋体" w:hAnsi="宋体"/>
                <w:bCs/>
                <w:color w:val="auto"/>
                <w:sz w:val="24"/>
                <w:highlight w:val="none"/>
              </w:rPr>
            </w:pPr>
          </w:p>
        </w:tc>
      </w:tr>
      <w:tr w14:paraId="5E399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2B3FBF3">
            <w:pPr>
              <w:widowControl/>
              <w:shd w:val="clear"/>
              <w:rPr>
                <w:rFonts w:ascii="宋体" w:hAnsi="宋体"/>
                <w:b/>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AFD2640">
            <w:pPr>
              <w:pStyle w:val="15"/>
              <w:shd w:val="clear"/>
              <w:ind w:firstLine="562"/>
              <w:rPr>
                <w:rFonts w:ascii="宋体"/>
                <w:b/>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488033">
            <w:pPr>
              <w:pStyle w:val="15"/>
              <w:shd w:val="clear"/>
              <w:ind w:firstLine="562"/>
              <w:jc w:val="center"/>
              <w:rPr>
                <w:rFonts w:ascii="宋体"/>
                <w:b/>
                <w:color w:val="auto"/>
                <w:highlight w:val="none"/>
              </w:rPr>
            </w:pPr>
          </w:p>
        </w:tc>
      </w:tr>
      <w:tr w14:paraId="4F4F8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76E275C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2E8E0B07">
            <w:pPr>
              <w:shd w:val="clear"/>
              <w:spacing w:line="320" w:lineRule="exact"/>
              <w:rPr>
                <w:rFonts w:ascii="宋体" w:hAnsi="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28512949">
            <w:pPr>
              <w:shd w:val="clear"/>
              <w:jc w:val="center"/>
              <w:rPr>
                <w:rFonts w:ascii="宋体" w:hAnsi="宋体"/>
                <w:bCs/>
                <w:color w:val="auto"/>
                <w:sz w:val="24"/>
                <w:highlight w:val="none"/>
              </w:rPr>
            </w:pPr>
          </w:p>
        </w:tc>
      </w:tr>
      <w:tr w14:paraId="2D16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D274D7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56131B16">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D2B47A9">
            <w:pPr>
              <w:pStyle w:val="15"/>
              <w:shd w:val="clear"/>
              <w:ind w:firstLine="560"/>
              <w:jc w:val="center"/>
              <w:rPr>
                <w:rFonts w:ascii="宋体"/>
                <w:color w:val="auto"/>
                <w:highlight w:val="none"/>
              </w:rPr>
            </w:pPr>
          </w:p>
        </w:tc>
      </w:tr>
      <w:tr w14:paraId="345B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44F5124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BA05D70">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0FFDB1FA">
            <w:pPr>
              <w:pStyle w:val="15"/>
              <w:shd w:val="clear"/>
              <w:ind w:firstLine="560"/>
              <w:jc w:val="center"/>
              <w:rPr>
                <w:rFonts w:ascii="宋体"/>
                <w:color w:val="auto"/>
                <w:highlight w:val="none"/>
              </w:rPr>
            </w:pPr>
          </w:p>
        </w:tc>
      </w:tr>
      <w:tr w14:paraId="12CA6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4DB1A2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BA26A4E">
            <w:pPr>
              <w:pStyle w:val="15"/>
              <w:shd w:val="clear"/>
              <w:ind w:firstLine="560"/>
              <w:rPr>
                <w:rFonts w:ascii="宋体"/>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B8162F5">
            <w:pPr>
              <w:widowControl/>
              <w:shd w:val="clear"/>
              <w:jc w:val="center"/>
              <w:rPr>
                <w:rFonts w:ascii="宋体" w:hAnsi="宋体"/>
                <w:b/>
                <w:color w:val="auto"/>
                <w:sz w:val="24"/>
                <w:highlight w:val="none"/>
              </w:rPr>
            </w:pPr>
          </w:p>
        </w:tc>
      </w:tr>
      <w:tr w14:paraId="6928E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3B51FD3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8E93444">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3862101A">
            <w:pPr>
              <w:shd w:val="clear"/>
              <w:jc w:val="center"/>
              <w:rPr>
                <w:rFonts w:ascii="宋体" w:hAnsi="宋体"/>
                <w:bCs/>
                <w:color w:val="auto"/>
                <w:sz w:val="24"/>
                <w:highlight w:val="none"/>
              </w:rPr>
            </w:pPr>
          </w:p>
        </w:tc>
      </w:tr>
      <w:tr w14:paraId="47912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70D11ED">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97C29E3">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99823AD">
            <w:pPr>
              <w:shd w:val="clear"/>
              <w:jc w:val="center"/>
              <w:rPr>
                <w:rFonts w:ascii="宋体" w:hAnsi="宋体"/>
                <w:bCs/>
                <w:color w:val="auto"/>
                <w:sz w:val="24"/>
                <w:highlight w:val="none"/>
              </w:rPr>
            </w:pPr>
          </w:p>
        </w:tc>
      </w:tr>
      <w:tr w14:paraId="41CB3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13BFE45">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3900167B">
            <w:pPr>
              <w:shd w:val="clear"/>
              <w:rPr>
                <w:rFonts w:ascii="宋体" w:hAnsi="宋体"/>
                <w:bCs/>
                <w:color w:val="auto"/>
                <w:sz w:val="24"/>
                <w:highlight w:val="none"/>
              </w:rPr>
            </w:pPr>
          </w:p>
        </w:tc>
        <w:tc>
          <w:tcPr>
            <w:tcW w:w="1627" w:type="dxa"/>
            <w:tcBorders>
              <w:top w:val="single" w:color="auto" w:sz="4" w:space="0"/>
              <w:left w:val="single" w:color="auto" w:sz="4" w:space="0"/>
              <w:right w:val="single" w:color="auto" w:sz="4" w:space="0"/>
            </w:tcBorders>
            <w:vAlign w:val="center"/>
          </w:tcPr>
          <w:p w14:paraId="6B0FD06A">
            <w:pPr>
              <w:shd w:val="clear"/>
              <w:jc w:val="center"/>
              <w:rPr>
                <w:rFonts w:ascii="宋体" w:hAnsi="宋体"/>
                <w:bCs/>
                <w:color w:val="auto"/>
                <w:sz w:val="24"/>
                <w:highlight w:val="none"/>
              </w:rPr>
            </w:pPr>
          </w:p>
        </w:tc>
      </w:tr>
    </w:tbl>
    <w:p w14:paraId="7AB0F732">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cs="仿宋" w:asciiTheme="majorEastAsia" w:hAnsiTheme="majorEastAsia" w:eastAsiaTheme="majorEastAsia"/>
          <w:b/>
          <w:color w:val="auto"/>
          <w:kern w:val="0"/>
          <w:sz w:val="32"/>
          <w:szCs w:val="32"/>
          <w:highlight w:val="none"/>
        </w:rPr>
        <w:br w:type="page"/>
      </w:r>
    </w:p>
    <w:p w14:paraId="4E9AA65C">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符合性自查表</w:t>
      </w:r>
    </w:p>
    <w:tbl>
      <w:tblPr>
        <w:tblStyle w:val="18"/>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14:paraId="725C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14:paraId="060F0216">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4103" w:type="dxa"/>
            <w:vAlign w:val="center"/>
          </w:tcPr>
          <w:p w14:paraId="18ABE4E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实质性要求</w:t>
            </w:r>
          </w:p>
        </w:tc>
        <w:tc>
          <w:tcPr>
            <w:tcW w:w="2518" w:type="dxa"/>
            <w:vAlign w:val="center"/>
          </w:tcPr>
          <w:p w14:paraId="2364DC1A">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需要提供的符合性审查资料</w:t>
            </w:r>
          </w:p>
        </w:tc>
        <w:tc>
          <w:tcPr>
            <w:tcW w:w="1185" w:type="dxa"/>
            <w:vAlign w:val="center"/>
          </w:tcPr>
          <w:p w14:paraId="51966C8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自查结论</w:t>
            </w:r>
          </w:p>
        </w:tc>
        <w:tc>
          <w:tcPr>
            <w:tcW w:w="1785" w:type="dxa"/>
            <w:vAlign w:val="center"/>
          </w:tcPr>
          <w:p w14:paraId="3FCAE859">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投标文件中的</w:t>
            </w:r>
          </w:p>
          <w:p w14:paraId="06B1AB8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页码位置</w:t>
            </w:r>
          </w:p>
        </w:tc>
      </w:tr>
      <w:tr w14:paraId="7912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5D35ED98">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4103" w:type="dxa"/>
            <w:vAlign w:val="center"/>
          </w:tcPr>
          <w:p w14:paraId="7A0D886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投标文件按照招标文件要求签署、盖章。</w:t>
            </w:r>
          </w:p>
        </w:tc>
        <w:tc>
          <w:tcPr>
            <w:tcW w:w="2518" w:type="dxa"/>
            <w:vAlign w:val="center"/>
          </w:tcPr>
          <w:p w14:paraId="14D1A97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需要使用电子签名或者签字盖章的投标文件的组成部分</w:t>
            </w:r>
          </w:p>
        </w:tc>
        <w:tc>
          <w:tcPr>
            <w:tcW w:w="1185" w:type="dxa"/>
            <w:vAlign w:val="center"/>
          </w:tcPr>
          <w:p w14:paraId="19CD6C2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1E2404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765DE5F7">
            <w:pPr>
              <w:shd w:val="clear"/>
              <w:spacing w:line="360" w:lineRule="auto"/>
              <w:rPr>
                <w:rFonts w:cs="仿宋" w:asciiTheme="majorEastAsia" w:hAnsiTheme="majorEastAsia" w:eastAsiaTheme="majorEastAsia"/>
                <w:color w:val="auto"/>
                <w:sz w:val="24"/>
                <w:highlight w:val="none"/>
              </w:rPr>
            </w:pPr>
          </w:p>
          <w:p w14:paraId="7306BD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14:paraId="68A585E3">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4C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4C0364E7">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4103" w:type="dxa"/>
            <w:vAlign w:val="center"/>
          </w:tcPr>
          <w:p w14:paraId="7306E21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投标文件中承诺的投标有效期不少于招标文件中载明的投标有效期。</w:t>
            </w:r>
          </w:p>
        </w:tc>
        <w:tc>
          <w:tcPr>
            <w:tcW w:w="2518" w:type="dxa"/>
            <w:vAlign w:val="center"/>
          </w:tcPr>
          <w:p w14:paraId="50A8320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投标函</w:t>
            </w:r>
          </w:p>
        </w:tc>
        <w:tc>
          <w:tcPr>
            <w:tcW w:w="1185" w:type="dxa"/>
            <w:vAlign w:val="center"/>
          </w:tcPr>
          <w:p w14:paraId="3BC2CB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5C9298E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3421D02">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2EE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14:paraId="573CF009">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4103" w:type="dxa"/>
            <w:vAlign w:val="center"/>
          </w:tcPr>
          <w:p w14:paraId="1BF551A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投标文件满足招标文件的其它实质性要求。</w:t>
            </w:r>
          </w:p>
        </w:tc>
        <w:tc>
          <w:tcPr>
            <w:tcW w:w="2518" w:type="dxa"/>
            <w:vAlign w:val="center"/>
          </w:tcPr>
          <w:p w14:paraId="5EDBBE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招标文件其它实质性要求相应的材料（“▲” 系指实质性要求条款，招标文件无其它实质性要求的，无需提供）</w:t>
            </w:r>
          </w:p>
        </w:tc>
        <w:tc>
          <w:tcPr>
            <w:tcW w:w="1185" w:type="dxa"/>
            <w:vAlign w:val="center"/>
          </w:tcPr>
          <w:p w14:paraId="2B4CBFC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4992087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4E6074A6">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4CE4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5F4C941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4103" w:type="dxa"/>
            <w:vAlign w:val="center"/>
          </w:tcPr>
          <w:p w14:paraId="35EA6090">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投标文件没有招标文件中规定的其它无效投标条款的。</w:t>
            </w:r>
          </w:p>
        </w:tc>
        <w:tc>
          <w:tcPr>
            <w:tcW w:w="2518" w:type="dxa"/>
            <w:vAlign w:val="center"/>
          </w:tcPr>
          <w:p w14:paraId="184A8596">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09D42F6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77752EA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1E25DC3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1408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7C92B77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4103" w:type="dxa"/>
            <w:vAlign w:val="center"/>
          </w:tcPr>
          <w:p w14:paraId="5645BBCD">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按有关法律、法规、规章不属于投标无效的。</w:t>
            </w:r>
          </w:p>
        </w:tc>
        <w:tc>
          <w:tcPr>
            <w:tcW w:w="2518" w:type="dxa"/>
            <w:vAlign w:val="center"/>
          </w:tcPr>
          <w:p w14:paraId="3672E4D0">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368A13D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3B79097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807534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0CD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14:paraId="07F25BC4">
            <w:pPr>
              <w:shd w:val="clear"/>
              <w:spacing w:line="360" w:lineRule="auto"/>
              <w:jc w:val="center"/>
              <w:rPr>
                <w:rFonts w:cs="仿宋" w:asciiTheme="majorEastAsia" w:hAnsiTheme="majorEastAsia" w:eastAsiaTheme="majorEastAsia"/>
                <w:color w:val="auto"/>
                <w:sz w:val="24"/>
                <w:highlight w:val="none"/>
              </w:rPr>
            </w:pPr>
          </w:p>
        </w:tc>
        <w:tc>
          <w:tcPr>
            <w:tcW w:w="4103" w:type="dxa"/>
            <w:vAlign w:val="center"/>
          </w:tcPr>
          <w:p w14:paraId="09E7744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2518" w:type="dxa"/>
            <w:vAlign w:val="center"/>
          </w:tcPr>
          <w:p w14:paraId="4BB7A340">
            <w:pPr>
              <w:shd w:val="clear"/>
              <w:spacing w:line="360" w:lineRule="auto"/>
              <w:rPr>
                <w:rFonts w:cs="仿宋" w:asciiTheme="majorEastAsia" w:hAnsiTheme="majorEastAsia" w:eastAsiaTheme="majorEastAsia"/>
                <w:color w:val="auto"/>
                <w:kern w:val="0"/>
                <w:sz w:val="24"/>
                <w:highlight w:val="none"/>
              </w:rPr>
            </w:pPr>
          </w:p>
        </w:tc>
        <w:tc>
          <w:tcPr>
            <w:tcW w:w="1185" w:type="dxa"/>
          </w:tcPr>
          <w:p w14:paraId="1F9C8627">
            <w:pPr>
              <w:shd w:val="clear"/>
              <w:spacing w:line="360" w:lineRule="auto"/>
              <w:rPr>
                <w:rFonts w:cs="仿宋" w:asciiTheme="majorEastAsia" w:hAnsiTheme="majorEastAsia" w:eastAsiaTheme="majorEastAsia"/>
                <w:color w:val="auto"/>
                <w:sz w:val="24"/>
                <w:highlight w:val="none"/>
              </w:rPr>
            </w:pPr>
          </w:p>
        </w:tc>
        <w:tc>
          <w:tcPr>
            <w:tcW w:w="1785" w:type="dxa"/>
            <w:vAlign w:val="center"/>
          </w:tcPr>
          <w:p w14:paraId="34EF3AC8">
            <w:pPr>
              <w:shd w:val="clear"/>
              <w:spacing w:line="360" w:lineRule="auto"/>
              <w:rPr>
                <w:rFonts w:cs="仿宋" w:asciiTheme="majorEastAsia" w:hAnsiTheme="majorEastAsia" w:eastAsiaTheme="majorEastAsia"/>
                <w:color w:val="auto"/>
                <w:sz w:val="24"/>
                <w:highlight w:val="none"/>
              </w:rPr>
            </w:pPr>
          </w:p>
        </w:tc>
      </w:tr>
    </w:tbl>
    <w:p w14:paraId="325EF9AC">
      <w:pPr>
        <w:shd w:val="clear"/>
        <w:snapToGrid w:val="0"/>
        <w:spacing w:line="360" w:lineRule="auto"/>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24"/>
          <w:highlight w:val="none"/>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14:paraId="39D6A773">
      <w:pPr>
        <w:numPr>
          <w:ilvl w:val="0"/>
          <w:numId w:val="3"/>
        </w:num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投标</w:t>
      </w:r>
      <w:r>
        <w:rPr>
          <w:rFonts w:hint="eastAsia" w:cs="仿宋" w:asciiTheme="majorEastAsia" w:hAnsiTheme="majorEastAsia" w:eastAsiaTheme="majorEastAsia"/>
          <w:b/>
          <w:color w:val="auto"/>
          <w:sz w:val="32"/>
          <w:szCs w:val="32"/>
          <w:highlight w:val="none"/>
        </w:rPr>
        <w:t>函</w:t>
      </w:r>
    </w:p>
    <w:p w14:paraId="6BF934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1B5C887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我方参加你方组织的（项目名称）【项目编号：     】招标的有关活动，并对此项目进行投标。为此：</w:t>
      </w:r>
    </w:p>
    <w:p w14:paraId="73F0BEC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1、我方承诺投标有效期从提交投标文件的截止之日起</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天（不少于90天）</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本投标文件在投标有效期满之前均具有约束力。</w:t>
      </w:r>
    </w:p>
    <w:p w14:paraId="7B62983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2、我方的投标文件包括以下内容：</w:t>
      </w:r>
    </w:p>
    <w:p w14:paraId="641581B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2.1资格文件：</w:t>
      </w:r>
    </w:p>
    <w:p w14:paraId="6D9301E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2.1.1有效的企业法人营业执照（或事业法人登记证）、其他组织（个体工商户）的营业执照或者民办非企业单位登记证书；</w:t>
      </w:r>
    </w:p>
    <w:p w14:paraId="3E64D427">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2.1.2符合参加政府采购活动应当具备的一般条件的承诺函；</w:t>
      </w:r>
    </w:p>
    <w:p w14:paraId="277EA36F">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2.1.3落实政府采购政策需满足的资格要求（如果有）；</w:t>
      </w:r>
    </w:p>
    <w:p w14:paraId="0B4852FA">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2.1.4联合协议（如果有）；</w:t>
      </w:r>
    </w:p>
    <w:p w14:paraId="46EBB4E2">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2.1.5分包意向协议（如果有）；</w:t>
      </w:r>
    </w:p>
    <w:p w14:paraId="6E2E7A49">
      <w:pPr>
        <w:shd w:val="clear"/>
        <w:snapToGrid w:val="0"/>
        <w:spacing w:line="360" w:lineRule="auto"/>
        <w:ind w:firstLine="960" w:firstLineChars="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2.1.6本项目的特定资格要求（如果有）。</w:t>
      </w:r>
    </w:p>
    <w:p w14:paraId="13E76560">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color w:val="auto"/>
          <w:sz w:val="24"/>
          <w:highlight w:val="none"/>
        </w:rPr>
        <w:t>商务技术</w:t>
      </w:r>
      <w:r>
        <w:rPr>
          <w:rFonts w:hint="eastAsia" w:cs="仿宋" w:asciiTheme="majorEastAsia" w:hAnsiTheme="majorEastAsia" w:eastAsiaTheme="majorEastAsia"/>
          <w:color w:val="auto"/>
          <w:sz w:val="24"/>
          <w:highlight w:val="none"/>
          <w:lang w:val="zh-CN"/>
        </w:rPr>
        <w:t>文件：</w:t>
      </w:r>
    </w:p>
    <w:p w14:paraId="06861DAA">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 评分索引表</w:t>
      </w:r>
    </w:p>
    <w:p w14:paraId="5BD00C9F">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 符合性自查表；</w:t>
      </w:r>
    </w:p>
    <w:p w14:paraId="6ABD713A">
      <w:pPr>
        <w:shd w:val="clear"/>
        <w:snapToGrid w:val="0"/>
        <w:spacing w:line="360" w:lineRule="auto"/>
        <w:ind w:left="420" w:leftChars="200" w:firstLine="480" w:firstLineChars="200"/>
        <w:rPr>
          <w:rFonts w:cs="仿宋"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2.2.3 投标函；</w:t>
      </w:r>
      <w:r>
        <w:rPr>
          <w:rFonts w:hint="eastAsia" w:cs="仿宋" w:asciiTheme="majorEastAsia" w:hAnsiTheme="majorEastAsia" w:eastAsiaTheme="majorEastAsia"/>
          <w:color w:val="auto"/>
          <w:sz w:val="24"/>
          <w:highlight w:val="none"/>
          <w:lang w:val="zh-CN"/>
        </w:rPr>
        <w:t xml:space="preserve"> </w:t>
      </w:r>
    </w:p>
    <w:p w14:paraId="0C1B790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 授权委托书或法定代表人（单位负责人、自然人本人）身份证明；</w:t>
      </w:r>
    </w:p>
    <w:p w14:paraId="30979F4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 投标人基本情况表；</w:t>
      </w:r>
    </w:p>
    <w:p w14:paraId="27DE19D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 距采购人最近或者能为本项目提供最优服务的网点情况表；</w:t>
      </w:r>
    </w:p>
    <w:p w14:paraId="0247E0A1">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2.2.7 评标标准相应的商务技术资料；</w:t>
      </w:r>
    </w:p>
    <w:p w14:paraId="23543719">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8 商务响应表；</w:t>
      </w:r>
    </w:p>
    <w:p w14:paraId="15ED7EF2">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9 技术响应表；</w:t>
      </w:r>
    </w:p>
    <w:p w14:paraId="4FEE9C9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10 同类业绩情况一览表；</w:t>
      </w:r>
    </w:p>
    <w:p w14:paraId="53B0D00C">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 xml:space="preserve">2.2.11 </w:t>
      </w:r>
      <w:r>
        <w:rPr>
          <w:rFonts w:hint="eastAsia" w:cs="仿宋" w:asciiTheme="majorEastAsia" w:hAnsiTheme="majorEastAsia" w:eastAsiaTheme="majorEastAsia"/>
          <w:color w:val="auto"/>
          <w:sz w:val="24"/>
          <w:highlight w:val="none"/>
          <w:lang w:val="zh-CN"/>
        </w:rPr>
        <w:t>政府采购供应商廉洁自律承诺书；</w:t>
      </w:r>
    </w:p>
    <w:p w14:paraId="29DC7501">
      <w:pPr>
        <w:shd w:val="clear"/>
        <w:snapToGrid w:val="0"/>
        <w:spacing w:line="360" w:lineRule="auto"/>
        <w:ind w:left="420" w:lef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2.2.12 其他资料。</w:t>
      </w:r>
    </w:p>
    <w:p w14:paraId="63EFDAB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3报价文件</w:t>
      </w:r>
    </w:p>
    <w:p w14:paraId="1FDDFB74">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开标一览表；</w:t>
      </w:r>
    </w:p>
    <w:p w14:paraId="75C0479B">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2.3.2投标报价明细表；</w:t>
      </w:r>
    </w:p>
    <w:p w14:paraId="1A0FE845">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2.3.3 中小企业声明函（如有）；</w:t>
      </w:r>
    </w:p>
    <w:p w14:paraId="69FEACA3">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2.3.4 残疾人福利性单位声明函（如有）；</w:t>
      </w:r>
    </w:p>
    <w:p w14:paraId="0541FAFD">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2.3.5 监狱企业的证明文件（如有）；</w:t>
      </w:r>
    </w:p>
    <w:p w14:paraId="2099F127">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2.3.6 政府采购统计基础信息表。</w:t>
      </w:r>
    </w:p>
    <w:p w14:paraId="5A7A0F9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3、我方承诺除商务技术响应表列出的偏离外，我方响应招标文件的全部要求。</w:t>
      </w:r>
    </w:p>
    <w:p w14:paraId="3D5B479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4、如我方中标，我方承诺：</w:t>
      </w:r>
    </w:p>
    <w:p w14:paraId="1901DB52">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4.1在收到中标通知书后，在中标通知书规定的期限内与你方签订合同； </w:t>
      </w:r>
    </w:p>
    <w:p w14:paraId="49DEE32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4.2在签订合同时不向你方提出附加条件； </w:t>
      </w:r>
    </w:p>
    <w:p w14:paraId="25F667C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4.3按照招标文件要求提交履约保证金； </w:t>
      </w:r>
    </w:p>
    <w:p w14:paraId="2A3ACF16">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4.4在合同约定的期限内完成合同规定的全部义务。 </w:t>
      </w:r>
    </w:p>
    <w:p w14:paraId="2346992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5、其他补充说明: </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 xml:space="preserve"> 。</w:t>
      </w:r>
    </w:p>
    <w:p w14:paraId="030BA879">
      <w:pPr>
        <w:shd w:val="clear"/>
        <w:spacing w:line="360" w:lineRule="auto"/>
        <w:ind w:firstLine="3600" w:firstLineChars="1500"/>
        <w:rPr>
          <w:rFonts w:cs="仿宋" w:asciiTheme="majorEastAsia" w:hAnsiTheme="majorEastAsia" w:eastAsiaTheme="majorEastAsia"/>
          <w:color w:val="auto"/>
          <w:sz w:val="24"/>
          <w:highlight w:val="none"/>
        </w:rPr>
      </w:pPr>
    </w:p>
    <w:p w14:paraId="035E7E96">
      <w:pPr>
        <w:shd w:val="clear"/>
        <w:spacing w:line="360" w:lineRule="auto"/>
        <w:ind w:firstLine="3600" w:firstLineChars="1500"/>
        <w:rPr>
          <w:rFonts w:cs="仿宋" w:asciiTheme="majorEastAsia" w:hAnsiTheme="majorEastAsia" w:eastAsiaTheme="majorEastAsia"/>
          <w:color w:val="auto"/>
          <w:sz w:val="24"/>
          <w:highlight w:val="none"/>
        </w:rPr>
      </w:pPr>
    </w:p>
    <w:p w14:paraId="4C215D84">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64F246FD">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699A5679">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17A0A8AC">
      <w:pPr>
        <w:shd w:val="clear"/>
        <w:spacing w:line="360" w:lineRule="auto"/>
        <w:jc w:val="center"/>
        <w:rPr>
          <w:rFonts w:cs="仿宋" w:asciiTheme="majorEastAsia" w:hAnsiTheme="majorEastAsia" w:eastAsiaTheme="majorEastAsia"/>
          <w:b/>
          <w:color w:val="auto"/>
          <w:kern w:val="0"/>
          <w:sz w:val="32"/>
          <w:szCs w:val="32"/>
          <w:highlight w:val="none"/>
        </w:rPr>
      </w:pPr>
    </w:p>
    <w:p w14:paraId="427A4672">
      <w:pPr>
        <w:shd w:val="clear"/>
        <w:spacing w:line="360" w:lineRule="auto"/>
        <w:jc w:val="center"/>
        <w:rPr>
          <w:rFonts w:cs="仿宋" w:asciiTheme="majorEastAsia" w:hAnsiTheme="majorEastAsia" w:eastAsiaTheme="majorEastAsia"/>
          <w:b/>
          <w:color w:val="auto"/>
          <w:kern w:val="0"/>
          <w:sz w:val="32"/>
          <w:szCs w:val="32"/>
          <w:highlight w:val="none"/>
          <w:lang w:val="zh-CN"/>
        </w:rPr>
      </w:pPr>
    </w:p>
    <w:p w14:paraId="19D4BBA6">
      <w:pPr>
        <w:shd w:val="clear"/>
        <w:spacing w:line="360" w:lineRule="auto"/>
        <w:rPr>
          <w:rFonts w:cs="仿宋" w:asciiTheme="majorEastAsia" w:hAnsiTheme="majorEastAsia" w:eastAsiaTheme="majorEastAsia"/>
          <w:b/>
          <w:color w:val="auto"/>
          <w:sz w:val="32"/>
          <w:szCs w:val="32"/>
          <w:highlight w:val="none"/>
        </w:rPr>
      </w:pPr>
      <w:bookmarkStart w:id="425" w:name="_Toc14746861"/>
      <w:bookmarkStart w:id="426" w:name="_Toc110393361"/>
      <w:bookmarkStart w:id="427" w:name="_Toc483379796"/>
      <w:bookmarkStart w:id="428" w:name="_Toc225223761"/>
      <w:bookmarkStart w:id="429" w:name="_Toc479927873"/>
      <w:bookmarkStart w:id="430" w:name="_Toc488936100"/>
    </w:p>
    <w:p w14:paraId="73C4A6FF">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授权委托书或法定代表人（单位负责人、自然人本人）身份证明</w:t>
      </w:r>
    </w:p>
    <w:p w14:paraId="6D4A46B3">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w:t>
      </w:r>
    </w:p>
    <w:p w14:paraId="67DCADE9">
      <w:pPr>
        <w:shd w:val="clear"/>
        <w:spacing w:line="480" w:lineRule="auto"/>
        <w:jc w:val="center"/>
        <w:rPr>
          <w:rFonts w:ascii="宋体" w:hAnsi="宋体" w:cs="宋体"/>
          <w:bCs/>
          <w:color w:val="auto"/>
          <w:sz w:val="24"/>
          <w:highlight w:val="none"/>
        </w:rPr>
      </w:pPr>
    </w:p>
    <w:p w14:paraId="2601A19B">
      <w:pPr>
        <w:shd w:val="clear"/>
        <w:spacing w:line="480" w:lineRule="auto"/>
        <w:jc w:val="center"/>
        <w:rPr>
          <w:rFonts w:ascii="宋体" w:hAnsi="宋体" w:cs="宋体"/>
          <w:b/>
          <w:color w:val="auto"/>
          <w:sz w:val="24"/>
          <w:highlight w:val="none"/>
        </w:rPr>
      </w:pPr>
      <w:r>
        <w:rPr>
          <w:rFonts w:hint="eastAsia" w:ascii="宋体" w:hAnsi="宋体" w:cs="宋体"/>
          <w:bCs/>
          <w:color w:val="auto"/>
          <w:sz w:val="24"/>
          <w:highlight w:val="none"/>
        </w:rPr>
        <w:t>（法定代表人不来投标的，此表不用）</w:t>
      </w:r>
    </w:p>
    <w:p w14:paraId="1A448C1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4237A175">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814AE9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196AB57">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5F0534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DA6620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周岁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_</w:t>
      </w:r>
    </w:p>
    <w:p w14:paraId="052DC754">
      <w:pPr>
        <w:shd w:val="clear"/>
        <w:spacing w:line="48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A4D3D64">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w:t>
      </w:r>
    </w:p>
    <w:p w14:paraId="2C064432">
      <w:pPr>
        <w:shd w:val="clear"/>
        <w:spacing w:line="48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特此证明。</w:t>
      </w:r>
    </w:p>
    <w:p w14:paraId="03C24E23">
      <w:pPr>
        <w:shd w:val="clear"/>
        <w:spacing w:line="360" w:lineRule="auto"/>
        <w:ind w:firstLine="420" w:firstLineChars="200"/>
        <w:rPr>
          <w:rFonts w:ascii="宋体" w:hAnsi="宋体" w:cs="宋体"/>
          <w:color w:val="auto"/>
          <w:szCs w:val="21"/>
          <w:highlight w:val="none"/>
        </w:rPr>
      </w:pPr>
    </w:p>
    <w:p w14:paraId="62803BA2">
      <w:pPr>
        <w:shd w:val="clear"/>
        <w:spacing w:line="360" w:lineRule="auto"/>
        <w:ind w:firstLine="420" w:firstLineChars="200"/>
        <w:rPr>
          <w:rFonts w:ascii="宋体" w:hAnsi="宋体" w:cs="宋体"/>
          <w:color w:val="auto"/>
          <w:szCs w:val="21"/>
          <w:highlight w:val="none"/>
        </w:rPr>
      </w:pPr>
    </w:p>
    <w:p w14:paraId="09D43ADE">
      <w:pPr>
        <w:shd w:val="clear"/>
        <w:wordWrap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14:paraId="40E7B86D">
      <w:pPr>
        <w:shd w:val="clear"/>
        <w:spacing w:line="360" w:lineRule="auto"/>
        <w:ind w:firstLine="4515" w:firstLineChars="2150"/>
        <w:rPr>
          <w:rFonts w:ascii="宋体" w:hAnsi="宋体" w:cs="宋体"/>
          <w:color w:val="auto"/>
          <w:szCs w:val="21"/>
          <w:highlight w:val="none"/>
          <w:u w:val="single"/>
        </w:rPr>
      </w:pPr>
    </w:p>
    <w:p w14:paraId="6E2F8229">
      <w:pPr>
        <w:shd w:val="clear"/>
        <w:spacing w:line="360" w:lineRule="auto"/>
        <w:ind w:firstLine="3675" w:firstLineChars="175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9EB3914">
      <w:pPr>
        <w:shd w:val="clear"/>
        <w:spacing w:line="360" w:lineRule="auto"/>
        <w:rPr>
          <w:rFonts w:ascii="宋体" w:hAnsi="宋体" w:cs="宋体"/>
          <w:color w:val="auto"/>
          <w:sz w:val="24"/>
          <w:highlight w:val="none"/>
        </w:rPr>
      </w:pPr>
    </w:p>
    <w:p w14:paraId="00EDFFCA">
      <w:pPr>
        <w:shd w:val="clear"/>
        <w:spacing w:line="360" w:lineRule="auto"/>
        <w:rPr>
          <w:rFonts w:ascii="宋体" w:hAnsi="宋体" w:cs="宋体"/>
          <w:b/>
          <w:color w:val="auto"/>
          <w:szCs w:val="21"/>
          <w:highlight w:val="none"/>
        </w:rPr>
      </w:pPr>
    </w:p>
    <w:p w14:paraId="156295C1">
      <w:pPr>
        <w:shd w:val="clear"/>
        <w:spacing w:line="360" w:lineRule="auto"/>
        <w:rPr>
          <w:rFonts w:ascii="宋体" w:hAnsi="宋体" w:cs="宋体"/>
          <w:b/>
          <w:color w:val="auto"/>
          <w:szCs w:val="21"/>
          <w:highlight w:val="none"/>
        </w:rPr>
      </w:pPr>
    </w:p>
    <w:p w14:paraId="5855DCE5">
      <w:pPr>
        <w:shd w:val="clear"/>
        <w:jc w:val="left"/>
        <w:rPr>
          <w:rFonts w:cs="仿宋" w:asciiTheme="majorEastAsia" w:hAnsiTheme="majorEastAsia" w:eastAsiaTheme="majorEastAsia"/>
          <w:color w:val="auto"/>
          <w:sz w:val="24"/>
          <w:highlight w:val="none"/>
        </w:rPr>
      </w:pPr>
      <w:r>
        <w:rPr>
          <w:rFonts w:hint="eastAsia" w:ascii="宋体" w:hAnsi="宋体" w:cs="宋体"/>
          <w:b/>
          <w:color w:val="auto"/>
          <w:szCs w:val="21"/>
          <w:highlight w:val="none"/>
        </w:rPr>
        <w:t>附法定代表人身份证复印件（正反面）：</w:t>
      </w:r>
      <w:r>
        <w:rPr>
          <w:rFonts w:hint="eastAsia" w:cs="仿宋" w:asciiTheme="majorEastAsia" w:hAnsiTheme="majorEastAsia" w:eastAsiaTheme="majorEastAsia"/>
          <w:color w:val="auto"/>
          <w:sz w:val="24"/>
          <w:highlight w:val="none"/>
        </w:rPr>
        <w:t xml:space="preserve">                      </w:t>
      </w:r>
      <w:r>
        <w:rPr>
          <w:rFonts w:cs="仿宋" w:asciiTheme="majorEastAsia" w:hAnsiTheme="majorEastAsia" w:eastAsiaTheme="majorEastAsia"/>
          <w:color w:val="auto"/>
          <w:sz w:val="24"/>
          <w:highlight w:val="none"/>
        </w:rPr>
        <w:br w:type="page"/>
      </w:r>
    </w:p>
    <w:p w14:paraId="371ED4EF">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6F316F3D">
      <w:pPr>
        <w:shd w:val="clear"/>
        <w:jc w:val="center"/>
        <w:rPr>
          <w:rFonts w:ascii="宋体" w:hAnsi="宋体" w:cs="宋体"/>
          <w:bCs/>
          <w:color w:val="auto"/>
          <w:sz w:val="24"/>
          <w:highlight w:val="none"/>
        </w:rPr>
      </w:pPr>
    </w:p>
    <w:p w14:paraId="7B362AB0">
      <w:pPr>
        <w:shd w:val="clear"/>
        <w:jc w:val="center"/>
        <w:rPr>
          <w:rFonts w:ascii="宋体" w:hAnsi="宋体" w:cs="宋体"/>
          <w:b/>
          <w:color w:val="auto"/>
          <w:sz w:val="32"/>
          <w:szCs w:val="32"/>
          <w:highlight w:val="none"/>
        </w:rPr>
      </w:pPr>
      <w:r>
        <w:rPr>
          <w:rFonts w:hint="eastAsia" w:ascii="宋体" w:hAnsi="宋体" w:cs="宋体"/>
          <w:bCs/>
          <w:color w:val="auto"/>
          <w:sz w:val="24"/>
          <w:highlight w:val="none"/>
        </w:rPr>
        <w:t>（法定代表人来投标的，此表不用）</w:t>
      </w:r>
    </w:p>
    <w:p w14:paraId="5EA330FE">
      <w:pPr>
        <w:shd w:val="clear"/>
        <w:snapToGrid w:val="0"/>
        <w:spacing w:line="360" w:lineRule="auto"/>
        <w:rPr>
          <w:rFonts w:ascii="宋体" w:hAnsi="宋体" w:cs="宋体"/>
          <w:bCs/>
          <w:color w:val="auto"/>
          <w:sz w:val="24"/>
          <w:highlight w:val="none"/>
        </w:rPr>
      </w:pPr>
    </w:p>
    <w:p w14:paraId="23CF9EB2">
      <w:pPr>
        <w:shd w:val="clear"/>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（采购单位名称）</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w:t>
      </w:r>
    </w:p>
    <w:p w14:paraId="4123A497">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（投标人名称）的法定代表人，现授权委托本单位在职职工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项目的投标活动，并代表我方全权办理针对上述项目的投标、开标、评标、签约等具体事务和签署相关文件。</w:t>
      </w:r>
    </w:p>
    <w:p w14:paraId="020B03FD">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我方对被授权人的签名事项负全部责任。</w:t>
      </w:r>
    </w:p>
    <w:p w14:paraId="49B16C31">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在撤销授权的书面通知以前，本授权书一直有效。被授权人在授权书有效期内签署的所有文件不因授权的撤销而失效。</w:t>
      </w:r>
    </w:p>
    <w:p w14:paraId="18F8ADE4">
      <w:pPr>
        <w:shd w:val="clea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14:paraId="36600618">
      <w:pPr>
        <w:shd w:val="clear"/>
        <w:snapToGrid w:val="0"/>
        <w:spacing w:line="360" w:lineRule="auto"/>
        <w:rPr>
          <w:rFonts w:ascii="宋体" w:hAnsi="宋体" w:cs="宋体"/>
          <w:color w:val="auto"/>
          <w:szCs w:val="21"/>
          <w:highlight w:val="none"/>
        </w:rPr>
      </w:pPr>
    </w:p>
    <w:p w14:paraId="216E41F5">
      <w:pPr>
        <w:shd w:val="clear"/>
        <w:snapToGrid w:val="0"/>
        <w:spacing w:line="360" w:lineRule="auto"/>
        <w:rPr>
          <w:rFonts w:ascii="宋体" w:hAnsi="宋体" w:cs="宋体"/>
          <w:color w:val="auto"/>
          <w:szCs w:val="21"/>
          <w:highlight w:val="none"/>
        </w:rPr>
      </w:pPr>
    </w:p>
    <w:p w14:paraId="3FF82C3D">
      <w:pPr>
        <w:shd w:val="clea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被授权人签名：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法定代表人签名或印章：</w:t>
      </w:r>
      <w:r>
        <w:rPr>
          <w:rFonts w:hint="eastAsia" w:ascii="宋体" w:hAnsi="宋体" w:cs="宋体"/>
          <w:color w:val="auto"/>
          <w:szCs w:val="21"/>
          <w:highlight w:val="none"/>
          <w:u w:val="single"/>
        </w:rPr>
        <w:t xml:space="preserve">          </w:t>
      </w:r>
    </w:p>
    <w:p w14:paraId="7F80600B">
      <w:pPr>
        <w:shd w:val="clea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14:paraId="6E0E1789">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被授权人身份证号码：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F322960">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14:paraId="789773E4">
      <w:pPr>
        <w:shd w:val="clear"/>
        <w:snapToGrid w:val="0"/>
        <w:spacing w:line="360" w:lineRule="auto"/>
        <w:rPr>
          <w:rFonts w:ascii="宋体" w:hAnsi="宋体" w:cs="宋体"/>
          <w:color w:val="auto"/>
          <w:szCs w:val="21"/>
          <w:highlight w:val="none"/>
        </w:rPr>
      </w:pPr>
    </w:p>
    <w:p w14:paraId="6E853A9C">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57B1A8FB">
      <w:pPr>
        <w:shd w:val="clear"/>
        <w:spacing w:line="360" w:lineRule="auto"/>
        <w:ind w:firstLine="1260" w:firstLineChars="600"/>
        <w:rPr>
          <w:rFonts w:ascii="宋体" w:hAnsi="宋体" w:cs="宋体"/>
          <w:color w:val="auto"/>
          <w:highlight w:val="none"/>
        </w:rPr>
      </w:pPr>
      <w:r>
        <w:rPr>
          <w:rFonts w:hint="eastAsia" w:ascii="宋体" w:hAnsi="宋体" w:cs="宋体"/>
          <w:color w:val="auto"/>
          <w:highlight w:val="none"/>
        </w:rPr>
        <w:t xml:space="preserve">                                  日期：</w:t>
      </w:r>
    </w:p>
    <w:p w14:paraId="0EB3C62F">
      <w:pPr>
        <w:shd w:val="clear"/>
        <w:spacing w:line="360" w:lineRule="auto"/>
        <w:rPr>
          <w:rFonts w:ascii="宋体" w:hAnsi="宋体" w:cs="宋体"/>
          <w:b/>
          <w:color w:val="auto"/>
          <w:szCs w:val="21"/>
          <w:highlight w:val="none"/>
        </w:rPr>
      </w:pPr>
    </w:p>
    <w:p w14:paraId="41123108">
      <w:pPr>
        <w:shd w:val="clear"/>
        <w:spacing w:line="360" w:lineRule="auto"/>
        <w:rPr>
          <w:rFonts w:ascii="宋体" w:hAnsi="宋体" w:cs="宋体"/>
          <w:b/>
          <w:color w:val="auto"/>
          <w:szCs w:val="21"/>
          <w:highlight w:val="none"/>
        </w:rPr>
      </w:pPr>
    </w:p>
    <w:p w14:paraId="663FAD32">
      <w:pPr>
        <w:shd w:val="clear"/>
        <w:jc w:val="left"/>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附：法定代表人身份证复印件（正反面）、授权代表身份证复印件（正反面）：</w:t>
      </w:r>
    </w:p>
    <w:p w14:paraId="1923DB91">
      <w:pPr>
        <w:shd w:val="clear"/>
        <w:snapToGrid w:val="0"/>
        <w:spacing w:line="360" w:lineRule="auto"/>
        <w:rPr>
          <w:rFonts w:cs="仿宋" w:asciiTheme="majorEastAsia" w:hAnsiTheme="majorEastAsia" w:eastAsiaTheme="majorEastAsia"/>
          <w:color w:val="auto"/>
          <w:sz w:val="24"/>
          <w:highlight w:val="none"/>
        </w:rPr>
      </w:pPr>
    </w:p>
    <w:p w14:paraId="5B46C584">
      <w:pPr>
        <w:shd w:val="clea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32"/>
          <w:szCs w:val="32"/>
          <w:highlight w:val="none"/>
          <w:lang w:val="zh-CN"/>
        </w:rPr>
        <w:t xml:space="preserve">      </w:t>
      </w:r>
      <w:r>
        <w:rPr>
          <w:rFonts w:hint="eastAsia" w:cs="仿宋" w:asciiTheme="majorEastAsia" w:hAnsiTheme="majorEastAsia" w:eastAsiaTheme="majorEastAsia"/>
          <w:b/>
          <w:color w:val="auto"/>
          <w:kern w:val="0"/>
          <w:sz w:val="32"/>
          <w:szCs w:val="32"/>
          <w:highlight w:val="none"/>
        </w:rPr>
        <w:t xml:space="preserve"> </w:t>
      </w:r>
    </w:p>
    <w:p w14:paraId="6A16535B">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投标人基本情况</w:t>
      </w:r>
      <w:bookmarkEnd w:id="425"/>
      <w:bookmarkEnd w:id="426"/>
      <w:bookmarkEnd w:id="427"/>
      <w:bookmarkEnd w:id="428"/>
      <w:bookmarkEnd w:id="429"/>
      <w:bookmarkEnd w:id="430"/>
      <w:r>
        <w:rPr>
          <w:rFonts w:hint="eastAsia" w:cs="仿宋" w:asciiTheme="majorEastAsia" w:hAnsiTheme="majorEastAsia" w:eastAsiaTheme="majorEastAsia"/>
          <w:b/>
          <w:color w:val="auto"/>
          <w:kern w:val="0"/>
          <w:sz w:val="32"/>
          <w:szCs w:val="32"/>
          <w:highlight w:val="none"/>
          <w:lang w:val="zh-CN"/>
        </w:rPr>
        <w:t>表</w:t>
      </w:r>
    </w:p>
    <w:tbl>
      <w:tblPr>
        <w:tblStyle w:val="18"/>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14:paraId="448D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42AE08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p>
        </w:tc>
        <w:tc>
          <w:tcPr>
            <w:tcW w:w="7647" w:type="dxa"/>
            <w:gridSpan w:val="5"/>
            <w:vAlign w:val="center"/>
          </w:tcPr>
          <w:p w14:paraId="250385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15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D264C2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注册地址</w:t>
            </w:r>
          </w:p>
        </w:tc>
        <w:tc>
          <w:tcPr>
            <w:tcW w:w="2809" w:type="dxa"/>
            <w:gridSpan w:val="2"/>
            <w:vAlign w:val="center"/>
          </w:tcPr>
          <w:p w14:paraId="7111060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BED0D6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成立时间</w:t>
            </w:r>
          </w:p>
        </w:tc>
        <w:tc>
          <w:tcPr>
            <w:tcW w:w="3052" w:type="dxa"/>
            <w:gridSpan w:val="2"/>
            <w:vAlign w:val="center"/>
          </w:tcPr>
          <w:p w14:paraId="0716EAF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CF5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34408C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统一信用代码</w:t>
            </w:r>
          </w:p>
        </w:tc>
        <w:tc>
          <w:tcPr>
            <w:tcW w:w="2809" w:type="dxa"/>
            <w:gridSpan w:val="2"/>
            <w:vAlign w:val="center"/>
          </w:tcPr>
          <w:p w14:paraId="5D9213E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089D1E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注册资金</w:t>
            </w:r>
          </w:p>
        </w:tc>
        <w:tc>
          <w:tcPr>
            <w:tcW w:w="3052" w:type="dxa"/>
            <w:gridSpan w:val="2"/>
            <w:vAlign w:val="center"/>
          </w:tcPr>
          <w:p w14:paraId="1655D62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69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74E91C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投标联系人姓名</w:t>
            </w:r>
          </w:p>
        </w:tc>
        <w:tc>
          <w:tcPr>
            <w:tcW w:w="1936" w:type="dxa"/>
            <w:vAlign w:val="center"/>
          </w:tcPr>
          <w:p w14:paraId="237C6E2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0C876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5FE876C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238DDD1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24812A8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093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4C8E518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法定代表人姓名</w:t>
            </w:r>
          </w:p>
        </w:tc>
        <w:tc>
          <w:tcPr>
            <w:tcW w:w="1936" w:type="dxa"/>
            <w:vAlign w:val="center"/>
          </w:tcPr>
          <w:p w14:paraId="67A0CFA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731F77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3941517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85D37D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6E5E5D8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89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AA55C3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项目负责人姓名</w:t>
            </w:r>
          </w:p>
        </w:tc>
        <w:tc>
          <w:tcPr>
            <w:tcW w:w="1936" w:type="dxa"/>
            <w:vAlign w:val="center"/>
          </w:tcPr>
          <w:p w14:paraId="4EF633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5F3A7F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10D6D86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52127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技术职称</w:t>
            </w:r>
          </w:p>
        </w:tc>
        <w:tc>
          <w:tcPr>
            <w:tcW w:w="1852" w:type="dxa"/>
            <w:vAlign w:val="center"/>
          </w:tcPr>
          <w:p w14:paraId="715F322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5AD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14:paraId="7B62696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936" w:type="dxa"/>
            <w:vMerge w:val="restart"/>
            <w:vAlign w:val="center"/>
          </w:tcPr>
          <w:p w14:paraId="677E611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restart"/>
            <w:vAlign w:val="center"/>
          </w:tcPr>
          <w:p w14:paraId="6E78EFE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w:t>
            </w:r>
          </w:p>
        </w:tc>
        <w:tc>
          <w:tcPr>
            <w:tcW w:w="1786" w:type="dxa"/>
            <w:vAlign w:val="center"/>
          </w:tcPr>
          <w:p w14:paraId="6E7F457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高级职称</w:t>
            </w:r>
          </w:p>
        </w:tc>
        <w:tc>
          <w:tcPr>
            <w:tcW w:w="3052" w:type="dxa"/>
            <w:gridSpan w:val="2"/>
            <w:vAlign w:val="center"/>
          </w:tcPr>
          <w:p w14:paraId="69AD901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68A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7DE9659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7C295A4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54C6DB7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5D6DE3A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中级职称</w:t>
            </w:r>
          </w:p>
        </w:tc>
        <w:tc>
          <w:tcPr>
            <w:tcW w:w="3052" w:type="dxa"/>
            <w:gridSpan w:val="2"/>
            <w:vAlign w:val="center"/>
          </w:tcPr>
          <w:p w14:paraId="2AF697D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532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0E1B22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55C631C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150E5FF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39B890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各类注册人员</w:t>
            </w:r>
          </w:p>
        </w:tc>
        <w:tc>
          <w:tcPr>
            <w:tcW w:w="3052" w:type="dxa"/>
            <w:gridSpan w:val="2"/>
            <w:vAlign w:val="center"/>
          </w:tcPr>
          <w:p w14:paraId="26FB150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F3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48F3C7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基本账户开户银行</w:t>
            </w:r>
          </w:p>
        </w:tc>
        <w:tc>
          <w:tcPr>
            <w:tcW w:w="7647" w:type="dxa"/>
            <w:gridSpan w:val="5"/>
            <w:vAlign w:val="center"/>
          </w:tcPr>
          <w:p w14:paraId="7DCB9D0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08A3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EFB765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基本账户账号</w:t>
            </w:r>
          </w:p>
        </w:tc>
        <w:tc>
          <w:tcPr>
            <w:tcW w:w="7647" w:type="dxa"/>
            <w:gridSpan w:val="5"/>
            <w:vAlign w:val="center"/>
          </w:tcPr>
          <w:p w14:paraId="00AB645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2985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14:paraId="524C1D6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经营范围</w:t>
            </w:r>
          </w:p>
        </w:tc>
        <w:tc>
          <w:tcPr>
            <w:tcW w:w="7647" w:type="dxa"/>
            <w:gridSpan w:val="5"/>
            <w:vAlign w:val="center"/>
          </w:tcPr>
          <w:p w14:paraId="759C336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35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14:paraId="2ACAFC4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备注</w:t>
            </w:r>
          </w:p>
        </w:tc>
        <w:tc>
          <w:tcPr>
            <w:tcW w:w="7647" w:type="dxa"/>
            <w:gridSpan w:val="5"/>
            <w:vAlign w:val="center"/>
          </w:tcPr>
          <w:p w14:paraId="0A54D57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6F2D7C6D">
      <w:pPr>
        <w:shd w:val="clear"/>
        <w:adjustRightInd w:val="0"/>
        <w:snapToGrid w:val="0"/>
        <w:spacing w:line="360" w:lineRule="auto"/>
        <w:ind w:firstLine="482"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b/>
          <w:bCs/>
          <w:color w:val="auto"/>
          <w:kern w:val="0"/>
          <w:sz w:val="24"/>
          <w:highlight w:val="none"/>
          <w:lang w:val="zh-CN"/>
        </w:rPr>
        <w:t>兹证明上述声明是真实、正确的，并提供了全部能提供的资料和数据，我们同意遵照贵方要求出示有关证明文件。</w:t>
      </w:r>
    </w:p>
    <w:p w14:paraId="78CE732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p w14:paraId="4A66B8C6">
      <w:pPr>
        <w:pStyle w:val="25"/>
        <w:shd w:val="clear"/>
        <w:spacing w:line="360" w:lineRule="auto"/>
        <w:ind w:firstLine="560"/>
        <w:rPr>
          <w:rFonts w:cs="仿宋" w:asciiTheme="majorEastAsia" w:hAnsiTheme="majorEastAsia" w:eastAsiaTheme="majorEastAsia"/>
          <w:color w:val="auto"/>
          <w:highlight w:val="none"/>
          <w:lang w:val="zh-CN"/>
        </w:rPr>
      </w:pPr>
    </w:p>
    <w:p w14:paraId="4D79A5F4">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4E5CCCB">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F110542">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p>
    <w:p w14:paraId="51BD4366">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距采购人最近或者能为本项目提供最优服务的网点情况表</w:t>
      </w:r>
    </w:p>
    <w:p w14:paraId="62E0603D">
      <w:pPr>
        <w:shd w:val="clear"/>
        <w:spacing w:line="360" w:lineRule="auto"/>
        <w:rPr>
          <w:rFonts w:cs="仿宋" w:asciiTheme="majorEastAsia" w:hAnsiTheme="majorEastAsia" w:eastAsiaTheme="majorEastAsia"/>
          <w:color w:val="auto"/>
          <w:highlight w:val="none"/>
        </w:rPr>
      </w:pPr>
    </w:p>
    <w:tbl>
      <w:tblPr>
        <w:tblStyle w:val="18"/>
        <w:tblW w:w="84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14:paraId="68911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B8936C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23B265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E397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962359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3BB4FC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4B9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9F5783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14:paraId="7F8587B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536F36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14:paraId="26A2C3D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65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9C39AE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14:paraId="1E00FD2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452910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14:paraId="35DE485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A4F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1BBC84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0F92D1B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659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FAAB9B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47ACDDF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464F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726B18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C2C70B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9724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24B585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64E9FB7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8D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28EDEF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D5B927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F89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C92EE7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022662C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264E73B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14:paraId="68FBF80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F672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DD28E7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4E00D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3616EFB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14:paraId="7143CE9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1D42B5C0">
      <w:pPr>
        <w:shd w:val="clear"/>
        <w:spacing w:line="360" w:lineRule="auto"/>
        <w:rPr>
          <w:rFonts w:cs="仿宋" w:asciiTheme="majorEastAsia" w:hAnsiTheme="majorEastAsia" w:eastAsiaTheme="majorEastAsia"/>
          <w:color w:val="auto"/>
          <w:highlight w:val="none"/>
        </w:rPr>
      </w:pPr>
    </w:p>
    <w:p w14:paraId="69089CF2">
      <w:pPr>
        <w:shd w:val="clear"/>
        <w:spacing w:line="360" w:lineRule="auto"/>
        <w:rPr>
          <w:rFonts w:cs="仿宋" w:asciiTheme="majorEastAsia" w:hAnsiTheme="majorEastAsia" w:eastAsiaTheme="majorEastAsia"/>
          <w:color w:val="auto"/>
          <w:highlight w:val="none"/>
        </w:rPr>
      </w:pPr>
    </w:p>
    <w:p w14:paraId="38566C5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highlight w:val="none"/>
        </w:rPr>
        <w:t xml:space="preserve">       </w:t>
      </w:r>
    </w:p>
    <w:p w14:paraId="4054EBA3">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0910768">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6271D0F">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226F4092">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评标标准相应的商务技术资料</w:t>
      </w:r>
    </w:p>
    <w:p w14:paraId="73EA0FBD">
      <w:pPr>
        <w:shd w:val="clear"/>
        <w:snapToGrid w:val="0"/>
        <w:spacing w:line="360" w:lineRule="auto"/>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（按招标文件第四部分评标办法前附表中“投标文件中评标标准相应的商务技术资料目录”提供资料）</w:t>
      </w:r>
    </w:p>
    <w:p w14:paraId="3511A1EF">
      <w:pPr>
        <w:pStyle w:val="25"/>
        <w:shd w:val="clear"/>
        <w:ind w:firstLine="560"/>
        <w:rPr>
          <w:rFonts w:asciiTheme="majorEastAsia" w:hAnsiTheme="majorEastAsia" w:eastAsiaTheme="majorEastAsia"/>
          <w:color w:val="auto"/>
          <w:highlight w:val="none"/>
          <w:lang w:val="zh-CN"/>
        </w:rPr>
      </w:pPr>
    </w:p>
    <w:p w14:paraId="700F8E32">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商务响应表</w:t>
      </w:r>
    </w:p>
    <w:tbl>
      <w:tblPr>
        <w:tblStyle w:val="18"/>
        <w:tblW w:w="974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562"/>
        <w:gridCol w:w="6096"/>
        <w:gridCol w:w="991"/>
        <w:gridCol w:w="1098"/>
      </w:tblGrid>
      <w:tr w14:paraId="7F5902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562" w:type="dxa"/>
            <w:tcBorders>
              <w:top w:val="single" w:color="auto" w:sz="4" w:space="0"/>
              <w:bottom w:val="single" w:color="auto" w:sz="4" w:space="0"/>
            </w:tcBorders>
            <w:vAlign w:val="center"/>
          </w:tcPr>
          <w:p w14:paraId="04C5A01B">
            <w:pPr>
              <w:shd w:val="clear"/>
              <w:snapToGrid w:val="0"/>
              <w:ind w:right="-108"/>
              <w:rPr>
                <w:color w:val="auto"/>
                <w:highlight w:val="none"/>
              </w:rPr>
            </w:pPr>
            <w:r>
              <w:rPr>
                <w:color w:val="auto"/>
                <w:highlight w:val="none"/>
              </w:rPr>
              <w:t>商务要求项目</w:t>
            </w:r>
          </w:p>
        </w:tc>
        <w:tc>
          <w:tcPr>
            <w:tcW w:w="6096" w:type="dxa"/>
            <w:tcBorders>
              <w:top w:val="single" w:color="auto" w:sz="4" w:space="0"/>
              <w:bottom w:val="single" w:color="auto" w:sz="4" w:space="0"/>
            </w:tcBorders>
            <w:vAlign w:val="center"/>
          </w:tcPr>
          <w:p w14:paraId="1F6AE695">
            <w:pPr>
              <w:shd w:val="clear"/>
              <w:snapToGrid w:val="0"/>
              <w:ind w:right="-108"/>
              <w:rPr>
                <w:color w:val="auto"/>
                <w:highlight w:val="none"/>
              </w:rPr>
            </w:pPr>
            <w:r>
              <w:rPr>
                <w:color w:val="auto"/>
                <w:highlight w:val="none"/>
              </w:rPr>
              <w:t>采购文件要求</w:t>
            </w:r>
          </w:p>
        </w:tc>
        <w:tc>
          <w:tcPr>
            <w:tcW w:w="991" w:type="dxa"/>
            <w:tcBorders>
              <w:top w:val="single" w:color="auto" w:sz="4" w:space="0"/>
              <w:bottom w:val="single" w:color="auto" w:sz="4" w:space="0"/>
            </w:tcBorders>
            <w:vAlign w:val="center"/>
          </w:tcPr>
          <w:p w14:paraId="114532B7">
            <w:pPr>
              <w:shd w:val="clear"/>
              <w:snapToGrid w:val="0"/>
              <w:ind w:right="-108"/>
              <w:rPr>
                <w:color w:val="auto"/>
                <w:highlight w:val="none"/>
              </w:rPr>
            </w:pPr>
            <w:r>
              <w:rPr>
                <w:color w:val="auto"/>
                <w:highlight w:val="none"/>
              </w:rPr>
              <w:t>响应情况</w:t>
            </w:r>
          </w:p>
        </w:tc>
        <w:tc>
          <w:tcPr>
            <w:tcW w:w="1098" w:type="dxa"/>
            <w:tcBorders>
              <w:top w:val="single" w:color="auto" w:sz="4" w:space="0"/>
              <w:bottom w:val="single" w:color="auto" w:sz="4" w:space="0"/>
            </w:tcBorders>
            <w:vAlign w:val="center"/>
          </w:tcPr>
          <w:p w14:paraId="30CEEDCC">
            <w:pPr>
              <w:shd w:val="clear"/>
              <w:snapToGrid w:val="0"/>
              <w:ind w:right="-108"/>
              <w:rPr>
                <w:color w:val="auto"/>
                <w:highlight w:val="none"/>
              </w:rPr>
            </w:pPr>
            <w:r>
              <w:rPr>
                <w:color w:val="auto"/>
                <w:highlight w:val="none"/>
              </w:rPr>
              <w:t>投标人承诺或说明</w:t>
            </w:r>
          </w:p>
        </w:tc>
      </w:tr>
      <w:tr w14:paraId="73AAD5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0BD35F5C">
            <w:pPr>
              <w:pStyle w:val="25"/>
              <w:shd w:val="clear"/>
              <w:ind w:firstLine="0" w:firstLineChars="0"/>
              <w:jc w:val="left"/>
              <w:rPr>
                <w:color w:val="auto"/>
                <w:highlight w:val="none"/>
              </w:rPr>
            </w:pPr>
          </w:p>
        </w:tc>
        <w:tc>
          <w:tcPr>
            <w:tcW w:w="6096" w:type="dxa"/>
            <w:tcBorders>
              <w:top w:val="single" w:color="auto" w:sz="4" w:space="0"/>
            </w:tcBorders>
            <w:vAlign w:val="center"/>
          </w:tcPr>
          <w:p w14:paraId="1B6E4FD9">
            <w:pPr>
              <w:pStyle w:val="25"/>
              <w:shd w:val="clear"/>
              <w:ind w:firstLine="0" w:firstLineChars="0"/>
              <w:jc w:val="left"/>
              <w:rPr>
                <w:color w:val="auto"/>
                <w:highlight w:val="none"/>
              </w:rPr>
            </w:pPr>
          </w:p>
        </w:tc>
        <w:tc>
          <w:tcPr>
            <w:tcW w:w="991" w:type="dxa"/>
            <w:tcBorders>
              <w:top w:val="single" w:color="auto" w:sz="4" w:space="0"/>
            </w:tcBorders>
          </w:tcPr>
          <w:p w14:paraId="357A857C">
            <w:pPr>
              <w:shd w:val="clear"/>
              <w:snapToGrid w:val="0"/>
              <w:ind w:right="-108"/>
              <w:rPr>
                <w:color w:val="auto"/>
                <w:highlight w:val="none"/>
              </w:rPr>
            </w:pPr>
          </w:p>
        </w:tc>
        <w:tc>
          <w:tcPr>
            <w:tcW w:w="1098" w:type="dxa"/>
            <w:tcBorders>
              <w:top w:val="single" w:color="auto" w:sz="4" w:space="0"/>
            </w:tcBorders>
          </w:tcPr>
          <w:p w14:paraId="78CFA902">
            <w:pPr>
              <w:shd w:val="clear"/>
              <w:snapToGrid w:val="0"/>
              <w:ind w:right="-108"/>
              <w:rPr>
                <w:color w:val="auto"/>
                <w:highlight w:val="none"/>
              </w:rPr>
            </w:pPr>
          </w:p>
        </w:tc>
      </w:tr>
      <w:tr w14:paraId="1DE13A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8D023E0">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7314DEA2">
            <w:pPr>
              <w:pStyle w:val="25"/>
              <w:shd w:val="clear"/>
              <w:ind w:firstLine="0" w:firstLineChars="0"/>
              <w:jc w:val="left"/>
              <w:rPr>
                <w:color w:val="auto"/>
                <w:highlight w:val="none"/>
              </w:rPr>
            </w:pPr>
          </w:p>
        </w:tc>
        <w:tc>
          <w:tcPr>
            <w:tcW w:w="991" w:type="dxa"/>
            <w:tcBorders>
              <w:top w:val="single" w:color="auto" w:sz="4" w:space="0"/>
            </w:tcBorders>
          </w:tcPr>
          <w:p w14:paraId="18095D69">
            <w:pPr>
              <w:shd w:val="clear"/>
              <w:rPr>
                <w:rFonts w:ascii="宋体" w:hAnsi="宋体"/>
                <w:color w:val="auto"/>
                <w:highlight w:val="none"/>
              </w:rPr>
            </w:pPr>
          </w:p>
        </w:tc>
        <w:tc>
          <w:tcPr>
            <w:tcW w:w="1098" w:type="dxa"/>
            <w:tcBorders>
              <w:top w:val="single" w:color="auto" w:sz="4" w:space="0"/>
            </w:tcBorders>
          </w:tcPr>
          <w:p w14:paraId="6277125E">
            <w:pPr>
              <w:shd w:val="clear"/>
              <w:rPr>
                <w:rFonts w:ascii="宋体" w:hAnsi="宋体"/>
                <w:color w:val="auto"/>
                <w:highlight w:val="none"/>
              </w:rPr>
            </w:pPr>
          </w:p>
        </w:tc>
      </w:tr>
      <w:tr w14:paraId="5728B4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176D20A">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4F7C69F4">
            <w:pPr>
              <w:widowControl/>
              <w:shd w:val="clear"/>
              <w:spacing w:line="0" w:lineRule="atLeast"/>
              <w:ind w:left="-108" w:right="-120"/>
              <w:jc w:val="left"/>
              <w:rPr>
                <w:color w:val="auto"/>
                <w:highlight w:val="none"/>
              </w:rPr>
            </w:pPr>
          </w:p>
        </w:tc>
        <w:tc>
          <w:tcPr>
            <w:tcW w:w="991" w:type="dxa"/>
            <w:tcBorders>
              <w:top w:val="single" w:color="auto" w:sz="4" w:space="0"/>
            </w:tcBorders>
          </w:tcPr>
          <w:p w14:paraId="6F7F729B">
            <w:pPr>
              <w:shd w:val="clear"/>
              <w:snapToGrid w:val="0"/>
              <w:ind w:right="-108"/>
              <w:rPr>
                <w:color w:val="auto"/>
                <w:highlight w:val="none"/>
              </w:rPr>
            </w:pPr>
          </w:p>
        </w:tc>
        <w:tc>
          <w:tcPr>
            <w:tcW w:w="1098" w:type="dxa"/>
            <w:tcBorders>
              <w:top w:val="single" w:color="auto" w:sz="4" w:space="0"/>
            </w:tcBorders>
          </w:tcPr>
          <w:p w14:paraId="13D0F90D">
            <w:pPr>
              <w:shd w:val="clear"/>
              <w:snapToGrid w:val="0"/>
              <w:ind w:right="-108"/>
              <w:rPr>
                <w:color w:val="auto"/>
                <w:highlight w:val="none"/>
              </w:rPr>
            </w:pPr>
          </w:p>
        </w:tc>
      </w:tr>
      <w:tr w14:paraId="5C10F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1562" w:type="dxa"/>
            <w:vAlign w:val="center"/>
          </w:tcPr>
          <w:p w14:paraId="66802E8D">
            <w:pPr>
              <w:pStyle w:val="25"/>
              <w:shd w:val="clear"/>
              <w:ind w:firstLine="0" w:firstLineChars="0"/>
              <w:jc w:val="left"/>
              <w:rPr>
                <w:color w:val="auto"/>
                <w:highlight w:val="none"/>
              </w:rPr>
            </w:pPr>
          </w:p>
        </w:tc>
        <w:tc>
          <w:tcPr>
            <w:tcW w:w="6096" w:type="dxa"/>
            <w:vAlign w:val="center"/>
          </w:tcPr>
          <w:p w14:paraId="0F014119">
            <w:pPr>
              <w:pStyle w:val="25"/>
              <w:shd w:val="clear"/>
              <w:ind w:firstLine="0" w:firstLineChars="0"/>
              <w:jc w:val="left"/>
              <w:rPr>
                <w:color w:val="auto"/>
                <w:highlight w:val="none"/>
              </w:rPr>
            </w:pPr>
          </w:p>
        </w:tc>
        <w:tc>
          <w:tcPr>
            <w:tcW w:w="991" w:type="dxa"/>
          </w:tcPr>
          <w:p w14:paraId="283BB193">
            <w:pPr>
              <w:shd w:val="clear"/>
              <w:snapToGrid w:val="0"/>
              <w:ind w:right="-108"/>
              <w:rPr>
                <w:color w:val="auto"/>
                <w:highlight w:val="none"/>
              </w:rPr>
            </w:pPr>
          </w:p>
        </w:tc>
        <w:tc>
          <w:tcPr>
            <w:tcW w:w="1098" w:type="dxa"/>
          </w:tcPr>
          <w:p w14:paraId="1778817F">
            <w:pPr>
              <w:shd w:val="clear"/>
              <w:snapToGrid w:val="0"/>
              <w:ind w:right="-108"/>
              <w:rPr>
                <w:color w:val="auto"/>
                <w:highlight w:val="none"/>
              </w:rPr>
            </w:pPr>
          </w:p>
        </w:tc>
      </w:tr>
      <w:tr w14:paraId="787A4B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62" w:type="dxa"/>
            <w:vAlign w:val="center"/>
          </w:tcPr>
          <w:p w14:paraId="20E3181B">
            <w:pPr>
              <w:pStyle w:val="25"/>
              <w:shd w:val="clear"/>
              <w:ind w:firstLine="0" w:firstLineChars="0"/>
              <w:jc w:val="left"/>
              <w:rPr>
                <w:color w:val="auto"/>
                <w:highlight w:val="none"/>
              </w:rPr>
            </w:pPr>
          </w:p>
        </w:tc>
        <w:tc>
          <w:tcPr>
            <w:tcW w:w="6096" w:type="dxa"/>
            <w:vAlign w:val="center"/>
          </w:tcPr>
          <w:p w14:paraId="5035DF5E">
            <w:pPr>
              <w:pStyle w:val="25"/>
              <w:shd w:val="clear"/>
              <w:ind w:firstLine="0" w:firstLineChars="0"/>
              <w:jc w:val="left"/>
              <w:rPr>
                <w:color w:val="auto"/>
                <w:highlight w:val="none"/>
              </w:rPr>
            </w:pPr>
          </w:p>
        </w:tc>
        <w:tc>
          <w:tcPr>
            <w:tcW w:w="991" w:type="dxa"/>
          </w:tcPr>
          <w:p w14:paraId="1B228675">
            <w:pPr>
              <w:shd w:val="clear"/>
              <w:snapToGrid w:val="0"/>
              <w:ind w:right="-108"/>
              <w:rPr>
                <w:color w:val="auto"/>
                <w:highlight w:val="none"/>
              </w:rPr>
            </w:pPr>
          </w:p>
        </w:tc>
        <w:tc>
          <w:tcPr>
            <w:tcW w:w="1098" w:type="dxa"/>
          </w:tcPr>
          <w:p w14:paraId="539E1D98">
            <w:pPr>
              <w:shd w:val="clear"/>
              <w:snapToGrid w:val="0"/>
              <w:ind w:right="-108"/>
              <w:rPr>
                <w:color w:val="auto"/>
                <w:highlight w:val="none"/>
              </w:rPr>
            </w:pPr>
          </w:p>
        </w:tc>
      </w:tr>
      <w:tr w14:paraId="5696D6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1562" w:type="dxa"/>
            <w:vAlign w:val="center"/>
          </w:tcPr>
          <w:p w14:paraId="2265CAE4">
            <w:pPr>
              <w:pStyle w:val="25"/>
              <w:shd w:val="clear"/>
              <w:ind w:firstLine="0" w:firstLineChars="0"/>
              <w:jc w:val="left"/>
              <w:rPr>
                <w:color w:val="auto"/>
                <w:highlight w:val="none"/>
              </w:rPr>
            </w:pPr>
          </w:p>
        </w:tc>
        <w:tc>
          <w:tcPr>
            <w:tcW w:w="6096" w:type="dxa"/>
            <w:vAlign w:val="center"/>
          </w:tcPr>
          <w:p w14:paraId="455B3E72">
            <w:pPr>
              <w:pStyle w:val="25"/>
              <w:shd w:val="clear"/>
              <w:ind w:firstLine="0" w:firstLineChars="0"/>
              <w:jc w:val="left"/>
              <w:rPr>
                <w:color w:val="auto"/>
                <w:highlight w:val="none"/>
              </w:rPr>
            </w:pPr>
          </w:p>
        </w:tc>
        <w:tc>
          <w:tcPr>
            <w:tcW w:w="991" w:type="dxa"/>
          </w:tcPr>
          <w:p w14:paraId="0F6F967D">
            <w:pPr>
              <w:shd w:val="clear"/>
              <w:snapToGrid w:val="0"/>
              <w:ind w:right="-108"/>
              <w:rPr>
                <w:color w:val="auto"/>
                <w:highlight w:val="none"/>
              </w:rPr>
            </w:pPr>
          </w:p>
        </w:tc>
        <w:tc>
          <w:tcPr>
            <w:tcW w:w="1098" w:type="dxa"/>
          </w:tcPr>
          <w:p w14:paraId="06EFAE1F">
            <w:pPr>
              <w:shd w:val="clear"/>
              <w:snapToGrid w:val="0"/>
              <w:ind w:right="-108"/>
              <w:rPr>
                <w:color w:val="auto"/>
                <w:highlight w:val="none"/>
              </w:rPr>
            </w:pPr>
          </w:p>
        </w:tc>
      </w:tr>
      <w:tr w14:paraId="78A994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1562" w:type="dxa"/>
            <w:vAlign w:val="center"/>
          </w:tcPr>
          <w:p w14:paraId="61E1FDBE">
            <w:pPr>
              <w:pStyle w:val="25"/>
              <w:shd w:val="clear"/>
              <w:ind w:firstLine="0" w:firstLineChars="0"/>
              <w:jc w:val="left"/>
              <w:rPr>
                <w:color w:val="auto"/>
                <w:highlight w:val="none"/>
              </w:rPr>
            </w:pPr>
          </w:p>
        </w:tc>
        <w:tc>
          <w:tcPr>
            <w:tcW w:w="6096" w:type="dxa"/>
            <w:vAlign w:val="center"/>
          </w:tcPr>
          <w:p w14:paraId="69FC3A6F">
            <w:pPr>
              <w:pStyle w:val="25"/>
              <w:shd w:val="clear"/>
              <w:ind w:firstLine="0" w:firstLineChars="0"/>
              <w:jc w:val="left"/>
              <w:rPr>
                <w:color w:val="auto"/>
                <w:highlight w:val="none"/>
              </w:rPr>
            </w:pPr>
          </w:p>
        </w:tc>
        <w:tc>
          <w:tcPr>
            <w:tcW w:w="991" w:type="dxa"/>
          </w:tcPr>
          <w:p w14:paraId="3DD49389">
            <w:pPr>
              <w:shd w:val="clear"/>
              <w:snapToGrid w:val="0"/>
              <w:ind w:right="-108"/>
              <w:rPr>
                <w:color w:val="auto"/>
                <w:highlight w:val="none"/>
              </w:rPr>
            </w:pPr>
          </w:p>
        </w:tc>
        <w:tc>
          <w:tcPr>
            <w:tcW w:w="1098" w:type="dxa"/>
          </w:tcPr>
          <w:p w14:paraId="0603F99B">
            <w:pPr>
              <w:shd w:val="clear"/>
              <w:snapToGrid w:val="0"/>
              <w:ind w:right="-108"/>
              <w:rPr>
                <w:color w:val="auto"/>
                <w:highlight w:val="none"/>
              </w:rPr>
            </w:pPr>
          </w:p>
        </w:tc>
      </w:tr>
    </w:tbl>
    <w:p w14:paraId="6C241CF1">
      <w:pPr>
        <w:shd w:val="clear"/>
        <w:adjustRightInd w:val="0"/>
        <w:snapToGrid w:val="0"/>
        <w:spacing w:line="360" w:lineRule="auto"/>
        <w:jc w:val="right"/>
        <w:rPr>
          <w:rFonts w:cs="仿宋" w:asciiTheme="majorEastAsia" w:hAnsiTheme="majorEastAsia" w:eastAsiaTheme="majorEastAsia"/>
          <w:color w:val="auto"/>
          <w:kern w:val="0"/>
          <w:sz w:val="24"/>
          <w:highlight w:val="none"/>
        </w:rPr>
      </w:pPr>
    </w:p>
    <w:p w14:paraId="2E8ED0E8">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9EA9739">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E015841">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1E5F075A">
      <w:pPr>
        <w:widowControl/>
        <w:shd w:val="clear"/>
        <w:jc w:val="left"/>
        <w:rPr>
          <w:rFonts w:asciiTheme="majorEastAsia" w:hAnsiTheme="majorEastAsia" w:eastAsiaTheme="majorEastAsia"/>
          <w:color w:val="auto"/>
          <w:sz w:val="28"/>
          <w:highlight w:val="none"/>
          <w:lang w:val="zh-CN"/>
        </w:rPr>
      </w:pPr>
    </w:p>
    <w:p w14:paraId="31BE751D">
      <w:pPr>
        <w:widowControl/>
        <w:shd w:val="clear"/>
        <w:jc w:val="left"/>
        <w:rPr>
          <w:rFonts w:asciiTheme="majorEastAsia" w:hAnsiTheme="majorEastAsia" w:eastAsiaTheme="majorEastAsia"/>
          <w:color w:val="auto"/>
          <w:sz w:val="28"/>
          <w:highlight w:val="none"/>
          <w:lang w:val="zh-CN"/>
        </w:rPr>
      </w:pPr>
      <w:r>
        <w:rPr>
          <w:rFonts w:asciiTheme="majorEastAsia" w:hAnsiTheme="majorEastAsia" w:eastAsiaTheme="majorEastAsia"/>
          <w:color w:val="auto"/>
          <w:highlight w:val="none"/>
          <w:lang w:val="zh-CN"/>
        </w:rPr>
        <w:br w:type="page"/>
      </w:r>
    </w:p>
    <w:p w14:paraId="7BF1C362">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技术响应表</w:t>
      </w:r>
    </w:p>
    <w:p w14:paraId="6A5F9E62">
      <w:pPr>
        <w:shd w:val="clear"/>
        <w:spacing w:line="360" w:lineRule="auto"/>
        <w:jc w:val="center"/>
        <w:rPr>
          <w:rFonts w:ascii="宋体" w:hAnsi="宋体" w:cs="宋体"/>
          <w:color w:val="auto"/>
          <w:highlight w:val="none"/>
        </w:rPr>
      </w:pPr>
      <w:r>
        <w:rPr>
          <w:rFonts w:hint="eastAsia" w:ascii="宋体" w:hAnsi="宋体" w:cs="宋体"/>
          <w:b/>
          <w:color w:val="auto"/>
          <w:highlight w:val="none"/>
          <w:lang w:val="en-US" w:eastAsia="zh-CN"/>
        </w:rPr>
        <w:t>1</w:t>
      </w:r>
      <w:r>
        <w:rPr>
          <w:rFonts w:hint="eastAsia" w:ascii="宋体" w:hAnsi="宋体" w:cs="宋体"/>
          <w:b/>
          <w:color w:val="auto"/>
          <w:highlight w:val="none"/>
        </w:rPr>
        <w:t>.带</w:t>
      </w:r>
      <w:r>
        <w:rPr>
          <w:rFonts w:hint="eastAsia" w:asciiTheme="minorEastAsia" w:hAnsiTheme="minorEastAsia" w:eastAsiaTheme="minorEastAsia"/>
          <w:color w:val="auto"/>
          <w:sz w:val="24"/>
          <w:highlight w:val="none"/>
        </w:rPr>
        <w:t>★</w:t>
      </w:r>
      <w:r>
        <w:rPr>
          <w:rFonts w:hint="eastAsia" w:ascii="宋体" w:hAnsi="宋体" w:cs="宋体"/>
          <w:b/>
          <w:color w:val="auto"/>
          <w:highlight w:val="none"/>
        </w:rPr>
        <w:t>条款响应一览表</w:t>
      </w:r>
    </w:p>
    <w:p w14:paraId="2D6773C7">
      <w:pPr>
        <w:shd w:val="clear"/>
        <w:spacing w:line="360" w:lineRule="auto"/>
        <w:rPr>
          <w:rFonts w:cs="仿宋" w:asciiTheme="majorEastAsia" w:hAnsiTheme="majorEastAsia" w:eastAsiaTheme="majorEastAsia"/>
          <w:color w:val="auto"/>
          <w:kern w:val="0"/>
          <w:sz w:val="32"/>
          <w:szCs w:val="32"/>
          <w:highlight w:val="none"/>
          <w:lang w:val="zh-CN"/>
        </w:rPr>
      </w:pPr>
      <w:r>
        <w:rPr>
          <w:rFonts w:hint="eastAsia" w:ascii="宋体" w:hAnsi="宋体" w:cs="宋体"/>
          <w:color w:val="auto"/>
          <w:highlight w:val="none"/>
        </w:rPr>
        <w:t>项目名称：</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0C6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03BB4CF">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733AAF73">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21A0A755">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33F9C262">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0C17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E708DAD">
            <w:pPr>
              <w:shd w:val="clear"/>
              <w:rPr>
                <w:rFonts w:ascii="宋体" w:hAnsi="宋体" w:cs="宋体"/>
                <w:color w:val="auto"/>
                <w:highlight w:val="none"/>
              </w:rPr>
            </w:pPr>
          </w:p>
        </w:tc>
        <w:tc>
          <w:tcPr>
            <w:tcW w:w="2787" w:type="dxa"/>
          </w:tcPr>
          <w:p w14:paraId="4B336E25">
            <w:pPr>
              <w:shd w:val="clear"/>
              <w:rPr>
                <w:rFonts w:ascii="宋体" w:hAnsi="宋体" w:cs="宋体"/>
                <w:color w:val="auto"/>
                <w:highlight w:val="none"/>
              </w:rPr>
            </w:pPr>
          </w:p>
        </w:tc>
        <w:tc>
          <w:tcPr>
            <w:tcW w:w="2788" w:type="dxa"/>
          </w:tcPr>
          <w:p w14:paraId="370F1479">
            <w:pPr>
              <w:shd w:val="clear"/>
              <w:rPr>
                <w:rFonts w:ascii="宋体" w:hAnsi="宋体" w:cs="宋体"/>
                <w:color w:val="auto"/>
                <w:highlight w:val="none"/>
              </w:rPr>
            </w:pPr>
          </w:p>
        </w:tc>
        <w:tc>
          <w:tcPr>
            <w:tcW w:w="2788" w:type="dxa"/>
          </w:tcPr>
          <w:p w14:paraId="2AAF4A14">
            <w:pPr>
              <w:shd w:val="clear"/>
              <w:rPr>
                <w:rFonts w:ascii="宋体" w:hAnsi="宋体" w:cs="宋体"/>
                <w:color w:val="auto"/>
                <w:highlight w:val="none"/>
              </w:rPr>
            </w:pPr>
          </w:p>
        </w:tc>
      </w:tr>
      <w:tr w14:paraId="4C9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EC2BEF">
            <w:pPr>
              <w:shd w:val="clear"/>
              <w:rPr>
                <w:rFonts w:ascii="宋体" w:hAnsi="宋体" w:cs="宋体"/>
                <w:color w:val="auto"/>
                <w:highlight w:val="none"/>
              </w:rPr>
            </w:pPr>
          </w:p>
        </w:tc>
        <w:tc>
          <w:tcPr>
            <w:tcW w:w="2787" w:type="dxa"/>
          </w:tcPr>
          <w:p w14:paraId="178DB55F">
            <w:pPr>
              <w:shd w:val="clear"/>
              <w:rPr>
                <w:rFonts w:ascii="宋体" w:hAnsi="宋体" w:cs="宋体"/>
                <w:color w:val="auto"/>
                <w:highlight w:val="none"/>
              </w:rPr>
            </w:pPr>
          </w:p>
        </w:tc>
        <w:tc>
          <w:tcPr>
            <w:tcW w:w="2788" w:type="dxa"/>
          </w:tcPr>
          <w:p w14:paraId="5BA9D631">
            <w:pPr>
              <w:shd w:val="clear"/>
              <w:rPr>
                <w:rFonts w:ascii="宋体" w:hAnsi="宋体" w:cs="宋体"/>
                <w:color w:val="auto"/>
                <w:highlight w:val="none"/>
              </w:rPr>
            </w:pPr>
          </w:p>
        </w:tc>
        <w:tc>
          <w:tcPr>
            <w:tcW w:w="2788" w:type="dxa"/>
          </w:tcPr>
          <w:p w14:paraId="2C7A9EB5">
            <w:pPr>
              <w:shd w:val="clear"/>
              <w:rPr>
                <w:rFonts w:ascii="宋体" w:hAnsi="宋体" w:cs="宋体"/>
                <w:color w:val="auto"/>
                <w:highlight w:val="none"/>
              </w:rPr>
            </w:pPr>
          </w:p>
        </w:tc>
      </w:tr>
      <w:tr w14:paraId="2818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FD9511E">
            <w:pPr>
              <w:shd w:val="clear"/>
              <w:rPr>
                <w:rFonts w:ascii="宋体" w:hAnsi="宋体" w:cs="宋体"/>
                <w:color w:val="auto"/>
                <w:highlight w:val="none"/>
              </w:rPr>
            </w:pPr>
          </w:p>
        </w:tc>
        <w:tc>
          <w:tcPr>
            <w:tcW w:w="2787" w:type="dxa"/>
          </w:tcPr>
          <w:p w14:paraId="3ABD31B8">
            <w:pPr>
              <w:shd w:val="clear"/>
              <w:rPr>
                <w:rFonts w:ascii="宋体" w:hAnsi="宋体" w:cs="宋体"/>
                <w:color w:val="auto"/>
                <w:highlight w:val="none"/>
              </w:rPr>
            </w:pPr>
          </w:p>
        </w:tc>
        <w:tc>
          <w:tcPr>
            <w:tcW w:w="2788" w:type="dxa"/>
          </w:tcPr>
          <w:p w14:paraId="52817B85">
            <w:pPr>
              <w:shd w:val="clear"/>
              <w:rPr>
                <w:rFonts w:ascii="宋体" w:hAnsi="宋体" w:cs="宋体"/>
                <w:color w:val="auto"/>
                <w:highlight w:val="none"/>
              </w:rPr>
            </w:pPr>
          </w:p>
        </w:tc>
        <w:tc>
          <w:tcPr>
            <w:tcW w:w="2788" w:type="dxa"/>
          </w:tcPr>
          <w:p w14:paraId="5C633008">
            <w:pPr>
              <w:shd w:val="clear"/>
              <w:rPr>
                <w:rFonts w:ascii="宋体" w:hAnsi="宋体" w:cs="宋体"/>
                <w:color w:val="auto"/>
                <w:highlight w:val="none"/>
              </w:rPr>
            </w:pPr>
          </w:p>
        </w:tc>
      </w:tr>
      <w:tr w14:paraId="686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86EDA21">
            <w:pPr>
              <w:shd w:val="clear"/>
              <w:rPr>
                <w:rFonts w:ascii="宋体" w:hAnsi="宋体" w:cs="宋体"/>
                <w:color w:val="auto"/>
                <w:highlight w:val="none"/>
              </w:rPr>
            </w:pPr>
          </w:p>
        </w:tc>
        <w:tc>
          <w:tcPr>
            <w:tcW w:w="2787" w:type="dxa"/>
          </w:tcPr>
          <w:p w14:paraId="2975033B">
            <w:pPr>
              <w:shd w:val="clear"/>
              <w:rPr>
                <w:rFonts w:ascii="宋体" w:hAnsi="宋体" w:cs="宋体"/>
                <w:color w:val="auto"/>
                <w:highlight w:val="none"/>
              </w:rPr>
            </w:pPr>
          </w:p>
        </w:tc>
        <w:tc>
          <w:tcPr>
            <w:tcW w:w="2788" w:type="dxa"/>
          </w:tcPr>
          <w:p w14:paraId="4ACE9095">
            <w:pPr>
              <w:shd w:val="clear"/>
              <w:rPr>
                <w:rFonts w:ascii="宋体" w:hAnsi="宋体" w:cs="宋体"/>
                <w:color w:val="auto"/>
                <w:highlight w:val="none"/>
              </w:rPr>
            </w:pPr>
          </w:p>
        </w:tc>
        <w:tc>
          <w:tcPr>
            <w:tcW w:w="2788" w:type="dxa"/>
          </w:tcPr>
          <w:p w14:paraId="3F455DC8">
            <w:pPr>
              <w:shd w:val="clear"/>
              <w:rPr>
                <w:rFonts w:ascii="宋体" w:hAnsi="宋体" w:cs="宋体"/>
                <w:color w:val="auto"/>
                <w:highlight w:val="none"/>
              </w:rPr>
            </w:pPr>
          </w:p>
        </w:tc>
      </w:tr>
      <w:tr w14:paraId="5A80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21AF4DB">
            <w:pPr>
              <w:shd w:val="clear"/>
              <w:rPr>
                <w:rFonts w:ascii="宋体" w:hAnsi="宋体" w:cs="宋体"/>
                <w:color w:val="auto"/>
                <w:highlight w:val="none"/>
              </w:rPr>
            </w:pPr>
          </w:p>
        </w:tc>
        <w:tc>
          <w:tcPr>
            <w:tcW w:w="2787" w:type="dxa"/>
          </w:tcPr>
          <w:p w14:paraId="56FC0225">
            <w:pPr>
              <w:shd w:val="clear"/>
              <w:rPr>
                <w:rFonts w:ascii="宋体" w:hAnsi="宋体" w:cs="宋体"/>
                <w:color w:val="auto"/>
                <w:highlight w:val="none"/>
              </w:rPr>
            </w:pPr>
          </w:p>
        </w:tc>
        <w:tc>
          <w:tcPr>
            <w:tcW w:w="2788" w:type="dxa"/>
          </w:tcPr>
          <w:p w14:paraId="5E6991CA">
            <w:pPr>
              <w:shd w:val="clear"/>
              <w:rPr>
                <w:rFonts w:ascii="宋体" w:hAnsi="宋体" w:cs="宋体"/>
                <w:color w:val="auto"/>
                <w:highlight w:val="none"/>
              </w:rPr>
            </w:pPr>
          </w:p>
        </w:tc>
        <w:tc>
          <w:tcPr>
            <w:tcW w:w="2788" w:type="dxa"/>
          </w:tcPr>
          <w:p w14:paraId="434CF8FF">
            <w:pPr>
              <w:shd w:val="clear"/>
              <w:rPr>
                <w:rFonts w:ascii="宋体" w:hAnsi="宋体" w:cs="宋体"/>
                <w:color w:val="auto"/>
                <w:highlight w:val="none"/>
              </w:rPr>
            </w:pPr>
          </w:p>
        </w:tc>
      </w:tr>
      <w:tr w14:paraId="31E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670858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10E53CDC">
            <w:pPr>
              <w:shd w:val="clear"/>
              <w:rPr>
                <w:rFonts w:ascii="宋体" w:hAnsi="宋体" w:cs="宋体"/>
                <w:color w:val="auto"/>
                <w:highlight w:val="none"/>
              </w:rPr>
            </w:pPr>
          </w:p>
        </w:tc>
        <w:tc>
          <w:tcPr>
            <w:tcW w:w="2788" w:type="dxa"/>
          </w:tcPr>
          <w:p w14:paraId="1295E399">
            <w:pPr>
              <w:shd w:val="clear"/>
              <w:rPr>
                <w:rFonts w:ascii="宋体" w:hAnsi="宋体" w:cs="宋体"/>
                <w:color w:val="auto"/>
                <w:highlight w:val="none"/>
              </w:rPr>
            </w:pPr>
          </w:p>
        </w:tc>
        <w:tc>
          <w:tcPr>
            <w:tcW w:w="2788" w:type="dxa"/>
          </w:tcPr>
          <w:p w14:paraId="51ACE4B9">
            <w:pPr>
              <w:shd w:val="clear"/>
              <w:rPr>
                <w:rFonts w:ascii="宋体" w:hAnsi="宋体" w:cs="宋体"/>
                <w:color w:val="auto"/>
                <w:highlight w:val="none"/>
              </w:rPr>
            </w:pPr>
          </w:p>
        </w:tc>
      </w:tr>
    </w:tbl>
    <w:p w14:paraId="458E62BC">
      <w:pPr>
        <w:shd w:val="clear"/>
        <w:spacing w:line="360" w:lineRule="auto"/>
        <w:jc w:val="left"/>
        <w:rPr>
          <w:rFonts w:ascii="宋体" w:hAnsi="宋体" w:cs="宋体"/>
          <w:color w:val="auto"/>
          <w:highlight w:val="none"/>
        </w:rPr>
      </w:pPr>
      <w:r>
        <w:rPr>
          <w:rFonts w:hint="eastAsia" w:ascii="宋体" w:hAnsi="宋体" w:cs="宋体"/>
          <w:color w:val="auto"/>
          <w:highlight w:val="none"/>
        </w:rPr>
        <w:t>说明：投标人必须对应采购文件“第三部分 采购需求”带“</w:t>
      </w:r>
      <w:r>
        <w:rPr>
          <w:rFonts w:hint="eastAsia" w:asciiTheme="minorEastAsia" w:hAnsiTheme="minorEastAsia" w:eastAsiaTheme="minorEastAsia"/>
          <w:color w:val="auto"/>
          <w:sz w:val="24"/>
          <w:highlight w:val="none"/>
        </w:rPr>
        <w:t>★</w:t>
      </w:r>
      <w:r>
        <w:rPr>
          <w:rFonts w:hint="eastAsia" w:ascii="宋体" w:hAnsi="宋体" w:cs="宋体"/>
          <w:color w:val="auto"/>
          <w:highlight w:val="none"/>
        </w:rPr>
        <w:t>”的条款逐条应答并按要求填写上表。条款要求提供的相关证明资料必须一并提供，否则视为不响应。</w:t>
      </w:r>
    </w:p>
    <w:p w14:paraId="61DB1DAA">
      <w:pPr>
        <w:shd w:val="clear"/>
        <w:spacing w:line="360" w:lineRule="auto"/>
        <w:jc w:val="right"/>
        <w:rPr>
          <w:rFonts w:ascii="宋体" w:hAnsi="宋体" w:cs="宋体"/>
          <w:color w:val="auto"/>
          <w:highlight w:val="none"/>
        </w:rPr>
      </w:pPr>
      <w:r>
        <w:rPr>
          <w:rFonts w:hint="eastAsia" w:ascii="宋体" w:hAnsi="宋体" w:cs="宋体"/>
          <w:color w:val="auto"/>
          <w:highlight w:val="none"/>
        </w:rPr>
        <w:t>法定代表人或其授权委托人（签名或印章）：</w:t>
      </w:r>
    </w:p>
    <w:p w14:paraId="1F24662D">
      <w:pPr>
        <w:shd w:val="clear"/>
        <w:spacing w:line="360" w:lineRule="auto"/>
        <w:ind w:firstLine="5040" w:firstLineChars="2400"/>
        <w:rPr>
          <w:rFonts w:ascii="宋体" w:hAnsi="宋体" w:cs="宋体"/>
          <w:color w:val="auto"/>
          <w:highlight w:val="none"/>
        </w:rPr>
      </w:pPr>
      <w:r>
        <w:rPr>
          <w:rFonts w:hint="eastAsia" w:ascii="宋体" w:hAnsi="宋体" w:cs="宋体"/>
          <w:color w:val="auto"/>
          <w:highlight w:val="none"/>
        </w:rPr>
        <w:t>投标人（盖章）：</w:t>
      </w:r>
    </w:p>
    <w:p w14:paraId="7A2140FD">
      <w:pPr>
        <w:shd w:val="clear"/>
        <w:spacing w:line="360" w:lineRule="auto"/>
        <w:ind w:firstLine="5040" w:firstLineChars="2400"/>
        <w:rPr>
          <w:rFonts w:hint="eastAsia" w:ascii="宋体" w:hAnsi="宋体" w:cs="宋体"/>
          <w:color w:val="auto"/>
          <w:highlight w:val="none"/>
          <w:lang w:val="zh-CN"/>
        </w:rPr>
      </w:pPr>
      <w:r>
        <w:rPr>
          <w:rFonts w:hint="eastAsia" w:ascii="宋体" w:hAnsi="宋体" w:cs="宋体"/>
          <w:color w:val="auto"/>
          <w:highlight w:val="none"/>
        </w:rPr>
        <w:t>日期：</w:t>
      </w:r>
    </w:p>
    <w:p w14:paraId="6F926FB9">
      <w:pPr>
        <w:shd w:val="clear"/>
        <w:jc w:val="center"/>
        <w:rPr>
          <w:rFonts w:ascii="宋体" w:hAnsi="宋体" w:cs="宋体"/>
          <w:color w:val="auto"/>
          <w:highlight w:val="none"/>
        </w:rPr>
      </w:pPr>
      <w:r>
        <w:rPr>
          <w:rFonts w:hint="eastAsia" w:ascii="宋体" w:hAnsi="宋体" w:cs="宋体"/>
          <w:b/>
          <w:color w:val="auto"/>
          <w:highlight w:val="none"/>
          <w:lang w:val="en-US" w:eastAsia="zh-CN"/>
        </w:rPr>
        <w:t>2</w:t>
      </w:r>
      <w:r>
        <w:rPr>
          <w:rFonts w:hint="eastAsia" w:ascii="宋体" w:hAnsi="宋体" w:cs="宋体"/>
          <w:b/>
          <w:color w:val="auto"/>
          <w:highlight w:val="none"/>
        </w:rPr>
        <w:t>.一般性条款响应一览表</w:t>
      </w:r>
    </w:p>
    <w:p w14:paraId="6144333D">
      <w:pPr>
        <w:shd w:val="clear"/>
        <w:rPr>
          <w:rFonts w:ascii="宋体" w:hAnsi="宋体" w:cs="宋体"/>
          <w:color w:val="auto"/>
          <w:highlight w:val="none"/>
        </w:rPr>
      </w:pPr>
    </w:p>
    <w:p w14:paraId="679BA260">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项目名称：     </w:t>
      </w:r>
    </w:p>
    <w:p w14:paraId="75EA0E6D">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w:t>
      </w:r>
    </w:p>
    <w:tbl>
      <w:tblPr>
        <w:tblStyle w:val="18"/>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3BE8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3F26644">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39E1E106">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382C16A4">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211E9208">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7858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FBCF9E">
            <w:pPr>
              <w:shd w:val="clear"/>
              <w:rPr>
                <w:rFonts w:ascii="宋体" w:hAnsi="宋体" w:cs="宋体"/>
                <w:color w:val="auto"/>
                <w:highlight w:val="none"/>
              </w:rPr>
            </w:pPr>
          </w:p>
        </w:tc>
        <w:tc>
          <w:tcPr>
            <w:tcW w:w="2787" w:type="dxa"/>
          </w:tcPr>
          <w:p w14:paraId="579D7F32">
            <w:pPr>
              <w:shd w:val="clear"/>
              <w:rPr>
                <w:rFonts w:ascii="宋体" w:hAnsi="宋体" w:cs="宋体"/>
                <w:color w:val="auto"/>
                <w:highlight w:val="none"/>
              </w:rPr>
            </w:pPr>
          </w:p>
        </w:tc>
        <w:tc>
          <w:tcPr>
            <w:tcW w:w="2788" w:type="dxa"/>
          </w:tcPr>
          <w:p w14:paraId="27322164">
            <w:pPr>
              <w:shd w:val="clear"/>
              <w:rPr>
                <w:rFonts w:ascii="宋体" w:hAnsi="宋体" w:cs="宋体"/>
                <w:color w:val="auto"/>
                <w:highlight w:val="none"/>
              </w:rPr>
            </w:pPr>
          </w:p>
        </w:tc>
        <w:tc>
          <w:tcPr>
            <w:tcW w:w="2788" w:type="dxa"/>
          </w:tcPr>
          <w:p w14:paraId="46EEE726">
            <w:pPr>
              <w:shd w:val="clear"/>
              <w:rPr>
                <w:rFonts w:ascii="宋体" w:hAnsi="宋体" w:cs="宋体"/>
                <w:color w:val="auto"/>
                <w:highlight w:val="none"/>
              </w:rPr>
            </w:pPr>
          </w:p>
        </w:tc>
      </w:tr>
      <w:tr w14:paraId="1656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8E56EE7">
            <w:pPr>
              <w:shd w:val="clear"/>
              <w:rPr>
                <w:rFonts w:ascii="宋体" w:hAnsi="宋体" w:cs="宋体"/>
                <w:color w:val="auto"/>
                <w:highlight w:val="none"/>
              </w:rPr>
            </w:pPr>
          </w:p>
        </w:tc>
        <w:tc>
          <w:tcPr>
            <w:tcW w:w="2787" w:type="dxa"/>
          </w:tcPr>
          <w:p w14:paraId="3A8947D9">
            <w:pPr>
              <w:shd w:val="clear"/>
              <w:rPr>
                <w:rFonts w:ascii="宋体" w:hAnsi="宋体" w:cs="宋体"/>
                <w:color w:val="auto"/>
                <w:highlight w:val="none"/>
              </w:rPr>
            </w:pPr>
          </w:p>
        </w:tc>
        <w:tc>
          <w:tcPr>
            <w:tcW w:w="2788" w:type="dxa"/>
          </w:tcPr>
          <w:p w14:paraId="362EB089">
            <w:pPr>
              <w:shd w:val="clear"/>
              <w:rPr>
                <w:rFonts w:ascii="宋体" w:hAnsi="宋体" w:cs="宋体"/>
                <w:color w:val="auto"/>
                <w:highlight w:val="none"/>
              </w:rPr>
            </w:pPr>
          </w:p>
        </w:tc>
        <w:tc>
          <w:tcPr>
            <w:tcW w:w="2788" w:type="dxa"/>
          </w:tcPr>
          <w:p w14:paraId="7A7B6E99">
            <w:pPr>
              <w:shd w:val="clear"/>
              <w:rPr>
                <w:rFonts w:ascii="宋体" w:hAnsi="宋体" w:cs="宋体"/>
                <w:color w:val="auto"/>
                <w:highlight w:val="none"/>
              </w:rPr>
            </w:pPr>
          </w:p>
        </w:tc>
      </w:tr>
      <w:tr w14:paraId="2464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01F1D5A">
            <w:pPr>
              <w:shd w:val="clear"/>
              <w:rPr>
                <w:rFonts w:ascii="宋体" w:hAnsi="宋体" w:cs="宋体"/>
                <w:color w:val="auto"/>
                <w:highlight w:val="none"/>
              </w:rPr>
            </w:pPr>
          </w:p>
        </w:tc>
        <w:tc>
          <w:tcPr>
            <w:tcW w:w="2787" w:type="dxa"/>
          </w:tcPr>
          <w:p w14:paraId="392A0638">
            <w:pPr>
              <w:shd w:val="clear"/>
              <w:rPr>
                <w:rFonts w:ascii="宋体" w:hAnsi="宋体" w:cs="宋体"/>
                <w:color w:val="auto"/>
                <w:highlight w:val="none"/>
              </w:rPr>
            </w:pPr>
          </w:p>
        </w:tc>
        <w:tc>
          <w:tcPr>
            <w:tcW w:w="2788" w:type="dxa"/>
          </w:tcPr>
          <w:p w14:paraId="7415D63F">
            <w:pPr>
              <w:shd w:val="clear"/>
              <w:rPr>
                <w:rFonts w:ascii="宋体" w:hAnsi="宋体" w:cs="宋体"/>
                <w:color w:val="auto"/>
                <w:highlight w:val="none"/>
              </w:rPr>
            </w:pPr>
          </w:p>
        </w:tc>
        <w:tc>
          <w:tcPr>
            <w:tcW w:w="2788" w:type="dxa"/>
          </w:tcPr>
          <w:p w14:paraId="5FAAF469">
            <w:pPr>
              <w:shd w:val="clear"/>
              <w:rPr>
                <w:rFonts w:ascii="宋体" w:hAnsi="宋体" w:cs="宋体"/>
                <w:color w:val="auto"/>
                <w:highlight w:val="none"/>
              </w:rPr>
            </w:pPr>
          </w:p>
        </w:tc>
      </w:tr>
      <w:tr w14:paraId="0186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2455D92">
            <w:pPr>
              <w:shd w:val="clear"/>
              <w:rPr>
                <w:rFonts w:ascii="宋体" w:hAnsi="宋体" w:cs="宋体"/>
                <w:color w:val="auto"/>
                <w:highlight w:val="none"/>
              </w:rPr>
            </w:pPr>
          </w:p>
        </w:tc>
        <w:tc>
          <w:tcPr>
            <w:tcW w:w="2787" w:type="dxa"/>
          </w:tcPr>
          <w:p w14:paraId="3FC64BB2">
            <w:pPr>
              <w:shd w:val="clear"/>
              <w:rPr>
                <w:rFonts w:ascii="宋体" w:hAnsi="宋体" w:cs="宋体"/>
                <w:color w:val="auto"/>
                <w:highlight w:val="none"/>
              </w:rPr>
            </w:pPr>
          </w:p>
        </w:tc>
        <w:tc>
          <w:tcPr>
            <w:tcW w:w="2788" w:type="dxa"/>
          </w:tcPr>
          <w:p w14:paraId="32DB318F">
            <w:pPr>
              <w:shd w:val="clear"/>
              <w:rPr>
                <w:rFonts w:ascii="宋体" w:hAnsi="宋体" w:cs="宋体"/>
                <w:color w:val="auto"/>
                <w:highlight w:val="none"/>
              </w:rPr>
            </w:pPr>
          </w:p>
        </w:tc>
        <w:tc>
          <w:tcPr>
            <w:tcW w:w="2788" w:type="dxa"/>
          </w:tcPr>
          <w:p w14:paraId="501AC9C3">
            <w:pPr>
              <w:shd w:val="clear"/>
              <w:rPr>
                <w:rFonts w:ascii="宋体" w:hAnsi="宋体" w:cs="宋体"/>
                <w:color w:val="auto"/>
                <w:highlight w:val="none"/>
              </w:rPr>
            </w:pPr>
          </w:p>
        </w:tc>
      </w:tr>
      <w:tr w14:paraId="071C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9361F43">
            <w:pPr>
              <w:shd w:val="clear"/>
              <w:rPr>
                <w:rFonts w:ascii="宋体" w:hAnsi="宋体" w:cs="宋体"/>
                <w:color w:val="auto"/>
                <w:highlight w:val="none"/>
              </w:rPr>
            </w:pPr>
          </w:p>
        </w:tc>
        <w:tc>
          <w:tcPr>
            <w:tcW w:w="2787" w:type="dxa"/>
          </w:tcPr>
          <w:p w14:paraId="1ACAF899">
            <w:pPr>
              <w:shd w:val="clear"/>
              <w:rPr>
                <w:rFonts w:ascii="宋体" w:hAnsi="宋体" w:cs="宋体"/>
                <w:color w:val="auto"/>
                <w:highlight w:val="none"/>
              </w:rPr>
            </w:pPr>
          </w:p>
        </w:tc>
        <w:tc>
          <w:tcPr>
            <w:tcW w:w="2788" w:type="dxa"/>
          </w:tcPr>
          <w:p w14:paraId="5AC754EB">
            <w:pPr>
              <w:shd w:val="clear"/>
              <w:rPr>
                <w:rFonts w:ascii="宋体" w:hAnsi="宋体" w:cs="宋体"/>
                <w:color w:val="auto"/>
                <w:highlight w:val="none"/>
              </w:rPr>
            </w:pPr>
          </w:p>
        </w:tc>
        <w:tc>
          <w:tcPr>
            <w:tcW w:w="2788" w:type="dxa"/>
          </w:tcPr>
          <w:p w14:paraId="389A0D74">
            <w:pPr>
              <w:shd w:val="clear"/>
              <w:rPr>
                <w:rFonts w:ascii="宋体" w:hAnsi="宋体" w:cs="宋体"/>
                <w:color w:val="auto"/>
                <w:highlight w:val="none"/>
              </w:rPr>
            </w:pPr>
          </w:p>
        </w:tc>
      </w:tr>
      <w:tr w14:paraId="4727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107A9B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03AF58A0">
            <w:pPr>
              <w:shd w:val="clear"/>
              <w:rPr>
                <w:rFonts w:ascii="宋体" w:hAnsi="宋体" w:cs="宋体"/>
                <w:color w:val="auto"/>
                <w:highlight w:val="none"/>
              </w:rPr>
            </w:pPr>
          </w:p>
        </w:tc>
        <w:tc>
          <w:tcPr>
            <w:tcW w:w="2788" w:type="dxa"/>
          </w:tcPr>
          <w:p w14:paraId="744C9B20">
            <w:pPr>
              <w:shd w:val="clear"/>
              <w:rPr>
                <w:rFonts w:ascii="宋体" w:hAnsi="宋体" w:cs="宋体"/>
                <w:color w:val="auto"/>
                <w:highlight w:val="none"/>
              </w:rPr>
            </w:pPr>
          </w:p>
        </w:tc>
        <w:tc>
          <w:tcPr>
            <w:tcW w:w="2788" w:type="dxa"/>
          </w:tcPr>
          <w:p w14:paraId="20BF9E76">
            <w:pPr>
              <w:shd w:val="clear"/>
              <w:rPr>
                <w:rFonts w:ascii="宋体" w:hAnsi="宋体" w:cs="宋体"/>
                <w:color w:val="auto"/>
                <w:highlight w:val="none"/>
              </w:rPr>
            </w:pPr>
          </w:p>
        </w:tc>
      </w:tr>
    </w:tbl>
    <w:p w14:paraId="4DBABFA6">
      <w:pPr>
        <w:shd w:val="clear"/>
        <w:spacing w:line="360" w:lineRule="auto"/>
        <w:ind w:firstLine="210" w:firstLineChars="100"/>
        <w:rPr>
          <w:rFonts w:ascii="宋体" w:hAnsi="宋体" w:cs="宋体"/>
          <w:color w:val="auto"/>
          <w:highlight w:val="none"/>
        </w:rPr>
      </w:pPr>
      <w:r>
        <w:rPr>
          <w:rFonts w:hint="eastAsia" w:ascii="宋体" w:hAnsi="宋体" w:cs="宋体"/>
          <w:color w:val="auto"/>
          <w:highlight w:val="none"/>
        </w:rPr>
        <w:t>注：对采购文件</w:t>
      </w:r>
      <w:r>
        <w:rPr>
          <w:rFonts w:hint="eastAsia" w:ascii="宋体" w:hAnsi="宋体" w:cs="宋体"/>
          <w:b/>
          <w:color w:val="auto"/>
          <w:highlight w:val="none"/>
        </w:rPr>
        <w:t>“</w:t>
      </w:r>
      <w:r>
        <w:rPr>
          <w:rFonts w:hint="eastAsia" w:ascii="宋体" w:hAnsi="宋体" w:cs="宋体"/>
          <w:color w:val="auto"/>
          <w:highlight w:val="none"/>
        </w:rPr>
        <w:t>第三部分 采购需求</w:t>
      </w:r>
      <w:r>
        <w:rPr>
          <w:rFonts w:hint="eastAsia" w:ascii="宋体" w:hAnsi="宋体" w:cs="宋体"/>
          <w:b/>
          <w:color w:val="auto"/>
          <w:highlight w:val="none"/>
        </w:rPr>
        <w:t>”</w:t>
      </w:r>
      <w:r>
        <w:rPr>
          <w:rFonts w:hint="eastAsia" w:ascii="宋体" w:hAnsi="宋体" w:cs="宋体"/>
          <w:color w:val="auto"/>
          <w:highlight w:val="none"/>
        </w:rPr>
        <w:t>中</w:t>
      </w:r>
      <w:r>
        <w:rPr>
          <w:rFonts w:hint="eastAsia" w:ascii="宋体" w:hAnsi="宋体" w:cs="宋体"/>
          <w:b/>
          <w:bCs/>
          <w:color w:val="auto"/>
          <w:highlight w:val="none"/>
        </w:rPr>
        <w:t>非带“</w:t>
      </w:r>
      <w:r>
        <w:rPr>
          <w:rFonts w:hint="eastAsia" w:asciiTheme="minorEastAsia" w:hAnsiTheme="minorEastAsia" w:eastAsiaTheme="minorEastAsia"/>
          <w:color w:val="auto"/>
          <w:sz w:val="24"/>
          <w:highlight w:val="none"/>
        </w:rPr>
        <w:t>★</w:t>
      </w:r>
      <w:r>
        <w:rPr>
          <w:rFonts w:hint="eastAsia" w:ascii="宋体" w:hAnsi="宋体" w:cs="宋体"/>
          <w:b/>
          <w:bCs/>
          <w:color w:val="auto"/>
          <w:highlight w:val="none"/>
        </w:rPr>
        <w:t>”的条款</w:t>
      </w:r>
      <w:r>
        <w:rPr>
          <w:rFonts w:hint="eastAsia" w:ascii="宋体" w:hAnsi="宋体" w:cs="宋体"/>
          <w:color w:val="auto"/>
          <w:highlight w:val="none"/>
        </w:rPr>
        <w:t>逐条应答并按要求填写上表。条款要求提供的相关证明资料必须一并提供，否则视为不响应。</w:t>
      </w:r>
    </w:p>
    <w:p w14:paraId="765526F7">
      <w:pPr>
        <w:shd w:val="clear"/>
        <w:spacing w:line="360" w:lineRule="auto"/>
        <w:ind w:firstLine="3360" w:firstLineChars="1600"/>
        <w:rPr>
          <w:rFonts w:ascii="宋体" w:hAnsi="宋体" w:cs="宋体"/>
          <w:color w:val="auto"/>
          <w:highlight w:val="none"/>
        </w:rPr>
      </w:pPr>
      <w:r>
        <w:rPr>
          <w:rFonts w:hint="eastAsia" w:ascii="宋体" w:hAnsi="宋体" w:cs="宋体"/>
          <w:color w:val="auto"/>
          <w:highlight w:val="none"/>
        </w:rPr>
        <w:t>法定代表人或其授权委托人（签名或印章）：</w:t>
      </w:r>
    </w:p>
    <w:p w14:paraId="4001AAB2">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6214275D">
      <w:pPr>
        <w:shd w:val="clear"/>
        <w:spacing w:line="360" w:lineRule="auto"/>
        <w:rPr>
          <w:rFonts w:ascii="宋体" w:hAnsi="宋体" w:cs="宋体"/>
          <w:color w:val="auto"/>
          <w:sz w:val="24"/>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日期：</w:t>
      </w:r>
    </w:p>
    <w:p w14:paraId="1A1622FA">
      <w:pPr>
        <w:pStyle w:val="25"/>
        <w:shd w:val="clear"/>
        <w:ind w:firstLine="560"/>
        <w:rPr>
          <w:color w:val="auto"/>
          <w:highlight w:val="none"/>
        </w:rPr>
      </w:pPr>
    </w:p>
    <w:p w14:paraId="019B414D">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同类业绩情况一览表</w:t>
      </w:r>
    </w:p>
    <w:p w14:paraId="6052929D">
      <w:pPr>
        <w:shd w:val="clear"/>
        <w:spacing w:line="360" w:lineRule="auto"/>
        <w:jc w:val="center"/>
        <w:rPr>
          <w:rFonts w:cs="仿宋" w:asciiTheme="majorEastAsia" w:hAnsiTheme="majorEastAsia" w:eastAsiaTheme="majorEastAsia"/>
          <w:color w:val="auto"/>
          <w:highlight w:val="none"/>
        </w:rPr>
      </w:pPr>
    </w:p>
    <w:tbl>
      <w:tblPr>
        <w:tblStyle w:val="18"/>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14:paraId="459C4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14:paraId="2FE091A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38C0065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采购单位名称</w:t>
            </w:r>
          </w:p>
        </w:tc>
        <w:tc>
          <w:tcPr>
            <w:tcW w:w="1732" w:type="dxa"/>
            <w:tcBorders>
              <w:top w:val="single" w:color="auto" w:sz="4" w:space="0"/>
              <w:left w:val="single" w:color="auto" w:sz="4" w:space="0"/>
              <w:right w:val="single" w:color="auto" w:sz="4" w:space="0"/>
            </w:tcBorders>
            <w:vAlign w:val="center"/>
          </w:tcPr>
          <w:p w14:paraId="098B0417">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671AA22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合同金额</w:t>
            </w:r>
          </w:p>
          <w:p w14:paraId="5BD3B3A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14135A2F">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1EC35F75">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合同签订时间</w:t>
            </w:r>
          </w:p>
        </w:tc>
      </w:tr>
      <w:tr w14:paraId="0F807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62D3D82">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1555" w:type="dxa"/>
            <w:tcBorders>
              <w:top w:val="single" w:color="auto" w:sz="4" w:space="0"/>
              <w:left w:val="single" w:color="auto" w:sz="4" w:space="0"/>
              <w:bottom w:val="single" w:color="auto" w:sz="4" w:space="0"/>
              <w:right w:val="single" w:color="auto" w:sz="4" w:space="0"/>
            </w:tcBorders>
            <w:vAlign w:val="center"/>
          </w:tcPr>
          <w:p w14:paraId="20565522">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6FC0D92">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24F066A">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443225E1">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54E0400E">
            <w:pPr>
              <w:shd w:val="clear"/>
              <w:spacing w:line="360" w:lineRule="auto"/>
              <w:jc w:val="left"/>
              <w:rPr>
                <w:rFonts w:cs="仿宋" w:asciiTheme="majorEastAsia" w:hAnsiTheme="majorEastAsia" w:eastAsiaTheme="majorEastAsia"/>
                <w:color w:val="auto"/>
                <w:kern w:val="0"/>
                <w:sz w:val="24"/>
                <w:highlight w:val="none"/>
              </w:rPr>
            </w:pPr>
          </w:p>
        </w:tc>
      </w:tr>
      <w:tr w14:paraId="38B3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6FA4C1AE">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1555" w:type="dxa"/>
            <w:tcBorders>
              <w:top w:val="single" w:color="auto" w:sz="4" w:space="0"/>
              <w:left w:val="single" w:color="auto" w:sz="4" w:space="0"/>
              <w:bottom w:val="single" w:color="auto" w:sz="4" w:space="0"/>
              <w:right w:val="single" w:color="auto" w:sz="4" w:space="0"/>
            </w:tcBorders>
            <w:vAlign w:val="center"/>
          </w:tcPr>
          <w:p w14:paraId="76ACEE77">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6ECC6467">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714EFE5">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6A94A70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0D742AC">
            <w:pPr>
              <w:shd w:val="clear"/>
              <w:spacing w:line="360" w:lineRule="auto"/>
              <w:jc w:val="left"/>
              <w:rPr>
                <w:rFonts w:cs="仿宋" w:asciiTheme="majorEastAsia" w:hAnsiTheme="majorEastAsia" w:eastAsiaTheme="majorEastAsia"/>
                <w:color w:val="auto"/>
                <w:kern w:val="0"/>
                <w:sz w:val="24"/>
                <w:highlight w:val="none"/>
              </w:rPr>
            </w:pPr>
          </w:p>
        </w:tc>
      </w:tr>
      <w:tr w14:paraId="07994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13B5C018">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w:t>
            </w:r>
          </w:p>
        </w:tc>
        <w:tc>
          <w:tcPr>
            <w:tcW w:w="1555" w:type="dxa"/>
            <w:tcBorders>
              <w:top w:val="single" w:color="auto" w:sz="4" w:space="0"/>
              <w:left w:val="single" w:color="auto" w:sz="4" w:space="0"/>
              <w:bottom w:val="single" w:color="auto" w:sz="4" w:space="0"/>
              <w:right w:val="single" w:color="auto" w:sz="4" w:space="0"/>
            </w:tcBorders>
            <w:vAlign w:val="center"/>
          </w:tcPr>
          <w:p w14:paraId="69C8BAB8">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07B2704C">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5F4EAAB9">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6E5E277">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D014BA2">
            <w:pPr>
              <w:shd w:val="clear"/>
              <w:spacing w:line="360" w:lineRule="auto"/>
              <w:jc w:val="left"/>
              <w:rPr>
                <w:rFonts w:cs="仿宋" w:asciiTheme="majorEastAsia" w:hAnsiTheme="majorEastAsia" w:eastAsiaTheme="majorEastAsia"/>
                <w:color w:val="auto"/>
                <w:kern w:val="0"/>
                <w:sz w:val="24"/>
                <w:highlight w:val="none"/>
              </w:rPr>
            </w:pPr>
          </w:p>
        </w:tc>
      </w:tr>
      <w:tr w14:paraId="0C709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2D2ED155">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c>
          <w:tcPr>
            <w:tcW w:w="1555" w:type="dxa"/>
            <w:tcBorders>
              <w:top w:val="single" w:color="auto" w:sz="4" w:space="0"/>
              <w:left w:val="single" w:color="auto" w:sz="4" w:space="0"/>
              <w:bottom w:val="single" w:color="auto" w:sz="4" w:space="0"/>
              <w:right w:val="single" w:color="auto" w:sz="4" w:space="0"/>
            </w:tcBorders>
            <w:vAlign w:val="center"/>
          </w:tcPr>
          <w:p w14:paraId="085CCF05">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D1824FD">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019E043D">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918DC66">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703E193">
            <w:pPr>
              <w:shd w:val="clear"/>
              <w:spacing w:line="360" w:lineRule="auto"/>
              <w:jc w:val="left"/>
              <w:rPr>
                <w:rFonts w:cs="仿宋" w:asciiTheme="majorEastAsia" w:hAnsiTheme="majorEastAsia" w:eastAsiaTheme="majorEastAsia"/>
                <w:color w:val="auto"/>
                <w:kern w:val="0"/>
                <w:sz w:val="24"/>
                <w:highlight w:val="none"/>
              </w:rPr>
            </w:pPr>
          </w:p>
        </w:tc>
      </w:tr>
      <w:tr w14:paraId="5923D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14:paraId="444FE73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w:t>
            </w:r>
          </w:p>
        </w:tc>
        <w:tc>
          <w:tcPr>
            <w:tcW w:w="1555" w:type="dxa"/>
            <w:tcBorders>
              <w:top w:val="single" w:color="auto" w:sz="4" w:space="0"/>
              <w:left w:val="single" w:color="auto" w:sz="4" w:space="0"/>
              <w:bottom w:val="single" w:color="auto" w:sz="4" w:space="0"/>
              <w:right w:val="single" w:color="auto" w:sz="4" w:space="0"/>
            </w:tcBorders>
            <w:vAlign w:val="center"/>
          </w:tcPr>
          <w:p w14:paraId="4284C91F">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23DB2D68">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714F29A6">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D84AED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FC6E5BB">
            <w:pPr>
              <w:shd w:val="clear"/>
              <w:spacing w:line="360" w:lineRule="auto"/>
              <w:jc w:val="left"/>
              <w:rPr>
                <w:rFonts w:cs="仿宋" w:asciiTheme="majorEastAsia" w:hAnsiTheme="majorEastAsia" w:eastAsiaTheme="majorEastAsia"/>
                <w:color w:val="auto"/>
                <w:kern w:val="0"/>
                <w:sz w:val="24"/>
                <w:highlight w:val="none"/>
              </w:rPr>
            </w:pPr>
          </w:p>
        </w:tc>
      </w:tr>
    </w:tbl>
    <w:p w14:paraId="0D1B54E3">
      <w:pPr>
        <w:shd w:val="clear"/>
        <w:spacing w:line="360" w:lineRule="auto"/>
        <w:jc w:val="left"/>
        <w:rPr>
          <w:rFonts w:cs="仿宋" w:asciiTheme="majorEastAsia" w:hAnsiTheme="majorEastAsia" w:eastAsiaTheme="majorEastAsia"/>
          <w:color w:val="auto"/>
          <w:kern w:val="0"/>
          <w:sz w:val="24"/>
          <w:highlight w:val="none"/>
        </w:rPr>
      </w:pPr>
    </w:p>
    <w:p w14:paraId="39BE4AB3">
      <w:pPr>
        <w:shd w:val="clear"/>
        <w:spacing w:line="360" w:lineRule="auto"/>
        <w:jc w:val="left"/>
        <w:rPr>
          <w:rFonts w:cs="仿宋" w:asciiTheme="majorEastAsia" w:hAnsiTheme="majorEastAsia" w:eastAsiaTheme="majorEastAsia"/>
          <w:color w:val="auto"/>
          <w:kern w:val="0"/>
          <w:sz w:val="24"/>
          <w:highlight w:val="none"/>
        </w:rPr>
      </w:pPr>
    </w:p>
    <w:p w14:paraId="5DEB7C2E">
      <w:pPr>
        <w:shd w:val="clear"/>
        <w:spacing w:line="360" w:lineRule="auto"/>
        <w:jc w:val="left"/>
        <w:rPr>
          <w:rFonts w:cs="仿宋" w:asciiTheme="majorEastAsia" w:hAnsiTheme="majorEastAsia" w:eastAsiaTheme="majorEastAsia"/>
          <w:color w:val="auto"/>
          <w:kern w:val="0"/>
          <w:sz w:val="24"/>
          <w:highlight w:val="none"/>
        </w:rPr>
      </w:pPr>
    </w:p>
    <w:p w14:paraId="5718821F">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57E2871F">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B1FAE24">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5F9008DF">
      <w:pPr>
        <w:shd w:val="clear"/>
        <w:spacing w:line="360" w:lineRule="auto"/>
        <w:ind w:left="4620" w:leftChars="2200"/>
        <w:jc w:val="left"/>
        <w:rPr>
          <w:rFonts w:cs="仿宋" w:asciiTheme="majorEastAsia" w:hAnsiTheme="majorEastAsia" w:eastAsiaTheme="majorEastAsia"/>
          <w:b/>
          <w:color w:val="auto"/>
          <w:kern w:val="0"/>
          <w:sz w:val="32"/>
          <w:szCs w:val="32"/>
          <w:highlight w:val="none"/>
          <w:lang w:val="zh-CN"/>
        </w:rPr>
      </w:pPr>
    </w:p>
    <w:p w14:paraId="6C312001">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0870A2E6">
      <w:pPr>
        <w:shd w:val="clear"/>
        <w:snapToGrid w:val="0"/>
        <w:spacing w:line="360" w:lineRule="auto"/>
        <w:rPr>
          <w:rFonts w:cs="仿宋" w:asciiTheme="majorEastAsia" w:hAnsiTheme="majorEastAsia" w:eastAsiaTheme="majorEastAsia"/>
          <w:color w:val="auto"/>
          <w:sz w:val="24"/>
          <w:highlight w:val="none"/>
        </w:rPr>
      </w:pPr>
    </w:p>
    <w:p w14:paraId="5ED0452B">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42A89EF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4158D7BF">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08E2547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5FADC0A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3CE55998">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1D5BA879">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29209A22">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3E6040B5">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241E8491">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6A1D0790">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2D63C37B">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5A74DA29">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10ABEDE3">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4C6659E2">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082C5688">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3EE06990">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65A0448A">
      <w:pPr>
        <w:shd w:val="clear"/>
        <w:spacing w:line="360" w:lineRule="auto"/>
        <w:ind w:left="4620" w:leftChars="2200"/>
        <w:rPr>
          <w:rFonts w:cs="仿宋" w:asciiTheme="majorEastAsia" w:hAnsiTheme="majorEastAsia" w:eastAsiaTheme="majorEastAsia"/>
          <w:color w:val="auto"/>
          <w:sz w:val="24"/>
          <w:highlight w:val="none"/>
        </w:rPr>
      </w:pPr>
    </w:p>
    <w:p w14:paraId="5D06563A">
      <w:pPr>
        <w:shd w:val="clear"/>
        <w:spacing w:line="360" w:lineRule="auto"/>
        <w:jc w:val="center"/>
        <w:rPr>
          <w:rFonts w:cs="仿宋" w:asciiTheme="majorEastAsia" w:hAnsiTheme="majorEastAsia" w:eastAsiaTheme="majorEastAsia"/>
          <w:b/>
          <w:bCs/>
          <w:color w:val="auto"/>
          <w:sz w:val="24"/>
          <w:highlight w:val="none"/>
        </w:rPr>
      </w:pPr>
    </w:p>
    <w:p w14:paraId="5431B048">
      <w:pPr>
        <w:shd w:val="clear"/>
        <w:spacing w:line="360" w:lineRule="auto"/>
        <w:jc w:val="center"/>
        <w:rPr>
          <w:rFonts w:cs="仿宋" w:asciiTheme="majorEastAsia" w:hAnsiTheme="majorEastAsia" w:eastAsiaTheme="majorEastAsia"/>
          <w:b/>
          <w:bCs/>
          <w:color w:val="auto"/>
          <w:sz w:val="24"/>
          <w:highlight w:val="none"/>
        </w:rPr>
        <w:sectPr>
          <w:pgSz w:w="11906" w:h="16838"/>
          <w:pgMar w:top="1276" w:right="1418" w:bottom="1247" w:left="1418" w:header="851" w:footer="992" w:gutter="0"/>
          <w:cols w:space="720" w:num="1"/>
          <w:titlePg/>
          <w:docGrid w:linePitch="312" w:charSpace="0"/>
        </w:sectPr>
      </w:pPr>
    </w:p>
    <w:p w14:paraId="3018A037">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C4031A8">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66D16ABA">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30D775F">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sz w:val="24"/>
          <w:highlight w:val="none"/>
        </w:rPr>
        <w:t xml:space="preserve"> </w:t>
      </w:r>
    </w:p>
    <w:p w14:paraId="359BD5CA">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开标一览表；</w:t>
      </w:r>
    </w:p>
    <w:p w14:paraId="425555FB">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投标报价明细表；</w:t>
      </w:r>
    </w:p>
    <w:p w14:paraId="111A2F7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中小企业声明函（如有）；</w:t>
      </w:r>
    </w:p>
    <w:p w14:paraId="1A050CC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残疾人福利性单位声明函（如有）；</w:t>
      </w:r>
    </w:p>
    <w:p w14:paraId="4E3EF98D">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监狱企业的证明文件（如有）；</w:t>
      </w:r>
    </w:p>
    <w:p w14:paraId="606A1108">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政府采购统计基础信息表；</w:t>
      </w:r>
    </w:p>
    <w:p w14:paraId="4A36CEDF">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其他资料（如有）。</w:t>
      </w:r>
    </w:p>
    <w:p w14:paraId="10592854">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6FC45F63">
      <w:pPr>
        <w:pStyle w:val="35"/>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88C00E2">
      <w:pPr>
        <w:pStyle w:val="35"/>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68B88BE5">
      <w:pPr>
        <w:shd w:val="clear"/>
        <w:snapToGrid w:val="0"/>
        <w:spacing w:line="360" w:lineRule="auto"/>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685698A3">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u w:val="none"/>
        </w:rPr>
        <w:t>（奉化区江口街道园中村改造安置房建设工程（二期）配套幼儿园户外改造项目）</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sz w:val="24"/>
          <w:highlight w:val="none"/>
        </w:rPr>
        <w:t>项目编号：     】的实施</w:t>
      </w:r>
      <w:r>
        <w:rPr>
          <w:rFonts w:hint="eastAsia" w:cs="仿宋" w:asciiTheme="majorEastAsia" w:hAnsiTheme="majorEastAsia" w:eastAsiaTheme="majorEastAsia"/>
          <w:color w:val="auto"/>
          <w:kern w:val="0"/>
          <w:sz w:val="24"/>
          <w:highlight w:val="none"/>
          <w:lang w:val="zh-CN"/>
        </w:rPr>
        <w:t>。</w:t>
      </w:r>
    </w:p>
    <w:p w14:paraId="59C302BC">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18"/>
        <w:tblW w:w="13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40"/>
        <w:gridCol w:w="1275"/>
        <w:gridCol w:w="1410"/>
        <w:gridCol w:w="1246"/>
        <w:gridCol w:w="2009"/>
        <w:gridCol w:w="3377"/>
      </w:tblGrid>
      <w:tr w14:paraId="28C3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690E4708">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3440" w:type="dxa"/>
            <w:vAlign w:val="center"/>
          </w:tcPr>
          <w:p w14:paraId="4940213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项目名称</w:t>
            </w:r>
          </w:p>
        </w:tc>
        <w:tc>
          <w:tcPr>
            <w:tcW w:w="1275" w:type="dxa"/>
          </w:tcPr>
          <w:p w14:paraId="448810AD">
            <w:pPr>
              <w:shd w:val="clear"/>
              <w:spacing w:line="360" w:lineRule="auto"/>
              <w:jc w:val="center"/>
              <w:rPr>
                <w:rFonts w:cs="仿宋" w:asciiTheme="majorEastAsia" w:hAnsiTheme="majorEastAsia" w:eastAsiaTheme="majorEastAsia"/>
                <w:b/>
                <w:color w:val="auto"/>
                <w:sz w:val="24"/>
                <w:highlight w:val="none"/>
              </w:rPr>
            </w:pPr>
          </w:p>
          <w:p w14:paraId="36B7A63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品牌</w:t>
            </w:r>
          </w:p>
        </w:tc>
        <w:tc>
          <w:tcPr>
            <w:tcW w:w="1410" w:type="dxa"/>
            <w:vAlign w:val="center"/>
          </w:tcPr>
          <w:p w14:paraId="30C47550">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规格型号</w:t>
            </w:r>
          </w:p>
        </w:tc>
        <w:tc>
          <w:tcPr>
            <w:tcW w:w="1246" w:type="dxa"/>
            <w:vAlign w:val="center"/>
          </w:tcPr>
          <w:p w14:paraId="5EA819A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数量</w:t>
            </w:r>
          </w:p>
        </w:tc>
        <w:tc>
          <w:tcPr>
            <w:tcW w:w="2009" w:type="dxa"/>
            <w:vAlign w:val="center"/>
          </w:tcPr>
          <w:p w14:paraId="06E49ADF">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投标报价（小写）</w:t>
            </w:r>
          </w:p>
        </w:tc>
        <w:tc>
          <w:tcPr>
            <w:tcW w:w="3377" w:type="dxa"/>
            <w:vAlign w:val="center"/>
          </w:tcPr>
          <w:p w14:paraId="6C7EEA3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投标报价（大写）</w:t>
            </w:r>
          </w:p>
        </w:tc>
      </w:tr>
      <w:tr w14:paraId="6561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534" w:type="dxa"/>
            <w:vAlign w:val="center"/>
          </w:tcPr>
          <w:p w14:paraId="081AB36E">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3440" w:type="dxa"/>
            <w:vAlign w:val="center"/>
          </w:tcPr>
          <w:p w14:paraId="530C66F6">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奉化区江口街道园中村改造安置房建设工程（二期）配套幼儿园户外改造项目</w:t>
            </w:r>
          </w:p>
        </w:tc>
        <w:tc>
          <w:tcPr>
            <w:tcW w:w="2685" w:type="dxa"/>
            <w:gridSpan w:val="2"/>
            <w:vAlign w:val="center"/>
          </w:tcPr>
          <w:p w14:paraId="1CA07DE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详见“投标报价明细表”</w:t>
            </w:r>
          </w:p>
        </w:tc>
        <w:tc>
          <w:tcPr>
            <w:tcW w:w="1246" w:type="dxa"/>
            <w:vAlign w:val="center"/>
          </w:tcPr>
          <w:p w14:paraId="203C7CD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1项</w:t>
            </w:r>
          </w:p>
        </w:tc>
        <w:tc>
          <w:tcPr>
            <w:tcW w:w="2009" w:type="dxa"/>
            <w:vAlign w:val="center"/>
          </w:tcPr>
          <w:p w14:paraId="18B53413">
            <w:pPr>
              <w:shd w:val="clear"/>
              <w:spacing w:line="360" w:lineRule="auto"/>
              <w:jc w:val="center"/>
              <w:rPr>
                <w:rFonts w:cs="仿宋" w:asciiTheme="majorEastAsia" w:hAnsiTheme="majorEastAsia" w:eastAsiaTheme="majorEastAsia"/>
                <w:color w:val="auto"/>
                <w:sz w:val="24"/>
                <w:highlight w:val="none"/>
              </w:rPr>
            </w:pPr>
          </w:p>
        </w:tc>
        <w:tc>
          <w:tcPr>
            <w:tcW w:w="3377" w:type="dxa"/>
            <w:vAlign w:val="center"/>
          </w:tcPr>
          <w:p w14:paraId="5F0BF938">
            <w:pPr>
              <w:shd w:val="clear"/>
              <w:spacing w:line="360" w:lineRule="auto"/>
              <w:jc w:val="center"/>
              <w:rPr>
                <w:rFonts w:cs="仿宋" w:asciiTheme="majorEastAsia" w:hAnsiTheme="majorEastAsia" w:eastAsiaTheme="majorEastAsia"/>
                <w:color w:val="auto"/>
                <w:sz w:val="24"/>
                <w:highlight w:val="none"/>
              </w:rPr>
            </w:pPr>
          </w:p>
        </w:tc>
      </w:tr>
    </w:tbl>
    <w:p w14:paraId="179F3D9A">
      <w:pPr>
        <w:keepNext w:val="0"/>
        <w:keepLines w:val="0"/>
        <w:pageBreakBefore w:val="0"/>
        <w:widowControl w:val="0"/>
        <w:shd w:val="clear"/>
        <w:kinsoku/>
        <w:wordWrap/>
        <w:overflowPunct/>
        <w:topLinePunct w:val="0"/>
        <w:autoSpaceDE/>
        <w:autoSpaceDN/>
        <w:bidi w:val="0"/>
        <w:adjustRightInd/>
        <w:snapToGrid w:val="0"/>
        <w:spacing w:line="240" w:lineRule="auto"/>
        <w:ind w:left="482"/>
        <w:textAlignment w:val="auto"/>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1B7DA4C7">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1、投标人需按本表格式填写，不得自行更改。</w:t>
      </w:r>
    </w:p>
    <w:p w14:paraId="768807EE">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投标文件含有采购人不能接受的附加条件的，投标无效</w:t>
      </w:r>
      <w:r>
        <w:rPr>
          <w:rFonts w:hint="eastAsia" w:cs="仿宋" w:asciiTheme="majorEastAsia" w:hAnsiTheme="majorEastAsia" w:eastAsiaTheme="majorEastAsia"/>
          <w:b/>
          <w:color w:val="auto"/>
          <w:kern w:val="0"/>
          <w:sz w:val="24"/>
          <w:highlight w:val="none"/>
          <w:lang w:val="zh-CN"/>
        </w:rPr>
        <w:t>。</w:t>
      </w:r>
    </w:p>
    <w:p w14:paraId="3177E7EA">
      <w:pPr>
        <w:shd w:val="clear"/>
        <w:spacing w:line="360" w:lineRule="auto"/>
        <w:ind w:left="7560" w:leftChars="3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423673F">
      <w:pPr>
        <w:shd w:val="clear"/>
        <w:spacing w:line="360" w:lineRule="auto"/>
        <w:ind w:left="7560" w:leftChars="3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52CD91B9">
      <w:pPr>
        <w:shd w:val="clear"/>
        <w:spacing w:line="360" w:lineRule="auto"/>
        <w:ind w:left="7560" w:leftChars="3600"/>
        <w:rPr>
          <w:rFonts w:asciiTheme="majorEastAsia" w:hAnsiTheme="majorEastAsia" w:eastAsiaTheme="majorEastAsia"/>
          <w:color w:val="auto"/>
          <w:highlight w:val="none"/>
        </w:rPr>
        <w:sectPr>
          <w:pgSz w:w="16838" w:h="11906" w:orient="landscape"/>
          <w:pgMar w:top="1418" w:right="1247" w:bottom="1418" w:left="1276" w:header="851" w:footer="992" w:gutter="0"/>
          <w:cols w:space="720" w:num="1"/>
          <w:titlePg/>
          <w:docGrid w:linePitch="312" w:charSpace="0"/>
        </w:sectPr>
      </w:pPr>
      <w:r>
        <w:rPr>
          <w:rFonts w:hint="eastAsia" w:cs="仿宋" w:asciiTheme="majorEastAsia" w:hAnsiTheme="majorEastAsia" w:eastAsiaTheme="majorEastAsia"/>
          <w:color w:val="auto"/>
          <w:sz w:val="24"/>
          <w:highlight w:val="none"/>
        </w:rPr>
        <w:t xml:space="preserve">日  期： </w:t>
      </w:r>
    </w:p>
    <w:p w14:paraId="4F0D4363">
      <w:pPr>
        <w:pStyle w:val="35"/>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二、投标报价明细表</w:t>
      </w:r>
    </w:p>
    <w:p w14:paraId="1B97D74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w:t>
      </w:r>
      <w:r>
        <w:rPr>
          <w:rFonts w:hint="eastAsia" w:cs="仿宋" w:asciiTheme="majorEastAsia" w:hAnsiTheme="majorEastAsia" w:eastAsiaTheme="majorEastAsia"/>
          <w:color w:val="auto"/>
          <w:kern w:val="0"/>
          <w:sz w:val="24"/>
          <w:highlight w:val="none"/>
          <w:u w:val="single"/>
        </w:rPr>
        <w:t xml:space="preserve">                            </w:t>
      </w:r>
    </w:p>
    <w:p w14:paraId="1C22FF1B">
      <w:p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项目编号： </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sz w:val="24"/>
          <w:highlight w:val="none"/>
        </w:rPr>
        <w:t xml:space="preserve">           金额单位：人民币（元）</w:t>
      </w:r>
    </w:p>
    <w:tbl>
      <w:tblPr>
        <w:tblStyle w:val="18"/>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14:paraId="0BBED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5604B5B2">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02D6CE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名称</w:t>
            </w:r>
          </w:p>
        </w:tc>
        <w:tc>
          <w:tcPr>
            <w:tcW w:w="1846" w:type="dxa"/>
            <w:tcBorders>
              <w:top w:val="single" w:color="auto" w:sz="4" w:space="0"/>
              <w:left w:val="single" w:color="auto" w:sz="4" w:space="0"/>
              <w:bottom w:val="single" w:color="auto" w:sz="4" w:space="0"/>
              <w:right w:val="single" w:color="auto" w:sz="4" w:space="0"/>
            </w:tcBorders>
            <w:vAlign w:val="center"/>
          </w:tcPr>
          <w:p w14:paraId="0983D2E6">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品牌（如有）</w:t>
            </w:r>
          </w:p>
        </w:tc>
        <w:tc>
          <w:tcPr>
            <w:tcW w:w="1637" w:type="dxa"/>
            <w:tcBorders>
              <w:top w:val="single" w:color="auto" w:sz="4" w:space="0"/>
              <w:left w:val="single" w:color="auto" w:sz="4" w:space="0"/>
              <w:bottom w:val="single" w:color="auto" w:sz="4" w:space="0"/>
              <w:right w:val="single" w:color="auto" w:sz="4" w:space="0"/>
            </w:tcBorders>
            <w:vAlign w:val="center"/>
          </w:tcPr>
          <w:p w14:paraId="7E9D487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规格型号</w:t>
            </w:r>
          </w:p>
        </w:tc>
        <w:tc>
          <w:tcPr>
            <w:tcW w:w="1513" w:type="dxa"/>
            <w:tcBorders>
              <w:top w:val="single" w:color="auto" w:sz="4" w:space="0"/>
              <w:left w:val="single" w:color="auto" w:sz="4" w:space="0"/>
              <w:bottom w:val="single" w:color="auto" w:sz="4" w:space="0"/>
              <w:right w:val="single" w:color="auto" w:sz="4" w:space="0"/>
            </w:tcBorders>
            <w:vAlign w:val="center"/>
          </w:tcPr>
          <w:p w14:paraId="6A6F152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单位及数量</w:t>
            </w:r>
          </w:p>
        </w:tc>
        <w:tc>
          <w:tcPr>
            <w:tcW w:w="1500" w:type="dxa"/>
            <w:tcBorders>
              <w:top w:val="single" w:color="auto" w:sz="4" w:space="0"/>
              <w:left w:val="single" w:color="auto" w:sz="4" w:space="0"/>
              <w:bottom w:val="single" w:color="auto" w:sz="4" w:space="0"/>
              <w:right w:val="single" w:color="auto" w:sz="4" w:space="0"/>
            </w:tcBorders>
            <w:vAlign w:val="center"/>
          </w:tcPr>
          <w:p w14:paraId="186FF13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单价</w:t>
            </w:r>
          </w:p>
        </w:tc>
        <w:tc>
          <w:tcPr>
            <w:tcW w:w="1411" w:type="dxa"/>
            <w:tcBorders>
              <w:top w:val="single" w:color="auto" w:sz="4" w:space="0"/>
              <w:left w:val="single" w:color="auto" w:sz="4" w:space="0"/>
              <w:bottom w:val="single" w:color="auto" w:sz="4" w:space="0"/>
              <w:right w:val="single" w:color="auto" w:sz="4" w:space="0"/>
            </w:tcBorders>
            <w:vAlign w:val="center"/>
          </w:tcPr>
          <w:p w14:paraId="34B985F3">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合计</w:t>
            </w:r>
          </w:p>
        </w:tc>
      </w:tr>
      <w:tr w14:paraId="25555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C240223">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77540B9">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6BCD35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5D95E2AD">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F920E9B">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272C0D6">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B5EDB60">
            <w:pPr>
              <w:shd w:val="clear"/>
              <w:spacing w:line="360" w:lineRule="auto"/>
              <w:rPr>
                <w:rFonts w:cs="仿宋" w:asciiTheme="majorEastAsia" w:hAnsiTheme="majorEastAsia" w:eastAsiaTheme="majorEastAsia"/>
                <w:color w:val="auto"/>
                <w:highlight w:val="none"/>
              </w:rPr>
            </w:pPr>
          </w:p>
        </w:tc>
      </w:tr>
      <w:tr w14:paraId="3F36C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4673FB46">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4A75DDA">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7AFDBAE4">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3FE523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B0F571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1E2C032B">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A462B00">
            <w:pPr>
              <w:shd w:val="clear"/>
              <w:spacing w:line="360" w:lineRule="auto"/>
              <w:rPr>
                <w:rFonts w:cs="仿宋" w:asciiTheme="majorEastAsia" w:hAnsiTheme="majorEastAsia" w:eastAsiaTheme="majorEastAsia"/>
                <w:color w:val="auto"/>
                <w:highlight w:val="none"/>
              </w:rPr>
            </w:pPr>
          </w:p>
        </w:tc>
      </w:tr>
      <w:tr w14:paraId="3B2DE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0E6474A">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F33968D">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BA4867B">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2158E35">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A28686">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4AF19E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96D379F">
            <w:pPr>
              <w:shd w:val="clear"/>
              <w:spacing w:line="360" w:lineRule="auto"/>
              <w:rPr>
                <w:rFonts w:cs="仿宋" w:asciiTheme="majorEastAsia" w:hAnsiTheme="majorEastAsia" w:eastAsiaTheme="majorEastAsia"/>
                <w:color w:val="auto"/>
                <w:highlight w:val="none"/>
              </w:rPr>
            </w:pPr>
          </w:p>
        </w:tc>
      </w:tr>
      <w:tr w14:paraId="5D434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EFAE7B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30508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0F9844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8CAC1C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F313AE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84C327">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7339564">
            <w:pPr>
              <w:shd w:val="clear"/>
              <w:spacing w:line="360" w:lineRule="auto"/>
              <w:rPr>
                <w:rFonts w:cs="仿宋" w:asciiTheme="majorEastAsia" w:hAnsiTheme="majorEastAsia" w:eastAsiaTheme="majorEastAsia"/>
                <w:color w:val="auto"/>
                <w:highlight w:val="none"/>
              </w:rPr>
            </w:pPr>
          </w:p>
        </w:tc>
      </w:tr>
      <w:tr w14:paraId="4FEAC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958B36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439BB24">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2F8E1A8E">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3E38FC8">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129082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B0C6238">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C436F89">
            <w:pPr>
              <w:shd w:val="clear"/>
              <w:spacing w:line="360" w:lineRule="auto"/>
              <w:rPr>
                <w:rFonts w:cs="仿宋" w:asciiTheme="majorEastAsia" w:hAnsiTheme="majorEastAsia" w:eastAsiaTheme="majorEastAsia"/>
                <w:color w:val="auto"/>
                <w:highlight w:val="none"/>
              </w:rPr>
            </w:pPr>
          </w:p>
        </w:tc>
      </w:tr>
      <w:tr w14:paraId="20E41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F00399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F34D466">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33B09F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5E01C1">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F0B5F23">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68F347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188200F8">
            <w:pPr>
              <w:shd w:val="clear"/>
              <w:spacing w:line="360" w:lineRule="auto"/>
              <w:rPr>
                <w:rFonts w:cs="仿宋" w:asciiTheme="majorEastAsia" w:hAnsiTheme="majorEastAsia" w:eastAsiaTheme="majorEastAsia"/>
                <w:color w:val="auto"/>
                <w:highlight w:val="none"/>
              </w:rPr>
            </w:pPr>
          </w:p>
        </w:tc>
      </w:tr>
      <w:tr w14:paraId="511E6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1F678EF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AEAF682">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5E232109">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1EBC862">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C96C1F9">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656B0AEA">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69432BD">
            <w:pPr>
              <w:shd w:val="clear"/>
              <w:spacing w:line="360" w:lineRule="auto"/>
              <w:rPr>
                <w:rFonts w:cs="仿宋" w:asciiTheme="majorEastAsia" w:hAnsiTheme="majorEastAsia" w:eastAsiaTheme="majorEastAsia"/>
                <w:color w:val="auto"/>
                <w:highlight w:val="none"/>
              </w:rPr>
            </w:pPr>
          </w:p>
        </w:tc>
      </w:tr>
      <w:tr w14:paraId="75DD9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F5C2800">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F7E831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0EC129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8B5D34B">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EAB7974">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50684D2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B92E54F">
            <w:pPr>
              <w:shd w:val="clear"/>
              <w:spacing w:line="360" w:lineRule="auto"/>
              <w:rPr>
                <w:rFonts w:cs="仿宋" w:asciiTheme="majorEastAsia" w:hAnsiTheme="majorEastAsia" w:eastAsiaTheme="majorEastAsia"/>
                <w:color w:val="auto"/>
                <w:highlight w:val="none"/>
              </w:rPr>
            </w:pPr>
          </w:p>
        </w:tc>
      </w:tr>
      <w:tr w14:paraId="143FB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4652451">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4470A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182D5FD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58C8D6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99B85B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02AEC2F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CE42E09">
            <w:pPr>
              <w:shd w:val="clear"/>
              <w:spacing w:line="360" w:lineRule="auto"/>
              <w:rPr>
                <w:rFonts w:cs="仿宋" w:asciiTheme="majorEastAsia" w:hAnsiTheme="majorEastAsia" w:eastAsiaTheme="majorEastAsia"/>
                <w:color w:val="auto"/>
                <w:highlight w:val="none"/>
              </w:rPr>
            </w:pPr>
          </w:p>
        </w:tc>
      </w:tr>
      <w:tr w14:paraId="678A6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2471430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F37467">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45CDF8A">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30285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0EA1B3D">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B2C6A62">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4D01509">
            <w:pPr>
              <w:shd w:val="clear"/>
              <w:spacing w:line="360" w:lineRule="auto"/>
              <w:rPr>
                <w:rFonts w:cs="仿宋" w:asciiTheme="majorEastAsia" w:hAnsiTheme="majorEastAsia" w:eastAsiaTheme="majorEastAsia"/>
                <w:color w:val="auto"/>
                <w:highlight w:val="none"/>
              </w:rPr>
            </w:pPr>
          </w:p>
        </w:tc>
      </w:tr>
      <w:tr w14:paraId="64438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59F7B0C">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9AF2B8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97F0853">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6B4A01FE">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3FF275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E2AFC0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2B93ECD3">
            <w:pPr>
              <w:shd w:val="clear"/>
              <w:spacing w:line="360" w:lineRule="auto"/>
              <w:rPr>
                <w:rFonts w:cs="仿宋" w:asciiTheme="majorEastAsia" w:hAnsiTheme="majorEastAsia" w:eastAsiaTheme="majorEastAsia"/>
                <w:color w:val="auto"/>
                <w:highlight w:val="none"/>
              </w:rPr>
            </w:pPr>
          </w:p>
        </w:tc>
      </w:tr>
      <w:tr w14:paraId="4C4DC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1C4AB9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622C77C">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w:t>
            </w:r>
          </w:p>
        </w:tc>
        <w:tc>
          <w:tcPr>
            <w:tcW w:w="1846" w:type="dxa"/>
            <w:tcBorders>
              <w:top w:val="single" w:color="auto" w:sz="4" w:space="0"/>
              <w:left w:val="single" w:color="auto" w:sz="4" w:space="0"/>
              <w:bottom w:val="single" w:color="auto" w:sz="4" w:space="0"/>
              <w:right w:val="single" w:color="auto" w:sz="4" w:space="0"/>
            </w:tcBorders>
          </w:tcPr>
          <w:p w14:paraId="25E9E26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73BDE3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184D58">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DA29584">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556A1C6">
            <w:pPr>
              <w:shd w:val="clear"/>
              <w:spacing w:line="360" w:lineRule="auto"/>
              <w:rPr>
                <w:rFonts w:cs="仿宋" w:asciiTheme="majorEastAsia" w:hAnsiTheme="majorEastAsia" w:eastAsiaTheme="majorEastAsia"/>
                <w:color w:val="auto"/>
                <w:highlight w:val="none"/>
              </w:rPr>
            </w:pPr>
          </w:p>
        </w:tc>
      </w:tr>
      <w:tr w14:paraId="29A05A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14:paraId="22E2FFEF">
            <w:pPr>
              <w:shd w:val="clear"/>
              <w:spacing w:line="360" w:lineRule="auto"/>
              <w:rPr>
                <w:rFonts w:cs="仿宋" w:asciiTheme="majorEastAsia" w:hAnsiTheme="majorEastAsia" w:eastAsiaTheme="majorEastAsia"/>
                <w:color w:val="auto"/>
                <w:sz w:val="24"/>
                <w:highlight w:val="none"/>
              </w:rPr>
            </w:pPr>
          </w:p>
        </w:tc>
        <w:tc>
          <w:tcPr>
            <w:tcW w:w="4882" w:type="dxa"/>
            <w:gridSpan w:val="3"/>
            <w:tcBorders>
              <w:top w:val="single" w:color="auto" w:sz="4" w:space="0"/>
              <w:left w:val="single" w:color="auto" w:sz="4" w:space="0"/>
              <w:bottom w:val="single" w:color="auto" w:sz="4" w:space="0"/>
              <w:right w:val="single" w:color="auto" w:sz="4" w:space="0"/>
            </w:tcBorders>
          </w:tcPr>
          <w:p w14:paraId="6933E05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总报价：</w:t>
            </w:r>
          </w:p>
        </w:tc>
        <w:tc>
          <w:tcPr>
            <w:tcW w:w="1513" w:type="dxa"/>
            <w:tcBorders>
              <w:top w:val="single" w:color="auto" w:sz="4" w:space="0"/>
              <w:left w:val="single" w:color="auto" w:sz="4" w:space="0"/>
              <w:bottom w:val="single" w:color="auto" w:sz="4" w:space="0"/>
              <w:right w:val="single" w:color="auto" w:sz="4" w:space="0"/>
            </w:tcBorders>
          </w:tcPr>
          <w:p w14:paraId="2191454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BF483D">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E1ED421">
            <w:pPr>
              <w:shd w:val="clear"/>
              <w:spacing w:line="360" w:lineRule="auto"/>
              <w:rPr>
                <w:rFonts w:cs="仿宋" w:asciiTheme="majorEastAsia" w:hAnsiTheme="majorEastAsia" w:eastAsiaTheme="majorEastAsia"/>
                <w:color w:val="auto"/>
                <w:highlight w:val="none"/>
              </w:rPr>
            </w:pPr>
          </w:p>
        </w:tc>
      </w:tr>
    </w:tbl>
    <w:p w14:paraId="64DDBF66">
      <w:pPr>
        <w:pStyle w:val="7"/>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注：</w:t>
      </w:r>
    </w:p>
    <w:p w14:paraId="5DA710D2">
      <w:pPr>
        <w:pStyle w:val="7"/>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1.本表格仅供参考，投标人可根据项目实际情况扩展表格。</w:t>
      </w:r>
    </w:p>
    <w:p w14:paraId="454E1D91">
      <w:pPr>
        <w:pStyle w:val="7"/>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2.总报价应与开标一览表的投标报价一致。</w:t>
      </w:r>
    </w:p>
    <w:p w14:paraId="33B6FC07">
      <w:pPr>
        <w:shd w:val="clear"/>
        <w:spacing w:line="360" w:lineRule="auto"/>
        <w:rPr>
          <w:rFonts w:cs="仿宋" w:asciiTheme="majorEastAsia" w:hAnsiTheme="majorEastAsia" w:eastAsiaTheme="majorEastAsia"/>
          <w:color w:val="auto"/>
          <w:sz w:val="24"/>
          <w:highlight w:val="none"/>
        </w:rPr>
      </w:pPr>
    </w:p>
    <w:p w14:paraId="091E782B">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136A4A08">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6E9D7447">
      <w:pPr>
        <w:pStyle w:val="35"/>
        <w:keepNext w:val="0"/>
        <w:pageBreakBefore w:val="0"/>
        <w:shd w:val="clear"/>
        <w:tabs>
          <w:tab w:val="clear" w:pos="720"/>
        </w:tabs>
        <w:snapToGrid w:val="0"/>
        <w:spacing w:before="120" w:after="120"/>
        <w:ind w:left="3780" w:leftChars="1800"/>
        <w:jc w:val="both"/>
        <w:outlineLvl w:val="9"/>
        <w:rPr>
          <w:rFonts w:cs="仿宋" w:asciiTheme="majorEastAsia" w:hAnsiTheme="majorEastAsia" w:eastAsiaTheme="majorEastAsia"/>
          <w:b w:val="0"/>
          <w:color w:val="auto"/>
          <w:kern w:val="2"/>
          <w:sz w:val="24"/>
          <w:szCs w:val="24"/>
          <w:highlight w:val="none"/>
        </w:rPr>
      </w:pPr>
      <w:r>
        <w:rPr>
          <w:rFonts w:hint="eastAsia" w:cs="仿宋" w:asciiTheme="majorEastAsia" w:hAnsiTheme="majorEastAsia" w:eastAsiaTheme="majorEastAsia"/>
          <w:b w:val="0"/>
          <w:color w:val="auto"/>
          <w:kern w:val="2"/>
          <w:sz w:val="24"/>
          <w:szCs w:val="24"/>
          <w:highlight w:val="none"/>
        </w:rPr>
        <w:t xml:space="preserve">日  期：  </w:t>
      </w:r>
    </w:p>
    <w:p w14:paraId="78814CEF">
      <w:pPr>
        <w:pStyle w:val="35"/>
        <w:keepNext w:val="0"/>
        <w:pageBreakBefore w:val="0"/>
        <w:shd w:val="clear"/>
        <w:tabs>
          <w:tab w:val="clear" w:pos="720"/>
        </w:tabs>
        <w:snapToGrid w:val="0"/>
        <w:spacing w:before="120" w:after="120"/>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val="0"/>
          <w:color w:val="auto"/>
          <w:kern w:val="2"/>
          <w:sz w:val="24"/>
          <w:szCs w:val="24"/>
          <w:highlight w:val="none"/>
        </w:rPr>
        <w:br w:type="page"/>
      </w:r>
      <w:r>
        <w:rPr>
          <w:rFonts w:hint="eastAsia" w:cs="仿宋" w:asciiTheme="majorEastAsia" w:hAnsiTheme="majorEastAsia" w:eastAsiaTheme="majorEastAsia"/>
          <w:color w:val="auto"/>
          <w:kern w:val="2"/>
          <w:sz w:val="32"/>
          <w:szCs w:val="32"/>
          <w:highlight w:val="none"/>
        </w:rPr>
        <w:t>三、</w:t>
      </w:r>
      <w:r>
        <w:rPr>
          <w:rFonts w:hint="eastAsia" w:cs="仿宋" w:asciiTheme="majorEastAsia" w:hAnsiTheme="majorEastAsia" w:eastAsiaTheme="majorEastAsia"/>
          <w:color w:val="auto"/>
          <w:sz w:val="32"/>
          <w:szCs w:val="32"/>
          <w:highlight w:val="none"/>
        </w:rPr>
        <w:t>中小企业声明函</w:t>
      </w:r>
    </w:p>
    <w:p w14:paraId="2F738B00">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7BDEC5EA">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w:t>
      </w:r>
    </w:p>
    <w:p w14:paraId="54BD1B2A">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（对相关制造商信息了解不充分，或者不能确定相关信息真实、准确的，不建议出具《中小企业声明函》。声明函中需对“采购清单”中所有标的物逐一填写，内容不全或未按照格式进行填写的不予认可。）</w:t>
      </w:r>
    </w:p>
    <w:p w14:paraId="7CB971AA">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本公司郑重声明，根据《政府采购促进中小企业发展管理办法》（财库﹝2020﹞46 号）的规定，本公司参加</w:t>
      </w:r>
      <w:r>
        <w:rPr>
          <w:rFonts w:hint="eastAsia" w:cs="仿宋" w:asciiTheme="majorEastAsia" w:hAnsiTheme="majorEastAsia" w:eastAsiaTheme="majorEastAsia"/>
          <w:color w:val="auto"/>
          <w:sz w:val="24"/>
          <w:highlight w:val="none"/>
          <w:u w:val="single"/>
        </w:rPr>
        <w:t xml:space="preserve"> （单位名称）</w:t>
      </w:r>
      <w:r>
        <w:rPr>
          <w:rFonts w:hint="eastAsia" w:cs="仿宋" w:asciiTheme="majorEastAsia" w:hAnsiTheme="majorEastAsia" w:eastAsiaTheme="majorEastAsia"/>
          <w:color w:val="auto"/>
          <w:sz w:val="24"/>
          <w:highlight w:val="none"/>
        </w:rPr>
        <w:t xml:space="preserve"> 的 </w:t>
      </w:r>
      <w:r>
        <w:rPr>
          <w:rFonts w:hint="eastAsia" w:cs="仿宋" w:asciiTheme="majorEastAsia" w:hAnsiTheme="majorEastAsia" w:eastAsiaTheme="majorEastAsia"/>
          <w:color w:val="auto"/>
          <w:sz w:val="24"/>
          <w:highlight w:val="none"/>
          <w:u w:val="single"/>
        </w:rPr>
        <w:t xml:space="preserve">（项目名称） </w:t>
      </w:r>
      <w:r>
        <w:rPr>
          <w:rFonts w:hint="eastAsia" w:cs="仿宋" w:asciiTheme="majorEastAsia" w:hAnsiTheme="majorEastAsia" w:eastAsiaTheme="majorEastAsia"/>
          <w:color w:val="auto"/>
          <w:sz w:val="24"/>
          <w:highlight w:val="none"/>
        </w:rPr>
        <w:t>采购活动，提供的货物全部由符合政策要求的中小企业制造。相关企业（含中小企业、签订分包意向协议的中小企业）的具体情况如下：</w:t>
      </w:r>
    </w:p>
    <w:p w14:paraId="056EC2E8">
      <w:pPr>
        <w:shd w:val="clear"/>
        <w:spacing w:line="360" w:lineRule="auto"/>
        <w:ind w:firstLine="480" w:firstLineChars="200"/>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sz w:val="24"/>
          <w:highlight w:val="none"/>
          <w:u w:val="single"/>
        </w:rPr>
        <w:t>（木屋功能架组合）</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135E58F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rPr>
        <w:t>（帐篷）</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74B36AD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rPr>
        <w:t>（拱形小屋）</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082ECFD5">
      <w:pPr>
        <w:pStyle w:val="25"/>
        <w:shd w:val="clear"/>
        <w:ind w:firstLine="480"/>
        <w:rPr>
          <w:rFonts w:eastAsiaTheme="majorEastAsia"/>
          <w:color w:val="auto"/>
          <w:highlight w:val="none"/>
        </w:rPr>
      </w:pPr>
      <w:r>
        <w:rPr>
          <w:rFonts w:hint="eastAsia" w:cs="仿宋" w:asciiTheme="majorEastAsia" w:hAnsiTheme="majorEastAsia" w:eastAsiaTheme="majorEastAsia"/>
          <w:color w:val="auto"/>
          <w:sz w:val="24"/>
          <w:highlight w:val="none"/>
        </w:rPr>
        <w:t>……</w:t>
      </w:r>
    </w:p>
    <w:p w14:paraId="66D3111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5A051C87">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本企业对上述声明内容的真实性负责。如有虚假，将依法承担相应责任。</w:t>
      </w:r>
    </w:p>
    <w:p w14:paraId="7F79695E">
      <w:pPr>
        <w:shd w:val="clear"/>
        <w:snapToGrid w:val="0"/>
        <w:spacing w:line="360" w:lineRule="auto"/>
        <w:ind w:firstLine="5160" w:firstLineChars="2150"/>
        <w:rPr>
          <w:rFonts w:cs="仿宋" w:asciiTheme="majorEastAsia" w:hAnsiTheme="majorEastAsia" w:eastAsiaTheme="majorEastAsia"/>
          <w:color w:val="auto"/>
          <w:kern w:val="0"/>
          <w:sz w:val="24"/>
          <w:highlight w:val="none"/>
          <w:lang w:val="zh-CN"/>
        </w:rPr>
      </w:pPr>
    </w:p>
    <w:p w14:paraId="28F75981">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6D7D570">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417B709D">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14:paraId="1BC2C575">
      <w:pPr>
        <w:shd w:val="clear"/>
        <w:spacing w:line="360" w:lineRule="auto"/>
        <w:jc w:val="left"/>
        <w:rPr>
          <w:rFonts w:cs="仿宋" w:asciiTheme="majorEastAsia" w:hAnsiTheme="majorEastAsia" w:eastAsiaTheme="majorEastAsia"/>
          <w:color w:val="auto"/>
          <w:sz w:val="18"/>
          <w:szCs w:val="18"/>
          <w:highlight w:val="none"/>
        </w:rPr>
      </w:pPr>
      <w:r>
        <w:rPr>
          <w:rFonts w:hint="eastAsia" w:cs="仿宋" w:asciiTheme="majorEastAsia" w:hAnsiTheme="majorEastAsia" w:eastAsiaTheme="majorEastAsia"/>
          <w:color w:val="auto"/>
          <w:sz w:val="18"/>
          <w:szCs w:val="18"/>
          <w:highlight w:val="none"/>
        </w:rPr>
        <w:t>从业人员、营业收入、资产总额填报上一年度数据，无上一年度数据的新成立企业可不填报。</w:t>
      </w:r>
    </w:p>
    <w:p w14:paraId="1DD497DD">
      <w:pPr>
        <w:shd w:val="clear"/>
        <w:spacing w:line="360" w:lineRule="auto"/>
        <w:ind w:right="-420" w:righ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FC30F6">
      <w:pPr>
        <w:shd w:val="clear"/>
        <w:spacing w:line="360" w:lineRule="auto"/>
        <w:ind w:right="-420" w:rightChars="-200" w:firstLine="480" w:firstLineChars="200"/>
        <w:rPr>
          <w:rFonts w:cs="仿宋" w:asciiTheme="majorEastAsia" w:hAnsiTheme="majorEastAsia" w:eastAsiaTheme="majorEastAsia"/>
          <w:color w:val="auto"/>
          <w:sz w:val="24"/>
          <w:highlight w:val="none"/>
        </w:rPr>
      </w:pPr>
    </w:p>
    <w:p w14:paraId="4A94FA0E">
      <w:pPr>
        <w:shd w:val="clear"/>
        <w:spacing w:line="360" w:lineRule="auto"/>
        <w:ind w:right="-420" w:rightChars="-200"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注：</w:t>
      </w:r>
      <w:r>
        <w:rPr>
          <w:rFonts w:hint="eastAsia" w:ascii="宋体" w:hAnsi="宋体" w:cs="宋体"/>
          <w:color w:val="auto"/>
          <w:sz w:val="24"/>
          <w:highlight w:val="none"/>
          <w:shd w:val="clear" w:color="auto" w:fill="FFFFFF"/>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仿宋" w:asciiTheme="majorEastAsia" w:hAnsiTheme="majorEastAsia" w:eastAsiaTheme="majorEastAsia"/>
          <w:b/>
          <w:color w:val="auto"/>
          <w:sz w:val="32"/>
          <w:szCs w:val="32"/>
          <w:highlight w:val="none"/>
        </w:rPr>
        <w:br w:type="page"/>
      </w:r>
    </w:p>
    <w:p w14:paraId="1384ADFB">
      <w:pPr>
        <w:shd w:val="clear"/>
        <w:spacing w:line="360" w:lineRule="auto"/>
        <w:jc w:val="center"/>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bCs/>
          <w:color w:val="auto"/>
          <w:sz w:val="32"/>
          <w:szCs w:val="32"/>
          <w:highlight w:val="none"/>
        </w:rPr>
        <w:t>四、残疾人福利性单位声明函</w:t>
      </w:r>
    </w:p>
    <w:p w14:paraId="35DE81D0">
      <w:pPr>
        <w:shd w:val="clear"/>
        <w:spacing w:line="360" w:lineRule="auto"/>
        <w:rPr>
          <w:rFonts w:cs="仿宋" w:asciiTheme="majorEastAsia" w:hAnsiTheme="majorEastAsia" w:eastAsiaTheme="majorEastAsia"/>
          <w:b/>
          <w:color w:val="auto"/>
          <w:spacing w:val="6"/>
          <w:sz w:val="30"/>
          <w:szCs w:val="30"/>
          <w:highlight w:val="none"/>
        </w:rPr>
      </w:pPr>
    </w:p>
    <w:p w14:paraId="47AB3F9A">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9B3EB0B">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31B09A03">
      <w:pPr>
        <w:shd w:val="clear"/>
        <w:spacing w:line="360" w:lineRule="auto"/>
        <w:ind w:firstLine="480" w:firstLineChars="200"/>
        <w:jc w:val="left"/>
        <w:rPr>
          <w:rFonts w:cs="仿宋" w:asciiTheme="majorEastAsia" w:hAnsiTheme="majorEastAsia" w:eastAsiaTheme="majorEastAsia"/>
          <w:color w:val="auto"/>
          <w:sz w:val="24"/>
          <w:highlight w:val="none"/>
        </w:rPr>
      </w:pPr>
    </w:p>
    <w:p w14:paraId="1678AFDF">
      <w:pPr>
        <w:shd w:val="clear"/>
        <w:spacing w:line="360" w:lineRule="auto"/>
        <w:ind w:firstLine="480" w:firstLineChars="200"/>
        <w:jc w:val="left"/>
        <w:rPr>
          <w:rFonts w:cs="仿宋" w:asciiTheme="majorEastAsia" w:hAnsiTheme="majorEastAsia" w:eastAsiaTheme="majorEastAsia"/>
          <w:color w:val="auto"/>
          <w:sz w:val="24"/>
          <w:highlight w:val="none"/>
        </w:rPr>
      </w:pPr>
    </w:p>
    <w:p w14:paraId="5F38F18F">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法定代表人或其授权委托人（签名或印章）：</w:t>
      </w:r>
    </w:p>
    <w:p w14:paraId="2A65C625">
      <w:pPr>
        <w:shd w:val="clear"/>
        <w:adjustRightInd w:val="0"/>
        <w:spacing w:line="360" w:lineRule="auto"/>
        <w:ind w:firstLine="3840" w:firstLineChars="16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0A4C1344">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p w14:paraId="2B9C4A0C">
      <w:pPr>
        <w:shd w:val="clear"/>
        <w:spacing w:line="360" w:lineRule="auto"/>
        <w:ind w:firstLine="643" w:firstLineChars="200"/>
        <w:jc w:val="left"/>
        <w:rPr>
          <w:rFonts w:cs="仿宋" w:asciiTheme="majorEastAsia" w:hAnsiTheme="majorEastAsia" w:eastAsiaTheme="majorEastAsia"/>
          <w:b/>
          <w:color w:val="auto"/>
          <w:sz w:val="32"/>
          <w:szCs w:val="32"/>
          <w:highlight w:val="none"/>
        </w:rPr>
      </w:pPr>
    </w:p>
    <w:p w14:paraId="24E9E5F0">
      <w:pPr>
        <w:shd w:val="clear"/>
        <w:spacing w:line="360" w:lineRule="auto"/>
        <w:rPr>
          <w:rFonts w:cs="仿宋" w:asciiTheme="majorEastAsia" w:hAnsiTheme="majorEastAsia" w:eastAsiaTheme="majorEastAsia"/>
          <w:b/>
          <w:color w:val="auto"/>
          <w:sz w:val="32"/>
          <w:szCs w:val="32"/>
          <w:highlight w:val="none"/>
        </w:rPr>
      </w:pPr>
    </w:p>
    <w:p w14:paraId="48392CCB">
      <w:pPr>
        <w:numPr>
          <w:ilvl w:val="0"/>
          <w:numId w:val="4"/>
        </w:num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r>
        <w:rPr>
          <w:rFonts w:hint="eastAsia" w:cs="仿宋" w:asciiTheme="majorEastAsia" w:hAnsiTheme="majorEastAsia" w:eastAsiaTheme="majorEastAsia"/>
          <w:b/>
          <w:color w:val="auto"/>
          <w:spacing w:val="6"/>
          <w:sz w:val="32"/>
          <w:szCs w:val="32"/>
          <w:highlight w:val="none"/>
        </w:rPr>
        <w:t>政府采购统计基础信息表</w:t>
      </w:r>
    </w:p>
    <w:p w14:paraId="61CC198B">
      <w:pPr>
        <w:pStyle w:val="25"/>
        <w:shd w:val="clear"/>
        <w:spacing w:line="360" w:lineRule="auto"/>
        <w:ind w:firstLine="0" w:firstLineChars="0"/>
        <w:rPr>
          <w:rFonts w:cs="仿宋" w:asciiTheme="majorEastAsia" w:hAnsiTheme="majorEastAsia" w:eastAsiaTheme="majorEastAsia"/>
          <w:color w:val="auto"/>
          <w:highlight w:val="none"/>
        </w:rPr>
      </w:pPr>
    </w:p>
    <w:tbl>
      <w:tblPr>
        <w:tblStyle w:val="18"/>
        <w:tblW w:w="8537" w:type="dxa"/>
        <w:jc w:val="center"/>
        <w:tblLayout w:type="fixed"/>
        <w:tblCellMar>
          <w:top w:w="0" w:type="dxa"/>
          <w:left w:w="108" w:type="dxa"/>
          <w:bottom w:w="0" w:type="dxa"/>
          <w:right w:w="108" w:type="dxa"/>
        </w:tblCellMar>
      </w:tblPr>
      <w:tblGrid>
        <w:gridCol w:w="4998"/>
        <w:gridCol w:w="3539"/>
      </w:tblGrid>
      <w:tr w14:paraId="11D490A4">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198B245">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采购人及采购项目名称</w:t>
            </w:r>
          </w:p>
        </w:tc>
        <w:tc>
          <w:tcPr>
            <w:tcW w:w="3539" w:type="dxa"/>
            <w:tcBorders>
              <w:top w:val="single" w:color="000000" w:sz="4" w:space="0"/>
              <w:left w:val="nil"/>
              <w:bottom w:val="single" w:color="000000" w:sz="4" w:space="0"/>
              <w:right w:val="single" w:color="000000" w:sz="4" w:space="0"/>
            </w:tcBorders>
          </w:tcPr>
          <w:p w14:paraId="11FF73FA">
            <w:pPr>
              <w:shd w:val="clear"/>
              <w:spacing w:line="360" w:lineRule="auto"/>
              <w:rPr>
                <w:rFonts w:cs="仿宋" w:asciiTheme="majorEastAsia" w:hAnsiTheme="majorEastAsia" w:eastAsiaTheme="majorEastAsia"/>
                <w:color w:val="auto"/>
                <w:highlight w:val="none"/>
              </w:rPr>
            </w:pPr>
          </w:p>
        </w:tc>
      </w:tr>
      <w:tr w14:paraId="473C20B2">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2F4556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投标单位名称</w:t>
            </w:r>
          </w:p>
        </w:tc>
        <w:tc>
          <w:tcPr>
            <w:tcW w:w="3539" w:type="dxa"/>
            <w:tcBorders>
              <w:top w:val="single" w:color="000000" w:sz="4" w:space="0"/>
              <w:left w:val="nil"/>
              <w:bottom w:val="single" w:color="000000" w:sz="4" w:space="0"/>
              <w:right w:val="single" w:color="000000" w:sz="4" w:space="0"/>
            </w:tcBorders>
          </w:tcPr>
          <w:p w14:paraId="512578F4">
            <w:pPr>
              <w:shd w:val="clear"/>
              <w:spacing w:line="360" w:lineRule="auto"/>
              <w:rPr>
                <w:rFonts w:cs="仿宋" w:asciiTheme="majorEastAsia" w:hAnsiTheme="majorEastAsia" w:eastAsiaTheme="majorEastAsia"/>
                <w:color w:val="auto"/>
                <w:highlight w:val="none"/>
              </w:rPr>
            </w:pPr>
          </w:p>
        </w:tc>
      </w:tr>
      <w:tr w14:paraId="4B20A806">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2357961">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投标单位是否为外商投资企业</w:t>
            </w:r>
          </w:p>
        </w:tc>
        <w:tc>
          <w:tcPr>
            <w:tcW w:w="3539" w:type="dxa"/>
            <w:tcBorders>
              <w:top w:val="single" w:color="000000" w:sz="4" w:space="0"/>
              <w:left w:val="nil"/>
              <w:bottom w:val="single" w:color="000000" w:sz="4" w:space="0"/>
              <w:right w:val="single" w:color="000000" w:sz="4" w:space="0"/>
            </w:tcBorders>
          </w:tcPr>
          <w:p w14:paraId="010080AA">
            <w:pPr>
              <w:shd w:val="clear"/>
              <w:spacing w:line="360" w:lineRule="auto"/>
              <w:rPr>
                <w:rFonts w:cs="仿宋" w:asciiTheme="majorEastAsia" w:hAnsiTheme="majorEastAsia" w:eastAsiaTheme="majorEastAsia"/>
                <w:color w:val="auto"/>
                <w:highlight w:val="none"/>
              </w:rPr>
            </w:pPr>
          </w:p>
        </w:tc>
      </w:tr>
      <w:tr w14:paraId="24C11A13">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EB5C8C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投标单位是否为宁波企业</w:t>
            </w:r>
          </w:p>
        </w:tc>
        <w:tc>
          <w:tcPr>
            <w:tcW w:w="3539" w:type="dxa"/>
            <w:tcBorders>
              <w:top w:val="single" w:color="000000" w:sz="4" w:space="0"/>
              <w:left w:val="nil"/>
              <w:bottom w:val="single" w:color="000000" w:sz="4" w:space="0"/>
              <w:right w:val="single" w:color="000000" w:sz="4" w:space="0"/>
            </w:tcBorders>
          </w:tcPr>
          <w:p w14:paraId="024D90EF">
            <w:pPr>
              <w:shd w:val="clear"/>
              <w:spacing w:line="360" w:lineRule="auto"/>
              <w:rPr>
                <w:rFonts w:cs="仿宋" w:asciiTheme="majorEastAsia" w:hAnsiTheme="majorEastAsia" w:eastAsiaTheme="majorEastAsia"/>
                <w:color w:val="auto"/>
                <w:highlight w:val="none"/>
              </w:rPr>
            </w:pPr>
          </w:p>
        </w:tc>
      </w:tr>
      <w:tr w14:paraId="7B77F187">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48D7AC33">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企业划分标准类型（大型、中型、小型、微型）</w:t>
            </w:r>
          </w:p>
        </w:tc>
        <w:tc>
          <w:tcPr>
            <w:tcW w:w="3539" w:type="dxa"/>
            <w:tcBorders>
              <w:top w:val="single" w:color="000000" w:sz="4" w:space="0"/>
              <w:left w:val="nil"/>
              <w:bottom w:val="single" w:color="000000" w:sz="4" w:space="0"/>
              <w:right w:val="single" w:color="000000" w:sz="4" w:space="0"/>
            </w:tcBorders>
          </w:tcPr>
          <w:p w14:paraId="7144326A">
            <w:pPr>
              <w:shd w:val="clear"/>
              <w:spacing w:line="360" w:lineRule="auto"/>
              <w:rPr>
                <w:rFonts w:cs="仿宋" w:asciiTheme="majorEastAsia" w:hAnsiTheme="majorEastAsia" w:eastAsiaTheme="majorEastAsia"/>
                <w:color w:val="auto"/>
                <w:highlight w:val="none"/>
              </w:rPr>
            </w:pPr>
          </w:p>
        </w:tc>
      </w:tr>
      <w:tr w14:paraId="40ED2E3F">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5EDDED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提供的货物是否本企业制造</w:t>
            </w:r>
          </w:p>
        </w:tc>
        <w:tc>
          <w:tcPr>
            <w:tcW w:w="3539" w:type="dxa"/>
            <w:tcBorders>
              <w:top w:val="single" w:color="000000" w:sz="4" w:space="0"/>
              <w:left w:val="nil"/>
              <w:bottom w:val="single" w:color="000000" w:sz="4" w:space="0"/>
              <w:right w:val="single" w:color="000000" w:sz="4" w:space="0"/>
            </w:tcBorders>
          </w:tcPr>
          <w:p w14:paraId="3CC6E502">
            <w:pPr>
              <w:shd w:val="clear"/>
              <w:spacing w:line="360" w:lineRule="auto"/>
              <w:rPr>
                <w:rFonts w:cs="仿宋" w:asciiTheme="majorEastAsia" w:hAnsiTheme="majorEastAsia" w:eastAsiaTheme="majorEastAsia"/>
                <w:color w:val="auto"/>
                <w:highlight w:val="none"/>
              </w:rPr>
            </w:pPr>
          </w:p>
        </w:tc>
      </w:tr>
      <w:tr w14:paraId="356CEB20">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1CAD20C">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货物原产地国别</w:t>
            </w:r>
          </w:p>
        </w:tc>
        <w:tc>
          <w:tcPr>
            <w:tcW w:w="3539" w:type="dxa"/>
            <w:tcBorders>
              <w:top w:val="single" w:color="000000" w:sz="4" w:space="0"/>
              <w:left w:val="nil"/>
              <w:bottom w:val="single" w:color="000000" w:sz="4" w:space="0"/>
              <w:right w:val="single" w:color="000000" w:sz="4" w:space="0"/>
            </w:tcBorders>
          </w:tcPr>
          <w:p w14:paraId="348FBF9A">
            <w:pPr>
              <w:shd w:val="clear"/>
              <w:spacing w:line="360" w:lineRule="auto"/>
              <w:rPr>
                <w:rFonts w:cs="仿宋" w:asciiTheme="majorEastAsia" w:hAnsiTheme="majorEastAsia" w:eastAsiaTheme="majorEastAsia"/>
                <w:color w:val="auto"/>
                <w:highlight w:val="none"/>
              </w:rPr>
            </w:pPr>
          </w:p>
        </w:tc>
      </w:tr>
      <w:tr w14:paraId="6CACC2A9">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B29A47D">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提供的货物是否为节能清单产品</w:t>
            </w:r>
          </w:p>
        </w:tc>
        <w:tc>
          <w:tcPr>
            <w:tcW w:w="3539" w:type="dxa"/>
            <w:tcBorders>
              <w:top w:val="single" w:color="000000" w:sz="4" w:space="0"/>
              <w:left w:val="nil"/>
              <w:bottom w:val="single" w:color="000000" w:sz="4" w:space="0"/>
              <w:right w:val="single" w:color="000000" w:sz="4" w:space="0"/>
            </w:tcBorders>
          </w:tcPr>
          <w:p w14:paraId="6A8EBB29">
            <w:pPr>
              <w:shd w:val="clear"/>
              <w:spacing w:line="360" w:lineRule="auto"/>
              <w:rPr>
                <w:rFonts w:cs="仿宋" w:asciiTheme="majorEastAsia" w:hAnsiTheme="majorEastAsia" w:eastAsiaTheme="majorEastAsia"/>
                <w:color w:val="auto"/>
                <w:highlight w:val="none"/>
              </w:rPr>
            </w:pPr>
          </w:p>
        </w:tc>
      </w:tr>
      <w:tr w14:paraId="426C7B11">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694092F">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提供的货物是否为环境标志清单产品</w:t>
            </w:r>
          </w:p>
        </w:tc>
        <w:tc>
          <w:tcPr>
            <w:tcW w:w="3539" w:type="dxa"/>
            <w:tcBorders>
              <w:top w:val="single" w:color="000000" w:sz="4" w:space="0"/>
              <w:left w:val="nil"/>
              <w:bottom w:val="single" w:color="000000" w:sz="4" w:space="0"/>
              <w:right w:val="single" w:color="000000" w:sz="4" w:space="0"/>
            </w:tcBorders>
          </w:tcPr>
          <w:p w14:paraId="104205E2">
            <w:pPr>
              <w:shd w:val="clear"/>
              <w:spacing w:line="360" w:lineRule="auto"/>
              <w:rPr>
                <w:rFonts w:cs="仿宋" w:asciiTheme="majorEastAsia" w:hAnsiTheme="majorEastAsia" w:eastAsiaTheme="majorEastAsia"/>
                <w:color w:val="auto"/>
                <w:highlight w:val="none"/>
              </w:rPr>
            </w:pPr>
          </w:p>
        </w:tc>
      </w:tr>
      <w:tr w14:paraId="4114180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90EADC8">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承担的工程或服务是否本企业提供</w:t>
            </w:r>
          </w:p>
        </w:tc>
        <w:tc>
          <w:tcPr>
            <w:tcW w:w="3539" w:type="dxa"/>
            <w:tcBorders>
              <w:top w:val="single" w:color="000000" w:sz="4" w:space="0"/>
              <w:left w:val="nil"/>
              <w:bottom w:val="single" w:color="000000" w:sz="4" w:space="0"/>
              <w:right w:val="single" w:color="000000" w:sz="4" w:space="0"/>
            </w:tcBorders>
          </w:tcPr>
          <w:p w14:paraId="2750E142">
            <w:pPr>
              <w:shd w:val="clear"/>
              <w:spacing w:line="360" w:lineRule="auto"/>
              <w:rPr>
                <w:rFonts w:cs="仿宋" w:asciiTheme="majorEastAsia" w:hAnsiTheme="majorEastAsia" w:eastAsiaTheme="majorEastAsia"/>
                <w:color w:val="auto"/>
                <w:highlight w:val="none"/>
              </w:rPr>
            </w:pPr>
          </w:p>
        </w:tc>
      </w:tr>
    </w:tbl>
    <w:p w14:paraId="6DE08E27">
      <w:pPr>
        <w:shd w:val="clear"/>
        <w:adjustRightInd w:val="0"/>
        <w:spacing w:line="360" w:lineRule="auto"/>
        <w:jc w:val="left"/>
        <w:rPr>
          <w:rFonts w:cs="仿宋" w:asciiTheme="majorEastAsia" w:hAnsiTheme="majorEastAsia" w:eastAsiaTheme="majorEastAsia"/>
          <w:color w:val="auto"/>
          <w:sz w:val="24"/>
          <w:highlight w:val="none"/>
        </w:rPr>
      </w:pPr>
    </w:p>
    <w:p w14:paraId="6E63A8C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备注：请各投标人务必填写此表作为投标文件的组成部分。</w:t>
      </w:r>
    </w:p>
    <w:p w14:paraId="078ADD35">
      <w:pPr>
        <w:shd w:val="clear"/>
        <w:adjustRightInd w:val="0"/>
        <w:spacing w:line="360" w:lineRule="auto"/>
        <w:jc w:val="left"/>
        <w:rPr>
          <w:rFonts w:cs="仿宋" w:asciiTheme="majorEastAsia" w:hAnsiTheme="majorEastAsia" w:eastAsiaTheme="majorEastAsia"/>
          <w:color w:val="auto"/>
          <w:sz w:val="24"/>
          <w:highlight w:val="none"/>
        </w:rPr>
      </w:pPr>
    </w:p>
    <w:p w14:paraId="15FE4E65">
      <w:pPr>
        <w:shd w:val="clear"/>
        <w:adjustRightInd w:val="0"/>
        <w:spacing w:line="360" w:lineRule="auto"/>
        <w:jc w:val="left"/>
        <w:rPr>
          <w:rFonts w:cs="仿宋" w:asciiTheme="majorEastAsia" w:hAnsiTheme="majorEastAsia" w:eastAsiaTheme="majorEastAsia"/>
          <w:color w:val="auto"/>
          <w:sz w:val="24"/>
          <w:highlight w:val="none"/>
        </w:rPr>
      </w:pPr>
    </w:p>
    <w:p w14:paraId="4E3647B7">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法定代表人或其授权委托人（签名或印章）：</w:t>
      </w:r>
    </w:p>
    <w:p w14:paraId="1B098F85">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1A2DB7CF">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9A64">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610B880F">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995D">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7CBFFB3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DD41">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2D6702D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9345">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5A03A46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1080">
    <w:pPr>
      <w:pStyle w:val="13"/>
      <w:pBdr>
        <w:bottom w:val="none" w:color="auto" w:sz="0" w:space="0"/>
      </w:pBdr>
      <w:jc w:val="right"/>
      <w:rPr>
        <w:rFonts w:ascii="仿宋_GB2312" w:eastAsia="仿宋_GB2312"/>
        <w:b/>
        <w:i/>
        <w:u w:val="single"/>
      </w:rPr>
    </w:pPr>
    <w:r>
      <w:t></w:t>
    </w:r>
    <w:r>
      <w:rPr>
        <w:rFonts w:hint="eastAsia"/>
      </w:rPr>
      <w:t xml:space="preserve">                                               </w:t>
    </w:r>
  </w:p>
  <w:p w14:paraId="0F927406">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962C9">
    <w:pPr>
      <w:pStyle w:val="13"/>
      <w:jc w:val="righ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3CF9">
    <w:pPr>
      <w:pStyle w:val="13"/>
      <w:jc w:val="right"/>
      <w:rPr>
        <w:rFonts w:ascii="仿宋_GB2312" w:eastAsia="仿宋_GB2312"/>
        <w:b/>
        <w:i/>
        <w:u w:val="single"/>
      </w:rPr>
    </w:pPr>
    <w:r>
      <w:rPr>
        <w:rFonts w:hint="eastAsia"/>
      </w:rPr>
      <w:t xml:space="preserve">                                 </w:t>
    </w:r>
  </w:p>
  <w:p w14:paraId="62AE288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F69D">
    <w:pPr>
      <w:pStyle w:val="13"/>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25D33"/>
    <w:multiLevelType w:val="singleLevel"/>
    <w:tmpl w:val="9D225D33"/>
    <w:lvl w:ilvl="0" w:tentative="0">
      <w:start w:val="5"/>
      <w:numFmt w:val="chineseCounting"/>
      <w:suff w:val="nothing"/>
      <w:lvlText w:val="%1、"/>
      <w:lvlJc w:val="left"/>
      <w:rPr>
        <w:rFonts w:hint="eastAsia"/>
      </w:rPr>
    </w:lvl>
  </w:abstractNum>
  <w:abstractNum w:abstractNumId="1">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2">
    <w:nsid w:val="2DC53F9C"/>
    <w:multiLevelType w:val="singleLevel"/>
    <w:tmpl w:val="2DC53F9C"/>
    <w:lvl w:ilvl="0" w:tentative="0">
      <w:start w:val="5"/>
      <w:numFmt w:val="chineseCounting"/>
      <w:suff w:val="space"/>
      <w:lvlText w:val="第%1部分"/>
      <w:lvlJc w:val="left"/>
      <w:rPr>
        <w:rFonts w:hint="eastAsia"/>
      </w:rPr>
    </w:lvl>
  </w:abstractNum>
  <w:abstractNum w:abstractNumId="3">
    <w:nsid w:val="495C2BCE"/>
    <w:multiLevelType w:val="singleLevel"/>
    <w:tmpl w:val="495C2BCE"/>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MwZjIwZWYxMjI1ODlmMWQ2NjBlZmJmNGMwY2QxMzgifQ=="/>
  </w:docVars>
  <w:rsids>
    <w:rsidRoot w:val="00BE1106"/>
    <w:rsid w:val="000E08FA"/>
    <w:rsid w:val="001E5D60"/>
    <w:rsid w:val="002D5049"/>
    <w:rsid w:val="002F0F4E"/>
    <w:rsid w:val="00325F5A"/>
    <w:rsid w:val="00385524"/>
    <w:rsid w:val="004149B7"/>
    <w:rsid w:val="004B6E42"/>
    <w:rsid w:val="005D6F69"/>
    <w:rsid w:val="00633810"/>
    <w:rsid w:val="008B3661"/>
    <w:rsid w:val="00923E94"/>
    <w:rsid w:val="00AF0DF7"/>
    <w:rsid w:val="00BE1106"/>
    <w:rsid w:val="00CA73A1"/>
    <w:rsid w:val="00FE2BD3"/>
    <w:rsid w:val="01251AC9"/>
    <w:rsid w:val="02823D0D"/>
    <w:rsid w:val="02A35163"/>
    <w:rsid w:val="03D270B5"/>
    <w:rsid w:val="03EB2398"/>
    <w:rsid w:val="047B14FB"/>
    <w:rsid w:val="059E7B97"/>
    <w:rsid w:val="05DB04A3"/>
    <w:rsid w:val="073E750B"/>
    <w:rsid w:val="077741FC"/>
    <w:rsid w:val="07CD02C0"/>
    <w:rsid w:val="0825634E"/>
    <w:rsid w:val="085B1D6F"/>
    <w:rsid w:val="092263E9"/>
    <w:rsid w:val="09970B85"/>
    <w:rsid w:val="0B2B77D7"/>
    <w:rsid w:val="0C1A784C"/>
    <w:rsid w:val="0C771D7C"/>
    <w:rsid w:val="0CE128D0"/>
    <w:rsid w:val="0CEE6D0E"/>
    <w:rsid w:val="0D5A25F6"/>
    <w:rsid w:val="0D7569AF"/>
    <w:rsid w:val="0DE4780D"/>
    <w:rsid w:val="0E3528EA"/>
    <w:rsid w:val="0F3E5F10"/>
    <w:rsid w:val="0FDE4579"/>
    <w:rsid w:val="10991687"/>
    <w:rsid w:val="10CF015F"/>
    <w:rsid w:val="12810624"/>
    <w:rsid w:val="12D44BF8"/>
    <w:rsid w:val="12EE1DDF"/>
    <w:rsid w:val="1301552C"/>
    <w:rsid w:val="139879D4"/>
    <w:rsid w:val="13A445CA"/>
    <w:rsid w:val="13B80076"/>
    <w:rsid w:val="13C163E1"/>
    <w:rsid w:val="13D00B75"/>
    <w:rsid w:val="1424570B"/>
    <w:rsid w:val="1457163D"/>
    <w:rsid w:val="14CD6C40"/>
    <w:rsid w:val="16EB0762"/>
    <w:rsid w:val="173E4D36"/>
    <w:rsid w:val="17D31922"/>
    <w:rsid w:val="17D42FA4"/>
    <w:rsid w:val="18635D32"/>
    <w:rsid w:val="191915B7"/>
    <w:rsid w:val="198F1011"/>
    <w:rsid w:val="1A320B58"/>
    <w:rsid w:val="1AD53A66"/>
    <w:rsid w:val="1BB44870"/>
    <w:rsid w:val="1C7F12A1"/>
    <w:rsid w:val="1D4D4375"/>
    <w:rsid w:val="1D632D08"/>
    <w:rsid w:val="1DC51D0D"/>
    <w:rsid w:val="1E024ED4"/>
    <w:rsid w:val="1F7F7C9A"/>
    <w:rsid w:val="1FD20711"/>
    <w:rsid w:val="20162F98"/>
    <w:rsid w:val="21022930"/>
    <w:rsid w:val="21042B4C"/>
    <w:rsid w:val="21350F58"/>
    <w:rsid w:val="231354DB"/>
    <w:rsid w:val="238735C1"/>
    <w:rsid w:val="24522E40"/>
    <w:rsid w:val="24A65001"/>
    <w:rsid w:val="24AA5D21"/>
    <w:rsid w:val="25571E03"/>
    <w:rsid w:val="262B46D7"/>
    <w:rsid w:val="277A5916"/>
    <w:rsid w:val="291678C1"/>
    <w:rsid w:val="29387837"/>
    <w:rsid w:val="29AE7AF9"/>
    <w:rsid w:val="29B175E9"/>
    <w:rsid w:val="2A005E7B"/>
    <w:rsid w:val="2B65243A"/>
    <w:rsid w:val="2C6A7D6E"/>
    <w:rsid w:val="2CDF7FCA"/>
    <w:rsid w:val="2D873C74"/>
    <w:rsid w:val="2DA37249"/>
    <w:rsid w:val="2E053A60"/>
    <w:rsid w:val="2E332EC2"/>
    <w:rsid w:val="2E596189"/>
    <w:rsid w:val="2EC76B8B"/>
    <w:rsid w:val="2ECB2EFB"/>
    <w:rsid w:val="2F3B43E8"/>
    <w:rsid w:val="2F594063"/>
    <w:rsid w:val="2F7B66D0"/>
    <w:rsid w:val="2FA84FEB"/>
    <w:rsid w:val="2FDE27BA"/>
    <w:rsid w:val="312608BD"/>
    <w:rsid w:val="31DE4CF4"/>
    <w:rsid w:val="329B0E37"/>
    <w:rsid w:val="32F223A4"/>
    <w:rsid w:val="33BA4214"/>
    <w:rsid w:val="33F00D0E"/>
    <w:rsid w:val="346E05B1"/>
    <w:rsid w:val="348222AE"/>
    <w:rsid w:val="34AF4725"/>
    <w:rsid w:val="366003CD"/>
    <w:rsid w:val="37D93CBA"/>
    <w:rsid w:val="38262F51"/>
    <w:rsid w:val="39400042"/>
    <w:rsid w:val="3958538C"/>
    <w:rsid w:val="396226AE"/>
    <w:rsid w:val="39777F08"/>
    <w:rsid w:val="3A561988"/>
    <w:rsid w:val="3AFF762B"/>
    <w:rsid w:val="3BE178BA"/>
    <w:rsid w:val="3C2B47A8"/>
    <w:rsid w:val="3D5D11C3"/>
    <w:rsid w:val="3E0E6961"/>
    <w:rsid w:val="3FE61943"/>
    <w:rsid w:val="40477F08"/>
    <w:rsid w:val="406749CA"/>
    <w:rsid w:val="4092603E"/>
    <w:rsid w:val="41630D72"/>
    <w:rsid w:val="42521512"/>
    <w:rsid w:val="427404C3"/>
    <w:rsid w:val="444E76B8"/>
    <w:rsid w:val="44580936"/>
    <w:rsid w:val="44A27E03"/>
    <w:rsid w:val="45140D01"/>
    <w:rsid w:val="45181E73"/>
    <w:rsid w:val="455455A1"/>
    <w:rsid w:val="458D2861"/>
    <w:rsid w:val="46074E0D"/>
    <w:rsid w:val="4622744D"/>
    <w:rsid w:val="48366397"/>
    <w:rsid w:val="4A264C4E"/>
    <w:rsid w:val="4A840A50"/>
    <w:rsid w:val="4AFE3E79"/>
    <w:rsid w:val="4B5F25AA"/>
    <w:rsid w:val="4B751A3A"/>
    <w:rsid w:val="4C2A2BB8"/>
    <w:rsid w:val="4C376F0B"/>
    <w:rsid w:val="4CCC5159"/>
    <w:rsid w:val="4CEF2F84"/>
    <w:rsid w:val="4CF17B79"/>
    <w:rsid w:val="4D785BA5"/>
    <w:rsid w:val="4EC07803"/>
    <w:rsid w:val="4F610FE6"/>
    <w:rsid w:val="4F886166"/>
    <w:rsid w:val="4FC61F04"/>
    <w:rsid w:val="50B05655"/>
    <w:rsid w:val="50D21D6D"/>
    <w:rsid w:val="517A013D"/>
    <w:rsid w:val="51BB2291"/>
    <w:rsid w:val="523F1C0D"/>
    <w:rsid w:val="53057EDB"/>
    <w:rsid w:val="533E519B"/>
    <w:rsid w:val="536A2433"/>
    <w:rsid w:val="547C1645"/>
    <w:rsid w:val="54B43966"/>
    <w:rsid w:val="567333AD"/>
    <w:rsid w:val="567535C9"/>
    <w:rsid w:val="58B55EFF"/>
    <w:rsid w:val="58C12AF6"/>
    <w:rsid w:val="58CE0D6F"/>
    <w:rsid w:val="590824D3"/>
    <w:rsid w:val="5937239D"/>
    <w:rsid w:val="59B12B6A"/>
    <w:rsid w:val="5A025174"/>
    <w:rsid w:val="5A8E07B6"/>
    <w:rsid w:val="5AB87F28"/>
    <w:rsid w:val="5ABD72ED"/>
    <w:rsid w:val="5C266AB1"/>
    <w:rsid w:val="5D86767D"/>
    <w:rsid w:val="5DA84284"/>
    <w:rsid w:val="5E2C21A1"/>
    <w:rsid w:val="5E960581"/>
    <w:rsid w:val="60340051"/>
    <w:rsid w:val="603718EF"/>
    <w:rsid w:val="603B13E0"/>
    <w:rsid w:val="6090779F"/>
    <w:rsid w:val="60AA0313"/>
    <w:rsid w:val="61686204"/>
    <w:rsid w:val="61D339C5"/>
    <w:rsid w:val="622A5268"/>
    <w:rsid w:val="623E2002"/>
    <w:rsid w:val="639C0E1B"/>
    <w:rsid w:val="64485E79"/>
    <w:rsid w:val="64C9520C"/>
    <w:rsid w:val="6506448B"/>
    <w:rsid w:val="65B25CA0"/>
    <w:rsid w:val="65B55790"/>
    <w:rsid w:val="66061B48"/>
    <w:rsid w:val="668533B4"/>
    <w:rsid w:val="66ED0F5A"/>
    <w:rsid w:val="672B4A5B"/>
    <w:rsid w:val="672D4457"/>
    <w:rsid w:val="681D761D"/>
    <w:rsid w:val="68F44821"/>
    <w:rsid w:val="692C5D69"/>
    <w:rsid w:val="695D4175"/>
    <w:rsid w:val="69D02B99"/>
    <w:rsid w:val="6A08622D"/>
    <w:rsid w:val="6A244C92"/>
    <w:rsid w:val="6BF6440D"/>
    <w:rsid w:val="6C296590"/>
    <w:rsid w:val="6C494E84"/>
    <w:rsid w:val="6CF97917"/>
    <w:rsid w:val="6D07518F"/>
    <w:rsid w:val="6D922AA9"/>
    <w:rsid w:val="6D981C1F"/>
    <w:rsid w:val="6DE9021D"/>
    <w:rsid w:val="6E2C05BA"/>
    <w:rsid w:val="6F993A2D"/>
    <w:rsid w:val="6FA7614A"/>
    <w:rsid w:val="701E3F32"/>
    <w:rsid w:val="70950698"/>
    <w:rsid w:val="70B44AA8"/>
    <w:rsid w:val="71737458"/>
    <w:rsid w:val="719E532A"/>
    <w:rsid w:val="72121874"/>
    <w:rsid w:val="72185876"/>
    <w:rsid w:val="723847F1"/>
    <w:rsid w:val="73CC79FC"/>
    <w:rsid w:val="74416441"/>
    <w:rsid w:val="7521074C"/>
    <w:rsid w:val="752244C4"/>
    <w:rsid w:val="75874327"/>
    <w:rsid w:val="75E1540A"/>
    <w:rsid w:val="75E52983"/>
    <w:rsid w:val="75FB71EF"/>
    <w:rsid w:val="76992564"/>
    <w:rsid w:val="76BD26F7"/>
    <w:rsid w:val="773A3D47"/>
    <w:rsid w:val="775A6197"/>
    <w:rsid w:val="7785787E"/>
    <w:rsid w:val="78175E36"/>
    <w:rsid w:val="78BB1179"/>
    <w:rsid w:val="78BB2C66"/>
    <w:rsid w:val="79703A50"/>
    <w:rsid w:val="79BA116F"/>
    <w:rsid w:val="79BA2F1D"/>
    <w:rsid w:val="79E61F64"/>
    <w:rsid w:val="7A0917AF"/>
    <w:rsid w:val="7A1C7FC7"/>
    <w:rsid w:val="7B904B10"/>
    <w:rsid w:val="7C4116D4"/>
    <w:rsid w:val="7D342FE7"/>
    <w:rsid w:val="7E0303C7"/>
    <w:rsid w:val="7ED00AED"/>
    <w:rsid w:val="7F283B4E"/>
    <w:rsid w:val="7FDC7DA8"/>
    <w:rsid w:val="7FE0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9"/>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3">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4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5"/>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next w:val="1"/>
    <w:link w:val="33"/>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next w:val="1"/>
    <w:link w:val="30"/>
    <w:qFormat/>
    <w:uiPriority w:val="0"/>
    <w:pPr>
      <w:spacing w:line="480" w:lineRule="exact"/>
      <w:ind w:firstLine="480" w:firstLineChars="200"/>
    </w:pPr>
    <w:rPr>
      <w:rFonts w:ascii="宋体" w:hAnsi="宋体"/>
      <w:sz w:val="24"/>
    </w:rPr>
  </w:style>
  <w:style w:type="paragraph" w:styleId="8">
    <w:name w:val="toc 3"/>
    <w:basedOn w:val="1"/>
    <w:next w:val="1"/>
    <w:qFormat/>
    <w:uiPriority w:val="0"/>
    <w:pPr>
      <w:ind w:left="840" w:leftChars="400"/>
    </w:pPr>
    <w:rPr>
      <w:rFonts w:ascii="Times New Roman" w:hAnsi="Times New Roman"/>
    </w:rPr>
  </w:style>
  <w:style w:type="paragraph" w:styleId="9">
    <w:name w:val="Plain Text"/>
    <w:basedOn w:val="1"/>
    <w:link w:val="32"/>
    <w:qFormat/>
    <w:uiPriority w:val="0"/>
    <w:rPr>
      <w:rFonts w:ascii="宋体" w:hAnsi="Courier New" w:cs="Arial"/>
      <w:snapToGrid w:val="0"/>
      <w:szCs w:val="21"/>
    </w:rPr>
  </w:style>
  <w:style w:type="paragraph" w:styleId="10">
    <w:name w:val="Date"/>
    <w:basedOn w:val="1"/>
    <w:next w:val="1"/>
    <w:link w:val="31"/>
    <w:qFormat/>
    <w:uiPriority w:val="0"/>
    <w:pPr>
      <w:ind w:left="100" w:leftChars="2500"/>
    </w:pPr>
    <w:rPr>
      <w:rFonts w:ascii="宋体"/>
      <w:sz w:val="24"/>
      <w:szCs w:val="21"/>
      <w:lang w:val="zh-CN"/>
    </w:rPr>
  </w:style>
  <w:style w:type="paragraph" w:styleId="11">
    <w:name w:val="Balloon Text"/>
    <w:basedOn w:val="1"/>
    <w:link w:val="46"/>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qFormat/>
    <w:uiPriority w:val="0"/>
    <w:pPr>
      <w:ind w:left="1050"/>
      <w:jc w:val="left"/>
    </w:pPr>
    <w:rPr>
      <w:sz w:val="18"/>
      <w:szCs w:val="18"/>
    </w:rPr>
  </w:style>
  <w:style w:type="paragraph" w:styleId="15">
    <w:name w:val="Body Text Indent 3"/>
    <w:basedOn w:val="1"/>
    <w:link w:val="49"/>
    <w:qFormat/>
    <w:uiPriority w:val="0"/>
    <w:pPr>
      <w:spacing w:after="120"/>
      <w:ind w:left="420" w:leftChars="200"/>
    </w:pPr>
    <w:rPr>
      <w:rFonts w:ascii="Times New Roman" w:hAnsi="Times New Roman"/>
      <w:sz w:val="16"/>
      <w:szCs w:val="16"/>
    </w:rPr>
  </w:style>
  <w:style w:type="paragraph" w:styleId="16">
    <w:name w:val="Body Text First Indent"/>
    <w:basedOn w:val="6"/>
    <w:next w:val="14"/>
    <w:qFormat/>
    <w:uiPriority w:val="0"/>
    <w:pPr>
      <w:widowControl/>
      <w:spacing w:after="120" w:line="240" w:lineRule="auto"/>
      <w:ind w:firstLine="420" w:firstLineChars="100"/>
    </w:pPr>
    <w:rPr>
      <w:szCs w:val="20"/>
    </w:rPr>
  </w:style>
  <w:style w:type="paragraph" w:styleId="17">
    <w:name w:val="Body Text First Indent 2"/>
    <w:basedOn w:val="7"/>
    <w:link w:val="52"/>
    <w:unhideWhenUsed/>
    <w:qFormat/>
    <w:uiPriority w:val="99"/>
    <w:pPr>
      <w:spacing w:after="120" w:line="240" w:lineRule="auto"/>
      <w:ind w:left="420" w:leftChars="200" w:firstLine="420"/>
    </w:pPr>
    <w:rPr>
      <w:rFonts w:ascii="Calibri" w:hAnsi="Calibri"/>
      <w:sz w:val="21"/>
    </w:rPr>
  </w:style>
  <w:style w:type="table" w:styleId="19">
    <w:name w:val="Table Grid"/>
    <w:basedOn w:val="1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page number"/>
    <w:basedOn w:val="20"/>
    <w:qFormat/>
    <w:uiPriority w:val="0"/>
    <w:rPr>
      <w:rFonts w:ascii="Arial" w:hAnsi="Arial" w:eastAsia="黑体" w:cs="Arial"/>
      <w:snapToGrid w:val="0"/>
      <w:kern w:val="0"/>
      <w:szCs w:val="21"/>
    </w:rPr>
  </w:style>
  <w:style w:type="character" w:styleId="23">
    <w:name w:val="FollowedHyperlink"/>
    <w:basedOn w:val="20"/>
    <w:unhideWhenUsed/>
    <w:qFormat/>
    <w:uiPriority w:val="99"/>
    <w:rPr>
      <w:color w:val="800080"/>
      <w:u w:val="none"/>
    </w:rPr>
  </w:style>
  <w:style w:type="character" w:styleId="24">
    <w:name w:val="Hyperlink"/>
    <w:qFormat/>
    <w:uiPriority w:val="99"/>
    <w:rPr>
      <w:rFonts w:ascii="Arial" w:hAnsi="Arial" w:eastAsia="黑体" w:cs="Arial"/>
      <w:snapToGrid w:val="0"/>
      <w:color w:val="000000"/>
      <w:kern w:val="0"/>
      <w:sz w:val="18"/>
      <w:szCs w:val="18"/>
      <w:u w:val="none"/>
    </w:rPr>
  </w:style>
  <w:style w:type="paragraph" w:customStyle="1" w:styleId="25">
    <w:name w:val="_Style 3"/>
    <w:basedOn w:val="1"/>
    <w:qFormat/>
    <w:uiPriority w:val="1"/>
    <w:pPr>
      <w:ind w:firstLine="420" w:firstLineChars="200"/>
    </w:pPr>
    <w:rPr>
      <w:rFonts w:eastAsia="仿宋_GB2312"/>
      <w:sz w:val="28"/>
    </w:rPr>
  </w:style>
  <w:style w:type="paragraph" w:customStyle="1" w:styleId="26">
    <w:name w:val="列出段落1"/>
    <w:basedOn w:val="1"/>
    <w:unhideWhenUsed/>
    <w:qFormat/>
    <w:uiPriority w:val="99"/>
    <w:pPr>
      <w:ind w:firstLine="420" w:firstLineChars="200"/>
    </w:pPr>
  </w:style>
  <w:style w:type="character" w:customStyle="1" w:styleId="27">
    <w:name w:val="页眉 Char"/>
    <w:basedOn w:val="20"/>
    <w:link w:val="13"/>
    <w:qFormat/>
    <w:uiPriority w:val="99"/>
    <w:rPr>
      <w:sz w:val="18"/>
      <w:szCs w:val="18"/>
    </w:rPr>
  </w:style>
  <w:style w:type="character" w:customStyle="1" w:styleId="28">
    <w:name w:val="页脚 Char"/>
    <w:basedOn w:val="20"/>
    <w:link w:val="12"/>
    <w:qFormat/>
    <w:uiPriority w:val="99"/>
    <w:rPr>
      <w:sz w:val="18"/>
      <w:szCs w:val="18"/>
    </w:rPr>
  </w:style>
  <w:style w:type="character" w:customStyle="1" w:styleId="29">
    <w:name w:val="标题 2 Char"/>
    <w:basedOn w:val="20"/>
    <w:link w:val="2"/>
    <w:qFormat/>
    <w:uiPriority w:val="0"/>
    <w:rPr>
      <w:rFonts w:ascii="仿宋_GB2312" w:hAnsi="仿宋" w:eastAsia="仿宋_GB2312" w:cs="Times New Roman"/>
      <w:b/>
      <w:bCs/>
      <w:sz w:val="32"/>
      <w:szCs w:val="32"/>
      <w:lang w:val="zh-CN"/>
    </w:rPr>
  </w:style>
  <w:style w:type="character" w:customStyle="1" w:styleId="30">
    <w:name w:val="正文文本缩进 Char"/>
    <w:basedOn w:val="20"/>
    <w:link w:val="7"/>
    <w:qFormat/>
    <w:uiPriority w:val="0"/>
    <w:rPr>
      <w:rFonts w:ascii="宋体" w:hAnsi="宋体" w:eastAsia="宋体" w:cs="Times New Roman"/>
      <w:sz w:val="24"/>
      <w:szCs w:val="24"/>
    </w:rPr>
  </w:style>
  <w:style w:type="character" w:customStyle="1" w:styleId="31">
    <w:name w:val="日期 Char"/>
    <w:basedOn w:val="20"/>
    <w:link w:val="10"/>
    <w:qFormat/>
    <w:uiPriority w:val="0"/>
    <w:rPr>
      <w:rFonts w:ascii="宋体" w:hAnsi="Calibri" w:eastAsia="宋体" w:cs="Times New Roman"/>
      <w:sz w:val="24"/>
      <w:szCs w:val="21"/>
      <w:lang w:val="zh-CN"/>
    </w:rPr>
  </w:style>
  <w:style w:type="character" w:customStyle="1" w:styleId="32">
    <w:name w:val="纯文本 Char"/>
    <w:basedOn w:val="20"/>
    <w:link w:val="9"/>
    <w:qFormat/>
    <w:uiPriority w:val="0"/>
    <w:rPr>
      <w:rFonts w:ascii="宋体" w:hAnsi="Courier New" w:eastAsia="宋体" w:cs="Arial"/>
      <w:snapToGrid w:val="0"/>
      <w:szCs w:val="21"/>
    </w:rPr>
  </w:style>
  <w:style w:type="character" w:customStyle="1" w:styleId="33">
    <w:name w:val="正文文本 Char"/>
    <w:basedOn w:val="20"/>
    <w:link w:val="6"/>
    <w:qFormat/>
    <w:uiPriority w:val="0"/>
    <w:rPr>
      <w:rFonts w:ascii="宋体" w:hAnsi="Arial" w:eastAsia="宋体" w:cs="Arial"/>
      <w:snapToGrid w:val="0"/>
      <w:sz w:val="24"/>
      <w:szCs w:val="21"/>
      <w:lang w:val="zh-CN"/>
    </w:rPr>
  </w:style>
  <w:style w:type="paragraph" w:customStyle="1" w:styleId="34">
    <w:name w:val="索引 11"/>
    <w:basedOn w:val="1"/>
    <w:next w:val="1"/>
    <w:qFormat/>
    <w:uiPriority w:val="99"/>
    <w:pPr>
      <w:spacing w:line="360" w:lineRule="auto"/>
    </w:pPr>
    <w:rPr>
      <w:rFonts w:ascii="仿宋_GB2312" w:eastAsia="仿宋_GB2312"/>
      <w:sz w:val="24"/>
      <w:szCs w:val="20"/>
    </w:rPr>
  </w:style>
  <w:style w:type="paragraph" w:customStyle="1" w:styleId="3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7">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8">
    <w:name w:val="纯文本1"/>
    <w:basedOn w:val="1"/>
    <w:qFormat/>
    <w:uiPriority w:val="0"/>
    <w:rPr>
      <w:rFonts w:ascii="宋体" w:hAnsi="Courier New"/>
      <w:kern w:val="0"/>
      <w:sz w:val="20"/>
      <w:szCs w:val="20"/>
    </w:rPr>
  </w:style>
  <w:style w:type="paragraph" w:customStyle="1" w:styleId="3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纯文本_0_0"/>
    <w:basedOn w:val="39"/>
    <w:qFormat/>
    <w:uiPriority w:val="0"/>
    <w:rPr>
      <w:rFonts w:ascii="宋体" w:hAnsi="Courier New"/>
      <w:szCs w:val="21"/>
    </w:rPr>
  </w:style>
  <w:style w:type="paragraph" w:customStyle="1" w:styleId="41">
    <w:name w:val="正文2"/>
    <w:basedOn w:val="1"/>
    <w:qFormat/>
    <w:uiPriority w:val="0"/>
    <w:pPr>
      <w:spacing w:before="156" w:line="360" w:lineRule="auto"/>
      <w:ind w:firstLine="510" w:firstLineChars="200"/>
    </w:pPr>
    <w:rPr>
      <w:sz w:val="24"/>
      <w:szCs w:val="20"/>
    </w:rPr>
  </w:style>
  <w:style w:type="paragraph" w:customStyle="1" w:styleId="42">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3">
    <w:name w:val="标题 3 Char"/>
    <w:basedOn w:val="20"/>
    <w:link w:val="3"/>
    <w:semiHidden/>
    <w:qFormat/>
    <w:uiPriority w:val="9"/>
    <w:rPr>
      <w:rFonts w:ascii="Calibri" w:hAnsi="Calibri" w:eastAsia="宋体" w:cs="Times New Roman"/>
      <w:b/>
      <w:bCs/>
      <w:sz w:val="32"/>
      <w:szCs w:val="32"/>
    </w:rPr>
  </w:style>
  <w:style w:type="character" w:customStyle="1" w:styleId="44">
    <w:name w:val="标题 4 Char"/>
    <w:basedOn w:val="20"/>
    <w:link w:val="4"/>
    <w:semiHidden/>
    <w:qFormat/>
    <w:uiPriority w:val="9"/>
    <w:rPr>
      <w:rFonts w:asciiTheme="majorHAnsi" w:hAnsiTheme="majorHAnsi" w:eastAsiaTheme="majorEastAsia" w:cstheme="majorBidi"/>
      <w:b/>
      <w:bCs/>
      <w:sz w:val="28"/>
      <w:szCs w:val="28"/>
    </w:rPr>
  </w:style>
  <w:style w:type="paragraph" w:customStyle="1" w:styleId="45">
    <w:name w:val="标题4"/>
    <w:basedOn w:val="1"/>
    <w:qFormat/>
    <w:uiPriority w:val="0"/>
    <w:rPr>
      <w:rFonts w:ascii="Times New Roman" w:hAnsi="Times New Roman" w:eastAsia="仿宋_GB2312"/>
      <w:sz w:val="32"/>
      <w:szCs w:val="20"/>
    </w:rPr>
  </w:style>
  <w:style w:type="character" w:customStyle="1" w:styleId="46">
    <w:name w:val="批注框文本 Char"/>
    <w:basedOn w:val="20"/>
    <w:link w:val="11"/>
    <w:semiHidden/>
    <w:qFormat/>
    <w:uiPriority w:val="99"/>
    <w:rPr>
      <w:rFonts w:ascii="Calibri" w:hAnsi="Calibri" w:eastAsia="宋体" w:cs="Times New Roman"/>
      <w:sz w:val="18"/>
      <w:szCs w:val="18"/>
    </w:rPr>
  </w:style>
  <w:style w:type="character" w:customStyle="1" w:styleId="47">
    <w:name w:val="List Paragraph Char"/>
    <w:link w:val="48"/>
    <w:qFormat/>
    <w:locked/>
    <w:uiPriority w:val="0"/>
    <w:rPr>
      <w:rFonts w:ascii="Times New Roman" w:hAnsi="Times New Roman"/>
      <w:szCs w:val="24"/>
    </w:rPr>
  </w:style>
  <w:style w:type="paragraph" w:customStyle="1" w:styleId="48">
    <w:name w:val="列出段落11"/>
    <w:basedOn w:val="1"/>
    <w:link w:val="47"/>
    <w:qFormat/>
    <w:uiPriority w:val="0"/>
    <w:pPr>
      <w:ind w:firstLine="420" w:firstLineChars="200"/>
    </w:pPr>
    <w:rPr>
      <w:rFonts w:ascii="Times New Roman" w:hAnsi="Times New Roman" w:eastAsiaTheme="minorEastAsia" w:cstheme="minorBidi"/>
    </w:rPr>
  </w:style>
  <w:style w:type="character" w:customStyle="1" w:styleId="49">
    <w:name w:val="正文文本缩进 3 Char"/>
    <w:basedOn w:val="20"/>
    <w:link w:val="15"/>
    <w:qFormat/>
    <w:uiPriority w:val="0"/>
    <w:rPr>
      <w:rFonts w:ascii="Times New Roman" w:hAnsi="Times New Roman" w:eastAsia="宋体" w:cs="Times New Roman"/>
      <w:kern w:val="2"/>
      <w:sz w:val="16"/>
      <w:szCs w:val="16"/>
    </w:rPr>
  </w:style>
  <w:style w:type="paragraph" w:customStyle="1" w:styleId="50">
    <w:name w:val="正文空格"/>
    <w:basedOn w:val="1"/>
    <w:next w:val="1"/>
    <w:qFormat/>
    <w:uiPriority w:val="0"/>
    <w:pPr>
      <w:spacing w:line="400" w:lineRule="exact"/>
      <w:ind w:firstLine="200" w:firstLineChars="200"/>
    </w:pPr>
    <w:rPr>
      <w:sz w:val="24"/>
      <w:szCs w:val="22"/>
    </w:rPr>
  </w:style>
  <w:style w:type="paragraph" w:customStyle="1" w:styleId="51">
    <w:name w:val="列出段落2"/>
    <w:basedOn w:val="1"/>
    <w:qFormat/>
    <w:uiPriority w:val="34"/>
    <w:pPr>
      <w:ind w:firstLine="420" w:firstLineChars="200"/>
    </w:pPr>
    <w:rPr>
      <w:kern w:val="0"/>
      <w:sz w:val="20"/>
      <w:szCs w:val="20"/>
    </w:rPr>
  </w:style>
  <w:style w:type="character" w:customStyle="1" w:styleId="52">
    <w:name w:val="正文首行缩进 2 Char"/>
    <w:basedOn w:val="30"/>
    <w:link w:val="17"/>
    <w:semiHidden/>
    <w:qFormat/>
    <w:uiPriority w:val="99"/>
    <w:rPr>
      <w:rFonts w:ascii="Calibri" w:hAnsi="Calibri" w:eastAsia="宋体" w:cs="Times New Roman"/>
      <w:kern w:val="2"/>
      <w:sz w:val="21"/>
      <w:szCs w:val="24"/>
    </w:rPr>
  </w:style>
  <w:style w:type="character" w:customStyle="1" w:styleId="53">
    <w:name w:val="font31"/>
    <w:basedOn w:val="20"/>
    <w:qFormat/>
    <w:uiPriority w:val="0"/>
    <w:rPr>
      <w:rFonts w:hint="eastAsia" w:ascii="宋体" w:hAnsi="宋体" w:eastAsia="宋体" w:cs="宋体"/>
      <w:color w:val="000000"/>
      <w:sz w:val="21"/>
      <w:szCs w:val="21"/>
      <w:u w:val="none"/>
    </w:rPr>
  </w:style>
  <w:style w:type="character" w:customStyle="1" w:styleId="54">
    <w:name w:val="textcolor1"/>
    <w:basedOn w:val="20"/>
    <w:qFormat/>
    <w:uiPriority w:val="0"/>
    <w:rPr>
      <w:color w:val="FF6600"/>
    </w:rPr>
  </w:style>
  <w:style w:type="character" w:customStyle="1" w:styleId="55">
    <w:name w:val="正文缩进 Char"/>
    <w:link w:val="5"/>
    <w:qFormat/>
    <w:uiPriority w:val="99"/>
    <w:rPr>
      <w:rFonts w:ascii="宋体" w:hAnsi="Calibri"/>
      <w:snapToGrid w:val="0"/>
      <w:color w:val="000000"/>
      <w:kern w:val="28"/>
      <w:sz w:val="28"/>
    </w:rPr>
  </w:style>
  <w:style w:type="character" w:customStyle="1" w:styleId="56">
    <w:name w:val="标题 3 Char1"/>
    <w:qFormat/>
    <w:uiPriority w:val="0"/>
    <w:rPr>
      <w:rFonts w:ascii="Calibri" w:hAnsi="Calibri" w:eastAsia="宋体"/>
      <w:b/>
      <w:bCs/>
      <w:kern w:val="2"/>
      <w:sz w:val="32"/>
      <w:szCs w:val="32"/>
      <w:lang w:val="en-US" w:eastAsia="zh-CN" w:bidi="ar-SA"/>
    </w:rPr>
  </w:style>
  <w:style w:type="paragraph" w:customStyle="1" w:styleId="57">
    <w:name w:val="正文1"/>
    <w:basedOn w:val="8"/>
    <w:next w:val="1"/>
    <w:qFormat/>
    <w:uiPriority w:val="0"/>
    <w:pPr>
      <w:tabs>
        <w:tab w:val="right" w:leader="dot" w:pos="8268"/>
      </w:tabs>
      <w:adjustRightInd w:val="0"/>
      <w:spacing w:line="318" w:lineRule="atLeast"/>
      <w:ind w:left="369" w:firstLine="369"/>
      <w:textAlignment w:val="baseline"/>
    </w:pPr>
    <w:rPr>
      <w:rFonts w:ascii="宋体"/>
      <w:szCs w:val="20"/>
    </w:rPr>
  </w:style>
  <w:style w:type="paragraph" w:customStyle="1" w:styleId="58">
    <w:name w:val="纯文本_5_0"/>
    <w:basedOn w:val="59"/>
    <w:qFormat/>
    <w:uiPriority w:val="0"/>
    <w:rPr>
      <w:rFonts w:ascii="宋体" w:hAnsi="Courier New"/>
      <w:szCs w:val="20"/>
    </w:rPr>
  </w:style>
  <w:style w:type="paragraph" w:customStyle="1" w:styleId="59">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0">
    <w:name w:val="font61"/>
    <w:basedOn w:val="20"/>
    <w:qFormat/>
    <w:uiPriority w:val="0"/>
    <w:rPr>
      <w:rFonts w:hint="eastAsia" w:ascii="宋体" w:hAnsi="宋体" w:eastAsia="宋体" w:cs="宋体"/>
      <w:color w:val="000000"/>
      <w:sz w:val="18"/>
      <w:szCs w:val="18"/>
      <w:u w:val="none"/>
    </w:rPr>
  </w:style>
  <w:style w:type="character" w:customStyle="1" w:styleId="61">
    <w:name w:val="font71"/>
    <w:basedOn w:val="2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84</Pages>
  <Words>14559</Words>
  <Characters>16178</Characters>
  <Lines>353</Lines>
  <Paragraphs>99</Paragraphs>
  <TotalTime>3</TotalTime>
  <ScaleCrop>false</ScaleCrop>
  <LinksUpToDate>false</LinksUpToDate>
  <CharactersWithSpaces>16592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2022-09-28T09:25:00Z</dcterms:created>
  <dc:creator>Microsoft</dc:creator>
  <cp:lastModifiedBy>Ding.</cp:lastModifiedBy>
  <cp:lastPrinted>2024-04-19T05:09:00Z</cp:lastPrinted>
  <dcterms:modified xsi:type="dcterms:W3CDTF">2025-07-01T08:49:52Z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A12025A4C1A0495C92A5218CFCA62A79</vt:lpwstr>
  </property>
  <property fmtid="{D5CDD505-2E9C-101B-9397-08002B2CF9AE}" pid="4" name="KSOTemplateDocerSaveRecord">
    <vt:lpwstr>eyJoZGlkIjoiZmMwODAzNDczODVkMWIxYjBiYmVjNjYzMjhkNjY1MTUiLCJ1c2VySWQiOiIxMjM4ODA1NDE2In0=</vt:lpwstr>
  </property>
</Properties>
</file>