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 w:leftChars="1"/>
        <w:jc w:val="center"/>
        <w:rPr>
          <w:rFonts w:ascii="宋体" w:hAnsi="宋体" w:eastAsia="宋体" w:cs="Times New Roman"/>
          <w:b/>
          <w:color w:val="auto"/>
          <w:sz w:val="48"/>
          <w:szCs w:val="52"/>
          <w:highlight w:val="none"/>
        </w:rPr>
      </w:pPr>
      <w:r>
        <w:rPr>
          <w:rFonts w:hint="eastAsia" w:ascii="宋体" w:hAnsi="宋体" w:eastAsia="宋体" w:cs="Arial"/>
          <w:b/>
          <w:bCs/>
          <w:iCs/>
          <w:color w:val="auto"/>
          <w:sz w:val="48"/>
          <w:szCs w:val="52"/>
          <w:highlight w:val="none"/>
        </w:rPr>
        <w:t xml:space="preserve"> 上虞区梁湖街道【2021】J9号（曹村地块01-03号）地块（皂湖佳园）建设项目不锈钢管及管件采购项目</w:t>
      </w:r>
    </w:p>
    <w:p>
      <w:pPr>
        <w:spacing w:line="360" w:lineRule="auto"/>
        <w:jc w:val="center"/>
        <w:rPr>
          <w:rFonts w:ascii="宋体" w:hAnsi="宋体" w:eastAsia="宋体" w:cs="宋体"/>
          <w:b/>
          <w:bCs/>
          <w:iCs/>
          <w:color w:val="auto"/>
          <w:sz w:val="44"/>
          <w:szCs w:val="44"/>
          <w:highlight w:val="none"/>
          <w:u w:val="singl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Cs w:val="24"/>
          <w:highlight w:val="none"/>
        </w:rPr>
      </w:pPr>
    </w:p>
    <w:p>
      <w:pPr>
        <w:rPr>
          <w:rFonts w:ascii="宋体" w:hAnsi="宋体" w:eastAsia="宋体" w:cs="Times New Roman"/>
          <w:color w:val="auto"/>
          <w:szCs w:val="24"/>
          <w:highlight w:val="none"/>
        </w:rPr>
      </w:pPr>
    </w:p>
    <w:p>
      <w:pPr>
        <w:rPr>
          <w:rFonts w:ascii="宋体" w:hAnsi="宋体" w:eastAsia="宋体" w:cs="Times New Roman"/>
          <w:color w:val="auto"/>
          <w:szCs w:val="24"/>
          <w:highlight w:val="none"/>
        </w:rPr>
      </w:pPr>
    </w:p>
    <w:p>
      <w:pPr>
        <w:rPr>
          <w:rFonts w:ascii="宋体" w:hAnsi="宋体" w:eastAsia="宋体" w:cs="Times New Roman"/>
          <w:color w:val="auto"/>
          <w:szCs w:val="24"/>
          <w:highlight w:val="none"/>
        </w:rPr>
      </w:pPr>
    </w:p>
    <w:p>
      <w:pPr>
        <w:rPr>
          <w:rFonts w:ascii="宋体" w:hAnsi="宋体" w:eastAsia="宋体" w:cs="Times New Roman"/>
          <w:color w:val="auto"/>
          <w:szCs w:val="24"/>
          <w:highlight w:val="none"/>
        </w:rPr>
      </w:pPr>
    </w:p>
    <w:p>
      <w:pPr>
        <w:rPr>
          <w:rFonts w:ascii="宋体" w:hAnsi="宋体" w:eastAsia="宋体" w:cs="Times New Roman"/>
          <w:color w:val="auto"/>
          <w:szCs w:val="24"/>
          <w:highlight w:val="none"/>
        </w:rPr>
      </w:pPr>
    </w:p>
    <w:p>
      <w:pPr>
        <w:rPr>
          <w:rFonts w:ascii="宋体" w:hAnsi="宋体" w:eastAsia="宋体" w:cs="Times New Roman"/>
          <w:color w:val="auto"/>
          <w:szCs w:val="24"/>
          <w:highlight w:val="none"/>
        </w:rPr>
      </w:pPr>
    </w:p>
    <w:p>
      <w:pPr>
        <w:rPr>
          <w:rFonts w:ascii="宋体" w:hAnsi="宋体" w:eastAsia="宋体" w:cs="Times New Roman"/>
          <w:color w:val="auto"/>
          <w:szCs w:val="24"/>
          <w:highlight w:val="none"/>
        </w:rPr>
      </w:pPr>
    </w:p>
    <w:p>
      <w:pPr>
        <w:rPr>
          <w:rFonts w:ascii="宋体" w:hAnsi="宋体" w:eastAsia="宋体" w:cs="Times New Roman"/>
          <w:color w:val="auto"/>
          <w:sz w:val="18"/>
          <w:szCs w:val="24"/>
          <w:highlight w:val="none"/>
        </w:rPr>
      </w:pPr>
    </w:p>
    <w:p>
      <w:pPr>
        <w:spacing w:line="360" w:lineRule="auto"/>
        <w:jc w:val="center"/>
        <w:rPr>
          <w:rFonts w:ascii="宋体" w:hAnsi="宋体" w:eastAsia="宋体" w:cs="宋体"/>
          <w:b/>
          <w:bCs/>
          <w:color w:val="auto"/>
          <w:sz w:val="84"/>
          <w:szCs w:val="44"/>
          <w:highlight w:val="none"/>
        </w:rPr>
      </w:pPr>
      <w:r>
        <w:rPr>
          <w:rFonts w:hint="eastAsia" w:ascii="宋体" w:hAnsi="宋体" w:eastAsia="宋体" w:cs="宋体"/>
          <w:b/>
          <w:bCs/>
          <w:color w:val="auto"/>
          <w:sz w:val="84"/>
          <w:szCs w:val="44"/>
          <w:highlight w:val="none"/>
        </w:rPr>
        <w:t>询价</w:t>
      </w:r>
      <w:r>
        <w:rPr>
          <w:rFonts w:ascii="宋体" w:hAnsi="宋体" w:eastAsia="宋体" w:cs="宋体"/>
          <w:b/>
          <w:bCs/>
          <w:color w:val="auto"/>
          <w:sz w:val="84"/>
          <w:szCs w:val="44"/>
          <w:highlight w:val="none"/>
        </w:rPr>
        <w:t>文件</w:t>
      </w:r>
    </w:p>
    <w:p>
      <w:pPr>
        <w:rPr>
          <w:rFonts w:ascii="宋体" w:hAnsi="宋体" w:eastAsia="宋体" w:cs="Times New Roman"/>
          <w:color w:val="auto"/>
          <w:sz w:val="18"/>
          <w:szCs w:val="24"/>
          <w:highlight w:val="none"/>
        </w:rPr>
      </w:pPr>
    </w:p>
    <w:p>
      <w:pPr>
        <w:snapToGrid w:val="0"/>
        <w:spacing w:line="360" w:lineRule="auto"/>
        <w:jc w:val="center"/>
        <w:rPr>
          <w:rFonts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招标编号：</w:t>
      </w:r>
      <w:r>
        <w:rPr>
          <w:rFonts w:hint="eastAsia" w:ascii="宋体" w:hAnsi="宋体" w:eastAsia="宋体" w:cs="宋体"/>
          <w:color w:val="auto"/>
          <w:sz w:val="30"/>
          <w:szCs w:val="30"/>
          <w:highlight w:val="none"/>
          <w:u w:val="single"/>
        </w:rPr>
        <w:t xml:space="preserve">ZJZL2025044 </w:t>
      </w:r>
    </w:p>
    <w:p>
      <w:pPr>
        <w:spacing w:line="360" w:lineRule="auto"/>
        <w:ind w:firstLine="321"/>
        <w:rPr>
          <w:rFonts w:ascii="宋体" w:hAnsi="宋体" w:eastAsia="宋体" w:cs="宋体"/>
          <w:b/>
          <w:bCs/>
          <w:color w:val="auto"/>
          <w:sz w:val="32"/>
          <w:szCs w:val="44"/>
          <w:highlight w:val="none"/>
        </w:rPr>
      </w:pPr>
    </w:p>
    <w:p>
      <w:pPr>
        <w:spacing w:line="360" w:lineRule="auto"/>
        <w:ind w:firstLine="321"/>
        <w:rPr>
          <w:rFonts w:ascii="宋体" w:hAnsi="宋体" w:eastAsia="宋体" w:cs="宋体"/>
          <w:b/>
          <w:bCs/>
          <w:color w:val="auto"/>
          <w:sz w:val="32"/>
          <w:szCs w:val="4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Cs w:val="24"/>
          <w:highlight w:val="none"/>
        </w:rPr>
      </w:pPr>
    </w:p>
    <w:p>
      <w:pPr>
        <w:rPr>
          <w:rFonts w:ascii="宋体" w:hAnsi="宋体" w:eastAsia="宋体" w:cs="Times New Roman"/>
          <w:color w:val="auto"/>
          <w:szCs w:val="24"/>
          <w:highlight w:val="none"/>
        </w:rPr>
      </w:pPr>
    </w:p>
    <w:p>
      <w:pPr>
        <w:rPr>
          <w:rFonts w:ascii="宋体" w:hAnsi="宋体" w:eastAsia="宋体" w:cs="Times New Roman"/>
          <w:color w:val="auto"/>
          <w:szCs w:val="24"/>
          <w:highlight w:val="none"/>
        </w:rPr>
      </w:pPr>
    </w:p>
    <w:p>
      <w:pPr>
        <w:rPr>
          <w:rFonts w:ascii="宋体" w:hAnsi="宋体" w:eastAsia="宋体" w:cs="Times New Roman"/>
          <w:color w:val="auto"/>
          <w:szCs w:val="24"/>
          <w:highlight w:val="none"/>
        </w:rPr>
      </w:pPr>
    </w:p>
    <w:p>
      <w:pPr>
        <w:rPr>
          <w:rFonts w:ascii="宋体" w:hAnsi="宋体" w:eastAsia="宋体" w:cs="Times New Roman"/>
          <w:color w:val="auto"/>
          <w:szCs w:val="24"/>
          <w:highlight w:val="none"/>
        </w:rPr>
      </w:pPr>
    </w:p>
    <w:p>
      <w:pPr>
        <w:rPr>
          <w:rFonts w:ascii="宋体" w:hAnsi="宋体" w:eastAsia="宋体" w:cs="Times New Roman"/>
          <w:color w:val="auto"/>
          <w:sz w:val="18"/>
          <w:szCs w:val="24"/>
          <w:highlight w:val="none"/>
        </w:rPr>
      </w:pPr>
    </w:p>
    <w:p>
      <w:pPr>
        <w:spacing w:line="360" w:lineRule="auto"/>
        <w:ind w:firstLine="320"/>
        <w:jc w:val="center"/>
        <w:rPr>
          <w:rFonts w:ascii="宋体" w:hAnsi="宋体" w:eastAsia="宋体" w:cs="Arial"/>
          <w:bCs/>
          <w:iCs/>
          <w:color w:val="auto"/>
          <w:sz w:val="32"/>
          <w:szCs w:val="32"/>
          <w:highlight w:val="none"/>
        </w:rPr>
      </w:pPr>
      <w:r>
        <w:rPr>
          <w:rFonts w:hint="eastAsia" w:ascii="宋体" w:hAnsi="宋体" w:eastAsia="宋体" w:cs="宋体"/>
          <w:color w:val="auto"/>
          <w:sz w:val="30"/>
          <w:szCs w:val="24"/>
          <w:highlight w:val="none"/>
        </w:rPr>
        <w:t>采购人：</w:t>
      </w:r>
      <w:r>
        <w:rPr>
          <w:rFonts w:hint="eastAsia" w:ascii="宋体" w:hAnsi="宋体" w:eastAsia="宋体" w:cs="Arial"/>
          <w:bCs/>
          <w:iCs/>
          <w:color w:val="auto"/>
          <w:sz w:val="32"/>
          <w:szCs w:val="32"/>
          <w:highlight w:val="none"/>
        </w:rPr>
        <w:t>绍兴市上虞区水务物资贸易有限公司</w:t>
      </w:r>
    </w:p>
    <w:p>
      <w:pPr>
        <w:jc w:val="center"/>
        <w:rPr>
          <w:rFonts w:ascii="宋体" w:hAnsi="宋体" w:eastAsia="宋体" w:cs="Arial"/>
          <w:bCs/>
          <w:iCs/>
          <w:color w:val="auto"/>
          <w:sz w:val="32"/>
          <w:szCs w:val="32"/>
          <w:highlight w:val="none"/>
        </w:rPr>
      </w:pPr>
      <w:r>
        <w:rPr>
          <w:rFonts w:hint="eastAsia" w:ascii="宋体" w:hAnsi="宋体" w:eastAsia="宋体" w:cs="宋体"/>
          <w:color w:val="auto"/>
          <w:sz w:val="30"/>
          <w:szCs w:val="24"/>
          <w:highlight w:val="none"/>
        </w:rPr>
        <w:t>采购代理机构：</w:t>
      </w:r>
      <w:r>
        <w:rPr>
          <w:rFonts w:hint="eastAsia" w:ascii="宋体" w:hAnsi="宋体" w:eastAsia="宋体" w:cs="Arial"/>
          <w:bCs/>
          <w:iCs/>
          <w:color w:val="auto"/>
          <w:sz w:val="32"/>
          <w:szCs w:val="32"/>
          <w:highlight w:val="none"/>
        </w:rPr>
        <w:t>浙江筑脸全过程工程咨询有限公司</w:t>
      </w:r>
    </w:p>
    <w:p>
      <w:pPr>
        <w:jc w:val="center"/>
        <w:rPr>
          <w:rFonts w:ascii="宋体" w:hAnsi="宋体" w:eastAsia="宋体" w:cs="Arial"/>
          <w:bCs/>
          <w:iCs/>
          <w:color w:val="auto"/>
          <w:sz w:val="32"/>
          <w:szCs w:val="32"/>
          <w:highlight w:val="none"/>
        </w:rPr>
      </w:pPr>
    </w:p>
    <w:p>
      <w:pPr>
        <w:jc w:val="center"/>
        <w:rPr>
          <w:rFonts w:ascii="宋体" w:hAnsi="宋体" w:eastAsia="宋体" w:cs="Arial"/>
          <w:bCs/>
          <w:iCs/>
          <w:color w:val="auto"/>
          <w:sz w:val="32"/>
          <w:szCs w:val="32"/>
          <w:highlight w:val="none"/>
        </w:rPr>
      </w:pPr>
    </w:p>
    <w:p>
      <w:pPr>
        <w:spacing w:line="360" w:lineRule="auto"/>
        <w:jc w:val="center"/>
        <w:rPr>
          <w:rFonts w:ascii="宋体" w:hAnsi="宋体" w:eastAsia="宋体" w:cs="Times New Roman"/>
          <w:b/>
          <w:color w:val="auto"/>
          <w:sz w:val="44"/>
          <w:szCs w:val="44"/>
          <w:highlight w:val="none"/>
          <w:lang w:val="zh-CN"/>
        </w:rPr>
      </w:pPr>
      <w:r>
        <w:rPr>
          <w:rFonts w:ascii="宋体" w:hAnsi="宋体" w:eastAsia="宋体" w:cs="Times New Roman"/>
          <w:b/>
          <w:color w:val="auto"/>
          <w:sz w:val="44"/>
          <w:szCs w:val="44"/>
          <w:highlight w:val="none"/>
          <w:lang w:val="zh-CN"/>
        </w:rPr>
        <w:t>目</w:t>
      </w:r>
      <w:r>
        <w:rPr>
          <w:rFonts w:hint="eastAsia" w:ascii="宋体" w:hAnsi="宋体" w:eastAsia="宋体" w:cs="Times New Roman"/>
          <w:b/>
          <w:color w:val="auto"/>
          <w:sz w:val="44"/>
          <w:szCs w:val="44"/>
          <w:highlight w:val="none"/>
          <w:lang w:val="zh-CN"/>
        </w:rPr>
        <w:t xml:space="preserve"> </w:t>
      </w:r>
      <w:r>
        <w:rPr>
          <w:rFonts w:ascii="宋体" w:hAnsi="宋体" w:eastAsia="宋体" w:cs="Times New Roman"/>
          <w:b/>
          <w:color w:val="auto"/>
          <w:sz w:val="44"/>
          <w:szCs w:val="44"/>
          <w:highlight w:val="none"/>
          <w:lang w:val="zh-CN"/>
        </w:rPr>
        <w:t>录</w:t>
      </w:r>
    </w:p>
    <w:p>
      <w:pPr>
        <w:spacing w:line="360" w:lineRule="auto"/>
        <w:rPr>
          <w:rFonts w:ascii="宋体" w:hAnsi="宋体" w:eastAsia="宋体" w:cs="Times New Roman"/>
          <w:color w:val="auto"/>
          <w:sz w:val="24"/>
          <w:szCs w:val="24"/>
          <w:highlight w:val="none"/>
          <w:lang w:val="zh-CN"/>
        </w:rPr>
      </w:pPr>
    </w:p>
    <w:p>
      <w:pPr>
        <w:pStyle w:val="6"/>
        <w:tabs>
          <w:tab w:val="right" w:leader="dot" w:pos="9060"/>
        </w:tabs>
        <w:spacing w:line="360" w:lineRule="auto"/>
        <w:rPr>
          <w:color w:val="auto"/>
          <w:sz w:val="28"/>
          <w:szCs w:val="28"/>
          <w:highlight w:val="none"/>
        </w:rPr>
      </w:pPr>
      <w:r>
        <w:rPr>
          <w:rFonts w:ascii="宋体" w:hAnsi="宋体" w:eastAsia="宋体" w:cs="Times New Roman"/>
          <w:color w:val="auto"/>
          <w:sz w:val="28"/>
          <w:szCs w:val="28"/>
          <w:highlight w:val="none"/>
        </w:rPr>
        <w:fldChar w:fldCharType="begin"/>
      </w:r>
      <w:r>
        <w:rPr>
          <w:rFonts w:ascii="宋体" w:hAnsi="宋体" w:eastAsia="宋体" w:cs="Times New Roman"/>
          <w:color w:val="auto"/>
          <w:sz w:val="28"/>
          <w:szCs w:val="28"/>
          <w:highlight w:val="none"/>
        </w:rPr>
        <w:instrText xml:space="preserve"> TOC \o "1-3" \h \z \u </w:instrText>
      </w:r>
      <w:r>
        <w:rPr>
          <w:rFonts w:ascii="宋体" w:hAnsi="宋体" w:eastAsia="宋体" w:cs="Times New Roman"/>
          <w:color w:val="auto"/>
          <w:sz w:val="28"/>
          <w:szCs w:val="28"/>
          <w:highlight w:val="none"/>
        </w:rPr>
        <w:fldChar w:fldCharType="separate"/>
      </w:r>
      <w:r>
        <w:rPr>
          <w:color w:val="auto"/>
          <w:highlight w:val="none"/>
        </w:rPr>
        <w:fldChar w:fldCharType="begin"/>
      </w:r>
      <w:r>
        <w:rPr>
          <w:color w:val="auto"/>
          <w:highlight w:val="none"/>
        </w:rPr>
        <w:instrText xml:space="preserve"> HYPERLINK \l "_Toc203130181" </w:instrText>
      </w:r>
      <w:r>
        <w:rPr>
          <w:color w:val="auto"/>
          <w:highlight w:val="none"/>
        </w:rPr>
        <w:fldChar w:fldCharType="separate"/>
      </w:r>
      <w:r>
        <w:rPr>
          <w:rStyle w:val="9"/>
          <w:rFonts w:hint="eastAsia" w:ascii="宋体" w:hAnsi="宋体" w:eastAsia="宋体" w:cs="Times New Roman"/>
          <w:bCs/>
          <w:color w:val="auto"/>
          <w:kern w:val="44"/>
          <w:sz w:val="28"/>
          <w:szCs w:val="28"/>
          <w:highlight w:val="none"/>
        </w:rPr>
        <w:t>第一部分</w:t>
      </w:r>
      <w:r>
        <w:rPr>
          <w:rStyle w:val="9"/>
          <w:rFonts w:ascii="宋体" w:hAnsi="宋体" w:eastAsia="宋体" w:cs="Times New Roman"/>
          <w:bCs/>
          <w:color w:val="auto"/>
          <w:kern w:val="44"/>
          <w:sz w:val="28"/>
          <w:szCs w:val="28"/>
          <w:highlight w:val="none"/>
        </w:rPr>
        <w:t xml:space="preserve"> </w:t>
      </w:r>
      <w:r>
        <w:rPr>
          <w:rStyle w:val="9"/>
          <w:rFonts w:hint="eastAsia" w:ascii="宋体" w:hAnsi="宋体" w:eastAsia="宋体" w:cs="黑体"/>
          <w:bCs/>
          <w:color w:val="auto"/>
          <w:kern w:val="44"/>
          <w:sz w:val="28"/>
          <w:szCs w:val="28"/>
          <w:highlight w:val="none"/>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_Toc203130181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pPr>
        <w:pStyle w:val="7"/>
        <w:tabs>
          <w:tab w:val="right" w:leader="dot" w:pos="9060"/>
        </w:tabs>
        <w:spacing w:line="360" w:lineRule="auto"/>
        <w:ind w:left="0" w:leftChars="0"/>
        <w:rPr>
          <w:color w:val="auto"/>
          <w:sz w:val="28"/>
          <w:szCs w:val="28"/>
          <w:highlight w:val="none"/>
        </w:rPr>
      </w:pPr>
      <w:r>
        <w:rPr>
          <w:color w:val="auto"/>
          <w:highlight w:val="none"/>
        </w:rPr>
        <w:fldChar w:fldCharType="begin"/>
      </w:r>
      <w:r>
        <w:rPr>
          <w:color w:val="auto"/>
          <w:highlight w:val="none"/>
        </w:rPr>
        <w:instrText xml:space="preserve"> HYPERLINK \l "_Toc203130182" </w:instrText>
      </w:r>
      <w:r>
        <w:rPr>
          <w:color w:val="auto"/>
          <w:highlight w:val="none"/>
        </w:rPr>
        <w:fldChar w:fldCharType="separate"/>
      </w:r>
      <w:r>
        <w:rPr>
          <w:rStyle w:val="9"/>
          <w:rFonts w:hint="eastAsia" w:ascii="宋体" w:hAnsi="宋体" w:eastAsia="宋体" w:cs="Times New Roman"/>
          <w:bCs/>
          <w:color w:val="auto"/>
          <w:sz w:val="28"/>
          <w:szCs w:val="28"/>
          <w:highlight w:val="none"/>
        </w:rPr>
        <w:t>第二部分</w:t>
      </w:r>
      <w:r>
        <w:rPr>
          <w:rStyle w:val="9"/>
          <w:rFonts w:ascii="宋体" w:hAnsi="宋体" w:eastAsia="宋体" w:cs="Times New Roman"/>
          <w:bCs/>
          <w:color w:val="auto"/>
          <w:sz w:val="28"/>
          <w:szCs w:val="28"/>
          <w:highlight w:val="none"/>
        </w:rPr>
        <w:t xml:space="preserve"> </w:t>
      </w:r>
      <w:r>
        <w:rPr>
          <w:rStyle w:val="9"/>
          <w:rFonts w:hint="eastAsia" w:ascii="宋体" w:hAnsi="宋体" w:eastAsia="宋体" w:cs="Times New Roman"/>
          <w:bCs/>
          <w:color w:val="auto"/>
          <w:sz w:val="28"/>
          <w:szCs w:val="28"/>
          <w:highlight w:val="none"/>
        </w:rPr>
        <w:t>投标须知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_Toc203130182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color w:val="auto"/>
          <w:sz w:val="28"/>
          <w:szCs w:val="28"/>
          <w:highlight w:val="none"/>
        </w:rPr>
        <w:fldChar w:fldCharType="end"/>
      </w:r>
    </w:p>
    <w:p>
      <w:pPr>
        <w:pStyle w:val="6"/>
        <w:tabs>
          <w:tab w:val="right" w:leader="dot" w:pos="9060"/>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"_Toc203130190" </w:instrText>
      </w:r>
      <w:r>
        <w:rPr>
          <w:color w:val="auto"/>
          <w:highlight w:val="none"/>
        </w:rPr>
        <w:fldChar w:fldCharType="separate"/>
      </w:r>
      <w:r>
        <w:rPr>
          <w:rStyle w:val="9"/>
          <w:rFonts w:hint="eastAsia" w:ascii="宋体" w:hAnsi="宋体" w:eastAsia="宋体" w:cs="宋体"/>
          <w:bCs/>
          <w:color w:val="auto"/>
          <w:kern w:val="44"/>
          <w:sz w:val="28"/>
          <w:szCs w:val="28"/>
          <w:highlight w:val="none"/>
        </w:rPr>
        <w:t>第三部分</w:t>
      </w:r>
      <w:r>
        <w:rPr>
          <w:rStyle w:val="9"/>
          <w:rFonts w:ascii="宋体" w:hAnsi="宋体" w:eastAsia="宋体" w:cs="宋体"/>
          <w:bCs/>
          <w:color w:val="auto"/>
          <w:kern w:val="44"/>
          <w:sz w:val="28"/>
          <w:szCs w:val="28"/>
          <w:highlight w:val="none"/>
        </w:rPr>
        <w:t xml:space="preserve"> </w:t>
      </w:r>
      <w:r>
        <w:rPr>
          <w:rStyle w:val="9"/>
          <w:rFonts w:hint="eastAsia" w:ascii="宋体" w:hAnsi="宋体" w:eastAsia="宋体" w:cs="宋体"/>
          <w:bCs/>
          <w:color w:val="auto"/>
          <w:kern w:val="44"/>
          <w:sz w:val="28"/>
          <w:szCs w:val="28"/>
          <w:highlight w:val="none"/>
        </w:rPr>
        <w:t>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_Toc203130190 \h </w:instrText>
      </w:r>
      <w:r>
        <w:rPr>
          <w:color w:val="auto"/>
          <w:sz w:val="28"/>
          <w:szCs w:val="28"/>
          <w:highlight w:val="none"/>
        </w:rPr>
        <w:fldChar w:fldCharType="separate"/>
      </w:r>
      <w:r>
        <w:rPr>
          <w:color w:val="auto"/>
          <w:sz w:val="28"/>
          <w:szCs w:val="28"/>
          <w:highlight w:val="none"/>
        </w:rPr>
        <w:t>16</w:t>
      </w:r>
      <w:r>
        <w:rPr>
          <w:color w:val="auto"/>
          <w:sz w:val="28"/>
          <w:szCs w:val="28"/>
          <w:highlight w:val="none"/>
        </w:rPr>
        <w:fldChar w:fldCharType="end"/>
      </w:r>
      <w:r>
        <w:rPr>
          <w:color w:val="auto"/>
          <w:sz w:val="28"/>
          <w:szCs w:val="28"/>
          <w:highlight w:val="none"/>
        </w:rPr>
        <w:fldChar w:fldCharType="end"/>
      </w:r>
    </w:p>
    <w:p>
      <w:pPr>
        <w:pStyle w:val="6"/>
        <w:tabs>
          <w:tab w:val="right" w:leader="dot" w:pos="9060"/>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"_Toc203130192" </w:instrText>
      </w:r>
      <w:r>
        <w:rPr>
          <w:color w:val="auto"/>
          <w:highlight w:val="none"/>
        </w:rPr>
        <w:fldChar w:fldCharType="separate"/>
      </w:r>
      <w:r>
        <w:rPr>
          <w:rStyle w:val="9"/>
          <w:rFonts w:hint="eastAsia" w:ascii="宋体" w:hAnsi="宋体" w:eastAsia="宋体" w:cs="宋体"/>
          <w:bCs/>
          <w:color w:val="auto"/>
          <w:kern w:val="44"/>
          <w:sz w:val="28"/>
          <w:szCs w:val="28"/>
          <w:highlight w:val="none"/>
        </w:rPr>
        <w:t>第四部分 询价细则及询价方法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_Toc203130192 \h </w:instrText>
      </w:r>
      <w:r>
        <w:rPr>
          <w:color w:val="auto"/>
          <w:sz w:val="28"/>
          <w:szCs w:val="28"/>
          <w:highlight w:val="none"/>
        </w:rPr>
        <w:fldChar w:fldCharType="separate"/>
      </w:r>
      <w:r>
        <w:rPr>
          <w:color w:val="auto"/>
          <w:sz w:val="28"/>
          <w:szCs w:val="28"/>
          <w:highlight w:val="none"/>
        </w:rPr>
        <w:t>25</w:t>
      </w:r>
      <w:r>
        <w:rPr>
          <w:color w:val="auto"/>
          <w:sz w:val="28"/>
          <w:szCs w:val="28"/>
          <w:highlight w:val="none"/>
        </w:rPr>
        <w:fldChar w:fldCharType="end"/>
      </w:r>
      <w:r>
        <w:rPr>
          <w:color w:val="auto"/>
          <w:sz w:val="28"/>
          <w:szCs w:val="28"/>
          <w:highlight w:val="none"/>
        </w:rPr>
        <w:fldChar w:fldCharType="end"/>
      </w:r>
    </w:p>
    <w:p>
      <w:pPr>
        <w:pStyle w:val="6"/>
        <w:tabs>
          <w:tab w:val="right" w:leader="dot" w:pos="9060"/>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"_Toc203130197" </w:instrText>
      </w:r>
      <w:r>
        <w:rPr>
          <w:color w:val="auto"/>
          <w:highlight w:val="none"/>
        </w:rPr>
        <w:fldChar w:fldCharType="separate"/>
      </w:r>
      <w:r>
        <w:rPr>
          <w:rStyle w:val="9"/>
          <w:rFonts w:hint="eastAsia" w:ascii="宋体" w:hAnsi="宋体" w:eastAsia="宋体" w:cs="宋体"/>
          <w:bCs/>
          <w:color w:val="auto"/>
          <w:kern w:val="44"/>
          <w:sz w:val="28"/>
          <w:szCs w:val="28"/>
          <w:highlight w:val="none"/>
        </w:rPr>
        <w:t>第五部分 采购合同</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_Toc203130197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color w:val="auto"/>
          <w:sz w:val="28"/>
          <w:szCs w:val="28"/>
          <w:highlight w:val="none"/>
        </w:rPr>
        <w:fldChar w:fldCharType="end"/>
      </w:r>
    </w:p>
    <w:p>
      <w:pPr>
        <w:pStyle w:val="6"/>
        <w:tabs>
          <w:tab w:val="right" w:leader="dot" w:pos="9060"/>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"_Toc203130198" </w:instrText>
      </w:r>
      <w:r>
        <w:rPr>
          <w:color w:val="auto"/>
          <w:highlight w:val="none"/>
        </w:rPr>
        <w:fldChar w:fldCharType="separate"/>
      </w:r>
      <w:r>
        <w:rPr>
          <w:rStyle w:val="9"/>
          <w:rFonts w:hint="eastAsia" w:ascii="宋体" w:hAnsi="宋体" w:eastAsia="宋体" w:cs="宋体"/>
          <w:color w:val="auto"/>
          <w:sz w:val="28"/>
          <w:szCs w:val="28"/>
          <w:highlight w:val="none"/>
        </w:rPr>
        <w:t>第六部分</w:t>
      </w:r>
      <w:r>
        <w:rPr>
          <w:rStyle w:val="9"/>
          <w:rFonts w:ascii="宋体" w:hAnsi="宋体" w:eastAsia="宋体" w:cs="宋体"/>
          <w:color w:val="auto"/>
          <w:sz w:val="28"/>
          <w:szCs w:val="28"/>
          <w:highlight w:val="none"/>
        </w:rPr>
        <w:t xml:space="preserve"> </w:t>
      </w:r>
      <w:r>
        <w:rPr>
          <w:rStyle w:val="9"/>
          <w:rFonts w:hint="eastAsia" w:ascii="宋体" w:hAnsi="宋体" w:eastAsia="宋体" w:cs="宋体"/>
          <w:color w:val="auto"/>
          <w:sz w:val="28"/>
          <w:szCs w:val="28"/>
          <w:highlight w:val="none"/>
        </w:rPr>
        <w:t>应提交的有关格式范例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_Toc203130198 \h </w:instrText>
      </w:r>
      <w:r>
        <w:rPr>
          <w:color w:val="auto"/>
          <w:sz w:val="28"/>
          <w:szCs w:val="28"/>
          <w:highlight w:val="none"/>
        </w:rPr>
        <w:fldChar w:fldCharType="separate"/>
      </w:r>
      <w:r>
        <w:rPr>
          <w:color w:val="auto"/>
          <w:sz w:val="28"/>
          <w:szCs w:val="28"/>
          <w:highlight w:val="none"/>
        </w:rPr>
        <w:t>35</w:t>
      </w:r>
      <w:r>
        <w:rPr>
          <w:color w:val="auto"/>
          <w:sz w:val="28"/>
          <w:szCs w:val="28"/>
          <w:highlight w:val="none"/>
        </w:rPr>
        <w:fldChar w:fldCharType="end"/>
      </w:r>
      <w:r>
        <w:rPr>
          <w:color w:val="auto"/>
          <w:sz w:val="28"/>
          <w:szCs w:val="28"/>
          <w:highlight w:val="none"/>
        </w:rPr>
        <w:fldChar w:fldCharType="end"/>
      </w:r>
    </w:p>
    <w:p>
      <w:pPr>
        <w:spacing w:line="360" w:lineRule="auto"/>
        <w:jc w:val="center"/>
        <w:rPr>
          <w:rFonts w:ascii="宋体" w:hAnsi="宋体" w:eastAsia="宋体" w:cs="Arial"/>
          <w:bCs/>
          <w:iCs/>
          <w:color w:val="auto"/>
          <w:sz w:val="28"/>
          <w:szCs w:val="28"/>
          <w:highlight w:val="none"/>
        </w:rPr>
      </w:pPr>
      <w:r>
        <w:rPr>
          <w:rFonts w:ascii="宋体" w:hAnsi="宋体" w:eastAsia="宋体" w:cs="Times New Roman"/>
          <w:color w:val="auto"/>
          <w:sz w:val="28"/>
          <w:szCs w:val="28"/>
          <w:highlight w:val="none"/>
        </w:rPr>
        <w:fldChar w:fldCharType="end"/>
      </w:r>
    </w:p>
    <w:p>
      <w:pPr>
        <w:jc w:val="center"/>
        <w:rPr>
          <w:color w:val="auto"/>
          <w:sz w:val="28"/>
          <w:szCs w:val="28"/>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keepNext/>
        <w:keepLines/>
        <w:spacing w:before="340" w:after="330" w:line="360" w:lineRule="auto"/>
        <w:jc w:val="center"/>
        <w:outlineLvl w:val="0"/>
        <w:rPr>
          <w:rFonts w:ascii="宋体" w:hAnsi="宋体" w:eastAsia="宋体" w:cs="Times New Roman"/>
          <w:b/>
          <w:bCs/>
          <w:color w:val="auto"/>
          <w:kern w:val="44"/>
          <w:sz w:val="44"/>
          <w:szCs w:val="44"/>
          <w:highlight w:val="none"/>
        </w:rPr>
      </w:pPr>
      <w:bookmarkStart w:id="0" w:name="_Toc203130181"/>
      <w:bookmarkStart w:id="1" w:name="_Toc78793962"/>
      <w:r>
        <w:rPr>
          <w:rFonts w:hint="eastAsia" w:ascii="宋体" w:hAnsi="宋体" w:eastAsia="宋体" w:cs="Times New Roman"/>
          <w:b/>
          <w:bCs/>
          <w:color w:val="auto"/>
          <w:kern w:val="44"/>
          <w:sz w:val="32"/>
          <w:szCs w:val="44"/>
          <w:highlight w:val="none"/>
        </w:rPr>
        <w:t xml:space="preserve">第一部分 </w:t>
      </w:r>
      <w:r>
        <w:rPr>
          <w:rFonts w:ascii="宋体" w:hAnsi="宋体" w:eastAsia="宋体" w:cs="黑体"/>
          <w:b/>
          <w:bCs/>
          <w:color w:val="auto"/>
          <w:kern w:val="44"/>
          <w:sz w:val="32"/>
          <w:szCs w:val="44"/>
          <w:highlight w:val="none"/>
        </w:rPr>
        <w:t>招标公告</w:t>
      </w:r>
      <w:bookmarkEnd w:id="0"/>
      <w:bookmarkEnd w:id="1"/>
    </w:p>
    <w:p>
      <w:pPr>
        <w:spacing w:line="440" w:lineRule="exact"/>
        <w:jc w:val="center"/>
        <w:rPr>
          <w:rFonts w:ascii="宋体" w:hAnsi="宋体" w:eastAsia="宋体" w:cs="Times New Roman"/>
          <w:b/>
          <w:color w:val="auto"/>
          <w:sz w:val="28"/>
          <w:szCs w:val="28"/>
          <w:highlight w:val="none"/>
        </w:rPr>
      </w:pPr>
      <w:bookmarkStart w:id="2" w:name="_Toc78793963"/>
      <w:bookmarkStart w:id="3" w:name="_Toc78794007"/>
      <w:bookmarkStart w:id="4" w:name="_Toc86067707"/>
      <w:bookmarkStart w:id="5" w:name="_Toc79569838"/>
      <w:bookmarkStart w:id="6" w:name="_Toc78793421"/>
      <w:bookmarkStart w:id="7" w:name="_Toc78623478"/>
      <w:bookmarkStart w:id="8" w:name="_Toc85732413"/>
      <w:bookmarkStart w:id="9" w:name="_Toc108015171"/>
      <w:bookmarkStart w:id="10" w:name="_Toc78623540"/>
      <w:bookmarkStart w:id="11" w:name="_Toc81917308"/>
      <w:bookmarkStart w:id="12" w:name="_Toc81917132"/>
      <w:r>
        <w:rPr>
          <w:rFonts w:hint="eastAsia" w:ascii="宋体" w:hAnsi="宋体" w:eastAsia="宋体" w:cs="Times New Roman"/>
          <w:b/>
          <w:color w:val="auto"/>
          <w:sz w:val="28"/>
          <w:szCs w:val="28"/>
          <w:highlight w:val="none"/>
        </w:rPr>
        <w:t>浙江筑脸全过程工程咨询有限公司关于绍兴市上虞区水务物资贸易有限公司上虞区梁湖街道【2021】J9号（曹村地块01-03号）地块（皂湖佳园）建设项目不锈钢管及管件采购项目的非政府采购招标公告</w:t>
      </w:r>
      <w:bookmarkEnd w:id="2"/>
      <w:bookmarkEnd w:id="3"/>
      <w:bookmarkEnd w:id="4"/>
      <w:bookmarkEnd w:id="5"/>
      <w:bookmarkEnd w:id="6"/>
      <w:bookmarkEnd w:id="7"/>
      <w:bookmarkEnd w:id="8"/>
      <w:bookmarkEnd w:id="9"/>
      <w:bookmarkEnd w:id="10"/>
      <w:bookmarkEnd w:id="11"/>
      <w:bookmarkEnd w:id="12"/>
    </w:p>
    <w:p>
      <w:pPr>
        <w:spacing w:line="440" w:lineRule="exact"/>
        <w:jc w:val="center"/>
        <w:rPr>
          <w:rFonts w:ascii="宋体" w:hAnsi="宋体" w:eastAsia="宋体" w:cs="Songti SC"/>
          <w:color w:val="auto"/>
          <w:sz w:val="24"/>
          <w:szCs w:val="24"/>
          <w:highlight w:val="none"/>
        </w:rPr>
      </w:pPr>
      <w:r>
        <w:rPr>
          <w:rFonts w:hint="eastAsia" w:ascii="宋体" w:hAnsi="宋体" w:eastAsia="宋体" w:cs="Songti SC"/>
          <w:color w:val="auto"/>
          <w:sz w:val="24"/>
          <w:szCs w:val="24"/>
          <w:highlight w:val="none"/>
        </w:rPr>
        <w:t>公告日期：2025年</w:t>
      </w:r>
      <w:r>
        <w:rPr>
          <w:rFonts w:hint="eastAsia" w:ascii="宋体" w:hAnsi="宋体" w:eastAsia="宋体" w:cs="Songti SC"/>
          <w:color w:val="auto"/>
          <w:sz w:val="24"/>
          <w:szCs w:val="24"/>
          <w:highlight w:val="none"/>
          <w:lang w:val="en-US" w:eastAsia="zh-CN"/>
        </w:rPr>
        <w:t>7</w:t>
      </w:r>
      <w:r>
        <w:rPr>
          <w:rFonts w:hint="eastAsia" w:ascii="宋体" w:hAnsi="宋体" w:eastAsia="宋体" w:cs="Songti SC"/>
          <w:color w:val="auto"/>
          <w:sz w:val="24"/>
          <w:szCs w:val="24"/>
          <w:highlight w:val="none"/>
        </w:rPr>
        <w:t>月</w:t>
      </w:r>
      <w:r>
        <w:rPr>
          <w:rFonts w:hint="eastAsia" w:ascii="宋体" w:hAnsi="宋体" w:eastAsia="宋体" w:cs="Songti SC"/>
          <w:color w:val="auto"/>
          <w:sz w:val="24"/>
          <w:szCs w:val="24"/>
          <w:highlight w:val="none"/>
          <w:lang w:val="en-US" w:eastAsia="zh-CN"/>
        </w:rPr>
        <w:t>16</w:t>
      </w:r>
      <w:r>
        <w:rPr>
          <w:rFonts w:hint="eastAsia" w:ascii="宋体" w:hAnsi="宋体" w:eastAsia="宋体" w:cs="Songti SC"/>
          <w:color w:val="auto"/>
          <w:sz w:val="24"/>
          <w:szCs w:val="24"/>
          <w:highlight w:val="none"/>
        </w:rPr>
        <w:t xml:space="preserve"> 日    </w:t>
      </w:r>
    </w:p>
    <w:p>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按照《上虞区区属国有企业货物和服务采购管理办法》等有关规定，</w:t>
      </w:r>
      <w:r>
        <w:rPr>
          <w:rFonts w:hint="eastAsia" w:ascii="宋体" w:hAnsi="宋体" w:eastAsia="宋体" w:cs="宋体"/>
          <w:bCs/>
          <w:iCs/>
          <w:color w:val="auto"/>
          <w:sz w:val="24"/>
          <w:szCs w:val="24"/>
          <w:highlight w:val="none"/>
          <w:u w:val="single"/>
        </w:rPr>
        <w:t>浙江筑脸全过程工程咨询有限公司</w:t>
      </w:r>
      <w:r>
        <w:rPr>
          <w:rFonts w:hint="eastAsia" w:ascii="宋体" w:hAnsi="宋体" w:eastAsia="宋体" w:cs="宋体"/>
          <w:color w:val="auto"/>
          <w:sz w:val="24"/>
          <w:szCs w:val="24"/>
          <w:highlight w:val="none"/>
        </w:rPr>
        <w:t>受</w:t>
      </w:r>
      <w:r>
        <w:rPr>
          <w:rFonts w:hint="eastAsia" w:ascii="宋体" w:hAnsi="宋体" w:eastAsia="宋体" w:cs="Times New Roman"/>
          <w:color w:val="auto"/>
          <w:sz w:val="24"/>
          <w:szCs w:val="24"/>
          <w:highlight w:val="none"/>
          <w:u w:val="single"/>
        </w:rPr>
        <w:t>绍兴市上虞区水务物资贸易有限公司</w:t>
      </w:r>
      <w:r>
        <w:rPr>
          <w:rFonts w:hint="eastAsia" w:ascii="宋体" w:hAnsi="宋体" w:eastAsia="宋体" w:cs="宋体"/>
          <w:color w:val="auto"/>
          <w:sz w:val="24"/>
          <w:szCs w:val="24"/>
          <w:highlight w:val="none"/>
        </w:rPr>
        <w:t>委托，现就</w:t>
      </w:r>
      <w:r>
        <w:rPr>
          <w:rFonts w:hint="eastAsia" w:ascii="宋体" w:hAnsi="宋体" w:eastAsia="宋体" w:cs="Times New Roman"/>
          <w:color w:val="auto"/>
          <w:sz w:val="24"/>
          <w:szCs w:val="24"/>
          <w:highlight w:val="none"/>
          <w:u w:val="single"/>
        </w:rPr>
        <w:t xml:space="preserve"> 上虞区梁湖街道【2021】J9号（曹村地块01-03号）地块（皂湖佳园）建设项目不锈钢管及管件采购项目</w:t>
      </w:r>
      <w:r>
        <w:rPr>
          <w:rFonts w:hint="eastAsia" w:ascii="宋体" w:hAnsi="宋体" w:eastAsia="宋体" w:cs="宋体"/>
          <w:color w:val="auto"/>
          <w:sz w:val="24"/>
          <w:szCs w:val="24"/>
          <w:highlight w:val="none"/>
        </w:rPr>
        <w:t>进行招标，欢迎国内合格的供应商前来投标。</w:t>
      </w:r>
      <w:r>
        <w:rPr>
          <w:rFonts w:hint="eastAsia" w:ascii="宋体" w:hAnsi="宋体" w:eastAsia="宋体" w:cs="Songti SC"/>
          <w:color w:val="auto"/>
          <w:sz w:val="24"/>
          <w:szCs w:val="24"/>
          <w:highlight w:val="none"/>
        </w:rPr>
        <w:t xml:space="preserve">      </w:t>
      </w:r>
    </w:p>
    <w:p>
      <w:pPr>
        <w:spacing w:line="500" w:lineRule="exact"/>
        <w:ind w:firstLine="482" w:firstLineChars="200"/>
        <w:rPr>
          <w:rFonts w:ascii="宋体" w:hAnsi="宋体" w:eastAsia="宋体" w:cs="Times New Roman"/>
          <w:color w:val="auto"/>
          <w:sz w:val="24"/>
          <w:szCs w:val="24"/>
          <w:highlight w:val="none"/>
        </w:rPr>
      </w:pPr>
      <w:r>
        <w:rPr>
          <w:rFonts w:hint="eastAsia" w:ascii="宋体" w:hAnsi="宋体" w:eastAsia="宋体" w:cs="Times New Roman"/>
          <w:b/>
          <w:bCs/>
          <w:color w:val="auto"/>
          <w:sz w:val="24"/>
          <w:szCs w:val="24"/>
          <w:highlight w:val="none"/>
        </w:rPr>
        <w:t>一、  招标项目编号：</w:t>
      </w:r>
      <w:r>
        <w:rPr>
          <w:rFonts w:hint="eastAsia" w:ascii="宋体" w:hAnsi="宋体" w:eastAsia="宋体" w:cs="Times New Roman"/>
          <w:bCs/>
          <w:color w:val="auto"/>
          <w:sz w:val="24"/>
          <w:szCs w:val="24"/>
          <w:highlight w:val="none"/>
          <w:u w:val="single"/>
        </w:rPr>
        <w:t xml:space="preserve">ZJZL2025044 </w:t>
      </w:r>
      <w:r>
        <w:rPr>
          <w:rFonts w:hint="eastAsia" w:ascii="宋体" w:hAnsi="宋体" w:eastAsia="宋体" w:cs="Times New Roman"/>
          <w:color w:val="auto"/>
          <w:sz w:val="24"/>
          <w:szCs w:val="24"/>
          <w:highlight w:val="none"/>
        </w:rPr>
        <w:t xml:space="preserve"> </w:t>
      </w:r>
    </w:p>
    <w:p>
      <w:pPr>
        <w:spacing w:line="500" w:lineRule="exact"/>
        <w:ind w:left="2399" w:leftChars="228" w:hanging="1920" w:hangingChars="797"/>
        <w:rPr>
          <w:rFonts w:ascii="宋体" w:hAnsi="宋体" w:eastAsia="宋体" w:cs="Times New Roman"/>
          <w:bCs/>
          <w:iCs/>
          <w:color w:val="auto"/>
          <w:sz w:val="24"/>
          <w:szCs w:val="24"/>
          <w:highlight w:val="none"/>
        </w:rPr>
      </w:pPr>
      <w:r>
        <w:rPr>
          <w:rFonts w:hint="eastAsia" w:ascii="宋体" w:hAnsi="宋体" w:eastAsia="宋体" w:cs="Times New Roman"/>
          <w:b/>
          <w:bCs/>
          <w:color w:val="auto"/>
          <w:sz w:val="24"/>
          <w:szCs w:val="24"/>
          <w:highlight w:val="none"/>
        </w:rPr>
        <w:t>二、  采购组织类型：</w:t>
      </w:r>
      <w:r>
        <w:rPr>
          <w:rFonts w:hint="eastAsia" w:ascii="宋体" w:hAnsi="宋体" w:eastAsia="宋体" w:cs="Times New Roman"/>
          <w:bCs/>
          <w:iCs/>
          <w:color w:val="auto"/>
          <w:sz w:val="24"/>
          <w:szCs w:val="24"/>
          <w:highlight w:val="none"/>
          <w:u w:val="single"/>
        </w:rPr>
        <w:t>委托中介</w:t>
      </w:r>
    </w:p>
    <w:p>
      <w:pPr>
        <w:spacing w:line="500" w:lineRule="exact"/>
        <w:ind w:firstLine="482" w:firstLineChars="20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三、  招标项目概况：</w:t>
      </w:r>
    </w:p>
    <w:tbl>
      <w:tblPr>
        <w:tblStyle w:val="11"/>
        <w:tblW w:w="93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653"/>
        <w:gridCol w:w="709"/>
        <w:gridCol w:w="992"/>
        <w:gridCol w:w="1559"/>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760" w:type="dxa"/>
            <w:vAlign w:val="center"/>
          </w:tcPr>
          <w:p>
            <w:pPr>
              <w:adjustRightInd w:val="0"/>
              <w:spacing w:line="300" w:lineRule="exact"/>
              <w:jc w:val="center"/>
              <w:rPr>
                <w:rFonts w:ascii="宋体" w:hAnsi="宋体" w:eastAsia="宋体" w:cs="Times New Roman"/>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653" w:type="dxa"/>
            <w:vAlign w:val="center"/>
          </w:tcPr>
          <w:p>
            <w:pPr>
              <w:adjustRightInd w:val="0"/>
              <w:spacing w:line="3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项目名称</w:t>
            </w:r>
          </w:p>
        </w:tc>
        <w:tc>
          <w:tcPr>
            <w:tcW w:w="709" w:type="dxa"/>
            <w:vAlign w:val="center"/>
          </w:tcPr>
          <w:p>
            <w:pPr>
              <w:adjustRightInd w:val="0"/>
              <w:spacing w:line="300" w:lineRule="exact"/>
              <w:jc w:val="center"/>
              <w:rPr>
                <w:rFonts w:ascii="宋体" w:hAnsi="宋体" w:eastAsia="宋体" w:cs="Times New Roman"/>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992" w:type="dxa"/>
            <w:vAlign w:val="center"/>
          </w:tcPr>
          <w:p>
            <w:pPr>
              <w:adjustRightInd w:val="0"/>
              <w:spacing w:line="300" w:lineRule="exact"/>
              <w:jc w:val="center"/>
              <w:rPr>
                <w:rFonts w:ascii="宋体" w:hAnsi="宋体" w:eastAsia="宋体" w:cs="Times New Roman"/>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1559" w:type="dxa"/>
            <w:vAlign w:val="center"/>
          </w:tcPr>
          <w:p>
            <w:pPr>
              <w:adjustRightInd w:val="0"/>
              <w:spacing w:line="300" w:lineRule="exact"/>
              <w:jc w:val="center"/>
              <w:rPr>
                <w:rFonts w:ascii="宋体" w:hAnsi="宋体" w:eastAsia="宋体" w:cs="Times New Roman"/>
                <w:color w:val="auto"/>
                <w:kern w:val="0"/>
                <w:sz w:val="24"/>
                <w:szCs w:val="24"/>
                <w:highlight w:val="none"/>
              </w:rPr>
            </w:pPr>
            <w:r>
              <w:rPr>
                <w:rFonts w:hint="eastAsia" w:asciiTheme="minorEastAsia" w:hAnsiTheme="minorEastAsia" w:cstheme="minorEastAsia"/>
                <w:color w:val="auto"/>
                <w:sz w:val="24"/>
                <w:szCs w:val="24"/>
                <w:highlight w:val="none"/>
              </w:rPr>
              <w:t>简要规格描述或标项基本概况介绍</w:t>
            </w:r>
          </w:p>
        </w:tc>
        <w:tc>
          <w:tcPr>
            <w:tcW w:w="1716" w:type="dxa"/>
            <w:vAlign w:val="center"/>
          </w:tcPr>
          <w:p>
            <w:pPr>
              <w:widowControl/>
              <w:jc w:val="center"/>
              <w:rPr>
                <w:rFonts w:ascii="宋体" w:hAnsi="宋体" w:eastAsia="宋体" w:cs="Times New Roman"/>
                <w:color w:val="auto"/>
                <w:kern w:val="0"/>
                <w:sz w:val="24"/>
                <w:szCs w:val="24"/>
                <w:highlight w:val="none"/>
              </w:rPr>
            </w:pPr>
            <w:r>
              <w:rPr>
                <w:rFonts w:hint="eastAsia" w:ascii="宋体" w:hAnsi="宋体" w:eastAsia="宋体" w:cs="宋体"/>
                <w:color w:val="auto"/>
                <w:kern w:val="0"/>
                <w:sz w:val="24"/>
                <w:szCs w:val="24"/>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760" w:type="dxa"/>
            <w:vAlign w:val="center"/>
          </w:tcPr>
          <w:p>
            <w:pPr>
              <w:adjustRightInd w:val="0"/>
              <w:spacing w:line="300" w:lineRule="exact"/>
              <w:jc w:val="center"/>
              <w:rPr>
                <w:rFonts w:ascii="宋体" w:hAnsi="宋体" w:eastAsia="宋体" w:cs="Times New Roman"/>
                <w:color w:val="auto"/>
                <w:kern w:val="0"/>
                <w:sz w:val="24"/>
                <w:szCs w:val="24"/>
                <w:highlight w:val="none"/>
              </w:rPr>
            </w:pPr>
            <w:r>
              <w:rPr>
                <w:rFonts w:ascii="宋体" w:hAnsi="宋体" w:eastAsia="宋体" w:cs="宋体"/>
                <w:color w:val="auto"/>
                <w:kern w:val="0"/>
                <w:sz w:val="24"/>
                <w:szCs w:val="24"/>
                <w:highlight w:val="none"/>
              </w:rPr>
              <w:t>1</w:t>
            </w:r>
          </w:p>
        </w:tc>
        <w:tc>
          <w:tcPr>
            <w:tcW w:w="3653" w:type="dxa"/>
            <w:vAlign w:val="center"/>
          </w:tcPr>
          <w:p>
            <w:pPr>
              <w:adjustRightInd w:val="0"/>
              <w:spacing w:line="300" w:lineRule="exact"/>
              <w:jc w:val="center"/>
              <w:rPr>
                <w:rFonts w:ascii="宋体" w:hAnsi="宋体" w:eastAsia="宋体" w:cs="宋体"/>
                <w:color w:val="auto"/>
                <w:kern w:val="0"/>
                <w:sz w:val="24"/>
                <w:szCs w:val="24"/>
                <w:highlight w:val="none"/>
              </w:rPr>
            </w:pPr>
            <w:r>
              <w:rPr>
                <w:rFonts w:ascii="宋体" w:hAnsi="宋体" w:eastAsia="宋体" w:cs="宋体"/>
                <w:bCs/>
                <w:color w:val="auto"/>
                <w:kern w:val="0"/>
                <w:sz w:val="24"/>
                <w:szCs w:val="24"/>
                <w:highlight w:val="none"/>
              </w:rPr>
              <w:t>上虞区梁湖街道【2021】J9号（曹村地块01-03号）地块（皂湖佳园）建设项目不锈钢管及管件采购项目</w:t>
            </w:r>
          </w:p>
        </w:tc>
        <w:tc>
          <w:tcPr>
            <w:tcW w:w="709" w:type="dxa"/>
            <w:vAlign w:val="center"/>
          </w:tcPr>
          <w:p>
            <w:pPr>
              <w:adjustRightInd w:val="0"/>
              <w:spacing w:line="300" w:lineRule="exact"/>
              <w:jc w:val="center"/>
              <w:rPr>
                <w:rFonts w:ascii="宋体" w:hAnsi="宋体" w:eastAsia="宋体" w:cs="Times New Roman"/>
                <w:color w:val="auto"/>
                <w:kern w:val="0"/>
                <w:sz w:val="24"/>
                <w:szCs w:val="24"/>
                <w:highlight w:val="none"/>
              </w:rPr>
            </w:pPr>
            <w:r>
              <w:rPr>
                <w:rFonts w:hint="eastAsia" w:ascii="宋体" w:hAnsi="宋体" w:eastAsia="宋体" w:cs="宋体"/>
                <w:color w:val="auto"/>
                <w:kern w:val="0"/>
                <w:sz w:val="24"/>
                <w:szCs w:val="24"/>
                <w:highlight w:val="none"/>
              </w:rPr>
              <w:t>1</w:t>
            </w:r>
          </w:p>
        </w:tc>
        <w:tc>
          <w:tcPr>
            <w:tcW w:w="992" w:type="dxa"/>
            <w:vAlign w:val="center"/>
          </w:tcPr>
          <w:p>
            <w:pPr>
              <w:adjustRightInd w:val="0"/>
              <w:spacing w:line="3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批</w:t>
            </w:r>
          </w:p>
        </w:tc>
        <w:tc>
          <w:tcPr>
            <w:tcW w:w="1559" w:type="dxa"/>
            <w:vAlign w:val="center"/>
          </w:tcPr>
          <w:p>
            <w:pPr>
              <w:widowControl/>
              <w:snapToGrid w:val="0"/>
              <w:spacing w:before="120" w:after="120" w:line="300" w:lineRule="exact"/>
              <w:jc w:val="center"/>
              <w:rPr>
                <w:rFonts w:ascii="宋体" w:hAnsi="宋体" w:eastAsia="宋体" w:cs="Times New Roman"/>
                <w:color w:val="auto"/>
                <w:kern w:val="0"/>
                <w:sz w:val="24"/>
                <w:szCs w:val="24"/>
                <w:highlight w:val="none"/>
              </w:rPr>
            </w:pPr>
            <w:r>
              <w:rPr>
                <w:rFonts w:hint="eastAsia" w:asciiTheme="minorEastAsia" w:hAnsiTheme="minorEastAsia" w:cstheme="minorEastAsia"/>
                <w:color w:val="auto"/>
                <w:sz w:val="24"/>
                <w:szCs w:val="24"/>
                <w:highlight w:val="none"/>
              </w:rPr>
              <w:t>详见采购需求</w:t>
            </w:r>
          </w:p>
        </w:tc>
        <w:tc>
          <w:tcPr>
            <w:tcW w:w="1716" w:type="dxa"/>
            <w:vAlign w:val="center"/>
          </w:tcPr>
          <w:p>
            <w:pPr>
              <w:adjustRightInd w:val="0"/>
              <w:spacing w:line="300" w:lineRule="exact"/>
              <w:jc w:val="center"/>
              <w:rPr>
                <w:rFonts w:ascii="宋体" w:hAnsi="宋体" w:eastAsia="宋体" w:cs="Times New Roman"/>
                <w:color w:val="auto"/>
                <w:kern w:val="0"/>
                <w:sz w:val="24"/>
                <w:szCs w:val="24"/>
                <w:highlight w:val="none"/>
              </w:rPr>
            </w:pPr>
            <w:r>
              <w:rPr>
                <w:rFonts w:hint="eastAsia" w:ascii="宋体" w:hAnsi="宋体" w:eastAsia="宋体" w:cs="宋体"/>
                <w:b/>
                <w:color w:val="auto"/>
                <w:kern w:val="0"/>
                <w:szCs w:val="21"/>
                <w:highlight w:val="none"/>
                <w:lang w:bidi="ar"/>
              </w:rPr>
              <w:t>478463</w:t>
            </w:r>
            <w:r>
              <w:rPr>
                <w:rFonts w:hint="eastAsia" w:ascii="宋体" w:hAnsi="宋体" w:eastAsia="宋体" w:cs="宋体"/>
                <w:color w:val="auto"/>
                <w:kern w:val="0"/>
                <w:sz w:val="22"/>
                <w:highlight w:val="none"/>
                <w:lang w:bidi="ar"/>
              </w:rPr>
              <w:t>元</w:t>
            </w:r>
          </w:p>
        </w:tc>
      </w:tr>
    </w:tbl>
    <w:p>
      <w:pPr>
        <w:adjustRightInd w:val="0"/>
        <w:spacing w:line="100" w:lineRule="exact"/>
        <w:rPr>
          <w:rFonts w:ascii="宋体" w:hAnsi="宋体" w:eastAsia="宋体" w:cs="宋体"/>
          <w:color w:val="auto"/>
          <w:sz w:val="24"/>
          <w:szCs w:val="24"/>
          <w:highlight w:val="none"/>
        </w:rPr>
      </w:pPr>
    </w:p>
    <w:p>
      <w:pPr>
        <w:adjustRightInd w:val="0"/>
        <w:spacing w:line="500" w:lineRule="exact"/>
        <w:ind w:firstLine="472" w:firstLineChars="19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四、投标供应商资格要求:</w:t>
      </w:r>
    </w:p>
    <w:p>
      <w:pPr>
        <w:numPr>
          <w:ilvl w:val="0"/>
          <w:numId w:val="1"/>
        </w:numPr>
        <w:adjustRightInd w:val="0"/>
        <w:spacing w:line="500" w:lineRule="exact"/>
        <w:ind w:firstLine="480" w:firstLineChars="200"/>
        <w:rPr>
          <w:rFonts w:ascii="宋体" w:hAnsi="宋体" w:eastAsia="宋体" w:cs="Times New Roman"/>
          <w:color w:val="auto"/>
          <w:kern w:val="0"/>
          <w:sz w:val="24"/>
          <w:szCs w:val="24"/>
          <w:highlight w:val="none"/>
        </w:rPr>
      </w:pPr>
      <w:bookmarkStart w:id="13" w:name="_Hlk89265864"/>
      <w:r>
        <w:rPr>
          <w:rFonts w:hint="eastAsia" w:ascii="宋体" w:hAnsi="宋体" w:eastAsia="宋体" w:cs="宋体"/>
          <w:color w:val="auto"/>
          <w:sz w:val="24"/>
          <w:szCs w:val="24"/>
          <w:highlight w:val="none"/>
        </w:rPr>
        <w:t>符合《虞国资委〔2021〕42 号》第十八条</w:t>
      </w:r>
    </w:p>
    <w:p>
      <w:pPr>
        <w:widowControl/>
        <w:shd w:val="clear" w:color="auto" w:fill="FFFFFF"/>
        <w:spacing w:line="500" w:lineRule="exact"/>
        <w:ind w:firstLine="482"/>
        <w:jc w:val="left"/>
        <w:rPr>
          <w:rFonts w:ascii="宋体" w:hAnsi="宋体" w:eastAsia="宋体" w:cs="Times New Roman"/>
          <w:color w:val="auto"/>
          <w:sz w:val="24"/>
          <w:szCs w:val="24"/>
          <w:highlight w:val="none"/>
          <w:shd w:val="clear" w:color="auto" w:fill="FFFFFF"/>
        </w:rPr>
      </w:pPr>
      <w:r>
        <w:rPr>
          <w:rFonts w:hint="eastAsia" w:ascii="宋体" w:hAnsi="宋体" w:eastAsia="宋体" w:cs="Times New Roman"/>
          <w:color w:val="auto"/>
          <w:sz w:val="24"/>
          <w:szCs w:val="24"/>
          <w:highlight w:val="none"/>
          <w:shd w:val="clear" w:color="auto" w:fill="FFFFFF"/>
        </w:rPr>
        <w:t>（1）具有独立承担民事责任能力；</w:t>
      </w:r>
    </w:p>
    <w:p>
      <w:pPr>
        <w:widowControl/>
        <w:shd w:val="clear" w:color="auto" w:fill="FFFFFF"/>
        <w:spacing w:line="500" w:lineRule="exact"/>
        <w:ind w:firstLine="482"/>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shd w:val="clear" w:color="auto" w:fill="FFFFFF"/>
        </w:rPr>
        <w:t>（2）具有良好的商业信誉；</w:t>
      </w:r>
    </w:p>
    <w:p>
      <w:pPr>
        <w:widowControl/>
        <w:shd w:val="clear" w:color="auto" w:fill="FFFFFF"/>
        <w:spacing w:line="500" w:lineRule="exact"/>
        <w:ind w:firstLine="482"/>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shd w:val="clear" w:color="auto" w:fill="FFFFFF"/>
        </w:rPr>
        <w:t>（3）具有履行合同所必需的设备和专业技术、售后保障等能力；</w:t>
      </w:r>
    </w:p>
    <w:p>
      <w:pPr>
        <w:widowControl/>
        <w:shd w:val="clear" w:color="auto" w:fill="FFFFFF"/>
        <w:spacing w:line="500" w:lineRule="exact"/>
        <w:ind w:firstLine="482"/>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shd w:val="clear" w:color="auto" w:fill="FFFFFF"/>
        </w:rPr>
        <w:t>（4）有依法缴纳税收和社会保障资金的良好记录；</w:t>
      </w:r>
    </w:p>
    <w:p>
      <w:pPr>
        <w:widowControl/>
        <w:shd w:val="clear" w:color="auto" w:fill="FFFFFF"/>
        <w:spacing w:line="500" w:lineRule="exact"/>
        <w:ind w:firstLine="482"/>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shd w:val="clear" w:color="auto" w:fill="FFFFFF"/>
        </w:rPr>
        <w:t>（5）参加采购活动前三年内，没有重大违法记录、严重失信行为和行贿记录；</w:t>
      </w:r>
    </w:p>
    <w:p>
      <w:pPr>
        <w:widowControl/>
        <w:shd w:val="clear" w:color="auto" w:fill="FFFFFF"/>
        <w:spacing w:line="500" w:lineRule="exact"/>
        <w:ind w:firstLine="482"/>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shd w:val="clear" w:color="auto" w:fill="FFFFFF"/>
        </w:rPr>
        <w:t>（6）法律、行政法规规定的其他条件</w:t>
      </w:r>
    </w:p>
    <w:p>
      <w:pPr>
        <w:numPr>
          <w:ilvl w:val="0"/>
          <w:numId w:val="1"/>
        </w:numPr>
        <w:adjustRightInd w:val="0"/>
        <w:spacing w:line="500" w:lineRule="exact"/>
        <w:ind w:firstLine="480" w:firstLineChars="200"/>
        <w:rPr>
          <w:rFonts w:ascii="宋体" w:hAnsi="宋体" w:eastAsia="宋体" w:cs="宋体"/>
          <w:color w:val="auto"/>
          <w:sz w:val="24"/>
          <w:szCs w:val="24"/>
          <w:highlight w:val="none"/>
        </w:rPr>
      </w:pPr>
      <w:r>
        <w:rPr>
          <w:rFonts w:hint="eastAsia" w:ascii="宋体" w:hAnsi="宋体" w:cs="宋体"/>
          <w:color w:val="auto"/>
          <w:sz w:val="24"/>
          <w:highlight w:val="none"/>
        </w:rPr>
        <w:t>本次招标</w:t>
      </w:r>
      <w:r>
        <w:rPr>
          <w:rFonts w:hint="eastAsia" w:ascii="宋体" w:hAnsi="宋体" w:cs="宋体"/>
          <w:b/>
          <w:color w:val="auto"/>
          <w:sz w:val="24"/>
          <w:highlight w:val="none"/>
          <w:u w:val="single"/>
        </w:rPr>
        <w:t>不接受</w:t>
      </w:r>
      <w:r>
        <w:rPr>
          <w:rFonts w:hint="eastAsia" w:ascii="宋体" w:hAnsi="宋体" w:cs="宋体"/>
          <w:color w:val="auto"/>
          <w:sz w:val="24"/>
          <w:highlight w:val="none"/>
        </w:rPr>
        <w:t>联合体投标</w:t>
      </w:r>
      <w:r>
        <w:rPr>
          <w:rFonts w:hint="eastAsia" w:ascii="宋体" w:hAnsi="宋体" w:eastAsia="宋体" w:cs="宋体"/>
          <w:color w:val="auto"/>
          <w:sz w:val="24"/>
          <w:szCs w:val="24"/>
          <w:highlight w:val="none"/>
        </w:rPr>
        <w:t>；</w:t>
      </w:r>
    </w:p>
    <w:p>
      <w:pPr>
        <w:numPr>
          <w:ilvl w:val="0"/>
          <w:numId w:val="1"/>
        </w:numPr>
        <w:adjustRightIn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本次招标采用资格后审的审查方式，由</w:t>
      </w:r>
      <w:r>
        <w:rPr>
          <w:rFonts w:hint="eastAsia" w:ascii="宋体" w:hAnsi="宋体" w:eastAsia="宋体" w:cs="宋体"/>
          <w:color w:val="auto"/>
          <w:sz w:val="24"/>
          <w:szCs w:val="24"/>
          <w:highlight w:val="none"/>
          <w:lang w:val="en-US" w:eastAsia="zh-CN"/>
        </w:rPr>
        <w:t>询价小组</w:t>
      </w:r>
      <w:r>
        <w:rPr>
          <w:rFonts w:hint="eastAsia" w:ascii="宋体" w:hAnsi="宋体" w:eastAsia="宋体" w:cs="宋体"/>
          <w:color w:val="auto"/>
          <w:sz w:val="24"/>
          <w:szCs w:val="24"/>
          <w:highlight w:val="none"/>
        </w:rPr>
        <w:t>负责审查。</w:t>
      </w:r>
    </w:p>
    <w:bookmarkEnd w:id="13"/>
    <w:p>
      <w:pPr>
        <w:adjustRightInd w:val="0"/>
        <w:spacing w:line="50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五、投标询价文件：</w:t>
      </w:r>
    </w:p>
    <w:p>
      <w:pPr>
        <w:numPr>
          <w:ilvl w:val="0"/>
          <w:numId w:val="2"/>
        </w:numPr>
        <w:adjustRightInd w:val="0"/>
        <w:spacing w:line="500" w:lineRule="exact"/>
        <w:ind w:firstLine="480" w:firstLineChars="200"/>
        <w:rPr>
          <w:rFonts w:ascii="宋体" w:hAnsi="宋体" w:eastAsia="宋体" w:cs="宋体"/>
          <w:color w:val="auto"/>
          <w:sz w:val="24"/>
          <w:szCs w:val="24"/>
          <w:highlight w:val="none"/>
        </w:rPr>
      </w:pPr>
      <w:bookmarkStart w:id="14" w:name="报名开始时间1"/>
      <w:r>
        <w:rPr>
          <w:rFonts w:hint="eastAsia" w:ascii="宋体" w:hAnsi="宋体" w:eastAsia="宋体" w:cs="宋体"/>
          <w:color w:val="auto"/>
          <w:sz w:val="24"/>
          <w:szCs w:val="24"/>
          <w:highlight w:val="none"/>
        </w:rPr>
        <w:t>获取询价文件时间:</w:t>
      </w:r>
      <w:bookmarkEnd w:id="14"/>
      <w:r>
        <w:rPr>
          <w:rFonts w:hint="eastAsia" w:ascii="宋体" w:hAnsi="宋体" w:eastAsia="宋体" w:cs="宋体"/>
          <w:color w:val="auto"/>
          <w:sz w:val="24"/>
          <w:szCs w:val="24"/>
          <w:highlight w:val="none"/>
        </w:rPr>
        <w:t>2025年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:30之前获取。</w:t>
      </w:r>
    </w:p>
    <w:p>
      <w:pPr>
        <w:numPr>
          <w:ilvl w:val="0"/>
          <w:numId w:val="2"/>
        </w:numPr>
        <w:adjustRightIn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获取询价文件方式：供应商登陆乐采云平台www.lecaiyun.com，在线申请获取采购文件（进入“项目采购”应用，在获取采购文件菜单中选择项目，申请获取采购文件）。</w:t>
      </w:r>
    </w:p>
    <w:p>
      <w:pPr>
        <w:numPr>
          <w:ilvl w:val="0"/>
          <w:numId w:val="2"/>
        </w:numPr>
        <w:adjustRightIn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提示：</w:t>
      </w:r>
    </w:p>
    <w:p>
      <w:pPr>
        <w:numPr>
          <w:ilvl w:val="0"/>
          <w:numId w:val="3"/>
        </w:numPr>
        <w:adjustRightIn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将拒绝接受未获取采购文件供应商的投标文件。</w:t>
      </w:r>
    </w:p>
    <w:p>
      <w:pPr>
        <w:numPr>
          <w:ilvl w:val="0"/>
          <w:numId w:val="3"/>
        </w:numPr>
        <w:adjustRightIn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招标文件及更正补充公告请自行登录浙江政府采购网或绍兴市上虞区公共资源交易中心网站，在采购公告页面中下载。</w:t>
      </w:r>
    </w:p>
    <w:p>
      <w:pPr>
        <w:adjustRightInd w:val="0"/>
        <w:spacing w:line="50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六、投标与开标注意事项：</w:t>
      </w:r>
    </w:p>
    <w:p>
      <w:pPr>
        <w:numPr>
          <w:ilvl w:val="0"/>
          <w:numId w:val="4"/>
        </w:numPr>
        <w:adjustRightIn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w:t>
      </w:r>
      <w:r>
        <w:rPr>
          <w:rFonts w:hint="eastAsia" w:ascii="宋体" w:hAnsi="宋体" w:eastAsia="宋体" w:cs="宋体"/>
          <w:b/>
          <w:bCs/>
          <w:color w:val="auto"/>
          <w:sz w:val="24"/>
          <w:szCs w:val="24"/>
          <w:highlight w:val="none"/>
        </w:rPr>
        <w:t>网上投标</w:t>
      </w:r>
      <w:r>
        <w:rPr>
          <w:rFonts w:hint="eastAsia" w:ascii="宋体" w:hAnsi="宋体" w:eastAsia="宋体" w:cs="宋体"/>
          <w:color w:val="auto"/>
          <w:sz w:val="24"/>
          <w:szCs w:val="24"/>
          <w:highlight w:val="none"/>
        </w:rPr>
        <w:t>，采用电子投标文件，若供应商参与投标，自行承担投标一切费用。</w:t>
      </w:r>
    </w:p>
    <w:p>
      <w:pPr>
        <w:numPr>
          <w:ilvl w:val="0"/>
          <w:numId w:val="4"/>
        </w:numPr>
        <w:adjustRightIn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pPr>
        <w:autoSpaceDE w:val="0"/>
        <w:autoSpaceDN w:val="0"/>
        <w:spacing w:line="500" w:lineRule="exact"/>
        <w:ind w:firstLine="480" w:firstLineChars="200"/>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供应商将乐采云电子交易客户端下载、安装完成后，可通过账号密码或CA登录客户端进行投标文件制作。在使用乐采云投标客户端时，建议使用WIN7及以上操作系统。</w:t>
      </w:r>
    </w:p>
    <w:p>
      <w:pPr>
        <w:autoSpaceDE w:val="0"/>
        <w:autoSpaceDN w:val="0"/>
        <w:spacing w:line="500" w:lineRule="exact"/>
        <w:ind w:firstLine="480" w:firstLineChars="200"/>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注：供应商先要申领CA，取得CA后需要在乐采云平台进行绑定，CA相关操作可参考《CA管理学习专题》。完成CA数字证书办理在资料齐全的情况下预计7个工作日左右，建议供应商获取招标文件后立即办理。</w:t>
      </w:r>
    </w:p>
    <w:p>
      <w:pPr>
        <w:adjustRightInd w:val="0"/>
        <w:spacing w:line="500" w:lineRule="exact"/>
        <w:ind w:left="420" w:left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《CA管理学习专题》：</w:t>
      </w:r>
    </w:p>
    <w:p>
      <w:pPr>
        <w:adjustRightInd w:val="0"/>
        <w:spacing w:line="500" w:lineRule="exact"/>
        <w:ind w:left="420" w:left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https://edu.zcygov.cn/luban/ca?utm=web-government-front.380aac0a.0.0.fc2b6aa0b6e211ebbdb0dd007730dd44</w:t>
      </w:r>
    </w:p>
    <w:p>
      <w:pPr>
        <w:adjustRightInd w:val="0"/>
        <w:spacing w:line="500" w:lineRule="exact"/>
        <w:ind w:left="420" w:left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《CA驱动和申领流程》:</w:t>
      </w:r>
    </w:p>
    <w:p>
      <w:pPr>
        <w:adjustRightInd w:val="0"/>
        <w:spacing w:line="500" w:lineRule="exact"/>
        <w:ind w:left="420" w:left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eastAsia="宋体" w:cs="宋体"/>
          <w:color w:val="auto"/>
          <w:sz w:val="24"/>
          <w:szCs w:val="24"/>
          <w:highlight w:val="none"/>
        </w:rPr>
        <w:t>http://zfcg.czt.zj.gov.cn/bidClientTemplate/2019-05-27/12945.html</w:t>
      </w:r>
      <w:r>
        <w:rPr>
          <w:rFonts w:hint="eastAsia" w:ascii="宋体" w:hAnsi="宋体" w:eastAsia="宋体" w:cs="宋体"/>
          <w:color w:val="auto"/>
          <w:sz w:val="24"/>
          <w:szCs w:val="24"/>
          <w:highlight w:val="none"/>
        </w:rPr>
        <w:fldChar w:fldCharType="end"/>
      </w:r>
    </w:p>
    <w:p>
      <w:pPr>
        <w:numPr>
          <w:ilvl w:val="0"/>
          <w:numId w:val="4"/>
        </w:numPr>
        <w:adjustRightIn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投标文件制作：</w:t>
      </w:r>
    </w:p>
    <w:p>
      <w:pPr>
        <w:numPr>
          <w:ilvl w:val="0"/>
          <w:numId w:val="5"/>
        </w:numPr>
        <w:adjustRightIn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应按照本项目招标文件和乐采云平台的要求编制、加密并递交投标文件。供应商在使用系统进行投标的过程中遇到涉及平台使用的任何问题，可致电乐采云平台技术支持热线咨询，联系方式：400-881-7190。</w:t>
      </w:r>
    </w:p>
    <w:p>
      <w:pPr>
        <w:numPr>
          <w:ilvl w:val="0"/>
          <w:numId w:val="5"/>
        </w:numPr>
        <w:adjustRightIn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投标人通过“乐采云”平台电子投标工具制作投标文件。</w:t>
      </w:r>
    </w:p>
    <w:p>
      <w:pPr>
        <w:adjustRightInd w:val="0"/>
        <w:spacing w:line="5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《电子投标工具》：</w:t>
      </w:r>
    </w:p>
    <w:p>
      <w:pPr>
        <w:adjustRightInd w:val="0"/>
        <w:spacing w:line="500" w:lineRule="exact"/>
        <w:ind w:firstLine="420" w:firstLineChars="200"/>
        <w:jc w:val="lef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eastAsia="宋体" w:cs="宋体"/>
          <w:color w:val="auto"/>
          <w:sz w:val="24"/>
          <w:szCs w:val="24"/>
          <w:highlight w:val="none"/>
        </w:rPr>
        <w:t>http://zfcg.czt.zj.gov.cn/bidClientTemplate/2019-09-24/12975.html</w:t>
      </w:r>
      <w:r>
        <w:rPr>
          <w:rFonts w:hint="eastAsia" w:ascii="宋体" w:hAnsi="宋体" w:eastAsia="宋体" w:cs="宋体"/>
          <w:color w:val="auto"/>
          <w:sz w:val="24"/>
          <w:szCs w:val="24"/>
          <w:highlight w:val="none"/>
        </w:rPr>
        <w:fldChar w:fldCharType="end"/>
      </w:r>
    </w:p>
    <w:p>
      <w:pPr>
        <w:adjustRightInd w:val="0"/>
        <w:spacing w:line="5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《供应商-国企采购项目电子交易操作指南》：(需登录账号后查看)</w:t>
      </w:r>
    </w:p>
    <w:p>
      <w:pPr>
        <w:adjustRightInd w:val="0"/>
        <w:spacing w:line="500" w:lineRule="exact"/>
        <w:ind w:firstLine="420" w:firstLineChars="200"/>
        <w:jc w:val="lef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eastAsia="宋体" w:cs="宋体"/>
          <w:color w:val="auto"/>
          <w:sz w:val="24"/>
          <w:szCs w:val="24"/>
          <w:highlight w:val="none"/>
        </w:rPr>
        <w:t>https://service.zcygov.cn/#/knowledges/tree?tag=AG1DtGwBFdiHxlNdhY0r</w:t>
      </w:r>
      <w:r>
        <w:rPr>
          <w:rFonts w:hint="eastAsia" w:ascii="宋体" w:hAnsi="宋体" w:eastAsia="宋体" w:cs="宋体"/>
          <w:color w:val="auto"/>
          <w:sz w:val="24"/>
          <w:szCs w:val="24"/>
          <w:highlight w:val="none"/>
        </w:rPr>
        <w:fldChar w:fldCharType="end"/>
      </w:r>
    </w:p>
    <w:p>
      <w:pPr>
        <w:adjustRightInd w:val="0"/>
        <w:spacing w:line="500" w:lineRule="exact"/>
        <w:ind w:left="420" w:left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4.供应商在法定质疑期内应一次性提出针对同一采购程序环节的质疑。</w:t>
      </w:r>
    </w:p>
    <w:p>
      <w:pPr>
        <w:adjustRightIn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5.投标人可指派授权代表递交备份文件，授权代表递交备份文件需携带法定代表人授权书原件，于投标截止时间前到达开标地点递交。</w:t>
      </w:r>
    </w:p>
    <w:p>
      <w:pPr>
        <w:adjustRightInd w:val="0"/>
        <w:spacing w:line="500" w:lineRule="exact"/>
        <w:ind w:left="420" w:left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6.特别提醒</w:t>
      </w:r>
    </w:p>
    <w:p>
      <w:pPr>
        <w:numPr>
          <w:ilvl w:val="0"/>
          <w:numId w:val="6"/>
        </w:numPr>
        <w:adjustRightIn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单位负责人为同一人或者存在直接控股、管理关系的不同供应商，不得参加同一合同项下的采购活动。</w:t>
      </w:r>
    </w:p>
    <w:p>
      <w:pPr>
        <w:numPr>
          <w:ilvl w:val="0"/>
          <w:numId w:val="6"/>
        </w:numPr>
        <w:adjustRightIn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除单一来源采购项目外，为采购项目提供整体设计、规范编制或者项目管理、监理、检测等服务的供应商，不得再参加该采购项目的其他采购活动。</w:t>
      </w:r>
    </w:p>
    <w:p>
      <w:pPr>
        <w:adjustRightInd w:val="0"/>
        <w:spacing w:line="500" w:lineRule="exact"/>
        <w:ind w:firstLine="482" w:firstLineChars="200"/>
        <w:jc w:val="left"/>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七、投标截止时间及要求：</w:t>
      </w:r>
      <w:r>
        <w:rPr>
          <w:rFonts w:hint="eastAsia" w:ascii="宋体" w:hAnsi="宋体" w:eastAsia="宋体" w:cs="宋体"/>
          <w:color w:val="auto"/>
          <w:sz w:val="24"/>
          <w:szCs w:val="24"/>
          <w:highlight w:val="none"/>
          <w:u w:val="single"/>
        </w:rPr>
        <w:t xml:space="preserve"> 2025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分整</w:t>
      </w:r>
      <w:r>
        <w:rPr>
          <w:rFonts w:hint="eastAsia" w:ascii="宋体" w:hAnsi="宋体" w:eastAsia="宋体" w:cs="宋体"/>
          <w:bCs/>
          <w:color w:val="auto"/>
          <w:kern w:val="0"/>
          <w:sz w:val="24"/>
          <w:szCs w:val="24"/>
          <w:highlight w:val="none"/>
        </w:rPr>
        <w:t>之前将电子投标文件上传到“</w:t>
      </w:r>
      <w:r>
        <w:rPr>
          <w:rFonts w:hint="eastAsia" w:ascii="宋体" w:hAnsi="宋体" w:eastAsia="宋体" w:cs="宋体"/>
          <w:color w:val="auto"/>
          <w:sz w:val="24"/>
          <w:szCs w:val="24"/>
          <w:highlight w:val="none"/>
        </w:rPr>
        <w:t>乐采云</w:t>
      </w:r>
      <w:r>
        <w:rPr>
          <w:rFonts w:hint="eastAsia" w:ascii="宋体" w:hAnsi="宋体" w:eastAsia="宋体" w:cs="宋体"/>
          <w:bCs/>
          <w:color w:val="auto"/>
          <w:kern w:val="0"/>
          <w:sz w:val="24"/>
          <w:szCs w:val="24"/>
          <w:highlight w:val="none"/>
        </w:rPr>
        <w:t>”平台。</w:t>
      </w:r>
    </w:p>
    <w:p>
      <w:pPr>
        <w:adjustRightInd w:val="0"/>
        <w:spacing w:line="500" w:lineRule="exact"/>
        <w:ind w:firstLine="482" w:firstLineChars="200"/>
        <w:jc w:val="left"/>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八、开标时间及地点：</w:t>
      </w:r>
      <w:r>
        <w:rPr>
          <w:rFonts w:hint="eastAsia" w:ascii="宋体" w:hAnsi="宋体" w:eastAsia="宋体" w:cs="宋体"/>
          <w:color w:val="auto"/>
          <w:sz w:val="24"/>
          <w:szCs w:val="24"/>
          <w:highlight w:val="none"/>
          <w:u w:val="single"/>
        </w:rPr>
        <w:t xml:space="preserve"> </w:t>
      </w:r>
      <w:bookmarkStart w:id="15" w:name="B30_开标地点"/>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分整</w:t>
      </w:r>
      <w:r>
        <w:rPr>
          <w:rFonts w:hint="eastAsia" w:ascii="宋体" w:cs="宋体"/>
          <w:color w:val="auto"/>
          <w:sz w:val="24"/>
          <w:highlight w:val="none"/>
        </w:rPr>
        <w:t>在浙江筑脸全过程工程咨询有限公司7楼开标室开标</w:t>
      </w:r>
      <w:r>
        <w:rPr>
          <w:rFonts w:hint="eastAsia" w:ascii="宋体" w:hAnsi="宋体" w:eastAsia="宋体" w:cs="宋体"/>
          <w:color w:val="auto"/>
          <w:sz w:val="24"/>
          <w:szCs w:val="24"/>
          <w:highlight w:val="none"/>
        </w:rPr>
        <w:t>。</w:t>
      </w:r>
      <w:bookmarkEnd w:id="15"/>
    </w:p>
    <w:p>
      <w:pPr>
        <w:adjustRightIn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开标时间后30分钟内（当日</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 00 前）供应商可以登录“乐采云”平台，用“项目采购-开标评标”功能进行解密投标文件。若供应商在规定时间内（当日10 : 00 前）解密失败，则由采购代理机构工作人员上传投标人提供的备份文件。备份文件（后缀名为.bfbs）须存储在U盘中，与上传的电子投标文件一致，用信封进行密封并盖章，由授权代表在投标截止时间前递交至开标地点。若电子投标文件正常解锁，则U盘退还给供应商；若解锁失败，则由采购代理机构将U盘中的备份文件上传，该U盘将由采购代理机构保存。</w:t>
      </w:r>
    </w:p>
    <w:p>
      <w:pPr>
        <w:adjustRightInd w:val="0"/>
        <w:spacing w:line="50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本次开标（不）提供现场视频。</w:t>
      </w:r>
    </w:p>
    <w:p>
      <w:pPr>
        <w:autoSpaceDE w:val="0"/>
        <w:autoSpaceDN w:val="0"/>
        <w:adjustRightInd w:val="0"/>
        <w:snapToGrid w:val="0"/>
        <w:spacing w:line="500" w:lineRule="exact"/>
        <w:ind w:firstLine="482" w:firstLineChars="200"/>
        <w:jc w:val="left"/>
        <w:textAlignment w:val="bottom"/>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九、询价保证金：</w:t>
      </w:r>
      <w:r>
        <w:rPr>
          <w:rFonts w:hint="eastAsia" w:ascii="宋体" w:hAnsi="宋体" w:eastAsia="宋体" w:cs="宋体"/>
          <w:b/>
          <w:color w:val="auto"/>
          <w:kern w:val="0"/>
          <w:sz w:val="24"/>
          <w:szCs w:val="24"/>
          <w:highlight w:val="none"/>
        </w:rPr>
        <w:t>无。</w:t>
      </w:r>
    </w:p>
    <w:p>
      <w:pPr>
        <w:adjustRightInd w:val="0"/>
        <w:spacing w:line="500" w:lineRule="exact"/>
        <w:ind w:firstLine="482" w:firstLineChars="200"/>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十、公告期限：</w:t>
      </w:r>
      <w:r>
        <w:rPr>
          <w:rFonts w:hint="eastAsia" w:ascii="宋体" w:hAnsi="宋体" w:eastAsia="宋体" w:cs="宋体"/>
          <w:color w:val="auto"/>
          <w:sz w:val="24"/>
          <w:szCs w:val="24"/>
          <w:highlight w:val="none"/>
        </w:rPr>
        <w:t>3个工作日</w:t>
      </w:r>
    </w:p>
    <w:p>
      <w:pPr>
        <w:adjustRightInd w:val="0"/>
        <w:spacing w:line="50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十一、联系方式：</w:t>
      </w:r>
    </w:p>
    <w:p>
      <w:pPr>
        <w:adjustRightInd w:val="0"/>
        <w:spacing w:line="500" w:lineRule="exact"/>
        <w:ind w:firstLine="480" w:firstLineChars="200"/>
        <w:rPr>
          <w:rFonts w:ascii="宋体" w:hAnsi="宋体" w:eastAsia="宋体" w:cs="Times New Roman"/>
          <w:color w:val="auto"/>
          <w:kern w:val="0"/>
          <w:sz w:val="24"/>
          <w:szCs w:val="24"/>
          <w:highlight w:val="none"/>
        </w:rPr>
      </w:pP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．采购代理机构名称：浙江筑脸全过程工程咨询有限公司</w:t>
      </w:r>
    </w:p>
    <w:p>
      <w:pPr>
        <w:adjustRightInd w:val="0"/>
        <w:spacing w:line="500" w:lineRule="exact"/>
        <w:ind w:firstLine="480" w:firstLineChars="200"/>
        <w:rPr>
          <w:rFonts w:ascii="宋体" w:hAnsi="宋体" w:eastAsia="宋体" w:cs="Times New Roman"/>
          <w:color w:val="auto"/>
          <w:kern w:val="0"/>
          <w:sz w:val="24"/>
          <w:szCs w:val="24"/>
          <w:highlight w:val="none"/>
        </w:rPr>
      </w:pPr>
      <w:r>
        <w:rPr>
          <w:rFonts w:hint="eastAsia" w:ascii="宋体" w:hAnsi="宋体" w:eastAsia="宋体" w:cs="宋体"/>
          <w:color w:val="auto"/>
          <w:kern w:val="0"/>
          <w:sz w:val="24"/>
          <w:szCs w:val="24"/>
          <w:highlight w:val="none"/>
        </w:rPr>
        <w:t>联系人：袁晓飞</w:t>
      </w:r>
    </w:p>
    <w:p>
      <w:pPr>
        <w:adjustRightInd w:val="0"/>
        <w:spacing w:line="5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联系方式：15257538380</w:t>
      </w:r>
    </w:p>
    <w:p>
      <w:pPr>
        <w:adjustRightInd w:val="0"/>
        <w:spacing w:line="5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地址：绍兴市上虞区百官街道财富广场1#楼（闰土大厦）701</w:t>
      </w:r>
    </w:p>
    <w:p>
      <w:pPr>
        <w:adjustRightInd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．采购人名称：绍兴市上虞区水务物资贸易有限公司</w:t>
      </w:r>
    </w:p>
    <w:p>
      <w:pPr>
        <w:adjustRightIn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r>
        <w:rPr>
          <w:rFonts w:hint="eastAsia" w:ascii="宋体" w:hAnsi="宋体" w:cs="宋体"/>
          <w:color w:val="auto"/>
          <w:sz w:val="24"/>
          <w:highlight w:val="none"/>
        </w:rPr>
        <w:t>章先生</w:t>
      </w:r>
      <w:r>
        <w:rPr>
          <w:rFonts w:hint="eastAsia" w:ascii="宋体" w:hAnsi="宋体" w:eastAsia="宋体" w:cs="宋体"/>
          <w:color w:val="auto"/>
          <w:kern w:val="0"/>
          <w:sz w:val="24"/>
          <w:szCs w:val="24"/>
          <w:highlight w:val="none"/>
        </w:rPr>
        <w:t xml:space="preserve"> </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 xml:space="preserve"> </w:t>
      </w:r>
    </w:p>
    <w:p>
      <w:pPr>
        <w:adjustRightIn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kern w:val="0"/>
          <w:sz w:val="24"/>
          <w:szCs w:val="24"/>
          <w:highlight w:val="none"/>
        </w:rPr>
        <w:t>联系方式：</w:t>
      </w:r>
      <w:r>
        <w:rPr>
          <w:rFonts w:ascii="宋体" w:hAnsi="宋体" w:cs="宋体"/>
          <w:color w:val="auto"/>
          <w:sz w:val="24"/>
          <w:highlight w:val="none"/>
        </w:rPr>
        <w:t>0575-81288222</w:t>
      </w:r>
    </w:p>
    <w:p>
      <w:pPr>
        <w:adjustRightIn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32"/>
          <w:highlight w:val="none"/>
        </w:rPr>
        <w:t>绍兴市上虞区王充路407号</w:t>
      </w:r>
    </w:p>
    <w:p>
      <w:pPr>
        <w:adjustRightInd w:val="0"/>
        <w:spacing w:line="360" w:lineRule="auto"/>
        <w:ind w:firstLine="480" w:firstLineChars="200"/>
        <w:rPr>
          <w:rFonts w:ascii="宋体" w:hAnsi="宋体" w:eastAsia="宋体" w:cs="宋体"/>
          <w:color w:val="auto"/>
          <w:kern w:val="0"/>
          <w:sz w:val="24"/>
          <w:szCs w:val="24"/>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keepNext/>
        <w:keepLines/>
        <w:spacing w:before="260" w:after="260" w:line="416" w:lineRule="auto"/>
        <w:jc w:val="center"/>
        <w:outlineLvl w:val="1"/>
        <w:rPr>
          <w:rFonts w:ascii="宋体" w:hAnsi="宋体" w:eastAsia="宋体" w:cs="Times New Roman"/>
          <w:b/>
          <w:bCs/>
          <w:color w:val="auto"/>
          <w:sz w:val="36"/>
          <w:szCs w:val="36"/>
          <w:highlight w:val="none"/>
        </w:rPr>
      </w:pPr>
      <w:bookmarkStart w:id="16" w:name="_Toc203130182"/>
      <w:bookmarkStart w:id="17" w:name="_Toc78793964"/>
      <w:r>
        <w:rPr>
          <w:rFonts w:hint="eastAsia" w:ascii="宋体" w:hAnsi="宋体" w:eastAsia="宋体" w:cs="Times New Roman"/>
          <w:b/>
          <w:bCs/>
          <w:color w:val="auto"/>
          <w:sz w:val="36"/>
          <w:szCs w:val="36"/>
          <w:highlight w:val="none"/>
        </w:rPr>
        <w:t>第二部分  投标须知</w:t>
      </w:r>
      <w:bookmarkEnd w:id="16"/>
      <w:bookmarkEnd w:id="17"/>
    </w:p>
    <w:p>
      <w:pPr>
        <w:jc w:val="center"/>
        <w:rPr>
          <w:rFonts w:ascii="宋体" w:hAnsi="宋体" w:eastAsia="宋体" w:cs="Times New Roman"/>
          <w:b/>
          <w:color w:val="auto"/>
          <w:sz w:val="28"/>
          <w:szCs w:val="28"/>
          <w:highlight w:val="none"/>
        </w:rPr>
      </w:pPr>
      <w:bookmarkStart w:id="18" w:name="__RefHeading___Toc27081_WPSOffice_Level2"/>
      <w:bookmarkEnd w:id="18"/>
      <w:bookmarkStart w:id="19" w:name="_Toc78793965"/>
      <w:bookmarkStart w:id="20" w:name="_Toc108015173"/>
      <w:r>
        <w:rPr>
          <w:rFonts w:ascii="宋体" w:hAnsi="宋体" w:eastAsia="宋体" w:cs="Times New Roman"/>
          <w:b/>
          <w:color w:val="auto"/>
          <w:sz w:val="28"/>
          <w:szCs w:val="28"/>
          <w:highlight w:val="none"/>
        </w:rPr>
        <w:t>前附表</w:t>
      </w:r>
      <w:bookmarkEnd w:id="19"/>
      <w:bookmarkEnd w:id="20"/>
    </w:p>
    <w:tbl>
      <w:tblPr>
        <w:tblStyle w:val="11"/>
        <w:tblW w:w="938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786"/>
        <w:gridCol w:w="694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blHeader/>
          <w:jc w:val="center"/>
        </w:trPr>
        <w:tc>
          <w:tcPr>
            <w:tcW w:w="648" w:type="dxa"/>
            <w:vAlign w:val="center"/>
          </w:tcPr>
          <w:p>
            <w:pPr>
              <w:snapToGrid w:val="0"/>
              <w:spacing w:line="360" w:lineRule="exact"/>
              <w:jc w:val="center"/>
              <w:rPr>
                <w:rFonts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序号</w:t>
            </w:r>
          </w:p>
        </w:tc>
        <w:tc>
          <w:tcPr>
            <w:tcW w:w="1786" w:type="dxa"/>
            <w:vAlign w:val="center"/>
          </w:tcPr>
          <w:p>
            <w:pPr>
              <w:snapToGrid w:val="0"/>
              <w:spacing w:line="360" w:lineRule="exact"/>
              <w:jc w:val="center"/>
              <w:rPr>
                <w:rFonts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项目</w:t>
            </w:r>
          </w:p>
        </w:tc>
        <w:tc>
          <w:tcPr>
            <w:tcW w:w="6946" w:type="dxa"/>
            <w:vAlign w:val="center"/>
          </w:tcPr>
          <w:p>
            <w:pPr>
              <w:snapToGrid w:val="0"/>
              <w:spacing w:line="360" w:lineRule="exact"/>
              <w:jc w:val="center"/>
              <w:rPr>
                <w:rFonts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p>
        </w:tc>
        <w:tc>
          <w:tcPr>
            <w:tcW w:w="1786"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项目名称</w:t>
            </w:r>
          </w:p>
        </w:tc>
        <w:tc>
          <w:tcPr>
            <w:tcW w:w="6946" w:type="dxa"/>
            <w:vAlign w:val="center"/>
          </w:tcPr>
          <w:p>
            <w:pPr>
              <w:snapToGrid w:val="0"/>
              <w:spacing w:line="360" w:lineRule="exact"/>
              <w:rPr>
                <w:rFonts w:ascii="宋体" w:hAnsi="宋体" w:eastAsia="宋体" w:cs="宋体"/>
                <w:snapToGrid w:val="0"/>
                <w:color w:val="auto"/>
                <w:kern w:val="0"/>
                <w:szCs w:val="21"/>
                <w:highlight w:val="none"/>
              </w:rPr>
            </w:pPr>
            <w:r>
              <w:rPr>
                <w:rFonts w:hint="eastAsia" w:ascii="宋体" w:hAnsi="宋体" w:eastAsia="宋体" w:cs="宋体"/>
                <w:bCs/>
                <w:iCs/>
                <w:snapToGrid w:val="0"/>
                <w:color w:val="auto"/>
                <w:kern w:val="0"/>
                <w:szCs w:val="21"/>
                <w:highlight w:val="none"/>
              </w:rPr>
              <w:t xml:space="preserve"> 上虞区梁湖街道【2021】J9号（曹村地块01-03号）地块（皂湖佳园）建设项目不锈钢管及管件采购项目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w:t>
            </w:r>
          </w:p>
        </w:tc>
        <w:tc>
          <w:tcPr>
            <w:tcW w:w="1786"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项目实施时间</w:t>
            </w:r>
          </w:p>
        </w:tc>
        <w:tc>
          <w:tcPr>
            <w:tcW w:w="6946" w:type="dxa"/>
            <w:vAlign w:val="center"/>
          </w:tcPr>
          <w:p>
            <w:pPr>
              <w:spacing w:line="360" w:lineRule="exact"/>
              <w:ind w:firstLine="422" w:firstLineChars="200"/>
              <w:rPr>
                <w:rFonts w:ascii="宋体" w:hAnsi="宋体" w:eastAsia="宋体" w:cs="宋体"/>
                <w:b/>
                <w:bCs/>
                <w:snapToGrid w:val="0"/>
                <w:color w:val="auto"/>
                <w:kern w:val="0"/>
                <w:szCs w:val="21"/>
                <w:highlight w:val="none"/>
              </w:rPr>
            </w:pPr>
            <w:r>
              <w:rPr>
                <w:rFonts w:hint="eastAsia" w:ascii="宋体" w:hAnsi="宋体" w:eastAsia="宋体" w:cs="宋体"/>
                <w:b/>
                <w:snapToGrid w:val="0"/>
                <w:color w:val="auto"/>
                <w:szCs w:val="21"/>
                <w:highlight w:val="none"/>
              </w:rPr>
              <w:t>公示结束起至 2025年7月25日止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w:t>
            </w:r>
          </w:p>
        </w:tc>
        <w:tc>
          <w:tcPr>
            <w:tcW w:w="1786" w:type="dxa"/>
            <w:vAlign w:val="center"/>
          </w:tcPr>
          <w:p>
            <w:pPr>
              <w:snapToGrid w:val="0"/>
              <w:spacing w:line="360" w:lineRule="exact"/>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最高限价</w:t>
            </w:r>
          </w:p>
        </w:tc>
        <w:tc>
          <w:tcPr>
            <w:tcW w:w="6946" w:type="dxa"/>
            <w:vAlign w:val="center"/>
          </w:tcPr>
          <w:p>
            <w:pPr>
              <w:snapToGrid w:val="0"/>
              <w:spacing w:line="360" w:lineRule="exact"/>
              <w:ind w:firstLine="422" w:firstLineChars="200"/>
              <w:rPr>
                <w:rFonts w:ascii="宋体" w:hAnsi="宋体" w:eastAsia="宋体" w:cs="宋体"/>
                <w:b/>
                <w:snapToGrid w:val="0"/>
                <w:color w:val="auto"/>
                <w:kern w:val="0"/>
                <w:szCs w:val="21"/>
                <w:highlight w:val="none"/>
              </w:rPr>
            </w:pPr>
            <w:r>
              <w:rPr>
                <w:rFonts w:hint="eastAsia" w:asciiTheme="minorEastAsia" w:hAnsiTheme="minorEastAsia" w:cstheme="minorEastAsia"/>
                <w:b/>
                <w:color w:val="auto"/>
                <w:szCs w:val="21"/>
                <w:highlight w:val="none"/>
              </w:rPr>
              <w:t>本项目最高限价为</w:t>
            </w:r>
            <w:r>
              <w:rPr>
                <w:rFonts w:hint="eastAsia" w:ascii="宋体" w:hAnsi="宋体" w:eastAsia="宋体" w:cs="宋体"/>
                <w:b/>
                <w:color w:val="auto"/>
                <w:kern w:val="0"/>
                <w:szCs w:val="21"/>
                <w:highlight w:val="none"/>
                <w:u w:val="single"/>
                <w:lang w:bidi="ar"/>
              </w:rPr>
              <w:t>478463</w:t>
            </w:r>
            <w:r>
              <w:rPr>
                <w:rFonts w:hint="eastAsia" w:asciiTheme="minorEastAsia" w:hAnsiTheme="minorEastAsia" w:cstheme="minorEastAsia"/>
                <w:b/>
                <w:color w:val="auto"/>
                <w:szCs w:val="21"/>
                <w:highlight w:val="none"/>
                <w:u w:val="single"/>
              </w:rPr>
              <w:t>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4</w:t>
            </w:r>
          </w:p>
        </w:tc>
        <w:tc>
          <w:tcPr>
            <w:tcW w:w="1786"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资格审查方式</w:t>
            </w:r>
          </w:p>
        </w:tc>
        <w:tc>
          <w:tcPr>
            <w:tcW w:w="6946" w:type="dxa"/>
            <w:vAlign w:val="center"/>
          </w:tcPr>
          <w:p>
            <w:pPr>
              <w:snapToGrid w:val="0"/>
              <w:spacing w:line="360" w:lineRule="exact"/>
              <w:ind w:firstLine="420" w:firstLineChars="200"/>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资格审查是指开标后，采购人或采购代理机构将依据法律法规和招标文件的规定对投标人的资格进行审查。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w:t>
            </w:r>
          </w:p>
        </w:tc>
        <w:tc>
          <w:tcPr>
            <w:tcW w:w="1786"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踏勘现场</w:t>
            </w:r>
          </w:p>
        </w:tc>
        <w:tc>
          <w:tcPr>
            <w:tcW w:w="6946" w:type="dxa"/>
            <w:vAlign w:val="center"/>
          </w:tcPr>
          <w:p>
            <w:pPr>
              <w:snapToGrid w:val="0"/>
              <w:spacing w:line="360" w:lineRule="exact"/>
              <w:ind w:firstLine="422" w:firstLineChars="200"/>
              <w:rPr>
                <w:rFonts w:ascii="宋体" w:hAnsi="宋体" w:eastAsia="宋体" w:cs="宋体"/>
                <w:snapToGrid w:val="0"/>
                <w:color w:val="auto"/>
                <w:kern w:val="0"/>
                <w:szCs w:val="21"/>
                <w:highlight w:val="none"/>
              </w:rPr>
            </w:pPr>
            <w:r>
              <w:rPr>
                <w:rFonts w:hint="eastAsia" w:ascii="宋体" w:hAnsi="宋体" w:eastAsia="宋体" w:cs="宋体"/>
                <w:b/>
                <w:snapToGrid w:val="0"/>
                <w:color w:val="auto"/>
                <w:kern w:val="0"/>
                <w:szCs w:val="21"/>
                <w:highlight w:val="none"/>
              </w:rPr>
              <w:t>本项目不组织现场踏勘。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w:t>
            </w:r>
          </w:p>
        </w:tc>
        <w:tc>
          <w:tcPr>
            <w:tcW w:w="1786"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询问</w:t>
            </w:r>
          </w:p>
        </w:tc>
        <w:tc>
          <w:tcPr>
            <w:tcW w:w="6946" w:type="dxa"/>
            <w:vAlign w:val="center"/>
          </w:tcPr>
          <w:p>
            <w:pPr>
              <w:snapToGrid w:val="0"/>
              <w:spacing w:line="360" w:lineRule="exact"/>
              <w:ind w:firstLine="420" w:firstLineChars="200"/>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供应商对国企采购活动事项有疑问的，可以向采购机构提出询问，采购人或者招标代理机构应当在3个工作日内对供应商依法提出的询问作出答复，但答复的内容不得涉及商业秘密。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p>
        </w:tc>
        <w:tc>
          <w:tcPr>
            <w:tcW w:w="1786"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rPr>
              <w:t>询价文件的澄清与修改</w:t>
            </w:r>
          </w:p>
        </w:tc>
        <w:tc>
          <w:tcPr>
            <w:tcW w:w="6946" w:type="dxa"/>
            <w:vAlign w:val="center"/>
          </w:tcPr>
          <w:p>
            <w:pPr>
              <w:snapToGrid w:val="0"/>
              <w:spacing w:line="360" w:lineRule="exact"/>
              <w:ind w:firstLine="420" w:firstLineChars="200"/>
              <w:rPr>
                <w:rFonts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rPr>
              <w:t>招标采购单位可以对已发出的询价文件进行必要澄清或者修改，澄清或者修改的内容可能影响响应文件编制的，应当在提交首次响应文件截止时间至少3个工作日前，在询价公告发布的媒体上发布更正公告。本项目询价文件和补充（答疑、澄清）</w:t>
            </w:r>
            <w:r>
              <w:rPr>
                <w:rFonts w:hint="eastAsia" w:ascii="宋体" w:hAnsi="宋体" w:eastAsia="宋体" w:cs="宋体"/>
                <w:snapToGrid w:val="0"/>
                <w:color w:val="auto"/>
                <w:kern w:val="0"/>
                <w:szCs w:val="21"/>
                <w:highlight w:val="none"/>
              </w:rPr>
              <w:t>、修改文件等请自行登录浙江政府采购网或绍兴市上虞区公共资源交易中心网站查看。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8</w:t>
            </w:r>
          </w:p>
        </w:tc>
        <w:tc>
          <w:tcPr>
            <w:tcW w:w="1786"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Theme="minorEastAsia" w:hAnsiTheme="minorEastAsia" w:cstheme="minorEastAsia"/>
                <w:snapToGrid w:val="0"/>
                <w:color w:val="auto"/>
                <w:szCs w:val="21"/>
                <w:highlight w:val="none"/>
              </w:rPr>
              <w:t>询价响应文件组成</w:t>
            </w:r>
          </w:p>
        </w:tc>
        <w:tc>
          <w:tcPr>
            <w:tcW w:w="6946" w:type="dxa"/>
            <w:vAlign w:val="center"/>
          </w:tcPr>
          <w:p>
            <w:pPr>
              <w:snapToGrid w:val="0"/>
              <w:spacing w:line="360" w:lineRule="exact"/>
              <w:ind w:firstLine="420" w:firstLineChars="200"/>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供应商向采购人递交的响应文件由资格文件、技术文件、商务文件、报价文件四部分组成。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w:t>
            </w:r>
          </w:p>
        </w:tc>
        <w:tc>
          <w:tcPr>
            <w:tcW w:w="1786"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评标办法</w:t>
            </w:r>
          </w:p>
        </w:tc>
        <w:tc>
          <w:tcPr>
            <w:tcW w:w="6946" w:type="dxa"/>
            <w:vAlign w:val="center"/>
          </w:tcPr>
          <w:p>
            <w:pPr>
              <w:snapToGrid w:val="0"/>
              <w:spacing w:line="360" w:lineRule="exact"/>
              <w:ind w:firstLine="420" w:firstLineChars="200"/>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最低评标价法，即在全部满足实质性要求的前提下，以报价最低的</w:t>
            </w:r>
            <w:r>
              <w:rPr>
                <w:rFonts w:hint="eastAsia" w:ascii="宋体" w:hAnsi="宋体" w:eastAsia="宋体" w:cs="宋体"/>
                <w:snapToGrid w:val="0"/>
                <w:color w:val="auto"/>
                <w:kern w:val="0"/>
                <w:szCs w:val="21"/>
                <w:highlight w:val="none"/>
                <w:lang w:val="en-US" w:eastAsia="zh-CN"/>
              </w:rPr>
              <w:t>一</w:t>
            </w:r>
            <w:r>
              <w:rPr>
                <w:rFonts w:hint="eastAsia" w:ascii="宋体" w:hAnsi="宋体" w:eastAsia="宋体" w:cs="宋体"/>
                <w:snapToGrid w:val="0"/>
                <w:color w:val="auto"/>
                <w:kern w:val="0"/>
                <w:szCs w:val="21"/>
                <w:highlight w:val="none"/>
              </w:rPr>
              <w:t>家供应商作为成交候选人。如最低报价相同的，则抽签确定成交候选人。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10</w:t>
            </w:r>
          </w:p>
        </w:tc>
        <w:tc>
          <w:tcPr>
            <w:tcW w:w="1786"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投标文件递交地址及截止时间</w:t>
            </w:r>
          </w:p>
        </w:tc>
        <w:tc>
          <w:tcPr>
            <w:tcW w:w="6946" w:type="dxa"/>
            <w:vAlign w:val="center"/>
          </w:tcPr>
          <w:p>
            <w:pPr>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cs="宋体"/>
                <w:snapToGrid w:val="0"/>
                <w:color w:val="auto"/>
                <w:kern w:val="0"/>
                <w:szCs w:val="21"/>
                <w:highlight w:val="none"/>
              </w:rPr>
              <w:t>详见询价公告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w:t>
            </w:r>
          </w:p>
        </w:tc>
        <w:tc>
          <w:tcPr>
            <w:tcW w:w="1786"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开标时间、地点</w:t>
            </w:r>
          </w:p>
        </w:tc>
        <w:tc>
          <w:tcPr>
            <w:tcW w:w="6946" w:type="dxa"/>
            <w:vAlign w:val="center"/>
          </w:tcPr>
          <w:p>
            <w:pPr>
              <w:snapToGrid w:val="0"/>
              <w:spacing w:line="360" w:lineRule="exact"/>
              <w:ind w:firstLine="420" w:firstLineChars="200"/>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开标时间：</w:t>
            </w:r>
            <w:r>
              <w:rPr>
                <w:rFonts w:hint="eastAsia" w:ascii="宋体" w:hAnsi="宋体" w:eastAsia="宋体" w:cs="宋体"/>
                <w:color w:val="auto"/>
                <w:kern w:val="0"/>
                <w:szCs w:val="21"/>
                <w:highlight w:val="none"/>
              </w:rPr>
              <w:t>详见询价公告</w:t>
            </w:r>
          </w:p>
          <w:p>
            <w:pPr>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开标地点：</w:t>
            </w:r>
            <w:r>
              <w:rPr>
                <w:rFonts w:hint="eastAsia" w:ascii="宋体" w:hAnsi="宋体" w:eastAsia="宋体" w:cs="宋体"/>
                <w:color w:val="auto"/>
                <w:kern w:val="0"/>
                <w:szCs w:val="21"/>
                <w:highlight w:val="none"/>
              </w:rPr>
              <w:t>详见询价公告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w:t>
            </w:r>
          </w:p>
        </w:tc>
        <w:tc>
          <w:tcPr>
            <w:tcW w:w="1786" w:type="dxa"/>
            <w:vAlign w:val="center"/>
          </w:tcPr>
          <w:p>
            <w:pPr>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highlight w:val="none"/>
              </w:rPr>
              <w:t>询价响应文件有效期</w:t>
            </w:r>
          </w:p>
        </w:tc>
        <w:tc>
          <w:tcPr>
            <w:tcW w:w="6946" w:type="dxa"/>
            <w:vAlign w:val="center"/>
          </w:tcPr>
          <w:p>
            <w:pPr>
              <w:snapToGrid w:val="0"/>
              <w:spacing w:line="36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highlight w:val="none"/>
              </w:rPr>
              <w:t>响应文件有效期为从提交响应文件的截止之日起90天。供应商的响应文件中承诺的响应文件有效期少于询价文件中载明的响应文件有效期的，询价无效。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w:t>
            </w:r>
          </w:p>
        </w:tc>
        <w:tc>
          <w:tcPr>
            <w:tcW w:w="1786"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询价投标保证金</w:t>
            </w:r>
          </w:p>
        </w:tc>
        <w:tc>
          <w:tcPr>
            <w:tcW w:w="6946" w:type="dxa"/>
            <w:vAlign w:val="center"/>
          </w:tcPr>
          <w:p>
            <w:pPr>
              <w:adjustRightInd w:val="0"/>
              <w:ind w:firstLine="420" w:firstLineChars="200"/>
              <w:rPr>
                <w:rFonts w:ascii="宋体" w:hAnsi="宋体" w:eastAsia="宋体" w:cs="宋体"/>
                <w:color w:val="auto"/>
                <w:kern w:val="0"/>
                <w:szCs w:val="21"/>
                <w:highlight w:val="none"/>
              </w:rPr>
            </w:pPr>
            <w:r>
              <w:rPr>
                <w:rFonts w:hint="eastAsia" w:ascii="宋体" w:hAnsi="宋体" w:eastAsia="宋体" w:cs="宋体"/>
                <w:color w:val="auto"/>
                <w:szCs w:val="21"/>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jc w:val="center"/>
        </w:trPr>
        <w:tc>
          <w:tcPr>
            <w:tcW w:w="648"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w:t>
            </w:r>
          </w:p>
        </w:tc>
        <w:tc>
          <w:tcPr>
            <w:tcW w:w="1786"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履约保证金</w:t>
            </w:r>
          </w:p>
        </w:tc>
        <w:tc>
          <w:tcPr>
            <w:tcW w:w="6946" w:type="dxa"/>
            <w:vAlign w:val="center"/>
          </w:tcPr>
          <w:p>
            <w:pPr>
              <w:snapToGrid w:val="0"/>
              <w:spacing w:line="360" w:lineRule="exact"/>
              <w:ind w:firstLine="420" w:firstLineChars="200"/>
              <w:rPr>
                <w:rFonts w:ascii="宋体" w:hAnsi="宋体" w:eastAsia="宋体" w:cs="宋体"/>
                <w:snapToGrid w:val="0"/>
                <w:color w:val="auto"/>
                <w:kern w:val="0"/>
                <w:szCs w:val="21"/>
                <w:highlight w:val="none"/>
              </w:rPr>
            </w:pPr>
            <w:r>
              <w:rPr>
                <w:rFonts w:hint="eastAsia" w:hAnsi="宋体" w:cs="宋体"/>
                <w:snapToGrid w:val="0"/>
                <w:color w:val="auto"/>
                <w:kern w:val="0"/>
                <w:highlight w:val="none"/>
              </w:rPr>
              <w:t>中标供应商在收到中标通知书后，需向采购人提供合同总价1%的履约保证金；履约保证金的形式：在中标供应商与采购人签订合同前以支票、汇票、本票或者金融机构、保险公司、担保机构出具的保函等非现金形式提交。供货完成后无息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15</w:t>
            </w:r>
          </w:p>
        </w:tc>
        <w:tc>
          <w:tcPr>
            <w:tcW w:w="1786"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采购及中标公告发布媒体</w:t>
            </w:r>
          </w:p>
        </w:tc>
        <w:tc>
          <w:tcPr>
            <w:tcW w:w="6946" w:type="dxa"/>
            <w:vAlign w:val="center"/>
          </w:tcPr>
          <w:p>
            <w:pPr>
              <w:snapToGrid w:val="0"/>
              <w:spacing w:line="36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浙江省政府采购网、 绍兴市上虞区公共资源交易中心网站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786"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质疑</w:t>
            </w:r>
          </w:p>
        </w:tc>
        <w:tc>
          <w:tcPr>
            <w:tcW w:w="6946" w:type="dxa"/>
            <w:vAlign w:val="center"/>
          </w:tcPr>
          <w:p>
            <w:pPr>
              <w:spacing w:line="360" w:lineRule="exact"/>
              <w:ind w:firstLine="420" w:firstLineChars="200"/>
              <w:jc w:val="left"/>
              <w:rPr>
                <w:rFonts w:ascii="宋体" w:hAnsi="宋体" w:eastAsia="宋体" w:cs="宋体"/>
                <w:color w:val="auto"/>
                <w:szCs w:val="21"/>
                <w:highlight w:val="none"/>
              </w:rPr>
            </w:pPr>
            <w:r>
              <w:rPr>
                <w:rFonts w:ascii="宋体" w:hAnsi="宋体" w:eastAsia="宋体" w:cs="Times New Roman"/>
                <w:color w:val="auto"/>
                <w:szCs w:val="21"/>
                <w:highlight w:val="none"/>
              </w:rPr>
              <w:t>供应商认为采购文件、采购过程、中标或者成交结果使自己的权益受到损害的，可以在知道或者应知其权益受到损害之日起7个工作日内，以书面形式向采购人、采购代理机构提出质疑，采购人、采购代理机构应在7个工作日内做好答复工作，但答复内容不得涉及商业秘密。</w:t>
            </w:r>
            <w:r>
              <w:rPr>
                <w:rFonts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w:t>
            </w:r>
            <w:r>
              <w:rPr>
                <w:rFonts w:ascii="宋体" w:hAnsi="宋体" w:eastAsia="宋体" w:cs="宋体"/>
                <w:color w:val="auto"/>
                <w:szCs w:val="21"/>
                <w:highlight w:val="none"/>
              </w:rPr>
              <w:t>《上虞区区属国有企业货物和服务采购管理办法》第四十九条规定的供应商应知其权益</w:t>
            </w:r>
            <w:r>
              <w:rPr>
                <w:rFonts w:hint="eastAsia" w:ascii="宋体" w:hAnsi="宋体" w:eastAsia="宋体" w:cs="宋体"/>
                <w:color w:val="auto"/>
                <w:szCs w:val="21"/>
                <w:highlight w:val="none"/>
              </w:rPr>
              <w:t>受到</w:t>
            </w:r>
            <w:r>
              <w:rPr>
                <w:rFonts w:ascii="宋体" w:hAnsi="宋体" w:eastAsia="宋体" w:cs="宋体"/>
                <w:color w:val="auto"/>
                <w:szCs w:val="21"/>
                <w:highlight w:val="none"/>
              </w:rPr>
              <w:t>损害之日，是指：</w:t>
            </w:r>
          </w:p>
          <w:p>
            <w:pPr>
              <w:spacing w:line="360" w:lineRule="exact"/>
              <w:ind w:firstLine="420" w:firstLineChars="200"/>
              <w:jc w:val="left"/>
              <w:rPr>
                <w:rFonts w:ascii="宋体" w:hAnsi="宋体" w:eastAsia="宋体" w:cs="宋体"/>
                <w:color w:val="auto"/>
                <w:szCs w:val="21"/>
                <w:highlight w:val="none"/>
              </w:rPr>
            </w:pPr>
            <w:r>
              <w:rPr>
                <w:rFonts w:ascii="宋体" w:hAnsi="宋体" w:eastAsia="宋体" w:cs="宋体"/>
                <w:color w:val="auto"/>
                <w:szCs w:val="21"/>
                <w:highlight w:val="none"/>
              </w:rPr>
              <w:t>（一）对可以质疑的采购文件提出质疑的，为收到采购文件之日或者采购文件公告期限届满之日（公告期限届满后获取采购文件的，以公告期限届满之日为准）；</w:t>
            </w:r>
          </w:p>
          <w:p>
            <w:pPr>
              <w:spacing w:line="360" w:lineRule="exact"/>
              <w:ind w:firstLine="420" w:firstLineChars="200"/>
              <w:jc w:val="left"/>
              <w:rPr>
                <w:rFonts w:ascii="宋体" w:hAnsi="宋体" w:eastAsia="宋体" w:cs="宋体"/>
                <w:color w:val="auto"/>
                <w:szCs w:val="21"/>
                <w:highlight w:val="none"/>
              </w:rPr>
            </w:pPr>
            <w:r>
              <w:rPr>
                <w:rFonts w:ascii="宋体" w:hAnsi="宋体" w:eastAsia="宋体" w:cs="宋体"/>
                <w:color w:val="auto"/>
                <w:szCs w:val="21"/>
                <w:highlight w:val="none"/>
              </w:rPr>
              <w:t>（二）对采购过程提出质疑的，为各采购程序环节结束之日；</w:t>
            </w:r>
          </w:p>
          <w:p>
            <w:pPr>
              <w:spacing w:line="360" w:lineRule="exact"/>
              <w:ind w:firstLine="420" w:firstLineChars="200"/>
              <w:jc w:val="left"/>
              <w:rPr>
                <w:rFonts w:ascii="宋体" w:hAnsi="宋体" w:eastAsia="宋体" w:cs="宋体"/>
                <w:color w:val="auto"/>
                <w:szCs w:val="21"/>
                <w:highlight w:val="none"/>
              </w:rPr>
            </w:pPr>
            <w:r>
              <w:rPr>
                <w:rFonts w:ascii="宋体" w:hAnsi="宋体" w:eastAsia="宋体" w:cs="宋体"/>
                <w:color w:val="auto"/>
                <w:szCs w:val="21"/>
                <w:highlight w:val="none"/>
              </w:rPr>
              <w:t>（三）对中标或者成交结果提出质疑的，为中标或者成交结果公告期限届满之日。</w:t>
            </w:r>
          </w:p>
          <w:p>
            <w:pPr>
              <w:snapToGrid w:val="0"/>
              <w:spacing w:line="36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采购评审专家（评标委员会、采购小组）应当协助采购人或者采购代理机构答复供应商的询问和质疑。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72" w:hRule="atLeast"/>
          <w:jc w:val="center"/>
        </w:trPr>
        <w:tc>
          <w:tcPr>
            <w:tcW w:w="648"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17</w:t>
            </w:r>
          </w:p>
        </w:tc>
        <w:tc>
          <w:tcPr>
            <w:tcW w:w="1786"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投诉</w:t>
            </w:r>
          </w:p>
        </w:tc>
        <w:tc>
          <w:tcPr>
            <w:tcW w:w="6946" w:type="dxa"/>
            <w:vAlign w:val="center"/>
          </w:tcPr>
          <w:p>
            <w:pPr>
              <w:snapToGrid w:val="0"/>
              <w:spacing w:line="36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依据《上虞区区属国有企业货物和服务采购管理办法》第五十条的规定：</w:t>
            </w:r>
          </w:p>
          <w:p>
            <w:pPr>
              <w:snapToGrid w:val="0"/>
              <w:spacing w:line="36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质疑供应商对质疑的答复不满意，或者采购人或采购代理机构未在规定时间内答复的，可以在收到答复之日或者答复期满后15个工作日内依法向采购人主管部门投诉。采购人主管部门应当在30个工作日内调查并回应。投诉事项调查期间，采购人主管部门应当通知采购人暂停采购活动。</w:t>
            </w:r>
          </w:p>
          <w:p>
            <w:pPr>
              <w:snapToGrid w:val="0"/>
              <w:spacing w:line="360" w:lineRule="exact"/>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投诉人提交投诉件时，应当提供相关书面证据、依据和其他有关材料。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72" w:hRule="atLeast"/>
          <w:jc w:val="center"/>
        </w:trPr>
        <w:tc>
          <w:tcPr>
            <w:tcW w:w="648"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18</w:t>
            </w:r>
          </w:p>
        </w:tc>
        <w:tc>
          <w:tcPr>
            <w:tcW w:w="178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招标代理服务费</w:t>
            </w:r>
          </w:p>
        </w:tc>
        <w:tc>
          <w:tcPr>
            <w:tcW w:w="6946" w:type="dxa"/>
            <w:vAlign w:val="center"/>
          </w:tcPr>
          <w:p>
            <w:pPr>
              <w:rPr>
                <w:rFonts w:ascii="宋体" w:hAnsi="宋体"/>
                <w:color w:val="auto"/>
                <w:highlight w:val="none"/>
              </w:rPr>
            </w:pPr>
            <w:r>
              <w:rPr>
                <w:rFonts w:hint="eastAsia" w:ascii="宋体" w:hAnsi="宋体"/>
                <w:color w:val="auto"/>
                <w:highlight w:val="none"/>
              </w:rPr>
              <w:t>1.招标代理费用收费标准：本次采购代理费由采购代理机构向成交人收取，</w:t>
            </w:r>
            <w:r>
              <w:rPr>
                <w:rFonts w:hint="eastAsia" w:ascii="宋体" w:hAnsi="宋体"/>
                <w:b/>
                <w:color w:val="auto"/>
                <w:highlight w:val="none"/>
              </w:rPr>
              <w:t>费用为</w:t>
            </w:r>
            <w:r>
              <w:rPr>
                <w:rFonts w:hint="eastAsia" w:ascii="宋体" w:hAnsi="宋体"/>
                <w:b/>
                <w:color w:val="auto"/>
                <w:highlight w:val="none"/>
                <w:u w:val="single"/>
              </w:rPr>
              <w:t>4900</w:t>
            </w:r>
            <w:r>
              <w:rPr>
                <w:rFonts w:hint="eastAsia" w:ascii="宋体" w:hAnsi="宋体"/>
                <w:b/>
                <w:color w:val="auto"/>
                <w:highlight w:val="none"/>
              </w:rPr>
              <w:t>元</w:t>
            </w:r>
            <w:r>
              <w:rPr>
                <w:rFonts w:hint="eastAsia" w:ascii="宋体" w:hAnsi="宋体"/>
                <w:color w:val="auto"/>
                <w:highlight w:val="none"/>
              </w:rPr>
              <w:t>（含专家评审相关费用（业主代表除外），如评审时间超过3小时，则按实计取）。</w:t>
            </w:r>
          </w:p>
          <w:p>
            <w:pPr>
              <w:spacing w:line="340" w:lineRule="exact"/>
              <w:rPr>
                <w:rFonts w:ascii="宋体" w:hAnsi="宋体" w:cs="宋体"/>
                <w:snapToGrid w:val="0"/>
                <w:color w:val="auto"/>
                <w:kern w:val="0"/>
                <w:szCs w:val="21"/>
                <w:highlight w:val="none"/>
              </w:rPr>
            </w:pPr>
            <w:r>
              <w:rPr>
                <w:rFonts w:hint="eastAsia" w:ascii="宋体" w:hAnsi="宋体"/>
                <w:color w:val="auto"/>
                <w:highlight w:val="none"/>
              </w:rPr>
              <w:t>2.成交人在成交公告发布之日起5个工作日内向本招标代理机构支付采购代理费，确认到账后领取成交通知书。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w:t>
            </w:r>
          </w:p>
        </w:tc>
        <w:tc>
          <w:tcPr>
            <w:tcW w:w="1786"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特别说明</w:t>
            </w:r>
          </w:p>
        </w:tc>
        <w:tc>
          <w:tcPr>
            <w:tcW w:w="6946" w:type="dxa"/>
            <w:vAlign w:val="center"/>
          </w:tcPr>
          <w:p>
            <w:pPr>
              <w:snapToGrid w:val="0"/>
              <w:spacing w:line="36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无条件的、认真仔细的阅读本招标文件及其澄清答疑、修改答复的补充文件，严格按照招标文件及补充文件的规定和要求编制投标文件。在编制投标文件过程中，应严格遵循实事求是、诚信投标的原则，针对招标文件中的采购需求、合同条款等各项内容进行确认，如有偏离，应如实填写响应偏离表。</w:t>
            </w:r>
          </w:p>
          <w:p>
            <w:pPr>
              <w:snapToGrid w:val="0"/>
              <w:spacing w:line="36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pPr>
              <w:snapToGrid w:val="0"/>
              <w:spacing w:line="360" w:lineRule="exact"/>
              <w:ind w:firstLine="420" w:firstLineChars="200"/>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招标文件中凡标注“</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”的条款均为实质性要求，不响应的投标文件将作无效标处理。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20</w:t>
            </w:r>
          </w:p>
        </w:tc>
        <w:tc>
          <w:tcPr>
            <w:tcW w:w="1786" w:type="dxa"/>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946" w:type="dxa"/>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u w:val="single"/>
              </w:rPr>
              <w:t>不允许</w:t>
            </w:r>
            <w:r>
              <w:rPr>
                <w:rFonts w:hint="eastAsia" w:ascii="宋体" w:hAnsi="宋体" w:eastAsia="宋体" w:cs="宋体"/>
                <w:color w:val="auto"/>
                <w:szCs w:val="21"/>
                <w:highlight w:val="none"/>
              </w:rPr>
              <w:t>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w:t>
            </w:r>
          </w:p>
        </w:tc>
        <w:tc>
          <w:tcPr>
            <w:tcW w:w="1786" w:type="dxa"/>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是否提供样品</w:t>
            </w:r>
          </w:p>
        </w:tc>
        <w:tc>
          <w:tcPr>
            <w:tcW w:w="6946" w:type="dxa"/>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u w:val="single"/>
              </w:rPr>
              <w:t>不需要</w:t>
            </w:r>
            <w:r>
              <w:rPr>
                <w:rFonts w:hint="eastAsia" w:ascii="宋体" w:hAnsi="宋体" w:eastAsia="宋体" w:cs="宋体"/>
                <w:color w:val="auto"/>
                <w:szCs w:val="21"/>
                <w:highlight w:val="none"/>
              </w:rPr>
              <w:t>提供样品。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w:t>
            </w:r>
          </w:p>
        </w:tc>
        <w:tc>
          <w:tcPr>
            <w:tcW w:w="1786" w:type="dxa"/>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是否提供演示</w:t>
            </w:r>
          </w:p>
        </w:tc>
        <w:tc>
          <w:tcPr>
            <w:tcW w:w="6946" w:type="dxa"/>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u w:val="single"/>
              </w:rPr>
              <w:t>不需要</w:t>
            </w:r>
            <w:r>
              <w:rPr>
                <w:rFonts w:hint="eastAsia" w:ascii="宋体" w:hAnsi="宋体" w:eastAsia="宋体" w:cs="宋体"/>
                <w:color w:val="auto"/>
                <w:szCs w:val="21"/>
                <w:highlight w:val="none"/>
              </w:rPr>
              <w:t>提供演示。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48"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w:t>
            </w:r>
          </w:p>
        </w:tc>
        <w:tc>
          <w:tcPr>
            <w:tcW w:w="1786" w:type="dxa"/>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投标人信用信息查询渠道及截止时点、信用信息查询记录和证据留存的具体方式、信用信息的使用规则</w:t>
            </w:r>
          </w:p>
        </w:tc>
        <w:tc>
          <w:tcPr>
            <w:tcW w:w="6946" w:type="dxa"/>
            <w:vAlign w:val="center"/>
          </w:tcPr>
          <w:p>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1、查询渠道：信用中国（网址：http://www.creditchina.gov.cn）、中国政府采购网(网址：http://www.ccgp.gov.cn）。</w:t>
            </w:r>
          </w:p>
          <w:p>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2、截止时点：开标后评标前。</w:t>
            </w:r>
          </w:p>
          <w:p>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3、信用信息查询记录和证据留存的具体方式：由采购组织机构在规定查询时间内打印信用信息查询记录并归入项目档案。</w:t>
            </w:r>
          </w:p>
          <w:p>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使用规则：对列入失信被执行人、重大税收违法失信主体、政府采购严重违法失信行为记录名单及其他不符合《上虞区区属国有企业货物和服务采购管理办法》第十八条规定条件的供应商，将被拒绝其参与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3" w:hRule="atLeast"/>
          <w:jc w:val="center"/>
        </w:trPr>
        <w:tc>
          <w:tcPr>
            <w:tcW w:w="648" w:type="dxa"/>
            <w:vAlign w:val="center"/>
          </w:tcPr>
          <w:p>
            <w:pPr>
              <w:snapToGrid w:val="0"/>
              <w:spacing w:line="360" w:lineRule="exact"/>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w:t>
            </w:r>
          </w:p>
        </w:tc>
        <w:tc>
          <w:tcPr>
            <w:tcW w:w="1786" w:type="dxa"/>
            <w:vAlign w:val="center"/>
          </w:tcPr>
          <w:p>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946" w:type="dxa"/>
            <w:vAlign w:val="center"/>
          </w:tcPr>
          <w:p>
            <w:pPr>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1、本招标文件要求提供的身份证复印件皆需提供正反面，否则按不提供处理。</w:t>
            </w:r>
          </w:p>
          <w:p>
            <w:pPr>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2、本项目货物如涉及柴油动力移动源，柴油动力移动源应当符合低排放要求。</w:t>
            </w:r>
          </w:p>
        </w:tc>
      </w:tr>
    </w:tbl>
    <w:p>
      <w:pPr>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注：以上内容如有变化将另行通知。如通知其中某一内容发生变化，其余未提及的将不作变动。</w:t>
      </w:r>
    </w:p>
    <w:p>
      <w:pPr>
        <w:jc w:val="center"/>
        <w:rPr>
          <w:rFonts w:ascii="Times New Roman" w:hAnsi="Times New Roman" w:eastAsia="宋体" w:cs="Times New Roman"/>
          <w:color w:val="auto"/>
          <w:szCs w:val="24"/>
          <w:highlight w:val="none"/>
        </w:rPr>
      </w:pPr>
    </w:p>
    <w:p>
      <w:pPr>
        <w:jc w:val="center"/>
        <w:rPr>
          <w:rFonts w:ascii="Times New Roman" w:hAnsi="Times New Roman" w:eastAsia="宋体" w:cs="Times New Roman"/>
          <w:color w:val="auto"/>
          <w:szCs w:val="24"/>
          <w:highlight w:val="none"/>
        </w:rPr>
      </w:pPr>
    </w:p>
    <w:p>
      <w:pPr>
        <w:jc w:val="center"/>
        <w:rPr>
          <w:rFonts w:ascii="Times New Roman" w:hAnsi="Times New Roman" w:eastAsia="宋体" w:cs="Times New Roman"/>
          <w:color w:val="auto"/>
          <w:szCs w:val="24"/>
          <w:highlight w:val="none"/>
        </w:rPr>
      </w:pPr>
    </w:p>
    <w:p>
      <w:pPr>
        <w:jc w:val="center"/>
        <w:rPr>
          <w:rFonts w:ascii="Times New Roman" w:hAnsi="Times New Roman" w:eastAsia="宋体" w:cs="Times New Roman"/>
          <w:color w:val="auto"/>
          <w:szCs w:val="24"/>
          <w:highlight w:val="none"/>
        </w:rPr>
      </w:pPr>
    </w:p>
    <w:p>
      <w:pPr>
        <w:jc w:val="center"/>
        <w:rPr>
          <w:rFonts w:ascii="Times New Roman" w:hAnsi="Times New Roman" w:eastAsia="宋体" w:cs="Times New Roman"/>
          <w:color w:val="auto"/>
          <w:szCs w:val="24"/>
          <w:highlight w:val="none"/>
        </w:rPr>
      </w:pPr>
    </w:p>
    <w:p>
      <w:pPr>
        <w:jc w:val="center"/>
        <w:rPr>
          <w:rFonts w:ascii="Times New Roman" w:hAnsi="Times New Roman" w:eastAsia="宋体" w:cs="Times New Roman"/>
          <w:color w:val="auto"/>
          <w:szCs w:val="24"/>
          <w:highlight w:val="none"/>
        </w:rPr>
      </w:pPr>
    </w:p>
    <w:p>
      <w:pPr>
        <w:jc w:val="center"/>
        <w:rPr>
          <w:rFonts w:ascii="Times New Roman" w:hAnsi="Times New Roman" w:eastAsia="宋体" w:cs="Times New Roman"/>
          <w:color w:val="auto"/>
          <w:szCs w:val="24"/>
          <w:highlight w:val="none"/>
        </w:rPr>
      </w:pPr>
    </w:p>
    <w:p>
      <w:pPr>
        <w:jc w:val="center"/>
        <w:rPr>
          <w:rFonts w:ascii="Times New Roman" w:hAnsi="Times New Roman" w:eastAsia="宋体" w:cs="Times New Roman"/>
          <w:color w:val="auto"/>
          <w:szCs w:val="24"/>
          <w:highlight w:val="none"/>
        </w:rPr>
      </w:pPr>
    </w:p>
    <w:p>
      <w:pPr>
        <w:jc w:val="center"/>
        <w:rPr>
          <w:rFonts w:ascii="Times New Roman" w:hAnsi="Times New Roman" w:eastAsia="宋体" w:cs="Times New Roman"/>
          <w:color w:val="auto"/>
          <w:szCs w:val="24"/>
          <w:highlight w:val="none"/>
        </w:rPr>
      </w:pPr>
    </w:p>
    <w:p>
      <w:pPr>
        <w:jc w:val="center"/>
        <w:rPr>
          <w:rFonts w:ascii="Times New Roman" w:hAnsi="Times New Roman" w:eastAsia="宋体" w:cs="Times New Roman"/>
          <w:color w:val="auto"/>
          <w:szCs w:val="24"/>
          <w:highlight w:val="none"/>
        </w:rPr>
      </w:pPr>
    </w:p>
    <w:p>
      <w:pPr>
        <w:jc w:val="center"/>
        <w:rPr>
          <w:rFonts w:ascii="Times New Roman" w:hAnsi="Times New Roman" w:eastAsia="宋体" w:cs="Times New Roman"/>
          <w:color w:val="auto"/>
          <w:szCs w:val="24"/>
          <w:highlight w:val="none"/>
        </w:rPr>
      </w:pPr>
    </w:p>
    <w:p>
      <w:pPr>
        <w:jc w:val="center"/>
        <w:rPr>
          <w:rFonts w:ascii="Times New Roman" w:hAnsi="Times New Roman" w:eastAsia="宋体" w:cs="Times New Roman"/>
          <w:color w:val="auto"/>
          <w:szCs w:val="24"/>
          <w:highlight w:val="none"/>
        </w:rPr>
      </w:pPr>
    </w:p>
    <w:p>
      <w:pPr>
        <w:jc w:val="center"/>
        <w:rPr>
          <w:rFonts w:ascii="Times New Roman" w:hAnsi="Times New Roman" w:eastAsia="宋体" w:cs="Times New Roman"/>
          <w:color w:val="auto"/>
          <w:szCs w:val="24"/>
          <w:highlight w:val="none"/>
        </w:rPr>
      </w:pPr>
    </w:p>
    <w:p>
      <w:pPr>
        <w:jc w:val="center"/>
        <w:rPr>
          <w:rFonts w:ascii="Times New Roman" w:hAnsi="Times New Roman" w:eastAsia="宋体" w:cs="Times New Roman"/>
          <w:color w:val="auto"/>
          <w:szCs w:val="24"/>
          <w:highlight w:val="none"/>
        </w:rPr>
      </w:pPr>
    </w:p>
    <w:p>
      <w:pPr>
        <w:jc w:val="center"/>
        <w:rPr>
          <w:rFonts w:ascii="Times New Roman" w:hAnsi="Times New Roman" w:eastAsia="宋体" w:cs="Times New Roman"/>
          <w:color w:val="auto"/>
          <w:szCs w:val="24"/>
          <w:highlight w:val="none"/>
        </w:rPr>
      </w:pPr>
    </w:p>
    <w:p>
      <w:pPr>
        <w:jc w:val="center"/>
        <w:rPr>
          <w:rFonts w:ascii="Times New Roman" w:hAnsi="Times New Roman" w:eastAsia="宋体" w:cs="Times New Roman"/>
          <w:color w:val="auto"/>
          <w:szCs w:val="24"/>
          <w:highlight w:val="none"/>
        </w:rPr>
      </w:pPr>
    </w:p>
    <w:p>
      <w:pPr>
        <w:jc w:val="center"/>
        <w:rPr>
          <w:rFonts w:ascii="Times New Roman" w:hAnsi="Times New Roman" w:eastAsia="宋体" w:cs="Times New Roman"/>
          <w:color w:val="auto"/>
          <w:szCs w:val="24"/>
          <w:highlight w:val="none"/>
        </w:rPr>
      </w:pPr>
    </w:p>
    <w:p>
      <w:pPr>
        <w:jc w:val="center"/>
        <w:rPr>
          <w:rFonts w:ascii="Times New Roman" w:hAnsi="Times New Roman" w:eastAsia="宋体" w:cs="Times New Roman"/>
          <w:color w:val="auto"/>
          <w:szCs w:val="24"/>
          <w:highlight w:val="none"/>
        </w:rPr>
      </w:pPr>
    </w:p>
    <w:p>
      <w:pPr>
        <w:jc w:val="center"/>
        <w:rPr>
          <w:rFonts w:ascii="Times New Roman" w:hAnsi="Times New Roman" w:eastAsia="宋体" w:cs="Times New Roman"/>
          <w:color w:val="auto"/>
          <w:szCs w:val="24"/>
          <w:highlight w:val="none"/>
        </w:rPr>
      </w:pPr>
    </w:p>
    <w:p>
      <w:pPr>
        <w:jc w:val="center"/>
        <w:rPr>
          <w:rFonts w:ascii="Times New Roman" w:hAnsi="Times New Roman" w:eastAsia="宋体" w:cs="Times New Roman"/>
          <w:color w:val="auto"/>
          <w:szCs w:val="24"/>
          <w:highlight w:val="none"/>
        </w:rPr>
      </w:pPr>
    </w:p>
    <w:p>
      <w:pPr>
        <w:snapToGrid w:val="0"/>
        <w:spacing w:line="360" w:lineRule="auto"/>
        <w:jc w:val="center"/>
        <w:outlineLvl w:val="1"/>
        <w:rPr>
          <w:rFonts w:ascii="宋体" w:hAnsi="宋体" w:eastAsia="宋体" w:cs="宋体"/>
          <w:b/>
          <w:color w:val="auto"/>
          <w:sz w:val="32"/>
          <w:szCs w:val="24"/>
          <w:highlight w:val="none"/>
        </w:rPr>
      </w:pPr>
      <w:bookmarkStart w:id="21" w:name="_Toc167290505"/>
      <w:bookmarkStart w:id="22" w:name="_Toc203130183"/>
      <w:r>
        <w:rPr>
          <w:rFonts w:hint="eastAsia" w:ascii="宋体" w:hAnsi="宋体" w:eastAsia="宋体" w:cs="宋体"/>
          <w:b/>
          <w:color w:val="auto"/>
          <w:sz w:val="32"/>
          <w:szCs w:val="24"/>
          <w:highlight w:val="none"/>
        </w:rPr>
        <w:t>一、总则</w:t>
      </w:r>
      <w:bookmarkEnd w:id="21"/>
      <w:bookmarkEnd w:id="22"/>
    </w:p>
    <w:p>
      <w:pPr>
        <w:spacing w:line="336" w:lineRule="auto"/>
        <w:ind w:firstLine="482" w:firstLineChars="200"/>
        <w:rPr>
          <w:rFonts w:ascii="宋体" w:hAnsi="宋体" w:eastAsia="宋体" w:cs="宋体"/>
          <w:b/>
          <w:bCs/>
          <w:color w:val="auto"/>
          <w:kern w:val="0"/>
          <w:sz w:val="24"/>
          <w:szCs w:val="24"/>
          <w:highlight w:val="none"/>
        </w:rPr>
      </w:pPr>
      <w:bookmarkStart w:id="23" w:name="_Hlt74730295"/>
      <w:bookmarkEnd w:id="23"/>
      <w:bookmarkStart w:id="24" w:name="_Hlt74714665"/>
      <w:bookmarkEnd w:id="24"/>
      <w:r>
        <w:rPr>
          <w:rFonts w:hint="eastAsia" w:ascii="宋体" w:hAnsi="宋体" w:eastAsia="宋体" w:cs="宋体"/>
          <w:b/>
          <w:bCs/>
          <w:color w:val="auto"/>
          <w:kern w:val="0"/>
          <w:sz w:val="24"/>
          <w:szCs w:val="24"/>
          <w:highlight w:val="none"/>
        </w:rPr>
        <w:t>1、适用范围</w:t>
      </w:r>
    </w:p>
    <w:p>
      <w:pPr>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1.1本次询价工作仅适用于</w:t>
      </w:r>
      <w:r>
        <w:rPr>
          <w:rFonts w:hint="eastAsia" w:ascii="宋体" w:hAnsi="宋体" w:eastAsia="宋体" w:cs="宋体"/>
          <w:color w:val="auto"/>
          <w:kern w:val="0"/>
          <w:sz w:val="24"/>
          <w:szCs w:val="24"/>
          <w:highlight w:val="none"/>
          <w:u w:val="single"/>
        </w:rPr>
        <w:t xml:space="preserve"> 上虞区梁湖街道【2021】J9号（曹村地块01-03号）地块（皂湖佳园）建设项目不锈钢管及管件采购项目    </w:t>
      </w:r>
      <w:r>
        <w:rPr>
          <w:rFonts w:hint="eastAsia" w:ascii="宋体" w:hAnsi="宋体" w:eastAsia="宋体" w:cs="宋体"/>
          <w:color w:val="auto"/>
          <w:kern w:val="0"/>
          <w:sz w:val="24"/>
          <w:szCs w:val="24"/>
          <w:highlight w:val="none"/>
        </w:rPr>
        <w:t>。</w:t>
      </w:r>
    </w:p>
    <w:p>
      <w:pPr>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1.2本项目采购方式采用询价采购方式。</w:t>
      </w:r>
    </w:p>
    <w:p>
      <w:pPr>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2、定义</w:t>
      </w:r>
    </w:p>
    <w:p>
      <w:pPr>
        <w:spacing w:line="336" w:lineRule="auto"/>
        <w:ind w:firstLine="480" w:firstLineChars="200"/>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2.1“</w:t>
      </w:r>
      <w:r>
        <w:rPr>
          <w:rFonts w:hint="eastAsia" w:ascii="宋体" w:hAnsi="宋体" w:eastAsia="宋体" w:cs="宋体"/>
          <w:color w:val="auto"/>
          <w:kern w:val="0"/>
          <w:sz w:val="24"/>
          <w:szCs w:val="24"/>
          <w:highlight w:val="none"/>
          <w:lang w:val="zh-CN"/>
        </w:rPr>
        <w:t>采购人”系指</w:t>
      </w:r>
      <w:r>
        <w:rPr>
          <w:rFonts w:hint="eastAsia" w:ascii="宋体" w:hAnsi="宋体" w:eastAsia="宋体" w:cs="宋体"/>
          <w:color w:val="auto"/>
          <w:kern w:val="0"/>
          <w:sz w:val="24"/>
          <w:szCs w:val="24"/>
          <w:highlight w:val="none"/>
          <w:u w:val="single"/>
          <w:lang w:val="zh-CN"/>
        </w:rPr>
        <w:t>绍兴市上虞区水务物资贸易有限公司</w:t>
      </w:r>
      <w:r>
        <w:rPr>
          <w:rFonts w:hint="eastAsia" w:ascii="宋体" w:hAnsi="宋体" w:eastAsia="宋体" w:cs="宋体"/>
          <w:color w:val="auto"/>
          <w:kern w:val="0"/>
          <w:sz w:val="24"/>
          <w:szCs w:val="24"/>
          <w:highlight w:val="none"/>
        </w:rPr>
        <w:t>。采购人委托</w:t>
      </w:r>
      <w:r>
        <w:rPr>
          <w:rFonts w:hint="eastAsia" w:ascii="宋体" w:hAnsi="宋体" w:eastAsia="宋体" w:cs="宋体"/>
          <w:color w:val="auto"/>
          <w:kern w:val="0"/>
          <w:sz w:val="24"/>
          <w:szCs w:val="24"/>
          <w:highlight w:val="none"/>
          <w:u w:val="single"/>
        </w:rPr>
        <w:t>浙江筑脸全过程工程咨询有限公司</w:t>
      </w:r>
      <w:r>
        <w:rPr>
          <w:rFonts w:hint="eastAsia" w:ascii="宋体" w:hAnsi="宋体" w:eastAsia="宋体" w:cs="宋体"/>
          <w:color w:val="auto"/>
          <w:kern w:val="0"/>
          <w:sz w:val="24"/>
          <w:szCs w:val="24"/>
          <w:highlight w:val="none"/>
        </w:rPr>
        <w:t>为本项目采购代理机构。</w:t>
      </w:r>
    </w:p>
    <w:p>
      <w:pPr>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2.2“询价供应商”系指响应本次采购，参加本次询价的供应商。</w:t>
      </w:r>
    </w:p>
    <w:p>
      <w:pPr>
        <w:spacing w:line="336" w:lineRule="auto"/>
        <w:ind w:firstLine="480" w:firstLineChars="2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2.3</w:t>
      </w:r>
      <w:r>
        <w:rPr>
          <w:rFonts w:hint="eastAsia" w:ascii="宋体" w:hAnsi="宋体" w:eastAsia="宋体" w:cs="宋体"/>
          <w:color w:val="auto"/>
          <w:kern w:val="0"/>
          <w:sz w:val="24"/>
          <w:szCs w:val="24"/>
          <w:highlight w:val="none"/>
          <w:lang w:val="zh-CN"/>
        </w:rPr>
        <w:t>“服务”系指</w:t>
      </w:r>
      <w:r>
        <w:rPr>
          <w:rFonts w:hint="eastAsia" w:ascii="宋体" w:hAnsi="宋体" w:eastAsia="宋体" w:cs="宋体"/>
          <w:color w:val="auto"/>
          <w:kern w:val="0"/>
          <w:sz w:val="24"/>
          <w:szCs w:val="24"/>
          <w:highlight w:val="none"/>
        </w:rPr>
        <w:t>询价供应商按合同规定，须承担的服务的义务</w:t>
      </w:r>
      <w:r>
        <w:rPr>
          <w:rFonts w:hint="eastAsia" w:ascii="宋体" w:hAnsi="宋体" w:eastAsia="宋体" w:cs="宋体"/>
          <w:color w:val="auto"/>
          <w:kern w:val="0"/>
          <w:sz w:val="24"/>
          <w:szCs w:val="24"/>
          <w:highlight w:val="none"/>
          <w:lang w:val="zh-CN"/>
        </w:rPr>
        <w:t>。</w:t>
      </w:r>
    </w:p>
    <w:p>
      <w:pPr>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3、采购项目概况</w:t>
      </w:r>
      <w:r>
        <w:rPr>
          <w:rFonts w:hint="eastAsia" w:ascii="宋体" w:hAnsi="宋体" w:eastAsia="宋体" w:cs="宋体"/>
          <w:b/>
          <w:bCs/>
          <w:color w:val="auto"/>
          <w:kern w:val="0"/>
          <w:sz w:val="24"/>
          <w:szCs w:val="24"/>
          <w:highlight w:val="none"/>
        </w:rPr>
        <w:tab/>
      </w:r>
      <w:r>
        <w:rPr>
          <w:rFonts w:hint="eastAsia" w:ascii="宋体" w:hAnsi="宋体" w:eastAsia="宋体" w:cs="宋体"/>
          <w:b/>
          <w:bCs/>
          <w:color w:val="auto"/>
          <w:kern w:val="0"/>
          <w:sz w:val="24"/>
          <w:szCs w:val="24"/>
          <w:highlight w:val="none"/>
        </w:rPr>
        <w:tab/>
      </w:r>
    </w:p>
    <w:p>
      <w:pPr>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详见询价公告相关内容，主要要求参见本文件第</w:t>
      </w:r>
      <w:r>
        <w:rPr>
          <w:rFonts w:hint="eastAsia" w:ascii="宋体" w:hAnsi="宋体" w:eastAsia="宋体" w:cs="宋体"/>
          <w:color w:val="auto"/>
          <w:kern w:val="0"/>
          <w:sz w:val="24"/>
          <w:szCs w:val="24"/>
          <w:highlight w:val="none"/>
          <w:u w:val="single"/>
        </w:rPr>
        <w:t>三</w:t>
      </w:r>
      <w:r>
        <w:rPr>
          <w:rFonts w:hint="eastAsia" w:ascii="宋体" w:hAnsi="宋体" w:eastAsia="宋体" w:cs="宋体"/>
          <w:color w:val="auto"/>
          <w:kern w:val="0"/>
          <w:sz w:val="24"/>
          <w:szCs w:val="24"/>
          <w:highlight w:val="none"/>
        </w:rPr>
        <w:t>部分。</w:t>
      </w:r>
    </w:p>
    <w:p>
      <w:pPr>
        <w:adjustRightInd w:val="0"/>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4、合格的询价供应商</w:t>
      </w:r>
    </w:p>
    <w:p>
      <w:pPr>
        <w:spacing w:line="336" w:lineRule="auto"/>
        <w:ind w:firstLine="480" w:firstLineChars="200"/>
        <w:rPr>
          <w:rFonts w:ascii="宋体" w:hAnsi="宋体" w:eastAsia="宋体" w:cs="宋体"/>
          <w:color w:val="auto"/>
          <w:kern w:val="0"/>
          <w:sz w:val="24"/>
          <w:szCs w:val="24"/>
          <w:highlight w:val="none"/>
        </w:rPr>
      </w:pPr>
      <w:bookmarkStart w:id="25" w:name="_Toc209504018"/>
      <w:bookmarkStart w:id="26" w:name="_Toc208287611"/>
      <w:bookmarkStart w:id="27" w:name="_Toc197053926"/>
      <w:bookmarkStart w:id="28" w:name="_Toc197657950"/>
      <w:bookmarkStart w:id="29" w:name="_Toc208913145"/>
      <w:bookmarkStart w:id="30" w:name="_Toc209435242"/>
      <w:bookmarkStart w:id="31" w:name="_Toc193538208"/>
      <w:bookmarkStart w:id="32" w:name="_Toc193523219"/>
      <w:bookmarkStart w:id="33" w:name="_Toc204683265"/>
      <w:bookmarkStart w:id="34" w:name="_Toc197156227"/>
      <w:bookmarkStart w:id="35" w:name="_Toc211412066"/>
      <w:bookmarkStart w:id="36" w:name="_Toc197163261"/>
      <w:bookmarkStart w:id="37" w:name="_Toc209520993"/>
      <w:bookmarkStart w:id="38" w:name="_Toc207946571"/>
      <w:r>
        <w:rPr>
          <w:rFonts w:hint="eastAsia" w:ascii="宋体" w:hAnsi="宋体" w:eastAsia="宋体" w:cs="宋体"/>
          <w:color w:val="auto"/>
          <w:kern w:val="0"/>
          <w:sz w:val="24"/>
          <w:szCs w:val="24"/>
          <w:highlight w:val="none"/>
        </w:rPr>
        <w:t>详见询价采购公告询价供应商的资格要求规定。</w:t>
      </w:r>
      <w:bookmarkEnd w:id="25"/>
      <w:bookmarkEnd w:id="26"/>
      <w:bookmarkEnd w:id="27"/>
      <w:bookmarkEnd w:id="28"/>
      <w:bookmarkEnd w:id="29"/>
      <w:bookmarkEnd w:id="30"/>
      <w:bookmarkEnd w:id="31"/>
      <w:bookmarkEnd w:id="32"/>
      <w:bookmarkEnd w:id="33"/>
      <w:bookmarkEnd w:id="34"/>
      <w:bookmarkEnd w:id="35"/>
      <w:bookmarkEnd w:id="36"/>
      <w:bookmarkEnd w:id="37"/>
      <w:bookmarkEnd w:id="38"/>
    </w:p>
    <w:p>
      <w:pPr>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5、询价费用</w:t>
      </w:r>
    </w:p>
    <w:p>
      <w:pPr>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询价供应商应承担其参加询价所涉及的一切费用，不管结果如何，采购人对上述费用不负任何责任。</w:t>
      </w:r>
    </w:p>
    <w:p>
      <w:pPr>
        <w:pStyle w:val="17"/>
        <w:keepNext/>
        <w:numPr>
          <w:ilvl w:val="0"/>
          <w:numId w:val="7"/>
        </w:numPr>
        <w:spacing w:line="216" w:lineRule="auto"/>
        <w:ind w:firstLineChars="0"/>
        <w:jc w:val="center"/>
        <w:outlineLvl w:val="1"/>
        <w:rPr>
          <w:rFonts w:ascii="宋体" w:hAnsi="宋体" w:eastAsia="宋体" w:cs="宋体"/>
          <w:b/>
          <w:bCs/>
          <w:color w:val="auto"/>
          <w:kern w:val="0"/>
          <w:sz w:val="28"/>
          <w:szCs w:val="28"/>
          <w:highlight w:val="none"/>
        </w:rPr>
      </w:pPr>
      <w:bookmarkStart w:id="39" w:name="_Toc203130184"/>
      <w:bookmarkStart w:id="40" w:name="_Toc25923"/>
      <w:bookmarkStart w:id="41" w:name="_Toc29919"/>
      <w:bookmarkStart w:id="42" w:name="_Toc11814"/>
      <w:bookmarkStart w:id="43" w:name="_Toc416992151"/>
      <w:bookmarkStart w:id="44" w:name="_Toc32689"/>
      <w:r>
        <w:rPr>
          <w:rFonts w:hint="eastAsia" w:ascii="宋体" w:hAnsi="宋体" w:eastAsia="宋体" w:cs="宋体"/>
          <w:b/>
          <w:bCs/>
          <w:color w:val="auto"/>
          <w:kern w:val="0"/>
          <w:sz w:val="28"/>
          <w:szCs w:val="28"/>
          <w:highlight w:val="none"/>
        </w:rPr>
        <w:t>询价文件</w:t>
      </w:r>
      <w:bookmarkEnd w:id="39"/>
      <w:bookmarkEnd w:id="40"/>
      <w:bookmarkEnd w:id="41"/>
      <w:bookmarkEnd w:id="42"/>
      <w:bookmarkEnd w:id="43"/>
      <w:bookmarkEnd w:id="44"/>
    </w:p>
    <w:p>
      <w:pPr>
        <w:adjustRightInd w:val="0"/>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6、询价文件的组成</w:t>
      </w:r>
    </w:p>
    <w:p>
      <w:pPr>
        <w:adjustRightInd w:val="0"/>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6.1本询价文件包括目录所示内容及所有按本须知发出的补充资料（如果有）。</w:t>
      </w:r>
    </w:p>
    <w:p>
      <w:pPr>
        <w:adjustRightInd w:val="0"/>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6.2除上述所列内容外，采购人及采购代理机构的任何工作人员对询价供应商所作的任何口头解释、介绍、答复，只能供询价供应商参考，对采购人和询价供应商无任何约束力。</w:t>
      </w:r>
    </w:p>
    <w:p>
      <w:pPr>
        <w:adjustRightInd w:val="0"/>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6.3询价供应商应仔细阅读询价文件的所有内容，按照文件要求提交响应文件，并保证所提交的全部资料的真实性。不按询价文件的要求提供的响应文件和资料，可能导致询价被拒绝。</w:t>
      </w:r>
    </w:p>
    <w:p>
      <w:pPr>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6.4询价文件是成交后签订合同的依据，对双方均具有约束力，凡不遵守询价文件规定或对询价文件的实质性内容不响应的报价，将可能被拒绝或以无效标处理。本询价文件由采购人或采购代理机构进行解释。</w:t>
      </w:r>
    </w:p>
    <w:p>
      <w:pPr>
        <w:adjustRightInd w:val="0"/>
        <w:spacing w:line="336" w:lineRule="auto"/>
        <w:ind w:firstLine="472" w:firstLineChars="196"/>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7、询价文件的澄清与修改</w:t>
      </w:r>
    </w:p>
    <w:p>
      <w:pPr>
        <w:adjustRightInd w:val="0"/>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询价供应商在收到询价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pPr>
        <w:adjustRightInd w:val="0"/>
        <w:spacing w:line="336" w:lineRule="auto"/>
        <w:ind w:right="-252" w:rightChars="-120"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7.2询价供应商要求解释或澄清的问题应以书面形式，并加盖公章、写明日期。</w:t>
      </w:r>
    </w:p>
    <w:p>
      <w:pPr>
        <w:adjustRightInd w:val="0"/>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7.3提交响应文件截止之日前，采购人、采购代理机构可以对已发出的询价文件进行必要的澄清或者修改，澄清或者修改的内容作为询价文件的组成部分。</w:t>
      </w:r>
    </w:p>
    <w:p>
      <w:pPr>
        <w:adjustRightInd w:val="0"/>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7.4询价文件的澄清修改文件及更正补充公告，请自行登录浙江政府采购网或绍兴市上虞区公共资源交易中心网站，在采购公告页面中下载。</w:t>
      </w:r>
    </w:p>
    <w:p>
      <w:pPr>
        <w:adjustRightInd w:val="0"/>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澄清或者修改的内容可能影响响应文件编制的，采购人、采购代理机构将在提交响应文件截止时间至少3个工作日前，以公告形式通知所有获取询价文件的供应商；不足3个工作日的，采购人、采购代理机构可能会顺延提交首次响应文件截止时间。澄清或者修改的内容未对原询价文件作出重大修改或不会影响响应文件编制的，递交首次响应文件截止时间不变。</w:t>
      </w:r>
    </w:p>
    <w:p>
      <w:pPr>
        <w:adjustRightInd w:val="0"/>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7.6询价文件澄清、答复、修改、补充的内容为询价文件的组成部分。</w:t>
      </w:r>
    </w:p>
    <w:p>
      <w:pPr>
        <w:spacing w:line="336" w:lineRule="auto"/>
        <w:ind w:firstLine="42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7.7询价文件发售截止日后，经采购人同意后购买询价文件的询价供应商不得对询价文件和补充文件提出答疑或质疑。</w:t>
      </w:r>
    </w:p>
    <w:p>
      <w:pPr>
        <w:pStyle w:val="17"/>
        <w:keepNext/>
        <w:numPr>
          <w:ilvl w:val="0"/>
          <w:numId w:val="7"/>
        </w:numPr>
        <w:spacing w:line="216" w:lineRule="auto"/>
        <w:ind w:firstLineChars="0"/>
        <w:jc w:val="center"/>
        <w:outlineLvl w:val="1"/>
        <w:rPr>
          <w:rFonts w:ascii="宋体" w:hAnsi="宋体" w:eastAsia="宋体" w:cs="宋体"/>
          <w:b/>
          <w:bCs/>
          <w:color w:val="auto"/>
          <w:kern w:val="0"/>
          <w:sz w:val="28"/>
          <w:szCs w:val="28"/>
          <w:highlight w:val="none"/>
        </w:rPr>
      </w:pPr>
      <w:bookmarkStart w:id="45" w:name="_Toc10669"/>
      <w:bookmarkStart w:id="46" w:name="_Toc11692"/>
      <w:bookmarkStart w:id="47" w:name="_Toc6079"/>
      <w:bookmarkStart w:id="48" w:name="_Toc11515"/>
      <w:bookmarkStart w:id="49" w:name="_Toc14650"/>
      <w:bookmarkStart w:id="50" w:name="_Toc11669"/>
      <w:bookmarkStart w:id="51" w:name="_Toc8860"/>
      <w:bookmarkStart w:id="52" w:name="_Toc23135"/>
      <w:bookmarkStart w:id="53" w:name="_Toc26027"/>
      <w:bookmarkStart w:id="54" w:name="_Toc23975"/>
      <w:bookmarkStart w:id="55" w:name="_Toc7126"/>
      <w:bookmarkStart w:id="56" w:name="_Toc6273"/>
      <w:bookmarkStart w:id="57" w:name="_Toc391298957"/>
      <w:bookmarkStart w:id="58" w:name="_Toc18702"/>
      <w:bookmarkStart w:id="59" w:name="_Toc10810"/>
      <w:bookmarkStart w:id="60" w:name="_Toc1202"/>
      <w:bookmarkStart w:id="61" w:name="_Toc31748"/>
      <w:bookmarkStart w:id="62" w:name="_Toc1828"/>
      <w:bookmarkStart w:id="63" w:name="_Toc26603"/>
      <w:bookmarkStart w:id="64" w:name="_Toc11093"/>
      <w:bookmarkStart w:id="65" w:name="_Toc203130185"/>
      <w:bookmarkStart w:id="66" w:name="_Toc24622"/>
      <w:bookmarkStart w:id="67" w:name="_Toc6457"/>
      <w:bookmarkStart w:id="68" w:name="_Toc1729"/>
      <w:bookmarkStart w:id="69" w:name="_Toc5834"/>
      <w:r>
        <w:rPr>
          <w:rFonts w:hint="eastAsia" w:ascii="宋体" w:hAnsi="宋体" w:eastAsia="宋体" w:cs="宋体"/>
          <w:b/>
          <w:bCs/>
          <w:color w:val="auto"/>
          <w:kern w:val="0"/>
          <w:sz w:val="28"/>
          <w:szCs w:val="28"/>
          <w:highlight w:val="none"/>
        </w:rPr>
        <w:t>询价响应文件的编写</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8、要求</w:t>
      </w:r>
    </w:p>
    <w:p>
      <w:pPr>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供应商应仔细阅读询价文件的所有内容，按照询价文件的要求提交询价响应文件。询价响应文件应对询价文件的要求做出实质性响应，并保证所提供的全部资料的真实性，否则视其为虚假响应，其响应将被否决。</w:t>
      </w:r>
    </w:p>
    <w:p>
      <w:pPr>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8.2报价</w:t>
      </w:r>
    </w:p>
    <w:p>
      <w:pPr>
        <w:spacing w:line="336" w:lineRule="auto"/>
        <w:ind w:firstLine="480" w:firstLineChars="200"/>
        <w:rPr>
          <w:rFonts w:ascii="宋体" w:hAnsi="宋体" w:eastAsia="宋体" w:cs="宋体"/>
          <w:b/>
          <w:bCs/>
          <w:color w:val="auto"/>
          <w:kern w:val="0"/>
          <w:sz w:val="24"/>
          <w:szCs w:val="24"/>
          <w:highlight w:val="none"/>
          <w:shd w:val="clear" w:color="FFFFFF" w:fill="D9D9D9"/>
        </w:rPr>
      </w:pPr>
      <w:r>
        <w:rPr>
          <w:rFonts w:hint="eastAsia" w:ascii="宋体" w:hAnsi="宋体" w:eastAsia="宋体" w:cs="宋体"/>
          <w:color w:val="auto"/>
          <w:kern w:val="0"/>
          <w:sz w:val="24"/>
          <w:szCs w:val="24"/>
          <w:highlight w:val="none"/>
        </w:rPr>
        <w:t>8.2.1本次报价币种为人民币。</w:t>
      </w:r>
    </w:p>
    <w:p>
      <w:pPr>
        <w:widowControl/>
        <w:tabs>
          <w:tab w:val="left" w:pos="0"/>
        </w:tabs>
        <w:adjustRightInd w:val="0"/>
        <w:spacing w:line="336" w:lineRule="auto"/>
        <w:ind w:firstLine="482" w:firstLineChars="200"/>
        <w:jc w:val="left"/>
        <w:rPr>
          <w:rFonts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rPr>
        <w:t>8.2.2 投标报价应包括但不限于设备的设计、制造、供货、发货、配件费、材料费、卸货、指导安装、调试费、保险、人工费、管理费、税费、运费和交付使用、设备在本文规定的质保期内的维修保养，并应保证设备在各方面均能达到正常运行要求的费用，以及招标代理费，以及其它一切不可预见和实际所需的一切其他费用等。如有漏报，视同已包含在其报价中。</w:t>
      </w:r>
    </w:p>
    <w:p>
      <w:pPr>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投标报价固定是指供应商所填写的投标报价在合同实施期间不因市场因素而变动，供应商在计算报价时可考虑一定的风险系数（由供应商自行考虑）。</w:t>
      </w:r>
    </w:p>
    <w:p>
      <w:pPr>
        <w:spacing w:line="336" w:lineRule="auto"/>
        <w:ind w:firstLine="480" w:firstLineChars="200"/>
        <w:rPr>
          <w:rFonts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rPr>
        <w:t>8.2.3供应商的报价作为供应商计算单价或总价的依据，应是完成技术文件中的所有要求，不得以任何理由予以重复，供应商对报价若有说明应在报价一览表备注处注明。任何有选择的报价方案及价格将不予接受。</w:t>
      </w:r>
    </w:p>
    <w:p>
      <w:pPr>
        <w:spacing w:line="336" w:lineRule="auto"/>
        <w:ind w:firstLine="482" w:firstLineChars="200"/>
        <w:rPr>
          <w:rFonts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rPr>
        <w:t>9、响应文件的组成</w:t>
      </w:r>
      <w:r>
        <w:rPr>
          <w:rFonts w:hint="eastAsia" w:ascii="宋体" w:hAnsi="宋体" w:eastAsia="宋体" w:cs="宋体"/>
          <w:b/>
          <w:bCs/>
          <w:color w:val="auto"/>
          <w:kern w:val="0"/>
          <w:sz w:val="24"/>
          <w:szCs w:val="24"/>
          <w:highlight w:val="none"/>
          <w:u w:val="single"/>
        </w:rPr>
        <w:t>（供应商应根据采购文件的要求提供相应的内容且设置关联定位，供应商可查看《供应商-政府采购项目电子交易操作指南》进行操作：https://help.zcygov.cn/web/site_2/2018/12-28/2573.html）</w:t>
      </w:r>
    </w:p>
    <w:p>
      <w:pPr>
        <w:widowControl/>
        <w:tabs>
          <w:tab w:val="left" w:pos="0"/>
        </w:tabs>
        <w:adjustRightInd w:val="0"/>
        <w:spacing w:line="336"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响应文件应当包括以下主要内容：资格文件、技术文件、商务文件、报价文件。</w:t>
      </w:r>
    </w:p>
    <w:p>
      <w:pPr>
        <w:widowControl/>
        <w:numPr>
          <w:ilvl w:val="0"/>
          <w:numId w:val="8"/>
        </w:numPr>
        <w:tabs>
          <w:tab w:val="left" w:pos="1378"/>
          <w:tab w:val="clear" w:pos="0"/>
        </w:tabs>
        <w:adjustRightInd w:val="0"/>
        <w:spacing w:line="336" w:lineRule="auto"/>
        <w:ind w:left="0"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资格文件包括以下内容：</w:t>
      </w:r>
    </w:p>
    <w:p>
      <w:pPr>
        <w:widowControl/>
        <w:numPr>
          <w:ilvl w:val="0"/>
          <w:numId w:val="9"/>
        </w:numPr>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法定代表人授权书（格式见附件）；如法定代表人直接参加询价并对相应文件签字的（签字是指线下签字扫描后上传或者线上进行电子签章），只需提供其身份证复印件，否则则应提供授权代表身份证复印件；</w:t>
      </w:r>
    </w:p>
    <w:p>
      <w:pPr>
        <w:widowControl/>
        <w:numPr>
          <w:ilvl w:val="0"/>
          <w:numId w:val="9"/>
        </w:numPr>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widowControl/>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询价响应文件中提供相关材料），证明其具备实际承担责任的能力和法定的缔结合同能力，可以独立参加政府采购活动，由单位负责人签署相关文件材料；</w:t>
      </w:r>
    </w:p>
    <w:p>
      <w:pPr>
        <w:widowControl/>
        <w:numPr>
          <w:ilvl w:val="0"/>
          <w:numId w:val="9"/>
        </w:numPr>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具有履行合同所必需的产品和专业技术能力的承诺函；（格式自拟）</w:t>
      </w:r>
    </w:p>
    <w:p>
      <w:pPr>
        <w:widowControl/>
        <w:numPr>
          <w:ilvl w:val="0"/>
          <w:numId w:val="9"/>
        </w:numPr>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投标人承诺函。（格式见附件）</w:t>
      </w:r>
    </w:p>
    <w:p>
      <w:pPr>
        <w:widowControl/>
        <w:numPr>
          <w:ilvl w:val="0"/>
          <w:numId w:val="8"/>
        </w:numPr>
        <w:tabs>
          <w:tab w:val="left" w:pos="1378"/>
          <w:tab w:val="clear" w:pos="0"/>
        </w:tabs>
        <w:adjustRightInd w:val="0"/>
        <w:spacing w:line="336" w:lineRule="auto"/>
        <w:ind w:left="0"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技术文件，需要供应商提供以下项所列的技术文件：</w:t>
      </w:r>
    </w:p>
    <w:p>
      <w:pPr>
        <w:widowControl/>
        <w:numPr>
          <w:ilvl w:val="0"/>
          <w:numId w:val="10"/>
        </w:numPr>
        <w:adjustRightInd w:val="0"/>
        <w:spacing w:line="336"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投标项目明细清单（格式见附件）；</w:t>
      </w:r>
    </w:p>
    <w:p>
      <w:pPr>
        <w:widowControl/>
        <w:numPr>
          <w:ilvl w:val="0"/>
          <w:numId w:val="10"/>
        </w:numPr>
        <w:adjustRightInd w:val="0"/>
        <w:spacing w:line="336"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技术响应及建议表（格式见附件）；</w:t>
      </w:r>
    </w:p>
    <w:p>
      <w:pPr>
        <w:widowControl/>
        <w:numPr>
          <w:ilvl w:val="0"/>
          <w:numId w:val="10"/>
        </w:numPr>
        <w:adjustRightInd w:val="0"/>
        <w:spacing w:line="336" w:lineRule="auto"/>
        <w:ind w:firstLine="482" w:firstLineChars="200"/>
        <w:jc w:val="left"/>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提供有效期内地级市及以上卫健委批准的不锈钢管材和管件涉及饮用水卫生安全产品卫生许可批件；</w:t>
      </w:r>
    </w:p>
    <w:p>
      <w:pPr>
        <w:widowControl/>
        <w:numPr>
          <w:ilvl w:val="0"/>
          <w:numId w:val="10"/>
        </w:numPr>
        <w:adjustRightInd w:val="0"/>
        <w:spacing w:line="336" w:lineRule="auto"/>
        <w:ind w:firstLine="482" w:firstLineChars="200"/>
        <w:jc w:val="left"/>
        <w:rPr>
          <w:rFonts w:ascii="宋体" w:hAnsi="宋体" w:eastAsia="宋体" w:cs="宋体"/>
          <w:b/>
          <w:color w:val="auto"/>
          <w:kern w:val="0"/>
          <w:sz w:val="24"/>
          <w:szCs w:val="24"/>
          <w:highlight w:val="none"/>
        </w:rPr>
      </w:pPr>
      <w:r>
        <w:rPr>
          <w:rFonts w:ascii="宋体" w:hAnsi="宋体" w:eastAsia="宋体" w:cs="宋体"/>
          <w:b/>
          <w:color w:val="auto"/>
          <w:sz w:val="24"/>
          <w:szCs w:val="24"/>
          <w:highlight w:val="none"/>
        </w:rPr>
        <w:t>提供有效期内地级市及以上卫健委批准的橡胶圈涉及饮用水卫生安全产品卫生许可批件</w:t>
      </w:r>
      <w:r>
        <w:rPr>
          <w:rFonts w:hint="eastAsia" w:ascii="宋体" w:hAnsi="宋体" w:eastAsia="宋体" w:cs="宋体"/>
          <w:b/>
          <w:color w:val="auto"/>
          <w:sz w:val="24"/>
          <w:szCs w:val="24"/>
          <w:highlight w:val="none"/>
        </w:rPr>
        <w:t>；</w:t>
      </w:r>
    </w:p>
    <w:p>
      <w:pPr>
        <w:widowControl/>
        <w:numPr>
          <w:ilvl w:val="0"/>
          <w:numId w:val="10"/>
        </w:numPr>
        <w:adjustRightInd w:val="0"/>
        <w:spacing w:line="336"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供应商认为需要的其他文件资料。</w:t>
      </w:r>
    </w:p>
    <w:p>
      <w:pPr>
        <w:widowControl/>
        <w:numPr>
          <w:ilvl w:val="0"/>
          <w:numId w:val="8"/>
        </w:numPr>
        <w:tabs>
          <w:tab w:val="left" w:pos="1378"/>
          <w:tab w:val="clear" w:pos="0"/>
        </w:tabs>
        <w:adjustRightInd w:val="0"/>
        <w:spacing w:line="336" w:lineRule="auto"/>
        <w:ind w:left="0"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商务文件包括以下内容：</w:t>
      </w:r>
    </w:p>
    <w:p>
      <w:pPr>
        <w:widowControl/>
        <w:tabs>
          <w:tab w:val="left" w:pos="1378"/>
        </w:tabs>
        <w:adjustRightInd w:val="0"/>
        <w:spacing w:line="336" w:lineRule="auto"/>
        <w:ind w:left="48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 1 \* GB3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①</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 xml:space="preserve">  商务响应表（格式见附件）；</w:t>
      </w:r>
    </w:p>
    <w:p>
      <w:pPr>
        <w:widowControl/>
        <w:tabs>
          <w:tab w:val="left" w:pos="1378"/>
        </w:tabs>
        <w:adjustRightInd w:val="0"/>
        <w:spacing w:line="336" w:lineRule="auto"/>
        <w:ind w:left="48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 2 \* GB3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②</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 xml:space="preserve">  供应商认为需要的其他文件资料。</w:t>
      </w:r>
    </w:p>
    <w:p>
      <w:pPr>
        <w:widowControl/>
        <w:numPr>
          <w:ilvl w:val="0"/>
          <w:numId w:val="8"/>
        </w:numPr>
        <w:tabs>
          <w:tab w:val="left" w:pos="1378"/>
          <w:tab w:val="clear" w:pos="0"/>
        </w:tabs>
        <w:adjustRightInd w:val="0"/>
        <w:spacing w:line="336" w:lineRule="auto"/>
        <w:ind w:left="0"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报价文件包括以下内容：</w:t>
      </w:r>
    </w:p>
    <w:p>
      <w:pPr>
        <w:numPr>
          <w:ilvl w:val="0"/>
          <w:numId w:val="11"/>
        </w:num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宋体"/>
          <w:color w:val="auto"/>
          <w:kern w:val="0"/>
          <w:sz w:val="24"/>
          <w:szCs w:val="24"/>
          <w:highlight w:val="none"/>
        </w:rPr>
        <w:t>询价函（格式见附件）；</w:t>
      </w:r>
    </w:p>
    <w:p>
      <w:pPr>
        <w:numPr>
          <w:ilvl w:val="0"/>
          <w:numId w:val="11"/>
        </w:num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报价一览表（格式见附件）；</w:t>
      </w:r>
    </w:p>
    <w:p>
      <w:pPr>
        <w:numPr>
          <w:ilvl w:val="0"/>
          <w:numId w:val="11"/>
        </w:num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报价明细表（格式见附件）。</w:t>
      </w:r>
    </w:p>
    <w:p>
      <w:pPr>
        <w:widowControl/>
        <w:adjustRightInd w:val="0"/>
        <w:spacing w:line="336" w:lineRule="auto"/>
        <w:ind w:firstLine="482" w:firstLineChars="200"/>
        <w:jc w:val="left"/>
        <w:rPr>
          <w:rFonts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注：“资格文件”、“技术文件”、“商务文件”、“报价文件”须分4个PDF格式分别导入。</w:t>
      </w:r>
    </w:p>
    <w:p>
      <w:pPr>
        <w:widowControl/>
        <w:adjustRightInd w:val="0"/>
        <w:spacing w:line="336" w:lineRule="auto"/>
        <w:ind w:left="420" w:leftChars="200"/>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10．响应文件有效期</w:t>
      </w:r>
    </w:p>
    <w:p>
      <w:pPr>
        <w:widowControl/>
        <w:adjustRightInd w:val="0"/>
        <w:spacing w:line="336"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 响应文件未在询价响应截止时间前完成传输的或者未按时解密的，视为放弃；响应文件解密失败后未提供备份文件或者备份文件也出现异常情况的，亦视为放弃。</w:t>
      </w:r>
    </w:p>
    <w:p>
      <w:pPr>
        <w:widowControl/>
        <w:adjustRightInd w:val="0"/>
        <w:spacing w:line="336"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 响应文件上传后，自询价响应截止日期起，在前附表所列的询价响应文件有效期内有效。</w:t>
      </w:r>
    </w:p>
    <w:p>
      <w:pPr>
        <w:widowControl/>
        <w:adjustRightInd w:val="0"/>
        <w:spacing w:line="336"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 在原定有效期满之前，如果出现特殊情况，采购代理机构可以以书面形式向询价供应商提出延长询价有效期的要求，询价供应商对此须以书面形式予以答复。</w:t>
      </w:r>
    </w:p>
    <w:p>
      <w:pPr>
        <w:widowControl/>
        <w:adjustRightInd w:val="0"/>
        <w:spacing w:line="336" w:lineRule="auto"/>
        <w:ind w:left="420" w:leftChars="200"/>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11．供应商如有下列情况之一者列入不良行为记录：</w:t>
      </w:r>
    </w:p>
    <w:p>
      <w:pPr>
        <w:adjustRightInd w:val="0"/>
        <w:spacing w:line="360" w:lineRule="auto"/>
        <w:ind w:left="420" w:left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 供应商在询价响应文件有效期内撤回投标的；</w:t>
      </w:r>
    </w:p>
    <w:p>
      <w:pPr>
        <w:adjustRightInd w:val="0"/>
        <w:spacing w:line="360" w:lineRule="auto"/>
        <w:ind w:left="420" w:left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 供应商或中标候选人放弃中标或中标候选人资格的；</w:t>
      </w:r>
    </w:p>
    <w:p>
      <w:pPr>
        <w:adjustRightInd w:val="0"/>
        <w:spacing w:line="360" w:lineRule="auto"/>
        <w:ind w:left="420" w:left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11.3 擅自修改或拒绝接受已经确认的条款；</w:t>
      </w:r>
    </w:p>
    <w:p>
      <w:pPr>
        <w:adjustRightInd w:val="0"/>
        <w:spacing w:line="360" w:lineRule="auto"/>
        <w:ind w:left="420" w:left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11.4 成交供应商未按规定与采购人签订合同；</w:t>
      </w:r>
    </w:p>
    <w:p>
      <w:pPr>
        <w:adjustRightInd w:val="0"/>
        <w:spacing w:line="360" w:lineRule="auto"/>
        <w:ind w:left="420" w:left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11.5 未按规定提供履约保证金；</w:t>
      </w:r>
    </w:p>
    <w:p>
      <w:pPr>
        <w:adjustRightInd w:val="0"/>
        <w:spacing w:line="360" w:lineRule="auto"/>
        <w:ind w:left="420" w:left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11.6 供应商采取提供虚假资料等不正当手段的；</w:t>
      </w:r>
    </w:p>
    <w:p>
      <w:pPr>
        <w:adjustRightInd w:val="0"/>
        <w:spacing w:line="360" w:lineRule="auto"/>
        <w:ind w:left="420" w:left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11.7 供应商在投标过程中串通投标的。</w:t>
      </w:r>
    </w:p>
    <w:p>
      <w:pPr>
        <w:widowControl/>
        <w:adjustRightInd w:val="0"/>
        <w:spacing w:line="336" w:lineRule="auto"/>
        <w:ind w:firstLine="482" w:firstLineChars="200"/>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12．响应文件的编制和签署</w:t>
      </w:r>
    </w:p>
    <w:p>
      <w:pPr>
        <w:widowControl/>
        <w:adjustRightInd w:val="0"/>
        <w:spacing w:line="336"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 按询价文件9.1条、9.2条、9.3条、9.4条要求提供的各种文件，响应文件分为资格文件、技术文件、商务文件和报价文件四部分。</w:t>
      </w:r>
    </w:p>
    <w:p>
      <w:pPr>
        <w:widowControl/>
        <w:adjustRightInd w:val="0"/>
        <w:spacing w:line="336"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 响应文件须按附件格式要求进行电子签章，供应商应写全称。（电子询价响应文件中所须加盖公章部分均应采用电子签章）</w:t>
      </w:r>
    </w:p>
    <w:p>
      <w:pPr>
        <w:widowControl/>
        <w:adjustRightInd w:val="0"/>
        <w:spacing w:line="336"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 全套响应文件应无涂改和行间插字，除非这些删改是根据采购代理机构要求进行，或者是供应商造成的必须修改的错误。所修改处应由法定代表人或其授权代表签字盖章予以确认。</w:t>
      </w:r>
    </w:p>
    <w:p>
      <w:pPr>
        <w:widowControl/>
        <w:adjustRightInd w:val="0"/>
        <w:spacing w:line="336"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 由于字迹模糊或表达不清引起的后果由供应商负责。</w:t>
      </w:r>
    </w:p>
    <w:p>
      <w:pPr>
        <w:widowControl/>
        <w:adjustRightInd w:val="0"/>
        <w:spacing w:line="336" w:lineRule="auto"/>
        <w:ind w:firstLine="482" w:firstLineChars="200"/>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13．响应文件的形式</w:t>
      </w:r>
    </w:p>
    <w:p>
      <w:pPr>
        <w:widowControl/>
        <w:adjustRightInd w:val="0"/>
        <w:spacing w:line="336"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响应文件为电子询价响应文件，电子询价响应文件按“乐采云供应商项目采购-电子招投标操作指南”及本询价文件要求制作、加密传输。</w:t>
      </w:r>
    </w:p>
    <w:p>
      <w:pPr>
        <w:keepNext/>
        <w:numPr>
          <w:ilvl w:val="0"/>
          <w:numId w:val="7"/>
        </w:numPr>
        <w:spacing w:line="216" w:lineRule="auto"/>
        <w:jc w:val="center"/>
        <w:outlineLvl w:val="1"/>
        <w:rPr>
          <w:rFonts w:ascii="宋体" w:hAnsi="宋体" w:eastAsia="宋体" w:cs="宋体"/>
          <w:b/>
          <w:bCs/>
          <w:color w:val="auto"/>
          <w:kern w:val="0"/>
          <w:sz w:val="28"/>
          <w:szCs w:val="28"/>
          <w:highlight w:val="none"/>
        </w:rPr>
      </w:pPr>
      <w:bookmarkStart w:id="70" w:name="_Toc31411"/>
      <w:bookmarkStart w:id="71" w:name="_Toc203130186"/>
      <w:bookmarkStart w:id="72" w:name="_Toc1420"/>
      <w:bookmarkStart w:id="73" w:name="_Toc21266"/>
      <w:r>
        <w:rPr>
          <w:rFonts w:hint="eastAsia" w:ascii="宋体" w:hAnsi="宋体" w:eastAsia="宋体" w:cs="宋体"/>
          <w:b/>
          <w:bCs/>
          <w:color w:val="auto"/>
          <w:kern w:val="0"/>
          <w:sz w:val="28"/>
          <w:szCs w:val="28"/>
          <w:highlight w:val="none"/>
        </w:rPr>
        <w:t>响应文件的递交</w:t>
      </w:r>
      <w:bookmarkEnd w:id="70"/>
      <w:bookmarkEnd w:id="71"/>
      <w:bookmarkEnd w:id="72"/>
      <w:bookmarkEnd w:id="73"/>
    </w:p>
    <w:p>
      <w:pPr>
        <w:spacing w:line="336" w:lineRule="auto"/>
        <w:ind w:left="420" w:left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14、询价响应截止期</w:t>
      </w:r>
    </w:p>
    <w:p>
      <w:pPr>
        <w:widowControl/>
        <w:numPr>
          <w:ilvl w:val="0"/>
          <w:numId w:val="12"/>
        </w:numPr>
        <w:adjustRightInd w:val="0"/>
        <w:spacing w:line="336"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必须在规定的询价响应截止时间前在乐采云系统内完成传输，以纸质、电报、电话、传真形式的投标概不接受。为应对响应文件解密失败等异常情况，供应商可指派授权代表在询价响应截止时间之前到达开标地点提交备份文件。</w:t>
      </w:r>
    </w:p>
    <w:p>
      <w:pPr>
        <w:widowControl/>
        <w:numPr>
          <w:ilvl w:val="0"/>
          <w:numId w:val="12"/>
        </w:numPr>
        <w:adjustRightInd w:val="0"/>
        <w:spacing w:line="336"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采购人因故推迟询价响应截止时间，将以公告形式通知。在这种情况下，采购人和供应商的权利和义务将受到新的截止时间的约束。</w:t>
      </w:r>
    </w:p>
    <w:p>
      <w:pPr>
        <w:spacing w:line="336" w:lineRule="auto"/>
        <w:ind w:left="420" w:left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15、响应文件的修改、撤销</w:t>
      </w:r>
    </w:p>
    <w:p>
      <w:pPr>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当在询价响应截止时间前完成电子交易文件的传输递交，询价响应截止时间前可以补充、修改或者撤回电子交易文件。补充或者修改电子交易文件的，应当先行撤回原文件，补充、修改后重新传输递交。询价响应截止时间前未完成传输的，视为响应文件撤回。</w:t>
      </w:r>
    </w:p>
    <w:p>
      <w:pPr>
        <w:keepNext/>
        <w:numPr>
          <w:ilvl w:val="0"/>
          <w:numId w:val="7"/>
        </w:numPr>
        <w:spacing w:line="216" w:lineRule="auto"/>
        <w:jc w:val="center"/>
        <w:outlineLvl w:val="1"/>
        <w:rPr>
          <w:rFonts w:ascii="宋体" w:hAnsi="宋体" w:eastAsia="宋体" w:cs="宋体"/>
          <w:b/>
          <w:bCs/>
          <w:color w:val="auto"/>
          <w:kern w:val="0"/>
          <w:sz w:val="28"/>
          <w:szCs w:val="28"/>
          <w:highlight w:val="none"/>
        </w:rPr>
      </w:pPr>
      <w:bookmarkStart w:id="74" w:name="_Toc203130187"/>
      <w:bookmarkStart w:id="75" w:name="_Toc23341"/>
      <w:bookmarkStart w:id="76" w:name="_Toc24120"/>
      <w:r>
        <w:rPr>
          <w:rFonts w:hint="eastAsia" w:ascii="宋体" w:hAnsi="宋体" w:eastAsia="宋体" w:cs="宋体"/>
          <w:b/>
          <w:bCs/>
          <w:color w:val="auto"/>
          <w:kern w:val="0"/>
          <w:sz w:val="28"/>
          <w:szCs w:val="28"/>
          <w:highlight w:val="none"/>
        </w:rPr>
        <w:t>询价无效的情形</w:t>
      </w:r>
      <w:bookmarkEnd w:id="74"/>
      <w:bookmarkEnd w:id="75"/>
      <w:bookmarkEnd w:id="76"/>
    </w:p>
    <w:p>
      <w:pPr>
        <w:snapToGrid w:val="0"/>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16.无效响应</w:t>
      </w:r>
    </w:p>
    <w:p>
      <w:pPr>
        <w:snapToGrid w:val="0"/>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经过审查，凡不符合有关规定，不响应询价文件的实质性条款，存在以下重大偏离之一的，经询价小组认定，并由采购人报采购办、监督办备案，将因未通过资格性或符合性审查而被作为无效响应处理：</w:t>
      </w:r>
    </w:p>
    <w:p>
      <w:pPr>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16.1未按照询价文件规定要求签署、盖章的；</w:t>
      </w:r>
    </w:p>
    <w:p>
      <w:pPr>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16.2《法定代表人授权书》填写不全、错误、未加盖供应商公章（公章和签字或盖章缺一不可）；</w:t>
      </w:r>
    </w:p>
    <w:p>
      <w:pPr>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16.3个体工商户的身份证明与营业执照不一致的；</w:t>
      </w:r>
    </w:p>
    <w:p>
      <w:pPr>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16.4响应文件中的报价函未加盖供应商的企业公章或填写不全的；</w:t>
      </w:r>
    </w:p>
    <w:p>
      <w:pPr>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16.5报价一经涂改，未在涂改处加盖投标单位公章或者未经法定代表人或其授权代表签字或盖章的；</w:t>
      </w:r>
    </w:p>
    <w:p>
      <w:pPr>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16.6因未按规定的格式填写，内容不全或主要实质性内容字迹模糊辨认不清</w:t>
      </w:r>
      <w:r>
        <w:rPr>
          <w:rFonts w:hint="eastAsia" w:ascii="宋体" w:hAnsi="宋体" w:eastAsia="宋体" w:cs="宋体"/>
          <w:b/>
          <w:bCs/>
          <w:color w:val="auto"/>
          <w:kern w:val="0"/>
          <w:sz w:val="24"/>
          <w:szCs w:val="21"/>
          <w:highlight w:val="none"/>
        </w:rPr>
        <w:t>,经评标委员会认定为无法评审</w:t>
      </w:r>
      <w:r>
        <w:rPr>
          <w:rFonts w:hint="eastAsia" w:ascii="宋体" w:hAnsi="宋体" w:eastAsia="宋体" w:cs="宋体"/>
          <w:b/>
          <w:bCs/>
          <w:color w:val="auto"/>
          <w:kern w:val="0"/>
          <w:sz w:val="24"/>
          <w:szCs w:val="24"/>
          <w:highlight w:val="none"/>
        </w:rPr>
        <w:t>的；</w:t>
      </w:r>
    </w:p>
    <w:p>
      <w:pPr>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16.7出现同一标的物或本次采购产品(服务)内的主要产品(重要组成部分)出现技术、商务描述不一致或前后描述不一致</w:t>
      </w:r>
      <w:r>
        <w:rPr>
          <w:rFonts w:hint="eastAsia" w:ascii="宋体" w:hAnsi="宋体" w:eastAsia="宋体" w:cs="宋体"/>
          <w:b/>
          <w:bCs/>
          <w:color w:val="auto"/>
          <w:kern w:val="0"/>
          <w:sz w:val="24"/>
          <w:szCs w:val="21"/>
          <w:highlight w:val="none"/>
        </w:rPr>
        <w:t>，经评标委员会认定后为无法评审</w:t>
      </w:r>
      <w:r>
        <w:rPr>
          <w:rFonts w:hint="eastAsia" w:ascii="宋体" w:hAnsi="宋体" w:eastAsia="宋体" w:cs="宋体"/>
          <w:b/>
          <w:bCs/>
          <w:color w:val="auto"/>
          <w:kern w:val="0"/>
          <w:sz w:val="24"/>
          <w:szCs w:val="24"/>
          <w:highlight w:val="none"/>
        </w:rPr>
        <w:t>的；</w:t>
      </w:r>
    </w:p>
    <w:p>
      <w:pPr>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16.8响应详细配置清单响应表不真实填写或弄虚作假的；改变询价文件提供的清单中的计量单位、工程数量；</w:t>
      </w:r>
    </w:p>
    <w:p>
      <w:pPr>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16.9对采购产品技术规格未详细应答</w:t>
      </w:r>
      <w:r>
        <w:rPr>
          <w:rFonts w:hint="eastAsia" w:ascii="宋体" w:hAnsi="宋体" w:eastAsia="宋体" w:cs="宋体"/>
          <w:b/>
          <w:bCs/>
          <w:color w:val="auto"/>
          <w:kern w:val="0"/>
          <w:sz w:val="24"/>
          <w:szCs w:val="21"/>
          <w:highlight w:val="none"/>
        </w:rPr>
        <w:t>，致使其技术文件无法评审</w:t>
      </w:r>
      <w:r>
        <w:rPr>
          <w:rFonts w:hint="eastAsia" w:ascii="宋体" w:hAnsi="宋体" w:eastAsia="宋体" w:cs="宋体"/>
          <w:b/>
          <w:bCs/>
          <w:color w:val="auto"/>
          <w:kern w:val="0"/>
          <w:sz w:val="24"/>
          <w:szCs w:val="24"/>
          <w:highlight w:val="none"/>
        </w:rPr>
        <w:t>的；</w:t>
      </w:r>
    </w:p>
    <w:p>
      <w:pPr>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16.10响应文件有采购方不能接受的条件；</w:t>
      </w:r>
    </w:p>
    <w:p>
      <w:pPr>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16.11评标委员会认为供应商的报价明显低于其他通过符合性审查供应商的报价，有可能影响产品质量或者不能诚信履约的，应当要求其在评标现场合理的时间内通过乐采云平台提供线上说明，必要时提交相关证明材料。</w:t>
      </w:r>
    </w:p>
    <w:p>
      <w:pPr>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16.12询价报价超过预算金额或最高限价的；</w:t>
      </w:r>
    </w:p>
    <w:p>
      <w:pPr>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16.13响应文件“商务技术文件资料”部分中出现《报价一览表》或《报价明细表》相关内容的；</w:t>
      </w:r>
    </w:p>
    <w:p>
      <w:pPr>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16.14有重大偏差或实质性不响应询价文件要求的，即“★”的关键性指标及技术参数要求负偏离或缺漏；</w:t>
      </w:r>
    </w:p>
    <w:p>
      <w:pPr>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16.15供应商拒绝按询价文件规定的修正原则对响应文件进行修改的；</w:t>
      </w:r>
    </w:p>
    <w:p>
      <w:pPr>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16.16有下列情形之一的，视为供应商串通投标，其投标无效：</w:t>
      </w:r>
    </w:p>
    <w:p>
      <w:pPr>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16.16.1不同供应商的响应文件由同一单位或者个人编制；</w:t>
      </w:r>
    </w:p>
    <w:p>
      <w:pPr>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16.16.2不同供应商委托同一单位或者个人办理投标事宜；</w:t>
      </w:r>
    </w:p>
    <w:p>
      <w:pPr>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16.16.3不同供应商的响应文件载明的项目管理成员或者联系人员为同一人；</w:t>
      </w:r>
    </w:p>
    <w:p>
      <w:pPr>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16.16.4不同供应商的响应文件异常一致或者投标报价呈规律性差异；</w:t>
      </w:r>
    </w:p>
    <w:p>
      <w:pPr>
        <w:spacing w:line="336"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16.16.5不同供应商提供的响应文件出自同一终端设备的，或在相同Internet主机分配地址（相同IP地址）报名或网上投标的，且经询标澄清供应商无令人信服的理由和可靠证据证明其合理性的</w:t>
      </w:r>
      <w:r>
        <w:rPr>
          <w:rFonts w:hint="eastAsia" w:ascii="宋体" w:hAnsi="宋体" w:eastAsia="宋体" w:cs="宋体"/>
          <w:b/>
          <w:bCs/>
          <w:color w:val="auto"/>
          <w:kern w:val="0"/>
          <w:sz w:val="24"/>
          <w:szCs w:val="21"/>
          <w:highlight w:val="none"/>
        </w:rPr>
        <w:t>，经评标委员会半数以上成员确认有串通投标嫌疑的</w:t>
      </w:r>
      <w:r>
        <w:rPr>
          <w:rFonts w:hint="eastAsia" w:ascii="宋体" w:hAnsi="宋体" w:eastAsia="宋体" w:cs="宋体"/>
          <w:b/>
          <w:bCs/>
          <w:color w:val="auto"/>
          <w:kern w:val="0"/>
          <w:sz w:val="24"/>
          <w:szCs w:val="24"/>
          <w:highlight w:val="none"/>
        </w:rPr>
        <w:t>。</w:t>
      </w:r>
    </w:p>
    <w:p>
      <w:pPr>
        <w:tabs>
          <w:tab w:val="left" w:pos="3870"/>
          <w:tab w:val="left" w:pos="4085"/>
        </w:tabs>
        <w:snapToGrid w:val="0"/>
        <w:spacing w:line="336" w:lineRule="auto"/>
        <w:ind w:firstLine="482" w:firstLineChars="200"/>
        <w:jc w:val="left"/>
        <w:rPr>
          <w:rFonts w:ascii="Times New Roman" w:hAnsi="Times New Roman" w:eastAsia="宋体" w:cs="Times New Roman"/>
          <w:color w:val="auto"/>
          <w:kern w:val="0"/>
          <w:sz w:val="20"/>
          <w:szCs w:val="20"/>
          <w:highlight w:val="none"/>
        </w:rPr>
      </w:pPr>
      <w:r>
        <w:rPr>
          <w:rFonts w:hint="eastAsia" w:ascii="宋体" w:hAnsi="宋体" w:eastAsia="宋体" w:cs="宋体"/>
          <w:b/>
          <w:bCs/>
          <w:color w:val="auto"/>
          <w:kern w:val="0"/>
          <w:sz w:val="24"/>
          <w:szCs w:val="24"/>
          <w:highlight w:val="none"/>
        </w:rPr>
        <w:t>16.17 其他违反法律、法规的情形。</w:t>
      </w:r>
    </w:p>
    <w:p>
      <w:pPr>
        <w:keepNext/>
        <w:numPr>
          <w:ilvl w:val="0"/>
          <w:numId w:val="7"/>
        </w:numPr>
        <w:spacing w:line="216" w:lineRule="auto"/>
        <w:jc w:val="center"/>
        <w:outlineLvl w:val="1"/>
        <w:rPr>
          <w:rFonts w:ascii="宋体" w:hAnsi="宋体" w:eastAsia="宋体" w:cs="宋体"/>
          <w:b/>
          <w:bCs/>
          <w:color w:val="auto"/>
          <w:kern w:val="0"/>
          <w:sz w:val="28"/>
          <w:szCs w:val="28"/>
          <w:highlight w:val="none"/>
        </w:rPr>
      </w:pPr>
      <w:bookmarkStart w:id="77" w:name="_Toc203130188"/>
      <w:bookmarkStart w:id="78" w:name="_Toc6540"/>
      <w:bookmarkStart w:id="79" w:name="_Toc21752"/>
      <w:r>
        <w:rPr>
          <w:rFonts w:hint="eastAsia" w:ascii="宋体" w:hAnsi="宋体" w:eastAsia="宋体" w:cs="宋体"/>
          <w:b/>
          <w:bCs/>
          <w:color w:val="auto"/>
          <w:kern w:val="0"/>
          <w:sz w:val="28"/>
          <w:szCs w:val="28"/>
          <w:highlight w:val="none"/>
        </w:rPr>
        <w:t>采购中止的情形</w:t>
      </w:r>
      <w:bookmarkEnd w:id="77"/>
      <w:bookmarkEnd w:id="78"/>
      <w:bookmarkEnd w:id="79"/>
    </w:p>
    <w:p>
      <w:pPr>
        <w:spacing w:line="336" w:lineRule="auto"/>
        <w:ind w:left="420" w:left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17、</w:t>
      </w:r>
      <w:r>
        <w:rPr>
          <w:rFonts w:hint="eastAsia" w:ascii="宋体" w:hAnsi="宋体" w:eastAsia="宋体" w:cs="宋体"/>
          <w:b/>
          <w:bCs/>
          <w:color w:val="auto"/>
          <w:kern w:val="0"/>
          <w:sz w:val="24"/>
          <w:szCs w:val="24"/>
          <w:highlight w:val="none"/>
          <w:lang w:val="zh-CN"/>
        </w:rPr>
        <w:t>中止电子交易活动和</w:t>
      </w:r>
      <w:r>
        <w:rPr>
          <w:rFonts w:hint="eastAsia" w:ascii="宋体" w:hAnsi="宋体" w:eastAsia="宋体" w:cs="宋体"/>
          <w:b/>
          <w:bCs/>
          <w:color w:val="auto"/>
          <w:kern w:val="0"/>
          <w:sz w:val="24"/>
          <w:szCs w:val="24"/>
          <w:highlight w:val="none"/>
        </w:rPr>
        <w:t>重新组织采购</w:t>
      </w:r>
    </w:p>
    <w:p>
      <w:pPr>
        <w:widowControl/>
        <w:tabs>
          <w:tab w:val="left" w:pos="0"/>
        </w:tabs>
        <w:adjustRightInd w:val="0"/>
        <w:spacing w:line="336" w:lineRule="auto"/>
        <w:ind w:firstLine="480" w:firstLineChars="200"/>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17.1</w:t>
      </w:r>
      <w:r>
        <w:rPr>
          <w:rFonts w:hint="eastAsia" w:ascii="宋体" w:hAnsi="宋体" w:eastAsia="宋体" w:cs="宋体"/>
          <w:color w:val="auto"/>
          <w:kern w:val="0"/>
          <w:sz w:val="24"/>
          <w:szCs w:val="24"/>
          <w:highlight w:val="none"/>
          <w:lang w:val="zh-CN"/>
        </w:rPr>
        <w:t>采购过程中出现以下情形，导致电子交易平台无法正常运行，或者无法保证电子交易的公平、公正和安全时，采购组织机构可中止电子交易活动：</w:t>
      </w:r>
    </w:p>
    <w:p>
      <w:pPr>
        <w:numPr>
          <w:ilvl w:val="0"/>
          <w:numId w:val="13"/>
        </w:numPr>
        <w:tabs>
          <w:tab w:val="left" w:pos="0"/>
        </w:tabs>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电子交易平台发生故障而无法登录访问的；</w:t>
      </w:r>
    </w:p>
    <w:p>
      <w:pPr>
        <w:numPr>
          <w:ilvl w:val="0"/>
          <w:numId w:val="13"/>
        </w:numPr>
        <w:tabs>
          <w:tab w:val="left" w:pos="0"/>
        </w:tabs>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电子交易平台应用或数据库出现错误，不能进行正常操作的；</w:t>
      </w:r>
    </w:p>
    <w:p>
      <w:pPr>
        <w:numPr>
          <w:ilvl w:val="0"/>
          <w:numId w:val="13"/>
        </w:numPr>
        <w:tabs>
          <w:tab w:val="left" w:pos="0"/>
        </w:tabs>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电子交易平台发现严重安全漏洞，有潜在泄密危险的；</w:t>
      </w:r>
    </w:p>
    <w:p>
      <w:pPr>
        <w:numPr>
          <w:ilvl w:val="0"/>
          <w:numId w:val="13"/>
        </w:numPr>
        <w:tabs>
          <w:tab w:val="left" w:pos="0"/>
        </w:tabs>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病毒发作导致不能进行正常操作的；</w:t>
      </w:r>
    </w:p>
    <w:p>
      <w:pPr>
        <w:numPr>
          <w:ilvl w:val="0"/>
          <w:numId w:val="13"/>
        </w:numPr>
        <w:tabs>
          <w:tab w:val="left" w:pos="0"/>
        </w:tabs>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其他无法保证电子交易的公平、公正和安全的情况。</w:t>
      </w:r>
    </w:p>
    <w:p>
      <w:pPr>
        <w:keepNext/>
        <w:numPr>
          <w:ilvl w:val="0"/>
          <w:numId w:val="7"/>
        </w:numPr>
        <w:spacing w:line="216" w:lineRule="auto"/>
        <w:jc w:val="center"/>
        <w:outlineLvl w:val="1"/>
        <w:rPr>
          <w:rFonts w:ascii="宋体" w:hAnsi="宋体" w:eastAsia="宋体" w:cs="宋体"/>
          <w:b/>
          <w:bCs/>
          <w:color w:val="auto"/>
          <w:kern w:val="0"/>
          <w:sz w:val="28"/>
          <w:szCs w:val="28"/>
          <w:highlight w:val="none"/>
        </w:rPr>
      </w:pPr>
      <w:bookmarkStart w:id="80" w:name="_Toc29111"/>
      <w:bookmarkStart w:id="81" w:name="_Toc203130189"/>
      <w:r>
        <w:rPr>
          <w:rFonts w:hint="eastAsia" w:ascii="宋体" w:hAnsi="宋体" w:eastAsia="宋体" w:cs="宋体"/>
          <w:b/>
          <w:bCs/>
          <w:color w:val="auto"/>
          <w:kern w:val="0"/>
          <w:sz w:val="28"/>
          <w:szCs w:val="28"/>
          <w:highlight w:val="none"/>
        </w:rPr>
        <w:t>授予合同</w:t>
      </w:r>
      <w:bookmarkEnd w:id="80"/>
      <w:bookmarkEnd w:id="81"/>
    </w:p>
    <w:p>
      <w:pPr>
        <w:spacing w:line="360" w:lineRule="auto"/>
        <w:ind w:firstLine="482" w:firstLineChars="200"/>
        <w:rPr>
          <w:rFonts w:ascii="宋体" w:hAnsi="宋体" w:eastAsia="宋体" w:cs="宋体"/>
          <w:b/>
          <w:bCs/>
          <w:color w:val="auto"/>
          <w:kern w:val="0"/>
          <w:sz w:val="24"/>
          <w:szCs w:val="32"/>
          <w:highlight w:val="none"/>
        </w:rPr>
      </w:pPr>
      <w:bookmarkStart w:id="82" w:name="_Toc84325929"/>
      <w:bookmarkStart w:id="83" w:name="_Toc81372953"/>
      <w:bookmarkStart w:id="84" w:name="_Toc81372776"/>
      <w:r>
        <w:rPr>
          <w:rFonts w:hint="eastAsia" w:ascii="宋体" w:hAnsi="宋体" w:eastAsia="宋体" w:cs="宋体"/>
          <w:b/>
          <w:bCs/>
          <w:color w:val="auto"/>
          <w:kern w:val="0"/>
          <w:sz w:val="24"/>
          <w:szCs w:val="32"/>
          <w:highlight w:val="none"/>
        </w:rPr>
        <w:t>18.1询价结果：</w:t>
      </w:r>
    </w:p>
    <w:p>
      <w:pPr>
        <w:spacing w:line="360" w:lineRule="auto"/>
        <w:ind w:firstLine="480" w:firstLineChars="200"/>
        <w:rPr>
          <w:rFonts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询价小组完成评定后，向采购人提交经各询价小组成员签字的评审结果报告，并按询价办法确定成交供应商，在浙江政府采购网和绍兴市上虞区公共资源交易中心公告1个工作日，供应商对询价结果如有异议，可在规定时间内以书面形式署名向采购人提出质疑，但需对投诉或质疑内容的真实性承担法律责任。供应商质疑、投诉应当有明确的请求和必要的证明材料，供应商投诉的事项不得超出已质疑事项的范围。</w:t>
      </w:r>
    </w:p>
    <w:p>
      <w:pPr>
        <w:spacing w:line="360" w:lineRule="auto"/>
        <w:ind w:firstLine="482" w:firstLineChars="200"/>
        <w:rPr>
          <w:rFonts w:ascii="宋体" w:hAnsi="宋体" w:eastAsia="宋体" w:cs="宋体"/>
          <w:b/>
          <w:bCs/>
          <w:color w:val="auto"/>
          <w:kern w:val="0"/>
          <w:sz w:val="24"/>
          <w:szCs w:val="32"/>
          <w:highlight w:val="none"/>
        </w:rPr>
      </w:pPr>
      <w:r>
        <w:rPr>
          <w:rFonts w:hint="eastAsia" w:ascii="宋体" w:hAnsi="宋体" w:eastAsia="宋体" w:cs="宋体"/>
          <w:b/>
          <w:bCs/>
          <w:color w:val="auto"/>
          <w:kern w:val="0"/>
          <w:sz w:val="24"/>
          <w:szCs w:val="32"/>
          <w:highlight w:val="none"/>
        </w:rPr>
        <w:t>18.2成交通知和合同授予</w:t>
      </w:r>
    </w:p>
    <w:p>
      <w:pPr>
        <w:spacing w:line="360" w:lineRule="auto"/>
        <w:ind w:firstLine="480" w:firstLineChars="200"/>
        <w:rPr>
          <w:rFonts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（1）采购人应当自中标通知书发出之日起30日内，按照询价文件和成交供应商响应文件的规定，与成交供应商签订书面合同。所签订的合同不得对询价文件确定的事项和成交供应商响应文件作实质性修改。</w:t>
      </w:r>
    </w:p>
    <w:p>
      <w:pPr>
        <w:spacing w:line="360" w:lineRule="auto"/>
        <w:ind w:firstLine="480" w:firstLineChars="200"/>
        <w:rPr>
          <w:rFonts w:ascii="宋体" w:hAnsi="宋体" w:eastAsia="宋体" w:cs="宋体"/>
          <w:color w:val="auto"/>
          <w:kern w:val="0"/>
          <w:sz w:val="20"/>
          <w:szCs w:val="32"/>
          <w:highlight w:val="none"/>
        </w:rPr>
      </w:pPr>
      <w:r>
        <w:rPr>
          <w:rFonts w:hint="eastAsia" w:ascii="宋体" w:hAnsi="宋体" w:eastAsia="宋体" w:cs="宋体"/>
          <w:color w:val="auto"/>
          <w:kern w:val="0"/>
          <w:sz w:val="24"/>
          <w:szCs w:val="32"/>
          <w:highlight w:val="none"/>
        </w:rPr>
        <w:t>（2）中标或者成交供应商拒绝与采购人签订合同的，采购人可以按照评审报告推荐的中标或者成交候选人名单排序，确定下一候选人为中标或者成交供应商，也可以重新开展政府采购活动。</w:t>
      </w:r>
    </w:p>
    <w:p>
      <w:pPr>
        <w:spacing w:line="360" w:lineRule="auto"/>
        <w:ind w:firstLine="482" w:firstLineChars="200"/>
        <w:jc w:val="left"/>
        <w:rPr>
          <w:rFonts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18.3中标通知</w:t>
      </w:r>
    </w:p>
    <w:bookmarkEnd w:id="82"/>
    <w:bookmarkEnd w:id="83"/>
    <w:bookmarkEnd w:id="84"/>
    <w:p>
      <w:pPr>
        <w:spacing w:line="360" w:lineRule="auto"/>
        <w:ind w:firstLine="480" w:firstLineChars="200"/>
        <w:jc w:val="left"/>
        <w:rPr>
          <w:rFonts w:ascii="宋体" w:hAnsi="宋体" w:eastAsia="宋体" w:cs="宋体"/>
          <w:color w:val="auto"/>
          <w:kern w:val="0"/>
          <w:sz w:val="24"/>
          <w:szCs w:val="20"/>
          <w:highlight w:val="none"/>
        </w:rPr>
      </w:pPr>
      <w:r>
        <w:rPr>
          <w:rFonts w:hint="eastAsia" w:ascii="宋体" w:hAnsi="宋体" w:eastAsia="宋体" w:cs="宋体"/>
          <w:color w:val="auto"/>
          <w:kern w:val="0"/>
          <w:sz w:val="24"/>
          <w:szCs w:val="32"/>
          <w:highlight w:val="none"/>
        </w:rPr>
        <w:t>（1）</w:t>
      </w:r>
      <w:r>
        <w:rPr>
          <w:rFonts w:hint="eastAsia" w:ascii="宋体" w:hAnsi="宋体" w:eastAsia="宋体" w:cs="宋体"/>
          <w:color w:val="auto"/>
          <w:kern w:val="0"/>
          <w:sz w:val="24"/>
          <w:szCs w:val="20"/>
          <w:highlight w:val="none"/>
        </w:rPr>
        <w:t>采购代理机构在询价结束后7日内向成交供应商签发中标通知书。</w:t>
      </w:r>
    </w:p>
    <w:p>
      <w:pPr>
        <w:spacing w:line="360" w:lineRule="auto"/>
        <w:ind w:firstLine="480" w:firstLineChars="200"/>
        <w:jc w:val="left"/>
        <w:rPr>
          <w:rFonts w:ascii="宋体" w:hAnsi="宋体" w:eastAsia="宋体" w:cs="宋体"/>
          <w:color w:val="auto"/>
          <w:kern w:val="0"/>
          <w:sz w:val="24"/>
          <w:szCs w:val="20"/>
          <w:highlight w:val="none"/>
        </w:rPr>
      </w:pPr>
      <w:r>
        <w:rPr>
          <w:rFonts w:hint="eastAsia" w:ascii="宋体" w:hAnsi="宋体" w:eastAsia="宋体" w:cs="宋体"/>
          <w:color w:val="auto"/>
          <w:kern w:val="0"/>
          <w:sz w:val="24"/>
          <w:szCs w:val="32"/>
          <w:highlight w:val="none"/>
        </w:rPr>
        <w:t>（2）</w:t>
      </w:r>
      <w:r>
        <w:rPr>
          <w:rFonts w:hint="eastAsia" w:ascii="宋体" w:hAnsi="宋体" w:eastAsia="宋体" w:cs="宋体"/>
          <w:color w:val="auto"/>
          <w:kern w:val="0"/>
          <w:sz w:val="24"/>
          <w:szCs w:val="20"/>
          <w:highlight w:val="none"/>
        </w:rPr>
        <w:t>在采购机构发出成交通知书前，预成交供应商有违反有关法律法规和本项目要求行为的，则取消该供应商的预中标资格，</w:t>
      </w:r>
      <w:r>
        <w:rPr>
          <w:rFonts w:hint="eastAsia" w:ascii="宋体" w:hAnsi="宋体" w:eastAsia="宋体" w:cs="宋体"/>
          <w:color w:val="auto"/>
          <w:kern w:val="0"/>
          <w:sz w:val="24"/>
          <w:szCs w:val="32"/>
          <w:highlight w:val="none"/>
        </w:rPr>
        <w:t>列入政府采购活动不良诚信行为</w:t>
      </w:r>
      <w:r>
        <w:rPr>
          <w:rFonts w:hint="eastAsia" w:ascii="宋体" w:hAnsi="宋体" w:eastAsia="宋体" w:cs="宋体"/>
          <w:color w:val="auto"/>
          <w:kern w:val="0"/>
          <w:sz w:val="24"/>
          <w:szCs w:val="20"/>
          <w:highlight w:val="none"/>
        </w:rPr>
        <w:t>。</w:t>
      </w:r>
    </w:p>
    <w:p>
      <w:pPr>
        <w:widowControl/>
        <w:adjustRightInd w:val="0"/>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32"/>
          <w:highlight w:val="none"/>
        </w:rPr>
        <w:t>（3）</w:t>
      </w:r>
      <w:r>
        <w:rPr>
          <w:rFonts w:hint="eastAsia" w:ascii="宋体" w:hAnsi="宋体" w:eastAsia="宋体" w:cs="宋体"/>
          <w:color w:val="auto"/>
          <w:kern w:val="0"/>
          <w:sz w:val="24"/>
          <w:szCs w:val="24"/>
          <w:highlight w:val="none"/>
        </w:rPr>
        <w:t>采购人、采购机构对中标结果不作任何说明和解释，也不回答任何提问。</w:t>
      </w:r>
    </w:p>
    <w:p>
      <w:pPr>
        <w:adjustRightInd w:val="0"/>
        <w:snapToGrid w:val="0"/>
        <w:spacing w:line="360" w:lineRule="auto"/>
        <w:ind w:firstLine="482" w:firstLineChars="200"/>
        <w:rPr>
          <w:rFonts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18.4解释权</w:t>
      </w:r>
    </w:p>
    <w:p>
      <w:pPr>
        <w:adjustRightInd w:val="0"/>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0"/>
          <w:highlight w:val="none"/>
        </w:rPr>
        <w:t>询价文件的解释权均属于</w:t>
      </w:r>
      <w:r>
        <w:rPr>
          <w:rFonts w:hint="eastAsia" w:ascii="宋体" w:hAnsi="宋体" w:eastAsia="宋体" w:cs="宋体"/>
          <w:color w:val="auto"/>
          <w:kern w:val="0"/>
          <w:sz w:val="24"/>
          <w:szCs w:val="20"/>
          <w:highlight w:val="none"/>
          <w:u w:val="single"/>
        </w:rPr>
        <w:t>绍兴市上虞区水务物资贸易有限公司</w:t>
      </w:r>
      <w:r>
        <w:rPr>
          <w:rFonts w:hint="eastAsia" w:ascii="宋体" w:hAnsi="宋体" w:eastAsia="宋体" w:cs="宋体"/>
          <w:color w:val="auto"/>
          <w:kern w:val="0"/>
          <w:sz w:val="24"/>
          <w:szCs w:val="20"/>
          <w:highlight w:val="none"/>
        </w:rPr>
        <w:t>和</w:t>
      </w:r>
      <w:r>
        <w:rPr>
          <w:rFonts w:hint="eastAsia" w:ascii="宋体" w:hAnsi="宋体" w:eastAsia="宋体" w:cs="宋体"/>
          <w:color w:val="auto"/>
          <w:kern w:val="0"/>
          <w:sz w:val="24"/>
          <w:szCs w:val="20"/>
          <w:highlight w:val="none"/>
          <w:u w:val="single"/>
        </w:rPr>
        <w:t xml:space="preserve"> 浙江筑脸全过程工程咨询有限公司 </w:t>
      </w:r>
      <w:r>
        <w:rPr>
          <w:rFonts w:hint="eastAsia" w:ascii="宋体" w:hAnsi="宋体" w:eastAsia="宋体" w:cs="宋体"/>
          <w:color w:val="auto"/>
          <w:kern w:val="0"/>
          <w:sz w:val="24"/>
          <w:szCs w:val="20"/>
          <w:highlight w:val="none"/>
        </w:rPr>
        <w:t>。</w:t>
      </w: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keepNext/>
        <w:keepLines/>
        <w:spacing w:line="576" w:lineRule="auto"/>
        <w:jc w:val="center"/>
        <w:outlineLvl w:val="0"/>
        <w:rPr>
          <w:rFonts w:ascii="宋体" w:hAnsi="宋体" w:eastAsia="宋体" w:cs="宋体"/>
          <w:b/>
          <w:bCs/>
          <w:color w:val="auto"/>
          <w:kern w:val="44"/>
          <w:sz w:val="36"/>
          <w:szCs w:val="36"/>
          <w:highlight w:val="none"/>
        </w:rPr>
      </w:pPr>
      <w:bookmarkStart w:id="85" w:name="_Toc22347"/>
      <w:bookmarkStart w:id="86" w:name="_Toc21248"/>
      <w:bookmarkStart w:id="87" w:name="_Toc203130190"/>
      <w:r>
        <w:rPr>
          <w:rFonts w:hint="eastAsia" w:ascii="宋体" w:hAnsi="宋体" w:eastAsia="宋体" w:cs="宋体"/>
          <w:b/>
          <w:bCs/>
          <w:color w:val="auto"/>
          <w:kern w:val="44"/>
          <w:sz w:val="36"/>
          <w:szCs w:val="36"/>
          <w:highlight w:val="none"/>
        </w:rPr>
        <w:t>第三部分 采购</w:t>
      </w:r>
      <w:bookmarkEnd w:id="85"/>
      <w:bookmarkEnd w:id="86"/>
      <w:r>
        <w:rPr>
          <w:rFonts w:hint="eastAsia" w:ascii="宋体" w:hAnsi="宋体" w:eastAsia="宋体" w:cs="宋体"/>
          <w:b/>
          <w:bCs/>
          <w:color w:val="auto"/>
          <w:kern w:val="44"/>
          <w:sz w:val="36"/>
          <w:szCs w:val="36"/>
          <w:highlight w:val="none"/>
        </w:rPr>
        <w:t>需求</w:t>
      </w:r>
      <w:bookmarkEnd w:id="87"/>
    </w:p>
    <w:p>
      <w:pPr>
        <w:spacing w:line="360" w:lineRule="auto"/>
        <w:ind w:left="20" w:right="178" w:rightChars="85" w:hanging="20" w:hangingChars="7"/>
        <w:jc w:val="center"/>
        <w:outlineLvl w:val="1"/>
        <w:rPr>
          <w:rFonts w:ascii="宋体" w:hAnsi="宋体" w:eastAsia="宋体" w:cs="宋体"/>
          <w:b/>
          <w:color w:val="auto"/>
          <w:sz w:val="28"/>
          <w:szCs w:val="28"/>
          <w:highlight w:val="none"/>
        </w:rPr>
      </w:pPr>
      <w:bookmarkStart w:id="88" w:name="_Toc426"/>
      <w:bookmarkStart w:id="89" w:name="_Toc203130191"/>
      <w:bookmarkStart w:id="90" w:name="_Toc15284"/>
      <w:r>
        <w:rPr>
          <w:rFonts w:ascii="宋体" w:hAnsi="宋体" w:eastAsia="宋体" w:cs="宋体"/>
          <w:b/>
          <w:color w:val="auto"/>
          <w:sz w:val="28"/>
          <w:szCs w:val="28"/>
          <w:highlight w:val="none"/>
        </w:rPr>
        <w:t>一、采购清单及最高限价</w:t>
      </w:r>
      <w:bookmarkEnd w:id="88"/>
      <w:bookmarkEnd w:id="89"/>
    </w:p>
    <w:tbl>
      <w:tblPr>
        <w:tblStyle w:val="11"/>
        <w:tblW w:w="9570" w:type="dxa"/>
        <w:jc w:val="center"/>
        <w:tblInd w:w="0" w:type="dxa"/>
        <w:tblLayout w:type="fixed"/>
        <w:tblCellMar>
          <w:top w:w="0" w:type="dxa"/>
          <w:left w:w="108" w:type="dxa"/>
          <w:bottom w:w="0" w:type="dxa"/>
          <w:right w:w="108" w:type="dxa"/>
        </w:tblCellMar>
      </w:tblPr>
      <w:tblGrid>
        <w:gridCol w:w="568"/>
        <w:gridCol w:w="1490"/>
        <w:gridCol w:w="1693"/>
        <w:gridCol w:w="716"/>
        <w:gridCol w:w="709"/>
        <w:gridCol w:w="1134"/>
        <w:gridCol w:w="1276"/>
        <w:gridCol w:w="992"/>
        <w:gridCol w:w="992"/>
      </w:tblGrid>
      <w:tr>
        <w:tblPrEx>
          <w:tblLayout w:type="fixed"/>
          <w:tblCellMar>
            <w:top w:w="0" w:type="dxa"/>
            <w:left w:w="108" w:type="dxa"/>
            <w:bottom w:w="0" w:type="dxa"/>
            <w:right w:w="108" w:type="dxa"/>
          </w:tblCellMar>
        </w:tblPrEx>
        <w:trPr>
          <w:trHeight w:val="448" w:hRule="atLeast"/>
          <w:jc w:val="center"/>
        </w:trPr>
        <w:tc>
          <w:tcPr>
            <w:tcW w:w="56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kinsoku w:val="0"/>
              <w:autoSpaceDE w:val="0"/>
              <w:autoSpaceDN w:val="0"/>
              <w:adjustRightInd w:val="0"/>
              <w:snapToGrid w:val="0"/>
              <w:jc w:val="center"/>
              <w:textAlignment w:val="center"/>
              <w:rPr>
                <w:rFonts w:ascii="宋体" w:hAnsi="宋体" w:eastAsia="宋体" w:cs="宋体"/>
                <w:b/>
                <w:color w:val="auto"/>
                <w:szCs w:val="21"/>
                <w:highlight w:val="none"/>
              </w:rPr>
            </w:pPr>
            <w:bookmarkStart w:id="91" w:name="_bookmark14"/>
            <w:bookmarkEnd w:id="91"/>
            <w:bookmarkStart w:id="92" w:name="_Toc17298"/>
            <w:bookmarkStart w:id="93" w:name="OLE_LINK10"/>
            <w:r>
              <w:rPr>
                <w:rFonts w:hint="eastAsia" w:ascii="宋体" w:hAnsi="宋体" w:eastAsia="宋体" w:cs="宋体"/>
                <w:b/>
                <w:color w:val="auto"/>
                <w:kern w:val="0"/>
                <w:szCs w:val="21"/>
                <w:highlight w:val="none"/>
                <w:lang w:bidi="ar"/>
              </w:rPr>
              <w:t>序号</w:t>
            </w:r>
          </w:p>
        </w:tc>
        <w:tc>
          <w:tcPr>
            <w:tcW w:w="1490" w:type="dxa"/>
            <w:tcBorders>
              <w:top w:val="single" w:color="000000" w:sz="4" w:space="0"/>
              <w:left w:val="nil"/>
              <w:bottom w:val="single" w:color="000000" w:sz="4" w:space="0"/>
              <w:right w:val="single" w:color="000000" w:sz="4" w:space="0"/>
              <w:tl2br w:val="nil"/>
              <w:tr2bl w:val="nil"/>
            </w:tcBorders>
            <w:vAlign w:val="center"/>
          </w:tcPr>
          <w:p>
            <w:pPr>
              <w:widowControl/>
              <w:kinsoku w:val="0"/>
              <w:autoSpaceDE w:val="0"/>
              <w:autoSpaceDN w:val="0"/>
              <w:adjustRightInd w:val="0"/>
              <w:snapToGrid w:val="0"/>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招标物资名称</w:t>
            </w:r>
          </w:p>
        </w:tc>
        <w:tc>
          <w:tcPr>
            <w:tcW w:w="1693" w:type="dxa"/>
            <w:tcBorders>
              <w:top w:val="single" w:color="000000" w:sz="4" w:space="0"/>
              <w:left w:val="nil"/>
              <w:bottom w:val="single" w:color="000000" w:sz="4" w:space="0"/>
              <w:right w:val="single" w:color="000000" w:sz="4" w:space="0"/>
              <w:tl2br w:val="nil"/>
              <w:tr2bl w:val="nil"/>
            </w:tcBorders>
            <w:vAlign w:val="center"/>
          </w:tcPr>
          <w:p>
            <w:pPr>
              <w:widowControl/>
              <w:kinsoku w:val="0"/>
              <w:autoSpaceDE w:val="0"/>
              <w:autoSpaceDN w:val="0"/>
              <w:adjustRightInd w:val="0"/>
              <w:snapToGrid w:val="0"/>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规格型号</w:t>
            </w:r>
          </w:p>
        </w:tc>
        <w:tc>
          <w:tcPr>
            <w:tcW w:w="716" w:type="dxa"/>
            <w:tcBorders>
              <w:top w:val="single" w:color="000000" w:sz="4" w:space="0"/>
              <w:left w:val="nil"/>
              <w:bottom w:val="single" w:color="000000" w:sz="4" w:space="0"/>
              <w:right w:val="single" w:color="000000" w:sz="4" w:space="0"/>
              <w:tl2br w:val="nil"/>
              <w:tr2bl w:val="nil"/>
            </w:tcBorders>
            <w:vAlign w:val="center"/>
          </w:tcPr>
          <w:p>
            <w:pPr>
              <w:widowControl/>
              <w:kinsoku w:val="0"/>
              <w:autoSpaceDE w:val="0"/>
              <w:autoSpaceDN w:val="0"/>
              <w:adjustRightInd w:val="0"/>
              <w:snapToGrid w:val="0"/>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单位</w:t>
            </w:r>
          </w:p>
        </w:tc>
        <w:tc>
          <w:tcPr>
            <w:tcW w:w="709" w:type="dxa"/>
            <w:tcBorders>
              <w:top w:val="single" w:color="000000" w:sz="4" w:space="0"/>
              <w:left w:val="nil"/>
              <w:bottom w:val="single" w:color="000000" w:sz="4" w:space="0"/>
              <w:right w:val="single" w:color="000000" w:sz="4" w:space="0"/>
              <w:tl2br w:val="nil"/>
              <w:tr2bl w:val="nil"/>
            </w:tcBorders>
            <w:vAlign w:val="center"/>
          </w:tcPr>
          <w:p>
            <w:pPr>
              <w:widowControl/>
              <w:kinsoku w:val="0"/>
              <w:autoSpaceDE w:val="0"/>
              <w:autoSpaceDN w:val="0"/>
              <w:adjustRightInd w:val="0"/>
              <w:snapToGrid w:val="0"/>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数量</w:t>
            </w:r>
          </w:p>
        </w:tc>
        <w:tc>
          <w:tcPr>
            <w:tcW w:w="1134" w:type="dxa"/>
            <w:tcBorders>
              <w:top w:val="single" w:color="000000" w:sz="4" w:space="0"/>
              <w:left w:val="nil"/>
              <w:bottom w:val="single" w:color="000000" w:sz="4" w:space="0"/>
              <w:right w:val="single" w:color="000000" w:sz="4" w:space="0"/>
              <w:tl2br w:val="nil"/>
              <w:tr2bl w:val="nil"/>
            </w:tcBorders>
            <w:vAlign w:val="center"/>
          </w:tcPr>
          <w:p>
            <w:pPr>
              <w:widowControl/>
              <w:kinsoku w:val="0"/>
              <w:autoSpaceDE w:val="0"/>
              <w:autoSpaceDN w:val="0"/>
              <w:adjustRightInd w:val="0"/>
              <w:snapToGrid w:val="0"/>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最高单价限价</w:t>
            </w:r>
          </w:p>
        </w:tc>
        <w:tc>
          <w:tcPr>
            <w:tcW w:w="1276" w:type="dxa"/>
            <w:tcBorders>
              <w:top w:val="single" w:color="000000" w:sz="4" w:space="0"/>
              <w:left w:val="nil"/>
              <w:bottom w:val="single" w:color="000000" w:sz="4" w:space="0"/>
              <w:right w:val="single" w:color="000000" w:sz="4" w:space="0"/>
              <w:tl2br w:val="nil"/>
              <w:tr2bl w:val="nil"/>
            </w:tcBorders>
            <w:vAlign w:val="center"/>
          </w:tcPr>
          <w:p>
            <w:pPr>
              <w:widowControl/>
              <w:kinsoku w:val="0"/>
              <w:autoSpaceDE w:val="0"/>
              <w:autoSpaceDN w:val="0"/>
              <w:adjustRightInd w:val="0"/>
              <w:snapToGrid w:val="0"/>
              <w:jc w:val="center"/>
              <w:textAlignment w:val="center"/>
              <w:rPr>
                <w:rFonts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最高总价</w:t>
            </w:r>
          </w:p>
          <w:p>
            <w:pPr>
              <w:widowControl/>
              <w:kinsoku w:val="0"/>
              <w:autoSpaceDE w:val="0"/>
              <w:autoSpaceDN w:val="0"/>
              <w:adjustRightInd w:val="0"/>
              <w:snapToGrid w:val="0"/>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限价</w:t>
            </w:r>
          </w:p>
        </w:tc>
        <w:tc>
          <w:tcPr>
            <w:tcW w:w="1984" w:type="dxa"/>
            <w:gridSpan w:val="2"/>
            <w:tcBorders>
              <w:top w:val="single" w:color="000000" w:sz="4" w:space="0"/>
              <w:left w:val="nil"/>
              <w:bottom w:val="single" w:color="000000" w:sz="4" w:space="0"/>
              <w:right w:val="single" w:color="000000" w:sz="4" w:space="0"/>
              <w:tl2br w:val="nil"/>
              <w:tr2bl w:val="nil"/>
            </w:tcBorders>
            <w:vAlign w:val="center"/>
          </w:tcPr>
          <w:p>
            <w:pPr>
              <w:widowControl/>
              <w:kinsoku w:val="0"/>
              <w:autoSpaceDE w:val="0"/>
              <w:autoSpaceDN w:val="0"/>
              <w:adjustRightInd w:val="0"/>
              <w:snapToGrid w:val="0"/>
              <w:jc w:val="center"/>
              <w:textAlignment w:val="center"/>
              <w:rPr>
                <w:rFonts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备注</w:t>
            </w:r>
          </w:p>
        </w:tc>
      </w:tr>
      <w:tr>
        <w:tblPrEx>
          <w:tblLayout w:type="fixed"/>
          <w:tblCellMar>
            <w:top w:w="0" w:type="dxa"/>
            <w:left w:w="108" w:type="dxa"/>
            <w:bottom w:w="0" w:type="dxa"/>
            <w:right w:w="108" w:type="dxa"/>
          </w:tblCellMar>
        </w:tblPrEx>
        <w:trPr>
          <w:trHeight w:val="425" w:hRule="atLeast"/>
          <w:jc w:val="center"/>
        </w:trPr>
        <w:tc>
          <w:tcPr>
            <w:tcW w:w="9570" w:type="dxa"/>
            <w:gridSpan w:val="9"/>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kinsoku w:val="0"/>
              <w:autoSpaceDE w:val="0"/>
              <w:autoSpaceDN w:val="0"/>
              <w:adjustRightInd w:val="0"/>
              <w:snapToGrid w:val="0"/>
              <w:jc w:val="center"/>
              <w:textAlignment w:val="center"/>
              <w:rPr>
                <w:rFonts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上虞区梁湖街道【2021】J9号（曹村地块01-03号）地块（皂湖佳园）</w:t>
            </w:r>
          </w:p>
        </w:tc>
      </w:tr>
      <w:tr>
        <w:tblPrEx>
          <w:tblLayout w:type="fixed"/>
          <w:tblCellMar>
            <w:top w:w="0" w:type="dxa"/>
            <w:left w:w="108" w:type="dxa"/>
            <w:bottom w:w="0" w:type="dxa"/>
            <w:right w:w="108" w:type="dxa"/>
          </w:tblCellMar>
        </w:tblPrEx>
        <w:trPr>
          <w:trHeight w:val="90" w:hRule="atLeast"/>
          <w:jc w:val="center"/>
        </w:trPr>
        <w:tc>
          <w:tcPr>
            <w:tcW w:w="56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kinsoku w:val="0"/>
              <w:autoSpaceDE w:val="0"/>
              <w:autoSpaceDN w:val="0"/>
              <w:adjustRightInd w:val="0"/>
              <w:snapToGrid w:val="0"/>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49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不锈钢水管</w:t>
            </w:r>
          </w:p>
        </w:tc>
        <w:tc>
          <w:tcPr>
            <w:tcW w:w="1693"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50X1.2</w:t>
            </w:r>
          </w:p>
        </w:tc>
        <w:tc>
          <w:tcPr>
            <w:tcW w:w="716"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米</w:t>
            </w:r>
          </w:p>
        </w:tc>
        <w:tc>
          <w:tcPr>
            <w:tcW w:w="709"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30</w:t>
            </w:r>
          </w:p>
        </w:tc>
        <w:tc>
          <w:tcPr>
            <w:tcW w:w="1134" w:type="dxa"/>
            <w:tcBorders>
              <w:top w:val="single" w:color="000000" w:sz="4" w:space="0"/>
              <w:left w:val="nil"/>
              <w:bottom w:val="single" w:color="000000" w:sz="4" w:space="0"/>
              <w:right w:val="single" w:color="000000" w:sz="4" w:space="0"/>
              <w:tl2br w:val="nil"/>
              <w:tr2bl w:val="nil"/>
            </w:tcBorders>
            <w:vAlign w:val="center"/>
          </w:tcPr>
          <w:p>
            <w:pPr>
              <w:widowControl/>
              <w:jc w:val="righ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 w:val="20"/>
                <w:szCs w:val="20"/>
                <w:highlight w:val="none"/>
                <w:lang w:bidi="ar"/>
              </w:rPr>
              <w:t xml:space="preserve">35.90 </w:t>
            </w:r>
          </w:p>
        </w:tc>
        <w:tc>
          <w:tcPr>
            <w:tcW w:w="1276" w:type="dxa"/>
            <w:tcBorders>
              <w:top w:val="single" w:color="000000" w:sz="4" w:space="0"/>
              <w:left w:val="nil"/>
              <w:bottom w:val="single" w:color="000000" w:sz="4" w:space="0"/>
              <w:right w:val="single" w:color="000000" w:sz="4" w:space="0"/>
              <w:tl2br w:val="nil"/>
              <w:tr2bl w:val="nil"/>
            </w:tcBorders>
            <w:vAlign w:val="center"/>
          </w:tcPr>
          <w:p>
            <w:pPr>
              <w:widowControl/>
              <w:jc w:val="righ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 w:val="22"/>
                <w:highlight w:val="none"/>
                <w:lang w:bidi="ar"/>
              </w:rPr>
              <w:t xml:space="preserve">1077.00 </w:t>
            </w:r>
          </w:p>
        </w:tc>
        <w:tc>
          <w:tcPr>
            <w:tcW w:w="992" w:type="dxa"/>
            <w:tcBorders>
              <w:top w:val="single" w:color="000000" w:sz="4" w:space="0"/>
              <w:left w:val="nil"/>
              <w:bottom w:val="single" w:color="000000" w:sz="4" w:space="0"/>
              <w:right w:val="single" w:color="000000" w:sz="4" w:space="0"/>
              <w:tl2br w:val="nil"/>
              <w:tr2bl w:val="nil"/>
            </w:tcBorders>
            <w:vAlign w:val="center"/>
          </w:tcPr>
          <w:p>
            <w:pPr>
              <w:widowControl/>
              <w:kinsoku w:val="0"/>
              <w:autoSpaceDE w:val="0"/>
              <w:autoSpaceDN w:val="0"/>
              <w:adjustRightInd w:val="0"/>
              <w:snapToGrid w:val="0"/>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1.6Mpa</w:t>
            </w:r>
          </w:p>
        </w:tc>
        <w:tc>
          <w:tcPr>
            <w:tcW w:w="992" w:type="dxa"/>
            <w:vMerge w:val="restart"/>
            <w:tcBorders>
              <w:top w:val="single" w:color="000000" w:sz="4" w:space="0"/>
              <w:left w:val="nil"/>
              <w:bottom w:val="nil"/>
              <w:right w:val="single" w:color="000000" w:sz="4" w:space="0"/>
              <w:tl2br w:val="nil"/>
              <w:tr2bl w:val="nil"/>
            </w:tcBorders>
            <w:vAlign w:val="center"/>
          </w:tcPr>
          <w:p>
            <w:pPr>
              <w:widowControl/>
              <w:kinsoku w:val="0"/>
              <w:autoSpaceDE w:val="0"/>
              <w:autoSpaceDN w:val="0"/>
              <w:adjustRightInd w:val="0"/>
              <w:snapToGrid w:val="0"/>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宁波铭扬、浙江汉益杰、湖南旺坤</w:t>
            </w:r>
          </w:p>
        </w:tc>
      </w:tr>
      <w:tr>
        <w:tblPrEx>
          <w:tblLayout w:type="fixed"/>
          <w:tblCellMar>
            <w:top w:w="0" w:type="dxa"/>
            <w:left w:w="108" w:type="dxa"/>
            <w:bottom w:w="0" w:type="dxa"/>
            <w:right w:w="108" w:type="dxa"/>
          </w:tblCellMar>
        </w:tblPrEx>
        <w:trPr>
          <w:trHeight w:val="238" w:hRule="atLeast"/>
          <w:jc w:val="center"/>
        </w:trPr>
        <w:tc>
          <w:tcPr>
            <w:tcW w:w="56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kinsoku w:val="0"/>
              <w:autoSpaceDE w:val="0"/>
              <w:autoSpaceDN w:val="0"/>
              <w:adjustRightInd w:val="0"/>
              <w:snapToGrid w:val="0"/>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49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不锈钢水管</w:t>
            </w:r>
          </w:p>
        </w:tc>
        <w:tc>
          <w:tcPr>
            <w:tcW w:w="1693"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25X1.2</w:t>
            </w:r>
          </w:p>
        </w:tc>
        <w:tc>
          <w:tcPr>
            <w:tcW w:w="716"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米</w:t>
            </w:r>
          </w:p>
        </w:tc>
        <w:tc>
          <w:tcPr>
            <w:tcW w:w="709"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60</w:t>
            </w:r>
          </w:p>
        </w:tc>
        <w:tc>
          <w:tcPr>
            <w:tcW w:w="1134" w:type="dxa"/>
            <w:tcBorders>
              <w:top w:val="single" w:color="000000" w:sz="4" w:space="0"/>
              <w:left w:val="nil"/>
              <w:bottom w:val="single" w:color="000000" w:sz="4" w:space="0"/>
              <w:right w:val="single" w:color="000000" w:sz="4" w:space="0"/>
              <w:tl2br w:val="nil"/>
              <w:tr2bl w:val="nil"/>
            </w:tcBorders>
            <w:vAlign w:val="center"/>
          </w:tcPr>
          <w:p>
            <w:pPr>
              <w:widowControl/>
              <w:jc w:val="righ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 w:val="20"/>
                <w:szCs w:val="20"/>
                <w:highlight w:val="none"/>
                <w:lang w:bidi="ar"/>
              </w:rPr>
              <w:t xml:space="preserve">18.10 </w:t>
            </w:r>
          </w:p>
        </w:tc>
        <w:tc>
          <w:tcPr>
            <w:tcW w:w="1276" w:type="dxa"/>
            <w:tcBorders>
              <w:top w:val="single" w:color="000000" w:sz="4" w:space="0"/>
              <w:left w:val="nil"/>
              <w:bottom w:val="single" w:color="000000" w:sz="4" w:space="0"/>
              <w:right w:val="single" w:color="000000" w:sz="4" w:space="0"/>
              <w:tl2br w:val="nil"/>
              <w:tr2bl w:val="nil"/>
            </w:tcBorders>
            <w:vAlign w:val="center"/>
          </w:tcPr>
          <w:p>
            <w:pPr>
              <w:widowControl/>
              <w:jc w:val="righ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 w:val="22"/>
                <w:highlight w:val="none"/>
                <w:lang w:bidi="ar"/>
              </w:rPr>
              <w:t xml:space="preserve">1086.00 </w:t>
            </w:r>
          </w:p>
        </w:tc>
        <w:tc>
          <w:tcPr>
            <w:tcW w:w="992" w:type="dxa"/>
            <w:tcBorders>
              <w:top w:val="single" w:color="000000" w:sz="4" w:space="0"/>
              <w:left w:val="nil"/>
              <w:bottom w:val="single" w:color="000000" w:sz="4" w:space="0"/>
              <w:right w:val="single" w:color="000000" w:sz="4" w:space="0"/>
              <w:tl2br w:val="nil"/>
              <w:tr2bl w:val="nil"/>
            </w:tcBorders>
            <w:vAlign w:val="center"/>
          </w:tcPr>
          <w:p>
            <w:pPr>
              <w:widowControl/>
              <w:kinsoku w:val="0"/>
              <w:autoSpaceDE w:val="0"/>
              <w:autoSpaceDN w:val="0"/>
              <w:adjustRightInd w:val="0"/>
              <w:snapToGrid w:val="0"/>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1.6Mpa</w:t>
            </w:r>
          </w:p>
        </w:tc>
        <w:tc>
          <w:tcPr>
            <w:tcW w:w="992" w:type="dxa"/>
            <w:vMerge w:val="continue"/>
            <w:tcBorders>
              <w:top w:val="nil"/>
              <w:left w:val="nil"/>
              <w:bottom w:val="nil"/>
              <w:right w:val="single" w:color="000000" w:sz="4" w:space="0"/>
              <w:tl2br w:val="nil"/>
              <w:tr2bl w:val="nil"/>
            </w:tcBorders>
            <w:vAlign w:val="center"/>
          </w:tcPr>
          <w:p>
            <w:pPr>
              <w:widowControl/>
              <w:kinsoku w:val="0"/>
              <w:autoSpaceDE w:val="0"/>
              <w:autoSpaceDN w:val="0"/>
              <w:adjustRightInd w:val="0"/>
              <w:snapToGrid w:val="0"/>
              <w:jc w:val="center"/>
              <w:textAlignment w:val="center"/>
              <w:rPr>
                <w:rFonts w:ascii="宋体" w:hAnsi="宋体" w:eastAsia="宋体" w:cs="宋体"/>
                <w:color w:val="auto"/>
                <w:kern w:val="0"/>
                <w:szCs w:val="21"/>
                <w:highlight w:val="none"/>
                <w:lang w:bidi="ar"/>
              </w:rPr>
            </w:pPr>
          </w:p>
        </w:tc>
      </w:tr>
      <w:tr>
        <w:tblPrEx>
          <w:tblLayout w:type="fixed"/>
          <w:tblCellMar>
            <w:top w:w="0" w:type="dxa"/>
            <w:left w:w="108" w:type="dxa"/>
            <w:bottom w:w="0" w:type="dxa"/>
            <w:right w:w="108" w:type="dxa"/>
          </w:tblCellMar>
        </w:tblPrEx>
        <w:trPr>
          <w:trHeight w:val="238" w:hRule="atLeast"/>
          <w:jc w:val="center"/>
        </w:trPr>
        <w:tc>
          <w:tcPr>
            <w:tcW w:w="56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kinsoku w:val="0"/>
              <w:autoSpaceDE w:val="0"/>
              <w:autoSpaceDN w:val="0"/>
              <w:adjustRightInd w:val="0"/>
              <w:snapToGrid w:val="0"/>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49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卡箍</w:t>
            </w:r>
          </w:p>
        </w:tc>
        <w:tc>
          <w:tcPr>
            <w:tcW w:w="1693"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DN108（沟槽式）</w:t>
            </w:r>
          </w:p>
        </w:tc>
        <w:tc>
          <w:tcPr>
            <w:tcW w:w="716"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只</w:t>
            </w:r>
          </w:p>
        </w:tc>
        <w:tc>
          <w:tcPr>
            <w:tcW w:w="709"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5000 </w:t>
            </w:r>
          </w:p>
        </w:tc>
        <w:tc>
          <w:tcPr>
            <w:tcW w:w="1134" w:type="dxa"/>
            <w:tcBorders>
              <w:top w:val="single" w:color="000000" w:sz="4" w:space="0"/>
              <w:left w:val="nil"/>
              <w:bottom w:val="single" w:color="000000" w:sz="4" w:space="0"/>
              <w:right w:val="single" w:color="000000" w:sz="4" w:space="0"/>
              <w:tl2br w:val="nil"/>
              <w:tr2bl w:val="nil"/>
            </w:tcBorders>
            <w:vAlign w:val="center"/>
          </w:tcPr>
          <w:p>
            <w:pPr>
              <w:widowControl/>
              <w:jc w:val="righ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 w:val="20"/>
                <w:szCs w:val="20"/>
                <w:highlight w:val="none"/>
                <w:lang w:bidi="ar"/>
              </w:rPr>
              <w:t xml:space="preserve">89.20 </w:t>
            </w:r>
          </w:p>
        </w:tc>
        <w:tc>
          <w:tcPr>
            <w:tcW w:w="1276" w:type="dxa"/>
            <w:tcBorders>
              <w:top w:val="single" w:color="000000" w:sz="4" w:space="0"/>
              <w:left w:val="nil"/>
              <w:bottom w:val="single" w:color="000000" w:sz="4" w:space="0"/>
              <w:right w:val="single" w:color="000000" w:sz="4" w:space="0"/>
              <w:tl2br w:val="nil"/>
              <w:tr2bl w:val="nil"/>
            </w:tcBorders>
            <w:vAlign w:val="center"/>
          </w:tcPr>
          <w:p>
            <w:pPr>
              <w:widowControl/>
              <w:jc w:val="righ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 w:val="22"/>
                <w:highlight w:val="none"/>
                <w:lang w:bidi="ar"/>
              </w:rPr>
              <w:t xml:space="preserve">446000.00 </w:t>
            </w:r>
          </w:p>
        </w:tc>
        <w:tc>
          <w:tcPr>
            <w:tcW w:w="992" w:type="dxa"/>
            <w:tcBorders>
              <w:top w:val="single" w:color="000000" w:sz="4" w:space="0"/>
              <w:left w:val="nil"/>
              <w:bottom w:val="single" w:color="000000" w:sz="4" w:space="0"/>
              <w:right w:val="single" w:color="000000" w:sz="4" w:space="0"/>
              <w:tl2br w:val="nil"/>
              <w:tr2bl w:val="nil"/>
            </w:tcBorders>
            <w:vAlign w:val="center"/>
          </w:tcPr>
          <w:p>
            <w:pPr>
              <w:widowControl/>
              <w:kinsoku w:val="0"/>
              <w:autoSpaceDE w:val="0"/>
              <w:autoSpaceDN w:val="0"/>
              <w:adjustRightInd w:val="0"/>
              <w:snapToGrid w:val="0"/>
              <w:jc w:val="center"/>
              <w:textAlignment w:val="baseline"/>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1.6Mpa</w:t>
            </w:r>
          </w:p>
        </w:tc>
        <w:tc>
          <w:tcPr>
            <w:tcW w:w="992" w:type="dxa"/>
            <w:vMerge w:val="continue"/>
            <w:tcBorders>
              <w:top w:val="nil"/>
              <w:left w:val="nil"/>
              <w:bottom w:val="nil"/>
              <w:right w:val="single" w:color="000000" w:sz="4" w:space="0"/>
              <w:tl2br w:val="nil"/>
              <w:tr2bl w:val="nil"/>
            </w:tcBorders>
            <w:vAlign w:val="center"/>
          </w:tcPr>
          <w:p>
            <w:pPr>
              <w:widowControl/>
              <w:kinsoku w:val="0"/>
              <w:autoSpaceDE w:val="0"/>
              <w:autoSpaceDN w:val="0"/>
              <w:adjustRightInd w:val="0"/>
              <w:snapToGrid w:val="0"/>
              <w:jc w:val="center"/>
              <w:textAlignment w:val="baseline"/>
              <w:rPr>
                <w:rFonts w:ascii="宋体" w:hAnsi="宋体" w:eastAsia="宋体" w:cs="宋体"/>
                <w:color w:val="auto"/>
                <w:kern w:val="0"/>
                <w:szCs w:val="21"/>
                <w:highlight w:val="none"/>
                <w:lang w:bidi="ar"/>
              </w:rPr>
            </w:pPr>
          </w:p>
        </w:tc>
      </w:tr>
      <w:tr>
        <w:tblPrEx>
          <w:tblLayout w:type="fixed"/>
          <w:tblCellMar>
            <w:top w:w="0" w:type="dxa"/>
            <w:left w:w="108" w:type="dxa"/>
            <w:bottom w:w="0" w:type="dxa"/>
            <w:right w:w="108" w:type="dxa"/>
          </w:tblCellMar>
        </w:tblPrEx>
        <w:trPr>
          <w:trHeight w:val="238" w:hRule="atLeast"/>
          <w:jc w:val="center"/>
        </w:trPr>
        <w:tc>
          <w:tcPr>
            <w:tcW w:w="56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kinsoku w:val="0"/>
              <w:autoSpaceDE w:val="0"/>
              <w:autoSpaceDN w:val="0"/>
              <w:adjustRightInd w:val="0"/>
              <w:snapToGrid w:val="0"/>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49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卡箍</w:t>
            </w:r>
          </w:p>
        </w:tc>
        <w:tc>
          <w:tcPr>
            <w:tcW w:w="1693"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DN159（沟槽式）</w:t>
            </w:r>
          </w:p>
        </w:tc>
        <w:tc>
          <w:tcPr>
            <w:tcW w:w="716"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只</w:t>
            </w:r>
          </w:p>
        </w:tc>
        <w:tc>
          <w:tcPr>
            <w:tcW w:w="709"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ascii="宋体" w:hAnsi="宋体" w:eastAsia="宋体" w:cs="宋体"/>
                <w:color w:val="auto"/>
                <w:kern w:val="0"/>
                <w:szCs w:val="21"/>
                <w:highlight w:val="none"/>
                <w:lang w:bidi="ar"/>
              </w:rPr>
            </w:pPr>
            <w:bookmarkStart w:id="157" w:name="_GoBack"/>
            <w:bookmarkEnd w:id="157"/>
            <w:r>
              <w:rPr>
                <w:rFonts w:hint="eastAsia" w:ascii="宋体" w:hAnsi="宋体" w:eastAsia="宋体" w:cs="宋体"/>
                <w:color w:val="auto"/>
                <w:kern w:val="0"/>
                <w:szCs w:val="21"/>
                <w:highlight w:val="none"/>
                <w:lang w:bidi="ar"/>
              </w:rPr>
              <w:t xml:space="preserve">200 </w:t>
            </w:r>
          </w:p>
        </w:tc>
        <w:tc>
          <w:tcPr>
            <w:tcW w:w="1134" w:type="dxa"/>
            <w:tcBorders>
              <w:top w:val="single" w:color="000000" w:sz="4" w:space="0"/>
              <w:left w:val="nil"/>
              <w:bottom w:val="single" w:color="000000" w:sz="4" w:space="0"/>
              <w:right w:val="single" w:color="000000" w:sz="4" w:space="0"/>
              <w:tl2br w:val="nil"/>
              <w:tr2bl w:val="nil"/>
            </w:tcBorders>
            <w:vAlign w:val="center"/>
          </w:tcPr>
          <w:p>
            <w:pPr>
              <w:widowControl/>
              <w:jc w:val="righ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 w:val="20"/>
                <w:szCs w:val="20"/>
                <w:highlight w:val="none"/>
                <w:lang w:bidi="ar"/>
              </w:rPr>
              <w:t xml:space="preserve">138.10 </w:t>
            </w:r>
          </w:p>
        </w:tc>
        <w:tc>
          <w:tcPr>
            <w:tcW w:w="1276" w:type="dxa"/>
            <w:tcBorders>
              <w:top w:val="single" w:color="000000" w:sz="4" w:space="0"/>
              <w:left w:val="nil"/>
              <w:bottom w:val="single" w:color="000000" w:sz="4" w:space="0"/>
              <w:right w:val="single" w:color="000000" w:sz="4" w:space="0"/>
              <w:tl2br w:val="nil"/>
              <w:tr2bl w:val="nil"/>
            </w:tcBorders>
            <w:vAlign w:val="center"/>
          </w:tcPr>
          <w:p>
            <w:pPr>
              <w:widowControl/>
              <w:jc w:val="righ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 w:val="22"/>
                <w:highlight w:val="none"/>
                <w:lang w:bidi="ar"/>
              </w:rPr>
              <w:t xml:space="preserve">27620.00 </w:t>
            </w:r>
          </w:p>
        </w:tc>
        <w:tc>
          <w:tcPr>
            <w:tcW w:w="992" w:type="dxa"/>
            <w:tcBorders>
              <w:top w:val="single" w:color="000000" w:sz="4" w:space="0"/>
              <w:left w:val="nil"/>
              <w:bottom w:val="single" w:color="000000" w:sz="4" w:space="0"/>
              <w:right w:val="single" w:color="000000" w:sz="4" w:space="0"/>
              <w:tl2br w:val="nil"/>
              <w:tr2bl w:val="nil"/>
            </w:tcBorders>
            <w:vAlign w:val="center"/>
          </w:tcPr>
          <w:p>
            <w:pPr>
              <w:widowControl/>
              <w:kinsoku w:val="0"/>
              <w:autoSpaceDE w:val="0"/>
              <w:autoSpaceDN w:val="0"/>
              <w:adjustRightInd w:val="0"/>
              <w:snapToGrid w:val="0"/>
              <w:jc w:val="center"/>
              <w:textAlignment w:val="baseline"/>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1.6Mpa</w:t>
            </w:r>
          </w:p>
        </w:tc>
        <w:tc>
          <w:tcPr>
            <w:tcW w:w="992" w:type="dxa"/>
            <w:vMerge w:val="continue"/>
            <w:tcBorders>
              <w:top w:val="nil"/>
              <w:left w:val="nil"/>
              <w:bottom w:val="nil"/>
              <w:right w:val="single" w:color="000000" w:sz="4" w:space="0"/>
              <w:tl2br w:val="nil"/>
              <w:tr2bl w:val="nil"/>
            </w:tcBorders>
            <w:vAlign w:val="center"/>
          </w:tcPr>
          <w:p>
            <w:pPr>
              <w:widowControl/>
              <w:kinsoku w:val="0"/>
              <w:autoSpaceDE w:val="0"/>
              <w:autoSpaceDN w:val="0"/>
              <w:adjustRightInd w:val="0"/>
              <w:snapToGrid w:val="0"/>
              <w:jc w:val="center"/>
              <w:textAlignment w:val="baseline"/>
              <w:rPr>
                <w:rFonts w:ascii="宋体" w:hAnsi="宋体" w:eastAsia="宋体" w:cs="宋体"/>
                <w:color w:val="auto"/>
                <w:kern w:val="0"/>
                <w:szCs w:val="21"/>
                <w:highlight w:val="none"/>
                <w:lang w:bidi="ar"/>
              </w:rPr>
            </w:pPr>
          </w:p>
        </w:tc>
      </w:tr>
      <w:tr>
        <w:tblPrEx>
          <w:tblLayout w:type="fixed"/>
          <w:tblCellMar>
            <w:top w:w="0" w:type="dxa"/>
            <w:left w:w="108" w:type="dxa"/>
            <w:bottom w:w="0" w:type="dxa"/>
            <w:right w:w="108" w:type="dxa"/>
          </w:tblCellMar>
        </w:tblPrEx>
        <w:trPr>
          <w:trHeight w:val="238" w:hRule="atLeast"/>
          <w:jc w:val="center"/>
        </w:trPr>
        <w:tc>
          <w:tcPr>
            <w:tcW w:w="56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kinsoku w:val="0"/>
              <w:autoSpaceDE w:val="0"/>
              <w:autoSpaceDN w:val="0"/>
              <w:adjustRightInd w:val="0"/>
              <w:snapToGrid w:val="0"/>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49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承插焊直通</w:t>
            </w:r>
          </w:p>
        </w:tc>
        <w:tc>
          <w:tcPr>
            <w:tcW w:w="1693"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DN159</w:t>
            </w:r>
          </w:p>
        </w:tc>
        <w:tc>
          <w:tcPr>
            <w:tcW w:w="716"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只</w:t>
            </w:r>
          </w:p>
        </w:tc>
        <w:tc>
          <w:tcPr>
            <w:tcW w:w="709"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20 </w:t>
            </w:r>
          </w:p>
        </w:tc>
        <w:tc>
          <w:tcPr>
            <w:tcW w:w="1134" w:type="dxa"/>
            <w:tcBorders>
              <w:top w:val="single" w:color="000000" w:sz="4" w:space="0"/>
              <w:left w:val="nil"/>
              <w:bottom w:val="single" w:color="000000" w:sz="4" w:space="0"/>
              <w:right w:val="single" w:color="000000" w:sz="4" w:space="0"/>
              <w:tl2br w:val="nil"/>
              <w:tr2bl w:val="nil"/>
            </w:tcBorders>
            <w:vAlign w:val="center"/>
          </w:tcPr>
          <w:p>
            <w:pPr>
              <w:widowControl/>
              <w:jc w:val="righ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 w:val="20"/>
                <w:szCs w:val="20"/>
                <w:highlight w:val="none"/>
                <w:lang w:bidi="ar"/>
              </w:rPr>
              <w:t xml:space="preserve">74.00 </w:t>
            </w:r>
          </w:p>
        </w:tc>
        <w:tc>
          <w:tcPr>
            <w:tcW w:w="1276" w:type="dxa"/>
            <w:tcBorders>
              <w:top w:val="single" w:color="000000" w:sz="4" w:space="0"/>
              <w:left w:val="nil"/>
              <w:bottom w:val="single" w:color="000000" w:sz="4" w:space="0"/>
              <w:right w:val="single" w:color="000000" w:sz="4" w:space="0"/>
              <w:tl2br w:val="nil"/>
              <w:tr2bl w:val="nil"/>
            </w:tcBorders>
            <w:vAlign w:val="center"/>
          </w:tcPr>
          <w:p>
            <w:pPr>
              <w:widowControl/>
              <w:jc w:val="righ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 w:val="22"/>
                <w:highlight w:val="none"/>
                <w:lang w:bidi="ar"/>
              </w:rPr>
              <w:t xml:space="preserve">1480.00 </w:t>
            </w:r>
          </w:p>
        </w:tc>
        <w:tc>
          <w:tcPr>
            <w:tcW w:w="992" w:type="dxa"/>
            <w:tcBorders>
              <w:top w:val="single" w:color="000000" w:sz="4" w:space="0"/>
              <w:left w:val="nil"/>
              <w:bottom w:val="single" w:color="000000" w:sz="4" w:space="0"/>
              <w:right w:val="single" w:color="000000" w:sz="4" w:space="0"/>
              <w:tl2br w:val="nil"/>
              <w:tr2bl w:val="nil"/>
            </w:tcBorders>
            <w:vAlign w:val="center"/>
          </w:tcPr>
          <w:p>
            <w:pPr>
              <w:widowControl/>
              <w:kinsoku w:val="0"/>
              <w:autoSpaceDE w:val="0"/>
              <w:autoSpaceDN w:val="0"/>
              <w:adjustRightInd w:val="0"/>
              <w:snapToGrid w:val="0"/>
              <w:jc w:val="center"/>
              <w:textAlignment w:val="baseline"/>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1.6Mpa</w:t>
            </w:r>
          </w:p>
        </w:tc>
        <w:tc>
          <w:tcPr>
            <w:tcW w:w="992" w:type="dxa"/>
            <w:vMerge w:val="continue"/>
            <w:tcBorders>
              <w:top w:val="nil"/>
              <w:left w:val="nil"/>
              <w:bottom w:val="nil"/>
              <w:right w:val="single" w:color="000000" w:sz="4" w:space="0"/>
              <w:tl2br w:val="nil"/>
              <w:tr2bl w:val="nil"/>
            </w:tcBorders>
            <w:vAlign w:val="center"/>
          </w:tcPr>
          <w:p>
            <w:pPr>
              <w:widowControl/>
              <w:kinsoku w:val="0"/>
              <w:autoSpaceDE w:val="0"/>
              <w:autoSpaceDN w:val="0"/>
              <w:adjustRightInd w:val="0"/>
              <w:snapToGrid w:val="0"/>
              <w:jc w:val="center"/>
              <w:textAlignment w:val="baseline"/>
              <w:rPr>
                <w:rFonts w:ascii="宋体" w:hAnsi="宋体" w:eastAsia="宋体" w:cs="宋体"/>
                <w:color w:val="auto"/>
                <w:kern w:val="0"/>
                <w:szCs w:val="21"/>
                <w:highlight w:val="none"/>
                <w:lang w:bidi="ar"/>
              </w:rPr>
            </w:pPr>
          </w:p>
        </w:tc>
      </w:tr>
      <w:tr>
        <w:tblPrEx>
          <w:tblLayout w:type="fixed"/>
          <w:tblCellMar>
            <w:top w:w="0" w:type="dxa"/>
            <w:left w:w="108" w:type="dxa"/>
            <w:bottom w:w="0" w:type="dxa"/>
            <w:right w:w="108" w:type="dxa"/>
          </w:tblCellMar>
        </w:tblPrEx>
        <w:trPr>
          <w:trHeight w:val="238" w:hRule="atLeast"/>
          <w:jc w:val="center"/>
        </w:trPr>
        <w:tc>
          <w:tcPr>
            <w:tcW w:w="56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kinsoku w:val="0"/>
              <w:autoSpaceDE w:val="0"/>
              <w:autoSpaceDN w:val="0"/>
              <w:adjustRightInd w:val="0"/>
              <w:snapToGrid w:val="0"/>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490"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承插焊直通</w:t>
            </w:r>
          </w:p>
        </w:tc>
        <w:tc>
          <w:tcPr>
            <w:tcW w:w="1693"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DN108</w:t>
            </w:r>
          </w:p>
        </w:tc>
        <w:tc>
          <w:tcPr>
            <w:tcW w:w="716"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只</w:t>
            </w:r>
          </w:p>
        </w:tc>
        <w:tc>
          <w:tcPr>
            <w:tcW w:w="709" w:type="dxa"/>
            <w:tcBorders>
              <w:top w:val="single" w:color="000000" w:sz="4" w:space="0"/>
              <w:left w:val="nil"/>
              <w:bottom w:val="single" w:color="000000" w:sz="4" w:space="0"/>
              <w:right w:val="single" w:color="000000" w:sz="4" w:space="0"/>
              <w:tl2br w:val="nil"/>
              <w:tr2bl w:val="nil"/>
            </w:tcBorders>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40 </w:t>
            </w:r>
          </w:p>
        </w:tc>
        <w:tc>
          <w:tcPr>
            <w:tcW w:w="1134" w:type="dxa"/>
            <w:tcBorders>
              <w:top w:val="single" w:color="000000" w:sz="4" w:space="0"/>
              <w:left w:val="nil"/>
              <w:bottom w:val="single" w:color="000000" w:sz="4" w:space="0"/>
              <w:right w:val="single" w:color="000000" w:sz="4" w:space="0"/>
              <w:tl2br w:val="nil"/>
              <w:tr2bl w:val="nil"/>
            </w:tcBorders>
            <w:vAlign w:val="center"/>
          </w:tcPr>
          <w:p>
            <w:pPr>
              <w:widowControl/>
              <w:jc w:val="righ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 w:val="20"/>
                <w:szCs w:val="20"/>
                <w:highlight w:val="none"/>
                <w:lang w:bidi="ar"/>
              </w:rPr>
              <w:t xml:space="preserve">30.00 </w:t>
            </w:r>
          </w:p>
        </w:tc>
        <w:tc>
          <w:tcPr>
            <w:tcW w:w="1276" w:type="dxa"/>
            <w:tcBorders>
              <w:top w:val="single" w:color="000000" w:sz="4" w:space="0"/>
              <w:left w:val="nil"/>
              <w:bottom w:val="single" w:color="000000" w:sz="4" w:space="0"/>
              <w:right w:val="single" w:color="000000" w:sz="4" w:space="0"/>
              <w:tl2br w:val="nil"/>
              <w:tr2bl w:val="nil"/>
            </w:tcBorders>
            <w:vAlign w:val="center"/>
          </w:tcPr>
          <w:p>
            <w:pPr>
              <w:widowControl/>
              <w:jc w:val="righ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 w:val="22"/>
                <w:highlight w:val="none"/>
                <w:lang w:bidi="ar"/>
              </w:rPr>
              <w:t xml:space="preserve">1200.00 </w:t>
            </w:r>
          </w:p>
        </w:tc>
        <w:tc>
          <w:tcPr>
            <w:tcW w:w="992" w:type="dxa"/>
            <w:tcBorders>
              <w:top w:val="single" w:color="000000" w:sz="4" w:space="0"/>
              <w:left w:val="nil"/>
              <w:bottom w:val="single" w:color="000000" w:sz="4" w:space="0"/>
              <w:right w:val="single" w:color="000000" w:sz="4" w:space="0"/>
              <w:tl2br w:val="nil"/>
              <w:tr2bl w:val="nil"/>
            </w:tcBorders>
            <w:vAlign w:val="center"/>
          </w:tcPr>
          <w:p>
            <w:pPr>
              <w:widowControl/>
              <w:kinsoku w:val="0"/>
              <w:autoSpaceDE w:val="0"/>
              <w:autoSpaceDN w:val="0"/>
              <w:adjustRightInd w:val="0"/>
              <w:snapToGrid w:val="0"/>
              <w:jc w:val="center"/>
              <w:textAlignment w:val="baseline"/>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1.6Mpa</w:t>
            </w:r>
          </w:p>
        </w:tc>
        <w:tc>
          <w:tcPr>
            <w:tcW w:w="992" w:type="dxa"/>
            <w:vMerge w:val="continue"/>
            <w:tcBorders>
              <w:top w:val="nil"/>
              <w:left w:val="nil"/>
              <w:bottom w:val="nil"/>
              <w:right w:val="single" w:color="000000" w:sz="4" w:space="0"/>
              <w:tl2br w:val="nil"/>
              <w:tr2bl w:val="nil"/>
            </w:tcBorders>
            <w:vAlign w:val="center"/>
          </w:tcPr>
          <w:p>
            <w:pPr>
              <w:widowControl/>
              <w:kinsoku w:val="0"/>
              <w:autoSpaceDE w:val="0"/>
              <w:autoSpaceDN w:val="0"/>
              <w:adjustRightInd w:val="0"/>
              <w:snapToGrid w:val="0"/>
              <w:jc w:val="center"/>
              <w:textAlignment w:val="baseline"/>
              <w:rPr>
                <w:rFonts w:ascii="宋体" w:hAnsi="宋体" w:eastAsia="宋体" w:cs="宋体"/>
                <w:color w:val="auto"/>
                <w:kern w:val="0"/>
                <w:szCs w:val="21"/>
                <w:highlight w:val="none"/>
                <w:lang w:bidi="ar"/>
              </w:rPr>
            </w:pPr>
          </w:p>
        </w:tc>
      </w:tr>
      <w:tr>
        <w:tblPrEx>
          <w:tblLayout w:type="fixed"/>
          <w:tblCellMar>
            <w:top w:w="0" w:type="dxa"/>
            <w:left w:w="108" w:type="dxa"/>
            <w:bottom w:w="0" w:type="dxa"/>
            <w:right w:w="108" w:type="dxa"/>
          </w:tblCellMar>
        </w:tblPrEx>
        <w:trPr>
          <w:trHeight w:val="238" w:hRule="atLeast"/>
          <w:jc w:val="center"/>
        </w:trPr>
        <w:tc>
          <w:tcPr>
            <w:tcW w:w="37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widowControl/>
              <w:jc w:val="center"/>
              <w:textAlignment w:val="center"/>
              <w:rPr>
                <w:rFonts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最高总价限价合计：</w:t>
            </w:r>
          </w:p>
        </w:tc>
        <w:tc>
          <w:tcPr>
            <w:tcW w:w="4827" w:type="dxa"/>
            <w:gridSpan w:val="5"/>
            <w:tcBorders>
              <w:top w:val="single" w:color="000000" w:sz="4" w:space="0"/>
              <w:left w:val="nil"/>
              <w:bottom w:val="single" w:color="000000" w:sz="4" w:space="0"/>
              <w:right w:val="single" w:color="000000" w:sz="4" w:space="0"/>
              <w:tl2br w:val="nil"/>
              <w:tr2bl w:val="nil"/>
            </w:tcBorders>
            <w:shd w:val="clear" w:color="auto" w:fill="auto"/>
            <w:vAlign w:val="center"/>
          </w:tcPr>
          <w:p>
            <w:pPr>
              <w:widowControl/>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478463.00元</w:t>
            </w:r>
          </w:p>
        </w:tc>
        <w:tc>
          <w:tcPr>
            <w:tcW w:w="992" w:type="dxa"/>
            <w:tcBorders>
              <w:top w:val="nil"/>
              <w:left w:val="nil"/>
              <w:bottom w:val="single" w:color="auto" w:sz="4" w:space="0"/>
              <w:right w:val="single" w:color="000000" w:sz="4" w:space="0"/>
              <w:tl2br w:val="nil"/>
              <w:tr2bl w:val="nil"/>
            </w:tcBorders>
            <w:vAlign w:val="center"/>
          </w:tcPr>
          <w:p>
            <w:pPr>
              <w:widowControl/>
              <w:kinsoku w:val="0"/>
              <w:autoSpaceDE w:val="0"/>
              <w:autoSpaceDN w:val="0"/>
              <w:adjustRightInd w:val="0"/>
              <w:snapToGrid w:val="0"/>
              <w:jc w:val="center"/>
              <w:textAlignment w:val="baseline"/>
              <w:rPr>
                <w:rFonts w:ascii="宋体" w:hAnsi="宋体" w:eastAsia="宋体" w:cs="宋体"/>
                <w:color w:val="auto"/>
                <w:kern w:val="0"/>
                <w:szCs w:val="21"/>
                <w:highlight w:val="none"/>
                <w:lang w:bidi="ar"/>
              </w:rPr>
            </w:pPr>
          </w:p>
        </w:tc>
      </w:tr>
    </w:tbl>
    <w:p>
      <w:pPr>
        <w:ind w:firstLine="210" w:firstLineChars="100"/>
        <w:rPr>
          <w:rFonts w:ascii="宋体" w:hAnsi="宋体" w:eastAsia="宋体" w:cs="宋体"/>
          <w:color w:val="auto"/>
          <w:szCs w:val="21"/>
          <w:highlight w:val="none"/>
        </w:rPr>
      </w:pPr>
      <w:r>
        <w:rPr>
          <w:rFonts w:ascii="宋体" w:hAnsi="宋体" w:eastAsia="宋体" w:cs="宋体"/>
          <w:color w:val="auto"/>
          <w:szCs w:val="21"/>
          <w:highlight w:val="none"/>
        </w:rPr>
        <w:t>注：1、本项目总价主要包括但不限于设备的设计、制造、供货、发货、配件费、材料费、卸货、指导安装、调试费、保险、人工费、管理费、税费、运费和交付使用、设备在本文规定的质保期内的维修保养，并应保证设备在各方面均能达到正常运行要求的费用，以及招标代理费，以及其它一切不可预见和实际所需的一切其他费用等。如有漏报，视同已包含在其报价中。</w:t>
      </w:r>
    </w:p>
    <w:p>
      <w:pPr>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2、本项目所招货物卖方按工程实际施工需要一个（根）起送（必须满足施工进度要求）；</w:t>
      </w:r>
    </w:p>
    <w:p>
      <w:pPr>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3、以上货物数量仅供参考，结算以实际供应数量为准，结算的单价参照中标单价。</w:t>
      </w:r>
    </w:p>
    <w:p>
      <w:pPr>
        <w:spacing w:line="360" w:lineRule="auto"/>
        <w:ind w:firstLine="480" w:firstLineChars="200"/>
        <w:rPr>
          <w:rFonts w:ascii="宋体" w:hAnsi="宋体" w:eastAsia="宋体" w:cs="宋体"/>
          <w:color w:val="auto"/>
          <w:sz w:val="24"/>
          <w:szCs w:val="24"/>
          <w:highlight w:val="none"/>
        </w:rPr>
      </w:pPr>
    </w:p>
    <w:bookmarkEnd w:id="92"/>
    <w:bookmarkEnd w:id="93"/>
    <w:p>
      <w:pPr>
        <w:spacing w:line="360" w:lineRule="auto"/>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t>二、技术规范要求</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★投标人提供的管材与管件须是同一品牌；并提供有效期内地级市及以上304不锈钢管材和管件的涉及饮用水卫生安全许可证（管材和管件缺一不可）</w:t>
      </w:r>
      <w:r>
        <w:rPr>
          <w:rFonts w:ascii="宋体" w:hAnsi="宋体" w:eastAsia="宋体" w:cs="宋体"/>
          <w:b/>
          <w:color w:val="auto"/>
          <w:sz w:val="24"/>
          <w:szCs w:val="24"/>
          <w:highlight w:val="none"/>
        </w:rPr>
        <w:t>（提供有效期内地级市及以上卫健委批准的不锈钢管材和管件涉及饮用水卫生安全产品卫生许可批件）；</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★投标人提供配套使用的橡胶圈有效期内地级市及以上涉及饮用水卫生安全许可证</w:t>
      </w:r>
      <w:r>
        <w:rPr>
          <w:rFonts w:ascii="宋体" w:hAnsi="宋体" w:eastAsia="宋体" w:cs="宋体"/>
          <w:b/>
          <w:color w:val="auto"/>
          <w:sz w:val="24"/>
          <w:szCs w:val="24"/>
          <w:highlight w:val="none"/>
        </w:rPr>
        <w:t>（提供有效期内地级市及以上卫健委批准的橡胶圈涉及饮用水卫生安全产品卫生许可批件）。</w:t>
      </w:r>
    </w:p>
    <w:p>
      <w:pPr>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本项目中不锈钢管规格DN108及以上采用沟槽式连接；规格DN108以下采用卡压式连接；埋地不锈钢管采用</w:t>
      </w:r>
      <w:r>
        <w:rPr>
          <w:rFonts w:ascii="宋体" w:hAnsi="宋体" w:eastAsia="宋体" w:cs="宋体"/>
          <w:b/>
          <w:bCs/>
          <w:color w:val="auto"/>
          <w:sz w:val="24"/>
          <w:szCs w:val="24"/>
          <w:highlight w:val="none"/>
        </w:rPr>
        <w:t>承插式焊接连接方式</w:t>
      </w:r>
      <w:r>
        <w:rPr>
          <w:rFonts w:hint="eastAsia" w:ascii="宋体" w:hAnsi="宋体" w:eastAsia="宋体" w:cs="宋体"/>
          <w:b/>
          <w:bCs/>
          <w:color w:val="auto"/>
          <w:sz w:val="24"/>
          <w:szCs w:val="24"/>
          <w:highlight w:val="none"/>
        </w:rPr>
        <w:t>。</w:t>
      </w:r>
    </w:p>
    <w:p>
      <w:pPr>
        <w:tabs>
          <w:tab w:val="left" w:pos="420"/>
        </w:tabs>
        <w:spacing w:line="360" w:lineRule="auto"/>
        <w:rPr>
          <w:rFonts w:ascii="宋体" w:hAnsi="宋体" w:eastAsia="宋体" w:cs="宋体"/>
          <w:b/>
          <w:color w:val="auto"/>
          <w:sz w:val="24"/>
          <w:szCs w:val="24"/>
          <w:highlight w:val="none"/>
        </w:rPr>
      </w:pPr>
      <w:r>
        <w:rPr>
          <w:rFonts w:ascii="宋体" w:hAnsi="宋体" w:eastAsia="宋体" w:cs="宋体"/>
          <w:b/>
          <w:color w:val="auto"/>
          <w:sz w:val="24"/>
          <w:szCs w:val="24"/>
          <w:highlight w:val="none"/>
        </w:rPr>
        <w:t>（一）、卡压式、沟槽式连接用不锈钢管及管件技术参数</w:t>
      </w:r>
    </w:p>
    <w:p>
      <w:pPr>
        <w:spacing w:line="360" w:lineRule="auto"/>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1. 总则</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本技术要求规定了二次供水系统中输送生活饮用水用的不锈钢卡压式管件、沟槽式管件（以下简称“管件”）及</w:t>
      </w:r>
      <w:bookmarkStart w:id="94" w:name="OLE_LINK2"/>
      <w:r>
        <w:rPr>
          <w:rFonts w:ascii="宋体" w:hAnsi="宋体" w:eastAsia="宋体" w:cs="宋体"/>
          <w:color w:val="auto"/>
          <w:sz w:val="24"/>
          <w:szCs w:val="24"/>
          <w:highlight w:val="none"/>
        </w:rPr>
        <w:t>连接用不锈钢管</w:t>
      </w:r>
      <w:bookmarkEnd w:id="94"/>
      <w:r>
        <w:rPr>
          <w:rFonts w:ascii="宋体" w:hAnsi="宋体" w:eastAsia="宋体" w:cs="宋体"/>
          <w:color w:val="auto"/>
          <w:sz w:val="24"/>
          <w:szCs w:val="24"/>
          <w:highlight w:val="none"/>
        </w:rPr>
        <w:t>的规格、尺寸、技术要求、验收规则等；本技术要求规定的不锈钢管适用二次供水系统的泵房、地下室水平管、立管。</w:t>
      </w:r>
    </w:p>
    <w:p>
      <w:pPr>
        <w:spacing w:line="360" w:lineRule="auto"/>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2 .引用标准及规范</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下列标准所包含的条文，通过在本技术要求中引用而构成本技术要求的条文。 凡是不注日期的引用文件，其最新版本适用于本标准。</w:t>
      </w:r>
    </w:p>
    <w:p>
      <w:pPr>
        <w:spacing w:line="36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GB/T 19228.1-2024 不锈钢卡压式管件组件第1部分  卡压式管件</w:t>
      </w:r>
    </w:p>
    <w:p>
      <w:pPr>
        <w:spacing w:line="36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GB/T19228.2 -2011  不锈钢卡压式管件组件 第2部分 连接用薄壁不锈钢管</w:t>
      </w:r>
    </w:p>
    <w:p>
      <w:pPr>
        <w:spacing w:line="36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GB/T19228.3-2012   不锈钢卡压式管件组件 第3部分 O形橡胶密封圈</w:t>
      </w:r>
    </w:p>
    <w:p>
      <w:pPr>
        <w:spacing w:line="36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GB/T 12771-2019   流体输送用不锈钢焊接钢管 </w:t>
      </w:r>
    </w:p>
    <w:p>
      <w:pPr>
        <w:spacing w:line="36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GB/T 29038-2012    薄壁不锈钢管道技术规范</w:t>
      </w:r>
    </w:p>
    <w:p>
      <w:pPr>
        <w:spacing w:line="36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CJ/T152-2010       薄壁不锈钢卡压式和沟槽式管件</w:t>
      </w:r>
    </w:p>
    <w:p>
      <w:pPr>
        <w:spacing w:line="36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DVGW W534          饮水装置的管接头</w:t>
      </w:r>
    </w:p>
    <w:p>
      <w:pPr>
        <w:spacing w:line="36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10S407-2           建筑给水薄壁不锈钢管道安装</w:t>
      </w:r>
    </w:p>
    <w:p>
      <w:pPr>
        <w:spacing w:line="36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GB/T20878-2007     不锈钢和耐热钢 牌号及化学成分</w:t>
      </w:r>
    </w:p>
    <w:p>
      <w:pPr>
        <w:spacing w:line="36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GB/T 17219       生活饮用水输配水设备及防护材料的安全性评价标准</w:t>
      </w:r>
    </w:p>
    <w:p>
      <w:pPr>
        <w:spacing w:line="360" w:lineRule="auto"/>
        <w:ind w:firstLine="241" w:firstLineChars="100"/>
        <w:rPr>
          <w:rFonts w:ascii="宋体" w:hAnsi="宋体" w:eastAsia="宋体" w:cs="宋体"/>
          <w:b/>
          <w:color w:val="auto"/>
          <w:sz w:val="24"/>
          <w:szCs w:val="24"/>
          <w:highlight w:val="none"/>
        </w:rPr>
      </w:pPr>
      <w:r>
        <w:rPr>
          <w:rFonts w:ascii="宋体" w:hAnsi="宋体" w:eastAsia="宋体" w:cs="宋体"/>
          <w:b/>
          <w:color w:val="auto"/>
          <w:sz w:val="24"/>
          <w:szCs w:val="24"/>
          <w:highlight w:val="none"/>
        </w:rPr>
        <w:t>3 材料</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3.1材料牌号及化学成分</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3.1.1</w:t>
      </w:r>
      <w:bookmarkStart w:id="95" w:name="OLE_LINK8"/>
      <w:r>
        <w:rPr>
          <w:rFonts w:ascii="宋体" w:hAnsi="宋体" w:eastAsia="宋体" w:cs="宋体"/>
          <w:color w:val="auto"/>
          <w:sz w:val="24"/>
          <w:szCs w:val="24"/>
          <w:highlight w:val="none"/>
        </w:rPr>
        <w:t>不锈钢管及管件采用S30408（06Cr19Ni10）以上牌号，其材料应符合GB/T 20878-2007的规定</w:t>
      </w:r>
      <w:bookmarkEnd w:id="95"/>
      <w:r>
        <w:rPr>
          <w:rFonts w:ascii="宋体" w:hAnsi="宋体" w:eastAsia="宋体" w:cs="宋体"/>
          <w:color w:val="auto"/>
          <w:sz w:val="24"/>
          <w:szCs w:val="24"/>
          <w:highlight w:val="none"/>
        </w:rPr>
        <w:t>。转换接头采用不锈钢铸造时，应符合GB/T 21的规定。</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3.1.2不锈钢管原料及管件原料采用浦项（张家港）、宝钢、太钢或同档次及以上品牌的原料【提供不锈钢原材料生产厂家的产品质量证明书或进项发票原件扫描件（原件备查）】。</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3.2钢管的力学性能</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不锈钢钢管的力学性能应符合GB/T19228.2-2011条款7的规定。 </w:t>
      </w:r>
    </w:p>
    <w:p>
      <w:pPr>
        <w:spacing w:line="360" w:lineRule="auto"/>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4 尺寸及外观颜色要求</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4.1不锈钢钢管</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4.1.1不锈钢钢管的尺寸与公差，DN15-DN100应符合本表1的规定，大于DN100的应符合本表2的规定。本规定尺寸与公差为最低标准，低于此标准的产品将被拒绝。</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表1：不锈钢钢管的尺寸与公差</w:t>
      </w:r>
    </w:p>
    <w:tbl>
      <w:tblPr>
        <w:tblStyle w:val="11"/>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962"/>
        <w:gridCol w:w="2127"/>
        <w:gridCol w:w="155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 w:hRule="atLeast"/>
          <w:jc w:val="center"/>
        </w:trPr>
        <w:tc>
          <w:tcPr>
            <w:tcW w:w="154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公称通径DN</w:t>
            </w:r>
          </w:p>
        </w:tc>
        <w:tc>
          <w:tcPr>
            <w:tcW w:w="40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钢管外径D (mm)</w:t>
            </w:r>
          </w:p>
        </w:tc>
        <w:tc>
          <w:tcPr>
            <w:tcW w:w="35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钢管壁厚S(mm)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154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钢管外径D</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外径允许偏差</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钢管壁厚</w:t>
            </w:r>
          </w:p>
        </w:tc>
        <w:tc>
          <w:tcPr>
            <w:tcW w:w="198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壁厚允许偏差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jc w:val="center"/>
        </w:trPr>
        <w:tc>
          <w:tcPr>
            <w:tcW w:w="15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15.9</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±0.10</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19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±8%S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jc w:val="center"/>
        </w:trPr>
        <w:tc>
          <w:tcPr>
            <w:tcW w:w="15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±0.11</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9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jc w:val="center"/>
        </w:trPr>
        <w:tc>
          <w:tcPr>
            <w:tcW w:w="15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28.6</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±0.14</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9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jc w:val="center"/>
        </w:trPr>
        <w:tc>
          <w:tcPr>
            <w:tcW w:w="15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±0.17</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9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jc w:val="center"/>
        </w:trPr>
        <w:tc>
          <w:tcPr>
            <w:tcW w:w="15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42.7</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±0.21</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9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jc w:val="center"/>
        </w:trPr>
        <w:tc>
          <w:tcPr>
            <w:tcW w:w="15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48.6</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±0.26</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9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jc w:val="center"/>
        </w:trPr>
        <w:tc>
          <w:tcPr>
            <w:tcW w:w="15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65</w:t>
            </w: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76.1</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±0.38</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9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jc w:val="center"/>
        </w:trPr>
        <w:tc>
          <w:tcPr>
            <w:tcW w:w="15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88.9</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±0.44</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9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jc w:val="center"/>
        </w:trPr>
        <w:tc>
          <w:tcPr>
            <w:tcW w:w="15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96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108</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±0.54</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9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jc w:val="center"/>
        </w:trPr>
        <w:tc>
          <w:tcPr>
            <w:tcW w:w="91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注：表中不锈钢管的规格适用双卡压式管件连接，依据GB/T19228.2--2011。</w:t>
            </w:r>
          </w:p>
        </w:tc>
      </w:tr>
    </w:tbl>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表2 ：不锈钢钢管的尺寸与公差</w:t>
      </w:r>
    </w:p>
    <w:tbl>
      <w:tblPr>
        <w:tblStyle w:val="11"/>
        <w:tblW w:w="91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103"/>
        <w:gridCol w:w="1843"/>
        <w:gridCol w:w="1983"/>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 w:hRule="atLeast"/>
          <w:jc w:val="center"/>
        </w:trPr>
        <w:tc>
          <w:tcPr>
            <w:tcW w:w="154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公称通径DN</w:t>
            </w:r>
          </w:p>
        </w:tc>
        <w:tc>
          <w:tcPr>
            <w:tcW w:w="3946"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不锈钢钢管外径D (mm)</w:t>
            </w:r>
          </w:p>
        </w:tc>
        <w:tc>
          <w:tcPr>
            <w:tcW w:w="36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不锈钢钢管壁厚S(mm)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15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c>
          <w:tcPr>
            <w:tcW w:w="210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不锈钢钢管外径D</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外径允许偏差</w:t>
            </w:r>
          </w:p>
        </w:tc>
        <w:tc>
          <w:tcPr>
            <w:tcW w:w="198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不锈钢钢管壁厚</w:t>
            </w:r>
          </w:p>
        </w:tc>
        <w:tc>
          <w:tcPr>
            <w:tcW w:w="168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壁厚允许偏差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210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18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p>
            <w:pPr>
              <w:jc w:val="center"/>
              <w:rPr>
                <w:rFonts w:ascii="宋体" w:hAnsi="宋体" w:eastAsia="宋体" w:cs="宋体"/>
                <w:color w:val="auto"/>
                <w:sz w:val="24"/>
                <w:szCs w:val="24"/>
                <w:highlight w:val="none"/>
              </w:rPr>
            </w:pPr>
          </w:p>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±0.75%D</w:t>
            </w:r>
          </w:p>
          <w:p>
            <w:pPr>
              <w:jc w:val="center"/>
              <w:rPr>
                <w:rFonts w:ascii="宋体" w:hAnsi="宋体" w:eastAsia="宋体" w:cs="宋体"/>
                <w:color w:val="auto"/>
                <w:sz w:val="24"/>
                <w:szCs w:val="24"/>
                <w:highlight w:val="none"/>
              </w:rPr>
            </w:pPr>
          </w:p>
        </w:tc>
        <w:tc>
          <w:tcPr>
            <w:tcW w:w="198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168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±8%S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150</w:t>
            </w:r>
          </w:p>
        </w:tc>
        <w:tc>
          <w:tcPr>
            <w:tcW w:w="210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159</w:t>
            </w: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c>
          <w:tcPr>
            <w:tcW w:w="198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16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c>
          <w:tcPr>
            <w:tcW w:w="210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219</w:t>
            </w: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c>
          <w:tcPr>
            <w:tcW w:w="198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16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250</w:t>
            </w:r>
          </w:p>
        </w:tc>
        <w:tc>
          <w:tcPr>
            <w:tcW w:w="210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273</w:t>
            </w: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c>
          <w:tcPr>
            <w:tcW w:w="198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16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210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325</w:t>
            </w: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c>
          <w:tcPr>
            <w:tcW w:w="198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16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9158"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注：表中不锈钢管规格，适用沟槽式管件连接，尺寸依据 CJ/T151、152-2016</w:t>
            </w:r>
          </w:p>
        </w:tc>
      </w:tr>
    </w:tbl>
    <w:p>
      <w:pPr>
        <w:spacing w:line="360" w:lineRule="auto"/>
        <w:ind w:firstLine="482" w:firstLineChars="200"/>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表</w:t>
      </w:r>
      <w:r>
        <w:rPr>
          <w:rFonts w:hint="eastAsia" w:ascii="宋体" w:hAnsi="宋体" w:eastAsia="宋体" w:cs="宋体"/>
          <w:b/>
          <w:bCs/>
          <w:color w:val="auto"/>
          <w:sz w:val="24"/>
          <w:szCs w:val="24"/>
          <w:highlight w:val="none"/>
        </w:rPr>
        <w:t>3</w:t>
      </w:r>
      <w:r>
        <w:rPr>
          <w:rFonts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rPr>
        <w:t>304</w:t>
      </w:r>
      <w:r>
        <w:rPr>
          <w:rFonts w:ascii="宋体" w:hAnsi="宋体" w:eastAsia="宋体" w:cs="宋体"/>
          <w:b/>
          <w:bCs/>
          <w:color w:val="auto"/>
          <w:sz w:val="24"/>
          <w:szCs w:val="24"/>
          <w:highlight w:val="none"/>
        </w:rPr>
        <w:t>不锈钢</w:t>
      </w:r>
      <w:r>
        <w:rPr>
          <w:rFonts w:hint="eastAsia" w:ascii="宋体" w:hAnsi="宋体" w:eastAsia="宋体" w:cs="宋体"/>
          <w:b/>
          <w:bCs/>
          <w:color w:val="auto"/>
          <w:sz w:val="24"/>
          <w:szCs w:val="24"/>
          <w:highlight w:val="none"/>
        </w:rPr>
        <w:t>卡箍的重量（个）</w:t>
      </w:r>
    </w:p>
    <w:tbl>
      <w:tblPr>
        <w:tblStyle w:val="12"/>
        <w:tblW w:w="9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150"/>
        <w:gridCol w:w="286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1553" w:type="dxa"/>
            <w:vAlign w:val="center"/>
          </w:tcPr>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公称通径DN</w:t>
            </w:r>
          </w:p>
        </w:tc>
        <w:tc>
          <w:tcPr>
            <w:tcW w:w="2150" w:type="dxa"/>
            <w:vAlign w:val="center"/>
          </w:tcPr>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不锈钢钢管</w:t>
            </w:r>
          </w:p>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外径D (mm)</w:t>
            </w:r>
          </w:p>
        </w:tc>
        <w:tc>
          <w:tcPr>
            <w:tcW w:w="2860" w:type="dxa"/>
            <w:vAlign w:val="center"/>
          </w:tcPr>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每套重量(g)</w:t>
            </w:r>
          </w:p>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18"/>
                <w:szCs w:val="18"/>
                <w:highlight w:val="none"/>
              </w:rPr>
              <w:t>（含配套的1个橡胶密封圈、2根304不锈钢螺杆、2片304不锈钢垫片、2颗304不锈钢螺母。</w:t>
            </w:r>
          </w:p>
        </w:tc>
        <w:tc>
          <w:tcPr>
            <w:tcW w:w="2655" w:type="dxa"/>
            <w:vAlign w:val="center"/>
          </w:tcPr>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每套重量(g)</w:t>
            </w:r>
          </w:p>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（不包含配套配件）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553" w:type="dxa"/>
            <w:vAlign w:val="center"/>
          </w:tcPr>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100</w:t>
            </w:r>
          </w:p>
        </w:tc>
        <w:tc>
          <w:tcPr>
            <w:tcW w:w="2150" w:type="dxa"/>
            <w:vAlign w:val="center"/>
          </w:tcPr>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108</w:t>
            </w:r>
          </w:p>
        </w:tc>
        <w:tc>
          <w:tcPr>
            <w:tcW w:w="2860" w:type="dxa"/>
            <w:vAlign w:val="center"/>
          </w:tcPr>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≧1100</w:t>
            </w:r>
          </w:p>
        </w:tc>
        <w:tc>
          <w:tcPr>
            <w:tcW w:w="2655" w:type="dxa"/>
            <w:vAlign w:val="center"/>
          </w:tcPr>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553" w:type="dxa"/>
            <w:vAlign w:val="center"/>
          </w:tcPr>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150</w:t>
            </w:r>
          </w:p>
        </w:tc>
        <w:tc>
          <w:tcPr>
            <w:tcW w:w="2150" w:type="dxa"/>
            <w:vAlign w:val="center"/>
          </w:tcPr>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159</w:t>
            </w:r>
          </w:p>
        </w:tc>
        <w:tc>
          <w:tcPr>
            <w:tcW w:w="2860" w:type="dxa"/>
            <w:vAlign w:val="center"/>
          </w:tcPr>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≧2200</w:t>
            </w:r>
          </w:p>
        </w:tc>
        <w:tc>
          <w:tcPr>
            <w:tcW w:w="2655" w:type="dxa"/>
            <w:vAlign w:val="center"/>
          </w:tcPr>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≧1750</w:t>
            </w:r>
          </w:p>
        </w:tc>
      </w:tr>
    </w:tbl>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4.1.2不锈钢钢管的长度与偏差</w:t>
      </w:r>
    </w:p>
    <w:p>
      <w:pPr>
        <w:spacing w:line="360" w:lineRule="auto"/>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不锈钢钢管长度为定尺长度6m或12m ；其允许偏差为：0～+20mm。</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4.1.3不锈钢钢管表面颜色</w:t>
      </w:r>
    </w:p>
    <w:p>
      <w:pPr>
        <w:spacing w:line="360" w:lineRule="auto"/>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不锈钢钢管为经过外抛光处理后的亮光色。</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4.2不锈钢管件</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4.2.1卡压管件承口壁厚及尺寸公差详见下表3：</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表3：双卡压及沟槽承口壁厚及尺寸公差</w:t>
      </w:r>
    </w:p>
    <w:tbl>
      <w:tblPr>
        <w:tblStyle w:val="11"/>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600"/>
        <w:gridCol w:w="1210"/>
        <w:gridCol w:w="1621"/>
        <w:gridCol w:w="1916"/>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trPr>
        <w:tc>
          <w:tcPr>
            <w:tcW w:w="12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公称尺寸</w:t>
            </w:r>
          </w:p>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DN</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宋体"/>
                <w:color w:val="auto"/>
                <w:sz w:val="24"/>
                <w:szCs w:val="24"/>
                <w:highlight w:val="none"/>
              </w:rPr>
            </w:pPr>
            <w:r>
              <w:rPr>
                <w:rFonts w:ascii="宋体" w:hAnsi="宋体" w:eastAsia="宋体" w:cs="宋体"/>
                <w:color w:val="auto"/>
                <w:sz w:val="24"/>
                <w:szCs w:val="24"/>
                <w:highlight w:val="none"/>
              </w:rPr>
              <w:t>管子外径D</w:t>
            </w: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管件壁厚T(mm)</w:t>
            </w:r>
          </w:p>
        </w:tc>
        <w:tc>
          <w:tcPr>
            <w:tcW w:w="16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承口内径</w:t>
            </w:r>
          </w:p>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d1</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承口端外径</w:t>
            </w:r>
          </w:p>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D2</w:t>
            </w:r>
          </w:p>
        </w:tc>
        <w:tc>
          <w:tcPr>
            <w:tcW w:w="166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承口长度</w:t>
            </w:r>
          </w:p>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L1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12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15.9</w:t>
            </w: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0.6</w:t>
            </w:r>
          </w:p>
        </w:tc>
        <w:tc>
          <w:tcPr>
            <w:tcW w:w="16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16.1+0.3</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22.2±0.3</w:t>
            </w:r>
          </w:p>
        </w:tc>
        <w:tc>
          <w:tcPr>
            <w:tcW w:w="166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 w:hRule="atLeast"/>
        </w:trPr>
        <w:tc>
          <w:tcPr>
            <w:tcW w:w="12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16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22.3+0.3</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30.1±0.3</w:t>
            </w:r>
          </w:p>
        </w:tc>
        <w:tc>
          <w:tcPr>
            <w:tcW w:w="166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28.6</w:t>
            </w: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16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28.7+0.3</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36.4±0.3</w:t>
            </w:r>
          </w:p>
        </w:tc>
        <w:tc>
          <w:tcPr>
            <w:tcW w:w="166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trPr>
        <w:tc>
          <w:tcPr>
            <w:tcW w:w="12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6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34.3+0.4</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45.4±0.4</w:t>
            </w:r>
          </w:p>
        </w:tc>
        <w:tc>
          <w:tcPr>
            <w:tcW w:w="166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 w:hRule="atLeast"/>
        </w:trPr>
        <w:tc>
          <w:tcPr>
            <w:tcW w:w="12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42.7</w:t>
            </w: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6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43.1+0.4</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56.2±0.4</w:t>
            </w:r>
          </w:p>
        </w:tc>
        <w:tc>
          <w:tcPr>
            <w:tcW w:w="166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trPr>
        <w:tc>
          <w:tcPr>
            <w:tcW w:w="12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48.6</w:t>
            </w: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6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49.0+0.6</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63.2±0.4</w:t>
            </w:r>
          </w:p>
        </w:tc>
        <w:tc>
          <w:tcPr>
            <w:tcW w:w="166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 w:hRule="atLeast"/>
        </w:trPr>
        <w:tc>
          <w:tcPr>
            <w:tcW w:w="12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65</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76.1</w:t>
            </w: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6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76.7+1.5</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94.7±0.8</w:t>
            </w:r>
          </w:p>
        </w:tc>
        <w:tc>
          <w:tcPr>
            <w:tcW w:w="166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trPr>
        <w:tc>
          <w:tcPr>
            <w:tcW w:w="12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88.9</w:t>
            </w: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6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89.50+1.5</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109.5±0.8</w:t>
            </w:r>
          </w:p>
        </w:tc>
        <w:tc>
          <w:tcPr>
            <w:tcW w:w="166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12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公称尺寸</w:t>
            </w:r>
          </w:p>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DN</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管子外径</w:t>
            </w:r>
          </w:p>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D</w:t>
            </w: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管件壁厚T(mm)</w:t>
            </w:r>
          </w:p>
        </w:tc>
        <w:tc>
          <w:tcPr>
            <w:tcW w:w="16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沟槽深度G+0.5（mm）</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承口端尺寸</w:t>
            </w:r>
          </w:p>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A±0.5（mm）</w:t>
            </w:r>
          </w:p>
        </w:tc>
        <w:tc>
          <w:tcPr>
            <w:tcW w:w="166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槽宽度</w:t>
            </w:r>
          </w:p>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B-0.5（mm）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trPr>
        <w:tc>
          <w:tcPr>
            <w:tcW w:w="12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108.0</w:t>
            </w: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6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66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trPr>
        <w:tc>
          <w:tcPr>
            <w:tcW w:w="12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6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66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trPr>
        <w:tc>
          <w:tcPr>
            <w:tcW w:w="12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150</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159</w:t>
            </w: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6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66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trPr>
        <w:tc>
          <w:tcPr>
            <w:tcW w:w="12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219</w:t>
            </w: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16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66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trPr>
        <w:tc>
          <w:tcPr>
            <w:tcW w:w="127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250</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273</w:t>
            </w: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162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66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127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160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325</w:t>
            </w: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162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66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r>
    </w:tbl>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本表3中管件壁厚T(min）要求为对接、弯头、三通减薄处的最低壁厚，管件生产须选用管件壁厚T(mm）相应尺寸高一个等级壁厚的管材制造，管件生产用管材壁厚详见本表1。焊接管件厚度执行沟槽管件厚度。供方提供的管件壁厚不得低于此标准要求，管件最小壁厚低于此标准将视为不合格品做退货处理。</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4.2.2密封圈材料</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4.2.2.1密封圈材料选用三元乙丙橡胶。（提供第三方权威检测机构出具的检测报告）</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4.2.2.2密封圈的技术要求及结构、尺寸须符合GB/T19228.3的规定，绍尔硬度≥70级。（提供第三方权威检测机构出具的检测报告）</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4.2.2.3所用的304和316L原材料中应不含对输送介质、密封圈的使用寿命及不锈钢管材和不锈钢管件有危害作用的物质，卫生性能应符合GB/T 17219标准的要求。</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4.2.2.4所有要求进行对接焊的不锈钢管材须按采购人要求进行坡口处理。</w:t>
      </w:r>
    </w:p>
    <w:p>
      <w:pPr>
        <w:spacing w:line="360" w:lineRule="auto"/>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5 技术要求</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5.1制造方法</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本条以下要求具备不锈钢管材管件成型、固溶处理、气密检测、水压检测、振动抛光机、自动氩弧焊接、超声波清洗等生产设备，应通过ISO9001质量管理体系、ISO14001环境管理体系、OHSAS18001职业安全健康管理体系、TS压力管道元件制造许可证、生产设备运行记录完整，检验记录详细，并具备产品质量可追溯性。</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5.1.1不锈钢管材须采用内外氩气保护、在线涡流探伤。</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5.1.2管件加工成型后减薄处壁厚不得低于本表3的要求。</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5.1.3凡属涉及到焊接管件（如三通、异径接头、螺纹转换件），焊接部位在焊接时必须采用内外氩气保护。</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5.2外观质量</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5.2.1不锈钢钢管</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不锈钢钢管的内外表面应光滑，不得有折叠，分层、毛刺、过酸及氧化铁皮和其他妨碍使用的缺陷，轻微划伤、压坑、麻点等深度应不超过壁厚负公差值，切口应无毛刺。</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外焊缝应与母材平齐并圆滑过渡，内焊缝的最小高度应大于0.05mm。</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5.2.2不锈钢管件</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不锈钢管件外观应清洁光滑，焊缝表面应无裂纹、气孔、咬边等缺陷，其外表面允许有轻微的划痕，但不应有明显的凹凸不平和超过壁厚负偏差的划痕，纵向划痕深度不应大于名义壁厚的10%。 </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5.3性能要求</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5.3.1水压性能</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不锈钢钢管及管件须进行水压性能试验，试验压力不低于2.5MPa，不锈钢钢管件应无渗透和永久变形。（提供相关产品检测报告） </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5.3.2 气密性能</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不锈钢钢管及管件的气密试验压力为0.6MPa。不锈钢钢管件应无泄漏现象。</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5.3.3 连接性能</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不锈钢管件应进行连接性能试验。连接性能试验应包括耐压试验、负压实验、拉拔实验、交弯变曲、振动实验和压力波动实验。上述实验过程中不锈钢钢管件应无渗漏、脱落或塑性变形。 </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5.3.4压扁试验</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不锈钢钢管的压扁试验须按GB/T 246的规定进行，将试管压至板间的距离为不锈钢钢管壁厚度的4倍。不出现裂纹和破坏为合格。</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5.3.5扩口试验</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不锈钢钢管扩口实验须按GB/T242的规定进行，将试件外径小于60.3的不锈钢钢管进行扩口实验时，采用60度的圆锥，扩口率为30%以上，外径等于或大于60.3mm的不锈钢钢管扩口率为25%以上，管壁无裂纹或破损为合格。</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5.3.6涡流探伤</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不锈钢钢管的涡流探伤试验须按照GB/T7735的规定进行，其对比试样人工缺陷应符合GB/T7735中验收等级A的规定。 </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5.3.7晶间腐蚀试验</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不锈钢钢管须按GB/T4334中的E方法进行晶间腐蚀实验。 </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5.3.8盐雾试验</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不锈钢钢管须按GB/T10125的规定进行240h的盐雾腐蚀试验。 </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5.3.9 卫生要求</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不锈钢管件卫生性能应符合GB/T17219 《生活饮用输配水设备及防护材料的安全性评价标准》的规定。须提供地市级及以上（含直辖市）政府颁发的卫生批件，且在有效期内。</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5.4连接与安装</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不锈钢管材与钢管件的连接与安装应符合10S407-2《建筑给水薄壁不锈钢管道安装》等相关标准或规范的规定。</w:t>
      </w:r>
    </w:p>
    <w:p>
      <w:pPr>
        <w:spacing w:line="360" w:lineRule="auto"/>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6 产品检验</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本规范所涉及的技术要求、尺寸、参数等，均须提供有资质认定的质检机构出具的产品相关质量检测的第三方型式检测报告。应对产品进行抽检，须符合本规范要求，并对抽检的余下样品进行封存。</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6.1不锈钢钢管的检验</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不锈钢钢管的检验方法依据GB/T19228.2-2001条款7执行，不锈钢钢管的型式试验应符合本表5的规定。</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表5：不锈钢钢管的型式试验</w:t>
      </w:r>
    </w:p>
    <w:tbl>
      <w:tblPr>
        <w:tblStyle w:val="11"/>
        <w:tblW w:w="9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8"/>
        <w:gridCol w:w="3402"/>
        <w:gridCol w:w="1418"/>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blHeader/>
          <w:jc w:val="center"/>
        </w:trPr>
        <w:tc>
          <w:tcPr>
            <w:tcW w:w="69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序号</w:t>
            </w:r>
          </w:p>
        </w:tc>
        <w:tc>
          <w:tcPr>
            <w:tcW w:w="17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检验项目</w:t>
            </w: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取样数量</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取样要求</w:t>
            </w:r>
          </w:p>
        </w:tc>
        <w:tc>
          <w:tcPr>
            <w:tcW w:w="21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7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化学成分</w:t>
            </w: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每炉取1个试样</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GB/T20066</w:t>
            </w:r>
          </w:p>
        </w:tc>
        <w:tc>
          <w:tcPr>
            <w:tcW w:w="215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GB/T223、GB/T11170、GB/T20123、GB/T20124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17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拉伸试验</w:t>
            </w: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每批在2根钢管上各取1个试样</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GB/T2975</w:t>
            </w:r>
          </w:p>
        </w:tc>
        <w:tc>
          <w:tcPr>
            <w:tcW w:w="215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GB/T 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17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外观检验</w:t>
            </w: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逐根</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17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尺寸检验</w:t>
            </w: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逐根</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相应精度测量工具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5</w:t>
            </w:r>
          </w:p>
        </w:tc>
        <w:tc>
          <w:tcPr>
            <w:tcW w:w="17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压扁性能</w:t>
            </w: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每批在一根钢管上取1个样</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GB/T246</w:t>
            </w:r>
          </w:p>
        </w:tc>
        <w:tc>
          <w:tcPr>
            <w:tcW w:w="215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GB/T 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6</w:t>
            </w:r>
          </w:p>
        </w:tc>
        <w:tc>
          <w:tcPr>
            <w:tcW w:w="17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扩口性能</w:t>
            </w: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每批在一根钢管上取1个样</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GB/T 242</w:t>
            </w:r>
          </w:p>
        </w:tc>
        <w:tc>
          <w:tcPr>
            <w:tcW w:w="215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GB/T 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7</w:t>
            </w:r>
          </w:p>
        </w:tc>
        <w:tc>
          <w:tcPr>
            <w:tcW w:w="17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水压试验</w:t>
            </w: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逐根</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5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GB/T 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8</w:t>
            </w:r>
          </w:p>
        </w:tc>
        <w:tc>
          <w:tcPr>
            <w:tcW w:w="17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气密试验</w:t>
            </w: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逐根</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5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GB/T19228.2条款6.5.4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9</w:t>
            </w:r>
          </w:p>
        </w:tc>
        <w:tc>
          <w:tcPr>
            <w:tcW w:w="17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涡流探伤</w:t>
            </w: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逐根</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5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GB/T 7735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10</w:t>
            </w:r>
          </w:p>
        </w:tc>
        <w:tc>
          <w:tcPr>
            <w:tcW w:w="17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晶间腐蚀试验</w:t>
            </w: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每批在一根钢管上取1组试验</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GB/T4334</w:t>
            </w:r>
          </w:p>
        </w:tc>
        <w:tc>
          <w:tcPr>
            <w:tcW w:w="215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GB/T4334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11</w:t>
            </w:r>
          </w:p>
        </w:tc>
        <w:tc>
          <w:tcPr>
            <w:tcW w:w="17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盐雾腐蚀试验</w:t>
            </w: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每批在一根钢管上取1组试验</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GB/T10125</w:t>
            </w:r>
          </w:p>
        </w:tc>
        <w:tc>
          <w:tcPr>
            <w:tcW w:w="215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GB/T10125</w:t>
            </w:r>
          </w:p>
        </w:tc>
      </w:tr>
    </w:tbl>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6.2不锈钢管件检验</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检验方法及规则依据GB/T19228.1-2011条款7执行。型式检验的检验项目及顺序见本表6。</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表6  检验项目</w:t>
      </w:r>
    </w:p>
    <w:tbl>
      <w:tblPr>
        <w:tblStyle w:val="11"/>
        <w:tblW w:w="94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531"/>
        <w:gridCol w:w="1329"/>
        <w:gridCol w:w="1369"/>
        <w:gridCol w:w="1512"/>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10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序号</w:t>
            </w:r>
          </w:p>
        </w:tc>
        <w:tc>
          <w:tcPr>
            <w:tcW w:w="25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检验项目</w:t>
            </w:r>
          </w:p>
        </w:tc>
        <w:tc>
          <w:tcPr>
            <w:tcW w:w="132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型式检验</w:t>
            </w:r>
          </w:p>
        </w:tc>
        <w:tc>
          <w:tcPr>
            <w:tcW w:w="13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出厂检验</w:t>
            </w:r>
          </w:p>
        </w:tc>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试验章条号</w:t>
            </w:r>
          </w:p>
        </w:tc>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检验章条号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10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25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材料</w:t>
            </w:r>
          </w:p>
        </w:tc>
        <w:tc>
          <w:tcPr>
            <w:tcW w:w="132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3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10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25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外观</w:t>
            </w:r>
          </w:p>
        </w:tc>
        <w:tc>
          <w:tcPr>
            <w:tcW w:w="132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3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10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25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尺寸</w:t>
            </w:r>
          </w:p>
        </w:tc>
        <w:tc>
          <w:tcPr>
            <w:tcW w:w="132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3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10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25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晶间腐蚀试验</w:t>
            </w:r>
          </w:p>
        </w:tc>
        <w:tc>
          <w:tcPr>
            <w:tcW w:w="132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3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10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5</w:t>
            </w:r>
          </w:p>
        </w:tc>
        <w:tc>
          <w:tcPr>
            <w:tcW w:w="25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盐雾试验</w:t>
            </w:r>
          </w:p>
        </w:tc>
        <w:tc>
          <w:tcPr>
            <w:tcW w:w="132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3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10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6</w:t>
            </w:r>
          </w:p>
        </w:tc>
        <w:tc>
          <w:tcPr>
            <w:tcW w:w="25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水压性能</w:t>
            </w:r>
          </w:p>
        </w:tc>
        <w:tc>
          <w:tcPr>
            <w:tcW w:w="132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3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7.1</w:t>
            </w:r>
          </w:p>
        </w:tc>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10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7</w:t>
            </w:r>
          </w:p>
        </w:tc>
        <w:tc>
          <w:tcPr>
            <w:tcW w:w="25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气密性能</w:t>
            </w:r>
          </w:p>
        </w:tc>
        <w:tc>
          <w:tcPr>
            <w:tcW w:w="132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3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7.2</w:t>
            </w:r>
          </w:p>
        </w:tc>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10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8</w:t>
            </w:r>
          </w:p>
        </w:tc>
        <w:tc>
          <w:tcPr>
            <w:tcW w:w="25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耐压试验</w:t>
            </w:r>
          </w:p>
        </w:tc>
        <w:tc>
          <w:tcPr>
            <w:tcW w:w="132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3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51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6.5.1</w:t>
            </w:r>
          </w:p>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6.5.2</w:t>
            </w:r>
          </w:p>
        </w:tc>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10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9</w:t>
            </w:r>
          </w:p>
        </w:tc>
        <w:tc>
          <w:tcPr>
            <w:tcW w:w="25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负压试验</w:t>
            </w:r>
          </w:p>
        </w:tc>
        <w:tc>
          <w:tcPr>
            <w:tcW w:w="132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3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5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10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10</w:t>
            </w:r>
          </w:p>
        </w:tc>
        <w:tc>
          <w:tcPr>
            <w:tcW w:w="25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拉拔试验</w:t>
            </w:r>
          </w:p>
        </w:tc>
        <w:tc>
          <w:tcPr>
            <w:tcW w:w="132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3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5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10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11</w:t>
            </w:r>
          </w:p>
        </w:tc>
        <w:tc>
          <w:tcPr>
            <w:tcW w:w="25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水压弯曲挠角试验</w:t>
            </w:r>
          </w:p>
        </w:tc>
        <w:tc>
          <w:tcPr>
            <w:tcW w:w="132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3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5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10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12</w:t>
            </w:r>
          </w:p>
        </w:tc>
        <w:tc>
          <w:tcPr>
            <w:tcW w:w="25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水压振动试验</w:t>
            </w:r>
          </w:p>
        </w:tc>
        <w:tc>
          <w:tcPr>
            <w:tcW w:w="132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3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5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107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13</w:t>
            </w:r>
          </w:p>
        </w:tc>
        <w:tc>
          <w:tcPr>
            <w:tcW w:w="25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压力冲击试验</w:t>
            </w:r>
          </w:p>
        </w:tc>
        <w:tc>
          <w:tcPr>
            <w:tcW w:w="132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3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5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p>
        </w:tc>
        <w:tc>
          <w:tcPr>
            <w:tcW w:w="166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exact"/>
          <w:jc w:val="center"/>
        </w:trPr>
        <w:tc>
          <w:tcPr>
            <w:tcW w:w="9482" w:type="dxa"/>
            <w:gridSpan w:val="6"/>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注：● 必检项目；― 不检项目。</w:t>
            </w:r>
          </w:p>
        </w:tc>
      </w:tr>
    </w:tbl>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6.3质量检验控制要求</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6.3.1生产企业应有专职的质量管理工作的人员，并具备相应上岗资格。</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6.3.2生产企业应具备完整的实验室，具有并不限于以下检测设备：碳硫高速分析仪、多元素分析仪、微机屏显液压万能力学试验机、涡流探伤设备、晶间腐蚀实验设备、盐雾试验、水压检测设备、气密性能检测设备、负压试验设备、拉拔试验设备、水压弯曲挠角试验设备、水压振动试验、压力冲击试验设备等，且所有设备在校准期内，能全部自行检验型式检验表5中的全部11个项目及表6中13个项目。</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6.3.3应具有完整的质量体系文件、作业工艺指导等质量控制文件。</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6.3.4采购人将到生产企业现场实地复核，检查工艺装备及制造水平，并进行抽样检测分析，检查质量控制过程及记录。</w:t>
      </w:r>
    </w:p>
    <w:p>
      <w:pPr>
        <w:tabs>
          <w:tab w:val="left" w:pos="420"/>
        </w:tabs>
        <w:spacing w:line="360" w:lineRule="auto"/>
        <w:rPr>
          <w:rFonts w:ascii="宋体" w:hAnsi="宋体" w:eastAsia="宋体" w:cs="宋体"/>
          <w:b/>
          <w:color w:val="auto"/>
          <w:sz w:val="24"/>
          <w:szCs w:val="24"/>
          <w:highlight w:val="none"/>
        </w:rPr>
      </w:pPr>
      <w:r>
        <w:rPr>
          <w:rFonts w:ascii="宋体" w:hAnsi="宋体" w:eastAsia="宋体" w:cs="宋体"/>
          <w:b/>
          <w:color w:val="auto"/>
          <w:sz w:val="24"/>
          <w:szCs w:val="24"/>
          <w:highlight w:val="none"/>
        </w:rPr>
        <w:t>（二）、焊接式连接用不锈钢管及管件技术参数</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本技术中规定的焊接式指承插式焊接连接方式；焊接式不锈钢管材、管件连接方式执行标准为CJ/T117-2018。</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不锈钢焊接钢管（简称：不锈钢管）制作标准为GB/T 12771-2019，其允许偏差按《流体输送用不锈钢焊接钢管》GB/T12771-2019、《焊接钢管尺寸及单位长度重量》GB/T21835-2008；焊接配件也需符合相关国家标准（若有新国家标准则按最新国家标准执行）。</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不锈钢管及管件采用S30408（06Cr19Ni10）以上牌号，其材料应符合GB/T 20878-2007的规定。</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管道及管件的外径偏差符合GB/T 12771-2019标准，壁厚误差需在国家标准许可范围内（壁厚S≤4mm的，壁厚允许误差为-0.60～+0.50，壁厚S＞4mm的，壁厚允许误差为±10％S）。</w:t>
      </w:r>
    </w:p>
    <w:p>
      <w:pPr>
        <w:widowControl/>
        <w:kinsoku w:val="0"/>
        <w:autoSpaceDE w:val="0"/>
        <w:autoSpaceDN w:val="0"/>
        <w:adjustRightInd w:val="0"/>
        <w:snapToGrid w:val="0"/>
        <w:spacing w:line="360" w:lineRule="auto"/>
        <w:ind w:firstLine="482" w:firstLineChars="200"/>
        <w:textAlignment w:val="baseline"/>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w:t>
      </w:r>
      <w:r>
        <w:rPr>
          <w:rFonts w:ascii="宋体" w:hAnsi="宋体" w:eastAsia="宋体" w:cs="宋体"/>
          <w:b/>
          <w:bCs/>
          <w:color w:val="auto"/>
          <w:sz w:val="24"/>
          <w:szCs w:val="24"/>
          <w:highlight w:val="none"/>
        </w:rPr>
        <w:t>承插式焊接管件壁厚及尺寸详见下</w:t>
      </w:r>
      <w:r>
        <w:rPr>
          <w:rFonts w:hint="eastAsia" w:ascii="宋体" w:hAnsi="宋体" w:eastAsia="宋体" w:cs="宋体"/>
          <w:b/>
          <w:bCs/>
          <w:color w:val="auto"/>
          <w:sz w:val="24"/>
          <w:szCs w:val="24"/>
          <w:highlight w:val="none"/>
        </w:rPr>
        <w:t>图：</w:t>
      </w:r>
    </w:p>
    <w:p>
      <w:pPr>
        <w:widowControl/>
        <w:numPr>
          <w:ilvl w:val="0"/>
          <w:numId w:val="14"/>
        </w:numPr>
        <w:kinsoku w:val="0"/>
        <w:autoSpaceDE w:val="0"/>
        <w:autoSpaceDN w:val="0"/>
        <w:adjustRightInd w:val="0"/>
        <w:snapToGrid w:val="0"/>
        <w:spacing w:line="360" w:lineRule="auto"/>
        <w:ind w:firstLine="480" w:firstLineChars="200"/>
        <w:textAlignment w:val="baseline"/>
        <w:rPr>
          <w:rFonts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DN108</w:t>
      </w:r>
      <w:r>
        <w:rPr>
          <w:rFonts w:hint="eastAsia" w:ascii="宋体" w:hAnsi="宋体" w:eastAsia="宋体" w:cs="宋体"/>
          <w:color w:val="auto"/>
          <w:kern w:val="0"/>
          <w:sz w:val="24"/>
          <w:szCs w:val="24"/>
          <w:highlight w:val="none"/>
          <w:lang w:bidi="ar"/>
        </w:rPr>
        <w:t>承插焊直通</w:t>
      </w:r>
    </w:p>
    <w:p>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0"/>
          <w:sz w:val="20"/>
          <w:szCs w:val="20"/>
          <w:highlight w:val="none"/>
          <w:lang w:bidi="ar"/>
        </w:rPr>
      </w:pPr>
      <w:r>
        <w:rPr>
          <w:rFonts w:ascii="宋体" w:hAnsi="宋体" w:eastAsia="宋体" w:cs="宋体"/>
          <w:color w:val="auto"/>
          <w:kern w:val="0"/>
          <w:sz w:val="20"/>
          <w:szCs w:val="20"/>
          <w:highlight w:val="none"/>
        </w:rPr>
        <w:drawing>
          <wp:inline distT="0" distB="0" distL="114300" distR="114300">
            <wp:extent cx="3001645" cy="3460115"/>
            <wp:effectExtent l="0" t="0" r="8255" b="6985"/>
            <wp:docPr id="2" name="图片 1" descr="1752208918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752208918535"/>
                    <pic:cNvPicPr>
                      <a:picLocks noChangeAspect="1"/>
                    </pic:cNvPicPr>
                  </pic:nvPicPr>
                  <pic:blipFill>
                    <a:blip r:embed="rId5"/>
                    <a:stretch>
                      <a:fillRect/>
                    </a:stretch>
                  </pic:blipFill>
                  <pic:spPr>
                    <a:xfrm>
                      <a:off x="0" y="0"/>
                      <a:ext cx="3001645" cy="3460115"/>
                    </a:xfrm>
                    <a:prstGeom prst="rect">
                      <a:avLst/>
                    </a:prstGeom>
                    <a:noFill/>
                    <a:ln>
                      <a:noFill/>
                    </a:ln>
                  </pic:spPr>
                </pic:pic>
              </a:graphicData>
            </a:graphic>
          </wp:inline>
        </w:drawing>
      </w:r>
    </w:p>
    <w:p>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0"/>
          <w:sz w:val="20"/>
          <w:szCs w:val="20"/>
          <w:highlight w:val="none"/>
          <w:lang w:bidi="ar"/>
        </w:rPr>
      </w:pPr>
    </w:p>
    <w:p>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0"/>
          <w:sz w:val="20"/>
          <w:szCs w:val="20"/>
          <w:highlight w:val="none"/>
          <w:lang w:bidi="ar"/>
        </w:rPr>
      </w:pPr>
    </w:p>
    <w:p>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0"/>
          <w:sz w:val="20"/>
          <w:szCs w:val="20"/>
          <w:highlight w:val="none"/>
          <w:lang w:bidi="ar"/>
        </w:rPr>
      </w:pPr>
    </w:p>
    <w:p>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0"/>
          <w:sz w:val="20"/>
          <w:szCs w:val="20"/>
          <w:highlight w:val="none"/>
          <w:lang w:bidi="ar"/>
        </w:rPr>
      </w:pPr>
    </w:p>
    <w:p>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0"/>
          <w:sz w:val="20"/>
          <w:szCs w:val="20"/>
          <w:highlight w:val="none"/>
          <w:lang w:bidi="ar"/>
        </w:rPr>
      </w:pPr>
    </w:p>
    <w:p>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0"/>
          <w:sz w:val="20"/>
          <w:szCs w:val="20"/>
          <w:highlight w:val="none"/>
          <w:lang w:bidi="ar"/>
        </w:rPr>
      </w:pPr>
    </w:p>
    <w:p>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0"/>
          <w:sz w:val="20"/>
          <w:szCs w:val="20"/>
          <w:highlight w:val="none"/>
          <w:lang w:bidi="ar"/>
        </w:rPr>
      </w:pPr>
    </w:p>
    <w:p>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0"/>
          <w:sz w:val="20"/>
          <w:szCs w:val="20"/>
          <w:highlight w:val="none"/>
          <w:lang w:bidi="ar"/>
        </w:rPr>
      </w:pPr>
    </w:p>
    <w:p>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0"/>
          <w:sz w:val="20"/>
          <w:szCs w:val="20"/>
          <w:highlight w:val="none"/>
          <w:lang w:bidi="ar"/>
        </w:rPr>
      </w:pPr>
    </w:p>
    <w:p>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0"/>
          <w:sz w:val="20"/>
          <w:szCs w:val="20"/>
          <w:highlight w:val="none"/>
          <w:lang w:bidi="ar"/>
        </w:rPr>
      </w:pPr>
    </w:p>
    <w:p>
      <w:pPr>
        <w:widowControl/>
        <w:kinsoku w:val="0"/>
        <w:autoSpaceDE w:val="0"/>
        <w:autoSpaceDN w:val="0"/>
        <w:adjustRightInd w:val="0"/>
        <w:snapToGrid w:val="0"/>
        <w:spacing w:line="360" w:lineRule="auto"/>
        <w:jc w:val="center"/>
        <w:textAlignment w:val="baseline"/>
        <w:rPr>
          <w:rFonts w:ascii="宋体" w:hAnsi="宋体" w:eastAsia="宋体" w:cs="宋体"/>
          <w:color w:val="auto"/>
          <w:kern w:val="0"/>
          <w:sz w:val="20"/>
          <w:szCs w:val="20"/>
          <w:highlight w:val="none"/>
          <w:lang w:bidi="ar"/>
        </w:rPr>
      </w:pPr>
    </w:p>
    <w:p>
      <w:pPr>
        <w:widowControl/>
        <w:numPr>
          <w:ilvl w:val="0"/>
          <w:numId w:val="14"/>
        </w:numPr>
        <w:kinsoku w:val="0"/>
        <w:autoSpaceDE w:val="0"/>
        <w:autoSpaceDN w:val="0"/>
        <w:adjustRightInd w:val="0"/>
        <w:snapToGrid w:val="0"/>
        <w:spacing w:line="360" w:lineRule="auto"/>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DN159承插焊直通</w:t>
      </w:r>
    </w:p>
    <w:p>
      <w:pPr>
        <w:widowControl/>
        <w:kinsoku w:val="0"/>
        <w:autoSpaceDE w:val="0"/>
        <w:autoSpaceDN w:val="0"/>
        <w:adjustRightInd w:val="0"/>
        <w:snapToGrid w:val="0"/>
        <w:spacing w:line="360" w:lineRule="auto"/>
        <w:jc w:val="center"/>
        <w:textAlignment w:val="baseline"/>
        <w:rPr>
          <w:rFonts w:ascii="宋体" w:hAnsi="宋体" w:eastAsia="宋体" w:cs="宋体"/>
          <w:color w:val="auto"/>
          <w:kern w:val="0"/>
          <w:sz w:val="20"/>
          <w:szCs w:val="20"/>
          <w:highlight w:val="none"/>
          <w:lang w:bidi="ar"/>
        </w:rPr>
      </w:pPr>
    </w:p>
    <w:p>
      <w:pPr>
        <w:jc w:val="center"/>
        <w:rPr>
          <w:color w:val="auto"/>
          <w:highlight w:val="none"/>
        </w:rPr>
      </w:pPr>
      <w:r>
        <w:rPr>
          <w:color w:val="auto"/>
          <w:highlight w:val="none"/>
        </w:rPr>
        <w:drawing>
          <wp:inline distT="0" distB="0" distL="114300" distR="114300">
            <wp:extent cx="2607945" cy="3201670"/>
            <wp:effectExtent l="0" t="0" r="8255" b="11430"/>
            <wp:docPr id="3" name="图片 2" descr="175220898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752208985614"/>
                    <pic:cNvPicPr>
                      <a:picLocks noChangeAspect="1"/>
                    </pic:cNvPicPr>
                  </pic:nvPicPr>
                  <pic:blipFill>
                    <a:blip r:embed="rId6"/>
                    <a:stretch>
                      <a:fillRect/>
                    </a:stretch>
                  </pic:blipFill>
                  <pic:spPr>
                    <a:xfrm>
                      <a:off x="0" y="0"/>
                      <a:ext cx="2607945" cy="3201670"/>
                    </a:xfrm>
                    <a:prstGeom prst="rect">
                      <a:avLst/>
                    </a:prstGeom>
                    <a:noFill/>
                    <a:ln>
                      <a:noFill/>
                    </a:ln>
                  </pic:spPr>
                </pic:pic>
              </a:graphicData>
            </a:graphic>
          </wp:inline>
        </w:drawing>
      </w:r>
    </w:p>
    <w:p>
      <w:pPr>
        <w:widowControl/>
        <w:kinsoku w:val="0"/>
        <w:autoSpaceDE w:val="0"/>
        <w:autoSpaceDN w:val="0"/>
        <w:adjustRightInd w:val="0"/>
        <w:snapToGrid w:val="0"/>
        <w:spacing w:line="360" w:lineRule="auto"/>
        <w:ind w:firstLine="480" w:firstLineChars="200"/>
        <w:textAlignment w:val="baseline"/>
        <w:rPr>
          <w:rFonts w:ascii="宋体" w:hAnsi="宋体" w:eastAsia="宋体" w:cs="宋体"/>
          <w:color w:val="auto"/>
          <w:sz w:val="24"/>
          <w:szCs w:val="24"/>
          <w:highlight w:val="none"/>
        </w:rPr>
      </w:pPr>
    </w:p>
    <w:p>
      <w:pPr>
        <w:widowControl/>
        <w:kinsoku w:val="0"/>
        <w:autoSpaceDE w:val="0"/>
        <w:autoSpaceDN w:val="0"/>
        <w:adjustRightInd w:val="0"/>
        <w:snapToGrid w:val="0"/>
        <w:spacing w:line="360" w:lineRule="auto"/>
        <w:ind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部分管配件未明确壁厚要求的按同口径管道壁厚要求执行，涉及到异径管的按大端口径壁厚要求执行。</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管道端部应无毛刺，两端口应与钢管轴线垂直。</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壁厚在5mm以上的钢管焊接时，其端部应开30°~ 40°的坡口。</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钢管的弯曲度应不大于1.5ｍｍ／ｍ，全长弯曲度应不大于钢管总长度0.2％。</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管子的椭圆度不应超过0.01D(D为管外径),在管节安装的端部不得超过0.005D；</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供应的不锈钢管单支整根长度为6米或12米，要求实足，不得拼接。</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不锈钢管≤DN500mm的允许有一条纵向焊缝，不得出现环缝；＞DN500mm的最多允许两条纵向焊缝，不得出现环缝；＞DN1000mm及以上规格的最多允许叁条纵向焊缝，不得出现环缝。</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不锈钢钢管及管件须进行水压性能试验，试验压力不低于2.5MPa，不锈钢管件应无渗透和永久变形。</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不锈钢焊管内焊道应光滑均匀，不允许存在焊瘤、焊渣、咬边、凹陷等缺陷，管道内毛刺应予以清除，与内表面平齐，无明显焊道痕迹。</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不锈钢焊管内壁要求镜面抛光；要求内壁抛光粗糙度为Ra0.8，不得有划痕等缺陷。</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不锈钢焊管及管件表面不得存在裂纹、结疤、分层、焊缝内凹、未焊透等缺陷。</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管道及管件的内外表面不得有酸和残留的氧化皮。</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管道内外侧焊缝余高符合GB/T 12771-2019标准。</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不锈钢管材的标记至少包括以下内容：标准代号、压力、色标、外径、壁厚、长度、材料牌号等。</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不锈钢管道上不得采用钢印标记；应按DIN 标准打上色带（颜色按照厂家颜色标准），色带不得含有有害的物质。</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所供焊接不锈钢管道及管件原材料厂家选用:宝钢、太钢、浦项（张浦）或同等品质的供应商产品，并随货提供原材料完整的质量证明书。</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所有不锈钢管道按标准进行外包装，管口需做内部支撑及防尘盖。不锈钢管管径≤DN500mm的管道管口必须用塑料帽或编织袋封口，防止管口变形及尘土等杂质进入。</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成品具有相应的印记（材料牌号、规格、制造标准等），按照供货清单中要求的相关标准规定，不锈钢管交货时必须按材质规格分别供货，不得混供。不锈钢管及配件均须一个起送。</w:t>
      </w:r>
    </w:p>
    <w:p>
      <w:pPr>
        <w:spacing w:line="360" w:lineRule="auto"/>
        <w:rPr>
          <w:rFonts w:ascii="宋体" w:hAnsi="宋体" w:eastAsia="宋体" w:cs="宋体"/>
          <w:color w:val="auto"/>
          <w:kern w:val="0"/>
          <w:sz w:val="36"/>
          <w:szCs w:val="36"/>
          <w:highlight w:val="none"/>
        </w:rPr>
      </w:pPr>
      <w:r>
        <w:rPr>
          <w:rFonts w:ascii="宋体" w:hAnsi="宋体" w:eastAsia="宋体" w:cs="宋体"/>
          <w:color w:val="auto"/>
          <w:sz w:val="24"/>
          <w:szCs w:val="24"/>
          <w:highlight w:val="none"/>
        </w:rPr>
        <w:t>如需埋地安装时，需做防腐措施（防腐费另算）。</w:t>
      </w:r>
      <w:r>
        <w:rPr>
          <w:rFonts w:hint="eastAsia" w:ascii="宋体" w:hAnsi="宋体" w:eastAsia="宋体" w:cs="宋体"/>
          <w:color w:val="auto"/>
          <w:kern w:val="0"/>
          <w:sz w:val="36"/>
          <w:szCs w:val="36"/>
          <w:highlight w:val="none"/>
        </w:rPr>
        <w:br w:type="page"/>
      </w:r>
    </w:p>
    <w:p>
      <w:pPr>
        <w:keepNext/>
        <w:keepLines/>
        <w:spacing w:line="576" w:lineRule="auto"/>
        <w:jc w:val="center"/>
        <w:outlineLvl w:val="0"/>
        <w:rPr>
          <w:rFonts w:ascii="宋体" w:hAnsi="宋体" w:eastAsia="宋体" w:cs="宋体"/>
          <w:b/>
          <w:bCs/>
          <w:color w:val="auto"/>
          <w:kern w:val="44"/>
          <w:sz w:val="36"/>
          <w:szCs w:val="36"/>
          <w:highlight w:val="none"/>
        </w:rPr>
      </w:pPr>
      <w:bookmarkStart w:id="96" w:name="_Toc203130192"/>
      <w:bookmarkStart w:id="97" w:name="_Toc11333"/>
      <w:r>
        <w:rPr>
          <w:rFonts w:hint="eastAsia" w:ascii="宋体" w:hAnsi="宋体" w:eastAsia="宋体" w:cs="宋体"/>
          <w:b/>
          <w:bCs/>
          <w:color w:val="auto"/>
          <w:kern w:val="44"/>
          <w:sz w:val="36"/>
          <w:szCs w:val="36"/>
          <w:highlight w:val="none"/>
        </w:rPr>
        <w:t>第四部分</w:t>
      </w:r>
      <w:bookmarkEnd w:id="90"/>
      <w:r>
        <w:rPr>
          <w:rFonts w:hint="eastAsia" w:ascii="宋体" w:hAnsi="宋体" w:eastAsia="宋体" w:cs="宋体"/>
          <w:b/>
          <w:bCs/>
          <w:color w:val="auto"/>
          <w:kern w:val="44"/>
          <w:sz w:val="36"/>
          <w:szCs w:val="36"/>
          <w:highlight w:val="none"/>
        </w:rPr>
        <w:t>询价细则及询价方法</w:t>
      </w:r>
      <w:bookmarkEnd w:id="96"/>
      <w:bookmarkEnd w:id="97"/>
    </w:p>
    <w:p>
      <w:pPr>
        <w:keepNext/>
        <w:numPr>
          <w:ilvl w:val="0"/>
          <w:numId w:val="15"/>
        </w:numPr>
        <w:spacing w:line="216" w:lineRule="auto"/>
        <w:jc w:val="center"/>
        <w:outlineLvl w:val="1"/>
        <w:rPr>
          <w:rFonts w:ascii="宋体" w:hAnsi="宋体" w:eastAsia="宋体" w:cs="宋体"/>
          <w:b/>
          <w:bCs/>
          <w:color w:val="auto"/>
          <w:kern w:val="0"/>
          <w:sz w:val="28"/>
          <w:szCs w:val="28"/>
          <w:highlight w:val="none"/>
        </w:rPr>
      </w:pPr>
      <w:bookmarkStart w:id="98" w:name="_Toc16646"/>
      <w:bookmarkStart w:id="99" w:name="_Toc27377"/>
      <w:bookmarkStart w:id="100" w:name="_Toc203130193"/>
      <w:bookmarkStart w:id="101" w:name="_Toc1265"/>
      <w:r>
        <w:rPr>
          <w:rFonts w:hint="eastAsia" w:ascii="宋体" w:hAnsi="宋体" w:eastAsia="宋体" w:cs="宋体"/>
          <w:b/>
          <w:bCs/>
          <w:color w:val="auto"/>
          <w:kern w:val="0"/>
          <w:sz w:val="28"/>
          <w:szCs w:val="28"/>
          <w:highlight w:val="none"/>
        </w:rPr>
        <w:t>询价原则</w:t>
      </w:r>
      <w:bookmarkEnd w:id="98"/>
      <w:bookmarkEnd w:id="99"/>
      <w:bookmarkEnd w:id="100"/>
      <w:bookmarkEnd w:id="101"/>
    </w:p>
    <w:p>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1、本次询价本着公平、公正、科学、择优的原则，邀请各询价供应商参加。</w:t>
      </w:r>
    </w:p>
    <w:p>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2、询价小组将严格按照询价文件的要求，对供应商的响应文件进行认真评审；询价小组对响应文件的评审仅依据响应文件本身，而不依据响应文件以外的任何因素。</w:t>
      </w:r>
    </w:p>
    <w:p>
      <w:pPr>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3、询价小组按照统一的询价原则和询价方法，用同一标准对所有响应文件进行评审。</w:t>
      </w:r>
    </w:p>
    <w:p>
      <w:pPr>
        <w:keepNext/>
        <w:numPr>
          <w:ilvl w:val="0"/>
          <w:numId w:val="15"/>
        </w:numPr>
        <w:spacing w:line="216" w:lineRule="auto"/>
        <w:jc w:val="center"/>
        <w:outlineLvl w:val="1"/>
        <w:rPr>
          <w:rFonts w:ascii="宋体" w:hAnsi="宋体" w:eastAsia="宋体" w:cs="宋体"/>
          <w:b/>
          <w:bCs/>
          <w:color w:val="auto"/>
          <w:kern w:val="0"/>
          <w:sz w:val="28"/>
          <w:szCs w:val="28"/>
          <w:highlight w:val="none"/>
        </w:rPr>
      </w:pPr>
      <w:bookmarkStart w:id="102" w:name="_Toc17753"/>
      <w:bookmarkStart w:id="103" w:name="_Toc203130194"/>
      <w:bookmarkStart w:id="104" w:name="_Toc10093"/>
      <w:bookmarkStart w:id="105" w:name="_Toc31312"/>
      <w:r>
        <w:rPr>
          <w:rFonts w:hint="eastAsia" w:ascii="宋体" w:hAnsi="宋体" w:eastAsia="宋体" w:cs="宋体"/>
          <w:b/>
          <w:bCs/>
          <w:color w:val="auto"/>
          <w:kern w:val="0"/>
          <w:sz w:val="28"/>
          <w:szCs w:val="28"/>
          <w:highlight w:val="none"/>
        </w:rPr>
        <w:t>询价程序</w:t>
      </w:r>
      <w:bookmarkEnd w:id="102"/>
      <w:bookmarkEnd w:id="103"/>
      <w:bookmarkEnd w:id="104"/>
      <w:bookmarkEnd w:id="105"/>
    </w:p>
    <w:p>
      <w:pPr>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1、评审</w:t>
      </w:r>
    </w:p>
    <w:p>
      <w:pPr>
        <w:spacing w:line="360" w:lineRule="auto"/>
        <w:ind w:firstLine="480" w:firstLineChars="200"/>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1.1在询价响应截止时间前按规定提交响应文件的供应商在三家（含）以上的，由采购人或采购代理机构组织进行开标。</w:t>
      </w:r>
    </w:p>
    <w:p>
      <w:pPr>
        <w:spacing w:line="360" w:lineRule="auto"/>
        <w:ind w:firstLine="482" w:firstLineChars="200"/>
        <w:rPr>
          <w:rFonts w:ascii="宋体" w:hAnsi="宋体" w:eastAsia="宋体" w:cs="宋体"/>
          <w:color w:val="auto"/>
          <w:kern w:val="0"/>
          <w:sz w:val="24"/>
          <w:szCs w:val="24"/>
          <w:highlight w:val="none"/>
        </w:rPr>
      </w:pPr>
      <w:r>
        <w:rPr>
          <w:rFonts w:hint="eastAsia" w:ascii="宋体" w:hAnsi="宋体" w:eastAsia="宋体" w:cs="宋体"/>
          <w:b/>
          <w:bCs/>
          <w:color w:val="auto"/>
          <w:kern w:val="0"/>
          <w:sz w:val="24"/>
          <w:szCs w:val="20"/>
          <w:highlight w:val="none"/>
        </w:rPr>
        <w:t>1.2供应商登录乐采云平台，用“项目采购-开标评标”功能对电子询价响应文件进行在线解密。在线解密电子询价响应文件时间为开标时间起30分钟内。若电子询价响应文件解密失败，则由采购代理机构工作人员上传供应商提供的备份文件。</w:t>
      </w:r>
      <w:r>
        <w:rPr>
          <w:rFonts w:hint="eastAsia" w:ascii="宋体" w:hAnsi="宋体" w:eastAsia="宋体" w:cs="宋体"/>
          <w:color w:val="auto"/>
          <w:kern w:val="0"/>
          <w:sz w:val="24"/>
          <w:szCs w:val="24"/>
          <w:highlight w:val="none"/>
        </w:rPr>
        <w:t>备份文件（后缀名为.bfbs）须存储在U盘中，与上传的电子询价响应文件一致，用信封进行密封并盖章，由授权代表在询价响应截止时间前递交至开标地点。</w:t>
      </w:r>
    </w:p>
    <w:p>
      <w:pPr>
        <w:spacing w:line="360" w:lineRule="auto"/>
        <w:ind w:firstLine="480" w:firstLineChars="200"/>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1.3采购人按询价文件规定的时间、地点公开开标。开标仪式由采购人或采购代理机构主持及有关人员参加。</w:t>
      </w:r>
    </w:p>
    <w:p>
      <w:pPr>
        <w:widowControl/>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本项目为电子投标项目，供应商一般不需要现场参加，若供应商需要指派授权代表递交备份文件，则授权代表应随身携带法定代表人授权书原件于询价响应截止时间前到达开标地点递交备份文件。若电子询价响应文件正常解锁，则U盘退还给供应商；若解锁失败，则由采购代理机构将U盘中的备份文件上传，该U盘将由采购代理机构保存。</w:t>
      </w:r>
    </w:p>
    <w:p>
      <w:pPr>
        <w:widowControl/>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82" w:firstLineChars="200"/>
        <w:rPr>
          <w:rFonts w:ascii="宋体" w:hAnsi="宋体" w:eastAsia="宋体" w:cs="宋体"/>
          <w:b/>
          <w:bCs/>
          <w:color w:val="auto"/>
          <w:kern w:val="0"/>
          <w:sz w:val="24"/>
          <w:szCs w:val="20"/>
          <w:highlight w:val="none"/>
        </w:rPr>
      </w:pPr>
      <w:r>
        <w:rPr>
          <w:rFonts w:hint="eastAsia" w:ascii="宋体" w:hAnsi="宋体" w:eastAsia="宋体" w:cs="宋体"/>
          <w:b/>
          <w:bCs/>
          <w:color w:val="auto"/>
          <w:kern w:val="0"/>
          <w:sz w:val="24"/>
          <w:szCs w:val="20"/>
          <w:highlight w:val="none"/>
        </w:rPr>
        <w:t>2.组建询价小组</w:t>
      </w:r>
    </w:p>
    <w:p>
      <w:pPr>
        <w:widowControl/>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2.1询价小组由采购人代表和评审专家组成，成员人数应当为 3 人以上单数，其中评审专家不得少于成员总数的三分之二。</w:t>
      </w:r>
    </w:p>
    <w:p>
      <w:pPr>
        <w:widowControl/>
        <w:tabs>
          <w:tab w:val="left" w:pos="0"/>
        </w:tabs>
        <w:adjustRightInd w:val="0"/>
        <w:spacing w:line="360" w:lineRule="auto"/>
        <w:ind w:firstLine="480" w:firstLineChars="200"/>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2.2</w:t>
      </w:r>
      <w:r>
        <w:rPr>
          <w:rFonts w:hint="eastAsia" w:ascii="宋体" w:hAnsi="宋体" w:eastAsia="宋体" w:cs="宋体"/>
          <w:color w:val="auto"/>
          <w:kern w:val="0"/>
          <w:sz w:val="24"/>
          <w:szCs w:val="24"/>
          <w:highlight w:val="none"/>
          <w:lang w:val="zh-CN"/>
        </w:rPr>
        <w:t>评标工作由</w:t>
      </w:r>
      <w:r>
        <w:rPr>
          <w:rFonts w:hint="eastAsia" w:ascii="宋体" w:hAnsi="宋体" w:eastAsia="宋体" w:cs="宋体"/>
          <w:color w:val="auto"/>
          <w:kern w:val="0"/>
          <w:sz w:val="24"/>
          <w:szCs w:val="24"/>
          <w:highlight w:val="none"/>
        </w:rPr>
        <w:t>询价小组</w:t>
      </w:r>
      <w:r>
        <w:rPr>
          <w:rFonts w:hint="eastAsia" w:ascii="宋体" w:hAnsi="宋体" w:eastAsia="宋体" w:cs="宋体"/>
          <w:color w:val="auto"/>
          <w:kern w:val="0"/>
          <w:sz w:val="24"/>
          <w:szCs w:val="24"/>
          <w:highlight w:val="none"/>
          <w:lang w:val="zh-CN"/>
        </w:rPr>
        <w:t>负责，并推选产生的组长主持；</w:t>
      </w:r>
    </w:p>
    <w:p>
      <w:pPr>
        <w:widowControl/>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r>
        <w:rPr>
          <w:rFonts w:hint="eastAsia" w:ascii="宋体" w:hAnsi="宋体" w:eastAsia="宋体" w:cs="宋体"/>
          <w:color w:val="auto"/>
          <w:kern w:val="0"/>
          <w:sz w:val="24"/>
          <w:szCs w:val="24"/>
          <w:highlight w:val="none"/>
          <w:lang w:val="zh-CN"/>
        </w:rPr>
        <w:t>本次评标为在线评标。</w:t>
      </w:r>
    </w:p>
    <w:p>
      <w:pPr>
        <w:snapToGrid w:val="0"/>
        <w:spacing w:line="360" w:lineRule="auto"/>
        <w:ind w:firstLine="482" w:firstLineChars="200"/>
        <w:rPr>
          <w:rFonts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3.对所有响应文件的初审</w:t>
      </w:r>
    </w:p>
    <w:p>
      <w:pPr>
        <w:adjustRightInd w:val="0"/>
        <w:snapToGrid w:val="0"/>
        <w:spacing w:line="360" w:lineRule="auto"/>
        <w:ind w:firstLine="480" w:firstLineChars="200"/>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3.1资格审查</w:t>
      </w:r>
    </w:p>
    <w:p>
      <w:pPr>
        <w:adjustRightInd w:val="0"/>
        <w:snapToGrid w:val="0"/>
        <w:spacing w:line="360" w:lineRule="auto"/>
        <w:ind w:firstLine="480" w:firstLineChars="200"/>
        <w:rPr>
          <w:rFonts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（1）开标后，询价小组将依法对供应商的资格进行审查。</w:t>
      </w:r>
    </w:p>
    <w:p>
      <w:pPr>
        <w:adjustRightInd w:val="0"/>
        <w:snapToGrid w:val="0"/>
        <w:spacing w:line="360" w:lineRule="auto"/>
        <w:ind w:firstLine="480" w:firstLineChars="200"/>
        <w:rPr>
          <w:rFonts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（2）询价小组依据法律法规和询价文件的规定，对供应商的基本资格条件、特定资格条件进行审查。</w:t>
      </w:r>
    </w:p>
    <w:p>
      <w:pPr>
        <w:adjustRightInd w:val="0"/>
        <w:snapToGrid w:val="0"/>
        <w:spacing w:line="360" w:lineRule="auto"/>
        <w:ind w:firstLine="480" w:firstLineChars="200"/>
        <w:rPr>
          <w:rFonts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（3）供应商未按照询价文件要求提供与基本资格条件、特定资格条件相应的有效资格证明材料的，视为供应商不具备询价文件中规定的资格要求，其询价无效。并将无效原由告知相关供应商。</w:t>
      </w:r>
    </w:p>
    <w:p>
      <w:pPr>
        <w:adjustRightInd w:val="0"/>
        <w:snapToGrid w:val="0"/>
        <w:spacing w:line="360" w:lineRule="auto"/>
        <w:ind w:firstLine="480" w:firstLineChars="200"/>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3.2符合性审查：询价小组依据询价文件的规定，从响应文件的有效性、完整性和对询价文件的响应程度进行审查，以确定是否对询价文件的要求作出实质性响应。出现以下情况的，视为符合性不通过，询价无效。</w:t>
      </w:r>
    </w:p>
    <w:p>
      <w:pPr>
        <w:adjustRightInd w:val="0"/>
        <w:snapToGrid w:val="0"/>
        <w:spacing w:line="360" w:lineRule="auto"/>
        <w:ind w:firstLine="480" w:firstLineChars="200"/>
        <w:rPr>
          <w:rFonts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（1）响应文件无法定代表人或其委托授权代表签名或盖章。</w:t>
      </w:r>
    </w:p>
    <w:p>
      <w:pPr>
        <w:adjustRightInd w:val="0"/>
        <w:snapToGrid w:val="0"/>
        <w:spacing w:line="360" w:lineRule="auto"/>
        <w:ind w:firstLine="480" w:firstLineChars="200"/>
        <w:rPr>
          <w:rFonts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（2）响应文件内容虚假的。</w:t>
      </w:r>
    </w:p>
    <w:p>
      <w:pPr>
        <w:adjustRightInd w:val="0"/>
        <w:snapToGrid w:val="0"/>
        <w:spacing w:line="360" w:lineRule="auto"/>
        <w:ind w:firstLine="480" w:firstLineChars="200"/>
        <w:rPr>
          <w:rFonts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（3）响应文件有采购人不能接受的附加条件的。</w:t>
      </w:r>
    </w:p>
    <w:p>
      <w:pPr>
        <w:adjustRightInd w:val="0"/>
        <w:snapToGrid w:val="0"/>
        <w:spacing w:line="360" w:lineRule="auto"/>
        <w:ind w:firstLine="480" w:firstLineChars="200"/>
        <w:rPr>
          <w:rFonts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（4）询价有效期、服务期等商务条款不能满足询价文件要求的。</w:t>
      </w:r>
    </w:p>
    <w:p>
      <w:pPr>
        <w:widowControl/>
        <w:spacing w:line="360" w:lineRule="auto"/>
        <w:ind w:firstLine="480" w:firstLineChars="200"/>
        <w:jc w:val="left"/>
        <w:rPr>
          <w:rFonts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（5）价格超出预算或最高限价，导致采购单位无法支付的。</w:t>
      </w:r>
    </w:p>
    <w:p>
      <w:pPr>
        <w:widowControl/>
        <w:spacing w:line="360" w:lineRule="auto"/>
        <w:ind w:firstLine="480" w:firstLineChars="200"/>
        <w:jc w:val="left"/>
        <w:rPr>
          <w:rFonts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（6）询价文件明确规定的其他无效条款的。</w:t>
      </w:r>
    </w:p>
    <w:p>
      <w:pPr>
        <w:adjustRightInd w:val="0"/>
        <w:snapToGrid w:val="0"/>
        <w:spacing w:line="360" w:lineRule="auto"/>
        <w:ind w:firstLine="480" w:firstLineChars="200"/>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3.3 询价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tabs>
          <w:tab w:val="left" w:pos="0"/>
        </w:tabs>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3.4询价小组要求供应商澄清、说明或者更正响应文件应当以书面形式发出。供应商的澄清、说明或者更正应当由法定代表人或其授权代表签字或者加盖公章。由授权代表签字的，应当附法定代表人授权书。</w:t>
      </w:r>
    </w:p>
    <w:p>
      <w:pPr>
        <w:snapToGrid w:val="0"/>
        <w:spacing w:line="360" w:lineRule="auto"/>
        <w:ind w:firstLine="482" w:firstLineChars="200"/>
        <w:rPr>
          <w:rFonts w:ascii="宋体" w:hAnsi="宋体" w:eastAsia="宋体" w:cs="宋体"/>
          <w:b/>
          <w:bCs/>
          <w:color w:val="auto"/>
          <w:kern w:val="0"/>
          <w:sz w:val="24"/>
          <w:szCs w:val="20"/>
          <w:highlight w:val="none"/>
          <w:lang w:val="zh-CN"/>
        </w:rPr>
      </w:pPr>
      <w:r>
        <w:rPr>
          <w:rFonts w:hint="eastAsia" w:ascii="宋体" w:hAnsi="宋体" w:eastAsia="宋体" w:cs="宋体"/>
          <w:b/>
          <w:bCs/>
          <w:color w:val="auto"/>
          <w:kern w:val="0"/>
          <w:sz w:val="24"/>
          <w:szCs w:val="20"/>
          <w:highlight w:val="none"/>
        </w:rPr>
        <w:t>4.</w:t>
      </w:r>
      <w:r>
        <w:rPr>
          <w:rFonts w:hint="eastAsia" w:ascii="宋体" w:hAnsi="宋体" w:eastAsia="宋体" w:cs="宋体"/>
          <w:b/>
          <w:bCs/>
          <w:color w:val="auto"/>
          <w:kern w:val="0"/>
          <w:sz w:val="24"/>
          <w:szCs w:val="20"/>
          <w:highlight w:val="none"/>
          <w:lang w:val="zh-CN"/>
        </w:rPr>
        <w:t>询价</w:t>
      </w:r>
    </w:p>
    <w:p>
      <w:pPr>
        <w:snapToGrid w:val="0"/>
        <w:spacing w:line="360" w:lineRule="auto"/>
        <w:ind w:firstLine="480" w:firstLineChars="200"/>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4.1 初审合格的供应商进入下一步的采购活动。</w:t>
      </w:r>
    </w:p>
    <w:p>
      <w:pPr>
        <w:snapToGrid w:val="0"/>
        <w:spacing w:line="360" w:lineRule="auto"/>
        <w:ind w:firstLine="482" w:firstLineChars="200"/>
        <w:rPr>
          <w:rFonts w:ascii="宋体" w:hAnsi="宋体" w:eastAsia="宋体" w:cs="宋体"/>
          <w:b/>
          <w:bCs/>
          <w:color w:val="auto"/>
          <w:kern w:val="0"/>
          <w:sz w:val="24"/>
          <w:szCs w:val="20"/>
          <w:highlight w:val="none"/>
          <w:lang w:val="zh-CN"/>
        </w:rPr>
      </w:pPr>
      <w:r>
        <w:rPr>
          <w:rFonts w:hint="eastAsia" w:ascii="宋体" w:hAnsi="宋体" w:eastAsia="宋体" w:cs="宋体"/>
          <w:b/>
          <w:bCs/>
          <w:color w:val="auto"/>
          <w:kern w:val="0"/>
          <w:sz w:val="24"/>
          <w:szCs w:val="20"/>
          <w:highlight w:val="none"/>
        </w:rPr>
        <w:t>5.</w:t>
      </w:r>
      <w:r>
        <w:rPr>
          <w:rFonts w:hint="eastAsia" w:ascii="宋体" w:hAnsi="宋体" w:eastAsia="宋体" w:cs="宋体"/>
          <w:b/>
          <w:bCs/>
          <w:color w:val="auto"/>
          <w:kern w:val="0"/>
          <w:sz w:val="24"/>
          <w:szCs w:val="20"/>
          <w:highlight w:val="none"/>
          <w:lang w:val="zh-CN"/>
        </w:rPr>
        <w:t>报价</w:t>
      </w:r>
    </w:p>
    <w:p>
      <w:pPr>
        <w:snapToGrid w:val="0"/>
        <w:spacing w:line="360" w:lineRule="auto"/>
        <w:ind w:firstLine="480" w:firstLineChars="200"/>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5.1询价结束后，供应商开启报价文件；</w:t>
      </w:r>
    </w:p>
    <w:p>
      <w:pPr>
        <w:snapToGrid w:val="0"/>
        <w:spacing w:line="360" w:lineRule="auto"/>
        <w:ind w:firstLine="480" w:firstLineChars="200"/>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5.2报价是供应商响应文件的有效组成部分；</w:t>
      </w:r>
    </w:p>
    <w:p>
      <w:pPr>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6.修正原则</w:t>
      </w:r>
    </w:p>
    <w:p>
      <w:pPr>
        <w:widowControl/>
        <w:adjustRightInd w:val="0"/>
        <w:spacing w:line="360" w:lineRule="auto"/>
        <w:ind w:firstLine="480" w:firstLineChars="200"/>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响应</w:t>
      </w:r>
      <w:r>
        <w:rPr>
          <w:rFonts w:hint="eastAsia" w:ascii="宋体" w:hAnsi="宋体" w:eastAsia="宋体" w:cs="宋体"/>
          <w:color w:val="auto"/>
          <w:kern w:val="0"/>
          <w:sz w:val="24"/>
          <w:szCs w:val="24"/>
          <w:highlight w:val="none"/>
          <w:lang w:val="zh-CN"/>
        </w:rPr>
        <w:t>文件报价出现前后不一致的，按照下列规定修正：</w:t>
      </w:r>
    </w:p>
    <w:p>
      <w:pPr>
        <w:widowControl/>
        <w:tabs>
          <w:tab w:val="left" w:pos="0"/>
        </w:tabs>
        <w:adjustRightInd w:val="0"/>
        <w:spacing w:line="360" w:lineRule="auto"/>
        <w:ind w:firstLine="480" w:firstLineChars="200"/>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6.1响应</w:t>
      </w:r>
      <w:r>
        <w:rPr>
          <w:rFonts w:hint="eastAsia" w:ascii="宋体" w:hAnsi="宋体" w:eastAsia="宋体" w:cs="宋体"/>
          <w:color w:val="auto"/>
          <w:kern w:val="0"/>
          <w:sz w:val="24"/>
          <w:szCs w:val="24"/>
          <w:highlight w:val="none"/>
          <w:lang w:val="zh-CN"/>
        </w:rPr>
        <w:t>文件中</w:t>
      </w:r>
      <w:r>
        <w:rPr>
          <w:rFonts w:hint="eastAsia" w:ascii="宋体" w:hAnsi="宋体" w:eastAsia="宋体" w:cs="宋体"/>
          <w:color w:val="auto"/>
          <w:kern w:val="0"/>
          <w:sz w:val="24"/>
          <w:szCs w:val="24"/>
          <w:highlight w:val="none"/>
        </w:rPr>
        <w:t>报价</w:t>
      </w:r>
      <w:r>
        <w:rPr>
          <w:rFonts w:hint="eastAsia" w:ascii="宋体" w:hAnsi="宋体" w:eastAsia="宋体" w:cs="宋体"/>
          <w:color w:val="auto"/>
          <w:kern w:val="0"/>
          <w:sz w:val="24"/>
          <w:szCs w:val="24"/>
          <w:highlight w:val="none"/>
          <w:lang w:val="zh-CN"/>
        </w:rPr>
        <w:t>一览表内容与</w:t>
      </w:r>
      <w:r>
        <w:rPr>
          <w:rFonts w:hint="eastAsia" w:ascii="宋体" w:hAnsi="宋体" w:eastAsia="宋体" w:cs="宋体"/>
          <w:color w:val="auto"/>
          <w:kern w:val="0"/>
          <w:sz w:val="24"/>
          <w:szCs w:val="24"/>
          <w:highlight w:val="none"/>
        </w:rPr>
        <w:t>响应</w:t>
      </w:r>
      <w:r>
        <w:rPr>
          <w:rFonts w:hint="eastAsia" w:ascii="宋体" w:hAnsi="宋体" w:eastAsia="宋体" w:cs="宋体"/>
          <w:color w:val="auto"/>
          <w:kern w:val="0"/>
          <w:sz w:val="24"/>
          <w:szCs w:val="24"/>
          <w:highlight w:val="none"/>
          <w:lang w:val="zh-CN"/>
        </w:rPr>
        <w:t>文件中相应内容不一致的，以</w:t>
      </w:r>
      <w:r>
        <w:rPr>
          <w:rFonts w:hint="eastAsia" w:ascii="宋体" w:hAnsi="宋体" w:eastAsia="宋体" w:cs="宋体"/>
          <w:color w:val="auto"/>
          <w:kern w:val="0"/>
          <w:sz w:val="24"/>
          <w:szCs w:val="24"/>
          <w:highlight w:val="none"/>
        </w:rPr>
        <w:t>报价</w:t>
      </w:r>
      <w:r>
        <w:rPr>
          <w:rFonts w:hint="eastAsia" w:ascii="宋体" w:hAnsi="宋体" w:eastAsia="宋体" w:cs="宋体"/>
          <w:color w:val="auto"/>
          <w:kern w:val="0"/>
          <w:sz w:val="24"/>
          <w:szCs w:val="24"/>
          <w:highlight w:val="none"/>
          <w:lang w:val="zh-CN"/>
        </w:rPr>
        <w:t>一览表为准；</w:t>
      </w:r>
    </w:p>
    <w:p>
      <w:pPr>
        <w:widowControl/>
        <w:tabs>
          <w:tab w:val="left" w:pos="0"/>
        </w:tabs>
        <w:adjustRightInd w:val="0"/>
        <w:spacing w:line="360" w:lineRule="auto"/>
        <w:ind w:firstLine="480" w:firstLineChars="200"/>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6.2</w:t>
      </w:r>
      <w:r>
        <w:rPr>
          <w:rFonts w:hint="eastAsia" w:ascii="宋体" w:hAnsi="宋体" w:eastAsia="宋体" w:cs="宋体"/>
          <w:color w:val="auto"/>
          <w:kern w:val="0"/>
          <w:sz w:val="24"/>
          <w:szCs w:val="24"/>
          <w:highlight w:val="none"/>
          <w:lang w:val="zh-CN"/>
        </w:rPr>
        <w:t>大写金额和小写金额不一致的，以大写金额为准；</w:t>
      </w:r>
    </w:p>
    <w:p>
      <w:pPr>
        <w:widowControl/>
        <w:tabs>
          <w:tab w:val="left" w:pos="0"/>
        </w:tabs>
        <w:adjustRightInd w:val="0"/>
        <w:spacing w:line="360" w:lineRule="auto"/>
        <w:ind w:firstLine="480" w:firstLineChars="200"/>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6.3</w:t>
      </w:r>
      <w:r>
        <w:rPr>
          <w:rFonts w:hint="eastAsia" w:ascii="宋体" w:hAnsi="宋体" w:eastAsia="宋体" w:cs="宋体"/>
          <w:color w:val="auto"/>
          <w:kern w:val="0"/>
          <w:sz w:val="24"/>
          <w:szCs w:val="24"/>
          <w:highlight w:val="none"/>
          <w:lang w:val="zh-CN"/>
        </w:rPr>
        <w:t>单价金额小数点或者百分比有明显错位的，以</w:t>
      </w:r>
      <w:r>
        <w:rPr>
          <w:rFonts w:hint="eastAsia" w:ascii="宋体" w:hAnsi="宋体" w:eastAsia="宋体" w:cs="宋体"/>
          <w:color w:val="auto"/>
          <w:kern w:val="0"/>
          <w:sz w:val="24"/>
          <w:szCs w:val="24"/>
          <w:highlight w:val="none"/>
        </w:rPr>
        <w:t>报价</w:t>
      </w:r>
      <w:r>
        <w:rPr>
          <w:rFonts w:hint="eastAsia" w:ascii="宋体" w:hAnsi="宋体" w:eastAsia="宋体" w:cs="宋体"/>
          <w:color w:val="auto"/>
          <w:kern w:val="0"/>
          <w:sz w:val="24"/>
          <w:szCs w:val="24"/>
          <w:highlight w:val="none"/>
          <w:lang w:val="zh-CN"/>
        </w:rPr>
        <w:t>一览表的总价为准，并修改单价；</w:t>
      </w:r>
    </w:p>
    <w:p>
      <w:pPr>
        <w:widowControl/>
        <w:tabs>
          <w:tab w:val="left" w:pos="0"/>
        </w:tabs>
        <w:adjustRightInd w:val="0"/>
        <w:spacing w:line="360" w:lineRule="auto"/>
        <w:ind w:firstLine="480" w:firstLineChars="200"/>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6.4</w:t>
      </w:r>
      <w:r>
        <w:rPr>
          <w:rFonts w:hint="eastAsia" w:ascii="宋体" w:hAnsi="宋体" w:eastAsia="宋体" w:cs="宋体"/>
          <w:color w:val="auto"/>
          <w:kern w:val="0"/>
          <w:sz w:val="24"/>
          <w:szCs w:val="24"/>
          <w:highlight w:val="none"/>
          <w:lang w:val="zh-CN"/>
        </w:rPr>
        <w:t>总价金额与按单价汇总金额不一致的，以单价金额计算结果为准。</w:t>
      </w:r>
    </w:p>
    <w:p>
      <w:pPr>
        <w:widowControl/>
        <w:adjustRightInd w:val="0"/>
        <w:spacing w:line="360" w:lineRule="auto"/>
        <w:ind w:firstLine="480" w:firstLineChars="200"/>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同时出现两种以上不一致的，按照前款规定的顺序修正。修正后的报价按照财政部公布第87号令 《政府采购货物和服务招标投标管理办法》第五十一条第二款的规定经</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lang w:val="zh-CN"/>
        </w:rPr>
        <w:t>确认后产生约束力，</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lang w:val="zh-CN"/>
        </w:rPr>
        <w:t>不确认的，其询价无效。</w:t>
      </w:r>
    </w:p>
    <w:p>
      <w:pPr>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7.响应文件的澄清</w:t>
      </w:r>
    </w:p>
    <w:p>
      <w:pPr>
        <w:widowControl/>
        <w:tabs>
          <w:tab w:val="left" w:pos="0"/>
        </w:tabs>
        <w:adjustRightInd w:val="0"/>
        <w:spacing w:line="360" w:lineRule="auto"/>
        <w:ind w:firstLine="480" w:firstLineChars="200"/>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7.1</w:t>
      </w:r>
      <w:r>
        <w:rPr>
          <w:rFonts w:hint="eastAsia" w:ascii="宋体" w:hAnsi="宋体" w:eastAsia="宋体" w:cs="宋体"/>
          <w:color w:val="auto"/>
          <w:kern w:val="0"/>
          <w:sz w:val="24"/>
          <w:szCs w:val="24"/>
          <w:highlight w:val="none"/>
          <w:lang w:val="zh-CN"/>
        </w:rPr>
        <w:t>评审中因</w:t>
      </w:r>
      <w:r>
        <w:rPr>
          <w:rFonts w:hint="eastAsia" w:ascii="宋体" w:hAnsi="宋体" w:eastAsia="宋体" w:cs="宋体"/>
          <w:color w:val="auto"/>
          <w:kern w:val="0"/>
          <w:sz w:val="24"/>
          <w:szCs w:val="24"/>
          <w:highlight w:val="none"/>
        </w:rPr>
        <w:t>响应</w:t>
      </w:r>
      <w:r>
        <w:rPr>
          <w:rFonts w:hint="eastAsia" w:ascii="宋体" w:hAnsi="宋体" w:eastAsia="宋体" w:cs="宋体"/>
          <w:color w:val="auto"/>
          <w:kern w:val="0"/>
          <w:sz w:val="24"/>
          <w:szCs w:val="24"/>
          <w:highlight w:val="none"/>
          <w:lang w:val="zh-CN"/>
        </w:rPr>
        <w:t>文件含义不明、表述不一致或有明显计算错误等内容需要供应商作出澄清、说明或者补正的，询价</w:t>
      </w:r>
      <w:r>
        <w:rPr>
          <w:rFonts w:hint="eastAsia" w:ascii="宋体" w:hAnsi="宋体" w:eastAsia="宋体" w:cs="宋体"/>
          <w:color w:val="auto"/>
          <w:kern w:val="0"/>
          <w:sz w:val="24"/>
          <w:szCs w:val="24"/>
          <w:highlight w:val="none"/>
        </w:rPr>
        <w:t>小组</w:t>
      </w:r>
      <w:r>
        <w:rPr>
          <w:rFonts w:hint="eastAsia" w:ascii="宋体" w:hAnsi="宋体" w:eastAsia="宋体" w:cs="宋体"/>
          <w:color w:val="auto"/>
          <w:kern w:val="0"/>
          <w:sz w:val="24"/>
          <w:szCs w:val="24"/>
          <w:highlight w:val="none"/>
          <w:lang w:val="zh-CN"/>
        </w:rPr>
        <w:t>和供应商应当通过乐采云平台交换数据电文，给予供应商提交澄清说明或补正的时间不少于半小时，供应商已经明确表示澄清说明或补正完毕的除外。</w:t>
      </w:r>
    </w:p>
    <w:p>
      <w:pPr>
        <w:spacing w:line="336"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0"/>
          <w:highlight w:val="none"/>
          <w:lang w:val="zh-CN"/>
        </w:rPr>
        <w:t>供应商通过乐采云平台交换的数据电文必须进行电子签章。</w:t>
      </w:r>
    </w:p>
    <w:p>
      <w:pPr>
        <w:keepNext/>
        <w:numPr>
          <w:ilvl w:val="0"/>
          <w:numId w:val="15"/>
        </w:numPr>
        <w:spacing w:line="216" w:lineRule="auto"/>
        <w:jc w:val="center"/>
        <w:outlineLvl w:val="1"/>
        <w:rPr>
          <w:rFonts w:ascii="宋体" w:hAnsi="宋体" w:eastAsia="宋体" w:cs="宋体"/>
          <w:b/>
          <w:bCs/>
          <w:color w:val="auto"/>
          <w:kern w:val="0"/>
          <w:sz w:val="28"/>
          <w:szCs w:val="28"/>
          <w:highlight w:val="none"/>
        </w:rPr>
      </w:pPr>
      <w:bookmarkStart w:id="106" w:name="_Toc13265"/>
      <w:bookmarkStart w:id="107" w:name="_Toc906"/>
      <w:bookmarkStart w:id="108" w:name="_Toc203130195"/>
      <w:bookmarkStart w:id="109" w:name="_Toc12816"/>
      <w:r>
        <w:rPr>
          <w:rFonts w:hint="eastAsia" w:ascii="宋体" w:hAnsi="宋体" w:eastAsia="宋体" w:cs="宋体"/>
          <w:b/>
          <w:bCs/>
          <w:color w:val="auto"/>
          <w:kern w:val="0"/>
          <w:sz w:val="28"/>
          <w:szCs w:val="28"/>
          <w:highlight w:val="none"/>
        </w:rPr>
        <w:t>注意事项</w:t>
      </w:r>
      <w:bookmarkEnd w:id="106"/>
      <w:bookmarkEnd w:id="107"/>
      <w:bookmarkEnd w:id="108"/>
      <w:bookmarkEnd w:id="109"/>
    </w:p>
    <w:p>
      <w:pPr>
        <w:spacing w:line="336" w:lineRule="auto"/>
        <w:ind w:firstLine="42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审时如发现供应商的报价明显低于其他通过符合性审查供应商的报价，有可能影响产品质量或者不能诚信履约的，询价小组可要求该供应商书面说明并提供相关证明材料。该供应商不能合理说明原因并提供证明材料的，评审小组应将该供应商的询价响应文件作无效处理，同时采购组织机构应将该情况报同级财政部门，并视情将其列入不良供应商名单。</w:t>
      </w:r>
    </w:p>
    <w:p>
      <w:pPr>
        <w:keepNext/>
        <w:numPr>
          <w:ilvl w:val="0"/>
          <w:numId w:val="16"/>
        </w:numPr>
        <w:spacing w:line="216" w:lineRule="auto"/>
        <w:jc w:val="center"/>
        <w:outlineLvl w:val="1"/>
        <w:rPr>
          <w:rFonts w:ascii="宋体" w:hAnsi="宋体" w:eastAsia="宋体" w:cs="宋体"/>
          <w:b/>
          <w:bCs/>
          <w:color w:val="auto"/>
          <w:kern w:val="0"/>
          <w:sz w:val="28"/>
          <w:szCs w:val="28"/>
          <w:highlight w:val="none"/>
        </w:rPr>
      </w:pPr>
      <w:bookmarkStart w:id="110" w:name="_Toc13782"/>
      <w:bookmarkStart w:id="111" w:name="_Toc28327"/>
      <w:bookmarkStart w:id="112" w:name="_Toc203130196"/>
      <w:bookmarkStart w:id="113" w:name="_Toc20962"/>
      <w:r>
        <w:rPr>
          <w:rFonts w:hint="eastAsia" w:ascii="宋体" w:hAnsi="宋体" w:eastAsia="宋体" w:cs="宋体"/>
          <w:b/>
          <w:bCs/>
          <w:color w:val="auto"/>
          <w:kern w:val="0"/>
          <w:sz w:val="28"/>
          <w:szCs w:val="28"/>
          <w:highlight w:val="none"/>
        </w:rPr>
        <w:t>评分细则</w:t>
      </w:r>
      <w:bookmarkEnd w:id="110"/>
      <w:bookmarkEnd w:id="111"/>
      <w:bookmarkEnd w:id="112"/>
      <w:bookmarkEnd w:id="113"/>
    </w:p>
    <w:p>
      <w:pPr>
        <w:spacing w:line="440" w:lineRule="exact"/>
        <w:ind w:firstLine="480" w:firstLineChars="200"/>
        <w:jc w:val="left"/>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1.本次采购项目最高限价规定如下：</w:t>
      </w:r>
    </w:p>
    <w:p>
      <w:pPr>
        <w:spacing w:line="360" w:lineRule="auto"/>
        <w:ind w:firstLine="472" w:firstLineChars="196"/>
        <w:jc w:val="left"/>
        <w:rPr>
          <w:rFonts w:ascii="宋体" w:hAnsi="宋体" w:eastAsia="宋体" w:cs="宋体"/>
          <w:b/>
          <w:bCs/>
          <w:color w:val="auto"/>
          <w:kern w:val="0"/>
          <w:sz w:val="24"/>
          <w:szCs w:val="20"/>
          <w:highlight w:val="none"/>
        </w:rPr>
      </w:pPr>
      <w:r>
        <w:rPr>
          <w:rFonts w:hint="eastAsia" w:ascii="宋体" w:hAnsi="宋体" w:eastAsia="宋体" w:cs="宋体"/>
          <w:b/>
          <w:bCs/>
          <w:color w:val="auto"/>
          <w:kern w:val="0"/>
          <w:sz w:val="24"/>
          <w:szCs w:val="20"/>
          <w:highlight w:val="none"/>
        </w:rPr>
        <w:t>本项目询价报价的最高限价为</w:t>
      </w:r>
      <w:r>
        <w:rPr>
          <w:rFonts w:hint="eastAsia" w:ascii="宋体" w:hAnsi="宋体" w:eastAsia="宋体" w:cs="宋体"/>
          <w:b/>
          <w:bCs/>
          <w:color w:val="auto"/>
          <w:kern w:val="0"/>
          <w:sz w:val="24"/>
          <w:szCs w:val="20"/>
          <w:highlight w:val="none"/>
          <w:u w:val="single"/>
        </w:rPr>
        <w:t xml:space="preserve"> 肆拾柒万捌仟肆佰陆拾叁元整（小写：</w:t>
      </w:r>
      <w:r>
        <w:rPr>
          <w:rFonts w:hint="eastAsia" w:ascii="宋体" w:hAnsi="宋体" w:eastAsia="宋体" w:cs="宋体"/>
          <w:b/>
          <w:color w:val="auto"/>
          <w:kern w:val="0"/>
          <w:szCs w:val="21"/>
          <w:highlight w:val="none"/>
          <w:u w:val="single"/>
          <w:lang w:bidi="ar"/>
        </w:rPr>
        <w:t>478463.00</w:t>
      </w:r>
      <w:r>
        <w:rPr>
          <w:rFonts w:hint="eastAsia" w:ascii="宋体" w:hAnsi="宋体" w:eastAsia="宋体" w:cs="宋体"/>
          <w:b/>
          <w:bCs/>
          <w:color w:val="auto"/>
          <w:kern w:val="0"/>
          <w:sz w:val="24"/>
          <w:szCs w:val="20"/>
          <w:highlight w:val="none"/>
          <w:u w:val="single"/>
        </w:rPr>
        <w:t>元 ）</w:t>
      </w:r>
      <w:r>
        <w:rPr>
          <w:rFonts w:hint="eastAsia" w:ascii="宋体" w:hAnsi="宋体" w:eastAsia="宋体" w:cs="宋体"/>
          <w:b/>
          <w:bCs/>
          <w:color w:val="auto"/>
          <w:kern w:val="0"/>
          <w:sz w:val="24"/>
          <w:szCs w:val="20"/>
          <w:highlight w:val="none"/>
        </w:rPr>
        <w:t>。</w:t>
      </w:r>
    </w:p>
    <w:p>
      <w:pPr>
        <w:spacing w:line="360" w:lineRule="auto"/>
        <w:ind w:firstLine="480" w:firstLineChars="200"/>
        <w:jc w:val="left"/>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2.供应商的报价在最高限价内的，为有效报价；供应商的报价在最高限价外的，为无效报价。</w:t>
      </w:r>
    </w:p>
    <w:p>
      <w:pPr>
        <w:spacing w:line="360" w:lineRule="auto"/>
        <w:ind w:firstLine="480" w:firstLineChars="200"/>
        <w:rPr>
          <w:rFonts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3.</w:t>
      </w:r>
      <w:r>
        <w:rPr>
          <w:rFonts w:hint="eastAsia" w:ascii="宋体" w:hAnsi="宋体" w:eastAsia="宋体" w:cs="宋体"/>
          <w:color w:val="auto"/>
          <w:kern w:val="0"/>
          <w:sz w:val="24"/>
          <w:szCs w:val="21"/>
          <w:highlight w:val="none"/>
        </w:rPr>
        <w:t>响应文件只允许有一个报价，报价应按询价文件中相关附表格式填报，该报价应与明细报价汇总相等，且不允许出现报价优惠、赠送等字样（明细出现“0”元，视同赠送）,如出现则做</w:t>
      </w:r>
      <w:r>
        <w:rPr>
          <w:rFonts w:hint="eastAsia" w:ascii="宋体" w:hAnsi="宋体" w:eastAsia="宋体" w:cs="宋体"/>
          <w:b/>
          <w:bCs/>
          <w:color w:val="auto"/>
          <w:kern w:val="0"/>
          <w:sz w:val="24"/>
          <w:szCs w:val="21"/>
          <w:highlight w:val="none"/>
        </w:rPr>
        <w:t>无效响应</w:t>
      </w:r>
      <w:r>
        <w:rPr>
          <w:rFonts w:hint="eastAsia" w:ascii="宋体" w:hAnsi="宋体" w:eastAsia="宋体" w:cs="宋体"/>
          <w:color w:val="auto"/>
          <w:kern w:val="0"/>
          <w:sz w:val="24"/>
          <w:szCs w:val="21"/>
          <w:highlight w:val="none"/>
        </w:rPr>
        <w:t>处理。</w:t>
      </w:r>
    </w:p>
    <w:p>
      <w:pPr>
        <w:spacing w:line="336" w:lineRule="auto"/>
        <w:ind w:firstLine="482" w:firstLineChars="200"/>
        <w:rPr>
          <w:rFonts w:ascii="宋体" w:hAnsi="宋体" w:eastAsia="宋体" w:cs="宋体"/>
          <w:b/>
          <w:bCs/>
          <w:color w:val="auto"/>
          <w:kern w:val="0"/>
          <w:sz w:val="24"/>
          <w:szCs w:val="32"/>
          <w:highlight w:val="none"/>
        </w:rPr>
      </w:pPr>
      <w:r>
        <w:rPr>
          <w:rFonts w:hint="eastAsia" w:ascii="宋体" w:hAnsi="宋体" w:eastAsia="宋体" w:cs="宋体"/>
          <w:b/>
          <w:bCs/>
          <w:color w:val="auto"/>
          <w:kern w:val="0"/>
          <w:sz w:val="24"/>
          <w:szCs w:val="21"/>
          <w:highlight w:val="none"/>
        </w:rPr>
        <w:t>4.</w:t>
      </w:r>
      <w:r>
        <w:rPr>
          <w:rFonts w:hint="eastAsia" w:ascii="宋体" w:hAnsi="宋体" w:eastAsia="宋体" w:cs="宋体"/>
          <w:b/>
          <w:bCs/>
          <w:color w:val="auto"/>
          <w:kern w:val="0"/>
          <w:sz w:val="24"/>
          <w:szCs w:val="32"/>
          <w:highlight w:val="none"/>
        </w:rPr>
        <w:t>电子评标程序</w:t>
      </w:r>
    </w:p>
    <w:p>
      <w:pPr>
        <w:spacing w:line="336" w:lineRule="auto"/>
        <w:ind w:firstLine="480" w:firstLineChars="200"/>
        <w:rPr>
          <w:rFonts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4.1询价活动由采购代理机构主持,询价响应截止时间后,供应商登录乐采云平台对电子响应文件进行在线解密；</w:t>
      </w:r>
    </w:p>
    <w:p>
      <w:pPr>
        <w:spacing w:line="336" w:lineRule="auto"/>
        <w:ind w:firstLine="480" w:firstLineChars="200"/>
        <w:rPr>
          <w:rFonts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4.2响应文件解密结束,开启响应文件,询价小组对资格和商务技术响应文件进行资格审查和符合性审查；</w:t>
      </w:r>
    </w:p>
    <w:p>
      <w:pPr>
        <w:spacing w:line="336" w:lineRule="auto"/>
        <w:ind w:firstLine="480" w:firstLineChars="200"/>
        <w:rPr>
          <w:rFonts w:ascii="宋体" w:hAnsi="宋体" w:eastAsia="宋体" w:cs="宋体"/>
          <w:color w:val="auto"/>
          <w:kern w:val="0"/>
          <w:sz w:val="24"/>
          <w:szCs w:val="32"/>
          <w:highlight w:val="none"/>
        </w:rPr>
      </w:pPr>
      <w:r>
        <w:rPr>
          <w:rFonts w:hint="eastAsia" w:ascii="宋体" w:hAnsi="宋体" w:eastAsia="宋体" w:cs="宋体"/>
          <w:color w:val="auto"/>
          <w:kern w:val="0"/>
          <w:sz w:val="24"/>
          <w:szCs w:val="24"/>
          <w:highlight w:val="none"/>
        </w:rPr>
        <w:t>4.3询价结束后，供应商开启报价文件；</w:t>
      </w:r>
    </w:p>
    <w:p>
      <w:pPr>
        <w:spacing w:line="336" w:lineRule="auto"/>
        <w:ind w:firstLine="480" w:firstLineChars="200"/>
        <w:rPr>
          <w:rFonts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4.4 评审价格最低的</w:t>
      </w:r>
      <w:r>
        <w:rPr>
          <w:rFonts w:hint="eastAsia" w:ascii="宋体" w:hAnsi="宋体" w:eastAsia="宋体" w:cs="宋体"/>
          <w:color w:val="auto"/>
          <w:kern w:val="0"/>
          <w:sz w:val="24"/>
          <w:szCs w:val="32"/>
          <w:highlight w:val="none"/>
          <w:lang w:val="en-US" w:eastAsia="zh-CN"/>
        </w:rPr>
        <w:t>一</w:t>
      </w:r>
      <w:r>
        <w:rPr>
          <w:rFonts w:hint="eastAsia" w:ascii="宋体" w:hAnsi="宋体" w:eastAsia="宋体" w:cs="宋体"/>
          <w:color w:val="auto"/>
          <w:kern w:val="0"/>
          <w:sz w:val="24"/>
          <w:szCs w:val="32"/>
          <w:highlight w:val="none"/>
        </w:rPr>
        <w:t>家为中标候选人；</w:t>
      </w:r>
    </w:p>
    <w:p>
      <w:pPr>
        <w:spacing w:line="336" w:lineRule="auto"/>
        <w:ind w:firstLine="480" w:firstLineChars="200"/>
        <w:rPr>
          <w:rFonts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4.5询价小组对报价情况进行评审；</w:t>
      </w:r>
    </w:p>
    <w:p>
      <w:pPr>
        <w:spacing w:line="336" w:lineRule="auto"/>
        <w:ind w:firstLine="480" w:firstLineChars="200"/>
        <w:rPr>
          <w:rFonts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4.6在系统上公开评审结果；</w:t>
      </w:r>
    </w:p>
    <w:p>
      <w:pPr>
        <w:spacing w:line="360" w:lineRule="auto"/>
        <w:ind w:firstLine="480" w:firstLineChars="200"/>
        <w:rPr>
          <w:rFonts w:ascii="宋体" w:hAnsi="宋体" w:eastAsia="宋体" w:cs="宋体"/>
          <w:b/>
          <w:bCs/>
          <w:color w:val="auto"/>
          <w:kern w:val="0"/>
          <w:sz w:val="24"/>
          <w:szCs w:val="24"/>
          <w:highlight w:val="none"/>
        </w:rPr>
      </w:pPr>
      <w:r>
        <w:rPr>
          <w:rFonts w:hint="eastAsia" w:ascii="宋体" w:hAnsi="宋体" w:eastAsia="宋体" w:cs="宋体"/>
          <w:color w:val="auto"/>
          <w:kern w:val="0"/>
          <w:sz w:val="24"/>
          <w:szCs w:val="32"/>
          <w:highlight w:val="none"/>
        </w:rPr>
        <w:t>4.7开标会结束。</w:t>
      </w:r>
    </w:p>
    <w:p>
      <w:pPr>
        <w:spacing w:line="360" w:lineRule="auto"/>
        <w:ind w:firstLine="482" w:firstLineChars="200"/>
        <w:rPr>
          <w:rFonts w:ascii="宋体" w:hAnsi="宋体" w:eastAsia="宋体" w:cs="宋体"/>
          <w:b/>
          <w:bCs/>
          <w:color w:val="auto"/>
          <w:kern w:val="0"/>
          <w:sz w:val="24"/>
          <w:szCs w:val="24"/>
          <w:highlight w:val="none"/>
        </w:rPr>
      </w:pPr>
    </w:p>
    <w:p>
      <w:pPr>
        <w:spacing w:line="360" w:lineRule="auto"/>
        <w:ind w:firstLine="482" w:firstLineChars="200"/>
        <w:rPr>
          <w:rFonts w:ascii="宋体" w:hAnsi="宋体" w:eastAsia="宋体" w:cs="宋体"/>
          <w:b/>
          <w:bCs/>
          <w:color w:val="auto"/>
          <w:kern w:val="0"/>
          <w:sz w:val="24"/>
          <w:szCs w:val="24"/>
          <w:highlight w:val="none"/>
        </w:rPr>
      </w:pPr>
    </w:p>
    <w:p>
      <w:pPr>
        <w:spacing w:line="360" w:lineRule="auto"/>
        <w:ind w:firstLine="482" w:firstLineChars="200"/>
        <w:rPr>
          <w:rFonts w:ascii="宋体" w:hAnsi="宋体" w:eastAsia="宋体" w:cs="宋体"/>
          <w:b/>
          <w:bCs/>
          <w:color w:val="auto"/>
          <w:kern w:val="0"/>
          <w:sz w:val="24"/>
          <w:szCs w:val="24"/>
          <w:highlight w:val="none"/>
        </w:rPr>
      </w:pPr>
    </w:p>
    <w:p>
      <w:pPr>
        <w:spacing w:line="360" w:lineRule="auto"/>
        <w:ind w:firstLine="482" w:firstLineChars="200"/>
        <w:rPr>
          <w:rFonts w:ascii="宋体" w:hAnsi="宋体" w:eastAsia="宋体" w:cs="宋体"/>
          <w:b/>
          <w:bCs/>
          <w:color w:val="auto"/>
          <w:kern w:val="0"/>
          <w:sz w:val="24"/>
          <w:szCs w:val="24"/>
          <w:highlight w:val="none"/>
        </w:rPr>
      </w:pPr>
    </w:p>
    <w:p>
      <w:pPr>
        <w:spacing w:line="360" w:lineRule="auto"/>
        <w:ind w:firstLine="482" w:firstLineChars="200"/>
        <w:rPr>
          <w:rFonts w:ascii="宋体" w:hAnsi="宋体" w:eastAsia="宋体" w:cs="宋体"/>
          <w:b/>
          <w:bCs/>
          <w:color w:val="auto"/>
          <w:kern w:val="0"/>
          <w:sz w:val="24"/>
          <w:szCs w:val="24"/>
          <w:highlight w:val="none"/>
        </w:rPr>
      </w:pPr>
    </w:p>
    <w:p>
      <w:pPr>
        <w:spacing w:line="360" w:lineRule="auto"/>
        <w:ind w:firstLine="482" w:firstLineChars="200"/>
        <w:rPr>
          <w:rFonts w:ascii="宋体" w:hAnsi="宋体" w:eastAsia="宋体" w:cs="宋体"/>
          <w:b/>
          <w:bCs/>
          <w:color w:val="auto"/>
          <w:kern w:val="0"/>
          <w:sz w:val="24"/>
          <w:szCs w:val="24"/>
          <w:highlight w:val="none"/>
        </w:rPr>
      </w:pPr>
    </w:p>
    <w:p>
      <w:pPr>
        <w:spacing w:line="360" w:lineRule="auto"/>
        <w:ind w:firstLine="482" w:firstLineChars="200"/>
        <w:rPr>
          <w:rFonts w:ascii="宋体" w:hAnsi="宋体" w:eastAsia="宋体" w:cs="宋体"/>
          <w:b/>
          <w:bCs/>
          <w:color w:val="auto"/>
          <w:kern w:val="0"/>
          <w:sz w:val="24"/>
          <w:szCs w:val="24"/>
          <w:highlight w:val="none"/>
        </w:rPr>
      </w:pPr>
    </w:p>
    <w:p>
      <w:pPr>
        <w:rPr>
          <w:rFonts w:ascii="宋体" w:hAnsi="宋体" w:eastAsia="宋体" w:cs="宋体"/>
          <w:color w:val="auto"/>
          <w:kern w:val="0"/>
          <w:sz w:val="36"/>
          <w:szCs w:val="36"/>
          <w:highlight w:val="none"/>
        </w:rPr>
      </w:pPr>
      <w:bookmarkStart w:id="114" w:name="_Toc4517"/>
      <w:bookmarkStart w:id="115" w:name="_Toc8033"/>
      <w:r>
        <w:rPr>
          <w:rFonts w:hint="eastAsia" w:ascii="宋体" w:hAnsi="宋体" w:eastAsia="宋体" w:cs="宋体"/>
          <w:color w:val="auto"/>
          <w:kern w:val="0"/>
          <w:sz w:val="36"/>
          <w:szCs w:val="36"/>
          <w:highlight w:val="none"/>
        </w:rPr>
        <w:br w:type="page"/>
      </w:r>
    </w:p>
    <w:p>
      <w:pPr>
        <w:keepNext/>
        <w:keepLines/>
        <w:spacing w:line="576" w:lineRule="auto"/>
        <w:jc w:val="center"/>
        <w:outlineLvl w:val="0"/>
        <w:rPr>
          <w:rFonts w:ascii="宋体" w:hAnsi="宋体" w:eastAsia="宋体" w:cs="宋体"/>
          <w:b/>
          <w:bCs/>
          <w:color w:val="auto"/>
          <w:kern w:val="44"/>
          <w:sz w:val="44"/>
          <w:szCs w:val="44"/>
          <w:highlight w:val="none"/>
        </w:rPr>
      </w:pPr>
      <w:bookmarkStart w:id="116" w:name="_Toc21107"/>
      <w:bookmarkStart w:id="117" w:name="_Toc203130197"/>
      <w:r>
        <w:rPr>
          <w:rFonts w:hint="eastAsia" w:ascii="宋体" w:hAnsi="宋体" w:eastAsia="宋体" w:cs="宋体"/>
          <w:b/>
          <w:bCs/>
          <w:color w:val="auto"/>
          <w:kern w:val="44"/>
          <w:sz w:val="36"/>
          <w:szCs w:val="36"/>
          <w:highlight w:val="none"/>
        </w:rPr>
        <w:t>第五部分采购合同</w:t>
      </w:r>
      <w:bookmarkEnd w:id="114"/>
      <w:bookmarkEnd w:id="115"/>
      <w:bookmarkEnd w:id="116"/>
      <w:bookmarkEnd w:id="117"/>
    </w:p>
    <w:p>
      <w:pPr>
        <w:spacing w:line="360" w:lineRule="auto"/>
        <w:ind w:firstLine="480" w:firstLineChars="200"/>
        <w:rPr>
          <w:rFonts w:ascii="宋体" w:hAnsi="宋体" w:eastAsia="宋体" w:cs="宋体"/>
          <w:color w:val="auto"/>
          <w:sz w:val="24"/>
          <w:szCs w:val="24"/>
          <w:highlight w:val="none"/>
        </w:rPr>
      </w:pPr>
      <w:bookmarkStart w:id="118" w:name="_Toc8316385"/>
      <w:bookmarkStart w:id="119" w:name="_Toc17283_WPSOffice_Level1"/>
      <w:r>
        <w:rPr>
          <w:rFonts w:hint="eastAsia" w:ascii="宋体" w:hAnsi="宋体" w:eastAsia="宋体" w:cs="宋体"/>
          <w:color w:val="auto"/>
          <w:sz w:val="24"/>
          <w:szCs w:val="24"/>
          <w:highlight w:val="none"/>
        </w:rPr>
        <w:t>买方：绍兴市上虞区水务物资贸易有限公司</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卖方：</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根据《中华人民共和国民法典》及相关法律法规的规定，买卖双方在平等自愿的基础上，就</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采购项目相关事宜达成如下协议：</w:t>
      </w:r>
    </w:p>
    <w:bookmarkEnd w:id="118"/>
    <w:bookmarkEnd w:id="119"/>
    <w:p>
      <w:pPr>
        <w:spacing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一、供货范围及价款：</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合同供货范围：货物名称数量：</w:t>
      </w:r>
    </w:p>
    <w:tbl>
      <w:tblPr>
        <w:tblStyle w:val="11"/>
        <w:tblW w:w="9130"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850"/>
        <w:gridCol w:w="850"/>
        <w:gridCol w:w="1418"/>
        <w:gridCol w:w="992"/>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trPr>
        <w:tc>
          <w:tcPr>
            <w:tcW w:w="1185"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p>
        </w:tc>
        <w:tc>
          <w:tcPr>
            <w:tcW w:w="1276"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trPr>
        <w:tc>
          <w:tcPr>
            <w:tcW w:w="1185" w:type="dxa"/>
            <w:tcBorders>
              <w:left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p>
        </w:tc>
        <w:tc>
          <w:tcPr>
            <w:tcW w:w="1276" w:type="dxa"/>
            <w:tcBorders>
              <w:left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trPr>
        <w:tc>
          <w:tcPr>
            <w:tcW w:w="1185" w:type="dxa"/>
            <w:tcBorders>
              <w:left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p>
        </w:tc>
        <w:tc>
          <w:tcPr>
            <w:tcW w:w="1276" w:type="dxa"/>
            <w:tcBorders>
              <w:left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exact"/>
        </w:trPr>
        <w:tc>
          <w:tcPr>
            <w:tcW w:w="9130" w:type="dxa"/>
            <w:gridSpan w:val="7"/>
            <w:tcBorders>
              <w:left w:val="single" w:color="auto" w:sz="4" w:space="0"/>
              <w:right w:val="single" w:color="auto" w:sz="4" w:space="0"/>
            </w:tcBorders>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        元（小写：       元）</w:t>
            </w:r>
          </w:p>
        </w:tc>
      </w:tr>
    </w:tbl>
    <w:p>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注：1、本项目总价主要包括但不限于设备的设计、制造、供货、发货、配件费、材料费、卸货、指导安装、调试费、保险、人工费、管理费、税费、运费和交付使用、设备在本文规定的质保期内的维修保养，并应保证设备在各方面均能达到正常运行要求的费用，以及招标代理费，以及其它一切不可预见和实际所需的一切其他费用等。如有漏报，视同已包含在其报价中。</w:t>
      </w:r>
    </w:p>
    <w:p>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2、本项目所招货物卖方按工程实际施工需要一个（根）起送（必须满足施工进度要求）；</w:t>
      </w:r>
    </w:p>
    <w:p>
      <w:pPr>
        <w:ind w:firstLine="420" w:firstLineChars="200"/>
        <w:rPr>
          <w:rFonts w:ascii="宋体" w:hAnsi="宋体" w:eastAsia="宋体" w:cs="宋体"/>
          <w:color w:val="auto"/>
          <w:sz w:val="24"/>
          <w:szCs w:val="24"/>
          <w:highlight w:val="none"/>
        </w:rPr>
      </w:pPr>
      <w:r>
        <w:rPr>
          <w:rFonts w:hint="eastAsia" w:ascii="宋体" w:hAnsi="宋体" w:eastAsia="宋体" w:cs="宋体"/>
          <w:color w:val="auto"/>
          <w:szCs w:val="21"/>
          <w:highlight w:val="none"/>
        </w:rPr>
        <w:t>3、以上货物数量仅供参考，结算以实际供应数量为准，结算的单价参照中标单价。</w:t>
      </w:r>
    </w:p>
    <w:p>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二、货物的质量、技术标准</w:t>
      </w:r>
    </w:p>
    <w:p>
      <w:pPr>
        <w:spacing w:line="360" w:lineRule="auto"/>
        <w:ind w:firstLine="480" w:firstLineChars="200"/>
        <w:rPr>
          <w:rFonts w:ascii="宋体" w:hAnsi="宋体" w:eastAsia="宋体" w:cs="宋体"/>
          <w:color w:val="auto"/>
          <w:sz w:val="24"/>
          <w:szCs w:val="24"/>
          <w:highlight w:val="none"/>
        </w:rPr>
      </w:pPr>
      <w:bookmarkStart w:id="120" w:name="OLE_LINK9"/>
      <w:r>
        <w:rPr>
          <w:rFonts w:hint="eastAsia" w:ascii="宋体" w:hAnsi="宋体" w:eastAsia="宋体" w:cs="宋体"/>
          <w:color w:val="auto"/>
          <w:sz w:val="24"/>
          <w:szCs w:val="24"/>
          <w:highlight w:val="none"/>
        </w:rPr>
        <w:t>1、合同货物的质量、技术标准应当满足本项目招标文件《技术标准和要求》；没有具体技术要求的必须满足该货物的最新国家标准或该货物的最新行业标准或符合合同目的的特定标准。</w:t>
      </w:r>
    </w:p>
    <w:bookmarkEnd w:id="120"/>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2、卖方在供应买方商品的同时应当提交所供应商品使用说明书、合格证、质保书等相关技术资料。</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3、卖方提供的所有货物在货物质保期内，除人为原因外因该货物质量问题而造成的生产安全事故，由卖方承担全部的事故责任和经济责任。                             </w:t>
      </w:r>
    </w:p>
    <w:p>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三、知识产权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卖方对一切可能的侵权指控负责。</w:t>
      </w:r>
    </w:p>
    <w:p>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四、货物包装、运输、装卸和保险</w:t>
      </w:r>
    </w:p>
    <w:p>
      <w:pPr>
        <w:spacing w:line="360" w:lineRule="auto"/>
        <w:ind w:left="1" w:right="-235" w:rightChars="-11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1、为了保证货物在长途运输和装卸过程中的安全，货物包装应符合国家或专业（部）标准规定。由于包装不善导致货物锈蚀、失缺或损坏，由卖方承担一切责任。</w:t>
      </w:r>
    </w:p>
    <w:p>
      <w:pPr>
        <w:spacing w:line="360" w:lineRule="auto"/>
        <w:ind w:left="1" w:right="-235" w:rightChars="-11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2、卸货由卖方负责，卸货时所产生的纠纷也由买方全权负责。</w:t>
      </w:r>
    </w:p>
    <w:p>
      <w:pPr>
        <w:spacing w:line="360" w:lineRule="auto"/>
        <w:ind w:left="1" w:right="-235" w:rightChars="-11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3、每一包装箱内必须附有装箱清单。</w:t>
      </w:r>
    </w:p>
    <w:p>
      <w:pPr>
        <w:spacing w:line="360" w:lineRule="auto"/>
        <w:ind w:left="1" w:right="-235" w:rightChars="-11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4、货物在装运前由卖方投保，一旦货物在装车、运输过程中发生损坏或短缺，由卖方负责索赔。</w:t>
      </w:r>
    </w:p>
    <w:p>
      <w:pPr>
        <w:spacing w:line="360" w:lineRule="auto"/>
        <w:ind w:left="1" w:right="-235" w:rightChars="-11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5、卖方保证在确认货物因装车、运输中发生损坏或短缺后，尽快给予调换、修复和补齐缺件，不管其造成的原因如何，也不能以办理索赔为由而拖延。</w:t>
      </w:r>
    </w:p>
    <w:p>
      <w:pPr>
        <w:spacing w:line="360" w:lineRule="auto"/>
        <w:ind w:left="1" w:right="-235" w:rightChars="-11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6、卖方在货物发运前5天将准备发运的货物名称、规格、数量、包装箱件数、每件包装箱的尺码、毛重及对货物贮存的特殊要求等有效通知买方，以便接货。</w:t>
      </w:r>
    </w:p>
    <w:p>
      <w:pPr>
        <w:spacing w:line="360" w:lineRule="auto"/>
        <w:ind w:left="1" w:right="-235" w:rightChars="-11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7、卖方所供货物须完全满足业主单位技术要求；在不影响第二次销售情况下，买方有权要求退货，退货所产生的费用全部由卖方承担。</w:t>
      </w:r>
    </w:p>
    <w:p>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五、合同交货期、交货方式、地点</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1、供货时间：公示结束起至 2025年7月25日止；若遇特殊情况由中标单位提出书面申请，经业主单位同意后可酌情顺延。卖方在每次收到买方请购订单后常规货物必须在7天内货到指定现场，非常规货物必须在15天内货到指定现场【必须满足施工进度要求，数量一个（根）起送】；每逾期一天支付违约金3000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本项目合同期内，卖方逾期到货累计发生三次，买方有权单方面终止合同。</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2、供货地点：买方指定地点。</w:t>
      </w:r>
    </w:p>
    <w:p>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六、质量保证和质量保证期</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1、卖方保证所提供的货物是全新的、未使用过的。</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2、卖方保证采用先进的技术、优质的材料和零部件、一流的工艺、严格的质量管理为买方提供技术先进、质量上乘、外表美观并完全符合合同规定的质量、规格、性能要求的货物。</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3、卖方应对外购或外协的零部件的质量和技术性能负全部责任。</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4、卖方保证所提供的货物在正确安装、正常使用和维护保养的情况下，具有使买方满意的使用性能和使用寿命。</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产品的质量保证期为工程整体验收合格后1年。质保期内因货物自身质量问题发生故障，卖方应负责及时修复、妥善处理或更换，发生的费用由卖方负责。无论在质保期内还是质保期满后，卖方负责对其实施的项目提供现场服务。</w:t>
      </w:r>
    </w:p>
    <w:p>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七、开票及付款方式</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1、合同签订前，卖方须提交签约合同价2%的履约保证金，供货完成后无息退还。</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货物运至买方指定仓库或者施工现场，货物到场后，支付到货部分货款总额的70%，同时卖方提供13%的全额增值税专用发票，整个项目验收合格后支付至合同价的98.5%，剩余的1.5%货款在质保期满后支付（不计息）。</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按要求送到买方指定地点货物，卖方必须于货物送到现场签收之日起30个自然日内开具相应货物金额的增值税专用发票；若卖方未在规定要求时间内开具，买方有权选择要求卖方重新开具相应货物金额的增值税专用发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本合同除发生下列情况可按投标报价书中的数量进行价格调整合同以外，其它一律不得调整：</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1、工程建筑设计作较大的修改；</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2、因买方实际需要调整原设计方案。</w:t>
      </w:r>
    </w:p>
    <w:p>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八、货物检验和技术服务</w:t>
      </w:r>
    </w:p>
    <w:p>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本项目中对于卖方所供不锈钢卡箍，买方按招标文件中不锈钢卡箍重量要求，随机抽查自行进行质量检测（检测费用由买方自行承担），以此作为判定合同货物质量是否合格的最终依据。若检测不合格，第一次发现卖方须立即更换货物，并支付违约金10000元；第二次发现支付违约金20000元；第三次发现支付违约金30000元，以此类推，合同期内次数累计计算。</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对于卖方所供材料，买方按招标文件相关产品的技术标准（要求），随机抽取三批次送有资质第三方检测公司，对所供货物材质和性能进行检测，检测费用均由卖方承担（检测送样的数量须由卖方事后补齐给买方）。若检测不合格，卖方须立即更换货物，并承担因此所造成的一切经济损失和费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买方认为如有必要在货物制造过程中派人到生产厂进行监制，或在货物发货前派人赴生产厂进行预验收，卖方应予以积极配合并对监制或预验收工作提供方便。</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货物到达现场后，卖方派人到现场与买方一起开箱检验，按供货范围清单验收，并由卖方人员将货物合格证、说明书等所有资料交至买方指定人员。货物若有短少或损坏，卖方应立即补足或更换全新同规格货物，费用由卖方承担，买方保留向卖方索赔的权利。</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货物的安装、调试结束后，经过试运转考核无故障，并经有关部门检验合格后，买卖双方共同签署验收合格证书，若因卖方货物质量问题及安装施工质量问题，验收不合格，卖方应及时予以处理，直至验收合格，期间发生的一切相关费用均由卖方负担，买方保留向卖方索赔的权利。</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卖方负责合同执行全过程中的技术服务和支持，如负责指导安装调试，对买方的操作、维修人员进行技术培训，无论在质量保证期内还是质量保证期满后，一旦发生故障，而买方无法自行排除时，在接到买方通知后，卖方应立即派人前往买方工地处理并及时提供备品、备件。卖方保证具备安装、调试相关资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5、卖方在接到买方的货物质量或合同第六条第四款之问题反馈电话后 2个小时内响应，24个小时内响应到达现场，并最迟在第2个工作日内排除故障；2个工作日内不能修复的，必须采取临时调换等措施，以保证买收人的正常使用；如24小时内未能到达用户指定地点的，承担相应违约责任和因货物质量问题引起的经济责任，卖方超时处理三次以上或10个 工作日以上无法解决买方提出的有关货物质量问题的，买方有权单方面终止合同。</w:t>
      </w:r>
    </w:p>
    <w:p>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九、合同修改</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1、买卖双方的任何一方对合同内容提出修改，均应以书面形式通知对方，并达成由双方签署的合同修改书。</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2、除非买方对货物的型号、规格和涉及价格因素的技术参数和配套件提出修改，卖方不得对合同价格提出修改要求。</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3、买方因设计施工变更货物的型号、规格和数量，卖方应承诺多退少补，并及时供货保证施工进度需要。</w:t>
      </w:r>
    </w:p>
    <w:p>
      <w:pPr>
        <w:spacing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十、违约责任</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1、质量责任</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在货物质量保证期内，凡货物在检验、安装调试、设备试运转过程中发现的货物质量问题，由卖方负责处理，实行包修、包换、包退，直至货物符合质量要求，卖方同时承担修理、调换、退货发生的一切费用及其他由其引起的经济损失。</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2）在货物质量保证期内，因卖方货物质量问题造成工程延误，人身伤害等各种事故，由卖方承担全部的事故责任和由其引起的一切经济责任。</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3）由于买方保管不善或使用不当造成货物短缺、故障或损坏，由买方负责，但卖方保证及时给予补齐或修复。</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2、违约赔偿</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1）除不可抗力外，卖方逾期交货，需单独支付给买方按逾期每天3000元的违约金。</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2）因卖方违约造成终止合同，则卖方按合同价 20%支付违约金给买方，并赔偿买方由此造成超过违约金的其它一切经济损失。</w:t>
      </w:r>
    </w:p>
    <w:p>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十一、违约终止合同</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1、买方在卖方存在如下违约情况时，有权考虑并提出终止全部或部分合同。</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1）卖方未能在合同规定期限或买方同意延长的期限内交付全部或部分货物。</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2）本项目卖方逾期到货累计发生三次。</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3）货物送检后累计三次出现货物质量不达标情况。</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4）卖方逾期处理货物问题三次以上的或单项问题10个工作日以上未解决的</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5）因卖方货物质量问题造成较为严重事件的。</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6）卖方未能履行合同规定的其他义务。</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7）在发生上述情况后，卖方收到买方的违约通知后30天内未能纠正其过失。</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2、在买方提出终止合同之日前已报的请购订单，但卖方还未送到现场的，卖方须继续按约定时间继续供货；同时买方并不解除对卖方交货部分货物应负的货物质量责任及售后服务。</w:t>
      </w:r>
    </w:p>
    <w:p>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十二、安全责任</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卖方承担货物到货过程中、调试及质保期内维修服务的所有安全责任：包含货物供货、运输、卸货、指导安装、调试过程中的所有安全事项，如果在此过程中发生因卖方原因（包含施工规范操作，材料安全系数等）造成的生产安全事故，由卖方承担全部的事故责任和经济责任。</w:t>
      </w:r>
    </w:p>
    <w:p>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十三、合同纠纷解决方式</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凡有关本合同或执行本合同中发生的争端，买卖双方应通过友好协商，妥善解决。如协商不成的，则由买方住所地法院处理</w:t>
      </w:r>
      <w:r>
        <w:rPr>
          <w:rFonts w:hint="eastAsia" w:ascii="宋体" w:hAnsi="宋体" w:eastAsia="宋体" w:cs="宋体"/>
          <w:color w:val="auto"/>
          <w:sz w:val="24"/>
          <w:szCs w:val="24"/>
          <w:highlight w:val="none"/>
        </w:rPr>
        <w:t>。</w:t>
      </w:r>
    </w:p>
    <w:p>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十四、适用法律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按照中华人民共和国的生效法律法规和浙江省政府所规定的条例进行解释</w:t>
      </w:r>
      <w:r>
        <w:rPr>
          <w:rFonts w:hint="eastAsia" w:ascii="宋体" w:hAnsi="宋体" w:eastAsia="宋体" w:cs="宋体"/>
          <w:color w:val="auto"/>
          <w:sz w:val="24"/>
          <w:szCs w:val="24"/>
          <w:highlight w:val="none"/>
          <w:lang w:val="zh-CN"/>
        </w:rPr>
        <w:t>。</w:t>
      </w:r>
    </w:p>
    <w:p>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十五、合同有效期及其他</w:t>
      </w:r>
    </w:p>
    <w:p>
      <w:pPr>
        <w:spacing w:line="360" w:lineRule="auto"/>
        <w:ind w:firstLine="480" w:firstLineChars="200"/>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合同应在双方法人代表或经办人签字并加盖单位公章或合同章后生效至质保期满之日起终止。招标文件、投标文件、补充文件、招标答疑纪要及设计联络会会议纪要等作为本合同的附件，与本合同具有同等法律效力；解释顺序为合同（补充合同）、设计联络会会议纪要、询标承诺、招标文件（招标答疑纪要）、投标文件等。</w:t>
      </w:r>
    </w:p>
    <w:p>
      <w:pPr>
        <w:spacing w:line="360" w:lineRule="auto"/>
        <w:ind w:firstLine="480" w:firstLineChars="200"/>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根据《绍兴市柴油动力移动源排气污染防治办法》第九条、第十三条的规定，乙（卖）方在合同实施过程中使用的柴油动力移动源(柴油货车、非道路移动机械)必须符合低排放要求并已向生态环境部门申领绿色编码，在进入作业现场前须如实向甲（买）方登记报备绿色编码，未申领绿色编码的柴油动力移动源不得进入作业现场施工。在作业现场发现有未申领绿色编码的柴油动力移动源或者未如实进行绿色编码报备的，认定乙（卖）方违约，每发现一次，支付违约金2000元。</w:t>
      </w:r>
    </w:p>
    <w:p>
      <w:pPr>
        <w:spacing w:line="360" w:lineRule="auto"/>
        <w:ind w:firstLine="480" w:firstLineChars="200"/>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3、本合同一式伍份，买方执叁份，卖方执贰份。</w:t>
      </w:r>
    </w:p>
    <w:p>
      <w:pPr>
        <w:spacing w:line="360" w:lineRule="auto"/>
        <w:ind w:firstLine="480" w:firstLineChars="200"/>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4、未尽事宜，买卖双方协商解决。</w:t>
      </w:r>
    </w:p>
    <w:tbl>
      <w:tblPr>
        <w:tblStyle w:val="11"/>
        <w:tblW w:w="9284" w:type="dxa"/>
        <w:tblInd w:w="0" w:type="dxa"/>
        <w:tblLayout w:type="fixed"/>
        <w:tblCellMar>
          <w:top w:w="0" w:type="dxa"/>
          <w:left w:w="108" w:type="dxa"/>
          <w:bottom w:w="0" w:type="dxa"/>
          <w:right w:w="108" w:type="dxa"/>
        </w:tblCellMar>
      </w:tblPr>
      <w:tblGrid>
        <w:gridCol w:w="5071"/>
        <w:gridCol w:w="4213"/>
      </w:tblGrid>
      <w:tr>
        <w:tblPrEx>
          <w:tblLayout w:type="fixed"/>
          <w:tblCellMar>
            <w:top w:w="0" w:type="dxa"/>
            <w:left w:w="108" w:type="dxa"/>
            <w:bottom w:w="0" w:type="dxa"/>
            <w:right w:w="108" w:type="dxa"/>
          </w:tblCellMar>
        </w:tblPrEx>
        <w:tc>
          <w:tcPr>
            <w:tcW w:w="507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1687" w:firstLineChars="7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买方人</w:t>
            </w:r>
          </w:p>
          <w:p>
            <w:pPr>
              <w:autoSpaceDE w:val="0"/>
              <w:autoSpaceDN w:val="0"/>
              <w:adjustRightIn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单位名称（盖章）：</w:t>
            </w:r>
          </w:p>
          <w:p>
            <w:pPr>
              <w:autoSpaceDE w:val="0"/>
              <w:autoSpaceDN w:val="0"/>
              <w:adjustRightIn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地址：上虞区</w:t>
            </w:r>
            <w:r>
              <w:rPr>
                <w:rFonts w:hint="eastAsia" w:ascii="宋体" w:hAnsi="宋体" w:eastAsia="宋体" w:cs="宋体"/>
                <w:color w:val="auto"/>
                <w:sz w:val="24"/>
                <w:szCs w:val="24"/>
                <w:highlight w:val="none"/>
              </w:rPr>
              <w:t>王充路407</w:t>
            </w:r>
            <w:r>
              <w:rPr>
                <w:rFonts w:hint="eastAsia" w:ascii="宋体" w:hAnsi="宋体" w:eastAsia="宋体" w:cs="宋体"/>
                <w:color w:val="auto"/>
                <w:sz w:val="24"/>
                <w:szCs w:val="24"/>
                <w:highlight w:val="none"/>
                <w:lang w:val="zh-CN"/>
              </w:rPr>
              <w:t>号</w:t>
            </w:r>
            <w:r>
              <w:rPr>
                <w:rFonts w:hint="eastAsia" w:ascii="宋体" w:hAnsi="宋体" w:eastAsia="宋体" w:cs="宋体"/>
                <w:color w:val="auto"/>
                <w:sz w:val="24"/>
                <w:szCs w:val="24"/>
                <w:highlight w:val="none"/>
              </w:rPr>
              <w:t>城市改造管理局四楼</w:t>
            </w:r>
          </w:p>
          <w:p>
            <w:pPr>
              <w:autoSpaceDE w:val="0"/>
              <w:autoSpaceDN w:val="0"/>
              <w:adjustRightIn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法人代表或委托代理人</w:t>
            </w:r>
            <w:r>
              <w:rPr>
                <w:rFonts w:hint="eastAsia" w:ascii="宋体" w:hAnsi="宋体" w:eastAsia="宋体" w:cs="宋体"/>
                <w:color w:val="auto"/>
                <w:sz w:val="24"/>
                <w:szCs w:val="24"/>
                <w:highlight w:val="none"/>
              </w:rPr>
              <w:t>：</w:t>
            </w:r>
          </w:p>
          <w:p>
            <w:pPr>
              <w:autoSpaceDE w:val="0"/>
              <w:autoSpaceDN w:val="0"/>
              <w:adjustRightIn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电话：0575-812882</w:t>
            </w:r>
            <w:r>
              <w:rPr>
                <w:rFonts w:hint="eastAsia" w:ascii="宋体" w:hAnsi="宋体" w:eastAsia="宋体" w:cs="宋体"/>
                <w:color w:val="auto"/>
                <w:sz w:val="24"/>
                <w:szCs w:val="24"/>
                <w:highlight w:val="none"/>
              </w:rPr>
              <w:t>22</w:t>
            </w:r>
          </w:p>
          <w:p>
            <w:pPr>
              <w:autoSpaceDE w:val="0"/>
              <w:autoSpaceDN w:val="0"/>
              <w:adjustRightIn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传真：0575-81288200</w:t>
            </w:r>
          </w:p>
          <w:p>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开户银行：中国农业银行股份有限公司绍兴虞中支行</w:t>
            </w:r>
          </w:p>
          <w:p>
            <w:pPr>
              <w:autoSpaceDE w:val="0"/>
              <w:autoSpaceDN w:val="0"/>
              <w:adjustRightIn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账号：19515901040025725</w:t>
            </w:r>
          </w:p>
          <w:p>
            <w:pPr>
              <w:autoSpaceDE w:val="0"/>
              <w:autoSpaceDN w:val="0"/>
              <w:adjustRightIn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邮政编码：312300</w:t>
            </w:r>
          </w:p>
        </w:tc>
        <w:tc>
          <w:tcPr>
            <w:tcW w:w="421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1687" w:firstLineChars="7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卖方人</w:t>
            </w:r>
          </w:p>
          <w:p>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单位名称（盖章）：</w:t>
            </w:r>
          </w:p>
          <w:p>
            <w:pPr>
              <w:autoSpaceDE w:val="0"/>
              <w:autoSpaceDN w:val="0"/>
              <w:adjustRightIn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地址：</w:t>
            </w:r>
            <w:r>
              <w:rPr>
                <w:rFonts w:hint="eastAsia" w:ascii="宋体" w:hAnsi="宋体" w:eastAsia="宋体" w:cs="宋体"/>
                <w:color w:val="auto"/>
                <w:sz w:val="24"/>
                <w:szCs w:val="24"/>
                <w:highlight w:val="none"/>
              </w:rPr>
              <w:t xml:space="preserve"> </w:t>
            </w:r>
          </w:p>
          <w:p>
            <w:pPr>
              <w:autoSpaceDE w:val="0"/>
              <w:autoSpaceDN w:val="0"/>
              <w:adjustRightIn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法人代表或委托代理人：</w:t>
            </w:r>
          </w:p>
          <w:p>
            <w:pPr>
              <w:autoSpaceDE w:val="0"/>
              <w:autoSpaceDN w:val="0"/>
              <w:adjustRightIn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电话：</w:t>
            </w:r>
            <w:r>
              <w:rPr>
                <w:rFonts w:hint="eastAsia" w:ascii="宋体" w:hAnsi="宋体" w:eastAsia="宋体" w:cs="宋体"/>
                <w:color w:val="auto"/>
                <w:sz w:val="24"/>
                <w:szCs w:val="24"/>
                <w:highlight w:val="none"/>
              </w:rPr>
              <w:t xml:space="preserve"> </w:t>
            </w:r>
          </w:p>
          <w:p>
            <w:pPr>
              <w:autoSpaceDE w:val="0"/>
              <w:autoSpaceDN w:val="0"/>
              <w:adjustRightIn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传真：</w:t>
            </w:r>
          </w:p>
          <w:p>
            <w:pPr>
              <w:autoSpaceDE w:val="0"/>
              <w:autoSpaceDN w:val="0"/>
              <w:adjustRightIn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开户银行：</w:t>
            </w:r>
          </w:p>
          <w:p>
            <w:pPr>
              <w:autoSpaceDE w:val="0"/>
              <w:autoSpaceDN w:val="0"/>
              <w:adjustRightIn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账号：</w:t>
            </w:r>
          </w:p>
          <w:p>
            <w:pPr>
              <w:autoSpaceDE w:val="0"/>
              <w:autoSpaceDN w:val="0"/>
              <w:adjustRightIn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邮政编码：</w:t>
            </w:r>
          </w:p>
          <w:p>
            <w:pPr>
              <w:autoSpaceDE w:val="0"/>
              <w:autoSpaceDN w:val="0"/>
              <w:adjustRightInd w:val="0"/>
              <w:spacing w:line="360" w:lineRule="auto"/>
              <w:rPr>
                <w:rFonts w:ascii="宋体" w:hAnsi="宋体" w:eastAsia="宋体" w:cs="宋体"/>
                <w:color w:val="auto"/>
                <w:sz w:val="24"/>
                <w:szCs w:val="24"/>
                <w:highlight w:val="none"/>
                <w:lang w:val="zh-CN"/>
              </w:rPr>
            </w:pPr>
          </w:p>
        </w:tc>
      </w:tr>
    </w:tbl>
    <w:p>
      <w:pPr>
        <w:adjustRightInd w:val="0"/>
        <w:spacing w:after="60" w:line="360" w:lineRule="auto"/>
        <w:ind w:right="63" w:rightChars="30"/>
        <w:textAlignment w:val="baseline"/>
        <w:rPr>
          <w:rFonts w:ascii="Calibri" w:hAnsi="Calibri" w:eastAsia="宋体" w:cs="Times New Roman"/>
          <w:color w:val="auto"/>
          <w:kern w:val="0"/>
          <w:highlight w:val="none"/>
        </w:rPr>
      </w:pPr>
    </w:p>
    <w:p>
      <w:pPr>
        <w:adjustRightInd w:val="0"/>
        <w:spacing w:after="60" w:line="360" w:lineRule="auto"/>
        <w:ind w:right="63" w:rightChars="30"/>
        <w:textAlignment w:val="baseline"/>
        <w:rPr>
          <w:rFonts w:ascii="Calibri" w:hAnsi="Calibri" w:eastAsia="宋体" w:cs="Times New Roman"/>
          <w:color w:val="auto"/>
          <w:kern w:val="0"/>
          <w:highlight w:val="none"/>
        </w:rPr>
      </w:pPr>
    </w:p>
    <w:p>
      <w:pPr>
        <w:adjustRightInd w:val="0"/>
        <w:spacing w:after="60" w:line="360" w:lineRule="auto"/>
        <w:ind w:right="63" w:rightChars="30"/>
        <w:textAlignment w:val="baseline"/>
        <w:rPr>
          <w:rFonts w:ascii="Calibri" w:hAnsi="Calibri" w:eastAsia="宋体" w:cs="Times New Roman"/>
          <w:color w:val="auto"/>
          <w:kern w:val="0"/>
          <w:highlight w:val="none"/>
        </w:rPr>
      </w:pPr>
    </w:p>
    <w:p>
      <w:pPr>
        <w:adjustRightInd w:val="0"/>
        <w:spacing w:after="60" w:line="360" w:lineRule="auto"/>
        <w:ind w:right="63" w:rightChars="30"/>
        <w:textAlignment w:val="baseline"/>
        <w:rPr>
          <w:rFonts w:ascii="Calibri" w:hAnsi="Calibri" w:eastAsia="宋体" w:cs="Times New Roman"/>
          <w:color w:val="auto"/>
          <w:kern w:val="0"/>
          <w:highlight w:val="none"/>
        </w:rPr>
      </w:pPr>
    </w:p>
    <w:p>
      <w:pPr>
        <w:adjustRightInd w:val="0"/>
        <w:spacing w:after="60" w:line="360" w:lineRule="auto"/>
        <w:ind w:right="63" w:rightChars="30"/>
        <w:textAlignment w:val="baseline"/>
        <w:rPr>
          <w:rFonts w:ascii="Calibri" w:hAnsi="Calibri" w:eastAsia="宋体" w:cs="Times New Roman"/>
          <w:color w:val="auto"/>
          <w:kern w:val="0"/>
          <w:highlight w:val="none"/>
        </w:rPr>
      </w:pPr>
    </w:p>
    <w:p>
      <w:pPr>
        <w:adjustRightInd w:val="0"/>
        <w:spacing w:after="60" w:line="360" w:lineRule="auto"/>
        <w:ind w:right="63" w:rightChars="30"/>
        <w:textAlignment w:val="baseline"/>
        <w:rPr>
          <w:rFonts w:ascii="Calibri" w:hAnsi="Calibri" w:eastAsia="宋体" w:cs="Times New Roman"/>
          <w:color w:val="auto"/>
          <w:kern w:val="0"/>
          <w:highlight w:val="none"/>
        </w:rPr>
      </w:pPr>
    </w:p>
    <w:p>
      <w:pPr>
        <w:adjustRightInd w:val="0"/>
        <w:spacing w:after="60" w:line="360" w:lineRule="auto"/>
        <w:ind w:right="63" w:rightChars="30"/>
        <w:textAlignment w:val="baseline"/>
        <w:rPr>
          <w:rFonts w:ascii="Calibri" w:hAnsi="Calibri" w:eastAsia="宋体" w:cs="Times New Roman"/>
          <w:color w:val="auto"/>
          <w:kern w:val="0"/>
          <w:highlight w:val="none"/>
        </w:rPr>
      </w:pPr>
    </w:p>
    <w:p>
      <w:pPr>
        <w:adjustRightInd w:val="0"/>
        <w:spacing w:after="60" w:line="360" w:lineRule="auto"/>
        <w:ind w:right="63" w:rightChars="30"/>
        <w:textAlignment w:val="baseline"/>
        <w:rPr>
          <w:rFonts w:ascii="Calibri" w:hAnsi="Calibri" w:eastAsia="宋体" w:cs="Times New Roman"/>
          <w:color w:val="auto"/>
          <w:kern w:val="0"/>
          <w:highlight w:val="none"/>
        </w:rPr>
      </w:pPr>
    </w:p>
    <w:p>
      <w:pPr>
        <w:adjustRightInd w:val="0"/>
        <w:spacing w:after="60" w:line="360" w:lineRule="auto"/>
        <w:ind w:right="63" w:rightChars="30"/>
        <w:textAlignment w:val="baseline"/>
        <w:rPr>
          <w:rFonts w:ascii="Calibri" w:hAnsi="Calibri" w:eastAsia="宋体" w:cs="Times New Roman"/>
          <w:color w:val="auto"/>
          <w:kern w:val="0"/>
          <w:highlight w:val="none"/>
        </w:rPr>
      </w:pPr>
    </w:p>
    <w:p>
      <w:pPr>
        <w:adjustRightInd w:val="0"/>
        <w:spacing w:after="60" w:line="360" w:lineRule="auto"/>
        <w:ind w:right="63" w:rightChars="30"/>
        <w:textAlignment w:val="baseline"/>
        <w:rPr>
          <w:rFonts w:ascii="Calibri" w:hAnsi="Calibri" w:eastAsia="宋体" w:cs="Times New Roman"/>
          <w:color w:val="auto"/>
          <w:kern w:val="0"/>
          <w:highlight w:val="none"/>
        </w:rPr>
      </w:pPr>
    </w:p>
    <w:p>
      <w:pPr>
        <w:spacing w:after="156" w:afterLines="50" w:line="360" w:lineRule="auto"/>
        <w:jc w:val="center"/>
        <w:outlineLvl w:val="0"/>
        <w:rPr>
          <w:rFonts w:ascii="宋体" w:hAnsi="宋体" w:eastAsia="宋体" w:cs="宋体"/>
          <w:b/>
          <w:color w:val="auto"/>
          <w:sz w:val="36"/>
          <w:szCs w:val="36"/>
          <w:highlight w:val="none"/>
        </w:rPr>
      </w:pPr>
      <w:bookmarkStart w:id="121" w:name="_Toc203130198"/>
    </w:p>
    <w:p>
      <w:pPr>
        <w:spacing w:after="156" w:afterLines="50" w:line="360" w:lineRule="auto"/>
        <w:jc w:val="center"/>
        <w:outlineLvl w:val="0"/>
        <w:rPr>
          <w:rFonts w:ascii="宋体" w:hAnsi="宋体" w:eastAsia="宋体" w:cs="宋体"/>
          <w:b/>
          <w:color w:val="auto"/>
          <w:sz w:val="36"/>
          <w:szCs w:val="36"/>
          <w:highlight w:val="none"/>
        </w:rPr>
      </w:pPr>
    </w:p>
    <w:p>
      <w:pPr>
        <w:spacing w:after="156" w:afterLines="50" w:line="360" w:lineRule="auto"/>
        <w:jc w:val="center"/>
        <w:outlineLvl w:val="0"/>
        <w:rPr>
          <w:rFonts w:ascii="宋体" w:hAnsi="宋体" w:eastAsia="宋体" w:cs="宋体"/>
          <w:b/>
          <w:color w:val="auto"/>
          <w:sz w:val="36"/>
          <w:szCs w:val="36"/>
          <w:highlight w:val="none"/>
        </w:rPr>
      </w:pPr>
    </w:p>
    <w:p>
      <w:pPr>
        <w:spacing w:after="156" w:afterLines="50" w:line="360" w:lineRule="auto"/>
        <w:jc w:val="center"/>
        <w:outlineLvl w:val="0"/>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第六部分  应提交的有关格式范例</w:t>
      </w:r>
      <w:bookmarkEnd w:id="121"/>
    </w:p>
    <w:p>
      <w:pPr>
        <w:numPr>
          <w:ilvl w:val="0"/>
          <w:numId w:val="17"/>
        </w:numPr>
        <w:spacing w:line="360" w:lineRule="auto"/>
        <w:outlineLvl w:val="0"/>
        <w:rPr>
          <w:rFonts w:ascii="宋体" w:hAnsi="宋体" w:eastAsia="宋体" w:cs="宋体"/>
          <w:color w:val="auto"/>
          <w:sz w:val="24"/>
          <w:szCs w:val="24"/>
          <w:highlight w:val="none"/>
        </w:rPr>
      </w:pPr>
    </w:p>
    <w:p>
      <w:pPr>
        <w:numPr>
          <w:ilvl w:val="0"/>
          <w:numId w:val="17"/>
        </w:num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投标人按照以下格式编制投标文件，并将资格文件、技术文件、商务文件、报价文件分别上传，并与招标文件的评分要点准确设置关联点。</w:t>
      </w:r>
    </w:p>
    <w:p>
      <w:pPr>
        <w:numPr>
          <w:ilvl w:val="0"/>
          <w:numId w:val="17"/>
        </w:num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此格式内容仅为参考模板，具体内容投标人应根据招标文件要求进行调整。未按以下格式编制投标文件或因格式不规范、页码不清等原因引发的一切后果由投标人自行承担。</w:t>
      </w:r>
    </w:p>
    <w:p>
      <w:pPr>
        <w:numPr>
          <w:ilvl w:val="0"/>
          <w:numId w:val="17"/>
        </w:numPr>
        <w:spacing w:line="360" w:lineRule="auto"/>
        <w:jc w:val="center"/>
        <w:rPr>
          <w:rFonts w:ascii="宋体" w:hAnsi="宋体" w:eastAsia="宋体" w:cs="宋体"/>
          <w:b/>
          <w:color w:val="auto"/>
          <w:kern w:val="0"/>
          <w:sz w:val="36"/>
          <w:szCs w:val="36"/>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kern w:val="0"/>
          <w:sz w:val="36"/>
          <w:szCs w:val="36"/>
          <w:highlight w:val="none"/>
        </w:rPr>
        <w:t>资格文件部分</w:t>
      </w:r>
    </w:p>
    <w:p>
      <w:pPr>
        <w:numPr>
          <w:ilvl w:val="0"/>
          <w:numId w:val="17"/>
        </w:numPr>
        <w:spacing w:line="360" w:lineRule="auto"/>
        <w:jc w:val="center"/>
        <w:rPr>
          <w:rFonts w:ascii="宋体" w:hAnsi="宋体" w:eastAsia="宋体" w:cs="宋体"/>
          <w:b/>
          <w:color w:val="auto"/>
          <w:kern w:val="0"/>
          <w:sz w:val="36"/>
          <w:szCs w:val="36"/>
          <w:highlight w:val="none"/>
        </w:rPr>
      </w:pPr>
    </w:p>
    <w:p>
      <w:pPr>
        <w:numPr>
          <w:ilvl w:val="0"/>
          <w:numId w:val="17"/>
        </w:numPr>
        <w:spacing w:line="360" w:lineRule="auto"/>
        <w:jc w:val="center"/>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numPr>
          <w:ilvl w:val="0"/>
          <w:numId w:val="18"/>
        </w:numPr>
        <w:adjustRightInd w:val="0"/>
        <w:spacing w:line="360" w:lineRule="auto"/>
        <w:ind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pPr>
        <w:numPr>
          <w:ilvl w:val="0"/>
          <w:numId w:val="18"/>
        </w:numPr>
        <w:adjustRightInd w:val="0"/>
        <w:spacing w:line="360" w:lineRule="auto"/>
        <w:ind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营业执照 (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spacing w:line="360" w:lineRule="auto"/>
        <w:ind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numPr>
          <w:ilvl w:val="0"/>
          <w:numId w:val="18"/>
        </w:numPr>
        <w:adjustRightInd w:val="0"/>
        <w:spacing w:line="360" w:lineRule="auto"/>
        <w:ind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具有履行合同所必需的产品和专业技术能力的承诺函（格式自拟）</w:t>
      </w:r>
    </w:p>
    <w:p>
      <w:pPr>
        <w:numPr>
          <w:ilvl w:val="0"/>
          <w:numId w:val="18"/>
        </w:numPr>
        <w:adjustRightInd w:val="0"/>
        <w:spacing w:line="360" w:lineRule="auto"/>
        <w:ind w:firstLine="480" w:firstLineChars="2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投标人承诺函；（格式见附件）</w:t>
      </w: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numPr>
          <w:ilvl w:val="0"/>
          <w:numId w:val="17"/>
        </w:numPr>
        <w:snapToGrid w:val="0"/>
        <w:spacing w:before="50" w:after="156" w:afterLines="50"/>
        <w:jc w:val="left"/>
        <w:rPr>
          <w:rFonts w:ascii="宋体" w:hAnsi="宋体" w:eastAsia="宋体" w:cs="宋体"/>
          <w:b/>
          <w:bCs/>
          <w:color w:val="auto"/>
          <w:sz w:val="24"/>
          <w:szCs w:val="24"/>
          <w:highlight w:val="none"/>
          <w:lang w:val="zh-CN"/>
        </w:rPr>
      </w:pPr>
      <w:bookmarkStart w:id="122" w:name="__RefHeading___Toc29066_WPSOffice_Level1"/>
      <w:bookmarkEnd w:id="122"/>
      <w:bookmarkStart w:id="123" w:name="__RefHeading___Toc22508_WPSOffice_Level1"/>
      <w:bookmarkEnd w:id="123"/>
      <w:bookmarkStart w:id="124" w:name="_Toc86067739"/>
      <w:bookmarkStart w:id="125" w:name="_Toc79569866"/>
      <w:bookmarkStart w:id="126" w:name="_Toc81917158"/>
      <w:bookmarkStart w:id="127" w:name="_Toc108015199"/>
      <w:bookmarkStart w:id="128" w:name="_Toc85732435"/>
      <w:bookmarkStart w:id="129" w:name="_Toc81917334"/>
      <w:bookmarkStart w:id="130" w:name="_Toc24699"/>
    </w:p>
    <w:p>
      <w:pPr>
        <w:numPr>
          <w:ilvl w:val="0"/>
          <w:numId w:val="17"/>
        </w:numPr>
        <w:snapToGrid w:val="0"/>
        <w:spacing w:before="50" w:after="156" w:afterLines="50"/>
        <w:jc w:val="left"/>
        <w:rPr>
          <w:rFonts w:ascii="宋体" w:hAnsi="宋体" w:eastAsia="宋体" w:cs="宋体"/>
          <w:b/>
          <w:bCs/>
          <w:color w:val="auto"/>
          <w:sz w:val="24"/>
          <w:szCs w:val="24"/>
          <w:highlight w:val="none"/>
          <w:lang w:val="zh-CN"/>
        </w:rPr>
      </w:pPr>
    </w:p>
    <w:p>
      <w:pPr>
        <w:numPr>
          <w:ilvl w:val="0"/>
          <w:numId w:val="17"/>
        </w:numPr>
        <w:snapToGrid w:val="0"/>
        <w:spacing w:before="50" w:after="156" w:afterLines="50"/>
        <w:jc w:val="left"/>
        <w:rPr>
          <w:rFonts w:ascii="宋体" w:hAnsi="宋体" w:eastAsia="宋体" w:cs="宋体"/>
          <w:b/>
          <w:bCs/>
          <w:color w:val="auto"/>
          <w:sz w:val="24"/>
          <w:szCs w:val="24"/>
          <w:highlight w:val="none"/>
          <w:lang w:val="zh-CN"/>
        </w:rPr>
      </w:pPr>
    </w:p>
    <w:p>
      <w:pPr>
        <w:numPr>
          <w:ilvl w:val="0"/>
          <w:numId w:val="17"/>
        </w:numPr>
        <w:snapToGrid w:val="0"/>
        <w:spacing w:before="50" w:after="156" w:afterLines="50"/>
        <w:jc w:val="left"/>
        <w:rPr>
          <w:rFonts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附件一：</w:t>
      </w:r>
      <w:bookmarkEnd w:id="124"/>
      <w:bookmarkEnd w:id="125"/>
      <w:bookmarkEnd w:id="126"/>
      <w:bookmarkEnd w:id="127"/>
      <w:bookmarkEnd w:id="128"/>
      <w:bookmarkEnd w:id="129"/>
    </w:p>
    <w:p>
      <w:pPr>
        <w:spacing w:line="360"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法定代表人授权书</w:t>
      </w:r>
      <w:bookmarkEnd w:id="130"/>
    </w:p>
    <w:p>
      <w:pPr>
        <w:spacing w:line="360" w:lineRule="auto"/>
        <w:ind w:firstLine="420"/>
        <w:rPr>
          <w:rFonts w:ascii="宋体" w:hAnsi="宋体" w:eastAsia="宋体" w:cs="宋体"/>
          <w:color w:val="auto"/>
          <w:szCs w:val="20"/>
          <w:highlight w:val="none"/>
        </w:rPr>
      </w:pPr>
    </w:p>
    <w:p>
      <w:pPr>
        <w:snapToGrid w:val="0"/>
        <w:spacing w:line="360" w:lineRule="auto"/>
        <w:rPr>
          <w:rFonts w:ascii="宋体" w:hAnsi="宋体" w:eastAsia="宋体" w:cs="Courier New"/>
          <w:color w:val="auto"/>
          <w:szCs w:val="21"/>
          <w:highlight w:val="none"/>
        </w:rPr>
      </w:pPr>
      <w:r>
        <w:rPr>
          <w:rFonts w:hint="eastAsia" w:ascii="宋体" w:hAnsi="宋体" w:eastAsia="宋体" w:cs="宋体"/>
          <w:color w:val="auto"/>
          <w:sz w:val="24"/>
          <w:szCs w:val="21"/>
          <w:highlight w:val="none"/>
        </w:rPr>
        <w:t xml:space="preserve">     </w:t>
      </w:r>
      <w:r>
        <w:rPr>
          <w:rFonts w:hint="eastAsia" w:ascii="宋体" w:hAnsi="宋体" w:eastAsia="宋体" w:cs="Courier New"/>
          <w:bCs/>
          <w:iCs/>
          <w:color w:val="auto"/>
          <w:sz w:val="24"/>
          <w:szCs w:val="21"/>
          <w:highlight w:val="none"/>
        </w:rPr>
        <w:t>绍兴市上虞区水务物资贸易有限公司</w:t>
      </w:r>
      <w:r>
        <w:rPr>
          <w:rFonts w:hint="eastAsia" w:ascii="宋体" w:hAnsi="宋体" w:eastAsia="宋体" w:cs="宋体"/>
          <w:color w:val="auto"/>
          <w:sz w:val="24"/>
          <w:szCs w:val="21"/>
          <w:highlight w:val="none"/>
        </w:rPr>
        <w:t>：</w:t>
      </w:r>
    </w:p>
    <w:p>
      <w:pPr>
        <w:snapToGrid w:val="0"/>
        <w:spacing w:line="360" w:lineRule="auto"/>
        <w:ind w:firstLine="720"/>
        <w:rPr>
          <w:rFonts w:ascii="宋体" w:hAnsi="宋体" w:eastAsia="宋体" w:cs="Courier New"/>
          <w:color w:val="auto"/>
          <w:szCs w:val="21"/>
          <w:highlight w:val="none"/>
        </w:rPr>
      </w:pPr>
      <w:r>
        <w:rPr>
          <w:rFonts w:hint="eastAsia" w:ascii="宋体" w:hAnsi="宋体" w:eastAsia="宋体" w:cs="宋体"/>
          <w:color w:val="auto"/>
          <w:sz w:val="24"/>
          <w:szCs w:val="21"/>
          <w:highlight w:val="none"/>
        </w:rPr>
        <w:t>浙江筑脸全过程工程咨询有限公司：</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（授权代表名称）</w:t>
      </w:r>
      <w:r>
        <w:rPr>
          <w:rFonts w:hint="eastAsia" w:ascii="宋体" w:hAnsi="宋体" w:eastAsia="宋体" w:cs="宋体"/>
          <w:color w:val="auto"/>
          <w:sz w:val="24"/>
          <w:szCs w:val="24"/>
          <w:highlight w:val="none"/>
        </w:rPr>
        <w:t>为授权代表，参加贵处组织的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single"/>
        </w:rPr>
        <w:t>（括号内填写招标编号）</w:t>
      </w:r>
      <w:r>
        <w:rPr>
          <w:rFonts w:hint="eastAsia" w:ascii="宋体" w:hAnsi="宋体" w:eastAsia="宋体" w:cs="宋体"/>
          <w:color w:val="auto"/>
          <w:sz w:val="24"/>
          <w:szCs w:val="24"/>
          <w:highlight w:val="none"/>
        </w:rPr>
        <w:t>，授权处理招投标活动中的一切事宜。</w:t>
      </w:r>
    </w:p>
    <w:p>
      <w:pPr>
        <w:spacing w:line="360" w:lineRule="auto"/>
        <w:ind w:firstLine="480" w:firstLineChars="200"/>
        <w:rPr>
          <w:rFonts w:ascii="宋体" w:hAnsi="宋体" w:eastAsia="宋体" w:cs="宋体"/>
          <w:color w:val="auto"/>
          <w:sz w:val="24"/>
          <w:szCs w:val="24"/>
          <w:highlight w:val="none"/>
        </w:rPr>
      </w:pP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投标人全称：（盖章）</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授权代表姓名：</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pPr>
        <w:snapToGrid w:val="0"/>
        <w:spacing w:line="360" w:lineRule="auto"/>
        <w:rPr>
          <w:rFonts w:ascii="宋体" w:hAnsi="宋体" w:eastAsia="宋体" w:cs="宋体"/>
          <w:color w:val="auto"/>
          <w:sz w:val="24"/>
          <w:szCs w:val="21"/>
          <w:highlight w:val="none"/>
        </w:rPr>
      </w:pPr>
    </w:p>
    <w:p>
      <w:pPr>
        <w:snapToGrid w:val="0"/>
        <w:spacing w:line="360" w:lineRule="auto"/>
        <w:rPr>
          <w:rFonts w:ascii="宋体" w:hAnsi="宋体" w:eastAsia="宋体" w:cs="宋体"/>
          <w:color w:val="auto"/>
          <w:sz w:val="24"/>
          <w:szCs w:val="21"/>
          <w:highlight w:val="none"/>
        </w:rPr>
      </w:pP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附：授权代表身份证复印件（正反面）</w:t>
      </w: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Cs w:val="24"/>
          <w:highlight w:val="none"/>
        </w:rPr>
      </w:pPr>
    </w:p>
    <w:p>
      <w:pPr>
        <w:tabs>
          <w:tab w:val="left" w:pos="0"/>
        </w:tabs>
        <w:snapToGrid w:val="0"/>
        <w:spacing w:before="50" w:after="156" w:afterLines="50"/>
        <w:jc w:val="left"/>
        <w:rPr>
          <w:rFonts w:ascii="宋体" w:hAnsi="宋体" w:eastAsia="宋体" w:cs="宋体"/>
          <w:b/>
          <w:bCs/>
          <w:color w:val="auto"/>
          <w:sz w:val="24"/>
          <w:szCs w:val="24"/>
          <w:highlight w:val="none"/>
          <w:lang w:val="zh-CN"/>
        </w:rPr>
      </w:pPr>
      <w:bookmarkStart w:id="131" w:name="__RefHeading___Toc23484_WPSOffice_Level1"/>
      <w:bookmarkEnd w:id="131"/>
      <w:bookmarkStart w:id="132" w:name="__RefHeading___Toc3957_WPSOffice_Level1"/>
      <w:bookmarkEnd w:id="132"/>
    </w:p>
    <w:p>
      <w:pPr>
        <w:numPr>
          <w:ilvl w:val="0"/>
          <w:numId w:val="17"/>
        </w:numPr>
        <w:snapToGrid w:val="0"/>
        <w:spacing w:before="50" w:after="156" w:afterLines="50"/>
        <w:jc w:val="left"/>
        <w:rPr>
          <w:rFonts w:ascii="宋体" w:hAnsi="宋体" w:eastAsia="宋体" w:cs="宋体"/>
          <w:b/>
          <w:bCs/>
          <w:color w:val="auto"/>
          <w:sz w:val="24"/>
          <w:szCs w:val="24"/>
          <w:highlight w:val="none"/>
          <w:lang w:val="zh-CN"/>
        </w:rPr>
      </w:pPr>
    </w:p>
    <w:p>
      <w:pPr>
        <w:numPr>
          <w:ilvl w:val="0"/>
          <w:numId w:val="17"/>
        </w:numPr>
        <w:snapToGrid w:val="0"/>
        <w:spacing w:before="50" w:after="156" w:afterLines="50"/>
        <w:jc w:val="left"/>
        <w:rPr>
          <w:rFonts w:ascii="宋体" w:hAnsi="宋体" w:eastAsia="宋体" w:cs="宋体"/>
          <w:b/>
          <w:bCs/>
          <w:color w:val="auto"/>
          <w:sz w:val="24"/>
          <w:szCs w:val="24"/>
          <w:highlight w:val="none"/>
          <w:lang w:val="zh-CN"/>
        </w:rPr>
      </w:pPr>
    </w:p>
    <w:p>
      <w:pPr>
        <w:numPr>
          <w:ilvl w:val="0"/>
          <w:numId w:val="17"/>
        </w:numPr>
        <w:snapToGrid w:val="0"/>
        <w:spacing w:before="50" w:after="156" w:afterLines="50"/>
        <w:jc w:val="left"/>
        <w:rPr>
          <w:rFonts w:ascii="宋体" w:hAnsi="宋体" w:eastAsia="宋体" w:cs="宋体"/>
          <w:b/>
          <w:bCs/>
          <w:color w:val="auto"/>
          <w:sz w:val="24"/>
          <w:szCs w:val="24"/>
          <w:highlight w:val="none"/>
          <w:lang w:val="zh-CN"/>
        </w:rPr>
      </w:pPr>
    </w:p>
    <w:p>
      <w:pPr>
        <w:numPr>
          <w:ilvl w:val="0"/>
          <w:numId w:val="17"/>
        </w:numPr>
        <w:snapToGrid w:val="0"/>
        <w:spacing w:before="50" w:after="156" w:afterLines="50"/>
        <w:jc w:val="left"/>
        <w:rPr>
          <w:rFonts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附件二：</w:t>
      </w:r>
    </w:p>
    <w:p>
      <w:pPr>
        <w:snapToGrid w:val="0"/>
        <w:spacing w:before="50" w:after="156" w:afterLines="50"/>
        <w:jc w:val="center"/>
        <w:outlineLvl w:val="0"/>
        <w:rPr>
          <w:rFonts w:ascii="宋体" w:hAnsi="宋体" w:eastAsia="宋体" w:cs="宋体"/>
          <w:b/>
          <w:color w:val="auto"/>
          <w:sz w:val="30"/>
          <w:szCs w:val="30"/>
          <w:highlight w:val="none"/>
        </w:rPr>
      </w:pPr>
      <w:bookmarkStart w:id="133" w:name="_Toc203130199"/>
      <w:bookmarkStart w:id="134" w:name="_Toc18952"/>
      <w:bookmarkStart w:id="135" w:name="_Toc5553"/>
      <w:bookmarkStart w:id="136" w:name="_Toc183593900"/>
      <w:bookmarkStart w:id="137" w:name="_Toc17524"/>
      <w:bookmarkStart w:id="138" w:name="_Toc16254"/>
      <w:bookmarkStart w:id="139" w:name="_Toc167290521"/>
      <w:r>
        <w:rPr>
          <w:rFonts w:hint="eastAsia" w:ascii="宋体" w:hAnsi="宋体" w:eastAsia="宋体" w:cs="宋体"/>
          <w:b/>
          <w:color w:val="auto"/>
          <w:sz w:val="30"/>
          <w:szCs w:val="30"/>
          <w:highlight w:val="none"/>
          <w:lang w:val="zh-CN"/>
        </w:rPr>
        <w:t>投 标 人 承 诺 函</w:t>
      </w:r>
      <w:bookmarkEnd w:id="133"/>
      <w:bookmarkEnd w:id="134"/>
      <w:bookmarkEnd w:id="135"/>
      <w:bookmarkEnd w:id="136"/>
      <w:bookmarkEnd w:id="137"/>
      <w:bookmarkEnd w:id="138"/>
      <w:bookmarkEnd w:id="139"/>
    </w:p>
    <w:p>
      <w:pPr>
        <w:spacing w:line="360" w:lineRule="auto"/>
        <w:ind w:firstLine="420" w:firstLineChars="200"/>
        <w:rPr>
          <w:rFonts w:ascii="宋体" w:hAnsi="宋体" w:eastAsia="宋体" w:cs="宋体"/>
          <w:color w:val="auto"/>
          <w:szCs w:val="24"/>
          <w:highlight w:val="none"/>
        </w:rPr>
      </w:pPr>
    </w:p>
    <w:p>
      <w:pPr>
        <w:snapToGrid w:val="0"/>
        <w:spacing w:line="360" w:lineRule="auto"/>
        <w:rPr>
          <w:rFonts w:ascii="宋体" w:hAnsi="宋体" w:eastAsia="宋体" w:cs="Courier New"/>
          <w:color w:val="auto"/>
          <w:szCs w:val="21"/>
          <w:highlight w:val="none"/>
        </w:rPr>
      </w:pPr>
      <w:r>
        <w:rPr>
          <w:rFonts w:hint="eastAsia" w:ascii="宋体" w:hAnsi="宋体" w:eastAsia="宋体" w:cs="Courier New"/>
          <w:bCs/>
          <w:iCs/>
          <w:color w:val="auto"/>
          <w:sz w:val="24"/>
          <w:szCs w:val="21"/>
          <w:highlight w:val="none"/>
        </w:rPr>
        <w:t>绍兴市上虞区水务物资贸易有限公司</w:t>
      </w:r>
      <w:r>
        <w:rPr>
          <w:rFonts w:hint="eastAsia" w:ascii="宋体" w:hAnsi="宋体" w:eastAsia="宋体" w:cs="宋体"/>
          <w:color w:val="auto"/>
          <w:sz w:val="24"/>
          <w:szCs w:val="21"/>
          <w:highlight w:val="none"/>
        </w:rPr>
        <w:t>：</w:t>
      </w:r>
    </w:p>
    <w:p>
      <w:pPr>
        <w:snapToGrid w:val="0"/>
        <w:spacing w:line="360" w:lineRule="auto"/>
        <w:rPr>
          <w:rFonts w:ascii="宋体" w:hAnsi="宋体" w:eastAsia="宋体" w:cs="Courier New"/>
          <w:color w:val="auto"/>
          <w:szCs w:val="21"/>
          <w:highlight w:val="none"/>
        </w:rPr>
      </w:pPr>
      <w:r>
        <w:rPr>
          <w:rFonts w:hint="eastAsia" w:ascii="宋体" w:hAnsi="宋体" w:eastAsia="宋体" w:cs="宋体"/>
          <w:color w:val="auto"/>
          <w:sz w:val="24"/>
          <w:szCs w:val="21"/>
          <w:highlight w:val="none"/>
        </w:rPr>
        <w:t>浙江筑脸全过程工程咨询有限公司：</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的法定代表人，我方愿意参加贵方组织的</w:t>
      </w:r>
      <w:r>
        <w:rPr>
          <w:rFonts w:hint="eastAsia" w:ascii="宋体" w:hAnsi="宋体" w:eastAsia="宋体" w:cs="宋体"/>
          <w:color w:val="auto"/>
          <w:sz w:val="24"/>
          <w:szCs w:val="24"/>
          <w:highlight w:val="none"/>
          <w:u w:val="single"/>
        </w:rPr>
        <w:t>（招标项目名称）（编号为）</w:t>
      </w:r>
      <w:r>
        <w:rPr>
          <w:rFonts w:hint="eastAsia" w:ascii="宋体" w:hAnsi="宋体" w:eastAsia="宋体" w:cs="宋体"/>
          <w:color w:val="auto"/>
          <w:sz w:val="24"/>
          <w:szCs w:val="24"/>
          <w:highlight w:val="none"/>
        </w:rPr>
        <w:t>的投标，为此，我方就本次投标有关事项郑重承诺如下：</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1、我方已详细审查全部招标文件，同意招标文件的各项要求。</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2、我方向贵方提交的所有投标文件、资料都是准确的和真实的。</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3、若中标，我方将按招标文件规定履行合同责任和义务。</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4、我方不是采购人的附属机构；在获知本项目采购信息后，与采购人聘请的为此项目提供咨询服务的公司及其附属机构没有任何联系。</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5、投标文件自开标日起有效期为90天。</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6、我方参与本项目前3年内的经营活动中没有重大违法记录；</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7、我方通过“信用中国”网站（www.creditchina.gov.cn）、中国政府采购网（www.ccgp.gov.cn）查询，未被列入失信被执行人、重大税收违法失信主体、政府采购严重违法失信行为记录名单。</w:t>
      </w:r>
    </w:p>
    <w:p>
      <w:pPr>
        <w:adjustRightInd w:val="0"/>
        <w:spacing w:after="120"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8、具有良好的商业信誉和健全的财务会计制度；</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9、具有依法缴纳税收和社会保障资金的良好记录；</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10、以上事项如有虚假或隐瞒，我方愿意承担一切后果，并不再寻求任何旨在减轻或免除法律责任的辩解。</w:t>
      </w:r>
    </w:p>
    <w:p>
      <w:pPr>
        <w:spacing w:line="360" w:lineRule="auto"/>
        <w:ind w:firstLine="480" w:firstLineChars="200"/>
        <w:rPr>
          <w:rFonts w:ascii="宋体" w:hAnsi="宋体" w:eastAsia="宋体" w:cs="宋体"/>
          <w:color w:val="auto"/>
          <w:sz w:val="24"/>
          <w:szCs w:val="24"/>
          <w:highlight w:val="none"/>
        </w:rPr>
      </w:pPr>
    </w:p>
    <w:p>
      <w:pPr>
        <w:spacing w:after="120"/>
        <w:ind w:left="420" w:leftChars="200"/>
        <w:rPr>
          <w:rFonts w:ascii="宋体" w:hAnsi="宋体" w:eastAsia="宋体" w:cs="宋体"/>
          <w:color w:val="auto"/>
          <w:szCs w:val="24"/>
          <w:highlight w:val="none"/>
        </w:rPr>
      </w:pPr>
    </w:p>
    <w:p>
      <w:pPr>
        <w:spacing w:line="360" w:lineRule="auto"/>
        <w:ind w:left="3780" w:leftChars="180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pPr>
        <w:spacing w:line="360" w:lineRule="auto"/>
        <w:ind w:left="3780" w:leftChars="180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投标人全称（公章）：</w:t>
      </w:r>
    </w:p>
    <w:p>
      <w:pPr>
        <w:spacing w:line="360" w:lineRule="auto"/>
        <w:ind w:left="3780" w:leftChars="180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spacing w:line="360" w:lineRule="auto"/>
        <w:ind w:left="3780" w:leftChars="1800" w:firstLine="480" w:firstLineChars="200"/>
        <w:rPr>
          <w:rFonts w:ascii="宋体" w:hAnsi="宋体" w:eastAsia="宋体" w:cs="宋体"/>
          <w:color w:val="auto"/>
          <w:sz w:val="24"/>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tabs>
          <w:tab w:val="left" w:pos="0"/>
        </w:tabs>
        <w:adjustRightInd w:val="0"/>
        <w:spacing w:line="360" w:lineRule="auto"/>
        <w:ind w:firstLine="723" w:firstLineChars="200"/>
        <w:jc w:val="center"/>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技术文件</w:t>
      </w:r>
    </w:p>
    <w:p>
      <w:pPr>
        <w:tabs>
          <w:tab w:val="left" w:pos="0"/>
        </w:tabs>
        <w:adjustRightInd w:val="0"/>
        <w:spacing w:line="360" w:lineRule="auto"/>
        <w:ind w:firstLine="723" w:firstLineChars="200"/>
        <w:jc w:val="center"/>
        <w:rPr>
          <w:rFonts w:ascii="宋体" w:hAnsi="宋体" w:eastAsia="宋体" w:cs="宋体"/>
          <w:b/>
          <w:color w:val="auto"/>
          <w:kern w:val="0"/>
          <w:sz w:val="36"/>
          <w:szCs w:val="36"/>
          <w:highlight w:val="none"/>
        </w:rPr>
      </w:pPr>
    </w:p>
    <w:p>
      <w:pPr>
        <w:tabs>
          <w:tab w:val="left" w:pos="0"/>
        </w:tabs>
        <w:adjustRightInd w:val="0"/>
        <w:spacing w:line="360" w:lineRule="auto"/>
        <w:ind w:firstLine="723" w:firstLineChars="200"/>
        <w:jc w:val="center"/>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tabs>
          <w:tab w:val="left" w:pos="0"/>
        </w:tabs>
        <w:adjustRightInd w:val="0"/>
        <w:spacing w:line="360" w:lineRule="auto"/>
        <w:ind w:firstLine="723" w:firstLineChars="200"/>
        <w:rPr>
          <w:rFonts w:ascii="宋体" w:hAnsi="宋体" w:eastAsia="宋体" w:cs="宋体"/>
          <w:b/>
          <w:color w:val="auto"/>
          <w:kern w:val="0"/>
          <w:sz w:val="36"/>
          <w:szCs w:val="36"/>
          <w:highlight w:val="none"/>
        </w:rPr>
      </w:pPr>
    </w:p>
    <w:p>
      <w:pPr>
        <w:spacing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　投标项目明细清单（格式见附件）；</w:t>
      </w:r>
    </w:p>
    <w:p>
      <w:pPr>
        <w:spacing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　技术响应及建议表（格式见附件）；</w:t>
      </w:r>
    </w:p>
    <w:p>
      <w:pPr>
        <w:spacing w:line="360" w:lineRule="auto"/>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③　提供有效期内地级市及以上卫健委批准的不锈钢管材和管件涉及饮用水卫生安全产品卫生许可批件；</w:t>
      </w:r>
    </w:p>
    <w:p>
      <w:pPr>
        <w:spacing w:line="360" w:lineRule="auto"/>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④　提供有效期内地级市及以上卫健委批准的橡胶圈涉及饮用水卫生安全产品卫生许可批件；</w:t>
      </w:r>
    </w:p>
    <w:p>
      <w:pPr>
        <w:spacing w:line="360" w:lineRule="auto"/>
        <w:rPr>
          <w:rFonts w:ascii="宋体" w:hAnsi="宋体" w:eastAsia="宋体" w:cs="Times New Roman"/>
          <w:color w:val="auto"/>
          <w:sz w:val="18"/>
          <w:szCs w:val="24"/>
          <w:highlight w:val="none"/>
        </w:rPr>
      </w:pPr>
      <w:r>
        <w:rPr>
          <w:rFonts w:hint="eastAsia" w:ascii="宋体" w:hAnsi="宋体" w:eastAsia="宋体" w:cs="宋体"/>
          <w:color w:val="auto"/>
          <w:kern w:val="0"/>
          <w:sz w:val="24"/>
          <w:szCs w:val="24"/>
          <w:highlight w:val="none"/>
        </w:rPr>
        <w:t>⑤　供应商认为需要的其他文件资料。</w:t>
      </w:r>
    </w:p>
    <w:p>
      <w:pPr>
        <w:rPr>
          <w:rFonts w:ascii="宋体" w:hAnsi="宋体" w:eastAsia="宋体" w:cs="Times New Roman"/>
          <w:color w:val="auto"/>
          <w:sz w:val="24"/>
          <w:szCs w:val="24"/>
          <w:highlight w:val="none"/>
        </w:rPr>
      </w:pPr>
    </w:p>
    <w:p>
      <w:pPr>
        <w:rPr>
          <w:rFonts w:ascii="宋体" w:hAnsi="宋体" w:eastAsia="宋体" w:cs="Times New Roman"/>
          <w:color w:val="auto"/>
          <w:sz w:val="24"/>
          <w:szCs w:val="24"/>
          <w:highlight w:val="none"/>
        </w:rPr>
      </w:pPr>
    </w:p>
    <w:p>
      <w:pPr>
        <w:rPr>
          <w:rFonts w:ascii="宋体" w:hAnsi="宋体" w:eastAsia="宋体" w:cs="Times New Roman"/>
          <w:color w:val="auto"/>
          <w:szCs w:val="24"/>
          <w:highlight w:val="none"/>
        </w:rPr>
      </w:pPr>
    </w:p>
    <w:p>
      <w:pPr>
        <w:spacing w:after="120"/>
        <w:rPr>
          <w:rFonts w:ascii="宋体" w:hAnsi="宋体" w:eastAsia="宋体" w:cs="宋体"/>
          <w:color w:val="auto"/>
          <w:sz w:val="28"/>
          <w:szCs w:val="28"/>
          <w:highlight w:val="none"/>
        </w:rPr>
      </w:pPr>
    </w:p>
    <w:p>
      <w:pPr>
        <w:spacing w:after="120"/>
        <w:jc w:val="left"/>
        <w:rPr>
          <w:rFonts w:ascii="宋体" w:hAnsi="宋体" w:eastAsia="宋体" w:cs="宋体"/>
          <w:b/>
          <w:bCs/>
          <w:color w:val="auto"/>
          <w:sz w:val="24"/>
          <w:szCs w:val="24"/>
          <w:highlight w:val="none"/>
          <w:lang w:val="zh-CN"/>
        </w:rPr>
      </w:pPr>
      <w:bookmarkStart w:id="140" w:name="_Toc10131"/>
      <w:bookmarkStart w:id="141" w:name="_Toc18848"/>
      <w:bookmarkStart w:id="142" w:name="_Toc78793996"/>
      <w:bookmarkStart w:id="143" w:name="_Toc19366"/>
      <w:bookmarkStart w:id="144" w:name="_Toc27405"/>
      <w:bookmarkStart w:id="145" w:name="_Toc505929774"/>
      <w:bookmarkStart w:id="146" w:name="_Toc78794040"/>
    </w:p>
    <w:p>
      <w:pPr>
        <w:spacing w:after="120"/>
        <w:jc w:val="left"/>
        <w:rPr>
          <w:rFonts w:ascii="宋体" w:hAnsi="宋体" w:eastAsia="宋体" w:cs="宋体"/>
          <w:b/>
          <w:bCs/>
          <w:color w:val="auto"/>
          <w:sz w:val="24"/>
          <w:szCs w:val="24"/>
          <w:highlight w:val="none"/>
          <w:lang w:val="zh-CN"/>
        </w:rPr>
      </w:pPr>
    </w:p>
    <w:p>
      <w:pPr>
        <w:spacing w:after="120"/>
        <w:jc w:val="left"/>
        <w:rPr>
          <w:rFonts w:ascii="宋体" w:hAnsi="宋体" w:eastAsia="宋体" w:cs="宋体"/>
          <w:b/>
          <w:bCs/>
          <w:color w:val="auto"/>
          <w:sz w:val="24"/>
          <w:szCs w:val="24"/>
          <w:highlight w:val="none"/>
          <w:lang w:val="zh-CN"/>
        </w:rPr>
      </w:pPr>
    </w:p>
    <w:p>
      <w:pPr>
        <w:spacing w:after="120"/>
        <w:jc w:val="left"/>
        <w:rPr>
          <w:rFonts w:ascii="宋体" w:hAnsi="宋体" w:eastAsia="宋体" w:cs="宋体"/>
          <w:b/>
          <w:bCs/>
          <w:color w:val="auto"/>
          <w:sz w:val="24"/>
          <w:szCs w:val="24"/>
          <w:highlight w:val="none"/>
          <w:lang w:val="zh-CN"/>
        </w:rPr>
      </w:pPr>
    </w:p>
    <w:p>
      <w:pPr>
        <w:spacing w:after="120"/>
        <w:jc w:val="left"/>
        <w:rPr>
          <w:rFonts w:ascii="宋体" w:hAnsi="宋体" w:eastAsia="宋体" w:cs="宋体"/>
          <w:b/>
          <w:bCs/>
          <w:color w:val="auto"/>
          <w:sz w:val="24"/>
          <w:szCs w:val="24"/>
          <w:highlight w:val="none"/>
          <w:lang w:val="zh-CN"/>
        </w:rPr>
      </w:pPr>
    </w:p>
    <w:p>
      <w:pPr>
        <w:spacing w:after="120"/>
        <w:jc w:val="left"/>
        <w:rPr>
          <w:rFonts w:ascii="宋体" w:hAnsi="宋体" w:eastAsia="宋体" w:cs="宋体"/>
          <w:b/>
          <w:bCs/>
          <w:color w:val="auto"/>
          <w:sz w:val="24"/>
          <w:szCs w:val="24"/>
          <w:highlight w:val="none"/>
          <w:lang w:val="zh-CN"/>
        </w:rPr>
      </w:pPr>
    </w:p>
    <w:p>
      <w:pPr>
        <w:spacing w:after="120"/>
        <w:jc w:val="left"/>
        <w:rPr>
          <w:rFonts w:ascii="宋体" w:hAnsi="宋体" w:eastAsia="宋体" w:cs="宋体"/>
          <w:b/>
          <w:bCs/>
          <w:color w:val="auto"/>
          <w:sz w:val="24"/>
          <w:szCs w:val="24"/>
          <w:highlight w:val="none"/>
          <w:lang w:val="zh-CN"/>
        </w:rPr>
      </w:pPr>
    </w:p>
    <w:p>
      <w:pPr>
        <w:spacing w:after="120"/>
        <w:jc w:val="left"/>
        <w:rPr>
          <w:rFonts w:ascii="宋体" w:hAnsi="宋体" w:eastAsia="宋体" w:cs="宋体"/>
          <w:b/>
          <w:bCs/>
          <w:color w:val="auto"/>
          <w:sz w:val="24"/>
          <w:szCs w:val="24"/>
          <w:highlight w:val="none"/>
          <w:lang w:val="zh-CN"/>
        </w:rPr>
      </w:pPr>
    </w:p>
    <w:p>
      <w:pPr>
        <w:spacing w:after="120"/>
        <w:jc w:val="left"/>
        <w:rPr>
          <w:rFonts w:ascii="宋体" w:hAnsi="宋体" w:eastAsia="宋体" w:cs="宋体"/>
          <w:b/>
          <w:bCs/>
          <w:color w:val="auto"/>
          <w:sz w:val="24"/>
          <w:szCs w:val="24"/>
          <w:highlight w:val="none"/>
          <w:lang w:val="zh-CN"/>
        </w:rPr>
      </w:pPr>
    </w:p>
    <w:p>
      <w:pPr>
        <w:spacing w:after="120"/>
        <w:jc w:val="left"/>
        <w:rPr>
          <w:rFonts w:ascii="宋体" w:hAnsi="宋体" w:eastAsia="宋体" w:cs="宋体"/>
          <w:b/>
          <w:bCs/>
          <w:color w:val="auto"/>
          <w:sz w:val="24"/>
          <w:szCs w:val="24"/>
          <w:highlight w:val="none"/>
          <w:lang w:val="zh-CN"/>
        </w:rPr>
      </w:pPr>
    </w:p>
    <w:p>
      <w:pPr>
        <w:spacing w:after="120"/>
        <w:jc w:val="left"/>
        <w:rPr>
          <w:rFonts w:ascii="宋体" w:hAnsi="宋体" w:eastAsia="宋体" w:cs="宋体"/>
          <w:b/>
          <w:bCs/>
          <w:color w:val="auto"/>
          <w:sz w:val="24"/>
          <w:szCs w:val="24"/>
          <w:highlight w:val="none"/>
          <w:lang w:val="zh-CN"/>
        </w:rPr>
      </w:pPr>
    </w:p>
    <w:p>
      <w:pPr>
        <w:spacing w:after="120"/>
        <w:jc w:val="left"/>
        <w:rPr>
          <w:rFonts w:ascii="宋体" w:hAnsi="宋体" w:eastAsia="宋体" w:cs="宋体"/>
          <w:b/>
          <w:bCs/>
          <w:color w:val="auto"/>
          <w:sz w:val="24"/>
          <w:szCs w:val="24"/>
          <w:highlight w:val="none"/>
          <w:lang w:val="zh-CN"/>
        </w:rPr>
      </w:pPr>
    </w:p>
    <w:p>
      <w:pPr>
        <w:spacing w:after="120"/>
        <w:jc w:val="left"/>
        <w:rPr>
          <w:rFonts w:ascii="宋体" w:hAnsi="宋体" w:eastAsia="宋体" w:cs="宋体"/>
          <w:b/>
          <w:bCs/>
          <w:color w:val="auto"/>
          <w:sz w:val="24"/>
          <w:szCs w:val="24"/>
          <w:highlight w:val="none"/>
          <w:lang w:val="zh-CN"/>
        </w:rPr>
      </w:pPr>
    </w:p>
    <w:p>
      <w:pPr>
        <w:spacing w:after="120"/>
        <w:jc w:val="left"/>
        <w:rPr>
          <w:rFonts w:ascii="宋体" w:hAnsi="宋体" w:eastAsia="宋体" w:cs="宋体"/>
          <w:b/>
          <w:bCs/>
          <w:color w:val="auto"/>
          <w:sz w:val="24"/>
          <w:szCs w:val="24"/>
          <w:highlight w:val="none"/>
          <w:lang w:val="zh-CN"/>
        </w:rPr>
      </w:pPr>
    </w:p>
    <w:p>
      <w:pPr>
        <w:spacing w:after="120"/>
        <w:jc w:val="left"/>
        <w:rPr>
          <w:rFonts w:ascii="宋体" w:hAnsi="宋体" w:eastAsia="宋体" w:cs="宋体"/>
          <w:b/>
          <w:bCs/>
          <w:color w:val="auto"/>
          <w:sz w:val="24"/>
          <w:szCs w:val="24"/>
          <w:highlight w:val="none"/>
          <w:lang w:val="zh-CN"/>
        </w:rPr>
      </w:pPr>
    </w:p>
    <w:p>
      <w:pPr>
        <w:spacing w:after="120"/>
        <w:jc w:val="left"/>
        <w:rPr>
          <w:rFonts w:ascii="宋体" w:hAnsi="宋体" w:eastAsia="宋体" w:cs="宋体"/>
          <w:b/>
          <w:bCs/>
          <w:color w:val="auto"/>
          <w:sz w:val="24"/>
          <w:szCs w:val="24"/>
          <w:highlight w:val="none"/>
          <w:lang w:val="zh-CN"/>
        </w:rPr>
      </w:pPr>
    </w:p>
    <w:p>
      <w:pPr>
        <w:spacing w:line="360" w:lineRule="auto"/>
        <w:rPr>
          <w:rFonts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附件三：</w:t>
      </w:r>
    </w:p>
    <w:p>
      <w:pPr>
        <w:spacing w:line="360" w:lineRule="auto"/>
        <w:jc w:val="center"/>
        <w:rPr>
          <w:rFonts w:ascii="宋体" w:hAnsi="宋体" w:eastAsia="宋体" w:cs="Times New Roman"/>
          <w:b/>
          <w:bCs/>
          <w:color w:val="auto"/>
          <w:sz w:val="30"/>
          <w:szCs w:val="30"/>
          <w:highlight w:val="none"/>
        </w:rPr>
      </w:pPr>
      <w:r>
        <w:rPr>
          <w:rFonts w:hint="eastAsia" w:ascii="宋体" w:hAnsi="宋体" w:eastAsia="宋体" w:cs="Times New Roman"/>
          <w:b/>
          <w:bCs/>
          <w:color w:val="auto"/>
          <w:sz w:val="30"/>
          <w:szCs w:val="30"/>
          <w:highlight w:val="none"/>
        </w:rPr>
        <w:t>投标项目明细清单</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11"/>
        <w:tblW w:w="90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内容/产品</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工作量/规格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eastAsia="宋体" w:cs="宋体"/>
                <w:color w:val="auto"/>
                <w:sz w:val="24"/>
                <w:szCs w:val="24"/>
                <w:highlight w:val="none"/>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eastAsia="宋体" w:cs="宋体"/>
                <w:color w:val="auto"/>
                <w:sz w:val="24"/>
                <w:szCs w:val="24"/>
                <w:highlight w:val="none"/>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auto"/>
                <w:sz w:val="24"/>
                <w:szCs w:val="24"/>
                <w:highlight w:val="none"/>
              </w:rPr>
            </w:pPr>
          </w:p>
        </w:tc>
      </w:tr>
    </w:tbl>
    <w:p>
      <w:pPr>
        <w:snapToGrid w:val="0"/>
        <w:spacing w:before="156" w:beforeLines="5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注：在填写时，如上表不适合本项目的实际情况，可在确保投标明细内容完整的情况下，根据上表格式自行划表填写。</w:t>
      </w:r>
    </w:p>
    <w:p>
      <w:pPr>
        <w:spacing w:after="120" w:line="360" w:lineRule="auto"/>
        <w:ind w:left="420" w:leftChars="200"/>
        <w:rPr>
          <w:rFonts w:ascii="宋体" w:hAnsi="宋体" w:eastAsia="宋体" w:cs="Times New Roman"/>
          <w:color w:val="auto"/>
          <w:szCs w:val="24"/>
          <w:highlight w:val="none"/>
        </w:rPr>
      </w:pPr>
    </w:p>
    <w:p>
      <w:pPr>
        <w:spacing w:after="120" w:line="360" w:lineRule="auto"/>
        <w:ind w:left="420" w:leftChars="200"/>
        <w:rPr>
          <w:rFonts w:ascii="宋体" w:hAnsi="宋体" w:eastAsia="宋体" w:cs="Times New Roman"/>
          <w:color w:val="auto"/>
          <w:szCs w:val="24"/>
          <w:highlight w:val="none"/>
        </w:rPr>
      </w:pPr>
    </w:p>
    <w:p>
      <w:pPr>
        <w:spacing w:after="120" w:line="360" w:lineRule="auto"/>
        <w:ind w:left="420" w:leftChars="200"/>
        <w:rPr>
          <w:rFonts w:ascii="宋体" w:hAnsi="宋体" w:eastAsia="宋体" w:cs="Times New Roman"/>
          <w:color w:val="auto"/>
          <w:szCs w:val="24"/>
          <w:highlight w:val="none"/>
        </w:rPr>
      </w:pPr>
    </w:p>
    <w:p>
      <w:pPr>
        <w:snapToGrid w:val="0"/>
        <w:spacing w:before="156" w:beforeLines="50" w:line="360" w:lineRule="auto"/>
        <w:rPr>
          <w:rFonts w:ascii="宋体" w:hAnsi="宋体" w:eastAsia="宋体" w:cs="Times New Roman"/>
          <w:color w:val="auto"/>
          <w:szCs w:val="24"/>
          <w:highlight w:val="none"/>
        </w:rPr>
      </w:pPr>
    </w:p>
    <w:p>
      <w:pPr>
        <w:spacing w:line="360" w:lineRule="auto"/>
        <w:ind w:left="3780" w:leftChars="180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pPr>
        <w:spacing w:line="360" w:lineRule="auto"/>
        <w:ind w:left="3780" w:leftChars="180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投标人全称（公章）：</w:t>
      </w:r>
    </w:p>
    <w:p>
      <w:pPr>
        <w:spacing w:line="360" w:lineRule="auto"/>
        <w:ind w:left="3780" w:leftChars="1800" w:firstLine="480" w:firstLineChars="200"/>
        <w:rPr>
          <w:rFonts w:ascii="宋体" w:hAnsi="宋体" w:eastAsia="宋体" w:cs="Times New Roman"/>
          <w:color w:val="auto"/>
          <w:szCs w:val="24"/>
          <w:highlight w:val="none"/>
        </w:rPr>
      </w:pPr>
      <w:r>
        <w:rPr>
          <w:rFonts w:hint="eastAsia" w:ascii="宋体" w:hAnsi="宋体" w:eastAsia="宋体" w:cs="宋体"/>
          <w:color w:val="auto"/>
          <w:sz w:val="24"/>
          <w:szCs w:val="24"/>
          <w:highlight w:val="none"/>
        </w:rPr>
        <w:t>日 期：</w:t>
      </w:r>
    </w:p>
    <w:p>
      <w:pPr>
        <w:tabs>
          <w:tab w:val="left" w:pos="540"/>
        </w:tabs>
        <w:spacing w:line="360" w:lineRule="auto"/>
        <w:ind w:firstLine="480" w:firstLineChars="200"/>
        <w:rPr>
          <w:rFonts w:ascii="Times New Roman" w:hAnsi="Times New Roman" w:eastAsia="宋体" w:cs="Arial"/>
          <w:color w:val="auto"/>
          <w:sz w:val="24"/>
          <w:szCs w:val="24"/>
          <w:highlight w:val="none"/>
        </w:rPr>
      </w:pPr>
    </w:p>
    <w:p>
      <w:pPr>
        <w:tabs>
          <w:tab w:val="left" w:pos="540"/>
        </w:tabs>
        <w:spacing w:line="360" w:lineRule="auto"/>
        <w:ind w:firstLine="480" w:firstLineChars="200"/>
        <w:rPr>
          <w:rFonts w:ascii="宋体" w:hAnsi="Times New Roman" w:eastAsia="宋体" w:cs="Arial"/>
          <w:color w:val="auto"/>
          <w:sz w:val="24"/>
          <w:szCs w:val="24"/>
          <w:highlight w:val="none"/>
        </w:rPr>
      </w:pPr>
    </w:p>
    <w:p>
      <w:pPr>
        <w:tabs>
          <w:tab w:val="left" w:pos="540"/>
        </w:tabs>
        <w:spacing w:line="360" w:lineRule="auto"/>
        <w:ind w:firstLine="480" w:firstLineChars="200"/>
        <w:rPr>
          <w:rFonts w:ascii="宋体" w:hAnsi="Times New Roman" w:eastAsia="宋体" w:cs="Arial"/>
          <w:color w:val="auto"/>
          <w:sz w:val="24"/>
          <w:szCs w:val="24"/>
          <w:highlight w:val="none"/>
        </w:rPr>
      </w:pPr>
    </w:p>
    <w:p>
      <w:pPr>
        <w:tabs>
          <w:tab w:val="left" w:pos="540"/>
        </w:tabs>
        <w:spacing w:line="360" w:lineRule="auto"/>
        <w:ind w:firstLine="480" w:firstLineChars="200"/>
        <w:rPr>
          <w:rFonts w:ascii="宋体" w:hAnsi="Times New Roman" w:eastAsia="宋体" w:cs="Arial"/>
          <w:color w:val="auto"/>
          <w:sz w:val="24"/>
          <w:szCs w:val="24"/>
          <w:highlight w:val="none"/>
        </w:rPr>
      </w:pPr>
    </w:p>
    <w:p>
      <w:pPr>
        <w:tabs>
          <w:tab w:val="left" w:pos="540"/>
        </w:tabs>
        <w:spacing w:line="360" w:lineRule="auto"/>
        <w:ind w:firstLine="480" w:firstLineChars="200"/>
        <w:rPr>
          <w:rFonts w:ascii="Times New Roman" w:hAnsi="Times New Roman" w:eastAsia="宋体" w:cs="Arial"/>
          <w:color w:val="auto"/>
          <w:sz w:val="24"/>
          <w:szCs w:val="24"/>
          <w:highlight w:val="none"/>
        </w:rPr>
      </w:pPr>
    </w:p>
    <w:p>
      <w:pPr>
        <w:tabs>
          <w:tab w:val="left" w:pos="540"/>
        </w:tabs>
        <w:spacing w:line="360" w:lineRule="auto"/>
        <w:ind w:firstLine="480" w:firstLineChars="200"/>
        <w:rPr>
          <w:rFonts w:ascii="Times New Roman" w:hAnsi="Times New Roman" w:eastAsia="宋体" w:cs="Arial"/>
          <w:color w:val="auto"/>
          <w:sz w:val="24"/>
          <w:szCs w:val="24"/>
          <w:highlight w:val="none"/>
        </w:rPr>
      </w:pPr>
    </w:p>
    <w:p>
      <w:pPr>
        <w:tabs>
          <w:tab w:val="left" w:pos="540"/>
        </w:tabs>
        <w:spacing w:line="360" w:lineRule="auto"/>
        <w:ind w:firstLine="480" w:firstLineChars="200"/>
        <w:rPr>
          <w:rFonts w:ascii="宋体" w:hAnsi="Times New Roman" w:eastAsia="宋体" w:cs="Arial"/>
          <w:color w:val="auto"/>
          <w:sz w:val="24"/>
          <w:szCs w:val="24"/>
          <w:highlight w:val="none"/>
        </w:rPr>
      </w:pPr>
    </w:p>
    <w:p>
      <w:pPr>
        <w:tabs>
          <w:tab w:val="left" w:pos="540"/>
        </w:tabs>
        <w:spacing w:line="360" w:lineRule="auto"/>
        <w:ind w:firstLine="480" w:firstLineChars="200"/>
        <w:rPr>
          <w:rFonts w:ascii="宋体" w:hAnsi="Times New Roman" w:eastAsia="宋体" w:cs="Arial"/>
          <w:color w:val="auto"/>
          <w:sz w:val="24"/>
          <w:szCs w:val="24"/>
          <w:highlight w:val="none"/>
        </w:rPr>
      </w:pPr>
    </w:p>
    <w:p>
      <w:pPr>
        <w:snapToGrid w:val="0"/>
        <w:spacing w:before="50" w:after="156" w:afterLines="50"/>
        <w:jc w:val="left"/>
        <w:rPr>
          <w:rFonts w:ascii="宋体" w:hAnsi="宋体" w:eastAsia="宋体" w:cs="宋体"/>
          <w:b/>
          <w:bCs/>
          <w:color w:val="auto"/>
          <w:sz w:val="24"/>
          <w:szCs w:val="24"/>
          <w:highlight w:val="none"/>
          <w:lang w:val="zh-CN"/>
        </w:rPr>
      </w:pPr>
    </w:p>
    <w:p>
      <w:pPr>
        <w:spacing w:after="120"/>
        <w:jc w:val="left"/>
        <w:rPr>
          <w:rFonts w:ascii="宋体" w:hAnsi="宋体" w:eastAsia="宋体" w:cs="宋体"/>
          <w:b/>
          <w:bCs/>
          <w:color w:val="auto"/>
          <w:sz w:val="24"/>
          <w:szCs w:val="24"/>
          <w:highlight w:val="none"/>
          <w:lang w:val="zh-CN"/>
        </w:rPr>
      </w:pPr>
    </w:p>
    <w:p>
      <w:pPr>
        <w:spacing w:after="120"/>
        <w:jc w:val="left"/>
        <w:rPr>
          <w:rFonts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附件四：</w:t>
      </w:r>
    </w:p>
    <w:p>
      <w:pPr>
        <w:spacing w:line="360" w:lineRule="auto"/>
        <w:jc w:val="center"/>
        <w:rPr>
          <w:rFonts w:ascii="宋体" w:hAnsi="宋体" w:eastAsia="宋体" w:cs="宋体"/>
          <w:b/>
          <w:bCs/>
          <w:color w:val="auto"/>
          <w:sz w:val="32"/>
          <w:szCs w:val="32"/>
          <w:highlight w:val="none"/>
        </w:rPr>
      </w:pPr>
      <w:bookmarkStart w:id="147" w:name="_Toc2823"/>
      <w:r>
        <w:rPr>
          <w:rFonts w:hint="eastAsia" w:ascii="宋体" w:hAnsi="宋体" w:eastAsia="宋体" w:cs="宋体"/>
          <w:b/>
          <w:bCs/>
          <w:color w:val="auto"/>
          <w:sz w:val="32"/>
          <w:szCs w:val="32"/>
          <w:highlight w:val="none"/>
        </w:rPr>
        <w:t>技术响应及建议表</w:t>
      </w:r>
      <w:bookmarkEnd w:id="147"/>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11"/>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40" w:type="dxa"/>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服务内容</w:t>
            </w:r>
          </w:p>
        </w:tc>
        <w:tc>
          <w:tcPr>
            <w:tcW w:w="1980" w:type="dxa"/>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询价文件要求</w:t>
            </w:r>
          </w:p>
        </w:tc>
        <w:tc>
          <w:tcPr>
            <w:tcW w:w="2520" w:type="dxa"/>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响应文件响应</w:t>
            </w:r>
          </w:p>
        </w:tc>
        <w:tc>
          <w:tcPr>
            <w:tcW w:w="1953" w:type="dxa"/>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eastAsia="宋体" w:cs="宋体"/>
                <w:color w:val="auto"/>
                <w:sz w:val="24"/>
                <w:szCs w:val="24"/>
                <w:highlight w:val="none"/>
              </w:rPr>
            </w:pPr>
          </w:p>
        </w:tc>
        <w:tc>
          <w:tcPr>
            <w:tcW w:w="1440" w:type="dxa"/>
            <w:vAlign w:val="center"/>
          </w:tcPr>
          <w:p>
            <w:pPr>
              <w:snapToGrid w:val="0"/>
              <w:spacing w:before="50" w:after="50"/>
              <w:jc w:val="center"/>
              <w:rPr>
                <w:rFonts w:ascii="宋体" w:hAnsi="宋体" w:eastAsia="宋体" w:cs="宋体"/>
                <w:color w:val="auto"/>
                <w:sz w:val="24"/>
                <w:szCs w:val="24"/>
                <w:highlight w:val="none"/>
              </w:rPr>
            </w:pPr>
          </w:p>
        </w:tc>
        <w:tc>
          <w:tcPr>
            <w:tcW w:w="1980" w:type="dxa"/>
            <w:vAlign w:val="center"/>
          </w:tcPr>
          <w:p>
            <w:pPr>
              <w:snapToGrid w:val="0"/>
              <w:spacing w:before="50" w:after="50"/>
              <w:jc w:val="center"/>
              <w:rPr>
                <w:rFonts w:ascii="宋体" w:hAnsi="宋体" w:eastAsia="宋体" w:cs="宋体"/>
                <w:color w:val="auto"/>
                <w:sz w:val="24"/>
                <w:szCs w:val="24"/>
                <w:highlight w:val="none"/>
              </w:rPr>
            </w:pPr>
          </w:p>
        </w:tc>
        <w:tc>
          <w:tcPr>
            <w:tcW w:w="2520" w:type="dxa"/>
            <w:vAlign w:val="center"/>
          </w:tcPr>
          <w:p>
            <w:pPr>
              <w:snapToGrid w:val="0"/>
              <w:spacing w:before="50" w:after="50"/>
              <w:jc w:val="center"/>
              <w:rPr>
                <w:rFonts w:ascii="宋体" w:hAnsi="宋体" w:eastAsia="宋体" w:cs="宋体"/>
                <w:color w:val="auto"/>
                <w:sz w:val="24"/>
                <w:szCs w:val="24"/>
                <w:highlight w:val="none"/>
              </w:rPr>
            </w:pPr>
          </w:p>
        </w:tc>
        <w:tc>
          <w:tcPr>
            <w:tcW w:w="1953" w:type="dxa"/>
            <w:vAlign w:val="center"/>
          </w:tcPr>
          <w:p>
            <w:pPr>
              <w:snapToGrid w:val="0"/>
              <w:spacing w:before="50" w:after="50"/>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eastAsia="宋体" w:cs="宋体"/>
                <w:color w:val="auto"/>
                <w:sz w:val="24"/>
                <w:szCs w:val="24"/>
                <w:highlight w:val="none"/>
              </w:rPr>
            </w:pPr>
          </w:p>
        </w:tc>
        <w:tc>
          <w:tcPr>
            <w:tcW w:w="1440" w:type="dxa"/>
            <w:vAlign w:val="center"/>
          </w:tcPr>
          <w:p>
            <w:pPr>
              <w:snapToGrid w:val="0"/>
              <w:spacing w:before="50" w:after="50"/>
              <w:jc w:val="center"/>
              <w:rPr>
                <w:rFonts w:ascii="宋体" w:hAnsi="宋体" w:eastAsia="宋体" w:cs="宋体"/>
                <w:color w:val="auto"/>
                <w:sz w:val="24"/>
                <w:szCs w:val="24"/>
                <w:highlight w:val="none"/>
              </w:rPr>
            </w:pPr>
          </w:p>
        </w:tc>
        <w:tc>
          <w:tcPr>
            <w:tcW w:w="1980" w:type="dxa"/>
            <w:vAlign w:val="center"/>
          </w:tcPr>
          <w:p>
            <w:pPr>
              <w:snapToGrid w:val="0"/>
              <w:spacing w:before="50" w:after="50"/>
              <w:jc w:val="center"/>
              <w:rPr>
                <w:rFonts w:ascii="宋体" w:hAnsi="宋体" w:eastAsia="宋体" w:cs="宋体"/>
                <w:color w:val="auto"/>
                <w:sz w:val="24"/>
                <w:szCs w:val="24"/>
                <w:highlight w:val="none"/>
              </w:rPr>
            </w:pPr>
          </w:p>
        </w:tc>
        <w:tc>
          <w:tcPr>
            <w:tcW w:w="2520" w:type="dxa"/>
            <w:vAlign w:val="center"/>
          </w:tcPr>
          <w:p>
            <w:pPr>
              <w:snapToGrid w:val="0"/>
              <w:spacing w:before="50" w:after="50"/>
              <w:jc w:val="center"/>
              <w:rPr>
                <w:rFonts w:ascii="宋体" w:hAnsi="宋体" w:eastAsia="宋体" w:cs="宋体"/>
                <w:color w:val="auto"/>
                <w:sz w:val="24"/>
                <w:szCs w:val="24"/>
                <w:highlight w:val="none"/>
              </w:rPr>
            </w:pPr>
          </w:p>
        </w:tc>
        <w:tc>
          <w:tcPr>
            <w:tcW w:w="1953" w:type="dxa"/>
            <w:vAlign w:val="center"/>
          </w:tcPr>
          <w:p>
            <w:pPr>
              <w:snapToGrid w:val="0"/>
              <w:spacing w:before="50" w:after="50"/>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eastAsia="宋体" w:cs="宋体"/>
                <w:color w:val="auto"/>
                <w:sz w:val="24"/>
                <w:szCs w:val="24"/>
                <w:highlight w:val="none"/>
              </w:rPr>
            </w:pPr>
          </w:p>
        </w:tc>
        <w:tc>
          <w:tcPr>
            <w:tcW w:w="1440" w:type="dxa"/>
            <w:vAlign w:val="center"/>
          </w:tcPr>
          <w:p>
            <w:pPr>
              <w:snapToGrid w:val="0"/>
              <w:spacing w:before="50" w:after="50"/>
              <w:jc w:val="center"/>
              <w:rPr>
                <w:rFonts w:ascii="宋体" w:hAnsi="宋体" w:eastAsia="宋体" w:cs="宋体"/>
                <w:color w:val="auto"/>
                <w:sz w:val="24"/>
                <w:szCs w:val="24"/>
                <w:highlight w:val="none"/>
              </w:rPr>
            </w:pPr>
          </w:p>
        </w:tc>
        <w:tc>
          <w:tcPr>
            <w:tcW w:w="1980" w:type="dxa"/>
            <w:vAlign w:val="center"/>
          </w:tcPr>
          <w:p>
            <w:pPr>
              <w:snapToGrid w:val="0"/>
              <w:spacing w:before="50" w:after="50"/>
              <w:jc w:val="center"/>
              <w:rPr>
                <w:rFonts w:ascii="宋体" w:hAnsi="宋体" w:eastAsia="宋体" w:cs="宋体"/>
                <w:color w:val="auto"/>
                <w:sz w:val="24"/>
                <w:szCs w:val="24"/>
                <w:highlight w:val="none"/>
              </w:rPr>
            </w:pPr>
          </w:p>
        </w:tc>
        <w:tc>
          <w:tcPr>
            <w:tcW w:w="2520" w:type="dxa"/>
            <w:vAlign w:val="center"/>
          </w:tcPr>
          <w:p>
            <w:pPr>
              <w:snapToGrid w:val="0"/>
              <w:spacing w:before="50" w:after="50"/>
              <w:jc w:val="center"/>
              <w:rPr>
                <w:rFonts w:ascii="宋体" w:hAnsi="宋体" w:eastAsia="宋体" w:cs="宋体"/>
                <w:color w:val="auto"/>
                <w:sz w:val="24"/>
                <w:szCs w:val="24"/>
                <w:highlight w:val="none"/>
              </w:rPr>
            </w:pPr>
          </w:p>
        </w:tc>
        <w:tc>
          <w:tcPr>
            <w:tcW w:w="1953" w:type="dxa"/>
            <w:vAlign w:val="center"/>
          </w:tcPr>
          <w:p>
            <w:pPr>
              <w:snapToGrid w:val="0"/>
              <w:spacing w:before="50" w:after="50"/>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eastAsia="宋体" w:cs="宋体"/>
                <w:color w:val="auto"/>
                <w:sz w:val="24"/>
                <w:szCs w:val="24"/>
                <w:highlight w:val="none"/>
              </w:rPr>
            </w:pPr>
          </w:p>
        </w:tc>
        <w:tc>
          <w:tcPr>
            <w:tcW w:w="1440" w:type="dxa"/>
            <w:vAlign w:val="center"/>
          </w:tcPr>
          <w:p>
            <w:pPr>
              <w:snapToGrid w:val="0"/>
              <w:spacing w:before="50" w:after="50"/>
              <w:jc w:val="center"/>
              <w:rPr>
                <w:rFonts w:ascii="宋体" w:hAnsi="宋体" w:eastAsia="宋体" w:cs="宋体"/>
                <w:color w:val="auto"/>
                <w:sz w:val="24"/>
                <w:szCs w:val="24"/>
                <w:highlight w:val="none"/>
              </w:rPr>
            </w:pPr>
          </w:p>
        </w:tc>
        <w:tc>
          <w:tcPr>
            <w:tcW w:w="1980" w:type="dxa"/>
            <w:vAlign w:val="center"/>
          </w:tcPr>
          <w:p>
            <w:pPr>
              <w:snapToGrid w:val="0"/>
              <w:spacing w:before="50" w:after="50"/>
              <w:jc w:val="center"/>
              <w:rPr>
                <w:rFonts w:ascii="宋体" w:hAnsi="宋体" w:eastAsia="宋体" w:cs="宋体"/>
                <w:color w:val="auto"/>
                <w:sz w:val="24"/>
                <w:szCs w:val="24"/>
                <w:highlight w:val="none"/>
              </w:rPr>
            </w:pPr>
          </w:p>
        </w:tc>
        <w:tc>
          <w:tcPr>
            <w:tcW w:w="2520" w:type="dxa"/>
            <w:vAlign w:val="center"/>
          </w:tcPr>
          <w:p>
            <w:pPr>
              <w:snapToGrid w:val="0"/>
              <w:spacing w:before="50" w:after="50"/>
              <w:jc w:val="center"/>
              <w:rPr>
                <w:rFonts w:ascii="宋体" w:hAnsi="宋体" w:eastAsia="宋体" w:cs="宋体"/>
                <w:color w:val="auto"/>
                <w:sz w:val="24"/>
                <w:szCs w:val="24"/>
                <w:highlight w:val="none"/>
              </w:rPr>
            </w:pPr>
          </w:p>
        </w:tc>
        <w:tc>
          <w:tcPr>
            <w:tcW w:w="1953" w:type="dxa"/>
            <w:vAlign w:val="center"/>
          </w:tcPr>
          <w:p>
            <w:pPr>
              <w:snapToGrid w:val="0"/>
              <w:spacing w:before="50" w:after="50"/>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eastAsia="宋体" w:cs="宋体"/>
                <w:color w:val="auto"/>
                <w:sz w:val="24"/>
                <w:szCs w:val="24"/>
                <w:highlight w:val="none"/>
              </w:rPr>
            </w:pPr>
          </w:p>
        </w:tc>
        <w:tc>
          <w:tcPr>
            <w:tcW w:w="1440" w:type="dxa"/>
            <w:vAlign w:val="center"/>
          </w:tcPr>
          <w:p>
            <w:pPr>
              <w:snapToGrid w:val="0"/>
              <w:spacing w:before="50" w:after="50"/>
              <w:jc w:val="center"/>
              <w:rPr>
                <w:rFonts w:ascii="宋体" w:hAnsi="宋体" w:eastAsia="宋体" w:cs="宋体"/>
                <w:color w:val="auto"/>
                <w:sz w:val="24"/>
                <w:szCs w:val="24"/>
                <w:highlight w:val="none"/>
              </w:rPr>
            </w:pPr>
          </w:p>
        </w:tc>
        <w:tc>
          <w:tcPr>
            <w:tcW w:w="1980" w:type="dxa"/>
            <w:vAlign w:val="center"/>
          </w:tcPr>
          <w:p>
            <w:pPr>
              <w:snapToGrid w:val="0"/>
              <w:spacing w:before="50" w:after="50"/>
              <w:jc w:val="center"/>
              <w:rPr>
                <w:rFonts w:ascii="宋体" w:hAnsi="宋体" w:eastAsia="宋体" w:cs="宋体"/>
                <w:color w:val="auto"/>
                <w:sz w:val="24"/>
                <w:szCs w:val="24"/>
                <w:highlight w:val="none"/>
              </w:rPr>
            </w:pPr>
          </w:p>
        </w:tc>
        <w:tc>
          <w:tcPr>
            <w:tcW w:w="2520" w:type="dxa"/>
            <w:vAlign w:val="center"/>
          </w:tcPr>
          <w:p>
            <w:pPr>
              <w:snapToGrid w:val="0"/>
              <w:spacing w:before="50" w:after="50"/>
              <w:jc w:val="center"/>
              <w:rPr>
                <w:rFonts w:ascii="宋体" w:hAnsi="宋体" w:eastAsia="宋体" w:cs="宋体"/>
                <w:color w:val="auto"/>
                <w:sz w:val="24"/>
                <w:szCs w:val="24"/>
                <w:highlight w:val="none"/>
              </w:rPr>
            </w:pPr>
          </w:p>
        </w:tc>
        <w:tc>
          <w:tcPr>
            <w:tcW w:w="1953" w:type="dxa"/>
            <w:vAlign w:val="center"/>
          </w:tcPr>
          <w:p>
            <w:pPr>
              <w:snapToGrid w:val="0"/>
              <w:spacing w:before="50" w:after="50"/>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2160" w:type="dxa"/>
            <w:gridSpan w:val="2"/>
            <w:vAlign w:val="center"/>
          </w:tcPr>
          <w:p>
            <w:pPr>
              <w:snapToGrid w:val="0"/>
              <w:spacing w:before="50" w:after="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投标建议</w:t>
            </w:r>
          </w:p>
        </w:tc>
        <w:tc>
          <w:tcPr>
            <w:tcW w:w="6453" w:type="dxa"/>
            <w:gridSpan w:val="3"/>
            <w:vAlign w:val="center"/>
          </w:tcPr>
          <w:p>
            <w:pPr>
              <w:spacing w:line="360" w:lineRule="auto"/>
              <w:jc w:val="center"/>
              <w:rPr>
                <w:rFonts w:ascii="宋体" w:hAnsi="宋体" w:eastAsia="宋体" w:cs="宋体"/>
                <w:color w:val="auto"/>
                <w:sz w:val="24"/>
                <w:szCs w:val="24"/>
                <w:highlight w:val="none"/>
              </w:rPr>
            </w:pPr>
          </w:p>
        </w:tc>
      </w:tr>
    </w:tbl>
    <w:p>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注：可基于项目清单根据投标人实际情况调整。</w:t>
      </w:r>
    </w:p>
    <w:p>
      <w:pPr>
        <w:rPr>
          <w:rFonts w:ascii="宋体" w:hAnsi="宋体" w:eastAsia="宋体" w:cs="宋体"/>
          <w:color w:val="auto"/>
          <w:sz w:val="24"/>
          <w:szCs w:val="24"/>
          <w:highlight w:val="none"/>
        </w:rPr>
      </w:pPr>
    </w:p>
    <w:p>
      <w:pPr>
        <w:spacing w:after="120"/>
        <w:ind w:left="420" w:leftChars="200"/>
        <w:rPr>
          <w:rFonts w:ascii="宋体" w:hAnsi="宋体" w:eastAsia="宋体" w:cs="Times New Roman"/>
          <w:color w:val="auto"/>
          <w:szCs w:val="24"/>
          <w:highlight w:val="none"/>
        </w:rPr>
      </w:pPr>
    </w:p>
    <w:p>
      <w:pPr>
        <w:snapToGrid w:val="0"/>
        <w:spacing w:line="360" w:lineRule="auto"/>
        <w:rPr>
          <w:rFonts w:ascii="宋体" w:hAnsi="宋体" w:eastAsia="宋体" w:cs="宋体"/>
          <w:color w:val="auto"/>
          <w:sz w:val="24"/>
          <w:szCs w:val="24"/>
          <w:highlight w:val="none"/>
        </w:rPr>
      </w:pPr>
    </w:p>
    <w:p>
      <w:pPr>
        <w:spacing w:line="360" w:lineRule="auto"/>
        <w:ind w:left="3780" w:leftChars="180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pPr>
        <w:spacing w:line="360" w:lineRule="auto"/>
        <w:ind w:left="3780" w:leftChars="180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投标人全称（公章）：</w:t>
      </w:r>
    </w:p>
    <w:p>
      <w:pPr>
        <w:spacing w:line="360" w:lineRule="auto"/>
        <w:ind w:left="3780" w:leftChars="180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snapToGrid w:val="0"/>
        <w:spacing w:before="50" w:after="5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br w:type="page"/>
      </w:r>
      <w:bookmarkEnd w:id="140"/>
    </w:p>
    <w:p>
      <w:pPr>
        <w:tabs>
          <w:tab w:val="left" w:pos="0"/>
        </w:tabs>
        <w:adjustRightInd w:val="0"/>
        <w:spacing w:line="360" w:lineRule="auto"/>
        <w:ind w:firstLine="723" w:firstLineChars="200"/>
        <w:jc w:val="center"/>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商务文件</w:t>
      </w:r>
    </w:p>
    <w:p>
      <w:pPr>
        <w:tabs>
          <w:tab w:val="left" w:pos="0"/>
        </w:tabs>
        <w:adjustRightInd w:val="0"/>
        <w:spacing w:line="360" w:lineRule="auto"/>
        <w:ind w:firstLine="723" w:firstLineChars="200"/>
        <w:jc w:val="center"/>
        <w:rPr>
          <w:rFonts w:ascii="宋体" w:hAnsi="宋体" w:eastAsia="宋体" w:cs="宋体"/>
          <w:b/>
          <w:color w:val="auto"/>
          <w:kern w:val="0"/>
          <w:sz w:val="36"/>
          <w:szCs w:val="36"/>
          <w:highlight w:val="none"/>
        </w:rPr>
      </w:pPr>
    </w:p>
    <w:p>
      <w:pPr>
        <w:tabs>
          <w:tab w:val="left" w:pos="0"/>
        </w:tabs>
        <w:adjustRightInd w:val="0"/>
        <w:spacing w:line="360" w:lineRule="auto"/>
        <w:ind w:firstLine="723" w:firstLineChars="200"/>
        <w:jc w:val="center"/>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tabs>
          <w:tab w:val="left" w:pos="0"/>
        </w:tabs>
        <w:adjustRightInd w:val="0"/>
        <w:spacing w:line="360" w:lineRule="auto"/>
        <w:ind w:firstLine="723" w:firstLineChars="200"/>
        <w:rPr>
          <w:rFonts w:ascii="宋体" w:hAnsi="宋体" w:eastAsia="宋体" w:cs="宋体"/>
          <w:b/>
          <w:color w:val="auto"/>
          <w:kern w:val="0"/>
          <w:sz w:val="36"/>
          <w:szCs w:val="36"/>
          <w:highlight w:val="none"/>
        </w:rPr>
      </w:pPr>
    </w:p>
    <w:p>
      <w:pPr>
        <w:pStyle w:val="17"/>
        <w:numPr>
          <w:ilvl w:val="0"/>
          <w:numId w:val="19"/>
        </w:numPr>
        <w:tabs>
          <w:tab w:val="left" w:pos="0"/>
        </w:tabs>
        <w:adjustRightInd w:val="0"/>
        <w:spacing w:line="360" w:lineRule="auto"/>
        <w:ind w:firstLineChars="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商务响应表（格式见附件）；</w:t>
      </w:r>
    </w:p>
    <w:p>
      <w:pPr>
        <w:pStyle w:val="17"/>
        <w:numPr>
          <w:ilvl w:val="0"/>
          <w:numId w:val="19"/>
        </w:numPr>
        <w:tabs>
          <w:tab w:val="left" w:pos="0"/>
        </w:tabs>
        <w:adjustRightInd w:val="0"/>
        <w:spacing w:line="360" w:lineRule="auto"/>
        <w:ind w:firstLineChars="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供应商认为需要的其他文件资料</w:t>
      </w:r>
      <w:r>
        <w:rPr>
          <w:rFonts w:hint="eastAsia" w:ascii="宋体" w:hAnsi="宋体" w:eastAsia="宋体" w:cs="宋体"/>
          <w:color w:val="auto"/>
          <w:sz w:val="24"/>
          <w:szCs w:val="24"/>
          <w:highlight w:val="none"/>
        </w:rPr>
        <w:t>。</w:t>
      </w:r>
    </w:p>
    <w:p>
      <w:pPr>
        <w:rPr>
          <w:rFonts w:ascii="宋体" w:hAnsi="宋体" w:eastAsia="宋体" w:cs="Times New Roman"/>
          <w:color w:val="auto"/>
          <w:sz w:val="18"/>
          <w:szCs w:val="24"/>
          <w:highlight w:val="none"/>
        </w:rPr>
      </w:pPr>
    </w:p>
    <w:p>
      <w:pPr>
        <w:spacing w:after="120"/>
        <w:jc w:val="left"/>
        <w:rPr>
          <w:rFonts w:ascii="宋体" w:hAnsi="宋体" w:eastAsia="宋体" w:cs="宋体"/>
          <w:b/>
          <w:bCs/>
          <w:color w:val="auto"/>
          <w:sz w:val="24"/>
          <w:szCs w:val="24"/>
          <w:highlight w:val="none"/>
        </w:rPr>
      </w:pPr>
    </w:p>
    <w:p>
      <w:pPr>
        <w:spacing w:after="120"/>
        <w:jc w:val="left"/>
        <w:rPr>
          <w:rFonts w:ascii="宋体" w:hAnsi="宋体" w:eastAsia="宋体" w:cs="宋体"/>
          <w:b/>
          <w:bCs/>
          <w:color w:val="auto"/>
          <w:sz w:val="24"/>
          <w:szCs w:val="24"/>
          <w:highlight w:val="none"/>
        </w:rPr>
      </w:pPr>
    </w:p>
    <w:p>
      <w:pPr>
        <w:spacing w:after="120"/>
        <w:jc w:val="left"/>
        <w:rPr>
          <w:rFonts w:ascii="宋体" w:hAnsi="宋体" w:eastAsia="宋体" w:cs="宋体"/>
          <w:b/>
          <w:bCs/>
          <w:color w:val="auto"/>
          <w:sz w:val="24"/>
          <w:szCs w:val="24"/>
          <w:highlight w:val="none"/>
        </w:rPr>
      </w:pPr>
    </w:p>
    <w:p>
      <w:pPr>
        <w:spacing w:after="120"/>
        <w:jc w:val="left"/>
        <w:rPr>
          <w:rFonts w:ascii="宋体" w:hAnsi="宋体" w:eastAsia="宋体" w:cs="宋体"/>
          <w:b/>
          <w:bCs/>
          <w:color w:val="auto"/>
          <w:sz w:val="24"/>
          <w:szCs w:val="24"/>
          <w:highlight w:val="none"/>
        </w:rPr>
      </w:pPr>
    </w:p>
    <w:p>
      <w:pPr>
        <w:spacing w:after="120"/>
        <w:jc w:val="left"/>
        <w:rPr>
          <w:rFonts w:ascii="宋体" w:hAnsi="宋体" w:eastAsia="宋体" w:cs="宋体"/>
          <w:b/>
          <w:bCs/>
          <w:color w:val="auto"/>
          <w:sz w:val="24"/>
          <w:szCs w:val="24"/>
          <w:highlight w:val="none"/>
        </w:rPr>
      </w:pPr>
    </w:p>
    <w:p>
      <w:pPr>
        <w:spacing w:after="120"/>
        <w:jc w:val="left"/>
        <w:rPr>
          <w:rFonts w:ascii="宋体" w:hAnsi="宋体" w:eastAsia="宋体" w:cs="宋体"/>
          <w:b/>
          <w:bCs/>
          <w:color w:val="auto"/>
          <w:sz w:val="24"/>
          <w:szCs w:val="24"/>
          <w:highlight w:val="none"/>
        </w:rPr>
      </w:pPr>
    </w:p>
    <w:p>
      <w:pPr>
        <w:spacing w:after="120"/>
        <w:jc w:val="left"/>
        <w:rPr>
          <w:rFonts w:ascii="宋体" w:hAnsi="宋体" w:eastAsia="宋体" w:cs="宋体"/>
          <w:b/>
          <w:bCs/>
          <w:color w:val="auto"/>
          <w:sz w:val="24"/>
          <w:szCs w:val="24"/>
          <w:highlight w:val="none"/>
        </w:rPr>
      </w:pPr>
    </w:p>
    <w:p>
      <w:pPr>
        <w:spacing w:after="120"/>
        <w:jc w:val="left"/>
        <w:rPr>
          <w:rFonts w:ascii="宋体" w:hAnsi="宋体" w:eastAsia="宋体" w:cs="宋体"/>
          <w:b/>
          <w:bCs/>
          <w:color w:val="auto"/>
          <w:sz w:val="24"/>
          <w:szCs w:val="24"/>
          <w:highlight w:val="none"/>
        </w:rPr>
      </w:pPr>
    </w:p>
    <w:p>
      <w:pPr>
        <w:spacing w:after="120"/>
        <w:jc w:val="left"/>
        <w:rPr>
          <w:rFonts w:ascii="宋体" w:hAnsi="宋体" w:eastAsia="宋体" w:cs="宋体"/>
          <w:b/>
          <w:bCs/>
          <w:color w:val="auto"/>
          <w:sz w:val="24"/>
          <w:szCs w:val="24"/>
          <w:highlight w:val="none"/>
        </w:rPr>
      </w:pPr>
    </w:p>
    <w:p>
      <w:pPr>
        <w:spacing w:after="120"/>
        <w:jc w:val="left"/>
        <w:rPr>
          <w:rFonts w:ascii="宋体" w:hAnsi="宋体" w:eastAsia="宋体" w:cs="宋体"/>
          <w:b/>
          <w:bCs/>
          <w:color w:val="auto"/>
          <w:sz w:val="24"/>
          <w:szCs w:val="24"/>
          <w:highlight w:val="none"/>
        </w:rPr>
      </w:pPr>
    </w:p>
    <w:p>
      <w:pPr>
        <w:spacing w:after="120"/>
        <w:jc w:val="left"/>
        <w:rPr>
          <w:rFonts w:ascii="宋体" w:hAnsi="宋体" w:eastAsia="宋体" w:cs="宋体"/>
          <w:b/>
          <w:bCs/>
          <w:color w:val="auto"/>
          <w:sz w:val="24"/>
          <w:szCs w:val="24"/>
          <w:highlight w:val="none"/>
        </w:rPr>
      </w:pPr>
    </w:p>
    <w:p>
      <w:pPr>
        <w:spacing w:after="120"/>
        <w:jc w:val="left"/>
        <w:rPr>
          <w:rFonts w:ascii="宋体" w:hAnsi="宋体" w:eastAsia="宋体" w:cs="宋体"/>
          <w:b/>
          <w:bCs/>
          <w:color w:val="auto"/>
          <w:sz w:val="24"/>
          <w:szCs w:val="24"/>
          <w:highlight w:val="none"/>
        </w:rPr>
      </w:pPr>
    </w:p>
    <w:p>
      <w:pPr>
        <w:spacing w:after="120"/>
        <w:jc w:val="left"/>
        <w:rPr>
          <w:rFonts w:ascii="宋体" w:hAnsi="宋体" w:eastAsia="宋体" w:cs="宋体"/>
          <w:b/>
          <w:bCs/>
          <w:color w:val="auto"/>
          <w:sz w:val="24"/>
          <w:szCs w:val="24"/>
          <w:highlight w:val="none"/>
        </w:rPr>
      </w:pPr>
    </w:p>
    <w:p>
      <w:pPr>
        <w:spacing w:after="120"/>
        <w:jc w:val="left"/>
        <w:rPr>
          <w:rFonts w:ascii="宋体" w:hAnsi="宋体" w:eastAsia="宋体" w:cs="宋体"/>
          <w:b/>
          <w:bCs/>
          <w:color w:val="auto"/>
          <w:sz w:val="24"/>
          <w:szCs w:val="24"/>
          <w:highlight w:val="none"/>
        </w:rPr>
      </w:pPr>
    </w:p>
    <w:p>
      <w:pPr>
        <w:spacing w:after="120"/>
        <w:jc w:val="left"/>
        <w:rPr>
          <w:rFonts w:ascii="宋体" w:hAnsi="宋体" w:eastAsia="宋体" w:cs="宋体"/>
          <w:b/>
          <w:bCs/>
          <w:color w:val="auto"/>
          <w:sz w:val="24"/>
          <w:szCs w:val="24"/>
          <w:highlight w:val="none"/>
        </w:rPr>
      </w:pPr>
    </w:p>
    <w:p>
      <w:pPr>
        <w:spacing w:after="120"/>
        <w:jc w:val="left"/>
        <w:rPr>
          <w:rFonts w:ascii="宋体" w:hAnsi="宋体" w:eastAsia="宋体" w:cs="宋体"/>
          <w:b/>
          <w:bCs/>
          <w:color w:val="auto"/>
          <w:sz w:val="24"/>
          <w:szCs w:val="24"/>
          <w:highlight w:val="none"/>
        </w:rPr>
      </w:pPr>
    </w:p>
    <w:p>
      <w:pPr>
        <w:spacing w:after="120"/>
        <w:jc w:val="left"/>
        <w:rPr>
          <w:rFonts w:ascii="宋体" w:hAnsi="宋体" w:eastAsia="宋体" w:cs="宋体"/>
          <w:b/>
          <w:bCs/>
          <w:color w:val="auto"/>
          <w:sz w:val="24"/>
          <w:szCs w:val="24"/>
          <w:highlight w:val="none"/>
        </w:rPr>
      </w:pPr>
    </w:p>
    <w:p>
      <w:pPr>
        <w:spacing w:after="120"/>
        <w:jc w:val="left"/>
        <w:rPr>
          <w:rFonts w:ascii="宋体" w:hAnsi="宋体" w:eastAsia="宋体" w:cs="宋体"/>
          <w:b/>
          <w:bCs/>
          <w:color w:val="auto"/>
          <w:sz w:val="24"/>
          <w:szCs w:val="24"/>
          <w:highlight w:val="none"/>
        </w:rPr>
      </w:pPr>
    </w:p>
    <w:p>
      <w:pPr>
        <w:spacing w:after="120"/>
        <w:jc w:val="left"/>
        <w:rPr>
          <w:rFonts w:ascii="宋体" w:hAnsi="宋体" w:eastAsia="宋体" w:cs="宋体"/>
          <w:b/>
          <w:bCs/>
          <w:color w:val="auto"/>
          <w:sz w:val="24"/>
          <w:szCs w:val="24"/>
          <w:highlight w:val="none"/>
        </w:rPr>
      </w:pPr>
    </w:p>
    <w:p>
      <w:pPr>
        <w:spacing w:after="120"/>
        <w:jc w:val="left"/>
        <w:rPr>
          <w:rFonts w:ascii="宋体" w:hAnsi="宋体" w:eastAsia="宋体" w:cs="宋体"/>
          <w:b/>
          <w:bCs/>
          <w:color w:val="auto"/>
          <w:sz w:val="24"/>
          <w:szCs w:val="24"/>
          <w:highlight w:val="none"/>
        </w:rPr>
      </w:pPr>
    </w:p>
    <w:p>
      <w:pPr>
        <w:spacing w:after="120"/>
        <w:jc w:val="left"/>
        <w:rPr>
          <w:rFonts w:ascii="宋体" w:hAnsi="宋体" w:eastAsia="宋体" w:cs="宋体"/>
          <w:b/>
          <w:bCs/>
          <w:color w:val="auto"/>
          <w:sz w:val="24"/>
          <w:szCs w:val="24"/>
          <w:highlight w:val="none"/>
        </w:rPr>
      </w:pPr>
    </w:p>
    <w:p>
      <w:pPr>
        <w:spacing w:after="120"/>
        <w:jc w:val="left"/>
        <w:rPr>
          <w:rFonts w:ascii="宋体" w:hAnsi="宋体" w:eastAsia="宋体" w:cs="宋体"/>
          <w:b/>
          <w:bCs/>
          <w:color w:val="auto"/>
          <w:sz w:val="24"/>
          <w:szCs w:val="24"/>
          <w:highlight w:val="none"/>
        </w:rPr>
      </w:pPr>
    </w:p>
    <w:p>
      <w:pPr>
        <w:spacing w:after="120"/>
        <w:jc w:val="left"/>
        <w:rPr>
          <w:rFonts w:ascii="宋体" w:hAnsi="宋体" w:eastAsia="宋体" w:cs="宋体"/>
          <w:b/>
          <w:bCs/>
          <w:color w:val="auto"/>
          <w:sz w:val="24"/>
          <w:szCs w:val="24"/>
          <w:highlight w:val="none"/>
        </w:rPr>
      </w:pPr>
    </w:p>
    <w:p>
      <w:pPr>
        <w:spacing w:after="120"/>
        <w:jc w:val="left"/>
        <w:rPr>
          <w:rFonts w:ascii="宋体" w:hAnsi="宋体" w:eastAsia="宋体" w:cs="宋体"/>
          <w:b/>
          <w:bCs/>
          <w:color w:val="auto"/>
          <w:sz w:val="24"/>
          <w:szCs w:val="24"/>
          <w:highlight w:val="none"/>
        </w:rPr>
      </w:pPr>
    </w:p>
    <w:p>
      <w:pPr>
        <w:spacing w:after="120"/>
        <w:jc w:val="left"/>
        <w:rPr>
          <w:rFonts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附件五：</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商务响应表</w:t>
      </w:r>
    </w:p>
    <w:p>
      <w:pPr>
        <w:snapToGrid w:val="0"/>
        <w:spacing w:before="50"/>
        <w:jc w:val="center"/>
        <w:rPr>
          <w:rFonts w:ascii="宋体" w:hAnsi="宋体" w:cs="宋体"/>
          <w:b/>
          <w:color w:val="auto"/>
          <w:sz w:val="32"/>
          <w:szCs w:val="32"/>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11"/>
        <w:tblW w:w="943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是否</w:t>
            </w:r>
          </w:p>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auto"/>
                <w:sz w:val="24"/>
                <w:highlight w:val="none"/>
              </w:rPr>
            </w:pPr>
          </w:p>
        </w:tc>
      </w:tr>
    </w:tbl>
    <w:p>
      <w:pPr>
        <w:spacing w:line="360" w:lineRule="auto"/>
        <w:ind w:left="3780" w:leftChars="1800" w:firstLine="480" w:firstLineChars="200"/>
        <w:rPr>
          <w:rFonts w:ascii="宋体" w:hAnsi="宋体" w:cs="宋体"/>
          <w:color w:val="auto"/>
          <w:sz w:val="24"/>
          <w:highlight w:val="none"/>
        </w:rPr>
      </w:pPr>
    </w:p>
    <w:p>
      <w:pPr>
        <w:spacing w:line="360" w:lineRule="auto"/>
        <w:ind w:left="3780" w:leftChars="1800" w:firstLine="480" w:firstLineChars="200"/>
        <w:rPr>
          <w:rFonts w:ascii="宋体" w:hAnsi="宋体" w:cs="宋体"/>
          <w:color w:val="auto"/>
          <w:sz w:val="24"/>
          <w:highlight w:val="none"/>
        </w:rPr>
      </w:pPr>
    </w:p>
    <w:p>
      <w:pPr>
        <w:spacing w:line="360" w:lineRule="auto"/>
        <w:ind w:left="3780" w:leftChars="1800" w:firstLine="480" w:firstLineChars="200"/>
        <w:rPr>
          <w:rFonts w:ascii="宋体" w:hAnsi="宋体" w:cs="宋体"/>
          <w:color w:val="auto"/>
          <w:sz w:val="24"/>
          <w:highlight w:val="none"/>
        </w:rPr>
      </w:pP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投标人全称（公章）：</w:t>
      </w:r>
    </w:p>
    <w:p>
      <w:pPr>
        <w:snapToGrid w:val="0"/>
        <w:spacing w:before="50" w:after="50"/>
        <w:rPr>
          <w:rFonts w:ascii="宋体" w:hAnsi="宋体" w:eastAsia="宋体" w:cs="Times New Roman"/>
          <w:color w:val="auto"/>
          <w:szCs w:val="24"/>
          <w:highlight w:val="none"/>
        </w:rPr>
      </w:pPr>
    </w:p>
    <w:p>
      <w:pPr>
        <w:snapToGrid w:val="0"/>
        <w:spacing w:before="50" w:after="50"/>
        <w:rPr>
          <w:rFonts w:ascii="宋体" w:hAnsi="宋体" w:eastAsia="宋体" w:cs="Times New Roman"/>
          <w:color w:val="auto"/>
          <w:szCs w:val="24"/>
          <w:highlight w:val="none"/>
        </w:rPr>
      </w:pPr>
    </w:p>
    <w:p>
      <w:pPr>
        <w:snapToGrid w:val="0"/>
        <w:spacing w:before="50" w:after="50"/>
        <w:rPr>
          <w:rFonts w:ascii="宋体" w:hAnsi="宋体" w:eastAsia="宋体" w:cs="宋体"/>
          <w:b/>
          <w:color w:val="auto"/>
          <w:kern w:val="0"/>
          <w:sz w:val="36"/>
          <w:szCs w:val="36"/>
          <w:highlight w:val="none"/>
        </w:rPr>
      </w:pPr>
    </w:p>
    <w:p>
      <w:pPr>
        <w:spacing w:line="360" w:lineRule="auto"/>
        <w:jc w:val="center"/>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w:t>
      </w:r>
    </w:p>
    <w:p>
      <w:pPr>
        <w:spacing w:line="360" w:lineRule="auto"/>
        <w:jc w:val="center"/>
        <w:rPr>
          <w:rFonts w:ascii="宋体" w:hAnsi="宋体" w:eastAsia="宋体" w:cs="宋体"/>
          <w:b/>
          <w:color w:val="auto"/>
          <w:kern w:val="0"/>
          <w:sz w:val="36"/>
          <w:szCs w:val="36"/>
          <w:highlight w:val="none"/>
        </w:rPr>
      </w:pPr>
    </w:p>
    <w:p>
      <w:pPr>
        <w:spacing w:line="360" w:lineRule="auto"/>
        <w:jc w:val="center"/>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after="120"/>
        <w:ind w:left="420" w:leftChars="200" w:firstLine="723"/>
        <w:rPr>
          <w:rFonts w:ascii="宋体" w:hAnsi="宋体" w:eastAsia="宋体" w:cs="宋体"/>
          <w:b/>
          <w:color w:val="auto"/>
          <w:kern w:val="0"/>
          <w:sz w:val="36"/>
          <w:szCs w:val="36"/>
          <w:highlight w:val="none"/>
        </w:rPr>
      </w:pPr>
    </w:p>
    <w:p>
      <w:pPr>
        <w:tabs>
          <w:tab w:val="left" w:pos="1440"/>
          <w:tab w:val="left" w:pos="1620"/>
          <w:tab w:val="left" w:pos="1800"/>
          <w:tab w:val="left" w:pos="1980"/>
        </w:tabs>
        <w:autoSpaceDE w:val="0"/>
        <w:autoSpaceDN w:val="0"/>
        <w:spacing w:line="360" w:lineRule="auto"/>
        <w:ind w:left="420" w:leftChars="200" w:firstLine="240" w:firstLineChars="100"/>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（1）询标函（格式见附件）；</w:t>
      </w:r>
    </w:p>
    <w:p>
      <w:pPr>
        <w:tabs>
          <w:tab w:val="left" w:pos="1440"/>
          <w:tab w:val="left" w:pos="1620"/>
          <w:tab w:val="left" w:pos="1800"/>
          <w:tab w:val="left" w:pos="1980"/>
        </w:tabs>
        <w:autoSpaceDE w:val="0"/>
        <w:autoSpaceDN w:val="0"/>
        <w:spacing w:line="360" w:lineRule="auto"/>
        <w:ind w:left="659" w:leftChars="314"/>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（2）报价一览表（格式见附件）；</w:t>
      </w:r>
      <w:r>
        <w:rPr>
          <w:rFonts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（3）报价明细表（格式见附件）。</w:t>
      </w:r>
    </w:p>
    <w:p>
      <w:pPr>
        <w:spacing w:after="120"/>
        <w:ind w:left="420" w:leftChars="200" w:firstLine="560"/>
        <w:rPr>
          <w:rFonts w:ascii="宋体" w:hAnsi="宋体" w:eastAsia="宋体" w:cs="宋体"/>
          <w:color w:val="auto"/>
          <w:sz w:val="28"/>
          <w:szCs w:val="28"/>
          <w:highlight w:val="none"/>
        </w:rPr>
      </w:pPr>
    </w:p>
    <w:p>
      <w:pPr>
        <w:spacing w:after="120"/>
        <w:ind w:left="420" w:leftChars="200" w:firstLine="560"/>
        <w:rPr>
          <w:rFonts w:ascii="宋体" w:hAnsi="宋体" w:eastAsia="宋体" w:cs="宋体"/>
          <w:color w:val="auto"/>
          <w:sz w:val="28"/>
          <w:szCs w:val="28"/>
          <w:highlight w:val="none"/>
        </w:rPr>
      </w:pPr>
    </w:p>
    <w:p>
      <w:pPr>
        <w:spacing w:after="120"/>
        <w:ind w:left="420" w:leftChars="200" w:firstLine="560"/>
        <w:rPr>
          <w:rFonts w:ascii="宋体" w:hAnsi="宋体" w:eastAsia="宋体" w:cs="宋体"/>
          <w:color w:val="auto"/>
          <w:sz w:val="28"/>
          <w:szCs w:val="28"/>
          <w:highlight w:val="none"/>
        </w:rPr>
      </w:pPr>
    </w:p>
    <w:p>
      <w:pPr>
        <w:spacing w:after="120"/>
        <w:ind w:left="420" w:leftChars="200" w:firstLine="560"/>
        <w:rPr>
          <w:rFonts w:ascii="宋体" w:hAnsi="宋体" w:eastAsia="宋体" w:cs="宋体"/>
          <w:color w:val="auto"/>
          <w:sz w:val="28"/>
          <w:szCs w:val="28"/>
          <w:highlight w:val="none"/>
        </w:rPr>
      </w:pPr>
    </w:p>
    <w:p>
      <w:pPr>
        <w:spacing w:after="120"/>
        <w:ind w:left="420" w:leftChars="200" w:firstLine="560"/>
        <w:rPr>
          <w:rFonts w:ascii="宋体" w:hAnsi="宋体" w:eastAsia="宋体" w:cs="宋体"/>
          <w:color w:val="auto"/>
          <w:sz w:val="28"/>
          <w:szCs w:val="28"/>
          <w:highlight w:val="none"/>
        </w:rPr>
      </w:pPr>
    </w:p>
    <w:p>
      <w:pPr>
        <w:spacing w:after="120"/>
        <w:ind w:left="420" w:leftChars="200" w:firstLine="560"/>
        <w:rPr>
          <w:rFonts w:ascii="宋体" w:hAnsi="宋体" w:eastAsia="宋体" w:cs="宋体"/>
          <w:color w:val="auto"/>
          <w:sz w:val="28"/>
          <w:szCs w:val="28"/>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b/>
          <w:bCs/>
          <w:color w:val="auto"/>
          <w:sz w:val="24"/>
          <w:szCs w:val="24"/>
          <w:highlight w:val="none"/>
          <w:lang w:val="zh-CN"/>
        </w:rPr>
      </w:pPr>
      <w:r>
        <w:rPr>
          <w:rFonts w:hint="eastAsia" w:ascii="宋体" w:hAnsi="宋体" w:eastAsia="宋体" w:cs="Times New Roman"/>
          <w:color w:val="auto"/>
          <w:sz w:val="18"/>
          <w:szCs w:val="24"/>
          <w:highlight w:val="none"/>
        </w:rPr>
        <w:br w:type="page"/>
      </w:r>
      <w:bookmarkStart w:id="148" w:name="_Toc81917163"/>
      <w:bookmarkStart w:id="149" w:name="_Toc81917339"/>
      <w:bookmarkStart w:id="150" w:name="_Toc85732439"/>
      <w:bookmarkStart w:id="151" w:name="_Toc108015203"/>
      <w:bookmarkStart w:id="152" w:name="_Toc79569870"/>
      <w:bookmarkStart w:id="153" w:name="_Toc86067743"/>
      <w:bookmarkStart w:id="154" w:name="_Toc3094"/>
      <w:r>
        <w:rPr>
          <w:rFonts w:hint="eastAsia" w:ascii="宋体" w:hAnsi="宋体" w:eastAsia="宋体" w:cs="Times New Roman"/>
          <w:b/>
          <w:bCs/>
          <w:color w:val="auto"/>
          <w:sz w:val="24"/>
          <w:szCs w:val="24"/>
          <w:highlight w:val="none"/>
          <w:lang w:val="zh-CN"/>
        </w:rPr>
        <w:t>附件</w:t>
      </w:r>
      <w:bookmarkStart w:id="155" w:name="_Toc98731770"/>
      <w:bookmarkStart w:id="156" w:name="_Toc130094924"/>
      <w:r>
        <w:rPr>
          <w:rFonts w:hint="eastAsia" w:ascii="宋体" w:hAnsi="宋体" w:eastAsia="宋体" w:cs="Times New Roman"/>
          <w:b/>
          <w:bCs/>
          <w:color w:val="auto"/>
          <w:sz w:val="24"/>
          <w:szCs w:val="24"/>
          <w:highlight w:val="none"/>
          <w:lang w:val="zh-CN"/>
        </w:rPr>
        <w:t>六</w:t>
      </w:r>
      <w:r>
        <w:rPr>
          <w:rFonts w:hint="eastAsia" w:ascii="宋体" w:hAnsi="宋体" w:eastAsia="宋体" w:cs="Times New Roman"/>
          <w:b/>
          <w:bCs/>
          <w:color w:val="auto"/>
          <w:sz w:val="24"/>
          <w:szCs w:val="24"/>
          <w:highlight w:val="none"/>
        </w:rPr>
        <w:t>：</w:t>
      </w:r>
      <w:bookmarkEnd w:id="148"/>
      <w:bookmarkEnd w:id="149"/>
      <w:bookmarkEnd w:id="150"/>
      <w:bookmarkEnd w:id="151"/>
      <w:bookmarkEnd w:id="152"/>
      <w:bookmarkEnd w:id="153"/>
    </w:p>
    <w:bookmarkEnd w:id="154"/>
    <w:bookmarkEnd w:id="155"/>
    <w:bookmarkEnd w:id="156"/>
    <w:p>
      <w:pPr>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询价函</w:t>
      </w:r>
    </w:p>
    <w:p>
      <w:pPr>
        <w:spacing w:line="360" w:lineRule="auto"/>
        <w:ind w:firstLine="480" w:firstLineChars="200"/>
        <w:rPr>
          <w:rFonts w:ascii="宋体" w:hAnsi="宋体" w:eastAsia="宋体" w:cs="宋体"/>
          <w:color w:val="auto"/>
          <w:kern w:val="0"/>
          <w:sz w:val="24"/>
          <w:szCs w:val="24"/>
          <w:highlight w:val="none"/>
          <w:u w:val="single"/>
        </w:rPr>
      </w:pPr>
    </w:p>
    <w:p>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绍兴市上虞区水务物资贸易有限公司：</w:t>
      </w:r>
    </w:p>
    <w:p>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浙江筑脸全过程工程咨询有限公司：</w:t>
      </w:r>
    </w:p>
    <w:p>
      <w:pPr>
        <w:spacing w:line="360" w:lineRule="auto"/>
        <w:ind w:firstLine="48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 w:val="24"/>
          <w:szCs w:val="24"/>
          <w:highlight w:val="none"/>
        </w:rPr>
        <w:t>我单位认真研究了关于</w:t>
      </w:r>
      <w:r>
        <w:rPr>
          <w:rFonts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spacing w:line="360" w:lineRule="auto"/>
        <w:ind w:firstLine="480" w:firstLineChars="240"/>
        <w:rPr>
          <w:rFonts w:ascii="宋体" w:hAnsi="宋体" w:eastAsia="宋体" w:cs="Times New Roman"/>
          <w:color w:val="auto"/>
          <w:kern w:val="0"/>
          <w:sz w:val="24"/>
          <w:szCs w:val="24"/>
          <w:highlight w:val="none"/>
        </w:rPr>
      </w:pPr>
      <w:r>
        <w:rPr>
          <w:rFonts w:ascii="宋体" w:hAnsi="宋体" w:eastAsia="宋体" w:cs="Times New Roman"/>
          <w:color w:val="auto"/>
          <w:kern w:val="0"/>
          <w:sz w:val="20"/>
          <w:szCs w:val="20"/>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6T0kGtIAAAAHAQAADwAAAAAAAAABACAAAAAiAAAAZHJzL2Rvd25yZXYueG1s&#10;UEsBAhQAFAAAAAgAh07iQMNKvefFAQAAiwMAAA4AAAAAAAAAAQAgAAAAIQEAAGRycy9lMm9Eb2Mu&#10;eG1sUEsFBgAAAAAGAAYAWQEAAFgFAAAAAA==&#10;">
                <v:fill on="f" focussize="0,0"/>
                <v:stroke color="#000000" joinstyle="round"/>
                <v:imagedata o:title=""/>
                <o:lock v:ext="edit" aspectratio="f"/>
              </v:line>
            </w:pict>
          </mc:Fallback>
        </mc:AlternateContent>
      </w: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、一旦我单位中标，我单位愿意承接报价一览表中所列的服务。</w:t>
      </w:r>
    </w:p>
    <w:p>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、我单位同意提供按照采购人的可能要求与其投标有关的一切数据和资料，完全理解采购人不一定要接受最低价者作为成交供应商。</w:t>
      </w:r>
    </w:p>
    <w:p>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、一旦我单位中标，我们保证按照询价文件的要求，完成服务。</w:t>
      </w:r>
    </w:p>
    <w:p>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t>、如果我单位中标，我方将按照要求严格履行合同义务。</w:t>
      </w:r>
    </w:p>
    <w:p>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rPr>
        <w:t>、除非另行达成协议并生效，你方的成交通知书和本询价函将构成约束你我双方的合同。</w:t>
      </w:r>
    </w:p>
    <w:p>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t>、我单位承诺，一旦发生询价文件第二部分第</w:t>
      </w:r>
      <w:r>
        <w:rPr>
          <w:rFonts w:ascii="宋体" w:hAnsi="宋体" w:eastAsia="宋体" w:cs="宋体"/>
          <w:color w:val="auto"/>
          <w:kern w:val="0"/>
          <w:sz w:val="24"/>
          <w:szCs w:val="24"/>
          <w:highlight w:val="none"/>
        </w:rPr>
        <w:t>11</w:t>
      </w:r>
      <w:r>
        <w:rPr>
          <w:rFonts w:hint="eastAsia" w:ascii="宋体" w:hAnsi="宋体" w:eastAsia="宋体" w:cs="宋体"/>
          <w:color w:val="auto"/>
          <w:kern w:val="0"/>
          <w:sz w:val="24"/>
          <w:szCs w:val="24"/>
          <w:highlight w:val="none"/>
        </w:rPr>
        <w:t>条规定情形之一的，承担该条款约定的责任。</w:t>
      </w:r>
    </w:p>
    <w:p>
      <w:pPr>
        <w:snapToGrid w:val="0"/>
        <w:spacing w:line="360" w:lineRule="auto"/>
        <w:ind w:left="48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p>
    <w:p>
      <w:pPr>
        <w:spacing w:line="360" w:lineRule="auto"/>
        <w:ind w:firstLine="480" w:firstLineChars="200"/>
        <w:rPr>
          <w:rFonts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地址：</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邮编：</w:t>
      </w:r>
      <w:r>
        <w:rPr>
          <w:rFonts w:hint="eastAsia" w:ascii="宋体" w:hAnsi="宋体" w:eastAsia="宋体" w:cs="宋体"/>
          <w:bCs/>
          <w:color w:val="auto"/>
          <w:sz w:val="24"/>
          <w:szCs w:val="21"/>
          <w:highlight w:val="none"/>
          <w:u w:val="single"/>
        </w:rPr>
        <w:t xml:space="preserve">                 </w:t>
      </w:r>
    </w:p>
    <w:p>
      <w:pPr>
        <w:spacing w:line="360" w:lineRule="auto"/>
        <w:ind w:firstLine="480" w:firstLineChars="200"/>
        <w:rPr>
          <w:rFonts w:ascii="宋体" w:hAnsi="宋体" w:eastAsia="宋体" w:cs="宋体"/>
          <w:bCs/>
          <w:color w:val="auto"/>
          <w:sz w:val="24"/>
          <w:szCs w:val="21"/>
          <w:highlight w:val="none"/>
          <w:u w:val="single"/>
        </w:rPr>
      </w:pPr>
      <w:r>
        <w:rPr>
          <w:rFonts w:hint="eastAsia" w:ascii="宋体" w:hAnsi="宋体" w:eastAsia="宋体" w:cs="宋体"/>
          <w:bCs/>
          <w:color w:val="auto"/>
          <w:sz w:val="24"/>
          <w:szCs w:val="21"/>
          <w:highlight w:val="none"/>
        </w:rPr>
        <w:t>电话：</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传真：</w:t>
      </w:r>
      <w:r>
        <w:rPr>
          <w:rFonts w:hint="eastAsia" w:ascii="宋体" w:hAnsi="宋体" w:eastAsia="宋体" w:cs="宋体"/>
          <w:bCs/>
          <w:color w:val="auto"/>
          <w:sz w:val="24"/>
          <w:szCs w:val="21"/>
          <w:highlight w:val="none"/>
          <w:u w:val="single"/>
        </w:rPr>
        <w:t xml:space="preserve">                 </w:t>
      </w:r>
    </w:p>
    <w:p>
      <w:pPr>
        <w:spacing w:line="360" w:lineRule="auto"/>
        <w:ind w:firstLine="480" w:firstLineChars="200"/>
        <w:rPr>
          <w:rFonts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供应商代表姓名：</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职务：</w:t>
      </w:r>
      <w:r>
        <w:rPr>
          <w:rFonts w:hint="eastAsia" w:ascii="宋体" w:hAnsi="宋体" w:eastAsia="宋体" w:cs="宋体"/>
          <w:bCs/>
          <w:color w:val="auto"/>
          <w:sz w:val="24"/>
          <w:szCs w:val="21"/>
          <w:highlight w:val="none"/>
          <w:u w:val="single"/>
        </w:rPr>
        <w:t xml:space="preserve">                 </w:t>
      </w:r>
    </w:p>
    <w:p>
      <w:pPr>
        <w:spacing w:line="360" w:lineRule="auto"/>
        <w:ind w:firstLine="480" w:firstLineChars="200"/>
        <w:rPr>
          <w:rFonts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供应商名称</w:t>
      </w:r>
      <w:r>
        <w:rPr>
          <w:rFonts w:hint="eastAsia" w:ascii="宋体" w:hAnsi="宋体" w:eastAsia="宋体" w:cs="宋体"/>
          <w:bCs/>
          <w:color w:val="auto"/>
          <w:sz w:val="24"/>
          <w:szCs w:val="21"/>
          <w:highlight w:val="none"/>
          <w:u w:val="single"/>
        </w:rPr>
        <w:t>：                   　　　</w:t>
      </w:r>
    </w:p>
    <w:p>
      <w:pPr>
        <w:spacing w:line="360" w:lineRule="auto"/>
        <w:ind w:firstLine="480" w:firstLineChars="200"/>
        <w:rPr>
          <w:rFonts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（公章）：                   </w:t>
      </w:r>
    </w:p>
    <w:p>
      <w:pPr>
        <w:spacing w:line="360" w:lineRule="auto"/>
        <w:ind w:left="3780" w:leftChars="180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pPr>
        <w:spacing w:line="360" w:lineRule="auto"/>
        <w:ind w:left="3780" w:leftChars="180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rPr>
          <w:rFonts w:ascii="宋体" w:hAnsi="宋体" w:eastAsia="宋体" w:cs="Times New Roman"/>
          <w:color w:val="auto"/>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bookmarkEnd w:id="141"/>
    <w:bookmarkEnd w:id="142"/>
    <w:bookmarkEnd w:id="143"/>
    <w:bookmarkEnd w:id="144"/>
    <w:bookmarkEnd w:id="145"/>
    <w:bookmarkEnd w:id="146"/>
    <w:p>
      <w:pPr>
        <w:spacing w:line="460" w:lineRule="atLeast"/>
        <w:rPr>
          <w:rFonts w:ascii="宋体" w:hAnsi="宋体" w:eastAsia="宋体" w:cs="Times New Roman"/>
          <w:b/>
          <w:bCs/>
          <w:color w:val="auto"/>
          <w:sz w:val="24"/>
          <w:szCs w:val="24"/>
          <w:highlight w:val="none"/>
        </w:rPr>
      </w:pPr>
    </w:p>
    <w:p>
      <w:pPr>
        <w:spacing w:line="460" w:lineRule="atLeast"/>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附件七：</w:t>
      </w:r>
    </w:p>
    <w:p>
      <w:pPr>
        <w:spacing w:line="360"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报价一览表</w:t>
      </w:r>
    </w:p>
    <w:p>
      <w:pPr>
        <w:spacing w:line="460" w:lineRule="atLeast"/>
        <w:rPr>
          <w:rFonts w:ascii="宋体" w:hAnsi="宋体" w:eastAsia="宋体" w:cs="Times New Roman"/>
          <w:color w:val="auto"/>
          <w:sz w:val="24"/>
          <w:szCs w:val="24"/>
          <w:highlight w:val="none"/>
        </w:rPr>
      </w:pP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11"/>
        <w:tblW w:w="88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173" w:hRule="atLeast"/>
          <w:jc w:val="center"/>
        </w:trPr>
        <w:tc>
          <w:tcPr>
            <w:tcW w:w="3135" w:type="dxa"/>
            <w:vAlign w:val="center"/>
          </w:tcPr>
          <w:p>
            <w:pPr>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投标报价</w:t>
            </w:r>
          </w:p>
        </w:tc>
        <w:tc>
          <w:tcPr>
            <w:tcW w:w="5760" w:type="dxa"/>
            <w:vAlign w:val="center"/>
          </w:tcPr>
          <w:p>
            <w:pPr>
              <w:spacing w:line="360" w:lineRule="auto"/>
              <w:jc w:val="center"/>
              <w:rPr>
                <w:rFonts w:ascii="宋体" w:hAnsi="宋体" w:eastAsia="宋体" w:cs="宋体"/>
                <w:b/>
                <w:bCs/>
                <w:color w:val="auto"/>
                <w:kern w:val="0"/>
                <w:sz w:val="24"/>
                <w:szCs w:val="24"/>
                <w:highlight w:val="none"/>
              </w:rPr>
            </w:pP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元（大写：</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895" w:type="dxa"/>
            <w:gridSpan w:val="2"/>
            <w:vAlign w:val="center"/>
          </w:tcPr>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hAnsi="宋体"/>
                <w:color w:val="auto"/>
                <w:sz w:val="24"/>
                <w:highlight w:val="none"/>
              </w:rPr>
              <w:t>投标报价应</w:t>
            </w:r>
            <w:r>
              <w:rPr>
                <w:rFonts w:hint="eastAsia" w:ascii="宋体" w:hAnsi="宋体" w:eastAsia="宋体" w:cs="宋体"/>
                <w:bCs/>
                <w:color w:val="auto"/>
                <w:sz w:val="24"/>
                <w:szCs w:val="24"/>
                <w:highlight w:val="none"/>
              </w:rPr>
              <w:t>包括但不限于设备的设计、制造、供货、发货、配件费、材料费、卸货、指导安装、调试费、保险、人工费、管理费、税费、运费和交付使用、设备在本文规定的质保期内的维修保养，并应保证设备在各方面均能达到正常运行要求的费用，以及招标代理费，以及其它一切不可预见和实际所需的一切其他费用等。如有漏报，视同已包含在其报价中</w:t>
            </w:r>
            <w:r>
              <w:rPr>
                <w:rFonts w:hint="eastAsia" w:hAnsi="宋体"/>
                <w:color w:val="auto"/>
                <w:sz w:val="24"/>
                <w:highlight w:val="none"/>
              </w:rPr>
              <w:t>。</w:t>
            </w:r>
          </w:p>
        </w:tc>
      </w:tr>
    </w:tbl>
    <w:p>
      <w:pPr>
        <w:spacing w:line="400" w:lineRule="exact"/>
        <w:rPr>
          <w:rFonts w:ascii="宋体" w:hAnsi="宋体" w:eastAsia="宋体" w:cs="宋体"/>
          <w:color w:val="auto"/>
          <w:sz w:val="24"/>
          <w:szCs w:val="24"/>
          <w:highlight w:val="none"/>
        </w:rPr>
      </w:pPr>
    </w:p>
    <w:p>
      <w:pPr>
        <w:autoSpaceDE w:val="0"/>
        <w:autoSpaceDN w:val="0"/>
        <w:adjustRightInd w:val="0"/>
        <w:spacing w:line="460" w:lineRule="atLeast"/>
        <w:ind w:firstLine="470" w:firstLineChars="196"/>
        <w:rPr>
          <w:rFonts w:ascii="宋体" w:hAnsi="宋体" w:eastAsia="宋体" w:cs="宋体"/>
          <w:color w:val="auto"/>
          <w:sz w:val="24"/>
          <w:szCs w:val="24"/>
          <w:highlight w:val="none"/>
        </w:rPr>
      </w:pPr>
    </w:p>
    <w:p>
      <w:pPr>
        <w:autoSpaceDE w:val="0"/>
        <w:autoSpaceDN w:val="0"/>
        <w:adjustRightInd w:val="0"/>
        <w:spacing w:line="460" w:lineRule="atLeast"/>
        <w:ind w:firstLine="588" w:firstLineChars="245"/>
        <w:rPr>
          <w:rFonts w:ascii="宋体" w:hAnsi="宋体" w:eastAsia="宋体" w:cs="宋体"/>
          <w:color w:val="auto"/>
          <w:sz w:val="24"/>
          <w:szCs w:val="24"/>
          <w:highlight w:val="none"/>
        </w:rPr>
      </w:pPr>
    </w:p>
    <w:p>
      <w:pPr>
        <w:autoSpaceDE w:val="0"/>
        <w:autoSpaceDN w:val="0"/>
        <w:adjustRightInd w:val="0"/>
        <w:spacing w:line="460" w:lineRule="atLeast"/>
        <w:ind w:firstLine="588" w:firstLineChars="245"/>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p>
    <w:p>
      <w:pPr>
        <w:spacing w:line="360" w:lineRule="auto"/>
        <w:ind w:left="3780" w:leftChars="180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pPr>
        <w:spacing w:line="360" w:lineRule="auto"/>
        <w:ind w:left="3780" w:leftChars="180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投标人全称（公章）：</w:t>
      </w:r>
    </w:p>
    <w:p>
      <w:pPr>
        <w:spacing w:line="360" w:lineRule="auto"/>
        <w:ind w:left="3780" w:leftChars="180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spacing w:line="360" w:lineRule="auto"/>
        <w:ind w:left="3780" w:leftChars="1800" w:firstLine="480" w:firstLineChars="200"/>
        <w:rPr>
          <w:rFonts w:ascii="宋体" w:hAnsi="宋体" w:eastAsia="宋体" w:cs="宋体"/>
          <w:color w:val="auto"/>
          <w:sz w:val="24"/>
          <w:szCs w:val="24"/>
          <w:highlight w:val="none"/>
        </w:rPr>
      </w:pPr>
    </w:p>
    <w:p>
      <w:pPr>
        <w:rPr>
          <w:rFonts w:ascii="宋体" w:hAnsi="宋体" w:eastAsia="宋体" w:cs="Times New Roman"/>
          <w:color w:val="auto"/>
          <w:sz w:val="18"/>
          <w:szCs w:val="24"/>
          <w:highlight w:val="none"/>
        </w:rPr>
      </w:pPr>
    </w:p>
    <w:p>
      <w:pPr>
        <w:rPr>
          <w:rFonts w:ascii="宋体" w:hAnsi="宋体" w:eastAsia="宋体" w:cs="宋体"/>
          <w:color w:val="auto"/>
          <w:sz w:val="32"/>
          <w:szCs w:val="20"/>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 w:val="18"/>
          <w:szCs w:val="24"/>
          <w:highlight w:val="none"/>
        </w:rPr>
      </w:pPr>
    </w:p>
    <w:p>
      <w:pPr>
        <w:rPr>
          <w:rFonts w:ascii="宋体" w:hAnsi="宋体" w:eastAsia="宋体" w:cs="Times New Roman"/>
          <w:color w:val="auto"/>
          <w:szCs w:val="24"/>
          <w:highlight w:val="none"/>
        </w:rPr>
      </w:pPr>
    </w:p>
    <w:p>
      <w:pPr>
        <w:rPr>
          <w:rFonts w:ascii="宋体" w:hAnsi="宋体" w:eastAsia="宋体" w:cs="Times New Roman"/>
          <w:color w:val="auto"/>
          <w:szCs w:val="24"/>
          <w:highlight w:val="none"/>
        </w:rPr>
      </w:pPr>
    </w:p>
    <w:p>
      <w:pPr>
        <w:spacing w:line="460" w:lineRule="atLeast"/>
        <w:rPr>
          <w:rFonts w:ascii="宋体" w:hAnsi="宋体" w:eastAsia="宋体" w:cs="Times New Roman"/>
          <w:b/>
          <w:bCs/>
          <w:color w:val="auto"/>
          <w:sz w:val="24"/>
          <w:szCs w:val="24"/>
          <w:highlight w:val="none"/>
        </w:rPr>
      </w:pPr>
    </w:p>
    <w:p>
      <w:pPr>
        <w:spacing w:line="460" w:lineRule="atLeast"/>
        <w:rPr>
          <w:rFonts w:ascii="宋体" w:hAnsi="宋体" w:eastAsia="宋体" w:cs="Times New Roman"/>
          <w:b/>
          <w:bCs/>
          <w:color w:val="auto"/>
          <w:sz w:val="24"/>
          <w:szCs w:val="24"/>
          <w:highlight w:val="none"/>
        </w:rPr>
      </w:pPr>
    </w:p>
    <w:p>
      <w:pPr>
        <w:spacing w:line="460" w:lineRule="atLeast"/>
        <w:rPr>
          <w:rFonts w:ascii="宋体" w:hAnsi="宋体" w:eastAsia="宋体" w:cs="Times New Roman"/>
          <w:b/>
          <w:bCs/>
          <w:color w:val="auto"/>
          <w:sz w:val="24"/>
          <w:szCs w:val="24"/>
          <w:highlight w:val="none"/>
        </w:rPr>
      </w:pPr>
    </w:p>
    <w:p>
      <w:pPr>
        <w:spacing w:line="360" w:lineRule="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附件</w:t>
      </w:r>
      <w:r>
        <w:rPr>
          <w:rFonts w:hint="eastAsia" w:ascii="宋体" w:hAnsi="宋体" w:eastAsia="宋体" w:cs="宋体"/>
          <w:b/>
          <w:color w:val="auto"/>
          <w:sz w:val="24"/>
          <w:szCs w:val="24"/>
          <w:highlight w:val="none"/>
        </w:rPr>
        <w:t>八：</w:t>
      </w:r>
    </w:p>
    <w:p>
      <w:pPr>
        <w:spacing w:line="360"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报价明细表</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11"/>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080"/>
        <w:gridCol w:w="1649"/>
        <w:gridCol w:w="1843"/>
        <w:gridCol w:w="708"/>
        <w:gridCol w:w="76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jc w:val="center"/>
        </w:trPr>
        <w:tc>
          <w:tcPr>
            <w:tcW w:w="683" w:type="dxa"/>
            <w:vMerge w:val="restart"/>
            <w:vAlign w:val="center"/>
          </w:tcPr>
          <w:p>
            <w:pPr>
              <w:spacing w:line="360" w:lineRule="auto"/>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序号</w:t>
            </w:r>
          </w:p>
        </w:tc>
        <w:tc>
          <w:tcPr>
            <w:tcW w:w="1080" w:type="dxa"/>
            <w:vMerge w:val="restart"/>
            <w:vAlign w:val="center"/>
          </w:tcPr>
          <w:p>
            <w:pPr>
              <w:spacing w:line="360" w:lineRule="auto"/>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货物</w:t>
            </w:r>
          </w:p>
          <w:p>
            <w:pPr>
              <w:spacing w:line="360" w:lineRule="auto"/>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名称</w:t>
            </w:r>
          </w:p>
        </w:tc>
        <w:tc>
          <w:tcPr>
            <w:tcW w:w="1649" w:type="dxa"/>
            <w:vMerge w:val="restart"/>
            <w:vAlign w:val="center"/>
          </w:tcPr>
          <w:p>
            <w:pPr>
              <w:spacing w:line="360" w:lineRule="auto"/>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型号和规格</w:t>
            </w:r>
          </w:p>
        </w:tc>
        <w:tc>
          <w:tcPr>
            <w:tcW w:w="1843" w:type="dxa"/>
            <w:vMerge w:val="restart"/>
            <w:vAlign w:val="center"/>
          </w:tcPr>
          <w:p>
            <w:pPr>
              <w:spacing w:line="360" w:lineRule="auto"/>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其他（如制造商名称及产地）</w:t>
            </w:r>
          </w:p>
        </w:tc>
        <w:tc>
          <w:tcPr>
            <w:tcW w:w="708" w:type="dxa"/>
            <w:vMerge w:val="restart"/>
            <w:vAlign w:val="center"/>
          </w:tcPr>
          <w:p>
            <w:pPr>
              <w:spacing w:line="360" w:lineRule="auto"/>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单位</w:t>
            </w:r>
          </w:p>
        </w:tc>
        <w:tc>
          <w:tcPr>
            <w:tcW w:w="768" w:type="dxa"/>
            <w:vMerge w:val="restart"/>
            <w:vAlign w:val="center"/>
          </w:tcPr>
          <w:p>
            <w:pPr>
              <w:spacing w:line="360" w:lineRule="auto"/>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数量</w:t>
            </w:r>
          </w:p>
        </w:tc>
        <w:tc>
          <w:tcPr>
            <w:tcW w:w="2160" w:type="dxa"/>
            <w:gridSpan w:val="2"/>
            <w:vAlign w:val="center"/>
          </w:tcPr>
          <w:p>
            <w:pPr>
              <w:spacing w:line="360" w:lineRule="auto"/>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683" w:type="dxa"/>
            <w:vMerge w:val="continue"/>
            <w:vAlign w:val="center"/>
          </w:tcPr>
          <w:p>
            <w:pPr>
              <w:spacing w:line="360" w:lineRule="auto"/>
              <w:jc w:val="center"/>
              <w:rPr>
                <w:rFonts w:ascii="宋体" w:hAnsi="宋体" w:eastAsia="宋体" w:cs="宋体"/>
                <w:color w:val="auto"/>
                <w:sz w:val="24"/>
                <w:szCs w:val="21"/>
                <w:highlight w:val="none"/>
              </w:rPr>
            </w:pPr>
          </w:p>
        </w:tc>
        <w:tc>
          <w:tcPr>
            <w:tcW w:w="1080" w:type="dxa"/>
            <w:vMerge w:val="continue"/>
            <w:vAlign w:val="center"/>
          </w:tcPr>
          <w:p>
            <w:pPr>
              <w:spacing w:line="360" w:lineRule="auto"/>
              <w:jc w:val="center"/>
              <w:rPr>
                <w:rFonts w:ascii="宋体" w:hAnsi="宋体" w:eastAsia="宋体" w:cs="宋体"/>
                <w:color w:val="auto"/>
                <w:sz w:val="24"/>
                <w:szCs w:val="21"/>
                <w:highlight w:val="none"/>
              </w:rPr>
            </w:pPr>
          </w:p>
        </w:tc>
        <w:tc>
          <w:tcPr>
            <w:tcW w:w="1649" w:type="dxa"/>
            <w:vMerge w:val="continue"/>
            <w:vAlign w:val="center"/>
          </w:tcPr>
          <w:p>
            <w:pPr>
              <w:spacing w:line="360" w:lineRule="auto"/>
              <w:jc w:val="center"/>
              <w:rPr>
                <w:rFonts w:ascii="宋体" w:hAnsi="宋体" w:eastAsia="宋体" w:cs="宋体"/>
                <w:color w:val="auto"/>
                <w:sz w:val="24"/>
                <w:szCs w:val="21"/>
                <w:highlight w:val="none"/>
              </w:rPr>
            </w:pPr>
          </w:p>
        </w:tc>
        <w:tc>
          <w:tcPr>
            <w:tcW w:w="1843" w:type="dxa"/>
            <w:vMerge w:val="continue"/>
            <w:vAlign w:val="center"/>
          </w:tcPr>
          <w:p>
            <w:pPr>
              <w:spacing w:line="360" w:lineRule="auto"/>
              <w:jc w:val="center"/>
              <w:rPr>
                <w:rFonts w:ascii="宋体" w:hAnsi="宋体" w:eastAsia="宋体" w:cs="宋体"/>
                <w:color w:val="auto"/>
                <w:sz w:val="24"/>
                <w:szCs w:val="21"/>
                <w:highlight w:val="none"/>
              </w:rPr>
            </w:pPr>
          </w:p>
        </w:tc>
        <w:tc>
          <w:tcPr>
            <w:tcW w:w="708" w:type="dxa"/>
            <w:vMerge w:val="continue"/>
            <w:vAlign w:val="center"/>
          </w:tcPr>
          <w:p>
            <w:pPr>
              <w:spacing w:line="360" w:lineRule="auto"/>
              <w:jc w:val="center"/>
              <w:rPr>
                <w:rFonts w:ascii="宋体" w:hAnsi="宋体" w:eastAsia="宋体" w:cs="宋体"/>
                <w:color w:val="auto"/>
                <w:sz w:val="24"/>
                <w:szCs w:val="21"/>
                <w:highlight w:val="none"/>
              </w:rPr>
            </w:pPr>
          </w:p>
        </w:tc>
        <w:tc>
          <w:tcPr>
            <w:tcW w:w="768" w:type="dxa"/>
            <w:vMerge w:val="continue"/>
            <w:vAlign w:val="center"/>
          </w:tcPr>
          <w:p>
            <w:pPr>
              <w:spacing w:line="360" w:lineRule="auto"/>
              <w:jc w:val="center"/>
              <w:rPr>
                <w:rFonts w:ascii="宋体" w:hAnsi="宋体" w:eastAsia="宋体" w:cs="宋体"/>
                <w:color w:val="auto"/>
                <w:sz w:val="24"/>
                <w:szCs w:val="21"/>
                <w:highlight w:val="none"/>
              </w:rPr>
            </w:pPr>
          </w:p>
        </w:tc>
        <w:tc>
          <w:tcPr>
            <w:tcW w:w="1080" w:type="dxa"/>
            <w:vAlign w:val="center"/>
          </w:tcPr>
          <w:p>
            <w:pPr>
              <w:spacing w:line="360" w:lineRule="auto"/>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单价</w:t>
            </w:r>
          </w:p>
        </w:tc>
        <w:tc>
          <w:tcPr>
            <w:tcW w:w="1080" w:type="dxa"/>
            <w:vAlign w:val="center"/>
          </w:tcPr>
          <w:p>
            <w:pPr>
              <w:spacing w:line="360" w:lineRule="auto"/>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83" w:type="dxa"/>
            <w:vAlign w:val="center"/>
          </w:tcPr>
          <w:p>
            <w:pPr>
              <w:spacing w:line="360" w:lineRule="auto"/>
              <w:rPr>
                <w:rFonts w:ascii="宋体" w:hAnsi="宋体" w:eastAsia="宋体" w:cs="宋体"/>
                <w:b/>
                <w:color w:val="auto"/>
                <w:sz w:val="24"/>
                <w:szCs w:val="21"/>
                <w:highlight w:val="none"/>
              </w:rPr>
            </w:pPr>
          </w:p>
        </w:tc>
        <w:tc>
          <w:tcPr>
            <w:tcW w:w="1080" w:type="dxa"/>
            <w:vAlign w:val="center"/>
          </w:tcPr>
          <w:p>
            <w:pPr>
              <w:spacing w:line="360" w:lineRule="auto"/>
              <w:rPr>
                <w:rFonts w:ascii="宋体" w:hAnsi="宋体" w:eastAsia="宋体" w:cs="宋体"/>
                <w:b/>
                <w:color w:val="auto"/>
                <w:sz w:val="24"/>
                <w:szCs w:val="21"/>
                <w:highlight w:val="none"/>
              </w:rPr>
            </w:pPr>
          </w:p>
        </w:tc>
        <w:tc>
          <w:tcPr>
            <w:tcW w:w="1649" w:type="dxa"/>
            <w:vAlign w:val="center"/>
          </w:tcPr>
          <w:p>
            <w:pPr>
              <w:spacing w:line="360" w:lineRule="auto"/>
              <w:rPr>
                <w:rFonts w:ascii="宋体" w:hAnsi="宋体" w:eastAsia="宋体" w:cs="宋体"/>
                <w:b/>
                <w:color w:val="auto"/>
                <w:sz w:val="24"/>
                <w:szCs w:val="21"/>
                <w:highlight w:val="none"/>
              </w:rPr>
            </w:pPr>
          </w:p>
        </w:tc>
        <w:tc>
          <w:tcPr>
            <w:tcW w:w="1843" w:type="dxa"/>
            <w:vAlign w:val="center"/>
          </w:tcPr>
          <w:p>
            <w:pPr>
              <w:spacing w:line="360" w:lineRule="auto"/>
              <w:rPr>
                <w:rFonts w:ascii="宋体" w:hAnsi="宋体" w:eastAsia="宋体" w:cs="宋体"/>
                <w:b/>
                <w:color w:val="auto"/>
                <w:sz w:val="24"/>
                <w:szCs w:val="21"/>
                <w:highlight w:val="none"/>
              </w:rPr>
            </w:pPr>
          </w:p>
        </w:tc>
        <w:tc>
          <w:tcPr>
            <w:tcW w:w="708" w:type="dxa"/>
            <w:vAlign w:val="center"/>
          </w:tcPr>
          <w:p>
            <w:pPr>
              <w:spacing w:line="360" w:lineRule="auto"/>
              <w:rPr>
                <w:rFonts w:ascii="宋体" w:hAnsi="宋体" w:eastAsia="宋体" w:cs="宋体"/>
                <w:b/>
                <w:color w:val="auto"/>
                <w:sz w:val="24"/>
                <w:szCs w:val="21"/>
                <w:highlight w:val="none"/>
              </w:rPr>
            </w:pPr>
          </w:p>
        </w:tc>
        <w:tc>
          <w:tcPr>
            <w:tcW w:w="768" w:type="dxa"/>
            <w:vAlign w:val="center"/>
          </w:tcPr>
          <w:p>
            <w:pPr>
              <w:spacing w:line="360" w:lineRule="auto"/>
              <w:rPr>
                <w:rFonts w:ascii="宋体" w:hAnsi="宋体" w:eastAsia="宋体" w:cs="宋体"/>
                <w:b/>
                <w:color w:val="auto"/>
                <w:sz w:val="24"/>
                <w:szCs w:val="21"/>
                <w:highlight w:val="none"/>
              </w:rPr>
            </w:pPr>
          </w:p>
        </w:tc>
        <w:tc>
          <w:tcPr>
            <w:tcW w:w="1080" w:type="dxa"/>
          </w:tcPr>
          <w:p>
            <w:pPr>
              <w:spacing w:line="360" w:lineRule="auto"/>
              <w:rPr>
                <w:rFonts w:ascii="宋体" w:hAnsi="宋体" w:eastAsia="宋体" w:cs="宋体"/>
                <w:color w:val="auto"/>
                <w:sz w:val="24"/>
                <w:szCs w:val="21"/>
                <w:highlight w:val="none"/>
              </w:rPr>
            </w:pPr>
          </w:p>
        </w:tc>
        <w:tc>
          <w:tcPr>
            <w:tcW w:w="1080" w:type="dxa"/>
          </w:tcPr>
          <w:p>
            <w:pPr>
              <w:spacing w:line="360" w:lineRule="auto"/>
              <w:rPr>
                <w:rFonts w:ascii="宋体" w:hAnsi="宋体" w:eastAsia="宋体" w:cs="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683" w:type="dxa"/>
            <w:vAlign w:val="center"/>
          </w:tcPr>
          <w:p>
            <w:pPr>
              <w:spacing w:line="360" w:lineRule="auto"/>
              <w:rPr>
                <w:rFonts w:ascii="宋体" w:hAnsi="宋体" w:eastAsia="宋体" w:cs="宋体"/>
                <w:b/>
                <w:color w:val="auto"/>
                <w:sz w:val="24"/>
                <w:szCs w:val="21"/>
                <w:highlight w:val="none"/>
              </w:rPr>
            </w:pPr>
          </w:p>
        </w:tc>
        <w:tc>
          <w:tcPr>
            <w:tcW w:w="1080" w:type="dxa"/>
            <w:vAlign w:val="center"/>
          </w:tcPr>
          <w:p>
            <w:pPr>
              <w:spacing w:line="360" w:lineRule="auto"/>
              <w:rPr>
                <w:rFonts w:ascii="宋体" w:hAnsi="宋体" w:eastAsia="宋体" w:cs="宋体"/>
                <w:b/>
                <w:color w:val="auto"/>
                <w:sz w:val="24"/>
                <w:szCs w:val="21"/>
                <w:highlight w:val="none"/>
              </w:rPr>
            </w:pPr>
          </w:p>
        </w:tc>
        <w:tc>
          <w:tcPr>
            <w:tcW w:w="1649" w:type="dxa"/>
            <w:vAlign w:val="center"/>
          </w:tcPr>
          <w:p>
            <w:pPr>
              <w:spacing w:line="360" w:lineRule="auto"/>
              <w:rPr>
                <w:rFonts w:ascii="宋体" w:hAnsi="宋体" w:eastAsia="宋体" w:cs="宋体"/>
                <w:b/>
                <w:color w:val="auto"/>
                <w:sz w:val="24"/>
                <w:szCs w:val="21"/>
                <w:highlight w:val="none"/>
              </w:rPr>
            </w:pPr>
          </w:p>
        </w:tc>
        <w:tc>
          <w:tcPr>
            <w:tcW w:w="1843" w:type="dxa"/>
            <w:vAlign w:val="center"/>
          </w:tcPr>
          <w:p>
            <w:pPr>
              <w:spacing w:line="360" w:lineRule="auto"/>
              <w:rPr>
                <w:rFonts w:ascii="宋体" w:hAnsi="宋体" w:eastAsia="宋体" w:cs="宋体"/>
                <w:b/>
                <w:color w:val="auto"/>
                <w:sz w:val="24"/>
                <w:szCs w:val="21"/>
                <w:highlight w:val="none"/>
              </w:rPr>
            </w:pPr>
          </w:p>
        </w:tc>
        <w:tc>
          <w:tcPr>
            <w:tcW w:w="708" w:type="dxa"/>
            <w:vAlign w:val="center"/>
          </w:tcPr>
          <w:p>
            <w:pPr>
              <w:spacing w:line="360" w:lineRule="auto"/>
              <w:rPr>
                <w:rFonts w:ascii="宋体" w:hAnsi="宋体" w:eastAsia="宋体" w:cs="宋体"/>
                <w:b/>
                <w:color w:val="auto"/>
                <w:sz w:val="24"/>
                <w:szCs w:val="21"/>
                <w:highlight w:val="none"/>
              </w:rPr>
            </w:pPr>
          </w:p>
        </w:tc>
        <w:tc>
          <w:tcPr>
            <w:tcW w:w="768" w:type="dxa"/>
            <w:vAlign w:val="center"/>
          </w:tcPr>
          <w:p>
            <w:pPr>
              <w:spacing w:line="360" w:lineRule="auto"/>
              <w:rPr>
                <w:rFonts w:ascii="宋体" w:hAnsi="宋体" w:eastAsia="宋体" w:cs="宋体"/>
                <w:b/>
                <w:color w:val="auto"/>
                <w:sz w:val="24"/>
                <w:szCs w:val="21"/>
                <w:highlight w:val="none"/>
              </w:rPr>
            </w:pPr>
          </w:p>
        </w:tc>
        <w:tc>
          <w:tcPr>
            <w:tcW w:w="1080" w:type="dxa"/>
          </w:tcPr>
          <w:p>
            <w:pPr>
              <w:spacing w:line="360" w:lineRule="auto"/>
              <w:rPr>
                <w:rFonts w:ascii="宋体" w:hAnsi="宋体" w:eastAsia="宋体" w:cs="宋体"/>
                <w:color w:val="auto"/>
                <w:sz w:val="24"/>
                <w:szCs w:val="21"/>
                <w:highlight w:val="none"/>
              </w:rPr>
            </w:pPr>
          </w:p>
        </w:tc>
        <w:tc>
          <w:tcPr>
            <w:tcW w:w="1080" w:type="dxa"/>
          </w:tcPr>
          <w:p>
            <w:pPr>
              <w:spacing w:line="360" w:lineRule="auto"/>
              <w:rPr>
                <w:rFonts w:ascii="宋体" w:hAnsi="宋体" w:eastAsia="宋体" w:cs="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683" w:type="dxa"/>
            <w:vAlign w:val="center"/>
          </w:tcPr>
          <w:p>
            <w:pPr>
              <w:spacing w:line="360" w:lineRule="auto"/>
              <w:rPr>
                <w:rFonts w:ascii="宋体" w:hAnsi="宋体" w:eastAsia="宋体" w:cs="宋体"/>
                <w:b/>
                <w:color w:val="auto"/>
                <w:sz w:val="24"/>
                <w:szCs w:val="21"/>
                <w:highlight w:val="none"/>
              </w:rPr>
            </w:pPr>
          </w:p>
        </w:tc>
        <w:tc>
          <w:tcPr>
            <w:tcW w:w="1080" w:type="dxa"/>
            <w:vAlign w:val="center"/>
          </w:tcPr>
          <w:p>
            <w:pPr>
              <w:spacing w:line="360" w:lineRule="auto"/>
              <w:rPr>
                <w:rFonts w:ascii="宋体" w:hAnsi="宋体" w:eastAsia="宋体" w:cs="宋体"/>
                <w:b/>
                <w:color w:val="auto"/>
                <w:sz w:val="24"/>
                <w:szCs w:val="21"/>
                <w:highlight w:val="none"/>
              </w:rPr>
            </w:pPr>
          </w:p>
        </w:tc>
        <w:tc>
          <w:tcPr>
            <w:tcW w:w="1649" w:type="dxa"/>
            <w:vAlign w:val="center"/>
          </w:tcPr>
          <w:p>
            <w:pPr>
              <w:spacing w:line="360" w:lineRule="auto"/>
              <w:rPr>
                <w:rFonts w:ascii="宋体" w:hAnsi="宋体" w:eastAsia="宋体" w:cs="宋体"/>
                <w:b/>
                <w:color w:val="auto"/>
                <w:sz w:val="24"/>
                <w:szCs w:val="21"/>
                <w:highlight w:val="none"/>
              </w:rPr>
            </w:pPr>
          </w:p>
        </w:tc>
        <w:tc>
          <w:tcPr>
            <w:tcW w:w="1843" w:type="dxa"/>
            <w:vAlign w:val="center"/>
          </w:tcPr>
          <w:p>
            <w:pPr>
              <w:spacing w:line="360" w:lineRule="auto"/>
              <w:rPr>
                <w:rFonts w:ascii="宋体" w:hAnsi="宋体" w:eastAsia="宋体" w:cs="宋体"/>
                <w:b/>
                <w:color w:val="auto"/>
                <w:sz w:val="24"/>
                <w:szCs w:val="21"/>
                <w:highlight w:val="none"/>
              </w:rPr>
            </w:pPr>
          </w:p>
        </w:tc>
        <w:tc>
          <w:tcPr>
            <w:tcW w:w="708" w:type="dxa"/>
            <w:vAlign w:val="center"/>
          </w:tcPr>
          <w:p>
            <w:pPr>
              <w:spacing w:line="360" w:lineRule="auto"/>
              <w:rPr>
                <w:rFonts w:ascii="宋体" w:hAnsi="宋体" w:eastAsia="宋体" w:cs="宋体"/>
                <w:b/>
                <w:color w:val="auto"/>
                <w:sz w:val="24"/>
                <w:szCs w:val="21"/>
                <w:highlight w:val="none"/>
              </w:rPr>
            </w:pPr>
          </w:p>
        </w:tc>
        <w:tc>
          <w:tcPr>
            <w:tcW w:w="768" w:type="dxa"/>
            <w:vAlign w:val="center"/>
          </w:tcPr>
          <w:p>
            <w:pPr>
              <w:spacing w:line="360" w:lineRule="auto"/>
              <w:rPr>
                <w:rFonts w:ascii="宋体" w:hAnsi="宋体" w:eastAsia="宋体" w:cs="宋体"/>
                <w:b/>
                <w:color w:val="auto"/>
                <w:sz w:val="24"/>
                <w:szCs w:val="21"/>
                <w:highlight w:val="none"/>
              </w:rPr>
            </w:pPr>
          </w:p>
        </w:tc>
        <w:tc>
          <w:tcPr>
            <w:tcW w:w="1080" w:type="dxa"/>
          </w:tcPr>
          <w:p>
            <w:pPr>
              <w:spacing w:line="360" w:lineRule="auto"/>
              <w:rPr>
                <w:rFonts w:ascii="宋体" w:hAnsi="宋体" w:eastAsia="宋体" w:cs="宋体"/>
                <w:color w:val="auto"/>
                <w:sz w:val="24"/>
                <w:szCs w:val="21"/>
                <w:highlight w:val="none"/>
              </w:rPr>
            </w:pPr>
          </w:p>
        </w:tc>
        <w:tc>
          <w:tcPr>
            <w:tcW w:w="1080" w:type="dxa"/>
          </w:tcPr>
          <w:p>
            <w:pPr>
              <w:spacing w:line="360" w:lineRule="auto"/>
              <w:rPr>
                <w:rFonts w:ascii="宋体" w:hAnsi="宋体" w:eastAsia="宋体" w:cs="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 w:hRule="atLeast"/>
          <w:jc w:val="center"/>
        </w:trPr>
        <w:tc>
          <w:tcPr>
            <w:tcW w:w="1763" w:type="dxa"/>
            <w:gridSpan w:val="2"/>
            <w:vAlign w:val="center"/>
          </w:tcPr>
          <w:p>
            <w:pPr>
              <w:spacing w:line="360" w:lineRule="auto"/>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投标总价</w:t>
            </w:r>
          </w:p>
        </w:tc>
        <w:tc>
          <w:tcPr>
            <w:tcW w:w="7128" w:type="dxa"/>
            <w:gridSpan w:val="6"/>
            <w:vAlign w:val="center"/>
          </w:tcPr>
          <w:p>
            <w:pPr>
              <w:spacing w:line="360" w:lineRule="auto"/>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大写：</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元（小写：</w:t>
            </w:r>
            <w:r>
              <w:rPr>
                <w:rFonts w:hint="eastAsia" w:ascii="宋体" w:hAnsi="宋体" w:eastAsia="宋体" w:cs="宋体"/>
                <w:color w:val="auto"/>
                <w:sz w:val="24"/>
                <w:szCs w:val="21"/>
                <w:highlight w:val="none"/>
                <w:u w:val="single"/>
              </w:rPr>
              <w:t>　　　　　</w:t>
            </w:r>
            <w:r>
              <w:rPr>
                <w:rFonts w:hint="eastAsia" w:ascii="宋体" w:hAnsi="宋体" w:eastAsia="宋体" w:cs="宋体"/>
                <w:color w:val="auto"/>
                <w:sz w:val="24"/>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atLeast"/>
          <w:jc w:val="center"/>
        </w:trPr>
        <w:tc>
          <w:tcPr>
            <w:tcW w:w="8891" w:type="dxa"/>
            <w:gridSpan w:val="8"/>
            <w:vAlign w:val="center"/>
          </w:tcPr>
          <w:p>
            <w:pPr>
              <w:spacing w:after="120" w:line="400" w:lineRule="exact"/>
              <w:ind w:firstLine="480" w:firstLineChars="200"/>
              <w:jc w:val="left"/>
              <w:rPr>
                <w:rFonts w:ascii="宋体" w:hAnsi="宋体" w:eastAsia="宋体" w:cs="Times New Roman"/>
                <w:color w:val="auto"/>
                <w:sz w:val="24"/>
                <w:szCs w:val="24"/>
                <w:highlight w:val="none"/>
              </w:rPr>
            </w:pPr>
            <w:r>
              <w:rPr>
                <w:rFonts w:hint="eastAsia" w:ascii="宋体" w:hAnsi="宋体" w:eastAsia="宋体" w:cs="宋体"/>
                <w:bCs/>
                <w:color w:val="auto"/>
                <w:sz w:val="24"/>
                <w:szCs w:val="24"/>
                <w:highlight w:val="none"/>
              </w:rPr>
              <w:t>投标报价应包括但不限于设备的设计、制造、供货、发货、配件费、材料费、卸货、指导安装、调试费、保险、人工费、管理费、税费、运费和交付使用、设备在本文规定的质保期内的维修保养，并应保证设备在各方面均能达到正常运行要求的费用，以及招标代理费，以及其它一切不可预见和实际所需的一切其他费用等。如有漏报，视同已包含在其报价中。</w:t>
            </w:r>
          </w:p>
        </w:tc>
      </w:tr>
    </w:tbl>
    <w:p>
      <w:pPr>
        <w:snapToGrid w:val="0"/>
        <w:spacing w:before="156" w:beforeLines="50"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注：在填写时，如上表不适合本项目的实际情况，可在确保投标明细内容完整的情况下，根据上表格式自行划表填写。</w:t>
      </w:r>
    </w:p>
    <w:p>
      <w:pPr>
        <w:ind w:left="2100" w:leftChars="1000"/>
        <w:rPr>
          <w:rFonts w:ascii="宋体" w:hAnsi="宋体" w:eastAsia="宋体" w:cs="Times New Roman"/>
          <w:color w:val="auto"/>
          <w:szCs w:val="24"/>
          <w:highlight w:val="none"/>
        </w:rPr>
      </w:pPr>
    </w:p>
    <w:p>
      <w:pPr>
        <w:widowControl/>
        <w:overflowPunct w:val="0"/>
        <w:autoSpaceDE w:val="0"/>
        <w:autoSpaceDN w:val="0"/>
        <w:adjustRightInd w:val="0"/>
        <w:ind w:firstLine="482" w:firstLineChars="200"/>
        <w:textAlignment w:val="baseline"/>
        <w:rPr>
          <w:rFonts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lang w:val="en-GB"/>
        </w:rPr>
        <w:t xml:space="preserve">    </w:t>
      </w:r>
    </w:p>
    <w:p>
      <w:pPr>
        <w:rPr>
          <w:rFonts w:ascii="宋体" w:hAnsi="宋体" w:eastAsia="宋体" w:cs="Times New Roman"/>
          <w:color w:val="auto"/>
          <w:szCs w:val="24"/>
          <w:highlight w:val="none"/>
        </w:rPr>
      </w:pPr>
    </w:p>
    <w:p>
      <w:pPr>
        <w:spacing w:line="360" w:lineRule="auto"/>
        <w:ind w:left="3780" w:leftChars="180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pPr>
        <w:spacing w:line="360" w:lineRule="auto"/>
        <w:ind w:left="3780" w:leftChars="180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投标人全称（公章）：</w:t>
      </w:r>
    </w:p>
    <w:p>
      <w:pPr>
        <w:spacing w:line="360" w:lineRule="auto"/>
        <w:ind w:left="3780" w:leftChars="1800" w:firstLine="480" w:firstLineChars="200"/>
        <w:rPr>
          <w:rFonts w:ascii="宋体" w:hAnsi="宋体" w:eastAsia="宋体" w:cs="宋体"/>
          <w:b/>
          <w:color w:val="auto"/>
          <w:sz w:val="28"/>
          <w:szCs w:val="20"/>
          <w:highlight w:val="none"/>
        </w:rPr>
      </w:pPr>
      <w:r>
        <w:rPr>
          <w:rFonts w:hint="eastAsia" w:ascii="宋体" w:hAnsi="宋体" w:eastAsia="宋体" w:cs="宋体"/>
          <w:color w:val="auto"/>
          <w:sz w:val="24"/>
          <w:szCs w:val="24"/>
          <w:highlight w:val="none"/>
        </w:rPr>
        <w:t>日 期：</w:t>
      </w:r>
    </w:p>
    <w:p>
      <w:pPr>
        <w:spacing w:line="460" w:lineRule="atLeast"/>
        <w:rPr>
          <w:rFonts w:ascii="宋体" w:hAnsi="宋体" w:eastAsia="宋体" w:cs="Times New Roman"/>
          <w:b/>
          <w:bCs/>
          <w:color w:val="auto"/>
          <w:sz w:val="24"/>
          <w:szCs w:val="24"/>
          <w:highlight w:val="none"/>
        </w:rPr>
      </w:pPr>
    </w:p>
    <w:p>
      <w:pPr>
        <w:spacing w:line="460" w:lineRule="atLeast"/>
        <w:rPr>
          <w:rFonts w:ascii="宋体" w:hAnsi="宋体" w:eastAsia="宋体" w:cs="Times New Roman"/>
          <w:b/>
          <w:bCs/>
          <w:color w:val="auto"/>
          <w:sz w:val="24"/>
          <w:szCs w:val="24"/>
          <w:highlight w:val="none"/>
        </w:rPr>
      </w:pPr>
    </w:p>
    <w:p>
      <w:pPr>
        <w:spacing w:line="460" w:lineRule="atLeast"/>
        <w:rPr>
          <w:rFonts w:ascii="宋体" w:hAnsi="宋体" w:eastAsia="宋体" w:cs="Times New Roman"/>
          <w:b/>
          <w:bCs/>
          <w:color w:val="auto"/>
          <w:sz w:val="24"/>
          <w:szCs w:val="24"/>
          <w:highlight w:val="none"/>
        </w:rPr>
      </w:pPr>
    </w:p>
    <w:p>
      <w:pPr>
        <w:jc w:val="center"/>
        <w:rPr>
          <w:b/>
          <w:color w:val="auto"/>
          <w:highlight w:val="none"/>
        </w:rPr>
      </w:pPr>
    </w:p>
    <w:sectPr>
      <w:footerReference r:id="rId3" w:type="default"/>
      <w:pgSz w:w="11906" w:h="16838"/>
      <w:pgMar w:top="1134" w:right="1418" w:bottom="1134"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9174379"/>
      <w:docPartObj>
        <w:docPartGallery w:val="autotext"/>
      </w:docPartObj>
    </w:sdtPr>
    <w:sdtContent>
      <w:p>
        <w:pPr>
          <w:pStyle w:val="4"/>
          <w:jc w:val="center"/>
        </w:pPr>
        <w:r>
          <w:fldChar w:fldCharType="begin"/>
        </w:r>
        <w:r>
          <w:instrText xml:space="preserve">PAGE   \* MERGEFORMAT</w:instrText>
        </w:r>
        <w:r>
          <w:fldChar w:fldCharType="separate"/>
        </w:r>
        <w:r>
          <w:rPr>
            <w:lang w:val="zh-CN"/>
          </w:rPr>
          <w:t>30</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0C84E7"/>
    <w:multiLevelType w:val="singleLevel"/>
    <w:tmpl w:val="960C84E7"/>
    <w:lvl w:ilvl="0" w:tentative="0">
      <w:start w:val="1"/>
      <w:numFmt w:val="decimal"/>
      <w:suff w:val="nothing"/>
      <w:lvlText w:val="14.%1 "/>
      <w:lvlJc w:val="left"/>
      <w:pPr>
        <w:tabs>
          <w:tab w:val="left" w:pos="0"/>
        </w:tabs>
        <w:ind w:left="0" w:firstLine="40"/>
      </w:pPr>
      <w:rPr>
        <w:rFonts w:hint="default" w:ascii="宋体" w:hAnsi="宋体" w:eastAsia="宋体" w:cs="宋体"/>
      </w:rPr>
    </w:lvl>
  </w:abstractNum>
  <w:abstractNum w:abstractNumId="1">
    <w:nsid w:val="9E7D436F"/>
    <w:multiLevelType w:val="singleLevel"/>
    <w:tmpl w:val="9E7D436F"/>
    <w:lvl w:ilvl="0" w:tentative="0">
      <w:start w:val="1"/>
      <w:numFmt w:val="chineseCounting"/>
      <w:suff w:val="nothing"/>
      <w:lvlText w:val="%1、"/>
      <w:lvlJc w:val="left"/>
      <w:rPr>
        <w:rFonts w:hint="eastAsia"/>
      </w:rPr>
    </w:lvl>
  </w:abstractNum>
  <w:abstractNum w:abstractNumId="2">
    <w:nsid w:val="FF8E5FC9"/>
    <w:multiLevelType w:val="singleLevel"/>
    <w:tmpl w:val="FF8E5FC9"/>
    <w:lvl w:ilvl="0" w:tentative="0">
      <w:start w:val="1"/>
      <w:numFmt w:val="decimal"/>
      <w:suff w:val="nothing"/>
      <w:lvlText w:val="%1．"/>
      <w:lvlJc w:val="left"/>
      <w:pPr>
        <w:ind w:left="0" w:firstLine="397"/>
      </w:pPr>
      <w:rPr>
        <w:rFonts w:hint="default"/>
      </w:rPr>
    </w:lvl>
  </w:abstractNum>
  <w:abstractNum w:abstractNumId="3">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4">
    <w:nsid w:val="0C461A56"/>
    <w:multiLevelType w:val="multilevel"/>
    <w:tmpl w:val="0C461A56"/>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C5B33F6"/>
    <w:multiLevelType w:val="multilevel"/>
    <w:tmpl w:val="0C5B33F6"/>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6">
    <w:nsid w:val="139B6DF6"/>
    <w:multiLevelType w:val="singleLevel"/>
    <w:tmpl w:val="139B6DF6"/>
    <w:lvl w:ilvl="0" w:tentative="0">
      <w:start w:val="1"/>
      <w:numFmt w:val="decimal"/>
      <w:suff w:val="nothing"/>
      <w:lvlText w:val="9.%1 "/>
      <w:lvlJc w:val="left"/>
      <w:pPr>
        <w:tabs>
          <w:tab w:val="left" w:pos="0"/>
        </w:tabs>
        <w:ind w:left="-60" w:firstLine="40"/>
      </w:pPr>
      <w:rPr>
        <w:rFonts w:hint="default" w:ascii="宋体" w:hAnsi="宋体" w:eastAsia="宋体" w:cs="宋体"/>
      </w:rPr>
    </w:lvl>
  </w:abstractNum>
  <w:abstractNum w:abstractNumId="7">
    <w:nsid w:val="1DBCF645"/>
    <w:multiLevelType w:val="singleLevel"/>
    <w:tmpl w:val="1DBCF645"/>
    <w:lvl w:ilvl="0" w:tentative="0">
      <w:start w:val="1"/>
      <w:numFmt w:val="decimalEnclosedCircleChinese"/>
      <w:suff w:val="nothing"/>
      <w:lvlText w:val="%1　"/>
      <w:lvlJc w:val="left"/>
      <w:pPr>
        <w:ind w:left="0" w:firstLine="397"/>
      </w:pPr>
      <w:rPr>
        <w:rFonts w:hint="eastAsia"/>
      </w:rPr>
    </w:lvl>
  </w:abstractNum>
  <w:abstractNum w:abstractNumId="8">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9">
    <w:nsid w:val="25F33ADD"/>
    <w:multiLevelType w:val="singleLevel"/>
    <w:tmpl w:val="25F33ADD"/>
    <w:lvl w:ilvl="0" w:tentative="0">
      <w:start w:val="1"/>
      <w:numFmt w:val="decimalEnclosedCircleChinese"/>
      <w:suff w:val="nothing"/>
      <w:lvlText w:val="%1　"/>
      <w:lvlJc w:val="left"/>
      <w:pPr>
        <w:ind w:left="0" w:firstLine="1134"/>
      </w:pPr>
      <w:rPr>
        <w:rFonts w:hint="eastAsia"/>
      </w:rPr>
    </w:lvl>
  </w:abstractNum>
  <w:abstractNum w:abstractNumId="10">
    <w:nsid w:val="31213A5A"/>
    <w:multiLevelType w:val="singleLevel"/>
    <w:tmpl w:val="31213A5A"/>
    <w:lvl w:ilvl="0" w:tentative="0">
      <w:start w:val="4"/>
      <w:numFmt w:val="chineseCounting"/>
      <w:suff w:val="nothing"/>
      <w:lvlText w:val="%1、"/>
      <w:lvlJc w:val="left"/>
      <w:rPr>
        <w:rFonts w:hint="eastAsia"/>
      </w:rPr>
    </w:lvl>
  </w:abstractNum>
  <w:abstractNum w:abstractNumId="11">
    <w:nsid w:val="336D61BF"/>
    <w:multiLevelType w:val="singleLevel"/>
    <w:tmpl w:val="336D61BF"/>
    <w:lvl w:ilvl="0" w:tentative="0">
      <w:start w:val="1"/>
      <w:numFmt w:val="decimal"/>
      <w:suff w:val="nothing"/>
      <w:lvlText w:val="%1、"/>
      <w:lvlJc w:val="left"/>
    </w:lvl>
  </w:abstractNum>
  <w:abstractNum w:abstractNumId="12">
    <w:nsid w:val="416779F0"/>
    <w:multiLevelType w:val="singleLevel"/>
    <w:tmpl w:val="416779F0"/>
    <w:lvl w:ilvl="0" w:tentative="0">
      <w:start w:val="1"/>
      <w:numFmt w:val="decimalEnclosedCircleChinese"/>
      <w:suff w:val="nothing"/>
      <w:lvlText w:val="%1　"/>
      <w:lvlJc w:val="left"/>
      <w:pPr>
        <w:ind w:left="0" w:firstLine="1134"/>
      </w:pPr>
      <w:rPr>
        <w:rFonts w:hint="eastAsia"/>
      </w:rPr>
    </w:lvl>
  </w:abstractNum>
  <w:abstractNum w:abstractNumId="13">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14">
    <w:nsid w:val="474E1A63"/>
    <w:multiLevelType w:val="singleLevel"/>
    <w:tmpl w:val="474E1A63"/>
    <w:lvl w:ilvl="0" w:tentative="0">
      <w:start w:val="1"/>
      <w:numFmt w:val="decimalEnclosedCircleChinese"/>
      <w:suff w:val="nothing"/>
      <w:lvlText w:val="%1　"/>
      <w:lvlJc w:val="left"/>
      <w:pPr>
        <w:ind w:left="0" w:firstLine="1134"/>
      </w:pPr>
      <w:rPr>
        <w:rFonts w:hint="eastAsia"/>
      </w:rPr>
    </w:lvl>
  </w:abstractNum>
  <w:abstractNum w:abstractNumId="15">
    <w:nsid w:val="4D4A2151"/>
    <w:multiLevelType w:val="singleLevel"/>
    <w:tmpl w:val="4D4A2151"/>
    <w:lvl w:ilvl="0" w:tentative="0">
      <w:start w:val="1"/>
      <w:numFmt w:val="decimal"/>
      <w:suff w:val="nothing"/>
      <w:lvlText w:val="%1．"/>
      <w:lvlJc w:val="left"/>
      <w:pPr>
        <w:ind w:left="0" w:firstLine="397"/>
      </w:pPr>
      <w:rPr>
        <w:rFonts w:hint="default"/>
      </w:rPr>
    </w:lvl>
  </w:abstractNum>
  <w:abstractNum w:abstractNumId="16">
    <w:nsid w:val="62705028"/>
    <w:multiLevelType w:val="singleLevel"/>
    <w:tmpl w:val="62705028"/>
    <w:lvl w:ilvl="0" w:tentative="0">
      <w:start w:val="1"/>
      <w:numFmt w:val="decimalEnclosedCircleChinese"/>
      <w:suff w:val="nothing"/>
      <w:lvlText w:val="%1　"/>
      <w:lvlJc w:val="left"/>
      <w:pPr>
        <w:ind w:left="0" w:firstLine="397"/>
      </w:pPr>
      <w:rPr>
        <w:rFonts w:hint="eastAsia"/>
      </w:rPr>
    </w:lvl>
  </w:abstractNum>
  <w:abstractNum w:abstractNumId="17">
    <w:nsid w:val="6A96EE79"/>
    <w:multiLevelType w:val="singleLevel"/>
    <w:tmpl w:val="6A96EE79"/>
    <w:lvl w:ilvl="0" w:tentative="0">
      <w:start w:val="1"/>
      <w:numFmt w:val="decimalEnclosedCircleChinese"/>
      <w:suff w:val="nothing"/>
      <w:lvlText w:val="%1　"/>
      <w:lvlJc w:val="left"/>
      <w:pPr>
        <w:ind w:left="26" w:firstLine="400"/>
      </w:pPr>
      <w:rPr>
        <w:rFonts w:hint="eastAsia"/>
      </w:rPr>
    </w:lvl>
  </w:abstractNum>
  <w:abstractNum w:abstractNumId="18">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2"/>
  </w:num>
  <w:num w:numId="2">
    <w:abstractNumId w:val="15"/>
  </w:num>
  <w:num w:numId="3">
    <w:abstractNumId w:val="7"/>
  </w:num>
  <w:num w:numId="4">
    <w:abstractNumId w:val="18"/>
  </w:num>
  <w:num w:numId="5">
    <w:abstractNumId w:val="8"/>
  </w:num>
  <w:num w:numId="6">
    <w:abstractNumId w:val="16"/>
  </w:num>
  <w:num w:numId="7">
    <w:abstractNumId w:val="4"/>
  </w:num>
  <w:num w:numId="8">
    <w:abstractNumId w:val="6"/>
  </w:num>
  <w:num w:numId="9">
    <w:abstractNumId w:val="14"/>
  </w:num>
  <w:num w:numId="10">
    <w:abstractNumId w:val="13"/>
  </w:num>
  <w:num w:numId="11">
    <w:abstractNumId w:val="17"/>
  </w:num>
  <w:num w:numId="12">
    <w:abstractNumId w:val="0"/>
  </w:num>
  <w:num w:numId="13">
    <w:abstractNumId w:val="9"/>
  </w:num>
  <w:num w:numId="14">
    <w:abstractNumId w:val="11"/>
  </w:num>
  <w:num w:numId="15">
    <w:abstractNumId w:val="1"/>
  </w:num>
  <w:num w:numId="16">
    <w:abstractNumId w:val="10"/>
  </w:num>
  <w:num w:numId="17">
    <w:abstractNumId w:val="3"/>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D97"/>
    <w:rsid w:val="00004B22"/>
    <w:rsid w:val="0001602F"/>
    <w:rsid w:val="000739FA"/>
    <w:rsid w:val="00084430"/>
    <w:rsid w:val="000B5D3D"/>
    <w:rsid w:val="000D1592"/>
    <w:rsid w:val="00100B1F"/>
    <w:rsid w:val="00127DB3"/>
    <w:rsid w:val="00134500"/>
    <w:rsid w:val="00160ECD"/>
    <w:rsid w:val="00165250"/>
    <w:rsid w:val="00186F3F"/>
    <w:rsid w:val="001B3D80"/>
    <w:rsid w:val="001C370E"/>
    <w:rsid w:val="001E224C"/>
    <w:rsid w:val="001F2E1A"/>
    <w:rsid w:val="00212A33"/>
    <w:rsid w:val="00250500"/>
    <w:rsid w:val="0025741E"/>
    <w:rsid w:val="00260955"/>
    <w:rsid w:val="00272E7E"/>
    <w:rsid w:val="00273C03"/>
    <w:rsid w:val="002841ED"/>
    <w:rsid w:val="002A4536"/>
    <w:rsid w:val="002A5CE4"/>
    <w:rsid w:val="002E2A13"/>
    <w:rsid w:val="002E6A52"/>
    <w:rsid w:val="002F2A6B"/>
    <w:rsid w:val="00300A7C"/>
    <w:rsid w:val="00304BCA"/>
    <w:rsid w:val="00327C18"/>
    <w:rsid w:val="00355D5F"/>
    <w:rsid w:val="00375BCE"/>
    <w:rsid w:val="00394D69"/>
    <w:rsid w:val="003C549C"/>
    <w:rsid w:val="003D24BD"/>
    <w:rsid w:val="003F0099"/>
    <w:rsid w:val="003F20A1"/>
    <w:rsid w:val="00456810"/>
    <w:rsid w:val="00477EBC"/>
    <w:rsid w:val="004A5909"/>
    <w:rsid w:val="004E4958"/>
    <w:rsid w:val="004F4BC4"/>
    <w:rsid w:val="00525CAA"/>
    <w:rsid w:val="0053122C"/>
    <w:rsid w:val="00545BF5"/>
    <w:rsid w:val="00561F90"/>
    <w:rsid w:val="005831F1"/>
    <w:rsid w:val="005B4E26"/>
    <w:rsid w:val="005E05AF"/>
    <w:rsid w:val="00605EA3"/>
    <w:rsid w:val="00610DE1"/>
    <w:rsid w:val="00611CAB"/>
    <w:rsid w:val="00652D97"/>
    <w:rsid w:val="00660624"/>
    <w:rsid w:val="00673AD0"/>
    <w:rsid w:val="006765B6"/>
    <w:rsid w:val="006E00F5"/>
    <w:rsid w:val="006F5CF9"/>
    <w:rsid w:val="007156B9"/>
    <w:rsid w:val="00762927"/>
    <w:rsid w:val="007761A5"/>
    <w:rsid w:val="007A12EA"/>
    <w:rsid w:val="007A49D4"/>
    <w:rsid w:val="007C1104"/>
    <w:rsid w:val="007D204D"/>
    <w:rsid w:val="007D211B"/>
    <w:rsid w:val="007D3534"/>
    <w:rsid w:val="007F069C"/>
    <w:rsid w:val="00876E92"/>
    <w:rsid w:val="008A5EC9"/>
    <w:rsid w:val="008E1E51"/>
    <w:rsid w:val="009221D9"/>
    <w:rsid w:val="0096116A"/>
    <w:rsid w:val="0097719C"/>
    <w:rsid w:val="009B082A"/>
    <w:rsid w:val="009B2B53"/>
    <w:rsid w:val="00A0455F"/>
    <w:rsid w:val="00A238A4"/>
    <w:rsid w:val="00A37B7F"/>
    <w:rsid w:val="00A60632"/>
    <w:rsid w:val="00A66920"/>
    <w:rsid w:val="00A90D7B"/>
    <w:rsid w:val="00AD5D74"/>
    <w:rsid w:val="00AE1613"/>
    <w:rsid w:val="00AE6E62"/>
    <w:rsid w:val="00B01F73"/>
    <w:rsid w:val="00B70B19"/>
    <w:rsid w:val="00B76E19"/>
    <w:rsid w:val="00C13E39"/>
    <w:rsid w:val="00C22EAB"/>
    <w:rsid w:val="00C4262B"/>
    <w:rsid w:val="00C67B0B"/>
    <w:rsid w:val="00C8258F"/>
    <w:rsid w:val="00C853E6"/>
    <w:rsid w:val="00CA7DAC"/>
    <w:rsid w:val="00CB00EE"/>
    <w:rsid w:val="00CB48A5"/>
    <w:rsid w:val="00CD716F"/>
    <w:rsid w:val="00CE22C5"/>
    <w:rsid w:val="00CE471D"/>
    <w:rsid w:val="00CE5BFF"/>
    <w:rsid w:val="00D51E59"/>
    <w:rsid w:val="00D55C7E"/>
    <w:rsid w:val="00D57CDC"/>
    <w:rsid w:val="00D803FB"/>
    <w:rsid w:val="00DC4978"/>
    <w:rsid w:val="00DE0366"/>
    <w:rsid w:val="00DF1E47"/>
    <w:rsid w:val="00E05BE4"/>
    <w:rsid w:val="00E11AAC"/>
    <w:rsid w:val="00E23897"/>
    <w:rsid w:val="00E84434"/>
    <w:rsid w:val="00E95BFD"/>
    <w:rsid w:val="00EC3DE8"/>
    <w:rsid w:val="00F3467F"/>
    <w:rsid w:val="00F60934"/>
    <w:rsid w:val="00F63AB5"/>
    <w:rsid w:val="00F71438"/>
    <w:rsid w:val="00F920E7"/>
    <w:rsid w:val="00FA21F5"/>
    <w:rsid w:val="00FB0D2A"/>
    <w:rsid w:val="00FC391A"/>
    <w:rsid w:val="14C4718F"/>
    <w:rsid w:val="231E5371"/>
    <w:rsid w:val="2B830051"/>
    <w:rsid w:val="348E578D"/>
    <w:rsid w:val="39013FD4"/>
    <w:rsid w:val="4FBB1A4B"/>
    <w:rsid w:val="66D154F9"/>
    <w:rsid w:val="6805521B"/>
    <w:rsid w:val="7E725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3"/>
    <w:unhideWhenUsed/>
    <w:uiPriority w:val="0"/>
    <w:pPr>
      <w:jc w:val="left"/>
    </w:pPr>
    <w:rPr>
      <w:rFonts w:ascii="Times New Roman" w:hAnsi="Times New Roman" w:eastAsia="宋体" w:cs="Times New Roman"/>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semiHidden/>
    <w:unhideWhenUsed/>
    <w:qFormat/>
    <w:uiPriority w:val="0"/>
    <w:rPr>
      <w:sz w:val="21"/>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批注文字 Char"/>
    <w:basedOn w:val="8"/>
    <w:link w:val="2"/>
    <w:qFormat/>
    <w:uiPriority w:val="0"/>
    <w:rPr>
      <w:rFonts w:ascii="Times New Roman" w:hAnsi="Times New Roman" w:eastAsia="宋体" w:cs="Times New Roman"/>
      <w:szCs w:val="24"/>
    </w:rPr>
  </w:style>
  <w:style w:type="character" w:customStyle="1" w:styleId="14">
    <w:name w:val="批注框文本 Char"/>
    <w:basedOn w:val="8"/>
    <w:link w:val="3"/>
    <w:semiHidden/>
    <w:qFormat/>
    <w:uiPriority w:val="99"/>
    <w:rPr>
      <w:sz w:val="18"/>
      <w:szCs w:val="18"/>
    </w:rPr>
  </w:style>
  <w:style w:type="character" w:customStyle="1" w:styleId="15">
    <w:name w:val="页眉 Char"/>
    <w:basedOn w:val="8"/>
    <w:link w:val="5"/>
    <w:qFormat/>
    <w:uiPriority w:val="99"/>
    <w:rPr>
      <w:sz w:val="18"/>
      <w:szCs w:val="18"/>
    </w:rPr>
  </w:style>
  <w:style w:type="character" w:customStyle="1" w:styleId="16">
    <w:name w:val="页脚 Char"/>
    <w:basedOn w:val="8"/>
    <w:link w:val="4"/>
    <w:qFormat/>
    <w:uiPriority w:val="99"/>
    <w:rPr>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5E9BB3-BEE0-45DC-AC79-C7F63A1529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4449</Words>
  <Characters>25363</Characters>
  <Lines>211</Lines>
  <Paragraphs>59</Paragraphs>
  <TotalTime>49</TotalTime>
  <ScaleCrop>false</ScaleCrop>
  <LinksUpToDate>false</LinksUpToDate>
  <CharactersWithSpaces>29753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2025-07-11T04:48:00Z</dcterms:created>
  <dc:creator>China</dc:creator>
  <cp:lastModifiedBy>Administrator</cp:lastModifiedBy>
  <cp:lastPrinted>2025-01-07T02:41:00Z</cp:lastPrinted>
  <dcterms:modified xsi:type="dcterms:W3CDTF">2025-07-16T07:35:43Z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eyJoZGlkIjoiODc4Y2JjZmEzNDY3MDUxN2QxYjhhOWNmN2UyNTQ5NWYiLCJ1c2VySWQiOiIxNTIzODA3ODUzIn0=</vt:lpwstr>
  </property>
  <property fmtid="{D5CDD505-2E9C-101B-9397-08002B2CF9AE}" pid="3" name="KSOProductBuildVer">
    <vt:lpwstr>2052-11.8.2.8053</vt:lpwstr>
  </property>
  <property fmtid="{D5CDD505-2E9C-101B-9397-08002B2CF9AE}" pid="4" name="ICV">
    <vt:lpwstr>5A0E1F94136949F1893C1F9830888C19_13</vt:lpwstr>
  </property>
</Properties>
</file>