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5EB57">
      <w:pPr>
        <w:pStyle w:val="4"/>
        <w:rPr>
          <w:rFonts w:hint="eastAsia" w:ascii="宋体" w:hAnsi="宋体" w:cs="宋体"/>
          <w:sz w:val="44"/>
          <w:szCs w:val="44"/>
        </w:rPr>
      </w:pPr>
      <w:r>
        <w:rPr>
          <w:rFonts w:hint="eastAsia" w:ascii="宋体" w:hAnsi="宋体" w:cs="宋体"/>
          <w:sz w:val="44"/>
          <w:szCs w:val="44"/>
        </w:rPr>
        <w:t>采购需求</w:t>
      </w:r>
    </w:p>
    <w:p w14:paraId="52641E08">
      <w:pPr>
        <w:adjustRightInd w:val="0"/>
        <w:snapToGrid w:val="0"/>
        <w:spacing w:line="440" w:lineRule="exact"/>
        <w:rPr>
          <w:rFonts w:hint="eastAsia" w:ascii="宋体" w:hAnsi="宋体" w:cs="宋体"/>
          <w:b/>
          <w:bCs/>
          <w:color w:val="000000"/>
          <w:sz w:val="24"/>
        </w:rPr>
      </w:pPr>
      <w:r>
        <w:rPr>
          <w:rFonts w:hint="eastAsia" w:ascii="宋体" w:hAnsi="宋体" w:cs="宋体"/>
          <w:b/>
          <w:bCs/>
          <w:color w:val="000000"/>
          <w:sz w:val="24"/>
        </w:rPr>
        <w:t>一、项目概述：</w:t>
      </w:r>
    </w:p>
    <w:p w14:paraId="61D9025C">
      <w:pPr>
        <w:adjustRightInd w:val="0"/>
        <w:snapToGrid w:val="0"/>
        <w:spacing w:line="440" w:lineRule="exact"/>
        <w:ind w:firstLine="352" w:firstLineChars="147"/>
        <w:rPr>
          <w:rFonts w:hint="eastAsia" w:ascii="宋体" w:hAnsi="宋体" w:cs="宋体"/>
          <w:color w:val="000000"/>
          <w:sz w:val="24"/>
        </w:rPr>
      </w:pPr>
      <w:r>
        <w:rPr>
          <w:rFonts w:hint="eastAsia" w:ascii="宋体" w:hAnsi="宋体"/>
          <w:bCs/>
          <w:sz w:val="24"/>
        </w:rPr>
        <w:t>本项目为“交钥匙”项目，采购内容为</w:t>
      </w:r>
      <w:r>
        <w:rPr>
          <w:rFonts w:hint="eastAsia" w:ascii="宋体" w:hAnsi="宋体"/>
          <w:bCs/>
          <w:sz w:val="24"/>
          <w:lang w:eastAsia="zh-CN"/>
        </w:rPr>
        <w:t>杭州市余杭区良渚第一小学石桥校区专用教室采购项目</w:t>
      </w:r>
      <w:r>
        <w:rPr>
          <w:rFonts w:hint="eastAsia" w:ascii="宋体" w:hAnsi="宋体"/>
          <w:bCs/>
          <w:sz w:val="24"/>
        </w:rPr>
        <w:t>。投标报价包括设备费、安装调试费用、招标代理费、税金、运输及运输保险费、质保期内维修保养费、特殊工具费、售后服务费、培训费、政策性文件规定及合同包含的所有风险、责任等各项全部费用。</w:t>
      </w:r>
    </w:p>
    <w:tbl>
      <w:tblPr>
        <w:tblStyle w:val="5"/>
        <w:tblW w:w="10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3"/>
        <w:gridCol w:w="8"/>
        <w:gridCol w:w="404"/>
        <w:gridCol w:w="363"/>
        <w:gridCol w:w="1548"/>
        <w:gridCol w:w="6508"/>
        <w:gridCol w:w="716"/>
        <w:gridCol w:w="11"/>
        <w:gridCol w:w="680"/>
      </w:tblGrid>
      <w:tr w14:paraId="6D5A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35C7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ACFC1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产品名称</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C046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产品规格</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D28292">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F7D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13F3C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10791"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0CC26D1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缝纫教室</w:t>
            </w:r>
          </w:p>
        </w:tc>
      </w:tr>
      <w:tr w14:paraId="7AC6D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CC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B75D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裁剪工作台组合</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023D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1、规格描述：整体尺寸1200x1200x750mm；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2、材质描述：台面采用橡胶木材质，台面厚度为30mm，台体采用橡胶木制作，不易变形，稳固性好，切面光滑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3、功能描述：①台面覆盖纽扣式帆布包裹，用于布料裁剪、手工打版不易损坏，可拆卸，方便清洗②台面下设有左右各4层阻尼型大型抽拉式抽屉，每层抽屉上下缝隙距离为≥30mm ，共8个抽屉，抽屉挡板颜色为绿松石白，抽屉方便存纸模及布匹并设有标签牌利于识别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③台体前后挡板上并设有洞洞板孔洞直径为10mm，用于教学期间存放工具，底部设4个有自锁万向轮，方便移动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4、油漆：采用环保漆，全封闭涂装工艺，漆面光泽高透，颜色均匀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0F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6D8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5CD6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5C8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21C555">
            <w:pPr>
              <w:jc w:val="center"/>
              <w:rPr>
                <w:rFonts w:hint="eastAsia" w:ascii="宋体" w:hAnsi="宋体" w:eastAsia="宋体" w:cs="宋体"/>
                <w:i w:val="0"/>
                <w:iCs w:val="0"/>
                <w:color w:val="000000"/>
                <w:sz w:val="22"/>
                <w:szCs w:val="22"/>
                <w:u w:val="none"/>
              </w:rPr>
            </w:pP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31EA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1、规格描述：400x330x450mm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2、材质描述：整体框架采用实木材质制作，内部留有8根实木承重柱加固，加厚实木地板托底，外用帆布软包材质，不易变形，稳固性好，切面光滑，坚固耐用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3、功能描述：①采用储物式软包，内部留有不小于20L的储物空间，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②凳面有软包设计留有白色魔术贴，符合缝纫特色主题，面料可以采用帆布、绒布、比希米亚布艺等多种设计风格。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90D7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99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0FB12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BC9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644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多功能缝纫台组合</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6E1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1、规格描述：1200x500x750mm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2、材质描述：台面采用橡胶木材质 厚度17mm，台体采用橡胶木制作，环保材质，不易变形，稳固性好，坚固耐用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3、功能描述：①台面自带缝纫机，用于布料缝纫等。台面采用分段式结构设计，用于金属合页固定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②台面下方左侧挡板厚度17mm颜色为绿松石白，挡板里设有3层置物架用于存放工具，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③右侧挡板设有洞洞板，孔洞直径10mm。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台面可从左往右进行折叠，台面缝纫机采用手动向下翻转式，可收纳式缝纫台，台面下方左侧挡板可向右进行折叠，可以根据实际应用场景缝纫台整体可收纳成为箱体，箱体尺500*600*760mm，实现正立和收储两种模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⑤台腿底部设有6个有自锁万向轮，方便移动功能简单实用，方便操作，且整体移动自如，容易摆放使用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4、油漆：采用环保漆，全封闭涂装工艺，漆面光泽高透，颜色均匀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5C9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D6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15DA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6E1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57BC0">
            <w:pPr>
              <w:jc w:val="center"/>
              <w:rPr>
                <w:rFonts w:hint="eastAsia" w:ascii="宋体" w:hAnsi="宋体" w:eastAsia="宋体" w:cs="宋体"/>
                <w:i w:val="0"/>
                <w:iCs w:val="0"/>
                <w:color w:val="000000"/>
                <w:sz w:val="22"/>
                <w:szCs w:val="22"/>
                <w:u w:val="none"/>
              </w:rPr>
            </w:pP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F3F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1、规格描述：400x330x450mm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2、材质描述：整体框架采用实木材质制作，内部留有8根实木承重柱加固，加厚实木地板托底，外用帆布软包材质，不易变形，稳固性好，切面光滑，坚固耐用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3、功能描述：①采用储物式软包，内部留有20L的储物空间，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②凳面有软包设计留有白色魔术贴，符合缝纫特色主题，面料可以采用帆布、绒布、比希米亚布艺等多种设计风格。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ABA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DAF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1700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93BFA">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D3C4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熨烫区</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640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1、规格描述：1420x350x800mm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2、材质描述：台面采用内用实木材质，外用棉布材质，台体采用实木木制作，环保材质，不易变形，稳固性好，切面光滑，坚固耐用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3、功能描述：①用于布料熨烫，台面采用3分段式设计，可折叠式熨烫板，左右熨烫板可折叠收纳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②台体下部设计共有3层储物空间，第一层为2个抽屉、第二层为开放式左右储物格，第三层为阻尼式对开门，门体颜色为绿松石白的储物柜，可收纳衣物和工具，方便实用。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4、油漆：采用环保漆，全封闭涂装工艺，漆面光泽高透，颜色均匀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8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71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18951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8A69">
            <w:pPr>
              <w:keepNext w:val="0"/>
              <w:keepLines w:val="0"/>
              <w:widowControl/>
              <w:suppressLineNumbers w:val="0"/>
              <w:jc w:val="both"/>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8F2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组合收纳区</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9C0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1、规格描述：四种组合整体4005x400x2000mm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2、材质描述：整体框架为实木材质，柜内设有不锈钢材质，环保材质，不易变形，稳固性好，切面光滑，坚固耐用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3、功能描述：用于材料收纳四种组合，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①从左柜一尺寸：1200*400*2000mm柜体采用左右分段设计，左侧上部为3层六格设计，下部为四层倾斜式20°设计收纳不同类型布料，右侧为嵌入式把手的单开门，里面设有隔断储物空间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左柜二尺寸：935*400*2000mm采用上下中功能分段设计，上部内嵌白色洞洞板，方便物品悬挂及摆放，中部为左右开放式储物格，下部设有可移动材料小车，采用原木和绿松石白材质搭配，内部可放不同使用材料和工具，小车外侧挡板为洞洞板和3根立柱设计，小车底部设有4个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③左柜三尺寸：935*400*2000mm分为上下分段设计，上部由5根不锈钢支架组成阶梯式布料区，下部设有6层抽屉，抽屉挡板颜色为绿松石白，抽屉方便存纸模及布匹并设有标签牌利于识别。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左柜四尺寸：935*400*2000mm采用上下中功能分段设计，上部内嵌白色洞洞板，方便物品悬挂及摆放，中部为左右开放式储物格，下部设有可移动材料小车，采用原木和绿松石白材质搭配，内部可放不同使用材料和工具，小车外侧挡板为洞洞板和3根立柱设计，小车底部设有4个万向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4、油漆：采用环保漆，全封闭涂装工艺，漆面光泽高透，颜色均匀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C721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88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CE98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8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038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布匹架</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DFEC0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1、规格描述：1740x450x1370mm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2、材质描述：采用金属材质框架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3、功能描述：用于布料存放，步匹架双面放置，可调节隔层，底部设有4个自锁万向轮，方便移动</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6FFC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33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4C76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C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600C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线塔</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A44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1、规格描述：225x225x332mm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2、材质描述：整体采用橡胶木材质，环保材质，不易变形，稳固性好，切面光滑，坚固耐用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3、功能描述：用于线圈放置，产品采用四面梯形设计，共4面线柱，每面为5层线圈立柱 可置放各种颜色的线圈，底部设有360°可旋转结构，最顶端设有孔洞方便教学拿取。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4、油漆：采用环保漆，全封闭涂装工艺，漆面光泽高透，颜色均匀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2D5E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753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CB0B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1B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553A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钢琴挂衣架</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7CD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1、规格描述：800x260x350mm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2、材质描述：整体采用橡胶木材质，环保材质，不易变形，稳固性好，切面光滑，坚固耐用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3、功能描述：用于挂围裙，整体外观采用钢琴按键式设计，安装在墙面，节约空间，方便实用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4、油漆：采用环保漆，全封闭涂装工艺，漆面光泽高透，颜色均匀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FEB4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DF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CA97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F8A7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10</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7657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作品展示区</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6FA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1、规格描述：整体尺寸5400x350x2167mm，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2、材质描述：采用实木材质，环保材质，不易变形，稳固性好，切面光滑，坚固耐用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3、功能描述：产品共五个区作品展示区，五种体组合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①左一柜尺寸：1000*350*2167mm分为左右分段设计，左侧设有亚克力镜片，右侧设有四层隔断展示格，中间并设有抽屉存放物品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②左二柜尺寸：1200*350*2167mm 设有电动升降衣架，可把作品挂起来进行展示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③左三柜尺寸：1000*350*2167mm 分为上中下设计，上部为开放式展示格，存放小型站立的作品，中间设有固定晾衣架区，让作品可用于展示，下部设有6个抽屉，进行储物。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④左四柜尺寸：1200*350*2167mm设有电动升降衣架，可把作品挂起来进行展示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⑤左五柜尺寸：1000*350*2167mm 柜子整体分为4个区，最顶端开放式展示格用于小型模型展示区，在下方设有固定是晾衣架用品成品展示，下端并设有两层大型抽屉存放于各种工具及物品，最下端展示大型模型衣服的作品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5、五金件选用环保五金，安全无毒。符合国家标准规范的要求，钡、铅、镉、锑、硒、铬、汞、砷等含量控制指标完全符合要求。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边角安全防撞设计，各个角及板边均充分参考相关标准的要求，对所有的外露面、外漏角进行弧状倒角设计，避免锐角的产生，最大程度的避免儿童磕碰伤害。结构稳固，不易倾倒。全面采用圆角设计，安全缝隙和孔洞均符合家具通用技术条件的要求。</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78D2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C09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79F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15F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4E92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作品展台A</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4364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1、规格描述：300x300x600mm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2、材质描述：整体采用透明亚克力材质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3、功能描述：用于大型模型衣服作品展示，展示台内部设有灯带，以便于提升产品质感，</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EA87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D2E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59B00E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C95E2">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D199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作品展台B</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B61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1、规格描述：300x300x900mm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2、材质描述：整体采用透明亚克力材质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3、功能描述：用于大型模型衣服作品展示，展示台内部设有灯带，以便于提升产品质感，</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E0A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DD8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0050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9630C">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DE67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蒸汽式</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CBC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蒸汽式手持干湿两用电熨斗1件：额定功率：1500W；额定电压：220V/50Hz；水箱容量200ml。</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C72C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03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6D301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D176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14</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CE6D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服装设计专用工具包</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5A0ED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1、剪刀4把:弧形不锈钢刀刃，包胶手柄，剪刀整体长175mm；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2、划粉1盒：塑料盒装，每盒20片；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3、定位珠针2盒：每盒12盘，每盘40个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4、手腕针插包4个：布艺+棉，直径55mm，可套手腕上，操作方便；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5、铅笔自带橡皮4支；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6、盒装1.5m迷你卷尺4个；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7、曲线尺4把：曲线面430mm，直线面440mm，宽100mm；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8、手缝针12根，含原木色针筒；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9、缝纫线2套：10卷/包；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10、塑料收纳盒1个。</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147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8C1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70C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AC9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20C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服装设计专用耗材包</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D9C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服装设计艺术源于生活，却高于生活。艺术是生活的提炼、加工和再创造。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一、教学内容：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过基础知识的学习，掌握服装设计的基本原理、工艺流程、技术方法和技能规范。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二、教学功能：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通过实际动手制作提高学生的服装设计意识、服装艺术素养和服装艺术的鉴赏能力，能够熟练运用服装工艺的各项技术技巧进行创作，通过丰富多样的劳动实践，引导中小学生树立正确的劳动观。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三、配置说明：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每课独立包装，可满足4人小组使用，每个课时配置独立的纸质操作说明书，方便学生操作，装配塑料整理箱。</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服装设计基础课程：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第1课服装设计与教学简介：无材料包；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第2课认识布料：无材料包；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第3课工具使用与维护：无材料包；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第4课人体测量：无材料包；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第5课电熨斗的使用：欧根纱、仿真丝纯色、斜纹棉布、织锦缎面料四种不同材质的布料各1块，尺寸200*200mm；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第6课缝纫机的使用：无材料包；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第7课空机练习：纸稿小样4张；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第8课包边技法：斜纹棉布布料4块，尺寸200*200mm；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服装设计实操课程：</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第1课平面布贴画：仿真丝提花、数码印花、斜纹棉布、仿麻竹节布料各1块：尺寸200*200mm，平面模特样稿4张，A4纸相框4个；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第2课立体布贴画：欧根纱布料4块：尺寸200*200mm，小样纸稿4张，A4纸相框4个；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第3课立裁-缠绕法：织锦缎布料4块：尺寸450*450mm；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第4课立裁- 抽褶法：仿真丝提花布料4块：尺寸450*450mm；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第5课立裁-堆积法：仿真丝纯色布料4块：尺寸450*450mm，同色系欧根纱布料4块：尺寸450*450mm；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第6课偏襟小袄：织锦缎布料4块：尺寸450*450mm，小样纸稿4张，包边带1500mm*4份，与包边带同色系的盘扣8对；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第7课国风小外套：麂皮绒印花布料4份：尺寸450*450mm，小样纸稿4张，包边带1500mm*4份，与包边带同色系的盘扣12对；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第8课旗袍（古法裁剪）：织锦缎布料4块：尺寸450*450mm，小样纸稿4张，包边带1500mm*4份，与包边带同色系的盘扣4对；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第9课圆领半袖上衣：数码印花布料4块：尺寸450*450mm，小样纸稿4张；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第10课灯笼裤：数码印花布料4块：尺寸450*450mm，小样纸稿4张，松紧带4份：5mm宽，每份300mm；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第11课收腰连衣裙：数码印花布料4块：尺寸450*450mm，小样纸稿4张；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第12课旗袍制作：麂皮绒印花布料4份：尺寸450*450mm，小样纸稿4张，包边带1500mm*4份，直径8mm珍珠扣4个，100mm拉链4个；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第13课A字裙打板：A4打样专用纸1张*4份；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第14课A字裙制作：仿麻竹节布布料4份：尺寸200*200mm、小样纸稿4张，100mm拉链4个；</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第15课太阳裙打板：A4打样专用纸1张*4份；</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第16课太阳裙制作：斜纹棉布布料4份：尺寸450*450mm，小样纸稿4张，松紧带4份：5mm宽，每份300mm；</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BAF6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41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0D298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4DCA">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77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5833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服装设计课程视频教学软件系统（初级）</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3DEF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服装设计艺术源于生活，却高于生活。艺术是生活的提炼、加工和再创造。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1.课程目标：服装设计课程的开发主要突出三个方面：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是通过基础知识的学习，掌握服装设计的基本原理、工艺流程、技术方法和技能规范，通过实际动手制作提高学生的服装设计意识、服装艺术素养和服装艺术的鉴赏能力，能够熟练运用服装工艺的各项技术技巧进行创作。</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二是服装设计是一堂紧密联系生活的课程，通过课程的学习，展现学生的个性，注重学生学习兴趣和爱好的培养，教给学生生产劳动知识，传授基本的技能技巧，对学生进行美育的教育。通过具体的操作发现造型之美、艺术之美，使学生正确理解服装含义与表现形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三是教育引导学生崇尚劳动、尊重劳动，懂得劳动最光荣、劳动最崇高、劳动最伟大、劳动最美丽的道理；要创造机会和条件、创新内容和形式，通过丰富多样的劳动实践，引导中小学生树立正确的劳动观。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2.开发环境：基于.net平台h5,c#混合开发；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应用类型：计算机桌面应用程序；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运行环境：windows/linux/mac系统平台；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运行模式：嵌入式浏览器app模式运行(窗体自适应)；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数据格式：静态数据json格式；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视频格式支持：mp4,flv,avi,qlv,mkv；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视频解码：videojs；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分辨率：高清1920*1080；</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加密方式：m3u8  ts分片加密；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功能介绍：前端界面：登入，主窗口，菜单分级，资源接入等；快速检索：输入关键词，联想搜索。自动分类 动态更新搜索结果 更新菜单和视频资源。资源维护：更新资源，手动添加视频资源，运行配置程序自动更新主程序模块。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安装和更新：免安装集成软件包，即刻运行，静默更新。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3.基本模块：该套课程体系共分2大模块。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课程包含：基础知识篇8课（涉及知识：服装设计简介、布料的认识、缝纫工具的认识使用与技法等。通过本篇章的学习，能够培养学生掌握服装设计的基本方法和流程，培养学生的细心、耐心和动手能力和审美能力及学生严谨的学习态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实操篇16课（涉及知识：初步学习服装设计平面成型法、立裁成型法、古法剪裁法、设计打版并制作成衣。培养学生严谨的学习态度，发现生活中的美并进行探究的能力，通过互助学习，提高学习主动性、增强学习自信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共计24课，40课时。每课时配有专业人员的演示操作高清视频以及配套ppt资源模块，课程共覆盖1-9年级。教师可以根据自己的教学特点和习性，自由组织教学，满足教师的个性化要求。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4.师资培训：免费提供线上专业培训指导一次。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5服装设计课程教学指导用书：服装设计课程教案，亦教师指导用书1册，配套服装设计课程教学系统使用。</w:t>
            </w:r>
          </w:p>
        </w:tc>
        <w:tc>
          <w:tcPr>
            <w:tcW w:w="7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E86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4C1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A6B05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4"/>
          <w:wAfter w:w="7915" w:type="dxa"/>
          <w:trHeight w:val="23" w:hRule="atLeast"/>
          <w:jc w:val="center"/>
        </w:trPr>
        <w:tc>
          <w:tcPr>
            <w:tcW w:w="2876" w:type="dxa"/>
            <w:gridSpan w:val="5"/>
            <w:tcBorders>
              <w:top w:val="nil"/>
              <w:left w:val="nil"/>
              <w:bottom w:val="nil"/>
              <w:right w:val="nil"/>
            </w:tcBorders>
            <w:shd w:val="clear" w:color="auto" w:fill="auto"/>
            <w:noWrap/>
            <w:vAlign w:val="center"/>
          </w:tcPr>
          <w:p w14:paraId="19F84260">
            <w:pPr>
              <w:rPr>
                <w:rFonts w:hint="eastAsia" w:ascii="宋体" w:hAnsi="宋体" w:eastAsia="宋体" w:cs="宋体"/>
                <w:i w:val="0"/>
                <w:iCs w:val="0"/>
                <w:color w:val="000000"/>
                <w:sz w:val="22"/>
                <w:szCs w:val="22"/>
                <w:u w:val="none"/>
                <w:vertAlign w:val="subscript"/>
              </w:rPr>
            </w:pPr>
          </w:p>
        </w:tc>
      </w:tr>
      <w:tr w14:paraId="301B4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1CE07">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编号</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D777D1">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名称</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7ABC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规格型号功能</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655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009DB7">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r>
      <w:tr w14:paraId="1D4D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938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DE86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4"/>
                <w:szCs w:val="24"/>
                <w:u w:val="none"/>
                <w:lang w:val="en-US" w:eastAsia="zh-CN" w:bidi="ar"/>
              </w:rPr>
              <w:t>烹饪教室</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167F">
            <w:pPr>
              <w:jc w:val="center"/>
              <w:rPr>
                <w:rFonts w:hint="eastAsia" w:ascii="宋体" w:hAnsi="宋体" w:eastAsia="宋体" w:cs="宋体"/>
                <w:i w:val="0"/>
                <w:iCs w:val="0"/>
                <w:color w:val="000000"/>
                <w:sz w:val="22"/>
                <w:szCs w:val="22"/>
                <w:u w:val="none"/>
              </w:rPr>
            </w:pP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78037A">
            <w:pPr>
              <w:jc w:val="center"/>
              <w:rPr>
                <w:rFonts w:hint="eastAsia" w:ascii="宋体" w:hAnsi="宋体" w:eastAsia="宋体" w:cs="宋体"/>
                <w:i w:val="0"/>
                <w:iCs w:val="0"/>
                <w:color w:val="000000"/>
                <w:sz w:val="22"/>
                <w:szCs w:val="22"/>
                <w:u w:val="none"/>
              </w:rPr>
            </w:pPr>
          </w:p>
        </w:tc>
      </w:tr>
      <w:tr w14:paraId="35473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D3F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8EEA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教师操作演示组合</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1E402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1800×900×780mm1、产品结构：钢木结构2、台面参数：采用不小于16mm厚E1级生态免漆板，具有抗污染、防水、防火特性，台面立面倒角、打磨，各处光滑。3、台身参数：立腿采用60×60×1mm方管，横梁采用60×30×1mm,ABS可调节底脚，中置一层隔板，采用16mm厚E1级生态免漆板制作，1mm厚塑制封边条机械封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0E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544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F70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8039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698A7F">
            <w:pPr>
              <w:jc w:val="center"/>
              <w:rPr>
                <w:rFonts w:hint="eastAsia" w:ascii="宋体" w:hAnsi="宋体" w:eastAsia="宋体" w:cs="宋体"/>
                <w:i w:val="0"/>
                <w:iCs w:val="0"/>
                <w:color w:val="000000"/>
                <w:sz w:val="22"/>
                <w:szCs w:val="22"/>
                <w:u w:val="none"/>
              </w:rPr>
            </w:pP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59A9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规格：500*500*800mm靠背及下座采用高密度网布格，阻燃、舒适、回弹性好。面料为网布格.依照人体工程学设计，线条流畅，美观大方，骨架钢管电镀，气动升降。</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BE2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D1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D4DB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EA57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88A7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学生操作组合</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86EA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产品尺寸：2400×1200×760mm；2、产品结构：钢木结构；3、台面参数：采用不小于24mm厚实木橡胶木指接板，表面涂环保清漆；4、台身参数：采用60×30×1mm方管，左右边腿下面向外倾斜，表面喷塑。柜体采用16mm厚生态免漆板加工制作，四边用1mm厚封边条机械封边。两个中间钢腿之间设2组学生电源二三孔插座。为了学生安全，插座后面必须配PVC阻燃暗盒。</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07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052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02B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4C11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189AD5">
            <w:pPr>
              <w:jc w:val="center"/>
              <w:rPr>
                <w:rFonts w:hint="eastAsia" w:ascii="宋体" w:hAnsi="宋体" w:eastAsia="宋体" w:cs="宋体"/>
                <w:i w:val="0"/>
                <w:iCs w:val="0"/>
                <w:color w:val="000000"/>
                <w:sz w:val="22"/>
                <w:szCs w:val="22"/>
                <w:u w:val="none"/>
              </w:rPr>
            </w:pP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883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1、规格描述：整体尺寸320x300x440mm。凳面厚17mm，凳腿尺寸440*50*50mm， 凳子横梁尺寸220*35*20mm,侧横尺寸200*35*20mm环保材质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2、材质描述：采用橡胶木材质制作，环保材质，不易变形，稳固性好，切面光滑，坚固耐用。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3、功能描述：产品组装、手工制作等，整体采用榫卯工艺连接，凳面镂空长腰孔，增加透气性，整体外观采用工业风为元素设计，与其桌子相互呼应，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4、油漆：采用环保漆，全封闭涂装工艺，漆面光泽高透，颜色均匀。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5、工艺及配件：五金件选用环保五金，安全无毒。底脚配以耐磨塑胶PP脚钉，对地板起到保护作用。符合国家标准规范的要求，钡、铅、镉、锑、硒、铬、汞、砷等含量控制指标完全符合要求。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各个边角严格按照相关标准要求工艺制作，对所有的外露面、外漏角进行弧状倒角设计，避免锐角的产生，最大程度的避免儿童磕碰伤害。结构稳固，不易倾倒。全面采用圆角设计，安全缝隙和孔洞均符合家具通用技术条件的要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49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22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r>
      <w:tr w14:paraId="05D7F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7748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A00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烹饪专用组合</w:t>
            </w:r>
          </w:p>
        </w:tc>
        <w:tc>
          <w:tcPr>
            <w:tcW w:w="8056" w:type="dxa"/>
            <w:gridSpan w:val="2"/>
            <w:tcBorders>
              <w:top w:val="nil"/>
              <w:left w:val="nil"/>
              <w:bottom w:val="nil"/>
              <w:right w:val="nil"/>
            </w:tcBorders>
            <w:shd w:val="clear" w:color="auto" w:fill="auto"/>
            <w:vAlign w:val="center"/>
          </w:tcPr>
          <w:p w14:paraId="0CF310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边柜A规格：1000×450×1200mm 1、对开门，板材均采用不小于16mm厚E1级生态免漆板制作，1mm厚塑制封边条机械封边。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边柜B规格：1000×450×1200mm2、板材均采用不小于16mm厚E1级生态免漆板制作，1mm厚塑制封边条机械封边。（不含储物小盒）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边柜C规格：1200×450×1200mm1、三组推车，前侧挡板底部嵌塑料套防止接触地面受潮，前部配备2个滚轮。2、板材均采用不小于16mm厚E1级生态免漆板制作，1mm厚塑制封边条机械封边。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边柜D规格：1000×450×1200mm1、上对开门，板材均采用不小于16mm厚E1级生态免漆板制作，1mm厚塑制封边条机械封边。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边柜E规格：1000×450×1200mm1、12格格架2、板材均采用不小于16mm厚E1级生态免漆板制作，1mm厚塑制封边条机械封边。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边柜F规格：1000×450×1200mm1、下对开门。2、板材均采用不小于16mm厚E1级生态免漆板制作，1mm厚塑制封边条机械封边。</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8F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D76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BE31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A47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3708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陈列区组合</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5340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(450-600)×2000mm（可根据现场尺寸调整）1、产品结构：板式结构2、柜体上部为分格造型设计，下部板式对开门，主材采用16mm厚E1级生态免漆板，其它部位采用1mm厚塑制封边条机械封边。采用阻尼铰链，所有板材加工截面必须封边，避免甲醛随意释放，确保达到环保标准。</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B9B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B4D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992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2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154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电冰箱</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648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218L大容量，007软冷冻，独立三温区；2、钣金质感面板，错落有致的几何图案，典雅不落俗套；3、节能省电，静音运行，畅享低碳；4、多角度照明，360°照明无死角；5、可调节搁物架，冷藏空间可随意调节；6、PVC门封条，材质柔软、不易老化，可拆卸、易清洗；7、可调节底座，调节由于地面不平导致的冰箱不稳。</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F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49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AD7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A3163">
            <w:pPr>
              <w:jc w:val="center"/>
              <w:rPr>
                <w:rFonts w:hint="eastAsia" w:ascii="宋体" w:hAnsi="宋体" w:eastAsia="宋体" w:cs="宋体"/>
                <w:i w:val="0"/>
                <w:iCs w:val="0"/>
                <w:color w:val="000000"/>
                <w:sz w:val="22"/>
                <w:szCs w:val="22"/>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2DC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电磁炉</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FCD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规格：3050*290*79mm，10段活力调节，旋钮精准调节，防刮耐磨，使用寿命长，火力大小随时触控。</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03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8F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17EA3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4C5A6">
            <w:pPr>
              <w:jc w:val="center"/>
              <w:rPr>
                <w:rFonts w:hint="eastAsia" w:ascii="宋体" w:hAnsi="宋体" w:eastAsia="宋体" w:cs="宋体"/>
                <w:i w:val="0"/>
                <w:iCs w:val="0"/>
                <w:color w:val="000000"/>
                <w:sz w:val="22"/>
                <w:szCs w:val="22"/>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186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榨汁机</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1369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额定功率：250w，产品容量600ml，外壳材质：食品级塑料，304不锈钢刀头。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749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6B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7F8DD1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6E0C3">
            <w:pPr>
              <w:jc w:val="center"/>
              <w:rPr>
                <w:rFonts w:hint="eastAsia" w:ascii="宋体" w:hAnsi="宋体" w:eastAsia="宋体" w:cs="宋体"/>
                <w:i w:val="0"/>
                <w:iCs w:val="0"/>
                <w:color w:val="000000"/>
                <w:sz w:val="22"/>
                <w:szCs w:val="22"/>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A2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电烤箱</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341C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尺寸：470*400*330mm功能及特点：1、舒适把手，精工切割，开合轻松；2、玻璃面板，轻松观察内腔物品；3、不锈钢加热管，四管加热；4、高效散热孔，保护核心部件；5、三层烤位；6、多面散热系统，时尚线条，握感舒适。</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47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1DB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14:paraId="594AE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5D8A7">
            <w:pPr>
              <w:jc w:val="center"/>
              <w:rPr>
                <w:rFonts w:hint="eastAsia" w:ascii="宋体" w:hAnsi="宋体" w:eastAsia="宋体" w:cs="宋体"/>
                <w:i w:val="0"/>
                <w:iCs w:val="0"/>
                <w:color w:val="000000"/>
                <w:sz w:val="22"/>
                <w:szCs w:val="22"/>
                <w:u w:val="none"/>
              </w:rPr>
            </w:pP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3AAA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消毒柜</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74C0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108L，消毒、烘干、保洁、存储一柜多用，层架多，取用方便</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9E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DE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5B567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9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3AB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烘焙专用炊具</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683A4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不粘锅：麦饭石；口径30cm；锅深8cm；加防爆锅盖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蒸锅（带蒸笼、蒸布）：口径30cm；总高28cm；加厚304材质；双层；含夹盘器1；含蒸布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煮水壶：容量1.7L；1800W功率；双层防烫；自动断电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水壶：2.0L;材质304；加厚</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面盆套装：不锈钢材质；小号：口径16.8*深7cm容量700ML；大号：19.3*8cm容量1200ML；特大号：24.5*10.5cm容量2000ML；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洗菜盆套装：加厚304食品级不锈钢2件套；26cm口径漏盆+实盆</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锅铲套装：不伤锅；耐高温；食品级硅胶；三件套（硅胶勺、硅胶铲、硅胶漏勺）</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菜板套装：六件套（菜刀、厨师刀、水果刀、剪刀、削皮刀、菜板、亚克力刀架）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各1套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1E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49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E889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4F4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21C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烘焙专用餐具</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ED9C5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餐叉套装8套：两件套：勺子4.5*20.7cm、叉子2.6*20.7cm；304材质；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杯子8个：密胺材质仿瓷杯白色；容量200ML；高9.4*7.5cm；耐高温120度</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盘子8个：密胺材质仿瓷白色；7寸浅试盘；18*2.1cm；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碗8个：密胺材质仿瓷白色；4.75寸直边碗；12.2*12.2*5.5cm；容量约370ML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沙拉碗1个：密胺材质仿瓷白色；口直径22.8cm；高度9.6cm；容量2300ml；</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整理箱1个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C71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02F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D68C2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38AF6">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37CB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烘焙工具套装</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C1B0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电子秤：称重1-5kg；精度1g；背光电池款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烘焙小工具套装：5件套鸡：蛋分离器、量杯、量勺、手动打蛋器、油刷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电动打蛋器：额定电源220v-50hz；五档选择； 外包尺寸：190*82*170mm；纯铜电机；多孔散热；一键退棒；附带原装线棒*2；原装片棒*2；蛋清分离器*1</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长柄刮刀：尺寸：27*5cm；硅胶刮刀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打发奶油盆：大号口径23cm；食品级304不锈钢；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筛子：食品级304不锈钢；pp材质手柄；过滤网晒60目；尺寸10*25.5cm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食品级硅胶垫：加厚640g 70*50；送擀面杖+切面刀刮板</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裱花嘴5件套：中号底径2.5cm；304不锈钢一体成型；约80克/套；1A圆口，1M直6齿，D42八齿，4B十五齿，5mm口径挤馅嘴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奶油抹刀：8寸直抹刀；加厚420不锈钢材质；总长32.5cm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吐司盒：铝合金材质；表面不粘图层；带盖；尺寸：长30.9*9*10.7cm；出品600g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活动蛋糕模：7寸活底；尺寸19.5*16.5*7.2cm;铝合金材质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饼干模具：不锈钢材质；护手设计；尺寸6.4*4.5cm大4个、4.5*3.2cm小4个；雕花挖球器*1个 球径3cm；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小喷壶：容量200ml；PET材质瓶身;PP材质泵头；高18.5cm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羊毛刷：3cm小号羊毛刷；木柄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月饼印章：木质；直径2.5cm福字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手压月饼模具：食品级塑料；规格50g；4片模具；模具尺寸：底直径5cm 高14cm；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转台：材质：PP+塑料；重量288g；直径27.5cm；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深度烤盘：重型钢深烤盘加厚材质1.5cm；尺寸：底长19.5cm*底宽14.5cm 重340g；双面不沾图层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雪媚娘模具：铝合金材质；尺寸8*3.7cm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搅拌筷长度：28cm；天然竹筷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冰激凌模具6格：食品级硅胶；尺寸：长20*宽15*高4cm；带防尘盖；</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食品夹：9寸；不锈钢材质；重约66g；尺寸24.2*4cm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以上各1套，整理箱1个</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E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E5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6E42E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2FC9">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11</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B85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烘焙专用工具耗材</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F80F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保鲜膜6卷：PE材质；冷热双用；透明无色；重量220g；尺寸：30*30cm/60米/200张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烘焙纸套装6卷：硅油纸10m宽30cm/锡纸10m宽30cm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裱花袋50个：一次性塑料裱花袋；尺寸16.5*28.5cm；厚度6丝；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蛋糕纸杯100个：木浆纸+PE淋膜；工艺：无胶水粘合，食品级材质；小号上直径5.8cm 下直径5cm 高4.5cm；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月饼印泥3瓶：可食用色素；大红色；20g</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一次性手套6盒：食品级TPE手套；防油防污；加厚耐用耐磨 100只盒装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小纸托100个：一次性硅油纸托；淋膜纸材质；大号顶部6.5*底部4.5*高3cm</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730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25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844F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A7C3B">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12</w:t>
            </w:r>
          </w:p>
        </w:tc>
        <w:tc>
          <w:tcPr>
            <w:tcW w:w="4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5A4F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防护物品</w:t>
            </w: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3B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防热手套</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1EB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长度28cm；加厚耐高温；纯棉帆布；</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CDE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8626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r w14:paraId="1F0A3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6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EBC58">
            <w:pPr>
              <w:jc w:val="center"/>
              <w:rPr>
                <w:rFonts w:hint="eastAsia" w:ascii="宋体" w:hAnsi="宋体" w:eastAsia="宋体" w:cs="宋体"/>
                <w:i w:val="0"/>
                <w:iCs w:val="0"/>
                <w:color w:val="000000"/>
                <w:sz w:val="22"/>
                <w:szCs w:val="22"/>
                <w:u w:val="none"/>
              </w:rPr>
            </w:pPr>
          </w:p>
        </w:tc>
        <w:tc>
          <w:tcPr>
            <w:tcW w:w="4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6B93BD">
            <w:pPr>
              <w:jc w:val="center"/>
              <w:rPr>
                <w:rFonts w:hint="eastAsia" w:ascii="宋体" w:hAnsi="宋体" w:eastAsia="宋体" w:cs="宋体"/>
                <w:i w:val="0"/>
                <w:iCs w:val="0"/>
                <w:color w:val="000000"/>
                <w:sz w:val="22"/>
                <w:szCs w:val="22"/>
                <w:u w:val="none"/>
              </w:rPr>
            </w:pPr>
          </w:p>
        </w:tc>
        <w:tc>
          <w:tcPr>
            <w:tcW w:w="3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D9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套袖围裙</w:t>
            </w:r>
          </w:p>
        </w:tc>
        <w:tc>
          <w:tcPr>
            <w:tcW w:w="8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1E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含围裙、套袖、帽子，微防水材质制服呢（DTY涤纶低弹丝），面料柔软、抗皱性好、耐磨耐洗</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5C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A15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r>
    </w:tbl>
    <w:p w14:paraId="01F2F33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br w:type="page"/>
      </w:r>
    </w:p>
    <w:tbl>
      <w:tblPr>
        <w:tblStyle w:val="5"/>
        <w:tblW w:w="1079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1"/>
        <w:gridCol w:w="767"/>
        <w:gridCol w:w="8056"/>
        <w:gridCol w:w="716"/>
        <w:gridCol w:w="691"/>
      </w:tblGrid>
      <w:tr w14:paraId="76C91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17AF">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13</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425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电路系统（室内地面以上部分）</w:t>
            </w:r>
          </w:p>
        </w:tc>
        <w:tc>
          <w:tcPr>
            <w:tcW w:w="8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57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采用4平方、2.5平方国标线材，根据教学实验标准，接线至个学生桌和教师桌，并连接好各用电仪器正常使用。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DB21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A8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D51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C28E">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14</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A3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给排水系统（室内地面以上部分）</w:t>
            </w:r>
          </w:p>
        </w:tc>
        <w:tc>
          <w:tcPr>
            <w:tcW w:w="8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82A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采用ф20mm金属供水软管；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使用DN50国标UPVC专用排水管，连接至排水管道，密封完好；所有供排水管连接处确保密封完好，无漏水。</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600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B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58D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E9C5">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15</w:t>
            </w:r>
          </w:p>
        </w:tc>
        <w:tc>
          <w:tcPr>
            <w:tcW w:w="7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01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实验室专用消防器材</w:t>
            </w:r>
          </w:p>
        </w:tc>
        <w:tc>
          <w:tcPr>
            <w:tcW w:w="8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7731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1、灭火器：ABC干粉灭火器2个：灭火级别2A 55B，灭火剂量：4±2%KG，电绝缘性：5KV 使用温度：-20℃-+55℃。驱动气体：痰气1.2MPa（20±5℃），灭火剂主要成分含量：磷酸二氢铵75%，硫酸铵15%。</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2、灭火器专用箱：可以储存二个4公斤灭火器。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3、消防沙箱：箱体采用冷轧钢板制成，箱体表面采用静电喷涂，涂层平整、光滑、附着力强。尺寸：500*500*360mm。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4、专用消防铲：100*22mm，材质：铁、木质手柄，做工优良。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5、灭火毯：1m*1m,玻璃纤维材质。</w:t>
            </w: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0D6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D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0011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AF31">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16</w:t>
            </w:r>
          </w:p>
        </w:tc>
        <w:tc>
          <w:tcPr>
            <w:tcW w:w="7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243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知识展板</w:t>
            </w:r>
          </w:p>
        </w:tc>
        <w:tc>
          <w:tcPr>
            <w:tcW w:w="8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BF9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1、规格尺寸：900*600mm/张，每套4张；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2、教室装饰知识展板、UV喷绘，木纹边框；3、版面由专业设计人员设计，美观实用。内容包含相关实验室管理制度、学科知识、科学家等内容。</w:t>
            </w:r>
          </w:p>
        </w:tc>
        <w:tc>
          <w:tcPr>
            <w:tcW w:w="7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397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26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610E07C2">
      <w:pPr>
        <w:tabs>
          <w:tab w:val="left" w:pos="630"/>
        </w:tabs>
        <w:adjustRightInd w:val="0"/>
        <w:snapToGrid w:val="0"/>
        <w:spacing w:line="440" w:lineRule="exact"/>
        <w:rPr>
          <w:rFonts w:hint="eastAsia" w:ascii="宋体" w:hAnsi="宋体" w:cs="宋体"/>
          <w:b/>
          <w:color w:val="000000"/>
          <w:sz w:val="24"/>
        </w:rPr>
      </w:pPr>
    </w:p>
    <w:tbl>
      <w:tblPr>
        <w:tblStyle w:val="5"/>
        <w:tblW w:w="1075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11"/>
        <w:gridCol w:w="719"/>
        <w:gridCol w:w="8107"/>
        <w:gridCol w:w="773"/>
        <w:gridCol w:w="649"/>
      </w:tblGrid>
      <w:tr w14:paraId="160BF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6B1B3">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97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产品名称</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BDD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产品参数</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486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61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r>
      <w:tr w14:paraId="06209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10759"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F531026">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木工坊</w:t>
            </w:r>
          </w:p>
        </w:tc>
      </w:tr>
      <w:tr w14:paraId="54945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64D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1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18DF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木工坊-团体交流台</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DC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1、规格描述：整体尺寸1800x800x750mm，桌面芯板厚17mm，桌腿尺寸为80*80*750mm，桌腿连接梁尺寸为1690*60*30mm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2、材质描述：采用橡胶木材质制作，环保材质，不易变形，稳固性好，切面光滑，坚固耐用。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3、功能描述：①产品用于组装、手工制作等，桌面配有升降电源带有4个5孔插头，2个USB，方便设备供电使用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②桌面设有下沉式储物空间尺寸为720*155*44mm，桌面留有两个直径30mm的孔洞便于打开桌体下方的储物空间，本功既能方便工具收纳及空间利用又能保证桌面的整洁，产品整体外观采用工业风为元素设计。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4、油漆：采用环保漆，全封闭涂装工艺，漆面光泽高透，颜色均匀。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5、工艺及配件：五金件选用环保五金，安全无毒。底脚配以耐磨塑胶PP脚钉，对地板起到保护作用。符合国家标准规范的要求，钡、铅、镉、锑、硒、铬、汞、砷等含量控制指标完全符合要求。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各个边角严格按照相关标准要求工艺制作，对所有的外露面、外漏角进行弧状倒角设计，避免锐角的产生，最大程度的避免儿童磕碰伤害。结构稳固，不易倾倒。全面采用圆角设计，安全缝隙和孔洞均符合家具通用技术条件的要求。</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5A6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D75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55876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13E51">
            <w:pPr>
              <w:jc w:val="center"/>
              <w:rPr>
                <w:rFonts w:hint="eastAsia" w:ascii="宋体" w:hAnsi="宋体" w:eastAsia="宋体" w:cs="宋体"/>
                <w:i w:val="0"/>
                <w:iCs w:val="0"/>
                <w:color w:val="000000"/>
                <w:sz w:val="22"/>
                <w:szCs w:val="22"/>
                <w:u w:val="none"/>
              </w:rPr>
            </w:pPr>
          </w:p>
        </w:tc>
        <w:tc>
          <w:tcPr>
            <w:tcW w:w="71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3C450D">
            <w:pPr>
              <w:jc w:val="center"/>
              <w:rPr>
                <w:rFonts w:hint="eastAsia" w:ascii="宋体" w:hAnsi="宋体" w:eastAsia="宋体" w:cs="宋体"/>
                <w:i w:val="0"/>
                <w:iCs w:val="0"/>
                <w:color w:val="000000"/>
                <w:sz w:val="22"/>
                <w:szCs w:val="22"/>
                <w:u w:val="none"/>
              </w:rPr>
            </w:pP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3B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1、规格描述：整体尺寸320x300x440mm。凳面厚17mm，凳腿尺寸440*50*50mm， 凳子横梁尺寸220*35*20mm,侧横尺寸200*35*20mm环保材质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2、材质描述：采用橡胶木材质制作，环保材质，不易变形，稳固性好，切面光滑，坚固耐用。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3、功能描述：产品组装、手工制作等，整体采用榫卯工艺连接，凳面镂空长腰孔，增加透气性，整体外观采用工业风为元素设计，与其桌子相互呼应，</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4、油漆：采用环保漆，全封闭涂装工艺，漆面光泽高透，颜色均匀。</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5、工艺及配件：五金件选用环保五金，安全无毒。底脚配以耐磨塑胶PP脚钉，对地板起到保护作用符合国家标准规范的要求，钡、铅、镉、锑、硒、铬、汞、砷等含量控制指标完全符合要求。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各个边角严格按照相关标准要求工艺制作，对所有的外露面、外漏角进行弧状倒角设计，避免锐角的产生，最大程度的避免儿童磕碰伤害。结构稳固，不易倾倒。全面采用圆角设计，安全缝隙和孔洞均符合家具通用技术条件的要求。</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4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63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0A2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08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13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木工坊-工作台</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9F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规格： 900x600x650mm，材质：橡胶木，桌面实木框架结构，下部箱体双面双开门，侧板印花木工师傅图案。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个边角严格按照相关标准要求工艺制作，对所有的外露面、外漏角进行弧状倒角设计，避免锐角的产生，最大程度的避免儿童磕碰伤害。结构稳固，不易倾倒。全面采用圆角设计，安全缝隙和孔洞均符合儿童家具通用技术条件的要求。</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A33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CB2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03D5D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72B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F0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木工坊-作品展示区</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873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规格：3600x400x2500mm，材质：实木，上部原木造型板，左一柜体上部七格下部八格储物空间带造型门，左二柜体七格储物空间，右二柜体十格储物空间，右一柜体上部两格储物空间，下部十一格储物空间带造型门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各个边角严格按照相关标准要求工艺制作，对所有的外露面、外漏角进行弧状倒角设计，避免锐角的产生，最大程度的避免儿童磕碰伤害。结构稳固，不易倾倒。全面采用圆角设计，安全缝隙和孔洞均符合儿童家具通用技术条件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壁挂式语音点读标本:人造材料标本：整体尺寸不小于140x64x20mm,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树脂材料对人造材料进行固定和渗入，形成稳定和保持标本材料的树脂结构。包埋材料重金属及有害化学物质含量按照国家有关玩具安全标准，表面打磨抛光平整透明，边角平滑美观。无影响观察的气泡、割痕、伤痕。晶体应无色透明，无影响观察标本的各种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纺织品标本：规格：140x64x20mm。1.用树脂材料进行固定和渗入包埋材料重金属及有害化学物质含量按照国家有关玩具安全标准，表面打磨抛光平整透明，边角平滑美观。无影响观察的气泡、割痕、伤痕。晶体应无色透明，无影响观察标本的各种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3、★（1）包埋标本的含水量不超过3%，甲醛含量低于300mg/kg。提供检测报告复印件加盖生产厂家公章。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★（2）包埋材料在GB/T2410-2008方法A的测试条件下其透光率必须大于90%，洛氏硬度大于100R，提供符合以上要求的材质（SGS）检测报告复印件加盖厂家公章。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★（3）在氙灯老化60小时后其包埋材料的黄色指数与老化前测得的黄色指数差值不得大于0.2。提供符合以上要求的材质检测报告复印件加盖厂家公章。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★（4）提供包埋标本（树脂）铅、镉、锌、铁不超标检测报告复印件加盖厂家公章。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★（5）提供包埋标本（树脂）小鼠急性经口毒性检测报告复印件加盖厂家公章。以上要求的检测报告提供复印件加盖生产厂家公章。</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天然材料标本：整体尺寸不小于：140x64x20mm（±1mm）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用树脂材料对天然材料进行固定和渗入，形成稳定和保持标本材料的树脂结构。包埋材料重金属及有害化学物质含量按照国家有关玩具安全标准，表面打磨抛光平整透明，边角平滑美观。无影响观察的气泡、割痕、伤痕。晶体应无色透明，无影响观察标本的各种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种子传播方式标本：整体尺寸不小于：163*80*22mm（±1mm）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1、应由四种不同的植物种子组成，代表四种不同的种子传播方式。</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用树脂材料对植物种子进行固定和渗入，形成稳定和保持标本材料的树脂结构，包埋材料重金属及有害化学物质含量按照国家有关玩具安全标准，表面打磨抛光平整透明，边角平滑美观。无影响观察的气泡、割痕、伤痕。晶体应无色透明，无影响观察标本的各种缺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本产品配语音点读笔一只，充电线一根，说明书一本，每个标本具有语音点读功能。</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642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229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6C188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5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6E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木工坊-功能材料板组合</w:t>
            </w:r>
          </w:p>
        </w:tc>
        <w:tc>
          <w:tcPr>
            <w:tcW w:w="8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111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规格：2400x37x1180mm，材质：实木，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93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274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E99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EC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3E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木工坊-洞洞板A</w:t>
            </w:r>
          </w:p>
        </w:tc>
        <w:tc>
          <w:tcPr>
            <w:tcW w:w="8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7FD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规格：800x17x1200mm，材质：实木配置物板和圆木棒</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C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11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44F4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3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3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教室Logo</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6F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材质：亚克力UV喷绘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规格：600mm*1200mm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描述：教室标题字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04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E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9B8C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4B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94E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墙面环创B</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3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材质：木质相框+pp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规格：500mm*500mm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描述：教室环创画，木工工具卡通元素，现代简约，和整体氛围搭配适宜</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C5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2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2BD6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DDD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16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手工环创A</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0E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材质：纯天然树皮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规格：直径280mm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描述：纯天然环保木质材料，经过多次消毒清洗，立体肌理质感，圆环造型，简约大气</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BC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9D8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EB60A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30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C3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手工环创C</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B4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材质：纯天然木质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规格：直径120mm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描述：纯实木圆木片</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A5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45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1C62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1F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E7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挂钩</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5C8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材质：竹木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规格：连排8个挂钩</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尺寸：630mm*55mm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8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E8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w:t>
            </w:r>
          </w:p>
        </w:tc>
      </w:tr>
      <w:tr w14:paraId="52509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A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0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木工教师安全规则挂图</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7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材质：pcv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规格：40*60cm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CF2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61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CDC7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94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B86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教室Logo</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90F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材质：亚克力UV喷绘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规格：600mm*1200mm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描述：教室标题字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E13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EBB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DCB7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5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1D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木工刨A型</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4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材质：红木+轴承钢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规格：125mm*40mm*25mm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描述：125MM微型中式木刨，刃宽30mm；刨床采用印尼菠萝格木料精制，刨刀采用轴承合金钢制造，刃口高频淬火后精磨确保锋利耐磨，长用来倒角、修边使用，重量约：164g。</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CA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59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2891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8FB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49F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木工刨B型</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0B3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材质：红木+轴承钢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规格：180mm*60mm*45mm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描述：180mm传统中式木刨，刃宽44mm；刨床采用印尼菠萝格木料精制，刨刀采用轴承合金钢制造，刃口高频淬火后精磨确保锋利耐磨，长用来倒角、修边使用，重量约：634g。</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ED9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544C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9B55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407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E2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鸟刨</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ECC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材质：合金钢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尺寸：210mm*52mm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规格：小号全长210mm精制木工鸟刨，双螺丝刨刀调深结构，方便可靠，玛钢铸造刨体，采用轴承合金钢制造，淬火热处理，精磨开刃，刨削锋利，适合刨外圆形木料。</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72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C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1ACE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17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105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雕刻刀</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1B1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材质：木制+金属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规格：12件/套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描述：12件套盒装，SK2合金钢刀头，榉木手柄，包含尖头、针刀、月亮湾、大中小半圆刀、大小平刀、三角刀、大小斜口刀等。</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0CE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B0D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A96C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84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3E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什锦木锉</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1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材质：硅胶+金属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规格：4x160mm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描述：含圆、扁圆、三角、方形、平锉、半圆形锉刀各1把，锉刀为中碳钢制造，锉牙较粗，可以快速的锉削木料，加工切面较为粗糙，手柄采用TPR双色包胶手柄，防滑防磨手。</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EA0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8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AB2A2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CFE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C8A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木砂棒</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771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规格：锉长约85mm，总长约200mm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描述：中齿刺牙锯条缠绕制成，椭圆棒形，木柄，可以快速的锉削木料。</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D6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85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42A3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25B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A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砂纸</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83E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材质：砂纸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规格：230x280mm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描述：高品质木工专用砂纸，采用韩国进口背胶纸生产，植砂粒度均匀，附着力强，每套防静电氧化铝干磨砂纸180目，240目，320目，400目，600目，各1张。</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C3C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2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826E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762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444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抛光板</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0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材质：EVA海绵植砂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规格：85×35×9mm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描述：双面，精细抛光，打磨上光专用。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B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EE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E123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660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AF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手工线锯</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CD4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材质：铝合金</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规格：锯条规格130mm，锯弓喉深127mm，总长度310mm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描述：5寸钢丝拉花锯，使用带双环钢丝锯条，铝合金锯弓，TPR防滑包胶手柄，前端带锯钮绷紧结构，锯条不易断裂，且更换方便，整体重量190g，轻便灵活，切割曲线锋利，为木工手作必备工具。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9D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308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1CB0B6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0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BBF3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双环线锯条</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F59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规格：130mm，0.6mm线径</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描述：双环锯条，采用70号钢线制造，硬度高，耐磨损</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43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3A8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455C9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3D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1A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迷你小手锯</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2D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规格：6寸150mm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描述：加厚拱形锯弓，装配细齿扁形带销锯条，用于木工制作过程中的精密、细小锯切等，锯条齿牙较密，切口相对光滑</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9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3B0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2862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4C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267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迷你锯条</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632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材质：精钢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规格：6寸150mm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描述：迷你小手锯专用锯条，两端带销。</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06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1C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722FC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8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ABD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木柄单面锯</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C2C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规格：全长305mm，工作长度150mm，锯片厚0.6mm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描述：重量：63g，榉木手柄。三面机械磨齿，切割效率比普通手锯切割效率提高1.5倍。</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26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330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42741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F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B8F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手摇钻</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F8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描述：1/4英寸，可夹持0-6.5mm，全钢型，手柄一体精密铸造，双齿轮驱动驱动，带钥匙精密三爪钻夹头，手柄ABS材质，柄盖可以旋下，内装3、4、5mm木工专用三尖钻头各1支</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FF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B11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6C4B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36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82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微细麻花钻头</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7D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规格：10件/套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描述：微细钻头套装，PP透明盒一个，内含0.8,1.0,1.2,1.5,1.8,2.0,2.2,2.5,2.8,3.0mm各1支，高速钢材质，适合打木头、金属。</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C18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A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5DDA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0F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EC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G形木工夹</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B9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材质：铸铁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规格：4寸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描述：夹持范围100mm，球铁精铸工艺，加厚钳体，梯形螺杆，夹持力量大。</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420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C14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888C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A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43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F形木工夹</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8BC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规格：50x250mm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描述：德式重型F夹，玛钢精铸钳体，碳钢防滑尺杆，为木工制作中常用的夹具。</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363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753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7B871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B38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8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A形木工夹</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430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规格：110*105mm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描述：高强度弹簧橘黑色A形木工夹，用于轻型快速夹持，ABS工程塑料材质。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419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916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8390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B9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4C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墨斗</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872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材质：ABS塑料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规格：150*68mm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描述：7米自动卷线式墨斗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DE7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F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0346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FC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B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钢卷尺</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F6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材质：ABS</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规格：3000x19mm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描述：尺带涂覆尼龙，印刷清晰耐磨，活动尺勾设计，测量更精准，65锰合金钢卷簧抗疲劳强度好，带刹车结构，外壳为ABS工程塑料，抗摔.</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12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B7A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6A67B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E0D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70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钢直尺</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C87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描述：公英制双面刻度，电腐蚀工艺刻度清晰易读，适合长尺寸裁切等。</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BB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EF4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10485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D6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008A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直角尺</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118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规格：300mm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描述：专业级精制铝座直角尺，型材工业铝合金底座，不锈钢尺条，电腐蚀刻度，精准清晰。</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CF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4BA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F5A5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AC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9A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45度角尺</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3B7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描述：专业级三角尺，精制铝座45度角尺一个，型材工业铝合金底座，不锈钢尺条，电腐蚀工艺刻度，精准清晰。</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B9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55555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63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AE7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短柄羊角锤</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2E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材质：钢质+硅胶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描述：8OZ 225g迷你短柄羊角锤，45号钢锻打锤头，TPR包胶防滑手柄握持舒适，手柄装配灌环氧树脂胶，连接更牢固。</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904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E853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0416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A87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6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榉木小号锤</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3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材质：榉木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规格：84x255mm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描述：迷你小号榉木木锤，采用榉木实木制造，硬度高，不开裂，用于敲击木凿，雕花凿等。</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7E8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782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CEA9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EB7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57C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钳子套装</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B07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描述：3件套迷你尖嘴钳、钢丝钳、斜口钳各1把。</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6C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69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9E6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C48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4EB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手板锯</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448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材质：合金钢+木质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规格：15.5寸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描述：400mm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9A4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5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3F911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D2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27C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框锯</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8FE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材质：红木 ，规格：400mm*180mm，描述：300mm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FB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5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5C787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EF7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7E4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小线锯</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CB0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材质：不锈钢+TPR塑料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规格：每套由1把锯+10根锯条组成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描述：390mm 重量：120g</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A9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E0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4A808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D6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7D1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传统木钻</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9F3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材质：木质+钢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规格：可夹持1mm-10mm钻头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描述：400mm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7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3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0AEF9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81B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8C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折叠手钻</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DD9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材质：金属钻头+塑胶外身</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额定电压：3.6V</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规格：包含塑料箱子及常用电钻配件</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07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C2C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1C29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83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8E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手拧钻</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1EE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材质：硅胶+金属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规格：90*34mm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描述：小萝卜头手拧钻套装，内含10个钻头。</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0E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11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7D539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3F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267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幼儿十字螺丝刀</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52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材质：硅胶+金属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规格：100*35mm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描述：幼儿操作使用。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FB3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86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15167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37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75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幼儿一字螺丝刀</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C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材质：硅胶+金属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规格：100*35mm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描述：幼儿操作使用。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A0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525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4E55C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8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98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卡尺</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07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材质：塑料+金属</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规格：0-150mm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描述：碳纤维数显卡尺</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9BF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4BA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51F96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D8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D9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微型磨床</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5D1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材质：ABS工程塑料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输入电压/电流/功率：12VDC/2A/24W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尺寸：中心高25mm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变压器具有过电流，过压，过热保护。</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5B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26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74544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5B8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45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微型锯床</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69F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材质：ABS工程塑料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输入电压/电流/功率：12VDC/2A/24W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工作台尺寸：90mm*90mm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特点：变压器具有过电流过压、过热保护</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8B1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8EF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A84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05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6A4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微型车床</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4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材质：ABS工程塑料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输入电压/电流/功率：12VDC/2A/24W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尺寸：中心高25mm 中心距135mm                  </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特点：变压器具有过电流过压、过热保护</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875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8C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1A42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82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381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微型钻床</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FFB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材质：ABS工程塑料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马达转速：20000转/分钟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输入电压/电流/功率：12VDC/2A/24W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滑块行程：30mm 50mm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特点：变压器具有过电流过压、过热保护</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E23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E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r>
      <w:tr w14:paraId="636B0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8E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3706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热熔胶枪</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0D1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材质：塑料+铝</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功率：50w</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适用胶棒：7mm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枪口直径：1.6</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BC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31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E470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31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55D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胶条</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D3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材质：固体胶，规格：10个/套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尺寸：直径7mm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1C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F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59C2A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D8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F68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木工白胶</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9D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材质：PVAC，净含量：118ml</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D8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8834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r>
      <w:tr w14:paraId="00492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CE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1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毛刷</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4CD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材质：尼龙+木质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规格：2寸</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描述：塑料手柄，辅助清扫打理工作台，木屑等。</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47F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DE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783AB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20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3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铅笔</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8FE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材质：木质+铅芯</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描述：2B绘图专用铅笔</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C99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1F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w:t>
            </w:r>
          </w:p>
        </w:tc>
      </w:tr>
      <w:tr w14:paraId="06EF65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7FD9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3E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7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规格：162*45mm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描述：中号美工刀，不锈钢内胆，带刹车，TPR包胶防滑手柄</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68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r>
      <w:tr w14:paraId="5AAA5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140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28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美工刀片</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E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材质：SK5合金钢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规格：18x100x0.6mm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描述：锋利耐磨，折断式，每盒10片</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18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DB1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r>
      <w:tr w14:paraId="02A4E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F84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E6B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切割垫板</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A1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材质：硅胶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规格：300×220mm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描述：9层夹白芯切割垫板，耐切割，减少纸张打滑及保护刻刀刀片、操作台台面。</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BF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F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w:t>
            </w:r>
          </w:p>
        </w:tc>
      </w:tr>
      <w:tr w14:paraId="0F10D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D84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7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木工美术辅助材料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32AA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每套含3mm、5mm粗麻绳各1卷；12色12ml盒装水彩画颜料1套，用水调和，适合给木皮花瓣、叶子涂色；6支装水粉画笔套装1套；梅花调色盒1个，12色马克笔1套.</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04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6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F8F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9EF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A1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五金材料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56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材质：碳钢</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规格：100只/盒，内含直钉40mm、螺丝钉300mm，两种</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D70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FC0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01A6C2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59C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F9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规格木板料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21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规格：100块/套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单个尺寸：20mm*20mm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C35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025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781F2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125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64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规格木方料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097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规格：50根/套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尺寸：10mm*30mm*200mm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FD7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87D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12990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B8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45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规格圆棒料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74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规格：50根/套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单个尺寸：20mm*100mm</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509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 </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BE8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4716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60D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5C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幼儿防护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手套</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11F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材质：纤维材质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6FF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52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6896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DE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5A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教师手套</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CD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材质：HPPE、尼龙、氨纶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规格：成人通用均码</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13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4FF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3FA14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595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2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护目镜</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7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尺寸：150mm*40mm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00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69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731A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E7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8D4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护目镜</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75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材质：PP</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尺寸：160mm*45mm</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68C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AC1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87D0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27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69</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05B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围裙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65D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材质：涤纶，规格：410mm*510mm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描述：每套由1个围裙+2只套袖组成</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219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EC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6AD81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A88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EF0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围裙</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767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材质：涤纶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规格：730mm*680mm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描述：每套由1个围裙+2只套袖组成</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B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D7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2D12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E0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58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儿童口罩</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00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材质：无纺布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规格：100个/包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描述：符合国家行业标准，三层防尘过滤，儿童专用。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F2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959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3E208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3A1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21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教师口罩</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06F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材质：无纺布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规格：100个/包</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描述：一次性无纺布口罩，符合国家行业标准，三层防尘过滤，成人专用。</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FA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285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r>
      <w:tr w14:paraId="2593B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21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3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辅料收纳筐</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69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材质：塑料；规格：300*205*125mm，描述：辅料收纳箱。</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C6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5B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08BCF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BB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74</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94A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桌面收纳盒</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3A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材质：原木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规格：310mm*210mm*38mm</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描述：6格/套，放置桌面便于幼儿拿取材料。</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D9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3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r>
      <w:tr w14:paraId="315C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D2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9AC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课程指导</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8A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课程指导1套分为初/中/高3本电子书籍，每节课程包含课程设计意图、活动目标、活动准备、课程导入及课程操作步骤一系列的详细讲解</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每学期16节课程，进阶32节课程，全套共计128节课</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后期课程免费升级更新</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5D2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3E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r>
      <w:tr w14:paraId="48ED7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1F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D4E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安装培训</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6FF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1.专业的培训师落地进行安装教室。环创挂画的摆放、器具的组装与收纳</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2.给老师进行专业的讲解教室功能培训、课程培训、工具使用培训与技能培训</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91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D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14:paraId="780CF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7A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972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学期进阶线上研讨培训会</w:t>
            </w:r>
          </w:p>
        </w:tc>
        <w:tc>
          <w:tcPr>
            <w:tcW w:w="81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B92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因人员流动问题可申请线上指导培训，解决老师不会上课，落实木艺课程等问题</w:t>
            </w: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D09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E8E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r>
      <w:tr w14:paraId="47936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jc w:val="center"/>
        </w:trPr>
        <w:tc>
          <w:tcPr>
            <w:tcW w:w="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C7EC6">
            <w:pPr>
              <w:jc w:val="center"/>
              <w:rPr>
                <w:rFonts w:hint="eastAsia" w:ascii="宋体" w:hAnsi="宋体" w:eastAsia="宋体" w:cs="宋体"/>
                <w:i w:val="0"/>
                <w:iCs w:val="0"/>
                <w:color w:val="000000"/>
                <w:sz w:val="22"/>
                <w:szCs w:val="22"/>
                <w:u w:val="none"/>
              </w:rPr>
            </w:pPr>
          </w:p>
        </w:tc>
        <w:tc>
          <w:tcPr>
            <w:tcW w:w="7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32C94">
            <w:pPr>
              <w:jc w:val="center"/>
              <w:rPr>
                <w:rFonts w:hint="eastAsia" w:ascii="宋体" w:hAnsi="宋体" w:eastAsia="宋体" w:cs="宋体"/>
                <w:i w:val="0"/>
                <w:iCs w:val="0"/>
                <w:color w:val="000000"/>
                <w:sz w:val="22"/>
                <w:szCs w:val="22"/>
                <w:u w:val="none"/>
              </w:rPr>
            </w:pPr>
          </w:p>
        </w:tc>
        <w:tc>
          <w:tcPr>
            <w:tcW w:w="810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8EEB">
            <w:pPr>
              <w:jc w:val="center"/>
              <w:rPr>
                <w:rFonts w:hint="eastAsia" w:ascii="宋体" w:hAnsi="宋体" w:eastAsia="宋体" w:cs="宋体"/>
                <w:i w:val="0"/>
                <w:iCs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E8BE6">
            <w:pPr>
              <w:jc w:val="center"/>
              <w:rPr>
                <w:rFonts w:hint="eastAsia" w:ascii="宋体" w:hAnsi="宋体" w:eastAsia="宋体" w:cs="宋体"/>
                <w:i w:val="0"/>
                <w:iCs w:val="0"/>
                <w:color w:val="000000"/>
                <w:sz w:val="22"/>
                <w:szCs w:val="22"/>
                <w:u w:val="none"/>
              </w:rPr>
            </w:pPr>
          </w:p>
        </w:tc>
        <w:tc>
          <w:tcPr>
            <w:tcW w:w="6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EEF8E">
            <w:pPr>
              <w:jc w:val="center"/>
              <w:rPr>
                <w:rFonts w:hint="eastAsia" w:ascii="宋体" w:hAnsi="宋体" w:eastAsia="宋体" w:cs="宋体"/>
                <w:i w:val="0"/>
                <w:iCs w:val="0"/>
                <w:color w:val="000000"/>
                <w:sz w:val="22"/>
                <w:szCs w:val="22"/>
                <w:u w:val="none"/>
              </w:rPr>
            </w:pPr>
          </w:p>
        </w:tc>
      </w:tr>
    </w:tbl>
    <w:p w14:paraId="68738305">
      <w:pPr>
        <w:tabs>
          <w:tab w:val="left" w:pos="630"/>
        </w:tabs>
        <w:adjustRightInd w:val="0"/>
        <w:snapToGrid w:val="0"/>
        <w:spacing w:line="440" w:lineRule="exact"/>
        <w:rPr>
          <w:rFonts w:hint="eastAsia" w:ascii="宋体" w:hAnsi="宋体" w:cs="宋体"/>
          <w:b/>
          <w:color w:val="000000"/>
          <w:sz w:val="24"/>
        </w:rPr>
      </w:pPr>
    </w:p>
    <w:tbl>
      <w:tblPr>
        <w:tblStyle w:val="5"/>
        <w:tblW w:w="107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3"/>
        <w:gridCol w:w="1659"/>
        <w:gridCol w:w="7465"/>
        <w:gridCol w:w="631"/>
      </w:tblGrid>
      <w:tr w14:paraId="7A35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0" w:hRule="atLeast"/>
          <w:jc w:val="center"/>
        </w:trPr>
        <w:tc>
          <w:tcPr>
            <w:tcW w:w="107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8567C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稻作文化研习区</w:t>
            </w:r>
          </w:p>
        </w:tc>
      </w:tr>
      <w:tr w14:paraId="66BC6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B2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5B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名称</w:t>
            </w:r>
          </w:p>
        </w:tc>
        <w:tc>
          <w:tcPr>
            <w:tcW w:w="7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044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技术参数</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6E0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数量</w:t>
            </w:r>
          </w:p>
        </w:tc>
      </w:tr>
      <w:tr w14:paraId="15F75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624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86F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木塑步道</w:t>
            </w:r>
          </w:p>
        </w:tc>
        <w:tc>
          <w:tcPr>
            <w:tcW w:w="7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BB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1、产品厚度：25mm。</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2、产品材质：圆孔木塑。</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3、产品结构：支架铺设。</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1A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14:paraId="7439C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74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DA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步道支架</w:t>
            </w:r>
          </w:p>
        </w:tc>
        <w:tc>
          <w:tcPr>
            <w:tcW w:w="7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B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1.高度约35厘米。2.热镀锌钢管</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25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r>
      <w:tr w14:paraId="297D6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8" w:hRule="atLeast"/>
          <w:jc w:val="center"/>
        </w:trPr>
        <w:tc>
          <w:tcPr>
            <w:tcW w:w="9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10D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75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门廊</w:t>
            </w:r>
          </w:p>
        </w:tc>
        <w:tc>
          <w:tcPr>
            <w:tcW w:w="74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878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镀锌钢支架，镀锌板焊接，喷漆</w:t>
            </w:r>
          </w:p>
        </w:tc>
        <w:tc>
          <w:tcPr>
            <w:tcW w:w="6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70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bl>
    <w:p w14:paraId="1F367DD0">
      <w:pPr>
        <w:tabs>
          <w:tab w:val="left" w:pos="630"/>
        </w:tabs>
        <w:adjustRightInd w:val="0"/>
        <w:snapToGrid w:val="0"/>
        <w:spacing w:line="440" w:lineRule="exact"/>
        <w:rPr>
          <w:rFonts w:hint="eastAsia" w:ascii="宋体" w:hAnsi="宋体" w:cs="宋体"/>
          <w:b/>
          <w:color w:val="000000"/>
          <w:sz w:val="24"/>
        </w:rPr>
      </w:pPr>
      <w:r>
        <w:rPr>
          <w:rFonts w:hint="eastAsia" w:ascii="宋体" w:hAnsi="宋体" w:cs="宋体"/>
          <w:b/>
          <w:color w:val="000000"/>
          <w:sz w:val="24"/>
        </w:rPr>
        <w:t>三、供货要求：</w:t>
      </w:r>
    </w:p>
    <w:p w14:paraId="255A5719">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1、供方所供的货物必须为全新的，符合国家标准的合格产品；</w:t>
      </w:r>
    </w:p>
    <w:p w14:paraId="46F902A8">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2、所供货物不会侵犯任何第三方知识产权；</w:t>
      </w:r>
    </w:p>
    <w:p w14:paraId="3B33A781">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3、送货地址：采购方指定地点</w:t>
      </w:r>
    </w:p>
    <w:p w14:paraId="365C0318">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4、以上采购清单中所列图片只作为生产制作时的参考款式与样式；</w:t>
      </w:r>
    </w:p>
    <w:p w14:paraId="34B1E11E">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5、若所投设备有规定外形尺寸，则外形尺寸（SIZE）的长、宽、高允许在±5%以内偏差；</w:t>
      </w:r>
    </w:p>
    <w:p w14:paraId="3CD03C66">
      <w:pPr>
        <w:pStyle w:val="2"/>
        <w:adjustRightInd w:val="0"/>
        <w:snapToGrid w:val="0"/>
        <w:spacing w:line="440" w:lineRule="exact"/>
        <w:ind w:firstLine="480"/>
        <w:rPr>
          <w:rFonts w:hint="eastAsia" w:ascii="宋体" w:hAnsi="宋体" w:cs="宋体"/>
          <w:bCs/>
          <w:color w:val="000000"/>
          <w:sz w:val="24"/>
        </w:rPr>
      </w:pPr>
      <w:r>
        <w:rPr>
          <w:rFonts w:hint="eastAsia" w:ascii="宋体" w:hAnsi="宋体" w:cs="宋体"/>
          <w:bCs/>
          <w:color w:val="000000"/>
          <w:sz w:val="24"/>
        </w:rPr>
        <w:t>6、以上部分设备如采购人提供品牌的，欢迎供应商提供等于或优于采购人提供品牌的产品。</w:t>
      </w:r>
    </w:p>
    <w:p w14:paraId="3D3EE950">
      <w:pPr>
        <w:adjustRightInd w:val="0"/>
        <w:snapToGrid w:val="0"/>
        <w:spacing w:line="440" w:lineRule="exact"/>
        <w:ind w:firstLine="482" w:firstLineChars="200"/>
        <w:rPr>
          <w:rFonts w:hint="eastAsia" w:ascii="宋体" w:hAnsi="宋体" w:cs="宋体"/>
          <w:sz w:val="24"/>
        </w:rPr>
      </w:pPr>
      <w:r>
        <w:rPr>
          <w:rFonts w:hint="eastAsia" w:ascii="宋体" w:hAnsi="宋体" w:cs="宋体"/>
          <w:b/>
          <w:bCs/>
          <w:color w:val="000000"/>
          <w:sz w:val="24"/>
        </w:rPr>
        <w:t>7、具体数量和规格以最终业主要求为准，按实结算</w:t>
      </w:r>
    </w:p>
    <w:p w14:paraId="624A7367">
      <w:pPr>
        <w:tabs>
          <w:tab w:val="left" w:pos="630"/>
        </w:tabs>
        <w:adjustRightInd w:val="0"/>
        <w:snapToGrid w:val="0"/>
        <w:spacing w:line="440" w:lineRule="exact"/>
        <w:rPr>
          <w:rFonts w:hint="eastAsia" w:ascii="宋体" w:hAnsi="宋体" w:cs="宋体"/>
          <w:b/>
          <w:color w:val="000000"/>
          <w:sz w:val="24"/>
        </w:rPr>
      </w:pPr>
      <w:r>
        <w:rPr>
          <w:rFonts w:hint="eastAsia" w:ascii="宋体" w:hAnsi="宋体" w:cs="宋体"/>
          <w:b/>
          <w:bCs/>
          <w:color w:val="000000"/>
          <w:sz w:val="24"/>
        </w:rPr>
        <w:t>▲</w:t>
      </w:r>
      <w:r>
        <w:rPr>
          <w:rFonts w:hint="eastAsia" w:ascii="宋体" w:hAnsi="宋体" w:cs="宋体"/>
          <w:b/>
          <w:color w:val="000000"/>
          <w:sz w:val="24"/>
        </w:rPr>
        <w:t>四、售后服务要求：</w:t>
      </w:r>
    </w:p>
    <w:p w14:paraId="47AF9474">
      <w:pPr>
        <w:adjustRightInd w:val="0"/>
        <w:snapToGrid w:val="0"/>
        <w:spacing w:line="440" w:lineRule="exact"/>
        <w:rPr>
          <w:b/>
          <w:bCs/>
          <w:sz w:val="24"/>
        </w:rPr>
      </w:pPr>
      <w:r>
        <w:rPr>
          <w:rFonts w:hint="eastAsia"/>
          <w:b/>
          <w:bCs/>
          <w:sz w:val="24"/>
        </w:rPr>
        <w:t>质保期：</w:t>
      </w:r>
      <w:r>
        <w:rPr>
          <w:b/>
          <w:bCs/>
          <w:sz w:val="24"/>
        </w:rPr>
        <w:t>从货物验收合格之日起</w:t>
      </w:r>
      <w:r>
        <w:rPr>
          <w:rFonts w:hint="eastAsia"/>
          <w:b/>
          <w:bCs/>
          <w:sz w:val="24"/>
          <w:lang w:val="en-US" w:eastAsia="zh-CN"/>
        </w:rPr>
        <w:t>3</w:t>
      </w:r>
      <w:r>
        <w:rPr>
          <w:rFonts w:hint="eastAsia"/>
          <w:b/>
          <w:bCs/>
          <w:sz w:val="24"/>
        </w:rPr>
        <w:t>年</w:t>
      </w:r>
      <w:r>
        <w:rPr>
          <w:b/>
          <w:bCs/>
          <w:sz w:val="24"/>
        </w:rPr>
        <w:t>。</w:t>
      </w:r>
    </w:p>
    <w:p w14:paraId="4C0E81A6">
      <w:pPr>
        <w:adjustRightInd w:val="0"/>
        <w:snapToGrid w:val="0"/>
        <w:spacing w:line="440" w:lineRule="exact"/>
        <w:ind w:firstLine="480" w:firstLineChars="200"/>
        <w:jc w:val="left"/>
        <w:rPr>
          <w:rFonts w:hint="eastAsia"/>
          <w:bCs/>
          <w:sz w:val="24"/>
        </w:rPr>
      </w:pPr>
      <w:r>
        <w:rPr>
          <w:bCs/>
          <w:sz w:val="24"/>
        </w:rPr>
        <w:t>质保期内的维修费用全部由</w:t>
      </w:r>
      <w:r>
        <w:rPr>
          <w:rFonts w:hint="eastAsia"/>
          <w:bCs/>
          <w:sz w:val="24"/>
        </w:rPr>
        <w:t>中标单位</w:t>
      </w:r>
      <w:r>
        <w:rPr>
          <w:bCs/>
          <w:sz w:val="24"/>
        </w:rPr>
        <w:t>负责，质保期</w:t>
      </w:r>
      <w:r>
        <w:rPr>
          <w:rFonts w:hint="eastAsia"/>
          <w:bCs/>
          <w:sz w:val="24"/>
        </w:rPr>
        <w:t>外</w:t>
      </w:r>
      <w:r>
        <w:rPr>
          <w:bCs/>
          <w:sz w:val="24"/>
        </w:rPr>
        <w:t>的维修酌情以成本价收费。在保修期内供方必须不得以任何理由影响用户的正常使用。</w:t>
      </w:r>
      <w:r>
        <w:rPr>
          <w:rFonts w:hint="eastAsia"/>
          <w:bCs/>
          <w:sz w:val="24"/>
        </w:rPr>
        <w:t>中标单位</w:t>
      </w:r>
      <w:r>
        <w:rPr>
          <w:bCs/>
          <w:sz w:val="24"/>
        </w:rPr>
        <w:t>必须对所供产品实行终身维修。</w:t>
      </w:r>
    </w:p>
    <w:p w14:paraId="44C5991C">
      <w:pPr>
        <w:adjustRightInd w:val="0"/>
        <w:snapToGrid w:val="0"/>
        <w:spacing w:line="440" w:lineRule="exact"/>
        <w:rPr>
          <w:rFonts w:hint="eastAsia" w:ascii="宋体" w:hAnsi="宋体" w:cs="宋体"/>
          <w:b/>
          <w:bCs/>
          <w:sz w:val="24"/>
        </w:rPr>
      </w:pPr>
      <w:r>
        <w:rPr>
          <w:rFonts w:hint="eastAsia" w:ascii="宋体" w:hAnsi="宋体" w:cs="宋体"/>
          <w:b/>
          <w:bCs/>
          <w:sz w:val="24"/>
        </w:rPr>
        <w:t>五、培训要求：</w:t>
      </w:r>
    </w:p>
    <w:p w14:paraId="1ED60335">
      <w:pPr>
        <w:adjustRightInd w:val="0"/>
        <w:snapToGrid w:val="0"/>
        <w:spacing w:line="440" w:lineRule="exact"/>
        <w:ind w:firstLine="480" w:firstLineChars="200"/>
        <w:rPr>
          <w:rFonts w:hint="eastAsia" w:ascii="宋体" w:hAnsi="宋体" w:cs="宋体"/>
          <w:sz w:val="24"/>
        </w:rPr>
      </w:pPr>
      <w:r>
        <w:rPr>
          <w:rFonts w:hint="eastAsia" w:ascii="宋体" w:hAnsi="宋体" w:cs="宋体"/>
          <w:sz w:val="24"/>
        </w:rPr>
        <w:t>安装调试后，供应商须向使用方人员做好所供产品日常保养、使用、管理的现场实地培训，直至会熟练使用。</w:t>
      </w:r>
    </w:p>
    <w:p w14:paraId="5B9D56A5">
      <w:pPr>
        <w:adjustRightInd w:val="0"/>
        <w:snapToGrid w:val="0"/>
        <w:spacing w:line="440" w:lineRule="exact"/>
        <w:rPr>
          <w:rFonts w:hint="eastAsia" w:ascii="宋体" w:hAnsi="宋体" w:cs="宋体"/>
          <w:b/>
          <w:bCs/>
          <w:sz w:val="24"/>
        </w:rPr>
      </w:pPr>
      <w:r>
        <w:rPr>
          <w:rFonts w:hint="eastAsia" w:ascii="宋体" w:hAnsi="宋体" w:cs="宋体"/>
          <w:b/>
          <w:bCs/>
          <w:color w:val="000000"/>
          <w:sz w:val="24"/>
        </w:rPr>
        <w:t>▲</w:t>
      </w:r>
      <w:r>
        <w:rPr>
          <w:rFonts w:hint="eastAsia" w:ascii="宋体" w:hAnsi="宋体" w:cs="宋体"/>
          <w:b/>
          <w:bCs/>
          <w:sz w:val="24"/>
        </w:rPr>
        <w:t xml:space="preserve">六、工期要求： </w:t>
      </w:r>
    </w:p>
    <w:p w14:paraId="362D71FE">
      <w:pPr>
        <w:adjustRightInd w:val="0"/>
        <w:snapToGrid w:val="0"/>
        <w:spacing w:line="440" w:lineRule="exact"/>
        <w:ind w:firstLine="482" w:firstLineChars="200"/>
        <w:rPr>
          <w:rFonts w:hint="eastAsia" w:ascii="宋体" w:hAnsi="宋体" w:cs="宋体"/>
          <w:b/>
          <w:bCs/>
          <w:sz w:val="24"/>
        </w:rPr>
      </w:pPr>
      <w:r>
        <w:rPr>
          <w:rFonts w:hint="eastAsia" w:ascii="宋体" w:hAnsi="宋体" w:cs="宋体"/>
          <w:b/>
          <w:bCs/>
          <w:sz w:val="24"/>
        </w:rPr>
        <w:t>中标单位与采购人签订合同后</w:t>
      </w:r>
      <w:r>
        <w:rPr>
          <w:rFonts w:hint="eastAsia" w:ascii="宋体" w:hAnsi="宋体" w:cs="宋体"/>
          <w:b/>
          <w:bCs/>
          <w:sz w:val="24"/>
          <w:lang w:val="en-US" w:eastAsia="zh-CN"/>
        </w:rPr>
        <w:t>30</w:t>
      </w:r>
      <w:r>
        <w:rPr>
          <w:rFonts w:hint="eastAsia" w:ascii="宋体" w:hAnsi="宋体" w:cs="宋体"/>
          <w:b/>
          <w:bCs/>
          <w:sz w:val="24"/>
        </w:rPr>
        <w:t>日内送货并安装、调试完毕及使用方初步验收。</w:t>
      </w:r>
    </w:p>
    <w:p w14:paraId="62DFF80F">
      <w:pPr>
        <w:adjustRightInd w:val="0"/>
        <w:snapToGrid w:val="0"/>
        <w:spacing w:line="440" w:lineRule="exact"/>
        <w:rPr>
          <w:rFonts w:hint="eastAsia" w:ascii="宋体" w:hAnsi="宋体" w:cs="宋体"/>
          <w:sz w:val="24"/>
        </w:rPr>
      </w:pPr>
      <w:r>
        <w:rPr>
          <w:rFonts w:hint="eastAsia" w:ascii="宋体" w:hAnsi="宋体" w:cs="宋体"/>
          <w:b/>
          <w:bCs/>
          <w:sz w:val="24"/>
        </w:rPr>
        <w:t>七、履约保证金和质量保证金：</w:t>
      </w:r>
    </w:p>
    <w:p w14:paraId="79A5DA7E">
      <w:pPr>
        <w:adjustRightInd w:val="0"/>
        <w:snapToGrid w:val="0"/>
        <w:spacing w:line="440" w:lineRule="exact"/>
        <w:ind w:firstLine="480" w:firstLineChars="200"/>
        <w:rPr>
          <w:rFonts w:hint="eastAsia" w:ascii="宋体" w:hAnsi="宋体" w:cs="宋体"/>
          <w:sz w:val="24"/>
        </w:rPr>
      </w:pPr>
      <w:r>
        <w:rPr>
          <w:rFonts w:hint="eastAsia" w:ascii="宋体" w:hAnsi="宋体" w:cs="宋体"/>
          <w:bCs/>
          <w:sz w:val="24"/>
        </w:rPr>
        <w:t>本项目不收取履约保证金及质量保证金</w:t>
      </w:r>
    </w:p>
    <w:p w14:paraId="654FB36B">
      <w:pPr>
        <w:adjustRightInd w:val="0"/>
        <w:snapToGrid w:val="0"/>
        <w:spacing w:line="440" w:lineRule="exact"/>
        <w:rPr>
          <w:rFonts w:hint="eastAsia" w:ascii="宋体" w:hAnsi="宋体" w:cs="宋体"/>
          <w:b/>
          <w:bCs/>
          <w:sz w:val="24"/>
        </w:rPr>
      </w:pPr>
      <w:r>
        <w:rPr>
          <w:rFonts w:hint="eastAsia" w:ascii="宋体" w:hAnsi="宋体" w:cs="宋体"/>
          <w:b/>
          <w:bCs/>
          <w:sz w:val="24"/>
        </w:rPr>
        <w:t>八、货款支付：</w:t>
      </w:r>
    </w:p>
    <w:p w14:paraId="30D8ED35">
      <w:pPr>
        <w:tabs>
          <w:tab w:val="left" w:pos="630"/>
        </w:tabs>
        <w:adjustRightInd w:val="0"/>
        <w:snapToGrid w:val="0"/>
        <w:spacing w:line="440" w:lineRule="exact"/>
        <w:ind w:firstLine="480" w:firstLineChars="200"/>
        <w:rPr>
          <w:rFonts w:hint="eastAsia" w:ascii="宋体" w:hAnsi="宋体" w:cs="宋体"/>
          <w:bCs/>
          <w:color w:val="000000"/>
          <w:sz w:val="24"/>
        </w:rPr>
      </w:pPr>
      <w:r>
        <w:rPr>
          <w:rFonts w:hint="eastAsia" w:ascii="宋体" w:hAnsi="宋体" w:cs="宋体"/>
          <w:bCs/>
          <w:color w:val="000000"/>
          <w:sz w:val="24"/>
        </w:rPr>
        <w:t>在供应商根据合同规定将货物交付、验收合格后，供应商提供发票，采购人凭发票、验收单支付全额货款。</w:t>
      </w:r>
    </w:p>
    <w:p w14:paraId="1622383D">
      <w:pPr>
        <w:adjustRightInd w:val="0"/>
        <w:snapToGrid w:val="0"/>
        <w:spacing w:line="440" w:lineRule="exact"/>
        <w:rPr>
          <w:rFonts w:ascii="Cambria" w:hAnsi="Cambria"/>
          <w:b/>
          <w:bCs/>
          <w:sz w:val="24"/>
        </w:rPr>
      </w:pPr>
      <w:r>
        <w:rPr>
          <w:rFonts w:ascii="Cambria" w:hAnsi="Cambria"/>
          <w:b/>
          <w:bCs/>
          <w:sz w:val="24"/>
        </w:rPr>
        <w:t>九、其他</w:t>
      </w:r>
      <w:r>
        <w:rPr>
          <w:rFonts w:hint="eastAsia"/>
          <w:b/>
          <w:bCs/>
          <w:sz w:val="24"/>
        </w:rPr>
        <w:t>：</w:t>
      </w:r>
    </w:p>
    <w:p w14:paraId="68318044">
      <w:pPr>
        <w:pStyle w:val="3"/>
        <w:adjustRightInd w:val="0"/>
        <w:snapToGrid w:val="0"/>
        <w:spacing w:after="0" w:line="440" w:lineRule="exact"/>
        <w:ind w:firstLine="480" w:firstLineChars="200"/>
        <w:rPr>
          <w:rFonts w:hint="eastAsia"/>
        </w:rPr>
      </w:pPr>
      <w:r>
        <w:rPr>
          <w:rFonts w:ascii="Cambria" w:hAnsi="Cambria"/>
          <w:bCs/>
          <w:color w:val="000000"/>
          <w:sz w:val="24"/>
        </w:rPr>
        <w:t>带“</w:t>
      </w:r>
      <w:r>
        <w:rPr>
          <w:rFonts w:hint="eastAsia" w:ascii="宋体" w:hAnsi="宋体" w:cs="宋体"/>
          <w:b/>
          <w:bCs/>
          <w:color w:val="000000"/>
          <w:sz w:val="24"/>
        </w:rPr>
        <w:t>▲</w:t>
      </w:r>
      <w:r>
        <w:rPr>
          <w:rFonts w:ascii="Cambria" w:hAnsi="Cambria"/>
          <w:bCs/>
          <w:color w:val="000000"/>
          <w:sz w:val="24"/>
        </w:rPr>
        <w:t>”条款为实质性条款，投标人须提供《项目技术规范和服务要求实质性内容响应表》，如有任意一条未响应或不满足，将被视为无效。</w:t>
      </w:r>
    </w:p>
    <w:p w14:paraId="26EBCE93">
      <w:r>
        <w:br w:type="page"/>
      </w:r>
    </w:p>
    <w:tbl>
      <w:tblPr>
        <w:tblStyle w:val="5"/>
        <w:tblW w:w="106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9322"/>
        <w:gridCol w:w="642"/>
      </w:tblGrid>
      <w:tr w14:paraId="46686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41F7285C">
            <w:pPr>
              <w:spacing w:line="500" w:lineRule="exact"/>
              <w:jc w:val="center"/>
              <w:rPr>
                <w:rFonts w:ascii="宋体" w:cs="宋体"/>
                <w:color w:val="auto"/>
                <w:szCs w:val="21"/>
                <w:highlight w:val="none"/>
              </w:rPr>
            </w:pPr>
            <w:r>
              <w:rPr>
                <w:rFonts w:hint="eastAsia" w:ascii="宋体" w:hAnsi="宋体" w:cs="宋体"/>
                <w:color w:val="auto"/>
                <w:szCs w:val="21"/>
                <w:highlight w:val="none"/>
              </w:rPr>
              <w:t>序号</w:t>
            </w:r>
          </w:p>
        </w:tc>
        <w:tc>
          <w:tcPr>
            <w:tcW w:w="9322" w:type="dxa"/>
            <w:tcBorders>
              <w:top w:val="single" w:color="auto" w:sz="4" w:space="0"/>
              <w:left w:val="single" w:color="auto" w:sz="4" w:space="0"/>
              <w:bottom w:val="single" w:color="auto" w:sz="4" w:space="0"/>
              <w:right w:val="single" w:color="auto" w:sz="4" w:space="0"/>
            </w:tcBorders>
            <w:noWrap w:val="0"/>
            <w:vAlign w:val="center"/>
          </w:tcPr>
          <w:p w14:paraId="5D132E73">
            <w:pPr>
              <w:spacing w:line="500" w:lineRule="exact"/>
              <w:jc w:val="center"/>
              <w:rPr>
                <w:rFonts w:ascii="宋体" w:cs="宋体"/>
                <w:color w:val="auto"/>
                <w:szCs w:val="21"/>
                <w:highlight w:val="none"/>
              </w:rPr>
            </w:pPr>
            <w:r>
              <w:rPr>
                <w:rFonts w:hint="eastAsia" w:ascii="宋体" w:hAnsi="宋体" w:cs="宋体"/>
                <w:color w:val="auto"/>
                <w:szCs w:val="21"/>
                <w:highlight w:val="none"/>
              </w:rPr>
              <w:t>评审细则</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00EB7552">
            <w:pPr>
              <w:spacing w:line="360" w:lineRule="exact"/>
              <w:jc w:val="center"/>
              <w:rPr>
                <w:rFonts w:ascii="宋体" w:cs="宋体"/>
                <w:color w:val="auto"/>
                <w:szCs w:val="21"/>
                <w:highlight w:val="none"/>
              </w:rPr>
            </w:pPr>
            <w:r>
              <w:rPr>
                <w:rFonts w:hint="eastAsia" w:ascii="宋体" w:hAnsi="宋体" w:cs="宋体"/>
                <w:color w:val="auto"/>
                <w:szCs w:val="21"/>
                <w:highlight w:val="none"/>
              </w:rPr>
              <w:t>分值</w:t>
            </w:r>
          </w:p>
        </w:tc>
      </w:tr>
      <w:tr w14:paraId="4E38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jc w:val="center"/>
        </w:trPr>
        <w:tc>
          <w:tcPr>
            <w:tcW w:w="643" w:type="dxa"/>
            <w:tcBorders>
              <w:top w:val="single" w:color="auto" w:sz="4" w:space="0"/>
              <w:left w:val="single" w:color="auto" w:sz="4" w:space="0"/>
              <w:right w:val="single" w:color="auto" w:sz="4" w:space="0"/>
            </w:tcBorders>
            <w:noWrap w:val="0"/>
            <w:vAlign w:val="center"/>
          </w:tcPr>
          <w:p w14:paraId="159BFA2C">
            <w:pPr>
              <w:spacing w:line="300" w:lineRule="exact"/>
              <w:jc w:val="center"/>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w:t>
            </w:r>
          </w:p>
          <w:p w14:paraId="523BBC0C">
            <w:pPr>
              <w:spacing w:line="300" w:lineRule="exact"/>
              <w:jc w:val="center"/>
              <w:rPr>
                <w:rFonts w:hint="default" w:ascii="宋体" w:hAnsi="宋体" w:cs="宋体"/>
                <w:color w:val="auto"/>
                <w:szCs w:val="21"/>
                <w:highlight w:val="none"/>
                <w:lang w:val="en-US" w:eastAsia="zh-CN"/>
              </w:rPr>
            </w:pPr>
          </w:p>
        </w:tc>
        <w:tc>
          <w:tcPr>
            <w:tcW w:w="9322" w:type="dxa"/>
            <w:tcBorders>
              <w:top w:val="single" w:color="auto" w:sz="4" w:space="0"/>
              <w:left w:val="single" w:color="auto" w:sz="4" w:space="0"/>
              <w:right w:val="single" w:color="auto" w:sz="4" w:space="0"/>
            </w:tcBorders>
            <w:noWrap w:val="0"/>
            <w:vAlign w:val="top"/>
          </w:tcPr>
          <w:p w14:paraId="14C9D054">
            <w:pPr>
              <w:rPr>
                <w:rFonts w:ascii="宋体" w:hAnsi="宋体" w:eastAsia="宋体" w:cs="宋体"/>
                <w:spacing w:val="-4"/>
                <w:szCs w:val="21"/>
                <w:highlight w:val="none"/>
              </w:rPr>
            </w:pPr>
            <w:r>
              <w:rPr>
                <w:rFonts w:hint="eastAsia" w:ascii="宋体" w:hAnsi="宋体" w:cs="宋体"/>
                <w:spacing w:val="-4"/>
                <w:szCs w:val="21"/>
                <w:highlight w:val="none"/>
                <w:lang w:val="en-US" w:eastAsia="zh-CN"/>
              </w:rPr>
              <w:t>根据</w:t>
            </w:r>
            <w:r>
              <w:rPr>
                <w:rFonts w:ascii="宋体" w:hAnsi="宋体" w:eastAsia="宋体" w:cs="宋体"/>
                <w:spacing w:val="-4"/>
                <w:szCs w:val="21"/>
                <w:highlight w:val="none"/>
              </w:rPr>
              <w:t>技术参数中标注“★”的参数为重要参数，</w:t>
            </w:r>
            <w:r>
              <w:rPr>
                <w:rFonts w:hint="eastAsia" w:ascii="宋体" w:hAnsi="宋体" w:cs="宋体"/>
                <w:spacing w:val="-4"/>
                <w:szCs w:val="21"/>
                <w:highlight w:val="none"/>
                <w:lang w:val="en-US" w:eastAsia="zh-CN"/>
              </w:rPr>
              <w:t>须</w:t>
            </w:r>
            <w:r>
              <w:rPr>
                <w:rFonts w:ascii="宋体" w:hAnsi="宋体" w:eastAsia="宋体" w:cs="宋体"/>
                <w:spacing w:val="-4"/>
                <w:szCs w:val="21"/>
                <w:highlight w:val="none"/>
              </w:rPr>
              <w:t xml:space="preserve">对招标文件产品技术参数和响应程度的评审要求： </w:t>
            </w:r>
          </w:p>
          <w:p w14:paraId="28E44DDC">
            <w:pPr>
              <w:numPr>
                <w:ilvl w:val="0"/>
                <w:numId w:val="0"/>
              </w:numPr>
              <w:rPr>
                <w:rFonts w:hint="eastAsia" w:ascii="Times New Roman" w:hAnsi="Times New Roman" w:eastAsia="宋体" w:cs="Times New Roman"/>
                <w:color w:val="000000"/>
                <w:sz w:val="21"/>
                <w:lang w:val="en-US" w:eastAsia="zh-CN" w:bidi="ar-SA"/>
              </w:rPr>
            </w:pPr>
            <w:r>
              <w:rPr>
                <w:rFonts w:hint="eastAsia" w:ascii="Times New Roman" w:hAnsi="Times New Roman" w:eastAsia="宋体" w:cs="Times New Roman"/>
                <w:highlight w:val="none"/>
                <w:lang w:val="en-US" w:eastAsia="zh-CN"/>
              </w:rPr>
              <w:t>根据投标人对全部技术参数的符合性、完整性以及对招标文件各项要求的逐项响应承诺等方面情况由评委进行评分。全部满足招标文件要求的得30分；</w:t>
            </w:r>
            <w:r>
              <w:rPr>
                <w:rFonts w:hint="eastAsia" w:ascii="Times New Roman" w:hAnsi="Times New Roman" w:eastAsia="宋体" w:cs="Times New Roman"/>
                <w:highlight w:val="none"/>
              </w:rPr>
              <w:t>标注“★”</w:t>
            </w:r>
            <w:r>
              <w:rPr>
                <w:rFonts w:hint="eastAsia" w:ascii="Times New Roman" w:hAnsi="Times New Roman" w:eastAsia="宋体" w:cs="Times New Roman"/>
                <w:highlight w:val="none"/>
                <w:lang w:val="en-US" w:eastAsia="zh-CN"/>
              </w:rPr>
              <w:t>设备“技术参数” 中有要求提供相关佐证材料的为重要技术参数，投标投标人应如实提供，</w:t>
            </w:r>
            <w:r>
              <w:rPr>
                <w:rFonts w:hint="eastAsia" w:ascii="Times New Roman" w:hAnsi="Times New Roman" w:eastAsia="宋体" w:cs="Times New Roman"/>
                <w:highlight w:val="none"/>
              </w:rPr>
              <w:t>每负偏离一条扣</w:t>
            </w:r>
            <w:r>
              <w:rPr>
                <w:rFonts w:hint="eastAsia" w:ascii="Times New Roman" w:hAnsi="Times New Roman" w:eastAsia="宋体" w:cs="Times New Roman"/>
                <w:highlight w:val="none"/>
                <w:lang w:val="en-US" w:eastAsia="zh-CN"/>
              </w:rPr>
              <w:t>5</w:t>
            </w:r>
            <w:r>
              <w:rPr>
                <w:rFonts w:hint="eastAsia" w:ascii="Times New Roman" w:hAnsi="Times New Roman" w:eastAsia="宋体" w:cs="Times New Roman"/>
                <w:highlight w:val="none"/>
              </w:rPr>
              <w:t>分</w:t>
            </w:r>
            <w:r>
              <w:rPr>
                <w:rFonts w:hint="eastAsia" w:ascii="Times New Roman" w:hAnsi="Times New Roman" w:eastAsia="宋体" w:cs="Times New Roman"/>
                <w:highlight w:val="none"/>
                <w:lang w:val="en-US" w:eastAsia="zh-CN"/>
              </w:rPr>
              <w:t>；其余技术参数每负</w:t>
            </w:r>
            <w:bookmarkStart w:id="0" w:name="_GoBack"/>
            <w:bookmarkEnd w:id="0"/>
            <w:r>
              <w:rPr>
                <w:rFonts w:hint="eastAsia" w:ascii="Times New Roman" w:hAnsi="Times New Roman" w:eastAsia="宋体" w:cs="Times New Roman"/>
                <w:highlight w:val="none"/>
                <w:lang w:val="en-US" w:eastAsia="zh-CN"/>
              </w:rPr>
              <w:t>偏离一项扣1 分，扣完为止【注：未提供或响应内容与其佐证材料不一致的将视为负偏离】</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6FD54DF6">
            <w:pPr>
              <w:jc w:val="center"/>
              <w:rPr>
                <w:rFonts w:hint="default" w:ascii="Times New Roman" w:hAnsi="Times New Roman" w:eastAsia="宋体" w:cs="Times New Roman"/>
                <w:color w:val="000000"/>
                <w:sz w:val="21"/>
                <w:highlight w:val="none"/>
                <w:lang w:val="en-US" w:eastAsia="zh-CN" w:bidi="ar-SA"/>
              </w:rPr>
            </w:pPr>
            <w:r>
              <w:rPr>
                <w:rFonts w:hint="eastAsia" w:cs="Times New Roman"/>
                <w:color w:val="000000"/>
                <w:sz w:val="21"/>
                <w:highlight w:val="none"/>
                <w:lang w:val="en-US" w:eastAsia="zh-CN" w:bidi="ar-SA"/>
              </w:rPr>
              <w:t>30分</w:t>
            </w:r>
          </w:p>
        </w:tc>
      </w:tr>
      <w:tr w14:paraId="7EA7E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43" w:type="dxa"/>
            <w:tcBorders>
              <w:top w:val="single" w:color="auto" w:sz="4" w:space="0"/>
              <w:left w:val="single" w:color="auto" w:sz="4" w:space="0"/>
              <w:right w:val="single" w:color="auto" w:sz="4" w:space="0"/>
            </w:tcBorders>
            <w:noWrap w:val="0"/>
            <w:vAlign w:val="center"/>
          </w:tcPr>
          <w:p w14:paraId="6113A7C7">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9322" w:type="dxa"/>
            <w:tcBorders>
              <w:top w:val="single" w:color="auto" w:sz="4" w:space="0"/>
              <w:left w:val="single" w:color="auto" w:sz="4" w:space="0"/>
              <w:right w:val="single" w:color="auto" w:sz="4" w:space="0"/>
            </w:tcBorders>
            <w:noWrap w:val="0"/>
            <w:vAlign w:val="center"/>
          </w:tcPr>
          <w:p w14:paraId="730D4F3E">
            <w:pPr>
              <w:numPr>
                <w:ilvl w:val="0"/>
                <w:numId w:val="0"/>
              </w:numPr>
              <w:rPr>
                <w:rFonts w:hint="default" w:ascii="宋体" w:hAnsi="宋体" w:eastAsia="宋体" w:cs="宋体"/>
                <w:i w:val="0"/>
                <w:iCs w:val="0"/>
                <w:color w:val="000000"/>
                <w:kern w:val="0"/>
                <w:sz w:val="20"/>
                <w:szCs w:val="20"/>
                <w:u w:val="none"/>
                <w:lang w:val="en-US" w:eastAsia="zh-CN" w:bidi="ar"/>
              </w:rPr>
            </w:pPr>
            <w:r>
              <w:rPr>
                <w:rFonts w:hint="eastAsia" w:ascii="Times New Roman" w:hAnsi="Times New Roman" w:eastAsia="宋体" w:cs="Times New Roman"/>
                <w:highlight w:val="none"/>
                <w:lang w:val="en-US" w:eastAsia="zh-CN"/>
              </w:rPr>
              <w:t>项目整体质保期叁年，每增加满一年得1分，最高得2分。延保时间不足一年的不得分。</w:t>
            </w:r>
            <w:r>
              <w:rPr>
                <w:rFonts w:hint="eastAsia" w:ascii="Times New Roman" w:hAnsi="Times New Roman" w:eastAsia="宋体" w:cs="Times New Roman"/>
                <w:b/>
                <w:bCs/>
                <w:highlight w:val="none"/>
                <w:lang w:val="en-US" w:eastAsia="zh-CN"/>
              </w:rPr>
              <w:t>（投标文件中需提供承诺函，格式自拟。）</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70CDCF52">
            <w:pPr>
              <w:jc w:val="center"/>
              <w:rPr>
                <w:rFonts w:hint="default" w:ascii="Times New Roman" w:hAnsi="Times New Roman" w:eastAsia="宋体" w:cs="Times New Roman"/>
                <w:highlight w:val="none"/>
                <w:lang w:val="en-US" w:eastAsia="zh-CN"/>
              </w:rPr>
            </w:pPr>
            <w:r>
              <w:rPr>
                <w:rFonts w:hint="eastAsia" w:ascii="Times New Roman" w:hAnsi="Times New Roman" w:eastAsia="宋体" w:cs="Times New Roman"/>
                <w:highlight w:val="none"/>
                <w:lang w:val="en-US" w:eastAsia="zh-CN"/>
              </w:rPr>
              <w:t>2分</w:t>
            </w:r>
          </w:p>
        </w:tc>
      </w:tr>
      <w:tr w14:paraId="42319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5" w:hRule="atLeast"/>
          <w:jc w:val="center"/>
        </w:trPr>
        <w:tc>
          <w:tcPr>
            <w:tcW w:w="643" w:type="dxa"/>
            <w:tcBorders>
              <w:top w:val="single" w:color="auto" w:sz="4" w:space="0"/>
              <w:left w:val="single" w:color="auto" w:sz="4" w:space="0"/>
              <w:right w:val="single" w:color="auto" w:sz="4" w:space="0"/>
            </w:tcBorders>
            <w:noWrap w:val="0"/>
            <w:vAlign w:val="center"/>
          </w:tcPr>
          <w:p w14:paraId="2E08478B">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3</w:t>
            </w:r>
          </w:p>
        </w:tc>
        <w:tc>
          <w:tcPr>
            <w:tcW w:w="9322" w:type="dxa"/>
            <w:tcBorders>
              <w:top w:val="single" w:color="auto" w:sz="4" w:space="0"/>
              <w:left w:val="single" w:color="auto" w:sz="4" w:space="0"/>
              <w:right w:val="single" w:color="auto" w:sz="4" w:space="0"/>
            </w:tcBorders>
            <w:noWrap w:val="0"/>
            <w:vAlign w:val="center"/>
          </w:tcPr>
          <w:p w14:paraId="1A718522">
            <w:pPr>
              <w:rPr>
                <w:rFonts w:hint="eastAsia" w:ascii="宋体" w:hAnsi="宋体" w:eastAsia="宋体" w:cs="宋体"/>
                <w:szCs w:val="21"/>
                <w:highlight w:val="none"/>
                <w:lang w:val="zh-TW" w:eastAsia="zh-CN"/>
              </w:rPr>
            </w:pPr>
            <w:r>
              <w:rPr>
                <w:rFonts w:hint="eastAsia" w:ascii="宋体" w:hAnsi="宋体" w:eastAsia="宋体" w:cs="宋体"/>
                <w:szCs w:val="21"/>
                <w:highlight w:val="none"/>
                <w:lang w:val="en-US" w:eastAsia="zh-CN"/>
              </w:rPr>
              <w:t>合理化建议：提供有指导性的合理化建议进行打分</w:t>
            </w:r>
            <w:r>
              <w:rPr>
                <w:rFonts w:hint="eastAsia" w:ascii="宋体" w:hAnsi="宋体" w:eastAsia="宋体" w:cs="宋体"/>
                <w:szCs w:val="21"/>
                <w:highlight w:val="none"/>
                <w:lang w:val="zh-TW" w:eastAsia="zh-CN"/>
              </w:rPr>
              <w:t>；</w:t>
            </w:r>
          </w:p>
          <w:p w14:paraId="3957F763">
            <w:pPr>
              <w:rPr>
                <w:rFonts w:hint="eastAsia" w:ascii="宋体" w:hAnsi="宋体" w:eastAsia="宋体" w:cs="宋体"/>
                <w:szCs w:val="21"/>
                <w:highlight w:val="none"/>
                <w:lang w:val="zh-TW" w:eastAsia="zh-CN"/>
              </w:rPr>
            </w:pPr>
            <w:r>
              <w:rPr>
                <w:rFonts w:hint="eastAsia" w:ascii="宋体" w:hAnsi="宋体" w:eastAsia="宋体" w:cs="宋体"/>
                <w:szCs w:val="21"/>
                <w:highlight w:val="none"/>
                <w:lang w:val="zh-TW" w:eastAsia="zh-CN"/>
              </w:rPr>
              <w:t>合理化建议十分完善，得 6分；</w:t>
            </w:r>
          </w:p>
          <w:p w14:paraId="2DAE4DEA">
            <w:pPr>
              <w:rPr>
                <w:rFonts w:hint="eastAsia" w:ascii="宋体" w:hAnsi="宋体" w:eastAsia="宋体" w:cs="宋体"/>
                <w:szCs w:val="21"/>
                <w:highlight w:val="none"/>
                <w:lang w:val="zh-TW" w:eastAsia="zh-CN"/>
              </w:rPr>
            </w:pPr>
            <w:r>
              <w:rPr>
                <w:rFonts w:hint="eastAsia" w:ascii="宋体" w:hAnsi="宋体" w:eastAsia="宋体" w:cs="宋体"/>
                <w:szCs w:val="21"/>
                <w:highlight w:val="none"/>
                <w:lang w:val="zh-TW" w:eastAsia="zh-CN"/>
              </w:rPr>
              <w:t>合理化建议较全面，得 5分；</w:t>
            </w:r>
          </w:p>
          <w:p w14:paraId="291B9AD9">
            <w:pPr>
              <w:rPr>
                <w:rFonts w:hint="eastAsia" w:ascii="宋体" w:hAnsi="宋体" w:eastAsia="宋体" w:cs="宋体"/>
                <w:szCs w:val="21"/>
                <w:highlight w:val="none"/>
                <w:lang w:val="zh-TW" w:eastAsia="zh-CN"/>
              </w:rPr>
            </w:pPr>
            <w:r>
              <w:rPr>
                <w:rFonts w:hint="eastAsia" w:ascii="宋体" w:hAnsi="宋体" w:eastAsia="宋体" w:cs="宋体"/>
                <w:szCs w:val="21"/>
                <w:highlight w:val="none"/>
                <w:lang w:val="zh-TW" w:eastAsia="zh-CN"/>
              </w:rPr>
              <w:t>合理化建议基本全面，得 4分；</w:t>
            </w:r>
          </w:p>
          <w:p w14:paraId="3177D0BF">
            <w:pPr>
              <w:rPr>
                <w:rFonts w:hint="eastAsia" w:ascii="宋体" w:hAnsi="宋体" w:eastAsia="宋体" w:cs="宋体"/>
                <w:szCs w:val="21"/>
                <w:highlight w:val="none"/>
                <w:lang w:val="zh-TW" w:eastAsia="zh-CN"/>
              </w:rPr>
            </w:pPr>
            <w:r>
              <w:rPr>
                <w:rFonts w:hint="eastAsia" w:ascii="宋体" w:hAnsi="宋体" w:eastAsia="宋体" w:cs="宋体"/>
                <w:szCs w:val="21"/>
                <w:highlight w:val="none"/>
                <w:lang w:val="zh-TW" w:eastAsia="zh-CN"/>
              </w:rPr>
              <w:t>合理化建议一般，得 3分；</w:t>
            </w:r>
          </w:p>
          <w:p w14:paraId="38E80013">
            <w:pPr>
              <w:rPr>
                <w:rFonts w:hint="eastAsia" w:ascii="宋体" w:hAnsi="宋体" w:eastAsia="宋体" w:cs="宋体"/>
                <w:szCs w:val="21"/>
                <w:highlight w:val="none"/>
                <w:lang w:val="zh-TW" w:eastAsia="zh-CN"/>
              </w:rPr>
            </w:pPr>
            <w:r>
              <w:rPr>
                <w:rFonts w:hint="eastAsia" w:ascii="宋体" w:hAnsi="宋体" w:eastAsia="宋体" w:cs="宋体"/>
                <w:szCs w:val="21"/>
                <w:highlight w:val="none"/>
                <w:lang w:val="zh-TW" w:eastAsia="zh-CN"/>
              </w:rPr>
              <w:t>合理化建议较差，得 2分；</w:t>
            </w:r>
          </w:p>
          <w:p w14:paraId="456A6217">
            <w:pPr>
              <w:rPr>
                <w:rFonts w:hint="eastAsia" w:eastAsia="宋体"/>
                <w:highlight w:val="none"/>
              </w:rPr>
            </w:pPr>
            <w:r>
              <w:rPr>
                <w:rFonts w:hint="eastAsia" w:ascii="宋体" w:hAnsi="宋体" w:eastAsia="宋体" w:cs="宋体"/>
                <w:szCs w:val="21"/>
                <w:highlight w:val="none"/>
                <w:lang w:val="zh-TW" w:eastAsia="zh-CN"/>
              </w:rPr>
              <w:t>合理化建议</w:t>
            </w:r>
            <w:r>
              <w:rPr>
                <w:rFonts w:hint="eastAsia" w:ascii="宋体" w:hAnsi="宋体" w:eastAsia="宋体" w:cs="宋体"/>
                <w:szCs w:val="21"/>
                <w:highlight w:val="none"/>
                <w:lang w:val="en-US" w:eastAsia="zh-CN"/>
              </w:rPr>
              <w:t>差的</w:t>
            </w:r>
            <w:r>
              <w:rPr>
                <w:rFonts w:hint="eastAsia" w:ascii="宋体" w:hAnsi="宋体" w:eastAsia="宋体" w:cs="宋体"/>
                <w:szCs w:val="21"/>
                <w:highlight w:val="none"/>
                <w:lang w:val="zh-TW" w:eastAsia="zh-CN"/>
              </w:rPr>
              <w:t>，得1分；不符合或完全不提供不得分。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05C5B637">
            <w:pPr>
              <w:snapToGrid w:val="0"/>
              <w:spacing w:line="360" w:lineRule="auto"/>
              <w:jc w:val="center"/>
              <w:rPr>
                <w:rFonts w:hint="default" w:ascii="仿宋" w:hAnsi="仿宋" w:eastAsia="仿宋"/>
                <w:lang w:val="en-US" w:eastAsia="zh-CN"/>
              </w:rPr>
            </w:pPr>
            <w:r>
              <w:rPr>
                <w:rFonts w:hint="eastAsia" w:ascii="宋体" w:hAnsi="宋体" w:cs="宋体"/>
                <w:b w:val="0"/>
                <w:bCs w:val="0"/>
                <w:color w:val="auto"/>
                <w:sz w:val="24"/>
                <w:szCs w:val="24"/>
                <w:highlight w:val="none"/>
                <w:lang w:val="en-US" w:eastAsia="zh-CN"/>
              </w:rPr>
              <w:t>6分</w:t>
            </w:r>
          </w:p>
        </w:tc>
      </w:tr>
      <w:tr w14:paraId="744A0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26F52B78">
            <w:pPr>
              <w:spacing w:line="30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4</w:t>
            </w:r>
          </w:p>
        </w:tc>
        <w:tc>
          <w:tcPr>
            <w:tcW w:w="9322" w:type="dxa"/>
            <w:tcBorders>
              <w:top w:val="single" w:color="auto" w:sz="4" w:space="0"/>
              <w:left w:val="single" w:color="auto" w:sz="4" w:space="0"/>
              <w:bottom w:val="single" w:color="auto" w:sz="4" w:space="0"/>
              <w:right w:val="single" w:color="auto" w:sz="4" w:space="0"/>
            </w:tcBorders>
            <w:noWrap w:val="0"/>
            <w:vAlign w:val="top"/>
          </w:tcPr>
          <w:p w14:paraId="13825E31">
            <w:pPr>
              <w:rPr>
                <w:rFonts w:ascii="宋体" w:hAnsi="宋体" w:eastAsia="宋体" w:cs="宋体"/>
                <w:szCs w:val="21"/>
                <w:highlight w:val="none"/>
              </w:rPr>
            </w:pPr>
            <w:r>
              <w:rPr>
                <w:rFonts w:ascii="宋体" w:hAnsi="宋体" w:eastAsia="宋体" w:cs="宋体"/>
                <w:szCs w:val="21"/>
                <w:highlight w:val="none"/>
              </w:rPr>
              <w:t xml:space="preserve">根据投标人所提供的本项目整体方案及计划，包括但不限于对软件技术架构、软件功能、软件性能等方面制定总体方案： </w:t>
            </w:r>
          </w:p>
          <w:p w14:paraId="6F20331C">
            <w:pPr>
              <w:numPr>
                <w:ilvl w:val="0"/>
                <w:numId w:val="0"/>
              </w:numPr>
              <w:rPr>
                <w:rFonts w:hint="eastAsia"/>
                <w:highlight w:val="none"/>
              </w:rPr>
            </w:pPr>
            <w:r>
              <w:rPr>
                <w:rFonts w:hint="eastAsia"/>
                <w:highlight w:val="none"/>
              </w:rPr>
              <w:t xml:space="preserve">内容十分完善、针对性强、可行性强，得 </w:t>
            </w:r>
            <w:r>
              <w:rPr>
                <w:rFonts w:hint="eastAsia"/>
                <w:highlight w:val="none"/>
                <w:lang w:val="en-US" w:eastAsia="zh-CN"/>
              </w:rPr>
              <w:t>8</w:t>
            </w:r>
            <w:r>
              <w:rPr>
                <w:rFonts w:hint="eastAsia"/>
                <w:highlight w:val="none"/>
              </w:rPr>
              <w:t>分；</w:t>
            </w:r>
          </w:p>
          <w:p w14:paraId="7A39ABD0">
            <w:pPr>
              <w:numPr>
                <w:ilvl w:val="0"/>
                <w:numId w:val="0"/>
              </w:numPr>
              <w:rPr>
                <w:rFonts w:hint="eastAsia"/>
                <w:highlight w:val="none"/>
              </w:rPr>
            </w:pPr>
            <w:r>
              <w:rPr>
                <w:rFonts w:hint="eastAsia"/>
                <w:highlight w:val="none"/>
              </w:rPr>
              <w:t>内容</w:t>
            </w:r>
            <w:r>
              <w:rPr>
                <w:rFonts w:hint="eastAsia"/>
                <w:highlight w:val="none"/>
                <w:lang w:val="en-US" w:eastAsia="zh-CN"/>
              </w:rPr>
              <w:t>较</w:t>
            </w:r>
            <w:r>
              <w:rPr>
                <w:rFonts w:hint="eastAsia"/>
                <w:highlight w:val="none"/>
              </w:rPr>
              <w:t>全面、针对性</w:t>
            </w:r>
            <w:r>
              <w:rPr>
                <w:rFonts w:hint="eastAsia"/>
                <w:highlight w:val="none"/>
                <w:lang w:val="en-US" w:eastAsia="zh-CN"/>
              </w:rPr>
              <w:t>较</w:t>
            </w:r>
            <w:r>
              <w:rPr>
                <w:rFonts w:hint="eastAsia"/>
                <w:highlight w:val="none"/>
              </w:rPr>
              <w:t xml:space="preserve">强、可行性较强，得 </w:t>
            </w:r>
            <w:r>
              <w:rPr>
                <w:rFonts w:hint="eastAsia"/>
                <w:highlight w:val="none"/>
                <w:lang w:val="en-US" w:eastAsia="zh-CN"/>
              </w:rPr>
              <w:t>6</w:t>
            </w:r>
            <w:r>
              <w:rPr>
                <w:rFonts w:hint="eastAsia"/>
                <w:highlight w:val="none"/>
              </w:rPr>
              <w:t>分；</w:t>
            </w:r>
          </w:p>
          <w:p w14:paraId="5A71BEB0">
            <w:pPr>
              <w:numPr>
                <w:ilvl w:val="0"/>
                <w:numId w:val="0"/>
              </w:numPr>
              <w:rPr>
                <w:rFonts w:hint="eastAsia"/>
                <w:highlight w:val="none"/>
              </w:rPr>
            </w:pPr>
            <w:r>
              <w:rPr>
                <w:rFonts w:hint="eastAsia"/>
                <w:highlight w:val="none"/>
              </w:rPr>
              <w:t>内容基本全面、针对性</w:t>
            </w:r>
            <w:r>
              <w:rPr>
                <w:rFonts w:hint="eastAsia"/>
                <w:highlight w:val="none"/>
                <w:lang w:val="en-US" w:eastAsia="zh-CN"/>
              </w:rPr>
              <w:t>较</w:t>
            </w:r>
            <w:r>
              <w:rPr>
                <w:rFonts w:hint="eastAsia"/>
                <w:highlight w:val="none"/>
              </w:rPr>
              <w:t>强</w:t>
            </w:r>
            <w:r>
              <w:rPr>
                <w:rFonts w:hint="eastAsia"/>
                <w:highlight w:val="none"/>
                <w:lang w:eastAsia="zh-CN"/>
              </w:rPr>
              <w:t>、</w:t>
            </w:r>
            <w:r>
              <w:rPr>
                <w:rFonts w:hint="eastAsia"/>
                <w:highlight w:val="none"/>
              </w:rPr>
              <w:t xml:space="preserve">可行性较强，得 </w:t>
            </w:r>
            <w:r>
              <w:rPr>
                <w:rFonts w:hint="eastAsia"/>
                <w:highlight w:val="none"/>
                <w:lang w:val="en-US" w:eastAsia="zh-CN"/>
              </w:rPr>
              <w:t>4</w:t>
            </w:r>
            <w:r>
              <w:rPr>
                <w:rFonts w:hint="eastAsia"/>
                <w:highlight w:val="none"/>
              </w:rPr>
              <w:t>分；</w:t>
            </w:r>
          </w:p>
          <w:p w14:paraId="7FEFEC1C">
            <w:pPr>
              <w:numPr>
                <w:ilvl w:val="0"/>
                <w:numId w:val="0"/>
              </w:numPr>
              <w:rPr>
                <w:rFonts w:hint="eastAsia"/>
                <w:highlight w:val="none"/>
              </w:rPr>
            </w:pPr>
            <w:r>
              <w:rPr>
                <w:rFonts w:hint="eastAsia"/>
                <w:highlight w:val="none"/>
              </w:rPr>
              <w:t>内容</w:t>
            </w:r>
            <w:r>
              <w:rPr>
                <w:rFonts w:hint="eastAsia"/>
                <w:highlight w:val="none"/>
                <w:lang w:val="en-US" w:eastAsia="zh-CN"/>
              </w:rPr>
              <w:t>较差</w:t>
            </w:r>
            <w:r>
              <w:rPr>
                <w:rFonts w:hint="eastAsia"/>
                <w:highlight w:val="none"/>
              </w:rPr>
              <w:t>、针对性</w:t>
            </w:r>
            <w:r>
              <w:rPr>
                <w:rFonts w:hint="eastAsia"/>
                <w:highlight w:val="none"/>
                <w:lang w:val="en-US" w:eastAsia="zh-CN"/>
              </w:rPr>
              <w:t>一般</w:t>
            </w:r>
            <w:r>
              <w:rPr>
                <w:rFonts w:hint="eastAsia"/>
                <w:highlight w:val="none"/>
                <w:lang w:eastAsia="zh-CN"/>
              </w:rPr>
              <w:t>、</w:t>
            </w:r>
            <w:r>
              <w:rPr>
                <w:rFonts w:hint="eastAsia"/>
                <w:highlight w:val="none"/>
              </w:rPr>
              <w:t>可行性</w:t>
            </w:r>
            <w:r>
              <w:rPr>
                <w:rFonts w:hint="eastAsia"/>
                <w:highlight w:val="none"/>
                <w:lang w:val="en-US" w:eastAsia="zh-CN"/>
              </w:rPr>
              <w:t>一般</w:t>
            </w:r>
            <w:r>
              <w:rPr>
                <w:rFonts w:hint="eastAsia"/>
                <w:highlight w:val="none"/>
              </w:rPr>
              <w:t xml:space="preserve">，得 </w:t>
            </w:r>
            <w:r>
              <w:rPr>
                <w:rFonts w:hint="eastAsia"/>
                <w:highlight w:val="none"/>
                <w:lang w:val="en-US" w:eastAsia="zh-CN"/>
              </w:rPr>
              <w:t>2</w:t>
            </w:r>
            <w:r>
              <w:rPr>
                <w:rFonts w:hint="eastAsia"/>
                <w:highlight w:val="none"/>
              </w:rPr>
              <w:t>分；</w:t>
            </w:r>
          </w:p>
          <w:p w14:paraId="34AC19FA">
            <w:pPr>
              <w:numPr>
                <w:ilvl w:val="0"/>
                <w:numId w:val="0"/>
              </w:numPr>
              <w:rPr>
                <w:rFonts w:hint="eastAsia" w:ascii="宋体" w:hAnsi="宋体" w:eastAsia="宋体" w:cs="宋体"/>
                <w:color w:val="000000"/>
                <w:sz w:val="21"/>
                <w:szCs w:val="21"/>
                <w:highlight w:val="none"/>
                <w:lang w:val="en-US" w:eastAsia="zh-CN" w:bidi="ar-SA"/>
              </w:rPr>
            </w:pPr>
            <w:r>
              <w:rPr>
                <w:rFonts w:hint="eastAsia"/>
                <w:highlight w:val="none"/>
              </w:rPr>
              <w:t>内容</w:t>
            </w:r>
            <w:r>
              <w:rPr>
                <w:rFonts w:hint="eastAsia"/>
                <w:highlight w:val="none"/>
                <w:lang w:val="en-US" w:eastAsia="zh-CN"/>
              </w:rPr>
              <w:t>较差</w:t>
            </w:r>
            <w:r>
              <w:rPr>
                <w:rFonts w:hint="eastAsia"/>
                <w:highlight w:val="none"/>
              </w:rPr>
              <w:t>、针对性</w:t>
            </w:r>
            <w:r>
              <w:rPr>
                <w:rFonts w:hint="eastAsia"/>
                <w:highlight w:val="none"/>
                <w:lang w:val="en-US" w:eastAsia="zh-CN"/>
              </w:rPr>
              <w:t>较差</w:t>
            </w:r>
            <w:r>
              <w:rPr>
                <w:rFonts w:hint="eastAsia"/>
                <w:highlight w:val="none"/>
                <w:lang w:eastAsia="zh-CN"/>
              </w:rPr>
              <w:t>、</w:t>
            </w:r>
            <w:r>
              <w:rPr>
                <w:rFonts w:hint="eastAsia"/>
                <w:highlight w:val="none"/>
              </w:rPr>
              <w:t>可行性</w:t>
            </w:r>
            <w:r>
              <w:rPr>
                <w:rFonts w:hint="eastAsia"/>
                <w:highlight w:val="none"/>
                <w:lang w:val="en-US" w:eastAsia="zh-CN"/>
              </w:rPr>
              <w:t>较差</w:t>
            </w:r>
            <w:r>
              <w:rPr>
                <w:rFonts w:hint="eastAsia"/>
                <w:highlight w:val="none"/>
              </w:rPr>
              <w:t>，得</w:t>
            </w:r>
            <w:r>
              <w:rPr>
                <w:rFonts w:hint="eastAsia"/>
                <w:highlight w:val="none"/>
                <w:lang w:val="en-US" w:eastAsia="zh-CN"/>
              </w:rPr>
              <w:t>1</w:t>
            </w:r>
            <w:r>
              <w:rPr>
                <w:rFonts w:hint="eastAsia"/>
                <w:highlight w:val="none"/>
              </w:rPr>
              <w:t>分；</w:t>
            </w:r>
            <w:r>
              <w:rPr>
                <w:rFonts w:hint="eastAsia"/>
                <w:highlight w:val="none"/>
                <w:lang w:val="en-US" w:eastAsia="zh-CN"/>
              </w:rPr>
              <w:t>不符合或完全不提供不得分。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54F07E57">
            <w:pPr>
              <w:jc w:val="center"/>
              <w:rPr>
                <w:rFonts w:ascii="Times New Roman" w:hAnsi="Times New Roman" w:eastAsia="宋体" w:cs="Times New Roman"/>
                <w:color w:val="000000"/>
                <w:sz w:val="21"/>
                <w:highlight w:val="none"/>
                <w:lang w:val="en-US" w:eastAsia="zh-CN" w:bidi="ar-SA"/>
              </w:rPr>
            </w:pPr>
            <w:r>
              <w:rPr>
                <w:rFonts w:hint="eastAsia"/>
                <w:highlight w:val="none"/>
                <w:lang w:val="en-US" w:eastAsia="zh-CN"/>
              </w:rPr>
              <w:t>8</w:t>
            </w:r>
            <w:r>
              <w:rPr>
                <w:rFonts w:hint="eastAsia"/>
                <w:highlight w:val="none"/>
              </w:rPr>
              <w:t>分</w:t>
            </w:r>
          </w:p>
        </w:tc>
      </w:tr>
      <w:tr w14:paraId="3388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0F8AEDF9">
            <w:pPr>
              <w:spacing w:line="300" w:lineRule="exact"/>
              <w:jc w:val="center"/>
              <w:rPr>
                <w:rFonts w:hint="eastAsia" w:asci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9322" w:type="dxa"/>
            <w:tcBorders>
              <w:top w:val="single" w:color="auto" w:sz="4" w:space="0"/>
              <w:left w:val="single" w:color="auto" w:sz="4" w:space="0"/>
              <w:bottom w:val="single" w:color="auto" w:sz="4" w:space="0"/>
              <w:right w:val="single" w:color="auto" w:sz="4" w:space="0"/>
            </w:tcBorders>
            <w:noWrap w:val="0"/>
            <w:vAlign w:val="top"/>
          </w:tcPr>
          <w:p w14:paraId="6021440A">
            <w:pPr>
              <w:rPr>
                <w:highlight w:val="none"/>
              </w:rPr>
            </w:pPr>
            <w:r>
              <w:rPr>
                <w:rFonts w:hint="eastAsia"/>
                <w:highlight w:val="none"/>
              </w:rPr>
              <w:t xml:space="preserve">根据报修的响应时间、故障修复时间、巡检次数及巡检时间段售后服务的保障措施等方面，根据供应商提供的，针对本项目特点提出的售后服务能力、措施方案情况： </w:t>
            </w:r>
          </w:p>
          <w:p w14:paraId="4FEE5CBB">
            <w:pPr>
              <w:rPr>
                <w:rFonts w:hint="eastAsia" w:ascii="Times New Roman" w:hAnsi="Times New Roman" w:eastAsia="宋体" w:cs="Times New Roman"/>
                <w:color w:val="000000"/>
                <w:sz w:val="21"/>
                <w:highlight w:val="none"/>
                <w:lang w:val="en-US" w:eastAsia="zh-CN" w:bidi="ar-SA"/>
              </w:rPr>
            </w:pPr>
            <w:r>
              <w:rPr>
                <w:rFonts w:hint="eastAsia" w:ascii="Times New Roman" w:hAnsi="Times New Roman" w:eastAsia="宋体" w:cs="Times New Roman"/>
                <w:color w:val="000000"/>
                <w:sz w:val="21"/>
                <w:highlight w:val="none"/>
                <w:lang w:val="en-US" w:eastAsia="zh-CN" w:bidi="ar-SA"/>
              </w:rPr>
              <w:t xml:space="preserve">售后服务内容较全面、针对性较强、可行性较强，得 </w:t>
            </w:r>
            <w:r>
              <w:rPr>
                <w:rFonts w:hint="eastAsia" w:cs="Times New Roman"/>
                <w:color w:val="000000"/>
                <w:sz w:val="21"/>
                <w:highlight w:val="none"/>
                <w:lang w:val="en-US" w:eastAsia="zh-CN" w:bidi="ar-SA"/>
              </w:rPr>
              <w:t>8</w:t>
            </w:r>
            <w:r>
              <w:rPr>
                <w:rFonts w:hint="eastAsia" w:ascii="Times New Roman" w:hAnsi="Times New Roman" w:eastAsia="宋体" w:cs="Times New Roman"/>
                <w:color w:val="000000"/>
                <w:sz w:val="21"/>
                <w:highlight w:val="none"/>
                <w:lang w:val="en-US" w:eastAsia="zh-CN" w:bidi="ar-SA"/>
              </w:rPr>
              <w:t>分；</w:t>
            </w:r>
          </w:p>
          <w:p w14:paraId="0C1A8713">
            <w:pPr>
              <w:rPr>
                <w:rFonts w:hint="eastAsia" w:ascii="Times New Roman" w:hAnsi="Times New Roman" w:eastAsia="宋体" w:cs="Times New Roman"/>
                <w:color w:val="000000"/>
                <w:sz w:val="21"/>
                <w:highlight w:val="none"/>
                <w:lang w:val="en-US" w:eastAsia="zh-CN" w:bidi="ar-SA"/>
              </w:rPr>
            </w:pPr>
            <w:r>
              <w:rPr>
                <w:rFonts w:hint="eastAsia" w:ascii="Times New Roman" w:hAnsi="Times New Roman" w:eastAsia="宋体" w:cs="Times New Roman"/>
                <w:color w:val="000000"/>
                <w:sz w:val="21"/>
                <w:highlight w:val="none"/>
                <w:lang w:val="en-US" w:eastAsia="zh-CN" w:bidi="ar-SA"/>
              </w:rPr>
              <w:t xml:space="preserve">售后服务内容基本全面、针对性较强、可行性较强，得 </w:t>
            </w:r>
            <w:r>
              <w:rPr>
                <w:rFonts w:hint="eastAsia" w:cs="Times New Roman"/>
                <w:color w:val="000000"/>
                <w:sz w:val="21"/>
                <w:highlight w:val="none"/>
                <w:lang w:val="en-US" w:eastAsia="zh-CN" w:bidi="ar-SA"/>
              </w:rPr>
              <w:t>6</w:t>
            </w:r>
            <w:r>
              <w:rPr>
                <w:rFonts w:hint="eastAsia" w:ascii="Times New Roman" w:hAnsi="Times New Roman" w:eastAsia="宋体" w:cs="Times New Roman"/>
                <w:color w:val="000000"/>
                <w:sz w:val="21"/>
                <w:highlight w:val="none"/>
                <w:lang w:val="en-US" w:eastAsia="zh-CN" w:bidi="ar-SA"/>
              </w:rPr>
              <w:t>分；</w:t>
            </w:r>
          </w:p>
          <w:p w14:paraId="5CA3D4BE">
            <w:pPr>
              <w:rPr>
                <w:rFonts w:hint="eastAsia" w:ascii="Times New Roman" w:hAnsi="Times New Roman" w:eastAsia="宋体" w:cs="Times New Roman"/>
                <w:color w:val="000000"/>
                <w:sz w:val="21"/>
                <w:highlight w:val="none"/>
                <w:lang w:val="en-US" w:eastAsia="zh-CN" w:bidi="ar-SA"/>
              </w:rPr>
            </w:pPr>
            <w:r>
              <w:rPr>
                <w:rFonts w:hint="eastAsia" w:ascii="Times New Roman" w:hAnsi="Times New Roman" w:eastAsia="宋体" w:cs="Times New Roman"/>
                <w:color w:val="000000"/>
                <w:sz w:val="21"/>
                <w:highlight w:val="none"/>
                <w:lang w:val="en-US" w:eastAsia="zh-CN" w:bidi="ar-SA"/>
              </w:rPr>
              <w:t xml:space="preserve">售后服务内容一般、针对性一般、可行性一般，得 </w:t>
            </w:r>
            <w:r>
              <w:rPr>
                <w:rFonts w:hint="eastAsia" w:cs="Times New Roman"/>
                <w:color w:val="000000"/>
                <w:sz w:val="21"/>
                <w:highlight w:val="none"/>
                <w:lang w:val="en-US" w:eastAsia="zh-CN" w:bidi="ar-SA"/>
              </w:rPr>
              <w:t>4</w:t>
            </w:r>
            <w:r>
              <w:rPr>
                <w:rFonts w:hint="eastAsia" w:ascii="Times New Roman" w:hAnsi="Times New Roman" w:eastAsia="宋体" w:cs="Times New Roman"/>
                <w:color w:val="000000"/>
                <w:sz w:val="21"/>
                <w:highlight w:val="none"/>
                <w:lang w:val="en-US" w:eastAsia="zh-CN" w:bidi="ar-SA"/>
              </w:rPr>
              <w:t>分；</w:t>
            </w:r>
          </w:p>
          <w:p w14:paraId="18E95906">
            <w:pPr>
              <w:rPr>
                <w:rFonts w:hint="eastAsia" w:ascii="Times New Roman" w:hAnsi="Times New Roman" w:eastAsia="宋体" w:cs="Times New Roman"/>
                <w:color w:val="000000"/>
                <w:sz w:val="21"/>
                <w:highlight w:val="none"/>
                <w:lang w:val="en-US" w:eastAsia="zh-CN" w:bidi="ar-SA"/>
              </w:rPr>
            </w:pPr>
            <w:r>
              <w:rPr>
                <w:rFonts w:hint="eastAsia" w:ascii="Times New Roman" w:hAnsi="Times New Roman" w:eastAsia="宋体" w:cs="Times New Roman"/>
                <w:color w:val="000000"/>
                <w:sz w:val="21"/>
                <w:highlight w:val="none"/>
                <w:lang w:val="en-US" w:eastAsia="zh-CN" w:bidi="ar-SA"/>
              </w:rPr>
              <w:t>售后服务内容较差、针对性一般、可行性一般，得 2分；</w:t>
            </w:r>
          </w:p>
          <w:p w14:paraId="3B27492A">
            <w:pPr>
              <w:rPr>
                <w:rFonts w:ascii="Times New Roman" w:hAnsi="Times New Roman" w:eastAsia="宋体" w:cs="Times New Roman"/>
                <w:color w:val="000000"/>
                <w:sz w:val="21"/>
                <w:highlight w:val="none"/>
                <w:lang w:val="en-US" w:eastAsia="zh-CN" w:bidi="ar-SA"/>
              </w:rPr>
            </w:pPr>
            <w:r>
              <w:rPr>
                <w:rFonts w:hint="eastAsia" w:ascii="Times New Roman" w:hAnsi="Times New Roman" w:eastAsia="宋体" w:cs="Times New Roman"/>
                <w:color w:val="000000"/>
                <w:sz w:val="21"/>
                <w:highlight w:val="none"/>
                <w:lang w:val="en-US" w:eastAsia="zh-CN" w:bidi="ar-SA"/>
              </w:rPr>
              <w:t>售后服务内容较差、针对性较差、可行性较差，得1分；不符合或完全不提供不得分。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14040E5F">
            <w:pPr>
              <w:jc w:val="center"/>
              <w:rPr>
                <w:rFonts w:ascii="Times New Roman" w:hAnsi="Times New Roman" w:eastAsia="宋体" w:cs="Times New Roman"/>
                <w:color w:val="000000"/>
                <w:sz w:val="21"/>
                <w:highlight w:val="none"/>
                <w:lang w:val="en-US" w:eastAsia="zh-CN" w:bidi="ar-SA"/>
              </w:rPr>
            </w:pPr>
            <w:r>
              <w:rPr>
                <w:rFonts w:hint="eastAsia"/>
                <w:highlight w:val="none"/>
                <w:lang w:val="en-US" w:eastAsia="zh-CN"/>
              </w:rPr>
              <w:t>8</w:t>
            </w:r>
            <w:r>
              <w:rPr>
                <w:rFonts w:hint="eastAsia"/>
                <w:highlight w:val="none"/>
              </w:rPr>
              <w:t>分</w:t>
            </w:r>
          </w:p>
        </w:tc>
      </w:tr>
      <w:tr w14:paraId="14558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5025C523">
            <w:pPr>
              <w:spacing w:line="30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6</w:t>
            </w:r>
          </w:p>
        </w:tc>
        <w:tc>
          <w:tcPr>
            <w:tcW w:w="9322" w:type="dxa"/>
            <w:tcBorders>
              <w:top w:val="single" w:color="auto" w:sz="4" w:space="0"/>
              <w:left w:val="single" w:color="auto" w:sz="4" w:space="0"/>
              <w:bottom w:val="single" w:color="auto" w:sz="4" w:space="0"/>
              <w:right w:val="single" w:color="auto" w:sz="4" w:space="0"/>
            </w:tcBorders>
            <w:noWrap w:val="0"/>
            <w:vAlign w:val="top"/>
          </w:tcPr>
          <w:p w14:paraId="268E7910">
            <w:pPr>
              <w:rPr>
                <w:highlight w:val="none"/>
              </w:rPr>
            </w:pPr>
            <w:r>
              <w:rPr>
                <w:rFonts w:hint="eastAsia"/>
                <w:highlight w:val="none"/>
              </w:rPr>
              <w:t xml:space="preserve">结合本项目特点、计划安排、培训措施等方面，根据供应商提供的培训方案： </w:t>
            </w:r>
          </w:p>
          <w:p w14:paraId="56BFB949">
            <w:pPr>
              <w:numPr>
                <w:ilvl w:val="0"/>
                <w:numId w:val="0"/>
              </w:numPr>
              <w:rPr>
                <w:rFonts w:hint="eastAsia"/>
                <w:highlight w:val="none"/>
                <w:lang w:val="en-US" w:eastAsia="zh-CN"/>
              </w:rPr>
            </w:pPr>
            <w:r>
              <w:rPr>
                <w:rFonts w:hint="eastAsia"/>
                <w:highlight w:val="none"/>
                <w:lang w:val="en-US" w:eastAsia="zh-CN"/>
              </w:rPr>
              <w:t>培训内容十分完善、针对性强、可行性强，得 8分；</w:t>
            </w:r>
          </w:p>
          <w:p w14:paraId="5285BF97">
            <w:pPr>
              <w:numPr>
                <w:ilvl w:val="0"/>
                <w:numId w:val="0"/>
              </w:numPr>
              <w:rPr>
                <w:rFonts w:hint="eastAsia"/>
                <w:highlight w:val="none"/>
                <w:lang w:val="en-US" w:eastAsia="zh-CN"/>
              </w:rPr>
            </w:pPr>
            <w:r>
              <w:rPr>
                <w:rFonts w:hint="eastAsia"/>
                <w:highlight w:val="none"/>
                <w:lang w:val="en-US" w:eastAsia="zh-CN"/>
              </w:rPr>
              <w:t>培训内容较全面、针对性较强、可行性较强，得 6分；</w:t>
            </w:r>
          </w:p>
          <w:p w14:paraId="469E799F">
            <w:pPr>
              <w:numPr>
                <w:ilvl w:val="0"/>
                <w:numId w:val="0"/>
              </w:numPr>
              <w:rPr>
                <w:rFonts w:hint="eastAsia"/>
                <w:highlight w:val="none"/>
                <w:lang w:val="en-US" w:eastAsia="zh-CN"/>
              </w:rPr>
            </w:pPr>
            <w:r>
              <w:rPr>
                <w:rFonts w:hint="eastAsia"/>
                <w:highlight w:val="none"/>
                <w:lang w:val="en-US" w:eastAsia="zh-CN"/>
              </w:rPr>
              <w:t>培训内容基本全面、针对性较强、可行性较强，得 4分；</w:t>
            </w:r>
          </w:p>
          <w:p w14:paraId="06C63908">
            <w:pPr>
              <w:numPr>
                <w:ilvl w:val="0"/>
                <w:numId w:val="0"/>
              </w:numPr>
              <w:rPr>
                <w:rFonts w:hint="eastAsia"/>
                <w:highlight w:val="none"/>
                <w:lang w:val="en-US" w:eastAsia="zh-CN"/>
              </w:rPr>
            </w:pPr>
            <w:r>
              <w:rPr>
                <w:rFonts w:hint="eastAsia"/>
                <w:highlight w:val="none"/>
                <w:lang w:val="en-US" w:eastAsia="zh-CN"/>
              </w:rPr>
              <w:t>培训内容一般、针对性一般、可行性一般，得 2分；</w:t>
            </w:r>
          </w:p>
          <w:p w14:paraId="631632AD">
            <w:pPr>
              <w:numPr>
                <w:ilvl w:val="0"/>
                <w:numId w:val="0"/>
              </w:numPr>
              <w:rPr>
                <w:rFonts w:ascii="Times New Roman" w:hAnsi="Times New Roman" w:eastAsia="宋体" w:cs="Times New Roman"/>
                <w:color w:val="000000"/>
                <w:sz w:val="21"/>
                <w:highlight w:val="none"/>
                <w:lang w:val="en-US" w:eastAsia="zh-CN" w:bidi="ar-SA"/>
              </w:rPr>
            </w:pPr>
            <w:r>
              <w:rPr>
                <w:rFonts w:hint="eastAsia"/>
                <w:highlight w:val="none"/>
                <w:lang w:val="en-US" w:eastAsia="zh-CN"/>
              </w:rPr>
              <w:t>培训内容较差、针对性较差、可行性较差，得1分；不符合或完全不提供不得分。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5EB4AB83">
            <w:pPr>
              <w:jc w:val="center"/>
              <w:rPr>
                <w:rFonts w:ascii="Times New Roman" w:hAnsi="Times New Roman" w:eastAsia="宋体" w:cs="Times New Roman"/>
                <w:color w:val="000000"/>
                <w:sz w:val="21"/>
                <w:highlight w:val="none"/>
                <w:lang w:val="en-US" w:eastAsia="zh-CN" w:bidi="ar-SA"/>
              </w:rPr>
            </w:pPr>
            <w:r>
              <w:rPr>
                <w:rFonts w:hint="eastAsia"/>
                <w:highlight w:val="none"/>
                <w:lang w:val="en-US" w:eastAsia="zh-CN"/>
              </w:rPr>
              <w:t>8</w:t>
            </w:r>
            <w:r>
              <w:rPr>
                <w:rFonts w:hint="eastAsia"/>
                <w:highlight w:val="none"/>
              </w:rPr>
              <w:t>分</w:t>
            </w:r>
          </w:p>
        </w:tc>
      </w:tr>
      <w:tr w14:paraId="38439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43" w:type="dxa"/>
            <w:tcBorders>
              <w:top w:val="single" w:color="auto" w:sz="4" w:space="0"/>
              <w:left w:val="single" w:color="auto" w:sz="4" w:space="0"/>
              <w:bottom w:val="single" w:color="auto" w:sz="4" w:space="0"/>
              <w:right w:val="single" w:color="auto" w:sz="4" w:space="0"/>
            </w:tcBorders>
            <w:noWrap w:val="0"/>
            <w:vAlign w:val="center"/>
          </w:tcPr>
          <w:p w14:paraId="0EE2C7AA">
            <w:pPr>
              <w:spacing w:line="30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322" w:type="dxa"/>
            <w:tcBorders>
              <w:top w:val="single" w:color="auto" w:sz="4" w:space="0"/>
              <w:left w:val="single" w:color="auto" w:sz="4" w:space="0"/>
              <w:bottom w:val="single" w:color="auto" w:sz="4" w:space="0"/>
              <w:right w:val="single" w:color="auto" w:sz="4" w:space="0"/>
            </w:tcBorders>
            <w:noWrap w:val="0"/>
            <w:vAlign w:val="top"/>
          </w:tcPr>
          <w:p w14:paraId="0C655194">
            <w:pPr>
              <w:numPr>
                <w:ilvl w:val="0"/>
                <w:numId w:val="0"/>
              </w:numPr>
              <w:rPr>
                <w:rFonts w:hint="eastAsia"/>
                <w:highlight w:val="none"/>
              </w:rPr>
            </w:pPr>
            <w:r>
              <w:rPr>
                <w:rFonts w:hint="eastAsia"/>
                <w:highlight w:val="none"/>
              </w:rPr>
              <w:t>需提供完整的技项目实施方案，方案需阐明技术先进性、合理性、可行性以及详细的施工计划、人员安排、保障措施等。评标委员会将从方案是否科学合理，是否遵照国家标准等进行综合比较：</w:t>
            </w:r>
          </w:p>
          <w:p w14:paraId="04F71E5C">
            <w:pPr>
              <w:numPr>
                <w:ilvl w:val="0"/>
                <w:numId w:val="0"/>
              </w:numPr>
              <w:rPr>
                <w:rFonts w:hint="eastAsia"/>
                <w:highlight w:val="none"/>
              </w:rPr>
            </w:pPr>
            <w:r>
              <w:rPr>
                <w:rFonts w:hint="eastAsia"/>
                <w:highlight w:val="none"/>
              </w:rPr>
              <w:t xml:space="preserve">内容十分完善、针对性强、可行性强，得 </w:t>
            </w:r>
            <w:r>
              <w:rPr>
                <w:rFonts w:hint="eastAsia"/>
                <w:highlight w:val="none"/>
                <w:lang w:val="en-US" w:eastAsia="zh-CN"/>
              </w:rPr>
              <w:t>8</w:t>
            </w:r>
            <w:r>
              <w:rPr>
                <w:rFonts w:hint="eastAsia"/>
                <w:highlight w:val="none"/>
              </w:rPr>
              <w:t>分；</w:t>
            </w:r>
          </w:p>
          <w:p w14:paraId="4A4F3F53">
            <w:pPr>
              <w:numPr>
                <w:ilvl w:val="0"/>
                <w:numId w:val="0"/>
              </w:numPr>
              <w:rPr>
                <w:rFonts w:hint="eastAsia"/>
                <w:highlight w:val="none"/>
              </w:rPr>
            </w:pPr>
            <w:r>
              <w:rPr>
                <w:rFonts w:hint="eastAsia"/>
                <w:highlight w:val="none"/>
              </w:rPr>
              <w:t>内容</w:t>
            </w:r>
            <w:r>
              <w:rPr>
                <w:rFonts w:hint="eastAsia"/>
                <w:highlight w:val="none"/>
                <w:lang w:val="en-US" w:eastAsia="zh-CN"/>
              </w:rPr>
              <w:t>较</w:t>
            </w:r>
            <w:r>
              <w:rPr>
                <w:rFonts w:hint="eastAsia"/>
                <w:highlight w:val="none"/>
              </w:rPr>
              <w:t>全面、针对性</w:t>
            </w:r>
            <w:r>
              <w:rPr>
                <w:rFonts w:hint="eastAsia"/>
                <w:highlight w:val="none"/>
                <w:lang w:val="en-US" w:eastAsia="zh-CN"/>
              </w:rPr>
              <w:t>较</w:t>
            </w:r>
            <w:r>
              <w:rPr>
                <w:rFonts w:hint="eastAsia"/>
                <w:highlight w:val="none"/>
              </w:rPr>
              <w:t xml:space="preserve">强、可行性较强，得 </w:t>
            </w:r>
            <w:r>
              <w:rPr>
                <w:rFonts w:hint="eastAsia"/>
                <w:highlight w:val="none"/>
                <w:lang w:val="en-US" w:eastAsia="zh-CN"/>
              </w:rPr>
              <w:t>6</w:t>
            </w:r>
            <w:r>
              <w:rPr>
                <w:rFonts w:hint="eastAsia"/>
                <w:highlight w:val="none"/>
              </w:rPr>
              <w:t>分；</w:t>
            </w:r>
          </w:p>
          <w:p w14:paraId="0F57C2FC">
            <w:pPr>
              <w:numPr>
                <w:ilvl w:val="0"/>
                <w:numId w:val="0"/>
              </w:numPr>
              <w:rPr>
                <w:rFonts w:hint="eastAsia"/>
                <w:highlight w:val="none"/>
              </w:rPr>
            </w:pPr>
            <w:r>
              <w:rPr>
                <w:rFonts w:hint="eastAsia"/>
                <w:highlight w:val="none"/>
              </w:rPr>
              <w:t>内容基本全面、针对性</w:t>
            </w:r>
            <w:r>
              <w:rPr>
                <w:rFonts w:hint="eastAsia"/>
                <w:highlight w:val="none"/>
                <w:lang w:val="en-US" w:eastAsia="zh-CN"/>
              </w:rPr>
              <w:t>较</w:t>
            </w:r>
            <w:r>
              <w:rPr>
                <w:rFonts w:hint="eastAsia"/>
                <w:highlight w:val="none"/>
              </w:rPr>
              <w:t>强</w:t>
            </w:r>
            <w:r>
              <w:rPr>
                <w:rFonts w:hint="eastAsia"/>
                <w:highlight w:val="none"/>
                <w:lang w:eastAsia="zh-CN"/>
              </w:rPr>
              <w:t>、</w:t>
            </w:r>
            <w:r>
              <w:rPr>
                <w:rFonts w:hint="eastAsia"/>
                <w:highlight w:val="none"/>
              </w:rPr>
              <w:t xml:space="preserve">可行性较强，得 </w:t>
            </w:r>
            <w:r>
              <w:rPr>
                <w:rFonts w:hint="eastAsia"/>
                <w:highlight w:val="none"/>
                <w:lang w:val="en-US" w:eastAsia="zh-CN"/>
              </w:rPr>
              <w:t>4</w:t>
            </w:r>
            <w:r>
              <w:rPr>
                <w:rFonts w:hint="eastAsia"/>
                <w:highlight w:val="none"/>
              </w:rPr>
              <w:t>分；</w:t>
            </w:r>
          </w:p>
          <w:p w14:paraId="5AC3C334">
            <w:pPr>
              <w:numPr>
                <w:ilvl w:val="0"/>
                <w:numId w:val="0"/>
              </w:numPr>
              <w:rPr>
                <w:rFonts w:hint="eastAsia"/>
                <w:highlight w:val="none"/>
              </w:rPr>
            </w:pPr>
            <w:r>
              <w:rPr>
                <w:rFonts w:hint="eastAsia"/>
                <w:highlight w:val="none"/>
              </w:rPr>
              <w:t>内容</w:t>
            </w:r>
            <w:r>
              <w:rPr>
                <w:rFonts w:hint="eastAsia"/>
                <w:highlight w:val="none"/>
                <w:lang w:val="en-US" w:eastAsia="zh-CN"/>
              </w:rPr>
              <w:t>较差</w:t>
            </w:r>
            <w:r>
              <w:rPr>
                <w:rFonts w:hint="eastAsia"/>
                <w:highlight w:val="none"/>
              </w:rPr>
              <w:t>、针对性</w:t>
            </w:r>
            <w:r>
              <w:rPr>
                <w:rFonts w:hint="eastAsia"/>
                <w:highlight w:val="none"/>
                <w:lang w:val="en-US" w:eastAsia="zh-CN"/>
              </w:rPr>
              <w:t>一般</w:t>
            </w:r>
            <w:r>
              <w:rPr>
                <w:rFonts w:hint="eastAsia"/>
                <w:highlight w:val="none"/>
                <w:lang w:eastAsia="zh-CN"/>
              </w:rPr>
              <w:t>、</w:t>
            </w:r>
            <w:r>
              <w:rPr>
                <w:rFonts w:hint="eastAsia"/>
                <w:highlight w:val="none"/>
              </w:rPr>
              <w:t>可行性</w:t>
            </w:r>
            <w:r>
              <w:rPr>
                <w:rFonts w:hint="eastAsia"/>
                <w:highlight w:val="none"/>
                <w:lang w:val="en-US" w:eastAsia="zh-CN"/>
              </w:rPr>
              <w:t>一般</w:t>
            </w:r>
            <w:r>
              <w:rPr>
                <w:rFonts w:hint="eastAsia"/>
                <w:highlight w:val="none"/>
              </w:rPr>
              <w:t xml:space="preserve">，得 </w:t>
            </w:r>
            <w:r>
              <w:rPr>
                <w:rFonts w:hint="eastAsia"/>
                <w:highlight w:val="none"/>
                <w:lang w:val="en-US" w:eastAsia="zh-CN"/>
              </w:rPr>
              <w:t>2</w:t>
            </w:r>
            <w:r>
              <w:rPr>
                <w:rFonts w:hint="eastAsia"/>
                <w:highlight w:val="none"/>
              </w:rPr>
              <w:t>分；</w:t>
            </w:r>
          </w:p>
          <w:p w14:paraId="0AD157D1">
            <w:pPr>
              <w:numPr>
                <w:ilvl w:val="0"/>
                <w:numId w:val="0"/>
              </w:numPr>
              <w:rPr>
                <w:rFonts w:hint="eastAsia"/>
                <w:highlight w:val="none"/>
              </w:rPr>
            </w:pPr>
            <w:r>
              <w:rPr>
                <w:rFonts w:hint="eastAsia"/>
                <w:highlight w:val="none"/>
              </w:rPr>
              <w:t>内容</w:t>
            </w:r>
            <w:r>
              <w:rPr>
                <w:rFonts w:hint="eastAsia"/>
                <w:highlight w:val="none"/>
                <w:lang w:val="en-US" w:eastAsia="zh-CN"/>
              </w:rPr>
              <w:t>较差</w:t>
            </w:r>
            <w:r>
              <w:rPr>
                <w:rFonts w:hint="eastAsia"/>
                <w:highlight w:val="none"/>
              </w:rPr>
              <w:t>、针对性</w:t>
            </w:r>
            <w:r>
              <w:rPr>
                <w:rFonts w:hint="eastAsia"/>
                <w:highlight w:val="none"/>
                <w:lang w:val="en-US" w:eastAsia="zh-CN"/>
              </w:rPr>
              <w:t>较差</w:t>
            </w:r>
            <w:r>
              <w:rPr>
                <w:rFonts w:hint="eastAsia"/>
                <w:highlight w:val="none"/>
                <w:lang w:eastAsia="zh-CN"/>
              </w:rPr>
              <w:t>、</w:t>
            </w:r>
            <w:r>
              <w:rPr>
                <w:rFonts w:hint="eastAsia"/>
                <w:highlight w:val="none"/>
              </w:rPr>
              <w:t>可行性</w:t>
            </w:r>
            <w:r>
              <w:rPr>
                <w:rFonts w:hint="eastAsia"/>
                <w:highlight w:val="none"/>
                <w:lang w:val="en-US" w:eastAsia="zh-CN"/>
              </w:rPr>
              <w:t>较差</w:t>
            </w:r>
            <w:r>
              <w:rPr>
                <w:rFonts w:hint="eastAsia"/>
                <w:highlight w:val="none"/>
              </w:rPr>
              <w:t>，得</w:t>
            </w:r>
            <w:r>
              <w:rPr>
                <w:rFonts w:hint="eastAsia"/>
                <w:highlight w:val="none"/>
                <w:lang w:val="en-US" w:eastAsia="zh-CN"/>
              </w:rPr>
              <w:t>1</w:t>
            </w:r>
            <w:r>
              <w:rPr>
                <w:rFonts w:hint="eastAsia"/>
                <w:highlight w:val="none"/>
              </w:rPr>
              <w:t>分；</w:t>
            </w:r>
            <w:r>
              <w:rPr>
                <w:rFonts w:hint="eastAsia"/>
                <w:highlight w:val="none"/>
                <w:lang w:val="en-US" w:eastAsia="zh-CN"/>
              </w:rPr>
              <w:t>不符合或完全不提供不得分。</w:t>
            </w:r>
          </w:p>
        </w:tc>
        <w:tc>
          <w:tcPr>
            <w:tcW w:w="642" w:type="dxa"/>
            <w:tcBorders>
              <w:top w:val="single" w:color="auto" w:sz="4" w:space="0"/>
              <w:left w:val="single" w:color="auto" w:sz="4" w:space="0"/>
              <w:bottom w:val="single" w:color="auto" w:sz="4" w:space="0"/>
              <w:right w:val="single" w:color="auto" w:sz="4" w:space="0"/>
            </w:tcBorders>
            <w:noWrap w:val="0"/>
            <w:vAlign w:val="center"/>
          </w:tcPr>
          <w:p w14:paraId="59A6AEFF">
            <w:pPr>
              <w:jc w:val="center"/>
              <w:rPr>
                <w:rFonts w:hint="eastAsia"/>
                <w:highlight w:val="none"/>
                <w:lang w:val="en-US" w:eastAsia="zh-CN"/>
              </w:rPr>
            </w:pPr>
            <w:r>
              <w:rPr>
                <w:rFonts w:hint="eastAsia"/>
                <w:highlight w:val="none"/>
                <w:lang w:val="en-US" w:eastAsia="zh-CN"/>
              </w:rPr>
              <w:t>8</w:t>
            </w:r>
            <w:r>
              <w:rPr>
                <w:rFonts w:hint="eastAsia"/>
                <w:highlight w:val="none"/>
              </w:rPr>
              <w:t>分</w:t>
            </w:r>
          </w:p>
        </w:tc>
      </w:tr>
    </w:tbl>
    <w:p w14:paraId="1955508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396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ind w:firstLine="645"/>
    </w:pPr>
    <w:rPr>
      <w:sz w:val="28"/>
      <w:szCs w:val="22"/>
    </w:rPr>
  </w:style>
  <w:style w:type="paragraph" w:styleId="3">
    <w:name w:val="toc 1"/>
    <w:basedOn w:val="1"/>
    <w:next w:val="1"/>
    <w:uiPriority w:val="0"/>
    <w:pPr>
      <w:widowControl/>
      <w:spacing w:after="100" w:line="276" w:lineRule="auto"/>
      <w:jc w:val="left"/>
    </w:pPr>
    <w:rPr>
      <w:rFonts w:ascii="Calibri" w:hAnsi="Calibri"/>
      <w:kern w:val="0"/>
      <w:sz w:val="22"/>
      <w:szCs w:val="22"/>
    </w:rPr>
  </w:style>
  <w:style w:type="paragraph" w:styleId="4">
    <w:name w:val="Title"/>
    <w:basedOn w:val="1"/>
    <w:qFormat/>
    <w:uiPriority w:val="0"/>
    <w:pPr>
      <w:spacing w:before="240" w:after="60"/>
      <w:jc w:val="center"/>
      <w:outlineLvl w:val="0"/>
    </w:pPr>
    <w:rPr>
      <w:rFonts w:ascii="Cambria" w:hAnsi="Cambria"/>
      <w:b/>
      <w:bCs/>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2025-06-30T02:04:13Z</dcterms:created>
  <dc:creator>Administrator</dc:creator>
  <cp:lastModifiedBy>D_K8Hn</cp:lastModifiedBy>
  <dcterms:modified xsi:type="dcterms:W3CDTF">2025-06-30T02:05:29Z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eyJoZGlkIjoiYTkyNTQ2ZDJhNWUzNGJiMGU2ODEwODQwMzNjNzFkNDMiLCJ1c2VySWQiOiIxMTMxNjIzMjk5In0=</vt:lpwstr>
  </property>
  <property fmtid="{D5CDD505-2E9C-101B-9397-08002B2CF9AE}" pid="4" name="ICV">
    <vt:lpwstr>476D6D508B44449E9B46A1C1AA02BD97_12</vt:lpwstr>
  </property>
</Properties>
</file>