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C008E">
      <w:pPr>
        <w:pStyle w:val="5"/>
        <w:spacing w:line="240" w:lineRule="auto"/>
        <w:rPr>
          <w:rFonts w:ascii="黑体" w:hAnsi="黑体" w:eastAsia="黑体" w:cs="黑体"/>
          <w:color w:val="000000" w:themeColor="text1"/>
          <w:sz w:val="30"/>
          <w:szCs w:val="30"/>
          <w:highlight w:val="none"/>
          <w14:textFill>
            <w14:solidFill>
              <w14:schemeClr w14:val="tx1"/>
            </w14:solidFill>
          </w14:textFill>
        </w:rPr>
      </w:pPr>
    </w:p>
    <w:p w14:paraId="5F1A769A">
      <w:pPr>
        <w:pStyle w:val="5"/>
        <w:spacing w:line="240" w:lineRule="auto"/>
        <w:jc w:val="center"/>
        <w:rPr>
          <w:rFonts w:ascii="宋体" w:hAnsi="宋体" w:cs="黑体"/>
          <w:color w:val="000000" w:themeColor="text1"/>
          <w:sz w:val="30"/>
          <w:szCs w:val="30"/>
          <w:highlight w:val="none"/>
          <w14:textFill>
            <w14:solidFill>
              <w14:schemeClr w14:val="tx1"/>
            </w14:solidFill>
          </w14:textFill>
        </w:rPr>
      </w:pPr>
    </w:p>
    <w:p w14:paraId="4EA4B6E8">
      <w:pPr>
        <w:pStyle w:val="5"/>
        <w:spacing w:line="240" w:lineRule="auto"/>
        <w:jc w:val="center"/>
        <w:rPr>
          <w:rFonts w:ascii="宋体" w:hAnsi="宋体" w:cs="黑体"/>
          <w:color w:val="000000" w:themeColor="text1"/>
          <w:sz w:val="30"/>
          <w:szCs w:val="30"/>
          <w:highlight w:val="none"/>
          <w14:textFill>
            <w14:solidFill>
              <w14:schemeClr w14:val="tx1"/>
            </w14:solidFill>
          </w14:textFill>
        </w:rPr>
      </w:pPr>
    </w:p>
    <w:p w14:paraId="13414057">
      <w:pPr>
        <w:pStyle w:val="5"/>
        <w:spacing w:line="240" w:lineRule="auto"/>
        <w:jc w:val="center"/>
        <w:rPr>
          <w:rFonts w:ascii="宋体" w:hAnsi="宋体" w:cs="黑体"/>
          <w:color w:val="000000" w:themeColor="text1"/>
          <w:sz w:val="30"/>
          <w:szCs w:val="30"/>
          <w:highlight w:val="none"/>
          <w14:textFill>
            <w14:solidFill>
              <w14:schemeClr w14:val="tx1"/>
            </w14:solidFill>
          </w14:textFill>
        </w:rPr>
      </w:pPr>
    </w:p>
    <w:p w14:paraId="5FD5DFBB">
      <w:pPr>
        <w:pStyle w:val="5"/>
        <w:spacing w:line="240" w:lineRule="auto"/>
        <w:jc w:val="center"/>
        <w:rPr>
          <w:rFonts w:ascii="宋体" w:hAnsi="宋体" w:cs="黑体"/>
          <w:color w:val="000000" w:themeColor="text1"/>
          <w:sz w:val="30"/>
          <w:szCs w:val="30"/>
          <w:highlight w:val="none"/>
          <w14:textFill>
            <w14:solidFill>
              <w14:schemeClr w14:val="tx1"/>
            </w14:solidFill>
          </w14:textFill>
        </w:rPr>
      </w:pPr>
    </w:p>
    <w:p w14:paraId="038CA51D">
      <w:pPr>
        <w:autoSpaceDE w:val="0"/>
        <w:autoSpaceDN w:val="0"/>
        <w:jc w:val="center"/>
        <w:textAlignment w:val="bottom"/>
        <w:rPr>
          <w:rFonts w:hint="eastAsia" w:ascii="仿宋" w:hAnsi="仿宋" w:eastAsia="仿宋" w:cs="仿宋"/>
          <w:b/>
          <w:color w:val="000000" w:themeColor="text1"/>
          <w:sz w:val="84"/>
          <w:highlight w:val="none"/>
          <w14:textFill>
            <w14:solidFill>
              <w14:schemeClr w14:val="tx1"/>
            </w14:solidFill>
          </w14:textFill>
        </w:rPr>
      </w:pPr>
      <w:r>
        <w:rPr>
          <w:rFonts w:hint="eastAsia" w:ascii="仿宋" w:hAnsi="仿宋" w:eastAsia="仿宋" w:cs="仿宋"/>
          <w:b/>
          <w:color w:val="000000" w:themeColor="text1"/>
          <w:sz w:val="84"/>
          <w:highlight w:val="none"/>
          <w14:textFill>
            <w14:solidFill>
              <w14:schemeClr w14:val="tx1"/>
            </w14:solidFill>
          </w14:textFill>
        </w:rPr>
        <w:t>招  标  文  件</w:t>
      </w:r>
    </w:p>
    <w:p w14:paraId="383953F7">
      <w:pPr>
        <w:autoSpaceDE w:val="0"/>
        <w:autoSpaceDN w:val="0"/>
        <w:jc w:val="center"/>
        <w:textAlignment w:val="bottom"/>
        <w:rPr>
          <w:rFonts w:hint="eastAsia" w:ascii="仿宋" w:hAnsi="仿宋" w:eastAsia="仿宋" w:cs="仿宋"/>
          <w:b/>
          <w:color w:val="000000" w:themeColor="text1"/>
          <w:sz w:val="84"/>
          <w:highlight w:val="none"/>
          <w14:textFill>
            <w14:solidFill>
              <w14:schemeClr w14:val="tx1"/>
            </w14:solidFill>
          </w14:textFill>
        </w:rPr>
      </w:pPr>
    </w:p>
    <w:p w14:paraId="78845C95">
      <w:pPr>
        <w:autoSpaceDE w:val="0"/>
        <w:autoSpaceDN w:val="0"/>
        <w:textAlignment w:val="bottom"/>
        <w:rPr>
          <w:rFonts w:hint="eastAsia" w:ascii="仿宋" w:hAnsi="仿宋" w:eastAsia="仿宋" w:cs="仿宋"/>
          <w:b/>
          <w:color w:val="000000" w:themeColor="text1"/>
          <w:sz w:val="84"/>
          <w:highlight w:val="none"/>
          <w14:textFill>
            <w14:solidFill>
              <w14:schemeClr w14:val="tx1"/>
            </w14:solidFill>
          </w14:textFill>
        </w:rPr>
      </w:pPr>
    </w:p>
    <w:p w14:paraId="1BA8BC4B">
      <w:pPr>
        <w:autoSpaceDE w:val="0"/>
        <w:autoSpaceDN w:val="0"/>
        <w:textAlignment w:val="bottom"/>
        <w:rPr>
          <w:rFonts w:hint="eastAsia" w:ascii="仿宋" w:hAnsi="仿宋" w:eastAsia="仿宋" w:cs="仿宋"/>
          <w:b/>
          <w:color w:val="000000" w:themeColor="text1"/>
          <w:sz w:val="24"/>
          <w:highlight w:val="none"/>
          <w14:textFill>
            <w14:solidFill>
              <w14:schemeClr w14:val="tx1"/>
            </w14:solidFill>
          </w14:textFill>
        </w:rPr>
      </w:pPr>
    </w:p>
    <w:p w14:paraId="4EDB06EA">
      <w:pPr>
        <w:autoSpaceDE w:val="0"/>
        <w:autoSpaceDN w:val="0"/>
        <w:spacing w:line="360" w:lineRule="auto"/>
        <w:textAlignment w:val="bottom"/>
        <w:rPr>
          <w:rFonts w:hint="eastAsia" w:ascii="仿宋" w:hAnsi="仿宋" w:eastAsia="仿宋" w:cs="仿宋"/>
          <w:b/>
          <w:color w:val="000000" w:themeColor="text1"/>
          <w:sz w:val="28"/>
          <w:szCs w:val="28"/>
          <w:highlight w:val="none"/>
          <w14:textFill>
            <w14:solidFill>
              <w14:schemeClr w14:val="tx1"/>
            </w14:solidFill>
          </w14:textFill>
        </w:rPr>
      </w:pPr>
    </w:p>
    <w:p w14:paraId="09E279FD">
      <w:pPr>
        <w:autoSpaceDE w:val="0"/>
        <w:autoSpaceDN w:val="0"/>
        <w:spacing w:line="720" w:lineRule="auto"/>
        <w:ind w:firstLine="280" w:firstLineChars="100"/>
        <w:textAlignment w:val="bottom"/>
        <w:rPr>
          <w:rFonts w:hint="eastAsia" w:ascii="仿宋" w:hAnsi="仿宋" w:eastAsia="仿宋" w:cs="仿宋"/>
          <w:color w:val="000000" w:themeColor="text1"/>
          <w:spacing w:val="-20"/>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pacing w:val="-20"/>
          <w:sz w:val="32"/>
          <w:szCs w:val="32"/>
          <w:highlight w:val="none"/>
          <w14:textFill>
            <w14:solidFill>
              <w14:schemeClr w14:val="tx1"/>
            </w14:solidFill>
          </w14:textFill>
        </w:rPr>
        <w:t>项目名称：</w:t>
      </w:r>
      <w:r>
        <w:rPr>
          <w:rFonts w:hint="eastAsia" w:ascii="仿宋" w:hAnsi="仿宋" w:eastAsia="仿宋" w:cs="仿宋"/>
          <w:color w:val="000000" w:themeColor="text1"/>
          <w:spacing w:val="-20"/>
          <w:sz w:val="32"/>
          <w:szCs w:val="32"/>
          <w:highlight w:val="none"/>
          <w:u w:val="single"/>
          <w:lang w:eastAsia="zh-CN"/>
          <w14:textFill>
            <w14:solidFill>
              <w14:schemeClr w14:val="tx1"/>
            </w14:solidFill>
          </w14:textFill>
        </w:rPr>
        <w:t>浙江常新工贸有限公司新址辅助管理人员外包服务项目</w:t>
      </w:r>
      <w:r>
        <w:rPr>
          <w:rFonts w:hint="eastAsia" w:ascii="仿宋" w:hAnsi="仿宋" w:eastAsia="仿宋" w:cs="仿宋"/>
          <w:color w:val="000000" w:themeColor="text1"/>
          <w:spacing w:val="-20"/>
          <w:sz w:val="32"/>
          <w:szCs w:val="32"/>
          <w:highlight w:val="none"/>
          <w:u w:val="single"/>
          <w:lang w:val="en-US" w:eastAsia="zh-CN"/>
          <w14:textFill>
            <w14:solidFill>
              <w14:schemeClr w14:val="tx1"/>
            </w14:solidFill>
          </w14:textFill>
        </w:rPr>
        <w:t xml:space="preserve">     </w:t>
      </w:r>
    </w:p>
    <w:p w14:paraId="2EB8D318">
      <w:pPr>
        <w:autoSpaceDE w:val="0"/>
        <w:autoSpaceDN w:val="0"/>
        <w:spacing w:line="720" w:lineRule="auto"/>
        <w:ind w:firstLine="280" w:firstLineChars="100"/>
        <w:textAlignment w:val="bottom"/>
        <w:rPr>
          <w:rFonts w:hint="eastAsia" w:ascii="仿宋" w:hAnsi="仿宋" w:eastAsia="仿宋" w:cs="仿宋"/>
          <w:color w:val="000000" w:themeColor="text1"/>
          <w:spacing w:val="-20"/>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pacing w:val="-20"/>
          <w:sz w:val="32"/>
          <w:szCs w:val="32"/>
          <w:highlight w:val="none"/>
          <w14:textFill>
            <w14:solidFill>
              <w14:schemeClr w14:val="tx1"/>
            </w14:solidFill>
          </w14:textFill>
        </w:rPr>
        <w:t>项目编号：</w:t>
      </w:r>
      <w:r>
        <w:rPr>
          <w:rFonts w:hint="eastAsia" w:ascii="仿宋" w:hAnsi="仿宋" w:eastAsia="仿宋" w:cs="仿宋"/>
          <w:color w:val="000000" w:themeColor="text1"/>
          <w:spacing w:val="-20"/>
          <w:sz w:val="32"/>
          <w:szCs w:val="32"/>
          <w:highlight w:val="none"/>
          <w:u w:val="single"/>
          <w:lang w:val="en-US" w:eastAsia="zh-CN"/>
          <w14:textFill>
            <w14:solidFill>
              <w14:schemeClr w14:val="tx1"/>
            </w14:solidFill>
          </w14:textFill>
        </w:rPr>
        <w:t xml:space="preserve">S3J-C202504016                                             </w:t>
      </w:r>
    </w:p>
    <w:p w14:paraId="0EEECCE1">
      <w:pPr>
        <w:autoSpaceDE w:val="0"/>
        <w:autoSpaceDN w:val="0"/>
        <w:spacing w:line="360" w:lineRule="auto"/>
        <w:ind w:firstLine="280" w:firstLineChars="100"/>
        <w:textAlignment w:val="bottom"/>
        <w:rPr>
          <w:rFonts w:hint="eastAsia" w:ascii="仿宋" w:hAnsi="仿宋" w:eastAsia="仿宋" w:cs="仿宋"/>
          <w:color w:val="000000" w:themeColor="text1"/>
          <w:spacing w:val="-20"/>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pacing w:val="-20"/>
          <w:sz w:val="32"/>
          <w:szCs w:val="32"/>
          <w:highlight w:val="none"/>
          <w14:textFill>
            <w14:solidFill>
              <w14:schemeClr w14:val="tx1"/>
            </w14:solidFill>
          </w14:textFill>
        </w:rPr>
        <w:t>招标单位：</w:t>
      </w:r>
      <w:r>
        <w:rPr>
          <w:rFonts w:hint="eastAsia" w:ascii="仿宋" w:hAnsi="仿宋" w:eastAsia="仿宋" w:cs="仿宋"/>
          <w:color w:val="000000" w:themeColor="text1"/>
          <w:spacing w:val="-20"/>
          <w:sz w:val="32"/>
          <w:szCs w:val="32"/>
          <w:highlight w:val="none"/>
          <w:u w:val="single"/>
          <w14:textFill>
            <w14:solidFill>
              <w14:schemeClr w14:val="tx1"/>
            </w14:solidFill>
          </w14:textFill>
        </w:rPr>
        <w:t>浙江常新工贸有限公司（盖章）</w:t>
      </w:r>
      <w:r>
        <w:rPr>
          <w:rFonts w:hint="eastAsia" w:ascii="仿宋" w:hAnsi="仿宋" w:eastAsia="仿宋" w:cs="仿宋"/>
          <w:color w:val="000000" w:themeColor="text1"/>
          <w:spacing w:val="-20"/>
          <w:sz w:val="32"/>
          <w:szCs w:val="32"/>
          <w:highlight w:val="none"/>
          <w:u w:val="single"/>
          <w:lang w:val="en-US" w:eastAsia="zh-CN"/>
          <w14:textFill>
            <w14:solidFill>
              <w14:schemeClr w14:val="tx1"/>
            </w14:solidFill>
          </w14:textFill>
        </w:rPr>
        <w:t xml:space="preserve">                             </w:t>
      </w:r>
    </w:p>
    <w:p w14:paraId="74DDAE8B">
      <w:pPr>
        <w:autoSpaceDE w:val="0"/>
        <w:autoSpaceDN w:val="0"/>
        <w:spacing w:line="360" w:lineRule="auto"/>
        <w:textAlignment w:val="bottom"/>
        <w:rPr>
          <w:rFonts w:hint="eastAsia" w:ascii="仿宋" w:hAnsi="仿宋" w:eastAsia="仿宋" w:cs="仿宋"/>
          <w:color w:val="000000" w:themeColor="text1"/>
          <w:sz w:val="32"/>
          <w:szCs w:val="32"/>
          <w:highlight w:val="none"/>
          <w:u w:val="single"/>
          <w14:textFill>
            <w14:solidFill>
              <w14:schemeClr w14:val="tx1"/>
            </w14:solidFill>
          </w14:textFill>
        </w:rPr>
      </w:pPr>
    </w:p>
    <w:p w14:paraId="7D321A53">
      <w:pPr>
        <w:autoSpaceDE w:val="0"/>
        <w:autoSpaceDN w:val="0"/>
        <w:spacing w:line="360" w:lineRule="auto"/>
        <w:ind w:firstLine="280" w:firstLineChars="100"/>
        <w:textAlignment w:val="bottom"/>
        <w:rPr>
          <w:rFonts w:hint="eastAsia" w:ascii="仿宋" w:hAnsi="仿宋" w:eastAsia="仿宋" w:cs="仿宋"/>
          <w:color w:val="000000" w:themeColor="text1"/>
          <w:spacing w:val="-20"/>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20"/>
          <w:sz w:val="32"/>
          <w:szCs w:val="32"/>
          <w:highlight w:val="none"/>
          <w14:textFill>
            <w14:solidFill>
              <w14:schemeClr w14:val="tx1"/>
            </w14:solidFill>
          </w14:textFill>
        </w:rPr>
        <w:t>招标代理机构：</w:t>
      </w:r>
      <w:r>
        <w:rPr>
          <w:rFonts w:hint="eastAsia" w:ascii="仿宋" w:hAnsi="仿宋" w:eastAsia="仿宋" w:cs="仿宋"/>
          <w:color w:val="000000" w:themeColor="text1"/>
          <w:spacing w:val="-20"/>
          <w:sz w:val="32"/>
          <w:szCs w:val="32"/>
          <w:highlight w:val="none"/>
          <w:u w:val="single"/>
          <w14:textFill>
            <w14:solidFill>
              <w14:schemeClr w14:val="tx1"/>
            </w14:solidFill>
          </w14:textFill>
        </w:rPr>
        <w:t>浙江中正工程项目管理有限公司（盖章）</w:t>
      </w:r>
      <w:r>
        <w:rPr>
          <w:rFonts w:hint="eastAsia" w:ascii="仿宋" w:hAnsi="仿宋" w:eastAsia="仿宋" w:cs="仿宋"/>
          <w:color w:val="000000" w:themeColor="text1"/>
          <w:spacing w:val="-20"/>
          <w:sz w:val="32"/>
          <w:szCs w:val="32"/>
          <w:highlight w:val="none"/>
          <w:u w:val="single"/>
          <w:lang w:val="en-US" w:eastAsia="zh-CN"/>
          <w14:textFill>
            <w14:solidFill>
              <w14:schemeClr w14:val="tx1"/>
            </w14:solidFill>
          </w14:textFill>
        </w:rPr>
        <w:t xml:space="preserve">               </w:t>
      </w:r>
    </w:p>
    <w:p w14:paraId="065C4C4D">
      <w:pPr>
        <w:pStyle w:val="14"/>
        <w:spacing w:line="300" w:lineRule="auto"/>
        <w:ind w:left="5250"/>
        <w:jc w:val="center"/>
        <w:rPr>
          <w:rFonts w:hint="eastAsia" w:ascii="仿宋" w:hAnsi="仿宋" w:eastAsia="仿宋" w:cs="仿宋"/>
          <w:color w:val="000000" w:themeColor="text1"/>
          <w:kern w:val="2"/>
          <w:sz w:val="32"/>
          <w:szCs w:val="32"/>
          <w:highlight w:val="none"/>
          <w14:textFill>
            <w14:solidFill>
              <w14:schemeClr w14:val="tx1"/>
            </w14:solidFill>
          </w14:textFill>
        </w:rPr>
      </w:pPr>
    </w:p>
    <w:p w14:paraId="671F09CF">
      <w:pPr>
        <w:pStyle w:val="14"/>
        <w:spacing w:line="300" w:lineRule="auto"/>
        <w:ind w:left="0" w:leftChars="0"/>
        <w:jc w:val="center"/>
        <w:rPr>
          <w:rFonts w:hint="eastAsia" w:ascii="仿宋" w:hAnsi="仿宋" w:eastAsia="仿宋" w:cs="仿宋"/>
          <w:color w:val="000000" w:themeColor="text1"/>
          <w:sz w:val="30"/>
          <w:szCs w:val="30"/>
          <w:highlight w:val="none"/>
          <w14:textFill>
            <w14:solidFill>
              <w14:schemeClr w14:val="tx1"/>
            </w14:solidFill>
          </w14:textFill>
        </w:rPr>
        <w:sectPr>
          <w:headerReference r:id="rId3" w:type="default"/>
          <w:footerReference r:id="rId4" w:type="default"/>
          <w:footerReference r:id="rId5" w:type="even"/>
          <w:pgSz w:w="11907" w:h="16840"/>
          <w:pgMar w:top="1134" w:right="1134" w:bottom="851" w:left="1134" w:header="851" w:footer="567" w:gutter="0"/>
          <w:pgNumType w:start="1"/>
          <w:cols w:space="720" w:num="1"/>
          <w:docGrid w:linePitch="312" w:charSpace="0"/>
        </w:sectPr>
      </w:pPr>
      <w:r>
        <w:rPr>
          <w:rFonts w:hint="eastAsia" w:ascii="仿宋" w:hAnsi="仿宋" w:eastAsia="仿宋" w:cs="仿宋"/>
          <w:color w:val="000000" w:themeColor="text1"/>
          <w:kern w:val="2"/>
          <w:sz w:val="32"/>
          <w:szCs w:val="32"/>
          <w:highlight w:val="none"/>
          <w14:textFill>
            <w14:solidFill>
              <w14:schemeClr w14:val="tx1"/>
            </w14:solidFill>
          </w14:textFill>
        </w:rPr>
        <w:t>二〇二</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五</w:t>
      </w:r>
      <w:r>
        <w:rPr>
          <w:rFonts w:hint="eastAsia" w:ascii="仿宋" w:hAnsi="仿宋" w:eastAsia="仿宋" w:cs="仿宋"/>
          <w:color w:val="000000" w:themeColor="text1"/>
          <w:kern w:val="2"/>
          <w:sz w:val="32"/>
          <w:szCs w:val="32"/>
          <w:highlight w:val="none"/>
          <w14:textFill>
            <w14:solidFill>
              <w14:schemeClr w14:val="tx1"/>
            </w14:solidFill>
          </w14:textFill>
        </w:rPr>
        <w:t>年</w:t>
      </w:r>
      <w:r>
        <w:rPr>
          <w:rFonts w:hint="eastAsia" w:ascii="仿宋" w:hAnsi="仿宋" w:eastAsia="仿宋" w:cs="仿宋"/>
          <w:color w:val="000000" w:themeColor="text1"/>
          <w:kern w:val="2"/>
          <w:sz w:val="32"/>
          <w:szCs w:val="32"/>
          <w:highlight w:val="none"/>
          <w:lang w:eastAsia="zh-CN"/>
          <w14:textFill>
            <w14:solidFill>
              <w14:schemeClr w14:val="tx1"/>
            </w14:solidFill>
          </w14:textFill>
        </w:rPr>
        <w:t>六</w:t>
      </w:r>
      <w:r>
        <w:rPr>
          <w:rFonts w:hint="eastAsia" w:ascii="仿宋" w:hAnsi="仿宋" w:eastAsia="仿宋" w:cs="仿宋"/>
          <w:color w:val="000000" w:themeColor="text1"/>
          <w:kern w:val="2"/>
          <w:sz w:val="32"/>
          <w:szCs w:val="32"/>
          <w:highlight w:val="none"/>
          <w14:textFill>
            <w14:solidFill>
              <w14:schemeClr w14:val="tx1"/>
            </w14:solidFill>
          </w14:textFill>
        </w:rPr>
        <w:t>月</w:t>
      </w:r>
    </w:p>
    <w:p w14:paraId="797B9A59">
      <w:pPr>
        <w:rPr>
          <w:rFonts w:hint="eastAsia" w:ascii="仿宋" w:hAnsi="仿宋" w:eastAsia="仿宋" w:cs="仿宋"/>
          <w:b/>
          <w:bCs/>
          <w:color w:val="000000" w:themeColor="text1"/>
          <w:szCs w:val="21"/>
          <w:highlight w:val="none"/>
          <w14:textFill>
            <w14:solidFill>
              <w14:schemeClr w14:val="tx1"/>
            </w14:solidFill>
          </w14:textFill>
        </w:rPr>
      </w:pPr>
    </w:p>
    <w:p w14:paraId="0E43F532">
      <w:pPr>
        <w:jc w:val="center"/>
        <w:rPr>
          <w:rFonts w:hint="eastAsia" w:ascii="仿宋" w:hAnsi="仿宋" w:eastAsia="仿宋" w:cs="仿宋"/>
          <w:b/>
          <w:bCs/>
          <w:color w:val="000000" w:themeColor="text1"/>
          <w:szCs w:val="21"/>
          <w:highlight w:val="none"/>
          <w14:textFill>
            <w14:solidFill>
              <w14:schemeClr w14:val="tx1"/>
            </w14:solidFill>
          </w14:textFill>
        </w:rPr>
      </w:pPr>
    </w:p>
    <w:p w14:paraId="164CB08D">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  录</w:t>
      </w:r>
    </w:p>
    <w:p w14:paraId="0BF18EF7">
      <w:pPr>
        <w:pStyle w:val="18"/>
        <w:tabs>
          <w:tab w:val="right" w:leader="dot" w:pos="8306"/>
        </w:tabs>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TOC \o "1-1" \h \u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p>
    <w:p w14:paraId="743A43BC">
      <w:pPr>
        <w:pStyle w:val="18"/>
        <w:tabs>
          <w:tab w:val="right" w:leader="dot" w:pos="8306"/>
        </w:tabs>
        <w:spacing w:line="6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"_Toc17493"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第一章 招标公告</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_Toc17493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04143288">
      <w:pPr>
        <w:pStyle w:val="18"/>
        <w:tabs>
          <w:tab w:val="right" w:leader="dot" w:pos="8306"/>
        </w:tabs>
        <w:spacing w:line="6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"_Toc31809"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第二章 投标人须知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755A8DE8">
      <w:pPr>
        <w:pStyle w:val="18"/>
        <w:tabs>
          <w:tab w:val="right" w:leader="dot" w:pos="8306"/>
        </w:tabs>
        <w:spacing w:line="600" w:lineRule="exact"/>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"_Toc8169"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第三章 采购需求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p>
    <w:p w14:paraId="64608F5C">
      <w:pPr>
        <w:pStyle w:val="18"/>
        <w:tabs>
          <w:tab w:val="right" w:leader="dot" w:pos="8306"/>
        </w:tabs>
        <w:spacing w:line="6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"_Toc22933"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第四章 项目合同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_Toc22933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566AB3C5">
      <w:pPr>
        <w:pStyle w:val="18"/>
        <w:tabs>
          <w:tab w:val="right" w:leader="dot" w:pos="8306"/>
        </w:tabs>
        <w:spacing w:line="600" w:lineRule="exact"/>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"_Toc18897"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第五章 投标文件格式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p>
    <w:p w14:paraId="6B208CA7">
      <w:pPr>
        <w:pStyle w:val="18"/>
        <w:tabs>
          <w:tab w:val="right" w:leader="dot" w:pos="8306"/>
        </w:tabs>
        <w:rPr>
          <w:rFonts w:hint="eastAsia" w:ascii="仿宋" w:hAnsi="仿宋" w:eastAsia="仿宋" w:cs="仿宋"/>
          <w:color w:val="000000" w:themeColor="text1"/>
          <w:sz w:val="21"/>
          <w:szCs w:val="21"/>
          <w:highlight w:val="none"/>
          <w14:textFill>
            <w14:solidFill>
              <w14:schemeClr w14:val="tx1"/>
            </w14:solidFill>
          </w14:textFill>
        </w:rPr>
      </w:pPr>
    </w:p>
    <w:p w14:paraId="79554B8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fldChar w:fldCharType="end"/>
      </w:r>
    </w:p>
    <w:p w14:paraId="6B760675">
      <w:pPr>
        <w:spacing w:beforeLines="50" w:line="520" w:lineRule="exact"/>
        <w:ind w:firstLine="738" w:firstLineChars="350"/>
        <w:rPr>
          <w:rFonts w:hint="eastAsia" w:ascii="仿宋" w:hAnsi="仿宋" w:eastAsia="仿宋" w:cs="仿宋"/>
          <w:b/>
          <w:color w:val="000000" w:themeColor="text1"/>
          <w:szCs w:val="21"/>
          <w:highlight w:val="none"/>
          <w14:textFill>
            <w14:solidFill>
              <w14:schemeClr w14:val="tx1"/>
            </w14:solidFill>
          </w14:textFill>
        </w:rPr>
      </w:pPr>
    </w:p>
    <w:p w14:paraId="0F30FCA6">
      <w:pPr>
        <w:pStyle w:val="18"/>
        <w:tabs>
          <w:tab w:val="right" w:leader="dot" w:pos="9684"/>
        </w:tabs>
        <w:rPr>
          <w:rFonts w:hint="eastAsia" w:ascii="仿宋" w:hAnsi="仿宋" w:eastAsia="仿宋" w:cs="仿宋"/>
          <w:caps w:val="0"/>
          <w:color w:val="000000" w:themeColor="text1"/>
          <w:sz w:val="21"/>
          <w:szCs w:val="21"/>
          <w:highlight w:val="none"/>
          <w14:textFill>
            <w14:solidFill>
              <w14:schemeClr w14:val="tx1"/>
            </w14:solidFill>
          </w14:textFill>
        </w:rPr>
      </w:pPr>
    </w:p>
    <w:p w14:paraId="0ECFA307">
      <w:pPr>
        <w:pStyle w:val="18"/>
        <w:tabs>
          <w:tab w:val="right" w:leader="dot" w:pos="9684"/>
        </w:tabs>
        <w:rPr>
          <w:rFonts w:hint="eastAsia" w:ascii="仿宋" w:hAnsi="仿宋" w:eastAsia="仿宋" w:cs="仿宋"/>
          <w:caps w:val="0"/>
          <w:color w:val="000000" w:themeColor="text1"/>
          <w:sz w:val="21"/>
          <w:szCs w:val="21"/>
          <w:highlight w:val="none"/>
          <w14:textFill>
            <w14:solidFill>
              <w14:schemeClr w14:val="tx1"/>
            </w14:solidFill>
          </w14:textFill>
        </w:rPr>
      </w:pPr>
    </w:p>
    <w:p w14:paraId="71269D25">
      <w:pPr>
        <w:pStyle w:val="18"/>
        <w:tabs>
          <w:tab w:val="right" w:leader="dot" w:pos="9684"/>
        </w:tabs>
        <w:rPr>
          <w:rFonts w:hint="eastAsia" w:ascii="仿宋" w:hAnsi="仿宋" w:eastAsia="仿宋" w:cs="仿宋"/>
          <w:caps w:val="0"/>
          <w:color w:val="000000" w:themeColor="text1"/>
          <w:sz w:val="21"/>
          <w:szCs w:val="21"/>
          <w:highlight w:val="none"/>
          <w14:textFill>
            <w14:solidFill>
              <w14:schemeClr w14:val="tx1"/>
            </w14:solidFill>
          </w14:textFill>
        </w:rPr>
      </w:pPr>
    </w:p>
    <w:p w14:paraId="05165E64">
      <w:pPr>
        <w:pStyle w:val="13"/>
        <w:spacing w:line="360" w:lineRule="auto"/>
        <w:rPr>
          <w:rFonts w:hint="eastAsia" w:ascii="仿宋" w:hAnsi="仿宋" w:eastAsia="仿宋" w:cs="仿宋"/>
          <w:caps/>
          <w:color w:val="000000" w:themeColor="text1"/>
          <w:highlight w:val="none"/>
          <w14:textFill>
            <w14:solidFill>
              <w14:schemeClr w14:val="tx1"/>
            </w14:solidFill>
          </w14:textFill>
        </w:rPr>
      </w:pPr>
    </w:p>
    <w:p w14:paraId="236EEB4F">
      <w:pPr>
        <w:pStyle w:val="13"/>
        <w:spacing w:line="360" w:lineRule="auto"/>
        <w:rPr>
          <w:rFonts w:hint="eastAsia" w:ascii="仿宋" w:hAnsi="仿宋" w:eastAsia="仿宋" w:cs="仿宋"/>
          <w:caps/>
          <w:color w:val="000000" w:themeColor="text1"/>
          <w:highlight w:val="none"/>
          <w14:textFill>
            <w14:solidFill>
              <w14:schemeClr w14:val="tx1"/>
            </w14:solidFill>
          </w14:textFill>
        </w:rPr>
      </w:pPr>
    </w:p>
    <w:p w14:paraId="10EAA2C6">
      <w:pPr>
        <w:pStyle w:val="13"/>
        <w:spacing w:line="360" w:lineRule="auto"/>
        <w:rPr>
          <w:rFonts w:hint="eastAsia" w:ascii="仿宋" w:hAnsi="仿宋" w:eastAsia="仿宋" w:cs="仿宋"/>
          <w:caps/>
          <w:color w:val="000000" w:themeColor="text1"/>
          <w:highlight w:val="none"/>
          <w14:textFill>
            <w14:solidFill>
              <w14:schemeClr w14:val="tx1"/>
            </w14:solidFill>
          </w14:textFill>
        </w:rPr>
      </w:pPr>
    </w:p>
    <w:p w14:paraId="4810E97F">
      <w:pPr>
        <w:pStyle w:val="13"/>
        <w:spacing w:line="360" w:lineRule="auto"/>
        <w:jc w:val="center"/>
        <w:rPr>
          <w:rFonts w:hint="eastAsia" w:ascii="仿宋" w:hAnsi="仿宋" w:eastAsia="仿宋" w:cs="仿宋"/>
          <w:caps/>
          <w:color w:val="000000" w:themeColor="text1"/>
          <w:highlight w:val="none"/>
          <w14:textFill>
            <w14:solidFill>
              <w14:schemeClr w14:val="tx1"/>
            </w14:solidFill>
          </w14:textFill>
        </w:rPr>
      </w:pPr>
    </w:p>
    <w:p w14:paraId="413B4B32">
      <w:pPr>
        <w:pStyle w:val="13"/>
        <w:spacing w:line="360" w:lineRule="auto"/>
        <w:rPr>
          <w:rFonts w:hint="eastAsia" w:ascii="仿宋" w:hAnsi="仿宋" w:eastAsia="仿宋" w:cs="仿宋"/>
          <w:caps/>
          <w:color w:val="000000" w:themeColor="text1"/>
          <w:highlight w:val="none"/>
          <w14:textFill>
            <w14:solidFill>
              <w14:schemeClr w14:val="tx1"/>
            </w14:solidFill>
          </w14:textFill>
        </w:rPr>
      </w:pPr>
    </w:p>
    <w:p w14:paraId="0817A7FF">
      <w:pPr>
        <w:pStyle w:val="13"/>
        <w:spacing w:line="360" w:lineRule="auto"/>
        <w:rPr>
          <w:rFonts w:hint="eastAsia" w:ascii="仿宋" w:hAnsi="仿宋" w:eastAsia="仿宋" w:cs="仿宋"/>
          <w:caps/>
          <w:color w:val="000000" w:themeColor="text1"/>
          <w:highlight w:val="none"/>
          <w14:textFill>
            <w14:solidFill>
              <w14:schemeClr w14:val="tx1"/>
            </w14:solidFill>
          </w14:textFill>
        </w:rPr>
      </w:pPr>
    </w:p>
    <w:p w14:paraId="35902B41">
      <w:pPr>
        <w:pStyle w:val="13"/>
        <w:spacing w:line="360" w:lineRule="auto"/>
        <w:rPr>
          <w:rFonts w:hint="eastAsia" w:ascii="仿宋" w:hAnsi="仿宋" w:eastAsia="仿宋" w:cs="仿宋"/>
          <w:caps/>
          <w:color w:val="000000" w:themeColor="text1"/>
          <w:highlight w:val="none"/>
          <w14:textFill>
            <w14:solidFill>
              <w14:schemeClr w14:val="tx1"/>
            </w14:solidFill>
          </w14:textFill>
        </w:rPr>
      </w:pPr>
    </w:p>
    <w:p w14:paraId="143C982A">
      <w:pPr>
        <w:pStyle w:val="13"/>
        <w:spacing w:line="360" w:lineRule="auto"/>
        <w:rPr>
          <w:rFonts w:hint="eastAsia" w:ascii="仿宋" w:hAnsi="仿宋" w:eastAsia="仿宋" w:cs="仿宋"/>
          <w:caps/>
          <w:color w:val="000000" w:themeColor="text1"/>
          <w:highlight w:val="none"/>
          <w14:textFill>
            <w14:solidFill>
              <w14:schemeClr w14:val="tx1"/>
            </w14:solidFill>
          </w14:textFill>
        </w:rPr>
      </w:pPr>
    </w:p>
    <w:p w14:paraId="6652EFCD">
      <w:pPr>
        <w:pageBreakBefore/>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0" w:name="_Toc29646"/>
      <w:bookmarkStart w:id="1" w:name="_Toc17493"/>
      <w:r>
        <w:rPr>
          <w:rFonts w:hint="eastAsia" w:ascii="仿宋" w:hAnsi="仿宋" w:eastAsia="仿宋" w:cs="仿宋"/>
          <w:b/>
          <w:color w:val="000000" w:themeColor="text1"/>
          <w:sz w:val="32"/>
          <w:szCs w:val="32"/>
          <w:highlight w:val="none"/>
          <w14:textFill>
            <w14:solidFill>
              <w14:schemeClr w14:val="tx1"/>
            </w14:solidFill>
          </w14:textFill>
        </w:rPr>
        <w:t>第一章</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 w:hAnsi="仿宋" w:eastAsia="仿宋" w:cs="仿宋"/>
          <w:b/>
          <w:color w:val="000000" w:themeColor="text1"/>
          <w:sz w:val="32"/>
          <w:szCs w:val="32"/>
          <w:highlight w:val="none"/>
          <w:lang w:eastAsia="zh-CN"/>
          <w14:textFill>
            <w14:solidFill>
              <w14:schemeClr w14:val="tx1"/>
            </w14:solidFill>
          </w14:textFill>
        </w:rPr>
        <w:t>浙江常新工贸有限公司新址辅助管理人员外包服务项目</w:t>
      </w:r>
      <w:r>
        <w:rPr>
          <w:rFonts w:hint="eastAsia" w:ascii="仿宋" w:hAnsi="仿宋" w:eastAsia="仿宋" w:cs="仿宋"/>
          <w:b/>
          <w:color w:val="000000" w:themeColor="text1"/>
          <w:sz w:val="32"/>
          <w:szCs w:val="32"/>
          <w:highlight w:val="none"/>
          <w14:textFill>
            <w14:solidFill>
              <w14:schemeClr w14:val="tx1"/>
            </w14:solidFill>
          </w14:textFill>
        </w:rPr>
        <w:t>招标公告</w:t>
      </w:r>
      <w:bookmarkEnd w:id="0"/>
      <w:bookmarkEnd w:id="1"/>
    </w:p>
    <w:p w14:paraId="45405ED2">
      <w:pPr>
        <w:snapToGrid w:val="0"/>
        <w:spacing w:line="460" w:lineRule="exact"/>
        <w:ind w:firstLine="420" w:firstLineChars="20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浙江常新工贸有限公司新址辅助管理人员外包服务项目</w:t>
      </w:r>
      <w:r>
        <w:rPr>
          <w:rFonts w:hint="eastAsia" w:ascii="仿宋" w:hAnsi="仿宋" w:eastAsia="仿宋" w:cs="仿宋"/>
          <w:color w:val="000000" w:themeColor="text1"/>
          <w:szCs w:val="21"/>
          <w:highlight w:val="none"/>
          <w14:textFill>
            <w14:solidFill>
              <w14:schemeClr w14:val="tx1"/>
            </w14:solidFill>
          </w14:textFill>
        </w:rPr>
        <w:t>，招标人为浙江常新工贸有限公司，现委托浙江中正工程项目管理有限公司为招标代理机构，资金来源为企业自有资金，项目已具备招标条件，现对该项目进行公开招标，欢迎符合相关条件的投标人参加投标。</w:t>
      </w:r>
    </w:p>
    <w:p w14:paraId="615F8C8C">
      <w:pPr>
        <w:tabs>
          <w:tab w:val="center" w:pos="4819"/>
          <w:tab w:val="left" w:pos="8820"/>
        </w:tabs>
        <w:spacing w:line="460" w:lineRule="exact"/>
        <w:ind w:firstLine="413"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一、招标编号：</w:t>
      </w:r>
      <w:r>
        <w:rPr>
          <w:rFonts w:hint="eastAsia" w:ascii="仿宋" w:hAnsi="仿宋" w:eastAsia="仿宋" w:cs="仿宋"/>
          <w:color w:val="000000" w:themeColor="text1"/>
          <w:szCs w:val="21"/>
          <w:highlight w:val="none"/>
          <w:lang w:val="en-US" w:eastAsia="zh-CN"/>
          <w14:textFill>
            <w14:solidFill>
              <w14:schemeClr w14:val="tx1"/>
            </w14:solidFill>
          </w14:textFill>
        </w:rPr>
        <w:t>S3J-C202504016</w:t>
      </w:r>
    </w:p>
    <w:p w14:paraId="7A2E62DA">
      <w:pPr>
        <w:snapToGrid w:val="0"/>
        <w:spacing w:line="460" w:lineRule="exact"/>
        <w:ind w:firstLine="413"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二、采购方式: </w:t>
      </w:r>
      <w:r>
        <w:rPr>
          <w:rFonts w:hint="eastAsia" w:ascii="仿宋" w:hAnsi="仿宋" w:eastAsia="仿宋" w:cs="仿宋"/>
          <w:color w:val="000000" w:themeColor="text1"/>
          <w:szCs w:val="21"/>
          <w:highlight w:val="none"/>
          <w14:textFill>
            <w14:solidFill>
              <w14:schemeClr w14:val="tx1"/>
            </w14:solidFill>
          </w14:textFill>
        </w:rPr>
        <w:t>公开招标</w:t>
      </w:r>
    </w:p>
    <w:p w14:paraId="7A156CB8">
      <w:pPr>
        <w:pStyle w:val="2"/>
        <w:adjustRightInd w:val="0"/>
        <w:snapToGrid w:val="0"/>
        <w:spacing w:line="460" w:lineRule="exact"/>
        <w:ind w:firstLine="413"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三、项目情况：</w:t>
      </w:r>
    </w:p>
    <w:p w14:paraId="27DE7B24">
      <w:pPr>
        <w:snapToGrid w:val="0"/>
        <w:spacing w:line="460" w:lineRule="exact"/>
        <w:ind w:firstLine="411"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浙江常新工贸有限公司新址辅助管理人员外包服务项目，服务内容包括</w:t>
      </w:r>
      <w:r>
        <w:rPr>
          <w:rFonts w:hint="eastAsia" w:ascii="仿宋" w:hAnsi="仿宋" w:eastAsia="仿宋" w:cs="仿宋"/>
          <w:color w:val="000000" w:themeColor="text1"/>
          <w:szCs w:val="21"/>
          <w:highlight w:val="none"/>
          <w:lang w:val="en-US" w:eastAsia="zh-CN"/>
          <w14:textFill>
            <w14:solidFill>
              <w14:schemeClr w14:val="tx1"/>
            </w14:solidFill>
          </w14:textFill>
        </w:rPr>
        <w:t>视频监控巡查岗，巡查执勤岗，夜间瞪眼岗等岗位。</w:t>
      </w:r>
      <w:r>
        <w:rPr>
          <w:rFonts w:hint="eastAsia" w:ascii="仿宋" w:hAnsi="仿宋" w:eastAsia="仿宋" w:cs="仿宋"/>
          <w:color w:val="000000" w:themeColor="text1"/>
          <w:szCs w:val="21"/>
          <w:highlight w:val="none"/>
          <w:lang w:eastAsia="zh-CN"/>
          <w14:textFill>
            <w14:solidFill>
              <w14:schemeClr w14:val="tx1"/>
            </w14:solidFill>
          </w14:textFill>
        </w:rPr>
        <w:t>本项目预算资金：168.54万元，服务期一年。具体内容见第三章采购需求。</w:t>
      </w:r>
    </w:p>
    <w:p w14:paraId="0A4D35AF">
      <w:pPr>
        <w:snapToGrid w:val="0"/>
        <w:spacing w:line="460" w:lineRule="exact"/>
        <w:ind w:firstLine="413"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四、投标人资格要求：</w:t>
      </w:r>
    </w:p>
    <w:p w14:paraId="274ECC8E">
      <w:pPr>
        <w:snapToGrid w:val="0"/>
        <w:spacing w:line="460" w:lineRule="exact"/>
        <w:ind w:firstLine="411" w:firstLineChars="196"/>
        <w:rPr>
          <w:rFonts w:hint="eastAsia" w:ascii="仿宋" w:hAnsi="仿宋" w:eastAsia="仿宋" w:cs="仿宋"/>
          <w:b w:val="0"/>
          <w:bCs w:val="0"/>
          <w:color w:val="000000" w:themeColor="text1"/>
          <w:szCs w:val="21"/>
          <w:highlight w:val="none"/>
          <w:lang w:val="en-GB"/>
          <w14:textFill>
            <w14:solidFill>
              <w14:schemeClr w14:val="tx1"/>
            </w14:solidFill>
          </w14:textFill>
        </w:rPr>
      </w:pPr>
      <w:bookmarkStart w:id="2" w:name="_Toc245522181"/>
      <w:bookmarkStart w:id="3" w:name="_Toc245460412"/>
      <w:r>
        <w:rPr>
          <w:rFonts w:hint="eastAsia" w:ascii="仿宋" w:hAnsi="仿宋" w:eastAsia="仿宋" w:cs="仿宋"/>
          <w:b w:val="0"/>
          <w:bCs w:val="0"/>
          <w:color w:val="000000" w:themeColor="text1"/>
          <w:szCs w:val="21"/>
          <w:highlight w:val="none"/>
          <w:lang w:val="en-GB"/>
          <w14:textFill>
            <w14:solidFill>
              <w14:schemeClr w14:val="tx1"/>
            </w14:solidFill>
          </w14:textFill>
        </w:rPr>
        <w:t>（一）符合以下相关关规定；</w:t>
      </w:r>
    </w:p>
    <w:p w14:paraId="726A79AB">
      <w:pPr>
        <w:snapToGrid w:val="0"/>
        <w:spacing w:line="460" w:lineRule="exact"/>
        <w:ind w:firstLine="411" w:firstLineChars="196"/>
        <w:rPr>
          <w:rFonts w:hint="eastAsia" w:ascii="仿宋" w:hAnsi="仿宋" w:eastAsia="仿宋" w:cs="仿宋"/>
          <w:b w:val="0"/>
          <w:bCs w:val="0"/>
          <w:color w:val="000000" w:themeColor="text1"/>
          <w:szCs w:val="21"/>
          <w:highlight w:val="none"/>
          <w:lang w:val="en-GB"/>
          <w14:textFill>
            <w14:solidFill>
              <w14:schemeClr w14:val="tx1"/>
            </w14:solidFill>
          </w14:textFill>
        </w:rPr>
      </w:pPr>
      <w:r>
        <w:rPr>
          <w:rFonts w:hint="eastAsia" w:ascii="仿宋" w:hAnsi="仿宋" w:eastAsia="仿宋" w:cs="仿宋"/>
          <w:b w:val="0"/>
          <w:bCs w:val="0"/>
          <w:color w:val="000000" w:themeColor="text1"/>
          <w:szCs w:val="21"/>
          <w:highlight w:val="none"/>
          <w:lang w:val="en-GB"/>
          <w14:textFill>
            <w14:solidFill>
              <w14:schemeClr w14:val="tx1"/>
            </w14:solidFill>
          </w14:textFill>
        </w:rPr>
        <w:t>1</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r>
        <w:rPr>
          <w:rFonts w:hint="eastAsia" w:ascii="仿宋" w:hAnsi="仿宋" w:eastAsia="仿宋" w:cs="仿宋"/>
          <w:b w:val="0"/>
          <w:bCs w:val="0"/>
          <w:color w:val="000000" w:themeColor="text1"/>
          <w:szCs w:val="21"/>
          <w:highlight w:val="none"/>
          <w:lang w:val="en-GB"/>
          <w14:textFill>
            <w14:solidFill>
              <w14:schemeClr w14:val="tx1"/>
            </w14:solidFill>
          </w14:textFill>
        </w:rPr>
        <w:t>具有独立承担民事责任的能力；</w:t>
      </w:r>
    </w:p>
    <w:p w14:paraId="253CEB5A">
      <w:pPr>
        <w:snapToGrid w:val="0"/>
        <w:spacing w:line="460" w:lineRule="exact"/>
        <w:ind w:firstLine="411" w:firstLineChars="196"/>
        <w:rPr>
          <w:rFonts w:hint="eastAsia" w:ascii="仿宋" w:hAnsi="仿宋" w:eastAsia="仿宋" w:cs="仿宋"/>
          <w:b w:val="0"/>
          <w:bCs w:val="0"/>
          <w:color w:val="000000" w:themeColor="text1"/>
          <w:szCs w:val="21"/>
          <w:highlight w:val="none"/>
          <w:lang w:val="en-GB"/>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2</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r>
        <w:rPr>
          <w:rFonts w:hint="eastAsia" w:ascii="仿宋" w:hAnsi="仿宋" w:eastAsia="仿宋" w:cs="仿宋"/>
          <w:b w:val="0"/>
          <w:bCs w:val="0"/>
          <w:color w:val="000000" w:themeColor="text1"/>
          <w:szCs w:val="21"/>
          <w:highlight w:val="none"/>
          <w:lang w:val="en-GB"/>
          <w14:textFill>
            <w14:solidFill>
              <w14:schemeClr w14:val="tx1"/>
            </w14:solidFill>
          </w14:textFill>
        </w:rPr>
        <w:t>具有良好的商业信誉和健全的财务会计制度；</w:t>
      </w:r>
    </w:p>
    <w:p w14:paraId="7C79DDC6">
      <w:pPr>
        <w:snapToGrid w:val="0"/>
        <w:spacing w:line="460" w:lineRule="exact"/>
        <w:ind w:firstLine="411" w:firstLineChars="196"/>
        <w:rPr>
          <w:rFonts w:hint="eastAsia" w:ascii="仿宋" w:hAnsi="仿宋" w:eastAsia="仿宋" w:cs="仿宋"/>
          <w:b w:val="0"/>
          <w:bCs w:val="0"/>
          <w:color w:val="000000" w:themeColor="text1"/>
          <w:szCs w:val="21"/>
          <w:highlight w:val="none"/>
          <w:lang w:val="en-GB"/>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3</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r>
        <w:rPr>
          <w:rFonts w:hint="eastAsia" w:ascii="仿宋" w:hAnsi="仿宋" w:eastAsia="仿宋" w:cs="仿宋"/>
          <w:b w:val="0"/>
          <w:bCs w:val="0"/>
          <w:color w:val="000000" w:themeColor="text1"/>
          <w:szCs w:val="21"/>
          <w:highlight w:val="none"/>
          <w:lang w:val="en-GB"/>
          <w14:textFill>
            <w14:solidFill>
              <w14:schemeClr w14:val="tx1"/>
            </w14:solidFill>
          </w14:textFill>
        </w:rPr>
        <w:t>具有履行合同所必需的设备和专业技术能力；</w:t>
      </w:r>
    </w:p>
    <w:p w14:paraId="07E716C4">
      <w:pPr>
        <w:snapToGrid w:val="0"/>
        <w:spacing w:line="460" w:lineRule="exact"/>
        <w:ind w:firstLine="411" w:firstLineChars="196"/>
        <w:rPr>
          <w:rFonts w:hint="eastAsia" w:ascii="仿宋" w:hAnsi="仿宋" w:eastAsia="仿宋" w:cs="仿宋"/>
          <w:b w:val="0"/>
          <w:bCs w:val="0"/>
          <w:color w:val="000000" w:themeColor="text1"/>
          <w:szCs w:val="21"/>
          <w:highlight w:val="none"/>
          <w:lang w:val="en-GB"/>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4</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r>
        <w:rPr>
          <w:rFonts w:hint="eastAsia" w:ascii="仿宋" w:hAnsi="仿宋" w:eastAsia="仿宋" w:cs="仿宋"/>
          <w:b w:val="0"/>
          <w:bCs w:val="0"/>
          <w:color w:val="000000" w:themeColor="text1"/>
          <w:szCs w:val="21"/>
          <w:highlight w:val="none"/>
          <w:lang w:val="en-GB"/>
          <w14:textFill>
            <w14:solidFill>
              <w14:schemeClr w14:val="tx1"/>
            </w14:solidFill>
          </w14:textFill>
        </w:rPr>
        <w:t>有依法缴纳</w: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begin"/>
      </w:r>
      <w:r>
        <w:rPr>
          <w:rFonts w:hint="eastAsia" w:ascii="仿宋" w:hAnsi="仿宋" w:eastAsia="仿宋" w:cs="仿宋"/>
          <w:b w:val="0"/>
          <w:bCs w:val="0"/>
          <w:color w:val="000000" w:themeColor="text1"/>
          <w:szCs w:val="21"/>
          <w:highlight w:val="none"/>
          <w:lang w:val="en-GB"/>
          <w14:textFill>
            <w14:solidFill>
              <w14:schemeClr w14:val="tx1"/>
            </w14:solidFill>
          </w14:textFill>
        </w:rPr>
        <w:instrText xml:space="preserve"> HYPERLINK "http://www.so.com/s?q=%E7%A8%8E%E6%94%B6&amp;ie=utf-8&amp;src=internal_wenda_recommend_textn" \t "https://wenda.so.com/q/_blank" </w:instrTex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separate"/>
      </w:r>
      <w:r>
        <w:rPr>
          <w:rFonts w:hint="eastAsia" w:ascii="仿宋" w:hAnsi="仿宋" w:eastAsia="仿宋" w:cs="仿宋"/>
          <w:b w:val="0"/>
          <w:bCs w:val="0"/>
          <w:color w:val="000000" w:themeColor="text1"/>
          <w:szCs w:val="21"/>
          <w:highlight w:val="none"/>
          <w:lang w:val="en-GB"/>
          <w14:textFill>
            <w14:solidFill>
              <w14:schemeClr w14:val="tx1"/>
            </w14:solidFill>
          </w14:textFill>
        </w:rPr>
        <w:t>税收</w: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end"/>
      </w:r>
      <w:r>
        <w:rPr>
          <w:rFonts w:hint="eastAsia" w:ascii="仿宋" w:hAnsi="仿宋" w:eastAsia="仿宋" w:cs="仿宋"/>
          <w:b w:val="0"/>
          <w:bCs w:val="0"/>
          <w:color w:val="000000" w:themeColor="text1"/>
          <w:szCs w:val="21"/>
          <w:highlight w:val="none"/>
          <w:lang w:val="en-GB"/>
          <w14:textFill>
            <w14:solidFill>
              <w14:schemeClr w14:val="tx1"/>
            </w14:solidFill>
          </w14:textFill>
        </w:rPr>
        <w:t>和</w: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begin"/>
      </w:r>
      <w:r>
        <w:rPr>
          <w:rFonts w:hint="eastAsia" w:ascii="仿宋" w:hAnsi="仿宋" w:eastAsia="仿宋" w:cs="仿宋"/>
          <w:b w:val="0"/>
          <w:bCs w:val="0"/>
          <w:color w:val="000000" w:themeColor="text1"/>
          <w:szCs w:val="21"/>
          <w:highlight w:val="none"/>
          <w:lang w:val="en-GB"/>
          <w14:textFill>
            <w14:solidFill>
              <w14:schemeClr w14:val="tx1"/>
            </w14:solidFill>
          </w14:textFill>
        </w:rPr>
        <w:instrText xml:space="preserve"> HYPERLINK "http://www.so.com/s?q=%E7%A4%BE%E4%BC%9A%E4%BF%9D%E9%9A%9C%E8%B5%84%E9%87%91&amp;ie=utf-8&amp;src=internal_wenda_recommend_textn" \t "https://wenda.so.com/q/_blank" </w:instrTex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separate"/>
      </w:r>
      <w:r>
        <w:rPr>
          <w:rFonts w:hint="eastAsia" w:ascii="仿宋" w:hAnsi="仿宋" w:eastAsia="仿宋" w:cs="仿宋"/>
          <w:b w:val="0"/>
          <w:bCs w:val="0"/>
          <w:color w:val="000000" w:themeColor="text1"/>
          <w:szCs w:val="21"/>
          <w:highlight w:val="none"/>
          <w:lang w:val="en-GB"/>
          <w14:textFill>
            <w14:solidFill>
              <w14:schemeClr w14:val="tx1"/>
            </w14:solidFill>
          </w14:textFill>
        </w:rPr>
        <w:t>社会保障资金</w: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end"/>
      </w:r>
      <w:r>
        <w:rPr>
          <w:rFonts w:hint="eastAsia" w:ascii="仿宋" w:hAnsi="仿宋" w:eastAsia="仿宋" w:cs="仿宋"/>
          <w:b w:val="0"/>
          <w:bCs w:val="0"/>
          <w:color w:val="000000" w:themeColor="text1"/>
          <w:szCs w:val="21"/>
          <w:highlight w:val="none"/>
          <w:lang w:val="en-GB"/>
          <w14:textFill>
            <w14:solidFill>
              <w14:schemeClr w14:val="tx1"/>
            </w14:solidFill>
          </w14:textFill>
        </w:rPr>
        <w:t>的良好记录；</w:t>
      </w:r>
    </w:p>
    <w:p w14:paraId="6FDDA457">
      <w:pPr>
        <w:snapToGrid w:val="0"/>
        <w:spacing w:line="460" w:lineRule="exact"/>
        <w:ind w:firstLine="411" w:firstLineChars="196"/>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w:t>
      </w:r>
      <w:r>
        <w:rPr>
          <w:rFonts w:hint="eastAsia" w:ascii="仿宋" w:hAnsi="仿宋" w:eastAsia="仿宋" w:cs="仿宋"/>
          <w:b w:val="0"/>
          <w:bCs w:val="0"/>
          <w:color w:val="000000" w:themeColor="text1"/>
          <w:szCs w:val="21"/>
          <w:highlight w:val="none"/>
          <w:lang w:val="en-GB"/>
          <w14:textFill>
            <w14:solidFill>
              <w14:schemeClr w14:val="tx1"/>
            </w14:solidFill>
          </w14:textFill>
        </w:rPr>
        <w:t>参加政府采购活动前三年内，在</w: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begin"/>
      </w:r>
      <w:r>
        <w:rPr>
          <w:rFonts w:hint="eastAsia" w:ascii="仿宋" w:hAnsi="仿宋" w:eastAsia="仿宋" w:cs="仿宋"/>
          <w:b w:val="0"/>
          <w:bCs w:val="0"/>
          <w:color w:val="000000" w:themeColor="text1"/>
          <w:szCs w:val="21"/>
          <w:highlight w:val="none"/>
          <w:lang w:val="en-GB"/>
          <w14:textFill>
            <w14:solidFill>
              <w14:schemeClr w14:val="tx1"/>
            </w14:solidFill>
          </w14:textFill>
        </w:rPr>
        <w:instrText xml:space="preserve"> HYPERLINK "http://www.so.com/s?q=%E7%BB%8F%E8%90%A5%E6%B4%BB%E5%8A%A8&amp;ie=utf-8&amp;src=internal_wenda_recommend_textn" \t "https://wenda.so.com/q/_blank" </w:instrTex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separate"/>
      </w:r>
      <w:r>
        <w:rPr>
          <w:rFonts w:hint="eastAsia" w:ascii="仿宋" w:hAnsi="仿宋" w:eastAsia="仿宋" w:cs="仿宋"/>
          <w:b w:val="0"/>
          <w:bCs w:val="0"/>
          <w:color w:val="000000" w:themeColor="text1"/>
          <w:szCs w:val="21"/>
          <w:highlight w:val="none"/>
          <w:lang w:val="en-GB"/>
          <w14:textFill>
            <w14:solidFill>
              <w14:schemeClr w14:val="tx1"/>
            </w14:solidFill>
          </w14:textFill>
        </w:rPr>
        <w:t>经营活动</w:t>
      </w:r>
      <w:r>
        <w:rPr>
          <w:rFonts w:hint="eastAsia" w:ascii="仿宋" w:hAnsi="仿宋" w:eastAsia="仿宋" w:cs="仿宋"/>
          <w:b w:val="0"/>
          <w:bCs w:val="0"/>
          <w:color w:val="000000" w:themeColor="text1"/>
          <w:szCs w:val="21"/>
          <w:highlight w:val="none"/>
          <w:lang w:val="en-GB"/>
          <w14:textFill>
            <w14:solidFill>
              <w14:schemeClr w14:val="tx1"/>
            </w14:solidFill>
          </w14:textFill>
        </w:rPr>
        <w:fldChar w:fldCharType="end"/>
      </w:r>
      <w:r>
        <w:rPr>
          <w:rFonts w:hint="eastAsia" w:ascii="仿宋" w:hAnsi="仿宋" w:eastAsia="仿宋" w:cs="仿宋"/>
          <w:b w:val="0"/>
          <w:bCs w:val="0"/>
          <w:color w:val="000000" w:themeColor="text1"/>
          <w:szCs w:val="21"/>
          <w:highlight w:val="none"/>
          <w:lang w:val="en-GB"/>
          <w14:textFill>
            <w14:solidFill>
              <w14:schemeClr w14:val="tx1"/>
            </w14:solidFill>
          </w14:textFill>
        </w:rPr>
        <w:t>中没有</w:t>
      </w:r>
      <w:r>
        <w:rPr>
          <w:rFonts w:hint="eastAsia" w:ascii="仿宋" w:hAnsi="仿宋" w:eastAsia="仿宋" w:cs="仿宋"/>
          <w:b w:val="0"/>
          <w:bCs w:val="0"/>
          <w:color w:val="000000" w:themeColor="text1"/>
          <w:szCs w:val="21"/>
          <w:highlight w:val="none"/>
          <w14:textFill>
            <w14:solidFill>
              <w14:schemeClr w14:val="tx1"/>
            </w14:solidFill>
          </w14:textFill>
        </w:rPr>
        <w:t>因违法经营受到刑事处罚或者被处以责令停产停业、暂扣或吊销许可证或执照等行政处罚的</w:t>
      </w:r>
      <w:r>
        <w:rPr>
          <w:rFonts w:hint="eastAsia" w:ascii="仿宋" w:hAnsi="仿宋" w:eastAsia="仿宋" w:cs="仿宋"/>
          <w:b w:val="0"/>
          <w:bCs w:val="0"/>
          <w:color w:val="000000" w:themeColor="text1"/>
          <w:szCs w:val="21"/>
          <w:highlight w:val="none"/>
          <w:lang w:val="en-GB"/>
          <w14:textFill>
            <w14:solidFill>
              <w14:schemeClr w14:val="tx1"/>
            </w14:solidFill>
          </w14:textFill>
        </w:rPr>
        <w:t>违法记录；</w:t>
      </w:r>
    </w:p>
    <w:p w14:paraId="0221CF48">
      <w:pPr>
        <w:snapToGrid w:val="0"/>
        <w:spacing w:line="460" w:lineRule="exact"/>
        <w:ind w:firstLine="411" w:firstLineChars="196"/>
        <w:rPr>
          <w:rFonts w:hint="eastAsia" w:ascii="仿宋" w:hAnsi="仿宋" w:eastAsia="仿宋" w:cs="仿宋"/>
          <w:b w:val="0"/>
          <w:bCs w:val="0"/>
          <w:color w:val="000000" w:themeColor="text1"/>
          <w:szCs w:val="21"/>
          <w:highlight w:val="none"/>
          <w:lang w:val="en-GB"/>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6</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r>
        <w:rPr>
          <w:rFonts w:hint="eastAsia" w:ascii="仿宋" w:hAnsi="仿宋" w:eastAsia="仿宋" w:cs="仿宋"/>
          <w:b w:val="0"/>
          <w:bCs w:val="0"/>
          <w:color w:val="000000" w:themeColor="text1"/>
          <w:szCs w:val="21"/>
          <w:highlight w:val="none"/>
          <w:lang w:val="en-GB"/>
          <w14:textFill>
            <w14:solidFill>
              <w14:schemeClr w14:val="tx1"/>
            </w14:solidFill>
          </w14:textFill>
        </w:rPr>
        <w:t>法律、行政法规规定的其他条件。</w:t>
      </w:r>
    </w:p>
    <w:p w14:paraId="37FEA493">
      <w:pPr>
        <w:snapToGrid w:val="0"/>
        <w:spacing w:line="460" w:lineRule="exact"/>
        <w:ind w:firstLine="411" w:firstLineChars="196"/>
        <w:rPr>
          <w:rFonts w:hint="eastAsia" w:ascii="仿宋" w:hAnsi="仿宋" w:eastAsia="仿宋" w:cs="仿宋"/>
          <w:b w:val="0"/>
          <w:bCs w:val="0"/>
          <w:color w:val="000000" w:themeColor="text1"/>
          <w:szCs w:val="21"/>
          <w:highlight w:val="yellow"/>
          <w:lang w:val="en-GB"/>
          <w14:textFill>
            <w14:solidFill>
              <w14:schemeClr w14:val="tx1"/>
            </w14:solidFill>
          </w14:textFill>
        </w:rPr>
      </w:pPr>
      <w:r>
        <w:rPr>
          <w:rFonts w:hint="eastAsia" w:ascii="仿宋" w:hAnsi="仿宋" w:eastAsia="仿宋" w:cs="仿宋"/>
          <w:b w:val="0"/>
          <w:bCs w:val="0"/>
          <w:color w:val="000000" w:themeColor="text1"/>
          <w:szCs w:val="21"/>
          <w:highlight w:val="yellow"/>
          <w:lang w:val="en-GB"/>
          <w14:textFill>
            <w14:solidFill>
              <w14:schemeClr w14:val="tx1"/>
            </w14:solidFill>
          </w14:textFill>
        </w:rPr>
        <w:t>（</w:t>
      </w:r>
      <w:r>
        <w:rPr>
          <w:rFonts w:hint="eastAsia" w:ascii="仿宋" w:hAnsi="仿宋" w:eastAsia="仿宋" w:cs="仿宋"/>
          <w:b w:val="0"/>
          <w:bCs w:val="0"/>
          <w:color w:val="000000" w:themeColor="text1"/>
          <w:szCs w:val="21"/>
          <w:highlight w:val="yellow"/>
          <w14:textFill>
            <w14:solidFill>
              <w14:schemeClr w14:val="tx1"/>
            </w14:solidFill>
          </w14:textFill>
        </w:rPr>
        <w:t>二）在国内注册，具有独立法人资格，具有浙江省公安厅批准的《保安服务许可证》。</w:t>
      </w:r>
    </w:p>
    <w:p w14:paraId="1958DF1C">
      <w:pPr>
        <w:snapToGrid w:val="0"/>
        <w:spacing w:line="460" w:lineRule="exact"/>
        <w:ind w:firstLine="411" w:firstLineChars="196"/>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GB"/>
          <w14:textFill>
            <w14:solidFill>
              <w14:schemeClr w14:val="tx1"/>
            </w14:solidFill>
          </w14:textFill>
        </w:rPr>
        <w:t>（</w:t>
      </w:r>
      <w:r>
        <w:rPr>
          <w:rFonts w:hint="eastAsia" w:ascii="仿宋" w:hAnsi="仿宋" w:eastAsia="仿宋" w:cs="仿宋"/>
          <w:b w:val="0"/>
          <w:bCs w:val="0"/>
          <w:color w:val="000000" w:themeColor="text1"/>
          <w:szCs w:val="21"/>
          <w:highlight w:val="none"/>
          <w14:textFill>
            <w14:solidFill>
              <w14:schemeClr w14:val="tx1"/>
            </w14:solidFill>
          </w14:textFill>
        </w:rPr>
        <w:t>三）</w:t>
      </w:r>
      <w:r>
        <w:rPr>
          <w:rFonts w:hint="eastAsia" w:ascii="仿宋" w:hAnsi="仿宋" w:eastAsia="仿宋" w:cs="仿宋"/>
          <w:b w:val="0"/>
          <w:bCs w:val="0"/>
          <w:color w:val="000000" w:themeColor="text1"/>
          <w:szCs w:val="21"/>
          <w:highlight w:val="none"/>
          <w:lang w:val="en-GB"/>
          <w14:textFill>
            <w14:solidFill>
              <w14:schemeClr w14:val="tx1"/>
            </w14:solidFill>
          </w14:textFill>
        </w:rPr>
        <w:t>投标人为非本</w:t>
      </w:r>
      <w:r>
        <w:rPr>
          <w:rFonts w:hint="eastAsia" w:ascii="仿宋" w:hAnsi="仿宋" w:eastAsia="仿宋" w:cs="仿宋"/>
          <w:b w:val="0"/>
          <w:bCs w:val="0"/>
          <w:color w:val="000000" w:themeColor="text1"/>
          <w:szCs w:val="21"/>
          <w:highlight w:val="none"/>
          <w14:textFill>
            <w14:solidFill>
              <w14:schemeClr w14:val="tx1"/>
            </w14:solidFill>
          </w14:textFill>
        </w:rPr>
        <w:t>公司</w:t>
      </w:r>
      <w:r>
        <w:rPr>
          <w:rFonts w:hint="eastAsia" w:ascii="仿宋" w:hAnsi="仿宋" w:eastAsia="仿宋" w:cs="仿宋"/>
          <w:b w:val="0"/>
          <w:bCs w:val="0"/>
          <w:color w:val="000000" w:themeColor="text1"/>
          <w:szCs w:val="21"/>
          <w:highlight w:val="none"/>
          <w:lang w:val="en-GB"/>
          <w14:textFill>
            <w14:solidFill>
              <w14:schemeClr w14:val="tx1"/>
            </w14:solidFill>
          </w14:textFill>
        </w:rPr>
        <w:t>系统任处级以上领导和在公司任中层以上领导的直系亲属和特定关系人实际控制或担任股东或有关联交易、依托关系的企业。</w:t>
      </w:r>
    </w:p>
    <w:p w14:paraId="6FDE8C86">
      <w:pPr>
        <w:snapToGrid w:val="0"/>
        <w:spacing w:line="460" w:lineRule="exact"/>
        <w:ind w:firstLine="411" w:firstLineChars="196"/>
        <w:rPr>
          <w:rFonts w:hint="eastAsia" w:ascii="仿宋" w:hAnsi="仿宋" w:eastAsia="仿宋" w:cs="仿宋"/>
          <w:b w:val="0"/>
          <w:bCs w:val="0"/>
          <w:color w:val="000000" w:themeColor="text1"/>
          <w:szCs w:val="21"/>
          <w:highlight w:val="none"/>
          <w:lang w:val="en-GB"/>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（四）</w:t>
      </w:r>
      <w:r>
        <w:rPr>
          <w:rFonts w:hint="eastAsia" w:ascii="仿宋" w:hAnsi="仿宋" w:eastAsia="仿宋" w:cs="仿宋"/>
          <w:b w:val="0"/>
          <w:bCs w:val="0"/>
          <w:color w:val="000000" w:themeColor="text1"/>
          <w:szCs w:val="21"/>
          <w:highlight w:val="none"/>
          <w:lang w:val="en-GB"/>
          <w14:textFill>
            <w14:solidFill>
              <w14:schemeClr w14:val="tx1"/>
            </w14:solidFill>
          </w14:textFill>
        </w:rPr>
        <w:t>本招标项目谢绝以联合体（包括挂靠）的形式参加投标，不得转包。</w:t>
      </w:r>
    </w:p>
    <w:bookmarkEnd w:id="2"/>
    <w:bookmarkEnd w:id="3"/>
    <w:p w14:paraId="66BBE3F8">
      <w:pPr>
        <w:snapToGrid w:val="0"/>
        <w:spacing w:line="460" w:lineRule="exact"/>
        <w:ind w:firstLine="413"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五、招标文件的获取：（</w:t>
      </w:r>
      <w:r>
        <w:rPr>
          <w:rFonts w:hint="eastAsia" w:ascii="仿宋" w:hAnsi="仿宋" w:eastAsia="仿宋" w:cs="仿宋"/>
          <w:b/>
          <w:color w:val="000000" w:themeColor="text1"/>
          <w:szCs w:val="21"/>
          <w:highlight w:val="none"/>
          <w14:textFill>
            <w14:solidFill>
              <w14:schemeClr w14:val="tx1"/>
            </w14:solidFill>
          </w14:textFill>
        </w:rPr>
        <w:t>二种方法，投标人任选一种）</w:t>
      </w:r>
    </w:p>
    <w:p w14:paraId="53E3F413">
      <w:pPr>
        <w:snapToGrid w:val="0"/>
        <w:spacing w:line="460" w:lineRule="exact"/>
        <w:ind w:firstLine="420" w:firstLineChars="200"/>
        <w:jc w:val="left"/>
        <w:rPr>
          <w:rFonts w:hint="eastAsia" w:ascii="仿宋" w:hAnsi="仿宋" w:eastAsia="仿宋" w:cs="仿宋"/>
          <w:b w:val="0"/>
          <w:bCs/>
          <w:color w:val="000000" w:themeColor="text1"/>
          <w:szCs w:val="21"/>
          <w:highlight w:val="none"/>
          <w:lang w:val="zh-CN"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1.在</w:t>
      </w:r>
      <w:r>
        <w:rPr>
          <w:rFonts w:hint="eastAsia" w:ascii="仿宋" w:hAnsi="仿宋" w:eastAsia="仿宋" w:cs="仿宋"/>
          <w:b w:val="0"/>
          <w:bCs/>
          <w:color w:val="000000" w:themeColor="text1"/>
          <w:szCs w:val="21"/>
          <w:highlight w:val="none"/>
          <w14:textFill>
            <w14:solidFill>
              <w14:schemeClr w14:val="tx1"/>
            </w14:solidFill>
          </w14:textFill>
        </w:rPr>
        <w:t>浙江政府采购网（http://zfcg.czt.zj.gov.cn/）</w:t>
      </w:r>
      <w:r>
        <w:rPr>
          <w:rFonts w:hint="eastAsia" w:ascii="仿宋" w:hAnsi="仿宋" w:eastAsia="仿宋" w:cs="仿宋"/>
          <w:b w:val="0"/>
          <w:bCs/>
          <w:color w:val="000000" w:themeColor="text1"/>
          <w:szCs w:val="21"/>
          <w:highlight w:val="none"/>
          <w:lang w:eastAsia="zh-CN"/>
          <w14:textFill>
            <w14:solidFill>
              <w14:schemeClr w14:val="tx1"/>
            </w14:solidFill>
          </w14:textFill>
        </w:rPr>
        <w:t>“</w:t>
      </w:r>
      <w:r>
        <w:rPr>
          <w:rFonts w:hint="eastAsia" w:ascii="仿宋" w:hAnsi="仿宋" w:eastAsia="仿宋" w:cs="仿宋"/>
          <w:b w:val="0"/>
          <w:bCs/>
          <w:color w:val="000000" w:themeColor="text1"/>
          <w:szCs w:val="21"/>
          <w:highlight w:val="none"/>
          <w14:textFill>
            <w14:solidFill>
              <w14:schemeClr w14:val="tx1"/>
            </w14:solidFill>
          </w14:textFill>
        </w:rPr>
        <w:t>非政府采购公告</w:t>
      </w:r>
      <w:r>
        <w:rPr>
          <w:rFonts w:hint="eastAsia" w:ascii="仿宋" w:hAnsi="仿宋" w:eastAsia="仿宋" w:cs="仿宋"/>
          <w:b w:val="0"/>
          <w:bCs/>
          <w:color w:val="000000" w:themeColor="text1"/>
          <w:szCs w:val="21"/>
          <w:highlight w:val="none"/>
          <w:lang w:eastAsia="zh-CN"/>
          <w14:textFill>
            <w14:solidFill>
              <w14:schemeClr w14:val="tx1"/>
            </w14:solidFill>
          </w14:textFill>
        </w:rPr>
        <w:t>”栏、</w:t>
      </w:r>
      <w:r>
        <w:rPr>
          <w:rFonts w:hint="eastAsia" w:ascii="仿宋" w:hAnsi="仿宋" w:eastAsia="仿宋" w:cs="仿宋"/>
          <w:b w:val="0"/>
          <w:bCs/>
          <w:color w:val="000000" w:themeColor="text1"/>
          <w:szCs w:val="21"/>
          <w:highlight w:val="none"/>
          <w:lang w:val="en-US" w:eastAsia="zh-CN"/>
          <w14:textFill>
            <w14:solidFill>
              <w14:schemeClr w14:val="tx1"/>
            </w14:solidFill>
          </w14:textFill>
        </w:rPr>
        <w:t>招天下</w:t>
      </w:r>
      <w:r>
        <w:rPr>
          <w:rFonts w:hint="eastAsia" w:ascii="仿宋" w:hAnsi="仿宋" w:eastAsia="仿宋" w:cs="仿宋"/>
          <w:b w:val="0"/>
          <w:bCs/>
          <w:color w:val="000000" w:themeColor="text1"/>
          <w:szCs w:val="21"/>
          <w:highlight w:val="none"/>
          <w:lang w:val="zh-CN" w:eastAsia="zh-CN"/>
          <w14:textFill>
            <w14:solidFill>
              <w14:schemeClr w14:val="tx1"/>
            </w14:solidFill>
          </w14:textFill>
        </w:rPr>
        <w:t>,费用300元/份，在开标现场缴纳。</w:t>
      </w:r>
    </w:p>
    <w:p w14:paraId="574AF6EF">
      <w:pPr>
        <w:numPr>
          <w:ilvl w:val="0"/>
          <w:numId w:val="0"/>
        </w:numPr>
        <w:snapToGrid w:val="0"/>
        <w:spacing w:line="460" w:lineRule="exact"/>
        <w:ind w:firstLine="420" w:firstLineChars="200"/>
        <w:jc w:val="left"/>
        <w:rPr>
          <w:rFonts w:hint="eastAsia" w:ascii="仿宋" w:hAnsi="仿宋" w:eastAsia="仿宋" w:cs="仿宋"/>
          <w:b w:val="0"/>
          <w:bCs/>
          <w:color w:val="000000" w:themeColor="text1"/>
          <w:szCs w:val="21"/>
          <w:highlight w:val="none"/>
          <w:lang w:val="zh-CN"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2.</w:t>
      </w:r>
      <w:r>
        <w:rPr>
          <w:rFonts w:hint="eastAsia" w:ascii="仿宋" w:hAnsi="仿宋" w:eastAsia="仿宋" w:cs="仿宋"/>
          <w:b w:val="0"/>
          <w:bCs/>
          <w:color w:val="000000" w:themeColor="text1"/>
          <w:szCs w:val="21"/>
          <w:highlight w:val="none"/>
          <w:lang w:val="zh-CN" w:eastAsia="zh-CN"/>
          <w14:textFill>
            <w14:solidFill>
              <w14:schemeClr w14:val="tx1"/>
            </w14:solidFill>
          </w14:textFill>
        </w:rPr>
        <w:t>到浙江中正工程项目管理有限公司（常山县天马街道石城路4号4楼）购买招标文件，招标文件为3</w:t>
      </w:r>
      <w:bookmarkStart w:id="122" w:name="_GoBack"/>
      <w:r>
        <w:rPr>
          <w:rFonts w:hint="eastAsia" w:ascii="仿宋" w:hAnsi="仿宋" w:eastAsia="仿宋" w:cs="仿宋"/>
          <w:b w:val="0"/>
          <w:bCs/>
          <w:color w:val="000000" w:themeColor="text1"/>
          <w:szCs w:val="21"/>
          <w:highlight w:val="none"/>
          <w:lang w:val="zh-CN" w:eastAsia="zh-CN"/>
          <w14:textFill>
            <w14:solidFill>
              <w14:schemeClr w14:val="tx1"/>
            </w14:solidFill>
          </w14:textFill>
        </w:rPr>
        <w:t>00</w:t>
      </w:r>
      <w:bookmarkEnd w:id="122"/>
      <w:r>
        <w:rPr>
          <w:rFonts w:hint="eastAsia" w:ascii="仿宋" w:hAnsi="仿宋" w:eastAsia="仿宋" w:cs="仿宋"/>
          <w:b w:val="0"/>
          <w:bCs/>
          <w:color w:val="000000" w:themeColor="text1"/>
          <w:szCs w:val="21"/>
          <w:highlight w:val="none"/>
          <w:lang w:val="zh-CN" w:eastAsia="zh-CN"/>
          <w14:textFill>
            <w14:solidFill>
              <w14:schemeClr w14:val="tx1"/>
            </w14:solidFill>
          </w14:textFill>
        </w:rPr>
        <w:t>元/份（人民币），售后不退。购买招标文件时应提供以下资料；①有效的营业执照副本复印件（加盖单位公章）；②法人授权委托书原件、受委托人身份证原件及复印件。原件核验后当场退回。</w:t>
      </w:r>
    </w:p>
    <w:p w14:paraId="4ED4386F">
      <w:pPr>
        <w:numPr>
          <w:ilvl w:val="0"/>
          <w:numId w:val="0"/>
        </w:numPr>
        <w:snapToGrid w:val="0"/>
        <w:spacing w:line="460" w:lineRule="exact"/>
        <w:ind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六、投标保证金交纳：</w:t>
      </w:r>
      <w:bookmarkStart w:id="4" w:name="OLE_LINK44"/>
    </w:p>
    <w:bookmarkEnd w:id="4"/>
    <w:p w14:paraId="1A04BE77">
      <w:pPr>
        <w:pStyle w:val="33"/>
        <w:autoSpaceDE w:val="0"/>
        <w:autoSpaceDN w:val="0"/>
        <w:adjustRightInd w:val="0"/>
        <w:snapToGrid w:val="0"/>
        <w:spacing w:line="460" w:lineRule="exact"/>
        <w:ind w:firstLine="411" w:firstLineChars="196"/>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5" w:name="_Toc304283802"/>
      <w:r>
        <w:rPr>
          <w:rFonts w:hint="eastAsia" w:ascii="仿宋" w:hAnsi="仿宋" w:eastAsia="仿宋" w:cs="仿宋"/>
          <w:b w:val="0"/>
          <w:bCs w:val="0"/>
          <w:color w:val="000000" w:themeColor="text1"/>
          <w:sz w:val="21"/>
          <w:szCs w:val="21"/>
          <w:highlight w:val="none"/>
          <w14:textFill>
            <w14:solidFill>
              <w14:schemeClr w14:val="tx1"/>
            </w14:solidFill>
          </w14:textFill>
        </w:rPr>
        <w:t>交易保证金（人民币）：响应截止时间前交纳保证金</w:t>
      </w:r>
      <w:r>
        <w:rPr>
          <w:rFonts w:hint="eastAsia" w:ascii="仿宋" w:hAnsi="仿宋" w:eastAsia="仿宋" w:cs="仿宋"/>
          <w:b w:val="0"/>
          <w:bCs w:val="0"/>
          <w:color w:val="000000" w:themeColor="text1"/>
          <w:sz w:val="21"/>
          <w:szCs w:val="21"/>
          <w:highlight w:val="none"/>
          <w:u w:val="single"/>
          <w:lang w:eastAsia="zh-CN"/>
          <w14:textFill>
            <w14:solidFill>
              <w14:schemeClr w14:val="tx1"/>
            </w14:solidFill>
          </w14:textFill>
        </w:rPr>
        <w:t>壹万柒仟</w:t>
      </w:r>
      <w:r>
        <w:rPr>
          <w:rFonts w:hint="eastAsia" w:ascii="仿宋" w:hAnsi="仿宋" w:eastAsia="仿宋" w:cs="仿宋"/>
          <w:b w:val="0"/>
          <w:bCs w:val="0"/>
          <w:color w:val="000000" w:themeColor="text1"/>
          <w:sz w:val="21"/>
          <w:szCs w:val="21"/>
          <w:highlight w:val="none"/>
          <w14:textFill>
            <w14:solidFill>
              <w14:schemeClr w14:val="tx1"/>
            </w14:solidFill>
          </w14:textFill>
        </w:rPr>
        <w:t>元</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 xml:space="preserve"> 17000元 </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14:textFill>
            <w14:solidFill>
              <w14:schemeClr w14:val="tx1"/>
            </w14:solidFill>
          </w14:textFill>
        </w:rPr>
        <w:t>。响应人</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可</w:t>
      </w:r>
      <w:r>
        <w:rPr>
          <w:rFonts w:hint="eastAsia" w:ascii="仿宋" w:hAnsi="仿宋" w:eastAsia="仿宋" w:cs="仿宋"/>
          <w:b w:val="0"/>
          <w:bCs w:val="0"/>
          <w:color w:val="000000" w:themeColor="text1"/>
          <w:sz w:val="21"/>
          <w:szCs w:val="21"/>
          <w:highlight w:val="none"/>
          <w14:textFill>
            <w14:solidFill>
              <w14:schemeClr w14:val="tx1"/>
            </w14:solidFill>
          </w14:textFill>
        </w:rPr>
        <w:t>于202</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b w:val="0"/>
          <w:bCs w:val="0"/>
          <w:color w:val="000000" w:themeColor="text1"/>
          <w:sz w:val="21"/>
          <w:szCs w:val="21"/>
          <w:highlight w:val="none"/>
          <w14:textFill>
            <w14:solidFill>
              <w14:schemeClr w14:val="tx1"/>
            </w14:solidFill>
          </w14:textFill>
        </w:rPr>
        <w:t>年</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 xml:space="preserve"> 07</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 月</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08</w:t>
      </w:r>
      <w:r>
        <w:rPr>
          <w:rFonts w:hint="eastAsia" w:ascii="仿宋" w:hAnsi="仿宋" w:eastAsia="仿宋" w:cs="仿宋"/>
          <w:b w:val="0"/>
          <w:bCs w:val="0"/>
          <w:color w:val="000000" w:themeColor="text1"/>
          <w:sz w:val="21"/>
          <w:szCs w:val="21"/>
          <w:highlight w:val="none"/>
          <w14:textFill>
            <w14:solidFill>
              <w14:schemeClr w14:val="tx1"/>
            </w14:solidFill>
          </w14:textFill>
        </w:rPr>
        <w:t>日16时前将交易保证金以转账方式交至收款单位（户名）：浙江中正工程项目管理有限公司常山分公司；支付方式：转账（不接受现金）；开户银行：浙江常山农村商业银行股份有限公司定阳支行；银行账号：201000014910117；联系人：</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费</w:t>
      </w:r>
      <w:r>
        <w:rPr>
          <w:rFonts w:hint="eastAsia" w:ascii="仿宋" w:hAnsi="仿宋" w:eastAsia="仿宋" w:cs="仿宋"/>
          <w:b w:val="0"/>
          <w:bCs w:val="0"/>
          <w:color w:val="000000" w:themeColor="text1"/>
          <w:sz w:val="21"/>
          <w:szCs w:val="21"/>
          <w:highlight w:val="none"/>
          <w14:textFill>
            <w14:solidFill>
              <w14:schemeClr w14:val="tx1"/>
            </w14:solidFill>
          </w14:textFill>
        </w:rPr>
        <w:t>女士；0570-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5015006</w:t>
      </w:r>
      <w:r>
        <w:rPr>
          <w:rFonts w:hint="eastAsia" w:ascii="仿宋" w:hAnsi="仿宋" w:eastAsia="仿宋" w:cs="仿宋"/>
          <w:b w:val="0"/>
          <w:bCs w:val="0"/>
          <w:color w:val="000000" w:themeColor="text1"/>
          <w:sz w:val="21"/>
          <w:szCs w:val="21"/>
          <w:highlight w:val="none"/>
          <w14:textFill>
            <w14:solidFill>
              <w14:schemeClr w14:val="tx1"/>
            </w14:solidFill>
          </w14:textFill>
        </w:rPr>
        <w:t>。交纳交易保证金汇款时请注明（</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浙江常新工贸有限公司新址辅助管理人员外包服务项目</w:t>
      </w:r>
      <w:r>
        <w:rPr>
          <w:rFonts w:hint="eastAsia" w:ascii="仿宋" w:hAnsi="仿宋" w:eastAsia="仿宋" w:cs="仿宋"/>
          <w:b w:val="0"/>
          <w:bCs w:val="0"/>
          <w:color w:val="000000" w:themeColor="text1"/>
          <w:sz w:val="21"/>
          <w:szCs w:val="21"/>
          <w:highlight w:val="none"/>
          <w14:textFill>
            <w14:solidFill>
              <w14:schemeClr w14:val="tx1"/>
            </w14:solidFill>
          </w14:textFill>
        </w:rPr>
        <w:t>）；</w:t>
      </w:r>
      <w:r>
        <w:rPr>
          <w:rFonts w:hint="eastAsia" w:ascii="仿宋" w:hAnsi="仿宋" w:eastAsia="仿宋" w:cs="仿宋"/>
          <w:b w:val="0"/>
          <w:bCs w:val="0"/>
          <w:color w:val="000000" w:themeColor="text1"/>
          <w:sz w:val="21"/>
          <w:szCs w:val="21"/>
          <w:highlight w:val="none"/>
          <w:lang w:val="zh-CN"/>
          <w14:textFill>
            <w14:solidFill>
              <w14:schemeClr w14:val="tx1"/>
            </w14:solidFill>
          </w14:textFill>
        </w:rPr>
        <w:t>响应人</w:t>
      </w:r>
      <w:r>
        <w:rPr>
          <w:rFonts w:hint="eastAsia" w:ascii="仿宋" w:hAnsi="仿宋" w:eastAsia="仿宋" w:cs="仿宋"/>
          <w:b w:val="0"/>
          <w:bCs w:val="0"/>
          <w:color w:val="000000" w:themeColor="text1"/>
          <w:sz w:val="21"/>
          <w:szCs w:val="21"/>
          <w:highlight w:val="none"/>
          <w14:textFill>
            <w14:solidFill>
              <w14:schemeClr w14:val="tx1"/>
            </w14:solidFill>
          </w14:textFill>
        </w:rPr>
        <w:t>应提前递交交易保证金，确保在响应文件递交截止时间前入账。保证金缴纳方名称必须和</w:t>
      </w:r>
      <w:r>
        <w:rPr>
          <w:rFonts w:hint="eastAsia" w:ascii="仿宋" w:hAnsi="仿宋" w:eastAsia="仿宋" w:cs="仿宋"/>
          <w:b w:val="0"/>
          <w:bCs w:val="0"/>
          <w:color w:val="000000" w:themeColor="text1"/>
          <w:sz w:val="21"/>
          <w:szCs w:val="21"/>
          <w:highlight w:val="none"/>
          <w:lang w:val="zh-CN"/>
          <w14:textFill>
            <w14:solidFill>
              <w14:schemeClr w14:val="tx1"/>
            </w14:solidFill>
          </w14:textFill>
        </w:rPr>
        <w:t>响应人</w:t>
      </w:r>
      <w:r>
        <w:rPr>
          <w:rFonts w:hint="eastAsia" w:ascii="仿宋" w:hAnsi="仿宋" w:eastAsia="仿宋" w:cs="仿宋"/>
          <w:b w:val="0"/>
          <w:bCs w:val="0"/>
          <w:color w:val="000000" w:themeColor="text1"/>
          <w:sz w:val="21"/>
          <w:szCs w:val="21"/>
          <w:highlight w:val="none"/>
          <w14:textFill>
            <w14:solidFill>
              <w14:schemeClr w14:val="tx1"/>
            </w14:solidFill>
          </w14:textFill>
        </w:rPr>
        <w:t>名称一致，否则视同未缴纳。</w:t>
      </w:r>
    </w:p>
    <w:p w14:paraId="622E3AE0">
      <w:pPr>
        <w:pStyle w:val="33"/>
        <w:autoSpaceDE w:val="0"/>
        <w:autoSpaceDN w:val="0"/>
        <w:adjustRightInd w:val="0"/>
        <w:snapToGrid w:val="0"/>
        <w:spacing w:line="460" w:lineRule="exact"/>
        <w:ind w:firstLine="413"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七、投标文件的递交时间、地点：</w:t>
      </w:r>
    </w:p>
    <w:p w14:paraId="1095D620">
      <w:pPr>
        <w:pStyle w:val="33"/>
        <w:autoSpaceDE w:val="0"/>
        <w:autoSpaceDN w:val="0"/>
        <w:adjustRightInd w:val="0"/>
        <w:snapToGrid w:val="0"/>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投标文件递交的截止时间及开标时间为202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日</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时</w:t>
      </w: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分，地点为浙江中正工程项目管理有限公司（常山县天马街道石城路4号4楼）开标室。</w:t>
      </w:r>
    </w:p>
    <w:p w14:paraId="7CDBC69A">
      <w:pPr>
        <w:pStyle w:val="33"/>
        <w:autoSpaceDE w:val="0"/>
        <w:autoSpaceDN w:val="0"/>
        <w:adjustRightInd w:val="0"/>
        <w:snapToGrid w:val="0"/>
        <w:spacing w:line="460" w:lineRule="exact"/>
        <w:ind w:firstLine="413"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八、本公告及澄清文件在以下网站发布：</w:t>
      </w:r>
    </w:p>
    <w:p w14:paraId="393FDC32">
      <w:pPr>
        <w:snapToGrid w:val="0"/>
        <w:spacing w:line="420" w:lineRule="exact"/>
        <w:ind w:firstLine="42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Cs w:val="21"/>
          <w:highlight w:val="none"/>
          <w:lang w:eastAsia="zh-CN"/>
          <w14:textFill>
            <w14:solidFill>
              <w14:schemeClr w14:val="tx1"/>
            </w14:solidFill>
          </w14:textFill>
        </w:rPr>
        <w:t>浙江政府采购网（http://zfcg.czt.zj.gov.cn/）“非政府采购公告”栏</w:t>
      </w:r>
      <w:r>
        <w:rPr>
          <w:rFonts w:hint="eastAsia" w:ascii="仿宋" w:hAnsi="仿宋" w:eastAsia="仿宋" w:cs="仿宋"/>
          <w:b w:val="0"/>
          <w:bCs/>
          <w:color w:val="000000" w:themeColor="text1"/>
          <w:szCs w:val="21"/>
          <w:highlight w:val="none"/>
          <w:lang w:val="en-US" w:eastAsia="zh-CN"/>
          <w14:textFill>
            <w14:solidFill>
              <w14:schemeClr w14:val="tx1"/>
            </w14:solidFill>
          </w14:textFill>
        </w:rPr>
        <w:t>、招天下网站。</w:t>
      </w:r>
    </w:p>
    <w:p w14:paraId="586069B8">
      <w:pPr>
        <w:snapToGrid w:val="0"/>
        <w:spacing w:line="420" w:lineRule="exact"/>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九</w:t>
      </w:r>
      <w:r>
        <w:rPr>
          <w:rFonts w:hint="eastAsia" w:ascii="仿宋" w:hAnsi="仿宋" w:eastAsia="仿宋" w:cs="仿宋"/>
          <w:b/>
          <w:color w:val="000000" w:themeColor="text1"/>
          <w:szCs w:val="21"/>
          <w:highlight w:val="none"/>
          <w14:textFill>
            <w14:solidFill>
              <w14:schemeClr w14:val="tx1"/>
            </w14:solidFill>
          </w14:textFill>
        </w:rPr>
        <w:t>、联系方式：</w:t>
      </w:r>
    </w:p>
    <w:p w14:paraId="699B0D37">
      <w:pPr>
        <w:autoSpaceDE w:val="0"/>
        <w:autoSpaceDN w:val="0"/>
        <w:adjustRightInd w:val="0"/>
        <w:snapToGrid w:val="0"/>
        <w:spacing w:line="6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6" w:name="_Toc31809"/>
      <w:bookmarkStart w:id="7" w:name="_Toc32412"/>
      <w:r>
        <w:rPr>
          <w:rFonts w:hint="eastAsia" w:ascii="仿宋" w:hAnsi="仿宋" w:eastAsia="仿宋" w:cs="仿宋"/>
          <w:color w:val="000000" w:themeColor="text1"/>
          <w:szCs w:val="21"/>
          <w:highlight w:val="none"/>
          <w14:textFill>
            <w14:solidFill>
              <w14:schemeClr w14:val="tx1"/>
            </w14:solidFill>
          </w14:textFill>
        </w:rPr>
        <w:t xml:space="preserve">采 购 人：浙江常新工贸有限公司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采购代理机构：浙江中正工程项目管理有限公司    </w:t>
      </w:r>
    </w:p>
    <w:p w14:paraId="179084CD">
      <w:pPr>
        <w:autoSpaceDE w:val="0"/>
        <w:autoSpaceDN w:val="0"/>
        <w:adjustRightInd w:val="0"/>
        <w:spacing w:line="6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址：浙江省常山县球川镇利川南路 59 号</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地 址: 常山县天马街道石城路4号4楼</w:t>
      </w:r>
    </w:p>
    <w:p w14:paraId="65EC4282">
      <w:pPr>
        <w:autoSpaceDE w:val="0"/>
        <w:autoSpaceDN w:val="0"/>
        <w:adjustRightInd w:val="0"/>
        <w:snapToGrid w:val="0"/>
        <w:spacing w:line="600" w:lineRule="exact"/>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r>
        <w:rPr>
          <w:rFonts w:hint="eastAsia" w:ascii="仿宋" w:hAnsi="仿宋" w:eastAsia="仿宋" w:cs="仿宋"/>
          <w:color w:val="000000" w:themeColor="text1"/>
          <w:szCs w:val="21"/>
          <w:highlight w:val="none"/>
          <w:lang w:val="en-US" w:eastAsia="zh-CN"/>
          <w14:textFill>
            <w14:solidFill>
              <w14:schemeClr w14:val="tx1"/>
            </w14:solidFill>
          </w14:textFill>
        </w:rPr>
        <w:t>徐先生</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联系人：</w:t>
      </w:r>
      <w:r>
        <w:rPr>
          <w:rFonts w:hint="eastAsia" w:ascii="仿宋" w:hAnsi="仿宋" w:eastAsia="仿宋" w:cs="仿宋"/>
          <w:color w:val="000000" w:themeColor="text1"/>
          <w:szCs w:val="21"/>
          <w:highlight w:val="none"/>
          <w:lang w:eastAsia="zh-CN"/>
          <w14:textFill>
            <w14:solidFill>
              <w14:schemeClr w14:val="tx1"/>
            </w14:solidFill>
          </w14:textFill>
        </w:rPr>
        <w:t>姚女士</w:t>
      </w:r>
    </w:p>
    <w:p w14:paraId="2CD7B6BC">
      <w:pPr>
        <w:autoSpaceDE w:val="0"/>
        <w:autoSpaceDN w:val="0"/>
        <w:adjustRightInd w:val="0"/>
        <w:snapToGrid w:val="0"/>
        <w:spacing w:line="600" w:lineRule="exact"/>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sectPr>
          <w:pgSz w:w="11910" w:h="16840"/>
          <w:pgMar w:top="1100" w:right="1134" w:bottom="1460" w:left="1134" w:header="877" w:footer="1263" w:gutter="0"/>
          <w:cols w:space="720" w:num="1"/>
        </w:sectPr>
      </w:pPr>
      <w:r>
        <w:rPr>
          <w:rFonts w:hint="eastAsia" w:ascii="仿宋" w:hAnsi="仿宋" w:eastAsia="仿宋" w:cs="仿宋"/>
          <w:color w:val="000000" w:themeColor="text1"/>
          <w:szCs w:val="21"/>
          <w:highlight w:val="none"/>
          <w14:textFill>
            <w14:solidFill>
              <w14:schemeClr w14:val="tx1"/>
            </w14:solidFill>
          </w14:textFill>
        </w:rPr>
        <w:t xml:space="preserve">联系电话：0570-5083675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联系电话：</w:t>
      </w:r>
      <w:r>
        <w:rPr>
          <w:rFonts w:hint="eastAsia" w:ascii="仿宋" w:hAnsi="仿宋" w:eastAsia="仿宋" w:cs="仿宋"/>
          <w:color w:val="000000" w:themeColor="text1"/>
          <w:szCs w:val="21"/>
          <w:highlight w:val="none"/>
          <w:lang w:val="en-US" w:eastAsia="zh-CN"/>
          <w14:textFill>
            <w14:solidFill>
              <w14:schemeClr w14:val="tx1"/>
            </w14:solidFill>
          </w14:textFill>
        </w:rPr>
        <w:t>19564287929</w:t>
      </w:r>
    </w:p>
    <w:p w14:paraId="409F8C25">
      <w:pPr>
        <w:pageBreakBefore/>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第二章 投标人须知</w:t>
      </w:r>
      <w:bookmarkEnd w:id="6"/>
      <w:bookmarkEnd w:id="7"/>
    </w:p>
    <w:p w14:paraId="75B13A5D">
      <w:pPr>
        <w:jc w:val="center"/>
        <w:outlineLvl w:val="0"/>
        <w:rPr>
          <w:rFonts w:hint="eastAsia" w:ascii="仿宋" w:hAnsi="仿宋" w:eastAsia="仿宋" w:cs="仿宋"/>
          <w:b/>
          <w:color w:val="000000" w:themeColor="text1"/>
          <w:szCs w:val="21"/>
          <w:highlight w:val="none"/>
          <w14:textFill>
            <w14:solidFill>
              <w14:schemeClr w14:val="tx1"/>
            </w14:solidFill>
          </w14:textFill>
        </w:rPr>
      </w:pPr>
      <w:bookmarkStart w:id="8" w:name="_Toc30682"/>
      <w:bookmarkStart w:id="9" w:name="_Toc8770"/>
      <w:r>
        <w:rPr>
          <w:rFonts w:hint="eastAsia" w:ascii="仿宋" w:hAnsi="仿宋" w:eastAsia="仿宋" w:cs="仿宋"/>
          <w:b/>
          <w:color w:val="000000" w:themeColor="text1"/>
          <w:szCs w:val="21"/>
          <w:highlight w:val="none"/>
          <w14:textFill>
            <w14:solidFill>
              <w14:schemeClr w14:val="tx1"/>
            </w14:solidFill>
          </w14:textFill>
        </w:rPr>
        <w:t>一、前附表</w:t>
      </w:r>
      <w:bookmarkEnd w:id="8"/>
      <w:bookmarkEnd w:id="9"/>
    </w:p>
    <w:tbl>
      <w:tblPr>
        <w:tblStyle w:val="22"/>
        <w:tblW w:w="931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000"/>
        <w:gridCol w:w="6540"/>
      </w:tblGrid>
      <w:tr w14:paraId="5C5C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0" w:type="dxa"/>
            <w:noWrap/>
            <w:vAlign w:val="center"/>
          </w:tcPr>
          <w:p w14:paraId="1E75CB2A">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8540" w:type="dxa"/>
            <w:gridSpan w:val="2"/>
            <w:noWrap/>
            <w:vAlign w:val="center"/>
          </w:tcPr>
          <w:p w14:paraId="081497F2">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内容说明及要求</w:t>
            </w:r>
          </w:p>
        </w:tc>
      </w:tr>
      <w:tr w14:paraId="1B0D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0" w:type="dxa"/>
            <w:noWrap/>
            <w:vAlign w:val="center"/>
          </w:tcPr>
          <w:p w14:paraId="60B4DC9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000" w:type="dxa"/>
            <w:noWrap/>
            <w:vAlign w:val="center"/>
          </w:tcPr>
          <w:p w14:paraId="013F75FA">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p>
        </w:tc>
        <w:tc>
          <w:tcPr>
            <w:tcW w:w="6540" w:type="dxa"/>
            <w:noWrap/>
            <w:vAlign w:val="center"/>
          </w:tcPr>
          <w:p w14:paraId="1009C187">
            <w:pP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浙江常新工贸有限公司新址辅助管理人员外包服务项目</w:t>
            </w:r>
          </w:p>
        </w:tc>
      </w:tr>
      <w:tr w14:paraId="4EE9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noWrap/>
            <w:vAlign w:val="center"/>
          </w:tcPr>
          <w:p w14:paraId="5B215E1F">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2000" w:type="dxa"/>
            <w:noWrap/>
            <w:vAlign w:val="center"/>
          </w:tcPr>
          <w:p w14:paraId="52AF7925">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招标人</w:t>
            </w:r>
          </w:p>
        </w:tc>
        <w:tc>
          <w:tcPr>
            <w:tcW w:w="6540" w:type="dxa"/>
            <w:noWrap/>
            <w:vAlign w:val="center"/>
          </w:tcPr>
          <w:p w14:paraId="595A69F6">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名称：浙江常新工贸有限公司</w:t>
            </w:r>
          </w:p>
          <w:p w14:paraId="19481CE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地址：浙江省常山县球川镇利川南路59号 </w:t>
            </w:r>
          </w:p>
          <w:p w14:paraId="54E4AE5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r>
              <w:rPr>
                <w:rFonts w:hint="eastAsia" w:ascii="仿宋" w:hAnsi="仿宋" w:eastAsia="仿宋" w:cs="仿宋"/>
                <w:color w:val="000000" w:themeColor="text1"/>
                <w:szCs w:val="21"/>
                <w:highlight w:val="none"/>
                <w:lang w:eastAsia="zh-CN"/>
                <w14:textFill>
                  <w14:solidFill>
                    <w14:schemeClr w14:val="tx1"/>
                  </w14:solidFill>
                </w14:textFill>
              </w:rPr>
              <w:t>徐先生</w:t>
            </w:r>
            <w:r>
              <w:rPr>
                <w:rFonts w:hint="eastAsia" w:ascii="仿宋" w:hAnsi="仿宋" w:eastAsia="仿宋" w:cs="仿宋"/>
                <w:color w:val="000000" w:themeColor="text1"/>
                <w:szCs w:val="21"/>
                <w:highlight w:val="none"/>
                <w14:textFill>
                  <w14:solidFill>
                    <w14:schemeClr w14:val="tx1"/>
                  </w14:solidFill>
                </w14:textFill>
              </w:rPr>
              <w:t xml:space="preserve">      电话：0570-5083675    </w:t>
            </w:r>
          </w:p>
        </w:tc>
      </w:tr>
      <w:tr w14:paraId="38E4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70" w:type="dxa"/>
            <w:noWrap/>
            <w:vAlign w:val="center"/>
          </w:tcPr>
          <w:p w14:paraId="6E9116FB">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2000" w:type="dxa"/>
            <w:noWrap/>
            <w:vAlign w:val="center"/>
          </w:tcPr>
          <w:p w14:paraId="709BAE5F">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招标代理机构</w:t>
            </w:r>
          </w:p>
        </w:tc>
        <w:tc>
          <w:tcPr>
            <w:tcW w:w="6540" w:type="dxa"/>
            <w:noWrap/>
            <w:vAlign w:val="center"/>
          </w:tcPr>
          <w:p w14:paraId="0627061B">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名称：浙江中正工程项目管理有限公司</w:t>
            </w:r>
          </w:p>
          <w:p w14:paraId="76B883CD">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地址：常山县天马街道石城路4号4楼</w:t>
            </w:r>
          </w:p>
          <w:p w14:paraId="357A83EA">
            <w:pP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r>
              <w:rPr>
                <w:rFonts w:hint="eastAsia" w:ascii="仿宋" w:hAnsi="仿宋" w:eastAsia="仿宋" w:cs="仿宋"/>
                <w:color w:val="000000" w:themeColor="text1"/>
                <w:szCs w:val="21"/>
                <w:highlight w:val="none"/>
                <w:lang w:eastAsia="zh-CN"/>
                <w14:textFill>
                  <w14:solidFill>
                    <w14:schemeClr w14:val="tx1"/>
                  </w14:solidFill>
                </w14:textFill>
              </w:rPr>
              <w:t>姚女士</w:t>
            </w:r>
            <w:r>
              <w:rPr>
                <w:rFonts w:hint="eastAsia" w:ascii="仿宋" w:hAnsi="仿宋" w:eastAsia="仿宋" w:cs="仿宋"/>
                <w:color w:val="000000" w:themeColor="text1"/>
                <w:szCs w:val="21"/>
                <w:highlight w:val="none"/>
                <w14:textFill>
                  <w14:solidFill>
                    <w14:schemeClr w14:val="tx1"/>
                  </w14:solidFill>
                </w14:textFill>
              </w:rPr>
              <w:t xml:space="preserve">      电话：</w:t>
            </w:r>
            <w:r>
              <w:rPr>
                <w:rFonts w:hint="eastAsia" w:ascii="仿宋" w:hAnsi="仿宋" w:eastAsia="仿宋" w:cs="仿宋"/>
                <w:color w:val="000000" w:themeColor="text1"/>
                <w:szCs w:val="21"/>
                <w:highlight w:val="none"/>
                <w:lang w:val="en-US" w:eastAsia="zh-CN"/>
                <w14:textFill>
                  <w14:solidFill>
                    <w14:schemeClr w14:val="tx1"/>
                  </w14:solidFill>
                </w14:textFill>
              </w:rPr>
              <w:t>19564287929</w:t>
            </w:r>
          </w:p>
        </w:tc>
      </w:tr>
      <w:tr w14:paraId="5393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70" w:type="dxa"/>
            <w:noWrap/>
            <w:vAlign w:val="center"/>
          </w:tcPr>
          <w:p w14:paraId="79E4EF27">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2000" w:type="dxa"/>
            <w:noWrap/>
            <w:vAlign w:val="center"/>
          </w:tcPr>
          <w:p w14:paraId="2F39F4C2">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采购内容</w:t>
            </w:r>
          </w:p>
        </w:tc>
        <w:tc>
          <w:tcPr>
            <w:tcW w:w="6540" w:type="dxa"/>
            <w:noWrap/>
            <w:vAlign w:val="center"/>
          </w:tcPr>
          <w:p w14:paraId="2184DD2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浙江常新工贸有限公司新址辅助管理人员外包服务项目，服务内容包括</w:t>
            </w:r>
            <w:r>
              <w:rPr>
                <w:rFonts w:hint="eastAsia" w:ascii="仿宋" w:hAnsi="仿宋" w:eastAsia="仿宋" w:cs="仿宋"/>
                <w:color w:val="000000" w:themeColor="text1"/>
                <w:szCs w:val="21"/>
                <w:highlight w:val="none"/>
                <w:lang w:val="en-US" w:eastAsia="zh-CN"/>
                <w14:textFill>
                  <w14:solidFill>
                    <w14:schemeClr w14:val="tx1"/>
                  </w14:solidFill>
                </w14:textFill>
              </w:rPr>
              <w:t>视频监控巡查岗，巡查执勤岗，夜间瞪眼岗等岗位。</w:t>
            </w:r>
            <w:r>
              <w:rPr>
                <w:rFonts w:hint="eastAsia" w:ascii="仿宋" w:hAnsi="仿宋" w:eastAsia="仿宋" w:cs="仿宋"/>
                <w:color w:val="000000" w:themeColor="text1"/>
                <w:szCs w:val="21"/>
                <w:highlight w:val="none"/>
                <w:lang w:eastAsia="zh-CN"/>
                <w14:textFill>
                  <w14:solidFill>
                    <w14:schemeClr w14:val="tx1"/>
                  </w14:solidFill>
                </w14:textFill>
              </w:rPr>
              <w:t>本项目预算资金：168.54万元，服务期一年。具体内容见第三章采购需求。</w:t>
            </w:r>
          </w:p>
        </w:tc>
      </w:tr>
      <w:tr w14:paraId="72C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noWrap/>
            <w:vAlign w:val="center"/>
          </w:tcPr>
          <w:p w14:paraId="44592120">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2000" w:type="dxa"/>
            <w:noWrap/>
            <w:vAlign w:val="center"/>
          </w:tcPr>
          <w:p w14:paraId="00D387DF">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服务地点</w:t>
            </w:r>
          </w:p>
        </w:tc>
        <w:tc>
          <w:tcPr>
            <w:tcW w:w="6540" w:type="dxa"/>
            <w:noWrap/>
            <w:vAlign w:val="center"/>
          </w:tcPr>
          <w:p w14:paraId="102E7D6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GB"/>
                <w14:textFill>
                  <w14:solidFill>
                    <w14:schemeClr w14:val="tx1"/>
                  </w14:solidFill>
                </w14:textFill>
              </w:rPr>
              <w:t>浙江常新工贸有限公司</w:t>
            </w:r>
          </w:p>
        </w:tc>
      </w:tr>
      <w:tr w14:paraId="1F5C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0" w:type="dxa"/>
            <w:noWrap/>
            <w:vAlign w:val="center"/>
          </w:tcPr>
          <w:p w14:paraId="12CFF5FE">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2000" w:type="dxa"/>
            <w:noWrap/>
            <w:vAlign w:val="center"/>
          </w:tcPr>
          <w:p w14:paraId="05937FED">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合同期限</w:t>
            </w:r>
          </w:p>
        </w:tc>
        <w:tc>
          <w:tcPr>
            <w:tcW w:w="6540" w:type="dxa"/>
            <w:noWrap/>
            <w:vAlign w:val="center"/>
          </w:tcPr>
          <w:p w14:paraId="3BEC4D99">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一年</w:t>
            </w:r>
          </w:p>
        </w:tc>
      </w:tr>
      <w:tr w14:paraId="065C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0" w:type="dxa"/>
            <w:noWrap/>
            <w:vAlign w:val="center"/>
          </w:tcPr>
          <w:p w14:paraId="56130468">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2000" w:type="dxa"/>
            <w:noWrap/>
            <w:vAlign w:val="center"/>
          </w:tcPr>
          <w:p w14:paraId="34116265">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投标人资格要求</w:t>
            </w:r>
          </w:p>
        </w:tc>
        <w:tc>
          <w:tcPr>
            <w:tcW w:w="6540" w:type="dxa"/>
            <w:noWrap/>
            <w:vAlign w:val="center"/>
          </w:tcPr>
          <w:p w14:paraId="45720B7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详见招标公告中的投标人资格要求</w:t>
            </w:r>
          </w:p>
        </w:tc>
      </w:tr>
      <w:tr w14:paraId="6982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0" w:type="dxa"/>
            <w:noWrap/>
            <w:vAlign w:val="center"/>
          </w:tcPr>
          <w:p w14:paraId="5E8C6083">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2000" w:type="dxa"/>
            <w:noWrap/>
            <w:vAlign w:val="center"/>
          </w:tcPr>
          <w:p w14:paraId="63668A9F">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资格审查方式</w:t>
            </w:r>
          </w:p>
        </w:tc>
        <w:tc>
          <w:tcPr>
            <w:tcW w:w="6540" w:type="dxa"/>
            <w:noWrap/>
            <w:vAlign w:val="center"/>
          </w:tcPr>
          <w:p w14:paraId="7151AB32">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实行资格后审</w:t>
            </w:r>
          </w:p>
        </w:tc>
      </w:tr>
      <w:tr w14:paraId="3F7B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70" w:type="dxa"/>
            <w:noWrap/>
            <w:vAlign w:val="center"/>
          </w:tcPr>
          <w:p w14:paraId="255E34CA">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2000" w:type="dxa"/>
            <w:noWrap/>
            <w:vAlign w:val="center"/>
          </w:tcPr>
          <w:p w14:paraId="61211B05">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投标保证金</w:t>
            </w:r>
          </w:p>
        </w:tc>
        <w:tc>
          <w:tcPr>
            <w:tcW w:w="6540" w:type="dxa"/>
            <w:noWrap/>
            <w:vAlign w:val="center"/>
          </w:tcPr>
          <w:p w14:paraId="4E00FF40">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详见招标公告中的投标保证金</w:t>
            </w:r>
          </w:p>
        </w:tc>
      </w:tr>
      <w:tr w14:paraId="1C8E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noWrap/>
            <w:vAlign w:val="center"/>
          </w:tcPr>
          <w:p w14:paraId="29236BCB">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2000" w:type="dxa"/>
            <w:noWrap/>
            <w:vAlign w:val="center"/>
          </w:tcPr>
          <w:p w14:paraId="280E8F53">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答疑与澄清</w:t>
            </w:r>
          </w:p>
        </w:tc>
        <w:tc>
          <w:tcPr>
            <w:tcW w:w="6540" w:type="dxa"/>
            <w:noWrap/>
          </w:tcPr>
          <w:p w14:paraId="0D924AD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投标人如对采购文件有疑问，应当在投标截止时间10日前，以署名的书面形式或扫描件发送采购代理机构指定（QQ邮箱</w:t>
            </w:r>
            <w:r>
              <w:rPr>
                <w:rFonts w:hint="eastAsia" w:ascii="仿宋" w:hAnsi="仿宋" w:eastAsia="仿宋" w:cs="仿宋"/>
                <w:color w:val="000000" w:themeColor="text1"/>
                <w:szCs w:val="21"/>
                <w:highlight w:val="none"/>
                <w:lang w:eastAsia="zh-CN"/>
                <w14:textFill>
                  <w14:solidFill>
                    <w14:schemeClr w14:val="tx1"/>
                  </w14:solidFill>
                </w14:textFill>
              </w:rPr>
              <w:t>414767833</w:t>
            </w:r>
            <w:r>
              <w:rPr>
                <w:rFonts w:hint="eastAsia" w:ascii="仿宋" w:hAnsi="仿宋" w:eastAsia="仿宋" w:cs="仿宋"/>
                <w:color w:val="000000" w:themeColor="text1"/>
                <w:szCs w:val="21"/>
                <w:highlight w:val="none"/>
                <w14:textFill>
                  <w14:solidFill>
                    <w14:schemeClr w14:val="tx1"/>
                  </w14:solidFill>
                </w14:textFill>
              </w:rPr>
              <w:t>@qq.com）；招标人仅对投标人提出的合理疑问进行澄清；招标人将于投标截止时间15天前予以澄清，如果澄清文件发出的时间距投标截止时间不足15天的，则相应延长投标截止时间。澄清文件作为招标文件的构成部分，对各投标人均有约束力。</w:t>
            </w:r>
          </w:p>
          <w:p w14:paraId="01ED542A">
            <w:pP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在本采购信息发布媒体上发布澄清文件，需各投标人自行到网上查看，否则后果自负。</w:t>
            </w:r>
          </w:p>
        </w:tc>
      </w:tr>
      <w:tr w14:paraId="13A2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ign w:val="center"/>
          </w:tcPr>
          <w:p w14:paraId="073506A8">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c>
          <w:tcPr>
            <w:tcW w:w="2000" w:type="dxa"/>
            <w:noWrap/>
            <w:vAlign w:val="center"/>
          </w:tcPr>
          <w:p w14:paraId="6DDF5BA2">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投标文件的组成</w:t>
            </w:r>
          </w:p>
        </w:tc>
        <w:tc>
          <w:tcPr>
            <w:tcW w:w="6540" w:type="dxa"/>
            <w:noWrap/>
            <w:vAlign w:val="center"/>
          </w:tcPr>
          <w:p w14:paraId="0E754770">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资信技术文件、报价文件份数：各正本一份，副本四份。</w:t>
            </w:r>
          </w:p>
        </w:tc>
      </w:tr>
      <w:tr w14:paraId="5622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0" w:type="dxa"/>
            <w:noWrap/>
            <w:vAlign w:val="center"/>
          </w:tcPr>
          <w:p w14:paraId="70CDBF8B">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w:t>
            </w:r>
          </w:p>
        </w:tc>
        <w:tc>
          <w:tcPr>
            <w:tcW w:w="2000" w:type="dxa"/>
            <w:noWrap/>
            <w:vAlign w:val="center"/>
          </w:tcPr>
          <w:p w14:paraId="0F134D6C">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签字和盖章要求</w:t>
            </w:r>
          </w:p>
        </w:tc>
        <w:tc>
          <w:tcPr>
            <w:tcW w:w="6540" w:type="dxa"/>
            <w:noWrap/>
            <w:vAlign w:val="center"/>
          </w:tcPr>
          <w:p w14:paraId="43D769B9">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资信技术文件、投标报价文件由投标人在规定位置盖章并由法定代表人或法定代表人的授权委托人签署。投标文件如有涂改、行间插字或删除，改动之处应由授权代表签字或盖投标单位公章。</w:t>
            </w:r>
          </w:p>
        </w:tc>
      </w:tr>
      <w:tr w14:paraId="02B1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ign w:val="center"/>
          </w:tcPr>
          <w:p w14:paraId="22F33650">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w:t>
            </w:r>
          </w:p>
        </w:tc>
        <w:tc>
          <w:tcPr>
            <w:tcW w:w="2000" w:type="dxa"/>
            <w:noWrap/>
            <w:vAlign w:val="center"/>
          </w:tcPr>
          <w:p w14:paraId="0E1A447D">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装订要求</w:t>
            </w:r>
          </w:p>
        </w:tc>
        <w:tc>
          <w:tcPr>
            <w:tcW w:w="6540" w:type="dxa"/>
            <w:noWrap/>
            <w:vAlign w:val="center"/>
          </w:tcPr>
          <w:p w14:paraId="15D69C95">
            <w:pP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按照投标人须知中规定的投标文件组成内容、要求装订：</w:t>
            </w:r>
          </w:p>
          <w:p w14:paraId="31DB38B9">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资信技术文件、报价文件内容分别胶装成册，不得采用活页装订</w:t>
            </w:r>
            <w:r>
              <w:rPr>
                <w:rFonts w:hint="eastAsia" w:ascii="仿宋" w:hAnsi="仿宋" w:eastAsia="仿宋" w:cs="仿宋"/>
                <w:color w:val="000000" w:themeColor="text1"/>
                <w:szCs w:val="21"/>
                <w:highlight w:val="none"/>
                <w14:textFill>
                  <w14:solidFill>
                    <w14:schemeClr w14:val="tx1"/>
                  </w14:solidFill>
                </w14:textFill>
              </w:rPr>
              <w:t>（订书机装订属于活页装订）</w:t>
            </w:r>
            <w:r>
              <w:rPr>
                <w:rFonts w:hint="eastAsia" w:ascii="仿宋" w:hAnsi="仿宋" w:eastAsia="仿宋" w:cs="仿宋"/>
                <w:b w:val="0"/>
                <w:bCs/>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建议投标人尽量双面使用纸张。</w:t>
            </w:r>
          </w:p>
        </w:tc>
      </w:tr>
      <w:tr w14:paraId="55F8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70" w:type="dxa"/>
            <w:noWrap/>
            <w:vAlign w:val="center"/>
          </w:tcPr>
          <w:p w14:paraId="47C83311">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w:t>
            </w:r>
          </w:p>
        </w:tc>
        <w:tc>
          <w:tcPr>
            <w:tcW w:w="2000" w:type="dxa"/>
            <w:noWrap/>
            <w:vAlign w:val="center"/>
          </w:tcPr>
          <w:p w14:paraId="29C7F18E">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包装封面上写明</w:t>
            </w:r>
          </w:p>
        </w:tc>
        <w:tc>
          <w:tcPr>
            <w:tcW w:w="6540" w:type="dxa"/>
            <w:noWrap/>
            <w:vAlign w:val="center"/>
          </w:tcPr>
          <w:p w14:paraId="01CD30D4">
            <w:pP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招标项目名称: </w:t>
            </w:r>
            <w:r>
              <w:rPr>
                <w:rFonts w:hint="eastAsia" w:ascii="仿宋" w:hAnsi="仿宋" w:eastAsia="仿宋" w:cs="仿宋"/>
                <w:color w:val="000000" w:themeColor="text1"/>
                <w:szCs w:val="21"/>
                <w:highlight w:val="none"/>
                <w:lang w:eastAsia="zh-CN"/>
                <w14:textFill>
                  <w14:solidFill>
                    <w14:schemeClr w14:val="tx1"/>
                  </w14:solidFill>
                </w14:textFill>
              </w:rPr>
              <w:t>浙江常新工贸有限公司新址辅助管理人员外包服务项目</w:t>
            </w:r>
          </w:p>
          <w:p w14:paraId="6B765826">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投标文件名称：“报价文件”或“资信技术文件”</w:t>
            </w:r>
          </w:p>
          <w:p w14:paraId="39BC9FB2">
            <w:pP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14:textFill>
                  <w14:solidFill>
                    <w14:schemeClr w14:val="tx1"/>
                  </w14:solidFill>
                </w14:textFill>
              </w:rPr>
              <w:t>（投标人全称）</w:t>
            </w:r>
          </w:p>
          <w:p w14:paraId="235A9267">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在投标截止时间前不得开启</w:t>
            </w:r>
          </w:p>
        </w:tc>
      </w:tr>
      <w:tr w14:paraId="6167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70" w:type="dxa"/>
            <w:noWrap/>
            <w:vAlign w:val="center"/>
          </w:tcPr>
          <w:p w14:paraId="2F6A49C1">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w:t>
            </w:r>
          </w:p>
        </w:tc>
        <w:tc>
          <w:tcPr>
            <w:tcW w:w="2000" w:type="dxa"/>
            <w:noWrap/>
            <w:vAlign w:val="center"/>
          </w:tcPr>
          <w:p w14:paraId="2A826532">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投标截止时间及地点</w:t>
            </w:r>
          </w:p>
        </w:tc>
        <w:tc>
          <w:tcPr>
            <w:tcW w:w="6540" w:type="dxa"/>
            <w:noWrap/>
          </w:tcPr>
          <w:p w14:paraId="4FC36854">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时间：</w:t>
            </w:r>
            <w:r>
              <w:rPr>
                <w:rFonts w:hint="eastAsia" w:ascii="仿宋" w:hAnsi="仿宋" w:eastAsia="仿宋" w:cs="仿宋"/>
                <w:color w:val="000000" w:themeColor="text1"/>
                <w:sz w:val="21"/>
                <w:szCs w:val="21"/>
                <w:highlight w:val="none"/>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日</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时</w:t>
            </w: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w:t>
            </w:r>
          </w:p>
          <w:p w14:paraId="170186F8">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地点：浙江中正工程项目管理有限公司（常山县天马街道石城路4号4楼）开标室</w:t>
            </w:r>
          </w:p>
        </w:tc>
      </w:tr>
      <w:tr w14:paraId="7AC1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70" w:type="dxa"/>
            <w:noWrap/>
            <w:vAlign w:val="center"/>
          </w:tcPr>
          <w:p w14:paraId="73E0279D">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p>
        </w:tc>
        <w:tc>
          <w:tcPr>
            <w:tcW w:w="2000" w:type="dxa"/>
            <w:noWrap/>
            <w:vAlign w:val="center"/>
          </w:tcPr>
          <w:p w14:paraId="0D0CFCC9">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开标时间及地点</w:t>
            </w:r>
          </w:p>
        </w:tc>
        <w:tc>
          <w:tcPr>
            <w:tcW w:w="6540" w:type="dxa"/>
            <w:noWrap/>
          </w:tcPr>
          <w:p w14:paraId="4992D8C7">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时间：</w:t>
            </w:r>
            <w:r>
              <w:rPr>
                <w:rFonts w:hint="eastAsia" w:ascii="仿宋" w:hAnsi="仿宋" w:eastAsia="仿宋" w:cs="仿宋"/>
                <w:color w:val="000000" w:themeColor="text1"/>
                <w:sz w:val="21"/>
                <w:szCs w:val="21"/>
                <w:highlight w:val="none"/>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日</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时</w:t>
            </w: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w:t>
            </w:r>
          </w:p>
          <w:p w14:paraId="28E0931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地点：浙江中正工程项目管理有限公司（常山县天马街道石城路4号4楼 ）开标室</w:t>
            </w:r>
          </w:p>
        </w:tc>
      </w:tr>
      <w:tr w14:paraId="4D88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0" w:type="dxa"/>
            <w:noWrap/>
            <w:vAlign w:val="center"/>
          </w:tcPr>
          <w:p w14:paraId="5DDBCAF9">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w:t>
            </w:r>
          </w:p>
        </w:tc>
        <w:tc>
          <w:tcPr>
            <w:tcW w:w="2000" w:type="dxa"/>
            <w:noWrap/>
            <w:vAlign w:val="center"/>
          </w:tcPr>
          <w:p w14:paraId="0B05F49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评标办法及评分标准</w:t>
            </w:r>
          </w:p>
        </w:tc>
        <w:tc>
          <w:tcPr>
            <w:tcW w:w="6540" w:type="dxa"/>
            <w:noWrap/>
            <w:vAlign w:val="center"/>
          </w:tcPr>
          <w:p w14:paraId="77A06DA5">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采用综合评分法</w:t>
            </w:r>
          </w:p>
        </w:tc>
      </w:tr>
      <w:tr w14:paraId="36CF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70" w:type="dxa"/>
            <w:noWrap/>
            <w:vAlign w:val="center"/>
          </w:tcPr>
          <w:p w14:paraId="07839BAD">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2000" w:type="dxa"/>
            <w:noWrap/>
            <w:vAlign w:val="center"/>
          </w:tcPr>
          <w:p w14:paraId="5DD52E7E">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评标委员会的</w:t>
            </w:r>
          </w:p>
          <w:p w14:paraId="46CD0B36">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组建</w:t>
            </w:r>
          </w:p>
        </w:tc>
        <w:tc>
          <w:tcPr>
            <w:tcW w:w="6540" w:type="dxa"/>
            <w:noWrap/>
            <w:vAlign w:val="center"/>
          </w:tcPr>
          <w:p w14:paraId="5878BF58">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评标委员会构成：评标委员会成员5人，其中招标人代表1人，专家4人</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并按规定随机抽取确定。</w:t>
            </w:r>
          </w:p>
        </w:tc>
      </w:tr>
      <w:tr w14:paraId="5E3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0" w:type="dxa"/>
            <w:noWrap/>
            <w:vAlign w:val="center"/>
          </w:tcPr>
          <w:p w14:paraId="66D09F8A">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19</w:t>
            </w:r>
          </w:p>
        </w:tc>
        <w:tc>
          <w:tcPr>
            <w:tcW w:w="2000" w:type="dxa"/>
            <w:noWrap/>
            <w:vAlign w:val="center"/>
          </w:tcPr>
          <w:p w14:paraId="5583C2A2">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投标有效期</w:t>
            </w:r>
          </w:p>
        </w:tc>
        <w:tc>
          <w:tcPr>
            <w:tcW w:w="6540" w:type="dxa"/>
            <w:noWrap/>
            <w:vAlign w:val="center"/>
          </w:tcPr>
          <w:p w14:paraId="27A99D1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90日历天（从投标截止之日算起）</w:t>
            </w:r>
          </w:p>
        </w:tc>
      </w:tr>
      <w:tr w14:paraId="001B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vAlign w:val="center"/>
          </w:tcPr>
          <w:p w14:paraId="143EEA31">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2000" w:type="dxa"/>
            <w:noWrap/>
            <w:vAlign w:val="center"/>
          </w:tcPr>
          <w:p w14:paraId="22A1CC29">
            <w:pPr>
              <w:spacing w:line="400" w:lineRule="exact"/>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中标人确定</w:t>
            </w:r>
          </w:p>
        </w:tc>
        <w:tc>
          <w:tcPr>
            <w:tcW w:w="6540" w:type="dxa"/>
            <w:noWrap/>
            <w:vAlign w:val="center"/>
          </w:tcPr>
          <w:p w14:paraId="1BD70ED9">
            <w:pP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本项目由评标委员会推荐1名中标候选人</w:t>
            </w:r>
          </w:p>
        </w:tc>
      </w:tr>
      <w:tr w14:paraId="6FEB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70" w:type="dxa"/>
            <w:noWrap/>
            <w:vAlign w:val="center"/>
          </w:tcPr>
          <w:p w14:paraId="1A6D2310">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p>
        </w:tc>
        <w:tc>
          <w:tcPr>
            <w:tcW w:w="2000" w:type="dxa"/>
            <w:noWrap/>
            <w:vAlign w:val="center"/>
          </w:tcPr>
          <w:p w14:paraId="1052DF88">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招标结果公示期限</w:t>
            </w:r>
          </w:p>
        </w:tc>
        <w:tc>
          <w:tcPr>
            <w:tcW w:w="6540" w:type="dxa"/>
            <w:noWrap/>
            <w:vAlign w:val="center"/>
          </w:tcPr>
          <w:p w14:paraId="4AB6AD0A">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3天</w:t>
            </w:r>
          </w:p>
        </w:tc>
      </w:tr>
      <w:tr w14:paraId="79C6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0" w:type="dxa"/>
            <w:noWrap/>
            <w:vAlign w:val="center"/>
          </w:tcPr>
          <w:p w14:paraId="153D989A">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w:t>
            </w:r>
          </w:p>
        </w:tc>
        <w:tc>
          <w:tcPr>
            <w:tcW w:w="2000" w:type="dxa"/>
            <w:noWrap/>
            <w:vAlign w:val="center"/>
          </w:tcPr>
          <w:p w14:paraId="5E356BE3">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签订合同</w:t>
            </w:r>
          </w:p>
        </w:tc>
        <w:tc>
          <w:tcPr>
            <w:tcW w:w="6540" w:type="dxa"/>
            <w:noWrap/>
            <w:vAlign w:val="center"/>
          </w:tcPr>
          <w:p w14:paraId="2E97FE44">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在中标、成交通知书发出之日起30日内，按照采购文件确定的事项及投标文件承诺签订合同。</w:t>
            </w:r>
          </w:p>
        </w:tc>
      </w:tr>
      <w:tr w14:paraId="47C1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70" w:type="dxa"/>
            <w:noWrap/>
            <w:vAlign w:val="center"/>
          </w:tcPr>
          <w:p w14:paraId="08AD8BA4">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w:t>
            </w:r>
          </w:p>
        </w:tc>
        <w:tc>
          <w:tcPr>
            <w:tcW w:w="2000" w:type="dxa"/>
            <w:noWrap/>
            <w:vAlign w:val="center"/>
          </w:tcPr>
          <w:p w14:paraId="49DA61D3">
            <w:pPr>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bookmarkStart w:id="10" w:name="OLE_LINK10"/>
            <w:r>
              <w:rPr>
                <w:rFonts w:hint="eastAsia" w:ascii="仿宋" w:hAnsi="仿宋" w:eastAsia="仿宋" w:cs="仿宋"/>
                <w:color w:val="000000" w:themeColor="text1"/>
                <w:szCs w:val="21"/>
                <w:highlight w:val="none"/>
                <w14:textFill>
                  <w14:solidFill>
                    <w14:schemeClr w14:val="tx1"/>
                  </w14:solidFill>
                </w14:textFill>
              </w:rPr>
              <w:t>履约保证金</w:t>
            </w:r>
            <w:bookmarkEnd w:id="10"/>
          </w:p>
        </w:tc>
        <w:tc>
          <w:tcPr>
            <w:tcW w:w="6540" w:type="dxa"/>
            <w:noWrap/>
            <w:vAlign w:val="center"/>
          </w:tcPr>
          <w:p w14:paraId="129C51D8">
            <w:pPr>
              <w:pStyle w:val="2"/>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1.履约担保的形式：支票、汇票、转账、保函，履约担保缴纳单位名称与投标单位名称一致（不计利息）。</w:t>
            </w:r>
          </w:p>
          <w:p w14:paraId="48C7F9E9">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2.履约担保的金额</w:t>
            </w:r>
            <w:r>
              <w:rPr>
                <w:rFonts w:hint="eastAsia" w:ascii="仿宋" w:hAnsi="仿宋" w:eastAsia="仿宋" w:cs="仿宋"/>
                <w:b w:val="0"/>
                <w:bCs w:val="0"/>
                <w:color w:val="000000" w:themeColor="text1"/>
                <w:szCs w:val="21"/>
                <w:highlight w:val="none"/>
                <w14:textFill>
                  <w14:solidFill>
                    <w14:schemeClr w14:val="tx1"/>
                  </w14:solidFill>
                </w14:textFill>
              </w:rPr>
              <w:t>：</w:t>
            </w:r>
            <w:r>
              <w:rPr>
                <w:rFonts w:hint="eastAsia" w:ascii="仿宋" w:hAnsi="仿宋" w:eastAsia="仿宋" w:cs="仿宋"/>
                <w:b w:val="0"/>
                <w:bCs w:val="0"/>
                <w:color w:val="000000" w:themeColor="text1"/>
                <w:szCs w:val="21"/>
                <w:highlight w:val="none"/>
                <w:lang w:eastAsia="zh-CN"/>
                <w14:textFill>
                  <w14:solidFill>
                    <w14:schemeClr w14:val="tx1"/>
                  </w14:solidFill>
                </w14:textFill>
              </w:rPr>
              <w:t>每</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标项</w:t>
            </w:r>
            <w:r>
              <w:rPr>
                <w:rFonts w:hint="eastAsia" w:ascii="仿宋" w:hAnsi="仿宋" w:eastAsia="仿宋" w:cs="仿宋"/>
                <w:b w:val="0"/>
                <w:bCs w:val="0"/>
                <w:color w:val="000000" w:themeColor="text1"/>
                <w:szCs w:val="21"/>
                <w:highlight w:val="none"/>
                <w:lang w:eastAsia="zh-CN"/>
                <w14:textFill>
                  <w14:solidFill>
                    <w14:schemeClr w14:val="tx1"/>
                  </w14:solidFill>
                </w14:textFill>
              </w:rPr>
              <w:t>按</w:t>
            </w:r>
            <w:r>
              <w:rPr>
                <w:rFonts w:hint="eastAsia" w:ascii="仿宋" w:hAnsi="仿宋" w:eastAsia="仿宋" w:cs="仿宋"/>
                <w:b w:val="0"/>
                <w:bCs w:val="0"/>
                <w:color w:val="000000" w:themeColor="text1"/>
                <w:szCs w:val="21"/>
                <w:highlight w:val="none"/>
                <w14:textFill>
                  <w14:solidFill>
                    <w14:schemeClr w14:val="tx1"/>
                  </w14:solidFill>
                </w14:textFill>
              </w:rPr>
              <w:t>中标价的</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w:t>
            </w:r>
            <w:r>
              <w:rPr>
                <w:rFonts w:hint="eastAsia" w:ascii="仿宋" w:hAnsi="仿宋" w:eastAsia="仿宋" w:cs="仿宋"/>
                <w:b w:val="0"/>
                <w:bCs w:val="0"/>
                <w:color w:val="000000" w:themeColor="text1"/>
                <w:szCs w:val="21"/>
                <w:highlight w:val="none"/>
                <w14:textFill>
                  <w14:solidFill>
                    <w14:schemeClr w14:val="tx1"/>
                  </w14:solidFill>
                </w14:textFill>
              </w:rPr>
              <w:t>%（取整数）。</w:t>
            </w:r>
          </w:p>
        </w:tc>
      </w:tr>
      <w:tr w14:paraId="64A5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70" w:type="dxa"/>
            <w:noWrap/>
            <w:vAlign w:val="center"/>
          </w:tcPr>
          <w:p w14:paraId="0EE2C8B6">
            <w:pPr>
              <w:spacing w:line="4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2000" w:type="dxa"/>
            <w:noWrap/>
            <w:vAlign w:val="center"/>
          </w:tcPr>
          <w:p w14:paraId="3614E153">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代理费</w:t>
            </w:r>
          </w:p>
        </w:tc>
        <w:tc>
          <w:tcPr>
            <w:tcW w:w="6540" w:type="dxa"/>
            <w:noWrap/>
            <w:vAlign w:val="center"/>
          </w:tcPr>
          <w:p w14:paraId="5EBA8C8E">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本项目采购代理费由成交人承担，采购代理服务费收费标准按照下表：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6"/>
              <w:gridCol w:w="1105"/>
              <w:gridCol w:w="2129"/>
              <w:gridCol w:w="1308"/>
            </w:tblGrid>
            <w:tr w14:paraId="14D8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dxa"/>
                  <w:noWrap w:val="0"/>
                  <w:vAlign w:val="center"/>
                </w:tcPr>
                <w:p w14:paraId="3CA6614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296" w:type="dxa"/>
                  <w:noWrap w:val="0"/>
                  <w:vAlign w:val="center"/>
                </w:tcPr>
                <w:p w14:paraId="6A860ED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105" w:type="dxa"/>
                  <w:noWrap w:val="0"/>
                  <w:vAlign w:val="center"/>
                </w:tcPr>
                <w:p w14:paraId="5C746B2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收费标准</w:t>
                  </w:r>
                </w:p>
              </w:tc>
              <w:tc>
                <w:tcPr>
                  <w:tcW w:w="2129" w:type="dxa"/>
                  <w:noWrap w:val="0"/>
                  <w:vAlign w:val="center"/>
                </w:tcPr>
                <w:p w14:paraId="07509AA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区间</w:t>
                  </w:r>
                </w:p>
              </w:tc>
              <w:tc>
                <w:tcPr>
                  <w:tcW w:w="1308" w:type="dxa"/>
                  <w:noWrap w:val="0"/>
                  <w:vAlign w:val="center"/>
                </w:tcPr>
                <w:p w14:paraId="5013397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结算价（元）</w:t>
                  </w:r>
                </w:p>
              </w:tc>
            </w:tr>
            <w:tr w14:paraId="2348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13" w:type="dxa"/>
                  <w:vMerge w:val="restart"/>
                  <w:noWrap w:val="0"/>
                  <w:vAlign w:val="center"/>
                </w:tcPr>
                <w:p w14:paraId="3897100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96" w:type="dxa"/>
                  <w:vMerge w:val="restart"/>
                  <w:noWrap w:val="0"/>
                  <w:vAlign w:val="center"/>
                </w:tcPr>
                <w:p w14:paraId="3F29DE7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招标代理服务费</w:t>
                  </w:r>
                </w:p>
              </w:tc>
              <w:tc>
                <w:tcPr>
                  <w:tcW w:w="1105" w:type="dxa"/>
                  <w:vMerge w:val="restart"/>
                  <w:noWrap w:val="0"/>
                  <w:vAlign w:val="center"/>
                </w:tcPr>
                <w:p w14:paraId="3DAF374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w:t>
                  </w:r>
                </w:p>
              </w:tc>
              <w:tc>
                <w:tcPr>
                  <w:tcW w:w="2129" w:type="dxa"/>
                  <w:noWrap w:val="0"/>
                  <w:vAlign w:val="center"/>
                </w:tcPr>
                <w:p w14:paraId="6F3A27A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预算金额10-50万元（不含）</w:t>
                  </w:r>
                </w:p>
              </w:tc>
              <w:tc>
                <w:tcPr>
                  <w:tcW w:w="1308" w:type="dxa"/>
                  <w:noWrap w:val="0"/>
                  <w:vAlign w:val="center"/>
                </w:tcPr>
                <w:p w14:paraId="2D8E82EC">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4113</w:t>
                  </w:r>
                </w:p>
              </w:tc>
            </w:tr>
            <w:tr w14:paraId="6C68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13" w:type="dxa"/>
                  <w:vMerge w:val="continue"/>
                  <w:noWrap w:val="0"/>
                  <w:vAlign w:val="center"/>
                </w:tcPr>
                <w:p w14:paraId="09B5B651">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vMerge w:val="continue"/>
                  <w:noWrap w:val="0"/>
                  <w:vAlign w:val="center"/>
                </w:tcPr>
                <w:p w14:paraId="3336A7B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105" w:type="dxa"/>
                  <w:vMerge w:val="continue"/>
                  <w:noWrap w:val="0"/>
                  <w:vAlign w:val="center"/>
                </w:tcPr>
                <w:p w14:paraId="7596897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kern w:val="0"/>
                      <w:sz w:val="21"/>
                      <w:szCs w:val="21"/>
                      <w:highlight w:val="none"/>
                    </w:rPr>
                  </w:pPr>
                </w:p>
              </w:tc>
              <w:tc>
                <w:tcPr>
                  <w:tcW w:w="2129" w:type="dxa"/>
                  <w:noWrap w:val="0"/>
                  <w:vAlign w:val="center"/>
                </w:tcPr>
                <w:p w14:paraId="26C1C31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预算金额50-100万元（不含）</w:t>
                  </w:r>
                </w:p>
              </w:tc>
              <w:tc>
                <w:tcPr>
                  <w:tcW w:w="1308" w:type="dxa"/>
                  <w:noWrap w:val="0"/>
                  <w:vAlign w:val="center"/>
                </w:tcPr>
                <w:p w14:paraId="213E6D8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6500</w:t>
                  </w:r>
                </w:p>
              </w:tc>
            </w:tr>
            <w:tr w14:paraId="07B4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13" w:type="dxa"/>
                  <w:vMerge w:val="continue"/>
                  <w:noWrap w:val="0"/>
                  <w:vAlign w:val="center"/>
                </w:tcPr>
                <w:p w14:paraId="2074B63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vMerge w:val="continue"/>
                  <w:noWrap w:val="0"/>
                  <w:vAlign w:val="center"/>
                </w:tcPr>
                <w:p w14:paraId="233FAC8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105" w:type="dxa"/>
                  <w:vMerge w:val="continue"/>
                  <w:noWrap w:val="0"/>
                  <w:vAlign w:val="center"/>
                </w:tcPr>
                <w:p w14:paraId="6C0F9F3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kern w:val="0"/>
                      <w:sz w:val="21"/>
                      <w:szCs w:val="21"/>
                      <w:highlight w:val="none"/>
                    </w:rPr>
                  </w:pPr>
                </w:p>
              </w:tc>
              <w:tc>
                <w:tcPr>
                  <w:tcW w:w="2129" w:type="dxa"/>
                  <w:noWrap w:val="0"/>
                  <w:vAlign w:val="center"/>
                </w:tcPr>
                <w:p w14:paraId="4415260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预算金额100-300万元（不含）</w:t>
                  </w:r>
                </w:p>
              </w:tc>
              <w:tc>
                <w:tcPr>
                  <w:tcW w:w="1308" w:type="dxa"/>
                  <w:noWrap w:val="0"/>
                  <w:vAlign w:val="center"/>
                </w:tcPr>
                <w:p w14:paraId="75DC35D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12412</w:t>
                  </w:r>
                </w:p>
              </w:tc>
            </w:tr>
            <w:tr w14:paraId="212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13" w:type="dxa"/>
                  <w:vMerge w:val="continue"/>
                  <w:noWrap w:val="0"/>
                  <w:vAlign w:val="center"/>
                </w:tcPr>
                <w:p w14:paraId="4EBD591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vMerge w:val="continue"/>
                  <w:noWrap w:val="0"/>
                  <w:vAlign w:val="center"/>
                </w:tcPr>
                <w:p w14:paraId="28FDE5A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105" w:type="dxa"/>
                  <w:vMerge w:val="continue"/>
                  <w:noWrap w:val="0"/>
                  <w:vAlign w:val="center"/>
                </w:tcPr>
                <w:p w14:paraId="56085FF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kern w:val="0"/>
                      <w:sz w:val="21"/>
                      <w:szCs w:val="21"/>
                      <w:highlight w:val="none"/>
                    </w:rPr>
                  </w:pPr>
                </w:p>
              </w:tc>
              <w:tc>
                <w:tcPr>
                  <w:tcW w:w="2129" w:type="dxa"/>
                  <w:noWrap w:val="0"/>
                  <w:vAlign w:val="center"/>
                </w:tcPr>
                <w:p w14:paraId="612CD7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预算金额300-500万元（不含）</w:t>
                  </w:r>
                </w:p>
              </w:tc>
              <w:tc>
                <w:tcPr>
                  <w:tcW w:w="1308" w:type="dxa"/>
                  <w:noWrap w:val="0"/>
                  <w:vAlign w:val="center"/>
                </w:tcPr>
                <w:p w14:paraId="0C860FC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19800</w:t>
                  </w:r>
                </w:p>
              </w:tc>
            </w:tr>
            <w:tr w14:paraId="457E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13" w:type="dxa"/>
                  <w:vMerge w:val="continue"/>
                  <w:noWrap w:val="0"/>
                  <w:vAlign w:val="center"/>
                </w:tcPr>
                <w:p w14:paraId="2AFA7F61">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vMerge w:val="continue"/>
                  <w:noWrap w:val="0"/>
                  <w:vAlign w:val="center"/>
                </w:tcPr>
                <w:p w14:paraId="42FB5E79">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105" w:type="dxa"/>
                  <w:vMerge w:val="continue"/>
                  <w:noWrap w:val="0"/>
                  <w:vAlign w:val="center"/>
                </w:tcPr>
                <w:p w14:paraId="694FEC2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2129" w:type="dxa"/>
                  <w:noWrap w:val="0"/>
                  <w:vAlign w:val="center"/>
                </w:tcPr>
                <w:p w14:paraId="01528F8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预算金额500-800万元（不含）</w:t>
                  </w:r>
                </w:p>
              </w:tc>
              <w:tc>
                <w:tcPr>
                  <w:tcW w:w="1308" w:type="dxa"/>
                  <w:noWrap w:val="0"/>
                  <w:vAlign w:val="center"/>
                </w:tcPr>
                <w:p w14:paraId="5A585BC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24850</w:t>
                  </w:r>
                </w:p>
              </w:tc>
            </w:tr>
            <w:tr w14:paraId="4892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13" w:type="dxa"/>
                  <w:vMerge w:val="continue"/>
                  <w:noWrap w:val="0"/>
                  <w:vAlign w:val="center"/>
                </w:tcPr>
                <w:p w14:paraId="1528B0D9">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vMerge w:val="continue"/>
                  <w:noWrap w:val="0"/>
                  <w:vAlign w:val="center"/>
                </w:tcPr>
                <w:p w14:paraId="34B3DE8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105" w:type="dxa"/>
                  <w:vMerge w:val="continue"/>
                  <w:noWrap w:val="0"/>
                  <w:vAlign w:val="center"/>
                </w:tcPr>
                <w:p w14:paraId="22B96AE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2129" w:type="dxa"/>
                  <w:noWrap w:val="0"/>
                  <w:vAlign w:val="center"/>
                </w:tcPr>
                <w:p w14:paraId="3FAFC3E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预算金额800-1000万（不含）</w:t>
                  </w:r>
                </w:p>
              </w:tc>
              <w:tc>
                <w:tcPr>
                  <w:tcW w:w="1308" w:type="dxa"/>
                  <w:noWrap w:val="0"/>
                  <w:vAlign w:val="center"/>
                </w:tcPr>
                <w:p w14:paraId="65584A2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29900</w:t>
                  </w:r>
                </w:p>
              </w:tc>
            </w:tr>
          </w:tbl>
          <w:p w14:paraId="5DE66F1A">
            <w:pPr>
              <w:pStyle w:val="3"/>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auto"/>
                <w:sz w:val="21"/>
                <w:szCs w:val="21"/>
                <w:highlight w:val="none"/>
              </w:rPr>
              <w:t>成交人在领取中标通知书时支付给代理机构。本项费用响应人在报价时请予以综合考虑。</w:t>
            </w:r>
          </w:p>
        </w:tc>
      </w:tr>
      <w:tr w14:paraId="6C97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70" w:type="dxa"/>
            <w:noWrap/>
            <w:vAlign w:val="center"/>
          </w:tcPr>
          <w:p w14:paraId="179AE202">
            <w:pPr>
              <w:spacing w:line="400" w:lineRule="exact"/>
              <w:jc w:val="center"/>
              <w:rPr>
                <w:rFonts w:hint="eastAsia" w:ascii="仿宋" w:hAnsi="仿宋" w:eastAsia="仿宋" w:cs="仿宋"/>
                <w:color w:val="000000" w:themeColor="text1"/>
                <w:szCs w:val="21"/>
                <w:highlight w:val="none"/>
                <w:lang w:val="en-US" w:eastAsia="zh-CN"/>
                <w14:textFill>
                  <w14:solidFill>
                    <w14:schemeClr w14:val="tx1"/>
                  </w14:solidFill>
                </w14:textFill>
              </w:rPr>
            </w:pPr>
            <w:bookmarkStart w:id="11" w:name="_Toc304283803"/>
            <w:r>
              <w:rPr>
                <w:rFonts w:hint="eastAsia" w:ascii="仿宋" w:hAnsi="仿宋" w:eastAsia="仿宋" w:cs="仿宋"/>
                <w:color w:val="000000" w:themeColor="text1"/>
                <w:szCs w:val="21"/>
                <w:highlight w:val="none"/>
                <w:lang w:val="en-US" w:eastAsia="zh-CN"/>
                <w14:textFill>
                  <w14:solidFill>
                    <w14:schemeClr w14:val="tx1"/>
                  </w14:solidFill>
                </w14:textFill>
              </w:rPr>
              <w:t>25</w:t>
            </w:r>
          </w:p>
        </w:tc>
        <w:tc>
          <w:tcPr>
            <w:tcW w:w="2000" w:type="dxa"/>
            <w:noWrap/>
            <w:vAlign w:val="center"/>
          </w:tcPr>
          <w:p w14:paraId="5A0190EC">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评审公示</w:t>
            </w:r>
          </w:p>
        </w:tc>
        <w:tc>
          <w:tcPr>
            <w:tcW w:w="6540" w:type="dxa"/>
            <w:noWrap/>
            <w:vAlign w:val="center"/>
          </w:tcPr>
          <w:p w14:paraId="4C2E13C4">
            <w:pPr>
              <w:pStyle w:val="3"/>
              <w:ind w:left="0" w:leftChars="0" w:firstLine="0" w:firstLineChars="0"/>
              <w:rPr>
                <w:rFonts w:hint="eastAsia" w:ascii="仿宋" w:hAnsi="仿宋" w:eastAsia="仿宋" w:cs="仿宋"/>
                <w:b/>
                <w:color w:val="auto"/>
                <w:sz w:val="21"/>
                <w:szCs w:val="21"/>
                <w:highlight w:val="none"/>
              </w:rPr>
            </w:pPr>
            <w:r>
              <w:rPr>
                <w:rFonts w:hint="eastAsia" w:ascii="仿宋" w:hAnsi="仿宋" w:eastAsia="仿宋" w:cs="仿宋"/>
                <w:b w:val="0"/>
                <w:bCs/>
                <w:color w:val="auto"/>
                <w:sz w:val="21"/>
                <w:szCs w:val="21"/>
                <w:highlight w:val="none"/>
              </w:rPr>
              <w:t>评审结束后2天内，评审结果于浙江政府采购网-其他非政府采购公告公示，公示期3日。如供应商对评审结果、成交候选人等内容有质疑或异议的，请于公示期内以书面形式提出，传真：0570-</w:t>
            </w:r>
            <w:r>
              <w:rPr>
                <w:rFonts w:hint="eastAsia" w:ascii="仿宋" w:hAnsi="仿宋" w:eastAsia="仿宋" w:cs="仿宋"/>
                <w:b w:val="0"/>
                <w:bCs/>
                <w:color w:val="auto"/>
                <w:sz w:val="21"/>
                <w:szCs w:val="21"/>
                <w:highlight w:val="none"/>
                <w:lang w:val="en-US" w:eastAsia="zh-CN"/>
              </w:rPr>
              <w:t>5015006</w:t>
            </w:r>
            <w:r>
              <w:rPr>
                <w:rFonts w:hint="eastAsia" w:ascii="仿宋" w:hAnsi="仿宋" w:eastAsia="仿宋" w:cs="仿宋"/>
                <w:b w:val="0"/>
                <w:bCs/>
                <w:color w:val="auto"/>
                <w:sz w:val="21"/>
                <w:szCs w:val="21"/>
                <w:highlight w:val="none"/>
              </w:rPr>
              <w:t>。</w:t>
            </w:r>
          </w:p>
        </w:tc>
      </w:tr>
      <w:bookmarkEnd w:id="5"/>
    </w:tbl>
    <w:p w14:paraId="33422E73">
      <w:pPr>
        <w:snapToGrid w:val="0"/>
        <w:spacing w:line="380" w:lineRule="exact"/>
        <w:rPr>
          <w:rFonts w:hint="eastAsia" w:ascii="仿宋" w:hAnsi="仿宋" w:eastAsia="仿宋" w:cs="仿宋"/>
          <w:b/>
          <w:color w:val="000000" w:themeColor="text1"/>
          <w:szCs w:val="21"/>
          <w:highlight w:val="none"/>
          <w14:textFill>
            <w14:solidFill>
              <w14:schemeClr w14:val="tx1"/>
            </w14:solidFill>
          </w14:textFill>
        </w:rPr>
      </w:pPr>
    </w:p>
    <w:p w14:paraId="5033DB94">
      <w:pPr>
        <w:snapToGrid w:val="0"/>
        <w:spacing w:line="38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二、总  则</w:t>
      </w:r>
      <w:bookmarkEnd w:id="11"/>
    </w:p>
    <w:p w14:paraId="4078A67C">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1.适用范围</w:t>
      </w:r>
    </w:p>
    <w:p w14:paraId="76CE2CB5">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本招标文件仅适用于招标公告中所述的辅助岗位劳务服务单位采购项目等招标活动。</w:t>
      </w:r>
    </w:p>
    <w:p w14:paraId="0AB925AE">
      <w:pPr>
        <w:snapToGrid w:val="0"/>
        <w:spacing w:line="380" w:lineRule="exact"/>
        <w:ind w:firstLine="420"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2.项目概况</w:t>
      </w:r>
    </w:p>
    <w:p w14:paraId="00CF4F2C">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2.1招标项目名称：</w:t>
      </w:r>
      <w:r>
        <w:rPr>
          <w:rFonts w:hint="eastAsia" w:ascii="仿宋" w:hAnsi="仿宋" w:eastAsia="仿宋" w:cs="仿宋"/>
          <w:color w:val="000000" w:themeColor="text1"/>
          <w:szCs w:val="21"/>
          <w:highlight w:val="none"/>
          <w:lang w:eastAsia="zh-CN"/>
          <w14:textFill>
            <w14:solidFill>
              <w14:schemeClr w14:val="tx1"/>
            </w14:solidFill>
          </w14:textFill>
        </w:rPr>
        <w:t>浙江常新工贸有限公司新址辅助管理人员外包服务项目</w:t>
      </w:r>
      <w:r>
        <w:rPr>
          <w:rFonts w:hint="eastAsia" w:ascii="仿宋" w:hAnsi="仿宋" w:eastAsia="仿宋" w:cs="仿宋"/>
          <w:color w:val="000000" w:themeColor="text1"/>
          <w:szCs w:val="21"/>
          <w:highlight w:val="none"/>
          <w14:textFill>
            <w14:solidFill>
              <w14:schemeClr w14:val="tx1"/>
            </w14:solidFill>
          </w14:textFill>
        </w:rPr>
        <w:t>。</w:t>
      </w:r>
    </w:p>
    <w:p w14:paraId="28C312B3">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招标编号：</w:t>
      </w:r>
      <w:r>
        <w:rPr>
          <w:rFonts w:hint="eastAsia" w:ascii="仿宋" w:hAnsi="仿宋" w:eastAsia="仿宋" w:cs="仿宋"/>
          <w:color w:val="000000" w:themeColor="text1"/>
          <w:szCs w:val="21"/>
          <w:highlight w:val="none"/>
          <w:lang w:val="en-US" w:eastAsia="zh-CN"/>
          <w14:textFill>
            <w14:solidFill>
              <w14:schemeClr w14:val="tx1"/>
            </w14:solidFill>
          </w14:textFill>
        </w:rPr>
        <w:t>S3J-C202504016</w:t>
      </w:r>
    </w:p>
    <w:p w14:paraId="2324EEB0">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2.3采购内容：详见第三章采购需求。</w:t>
      </w:r>
    </w:p>
    <w:p w14:paraId="5273D57B">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3.合格投标人</w:t>
      </w:r>
    </w:p>
    <w:p w14:paraId="24C5D8A0">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详见第一章招标公告中的投标人资格要求。</w:t>
      </w:r>
    </w:p>
    <w:p w14:paraId="572DB1D9">
      <w:pPr>
        <w:snapToGrid w:val="0"/>
        <w:spacing w:line="380" w:lineRule="exact"/>
        <w:ind w:firstLine="420"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4.投标费用</w:t>
      </w:r>
    </w:p>
    <w:p w14:paraId="75A0B832">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无论投标过程中的结果如何，投标人应自行承担所有与参加投标有关的全部费用，招标人和招标代理机构在任何情况下均无义务和责任承担上述费用。</w:t>
      </w:r>
      <w:bookmarkStart w:id="12" w:name="_Toc187034741"/>
      <w:bookmarkStart w:id="13" w:name="_Toc82873323"/>
      <w:bookmarkStart w:id="14" w:name="_Toc304283804"/>
      <w:bookmarkStart w:id="15" w:name="_Toc82338240"/>
    </w:p>
    <w:p w14:paraId="51F90EA4">
      <w:pPr>
        <w:snapToGrid w:val="0"/>
        <w:spacing w:line="380" w:lineRule="exact"/>
        <w:ind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5.投标证件递交</w:t>
      </w:r>
    </w:p>
    <w:p w14:paraId="53B3A94D">
      <w:pPr>
        <w:snapToGrid w:val="0"/>
        <w:spacing w:line="380" w:lineRule="exact"/>
        <w:ind w:firstLine="422" w:firstLineChars="200"/>
        <w:jc w:val="left"/>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投标所需的各种证书、证件、证明、执照等须在复印件上加盖投标人公章。各种证书、证件、证明、执照等须带原件，</w:t>
      </w:r>
      <w:r>
        <w:rPr>
          <w:rFonts w:hint="eastAsia" w:ascii="仿宋" w:hAnsi="仿宋" w:eastAsia="仿宋" w:cs="仿宋"/>
          <w:b/>
          <w:color w:val="000000" w:themeColor="text1"/>
          <w:szCs w:val="21"/>
          <w:highlight w:val="none"/>
          <w14:textFill>
            <w14:solidFill>
              <w14:schemeClr w14:val="tx1"/>
            </w14:solidFill>
          </w14:textFill>
        </w:rPr>
        <w:t>原件须单独包装（无需密封）并附清单，与投标文件同时提交。</w:t>
      </w:r>
      <w:r>
        <w:rPr>
          <w:rFonts w:hint="eastAsia" w:ascii="仿宋" w:hAnsi="仿宋" w:eastAsia="仿宋" w:cs="仿宋"/>
          <w:b/>
          <w:bCs/>
          <w:color w:val="000000" w:themeColor="text1"/>
          <w:szCs w:val="21"/>
          <w:highlight w:val="none"/>
          <w:lang w:val="en-US" w:eastAsia="zh-CN"/>
          <w14:textFill>
            <w14:solidFill>
              <w14:schemeClr w14:val="tx1"/>
            </w14:solidFill>
          </w14:textFill>
        </w:rPr>
        <w:t>证照、证件和证明文件原件按规定递送后，不能再对其进行补充或删减。</w:t>
      </w:r>
    </w:p>
    <w:p w14:paraId="489086D2">
      <w:pPr>
        <w:pStyle w:val="6"/>
        <w:snapToGrid w:val="0"/>
        <w:spacing w:line="3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 招标文件</w:t>
      </w:r>
      <w:bookmarkEnd w:id="12"/>
      <w:bookmarkEnd w:id="13"/>
      <w:bookmarkEnd w:id="14"/>
      <w:bookmarkEnd w:id="15"/>
    </w:p>
    <w:p w14:paraId="08219B45">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5.招标文件的组成</w:t>
      </w:r>
    </w:p>
    <w:p w14:paraId="7E16DCD1">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招标文件由招标文件总目录所列内容及补充文件（如有）等组成。</w:t>
      </w:r>
    </w:p>
    <w:p w14:paraId="746076B0">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6.招标文件的澄清</w:t>
      </w:r>
    </w:p>
    <w:p w14:paraId="0B3A759D">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对招标文件如有疑点要求澄清，或认为有必要与招标人进行交流，可在投标截止时间前10日用署名的书面形式（包括信函、传真，下同）通知代理机构，代理机构仅对投标人提出的合理疑问进行澄清；代理机构将于投标截止时间15天前予以澄清，如果澄清文件发出的时间距投标截止时间不足15天的，则相应延长投标截止时间，澄清文件作为招标文件的构成部分。</w:t>
      </w:r>
    </w:p>
    <w:p w14:paraId="6265012C">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7.招标文件的修改、补充</w:t>
      </w:r>
    </w:p>
    <w:p w14:paraId="3392A85B">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 在投标文件递交截止时间前15天，招标人有权修改、补充招标文件，对所有投标人均有约束力，修改、补充内容作为招标文件的组成部分。</w:t>
      </w:r>
    </w:p>
    <w:p w14:paraId="368BB526">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 为使投标人有足够的时间按修改、补充文件要求修正投标文件，招标人可酌情推迟递交投标文件截止时间和开标时间，具体时间将在修改补充通知中明确。</w:t>
      </w:r>
    </w:p>
    <w:p w14:paraId="65CA5B0D">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w:t>
      </w:r>
      <w:r>
        <w:rPr>
          <w:rFonts w:hint="eastAsia" w:ascii="仿宋" w:hAnsi="仿宋" w:eastAsia="仿宋" w:cs="仿宋"/>
          <w:b/>
          <w:color w:val="000000" w:themeColor="text1"/>
          <w:szCs w:val="21"/>
          <w:highlight w:val="none"/>
          <w14:textFill>
            <w14:solidFill>
              <w14:schemeClr w14:val="tx1"/>
            </w14:solidFill>
          </w14:textFill>
        </w:rPr>
        <w:t>澄清、修改或补充文件在本招标信息发布媒体上公开发布，公布后视为投标人已获取，在投标截止时间前，投标人须自行到网上查看，否则后果自负。</w:t>
      </w:r>
    </w:p>
    <w:p w14:paraId="1586504A">
      <w:pPr>
        <w:pStyle w:val="6"/>
        <w:snapToGrid w:val="0"/>
        <w:spacing w:line="380" w:lineRule="exact"/>
        <w:jc w:val="center"/>
        <w:rPr>
          <w:rFonts w:hint="eastAsia" w:ascii="仿宋" w:hAnsi="仿宋" w:eastAsia="仿宋" w:cs="仿宋"/>
          <w:color w:val="000000" w:themeColor="text1"/>
          <w:sz w:val="21"/>
          <w:szCs w:val="21"/>
          <w:highlight w:val="none"/>
          <w14:textFill>
            <w14:solidFill>
              <w14:schemeClr w14:val="tx1"/>
            </w14:solidFill>
          </w14:textFill>
        </w:rPr>
      </w:pPr>
      <w:bookmarkStart w:id="16" w:name="_Toc82338241"/>
      <w:bookmarkStart w:id="17" w:name="_Toc304283805"/>
      <w:bookmarkStart w:id="18" w:name="_Toc187034742"/>
      <w:bookmarkStart w:id="19" w:name="_Toc82873324"/>
      <w:r>
        <w:rPr>
          <w:rFonts w:hint="eastAsia" w:ascii="仿宋" w:hAnsi="仿宋" w:eastAsia="仿宋" w:cs="仿宋"/>
          <w:color w:val="000000" w:themeColor="text1"/>
          <w:sz w:val="21"/>
          <w:szCs w:val="21"/>
          <w:highlight w:val="none"/>
          <w14:textFill>
            <w14:solidFill>
              <w14:schemeClr w14:val="tx1"/>
            </w14:solidFill>
          </w14:textFill>
        </w:rPr>
        <w:t>（二） 投标文件</w:t>
      </w:r>
      <w:bookmarkEnd w:id="16"/>
      <w:bookmarkEnd w:id="17"/>
      <w:bookmarkEnd w:id="18"/>
      <w:bookmarkEnd w:id="19"/>
    </w:p>
    <w:p w14:paraId="3DB6EA66">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8.投标文件</w:t>
      </w:r>
    </w:p>
    <w:p w14:paraId="7B5A2799">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投标人应仔细阅读招标文件中的所有内容，按照招标文件要求，详细编制投标文件，提供相关参数、资料，对招标文件中的各个项目给予实质性答复（包括资信技术、报价），并保证投标文件的正确性和真实性，</w:t>
      </w:r>
      <w:r>
        <w:rPr>
          <w:rFonts w:hint="eastAsia" w:ascii="仿宋" w:hAnsi="仿宋" w:eastAsia="仿宋" w:cs="仿宋"/>
          <w:b/>
          <w:bCs/>
          <w:color w:val="000000" w:themeColor="text1"/>
          <w:szCs w:val="21"/>
          <w:highlight w:val="none"/>
          <w14:textFill>
            <w14:solidFill>
              <w14:schemeClr w14:val="tx1"/>
            </w14:solidFill>
          </w14:textFill>
        </w:rPr>
        <w:t>否则可能导致不利的评定</w:t>
      </w:r>
      <w:r>
        <w:rPr>
          <w:rFonts w:hint="eastAsia" w:ascii="仿宋" w:hAnsi="仿宋" w:eastAsia="仿宋" w:cs="仿宋"/>
          <w:b/>
          <w:color w:val="000000" w:themeColor="text1"/>
          <w:szCs w:val="21"/>
          <w:highlight w:val="none"/>
          <w14:textFill>
            <w14:solidFill>
              <w14:schemeClr w14:val="tx1"/>
            </w14:solidFill>
          </w14:textFill>
        </w:rPr>
        <w:t>。</w:t>
      </w:r>
    </w:p>
    <w:p w14:paraId="40C79F76">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投标文件和投标有关的所有文件均应使用 </w:t>
      </w:r>
      <w:r>
        <w:rPr>
          <w:rFonts w:hint="eastAsia" w:ascii="仿宋" w:hAnsi="仿宋" w:eastAsia="仿宋" w:cs="仿宋"/>
          <w:b/>
          <w:color w:val="000000" w:themeColor="text1"/>
          <w:szCs w:val="21"/>
          <w:highlight w:val="none"/>
          <w:u w:val="single"/>
          <w14:textFill>
            <w14:solidFill>
              <w14:schemeClr w14:val="tx1"/>
            </w14:solidFill>
          </w14:textFill>
        </w:rPr>
        <w:t>中文</w:t>
      </w:r>
      <w:r>
        <w:rPr>
          <w:rFonts w:hint="eastAsia" w:ascii="仿宋" w:hAnsi="仿宋" w:eastAsia="仿宋" w:cs="仿宋"/>
          <w:color w:val="000000" w:themeColor="text1"/>
          <w:szCs w:val="21"/>
          <w:highlight w:val="none"/>
          <w14:textFill>
            <w14:solidFill>
              <w14:schemeClr w14:val="tx1"/>
            </w14:solidFill>
          </w14:textFill>
        </w:rPr>
        <w:t>。除项目规范另有规定外，投标文件使用的度量衡单位，均采用中华人民共和国法定计量单位。</w:t>
      </w:r>
    </w:p>
    <w:p w14:paraId="4147FD62">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u w:val="thick"/>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 未对招标文件的各项要求作出实质性响应的投标文件</w:t>
      </w:r>
      <w:r>
        <w:rPr>
          <w:rFonts w:hint="eastAsia" w:ascii="仿宋" w:hAnsi="仿宋" w:eastAsia="仿宋" w:cs="仿宋"/>
          <w:b/>
          <w:bCs/>
          <w:color w:val="000000" w:themeColor="text1"/>
          <w:szCs w:val="21"/>
          <w:highlight w:val="none"/>
          <w:u w:val="thick"/>
          <w14:textFill>
            <w14:solidFill>
              <w14:schemeClr w14:val="tx1"/>
            </w14:solidFill>
          </w14:textFill>
        </w:rPr>
        <w:t>可能导致被拒绝</w:t>
      </w:r>
      <w:r>
        <w:rPr>
          <w:rFonts w:hint="eastAsia" w:ascii="仿宋" w:hAnsi="仿宋" w:eastAsia="仿宋" w:cs="仿宋"/>
          <w:b/>
          <w:bCs/>
          <w:color w:val="000000" w:themeColor="text1"/>
          <w:szCs w:val="21"/>
          <w:highlight w:val="none"/>
          <w14:textFill>
            <w14:solidFill>
              <w14:schemeClr w14:val="tx1"/>
            </w14:solidFill>
          </w14:textFill>
        </w:rPr>
        <w:t>。</w:t>
      </w:r>
    </w:p>
    <w:p w14:paraId="38B72B55">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9.投标文件的组成</w:t>
      </w:r>
    </w:p>
    <w:p w14:paraId="27590CAB">
      <w:pPr>
        <w:snapToGrid w:val="0"/>
        <w:spacing w:line="380" w:lineRule="exact"/>
        <w:ind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投标文件由【资信技术文件】、【报价文件】二部分组成。</w:t>
      </w:r>
    </w:p>
    <w:p w14:paraId="1CBE0E64">
      <w:pPr>
        <w:adjustRightInd w:val="0"/>
        <w:snapToGrid w:val="0"/>
        <w:spacing w:line="380" w:lineRule="exact"/>
        <w:ind w:firstLine="422"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9.1【资信技术文件】</w:t>
      </w:r>
    </w:p>
    <w:p w14:paraId="383CB8F3">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bookmarkStart w:id="20" w:name="_Toc135552941"/>
      <w:bookmarkStart w:id="21" w:name="_Toc170700682"/>
      <w:bookmarkStart w:id="22" w:name="_Toc135553081"/>
      <w:bookmarkStart w:id="23" w:name="_Toc82338245"/>
      <w:bookmarkStart w:id="24" w:name="_Toc82873328"/>
      <w:bookmarkStart w:id="25" w:name="_Toc187034745"/>
      <w:r>
        <w:rPr>
          <w:rFonts w:hint="eastAsia" w:ascii="仿宋" w:hAnsi="仿宋" w:eastAsia="仿宋" w:cs="仿宋"/>
          <w:color w:val="000000" w:themeColor="text1"/>
          <w:szCs w:val="21"/>
          <w:highlight w:val="none"/>
          <w14:textFill>
            <w14:solidFill>
              <w14:schemeClr w14:val="tx1"/>
            </w14:solidFill>
          </w14:textFill>
        </w:rPr>
        <w:t xml:space="preserve">9.1.1 </w:t>
      </w:r>
      <w:r>
        <w:rPr>
          <w:rFonts w:hint="eastAsia" w:ascii="仿宋" w:hAnsi="仿宋" w:eastAsia="仿宋" w:cs="仿宋"/>
          <w:bCs/>
          <w:color w:val="000000" w:themeColor="text1"/>
          <w:szCs w:val="21"/>
          <w:highlight w:val="none"/>
          <w14:textFill>
            <w14:solidFill>
              <w14:schemeClr w14:val="tx1"/>
            </w14:solidFill>
          </w14:textFill>
        </w:rPr>
        <w:t>《法定代表人身份证明》及身份证复印件或《法定代表人授权委托书》及身份证复印件【</w:t>
      </w:r>
      <w:r>
        <w:rPr>
          <w:rFonts w:hint="eastAsia" w:ascii="仿宋" w:hAnsi="仿宋" w:eastAsia="仿宋" w:cs="仿宋"/>
          <w:b/>
          <w:color w:val="000000" w:themeColor="text1"/>
          <w:szCs w:val="21"/>
          <w:highlight w:val="none"/>
          <w14:textFill>
            <w14:solidFill>
              <w14:schemeClr w14:val="tx1"/>
            </w14:solidFill>
          </w14:textFill>
        </w:rPr>
        <w:t>原件需在提交投标文件时单独递交一份，以便核验身份</w:t>
      </w:r>
      <w:r>
        <w:rPr>
          <w:rFonts w:hint="eastAsia" w:ascii="仿宋" w:hAnsi="仿宋" w:eastAsia="仿宋" w:cs="仿宋"/>
          <w:bCs/>
          <w:color w:val="000000" w:themeColor="text1"/>
          <w:szCs w:val="21"/>
          <w:highlight w:val="none"/>
          <w14:textFill>
            <w14:solidFill>
              <w14:schemeClr w14:val="tx1"/>
            </w14:solidFill>
          </w14:textFill>
        </w:rPr>
        <w:t>】；</w:t>
      </w:r>
    </w:p>
    <w:p w14:paraId="313DEF8D">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9.1.2 投标保证金银行交款回单复印件；</w:t>
      </w:r>
    </w:p>
    <w:p w14:paraId="5E8344D9">
      <w:pPr>
        <w:autoSpaceDE w:val="0"/>
        <w:autoSpaceDN w:val="0"/>
        <w:adjustRightInd w:val="0"/>
        <w:snapToGrid w:val="0"/>
        <w:spacing w:line="380" w:lineRule="exact"/>
        <w:ind w:firstLine="420" w:firstLineChars="200"/>
        <w:jc w:val="left"/>
        <w:textAlignment w:val="bottom"/>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9.1.3 投标人基本情况表</w:t>
      </w:r>
      <w:r>
        <w:rPr>
          <w:rFonts w:hint="eastAsia" w:ascii="仿宋" w:hAnsi="仿宋" w:eastAsia="仿宋" w:cs="仿宋"/>
          <w:b/>
          <w:bCs/>
          <w:color w:val="000000" w:themeColor="text1"/>
          <w:szCs w:val="21"/>
          <w:highlight w:val="none"/>
          <w14:textFill>
            <w14:solidFill>
              <w14:schemeClr w14:val="tx1"/>
            </w14:solidFill>
          </w14:textFill>
        </w:rPr>
        <w:t>（后附营业执照副本复印件、</w:t>
      </w:r>
      <w:r>
        <w:rPr>
          <w:rFonts w:hint="eastAsia" w:ascii="仿宋" w:hAnsi="仿宋" w:eastAsia="仿宋" w:cs="仿宋"/>
          <w:b/>
          <w:bCs/>
          <w:color w:val="000000" w:themeColor="text1"/>
          <w:szCs w:val="21"/>
          <w:highlight w:val="none"/>
          <w:lang w:val="en-US" w:eastAsia="zh-CN"/>
          <w14:textFill>
            <w14:solidFill>
              <w14:schemeClr w14:val="tx1"/>
            </w14:solidFill>
          </w14:textFill>
        </w:rPr>
        <w:t>浙江省公安厅批准的《保安服务许可证》</w:t>
      </w:r>
      <w:r>
        <w:rPr>
          <w:rFonts w:hint="eastAsia" w:ascii="仿宋" w:hAnsi="仿宋" w:eastAsia="仿宋" w:cs="仿宋"/>
          <w:b/>
          <w:bCs/>
          <w:color w:val="000000" w:themeColor="text1"/>
          <w:szCs w:val="21"/>
          <w:highlight w:val="none"/>
          <w14:textFill>
            <w14:solidFill>
              <w14:schemeClr w14:val="tx1"/>
            </w14:solidFill>
          </w14:textFill>
        </w:rPr>
        <w:t>复印件）；</w:t>
      </w:r>
    </w:p>
    <w:p w14:paraId="2BC3C83D">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9.1.4 </w:t>
      </w:r>
      <w:r>
        <w:rPr>
          <w:rFonts w:hint="eastAsia" w:ascii="仿宋" w:hAnsi="仿宋" w:eastAsia="仿宋" w:cs="仿宋"/>
          <w:color w:val="000000" w:themeColor="text1"/>
          <w:szCs w:val="21"/>
          <w:highlight w:val="none"/>
          <w:lang w:val="en-US" w:eastAsia="zh-CN"/>
          <w14:textFill>
            <w14:solidFill>
              <w14:schemeClr w14:val="tx1"/>
            </w14:solidFill>
          </w14:textFill>
        </w:rPr>
        <w:t>符合参与政府采购活动资格条件的承诺函；</w:t>
      </w:r>
    </w:p>
    <w:p w14:paraId="6E4DA29C">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同类业绩表；</w:t>
      </w:r>
    </w:p>
    <w:p w14:paraId="182DB8DF">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6 </w:t>
      </w:r>
      <w:r>
        <w:rPr>
          <w:rFonts w:hint="eastAsia" w:ascii="仿宋" w:hAnsi="仿宋" w:eastAsia="仿宋" w:cs="仿宋"/>
          <w:color w:val="000000" w:themeColor="text1"/>
          <w:szCs w:val="24"/>
          <w:highlight w:val="none"/>
          <w14:textFill>
            <w14:solidFill>
              <w14:schemeClr w14:val="tx1"/>
            </w14:solidFill>
          </w14:textFill>
        </w:rPr>
        <w:t>拟投入本项目服务人员计划表</w:t>
      </w:r>
    </w:p>
    <w:p w14:paraId="46131339">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w:t>
      </w:r>
      <w:r>
        <w:rPr>
          <w:rFonts w:hint="eastAsia" w:ascii="仿宋" w:hAnsi="仿宋" w:eastAsia="仿宋" w:cs="仿宋"/>
          <w:color w:val="000000" w:themeColor="text1"/>
          <w:szCs w:val="21"/>
          <w:highlight w:val="none"/>
          <w:lang w:val="en-US" w:eastAsia="zh-CN"/>
          <w14:textFill>
            <w14:solidFill>
              <w14:schemeClr w14:val="tx1"/>
            </w14:solidFill>
          </w14:textFill>
        </w:rPr>
        <w:t>7 资质资信（参考评分细则，投标人自行编制）</w:t>
      </w:r>
      <w:r>
        <w:rPr>
          <w:rFonts w:hint="eastAsia" w:ascii="仿宋" w:hAnsi="仿宋" w:eastAsia="仿宋" w:cs="仿宋"/>
          <w:color w:val="000000" w:themeColor="text1"/>
          <w:szCs w:val="21"/>
          <w:highlight w:val="none"/>
          <w14:textFill>
            <w14:solidFill>
              <w14:schemeClr w14:val="tx1"/>
            </w14:solidFill>
          </w14:textFill>
        </w:rPr>
        <w:t>；</w:t>
      </w:r>
    </w:p>
    <w:p w14:paraId="59DB3A66">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8 </w:t>
      </w:r>
      <w:r>
        <w:rPr>
          <w:rFonts w:hint="eastAsia" w:ascii="仿宋" w:hAnsi="仿宋" w:eastAsia="仿宋" w:cs="仿宋"/>
          <w:color w:val="000000" w:themeColor="text1"/>
          <w:szCs w:val="24"/>
          <w:highlight w:val="none"/>
          <w:lang w:val="en-US" w:eastAsia="zh-CN"/>
          <w14:textFill>
            <w14:solidFill>
              <w14:schemeClr w14:val="tx1"/>
            </w14:solidFill>
          </w14:textFill>
        </w:rPr>
        <w:t>公司荣誉</w:t>
      </w:r>
      <w:r>
        <w:rPr>
          <w:rFonts w:hint="eastAsia" w:ascii="仿宋" w:hAnsi="仿宋" w:eastAsia="仿宋" w:cs="仿宋"/>
          <w:color w:val="000000" w:themeColor="text1"/>
          <w:szCs w:val="21"/>
          <w:highlight w:val="none"/>
          <w:lang w:val="en-US" w:eastAsia="zh-CN"/>
          <w14:textFill>
            <w14:solidFill>
              <w14:schemeClr w14:val="tx1"/>
            </w14:solidFill>
          </w14:textFill>
        </w:rPr>
        <w:t>（参考评分细则，投标人自行编制）</w:t>
      </w:r>
      <w:r>
        <w:rPr>
          <w:rFonts w:hint="eastAsia" w:ascii="仿宋" w:hAnsi="仿宋" w:eastAsia="仿宋" w:cs="仿宋"/>
          <w:color w:val="000000" w:themeColor="text1"/>
          <w:szCs w:val="21"/>
          <w:highlight w:val="none"/>
          <w14:textFill>
            <w14:solidFill>
              <w14:schemeClr w14:val="tx1"/>
            </w14:solidFill>
          </w14:textFill>
        </w:rPr>
        <w:t>；</w:t>
      </w:r>
    </w:p>
    <w:p w14:paraId="7FE21213">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9 </w:t>
      </w:r>
      <w:r>
        <w:rPr>
          <w:rFonts w:hint="eastAsia" w:ascii="仿宋" w:hAnsi="仿宋" w:eastAsia="仿宋" w:cs="仿宋"/>
          <w:color w:val="000000" w:themeColor="text1"/>
          <w:szCs w:val="24"/>
          <w:highlight w:val="none"/>
          <w:lang w:val="en-US" w:eastAsia="zh-CN"/>
          <w14:textFill>
            <w14:solidFill>
              <w14:schemeClr w14:val="tx1"/>
            </w14:solidFill>
          </w14:textFill>
        </w:rPr>
        <w:t>服务实施方案</w:t>
      </w:r>
      <w:r>
        <w:rPr>
          <w:rFonts w:hint="eastAsia" w:ascii="仿宋" w:hAnsi="仿宋" w:eastAsia="仿宋" w:cs="仿宋"/>
          <w:color w:val="000000" w:themeColor="text1"/>
          <w:szCs w:val="21"/>
          <w:highlight w:val="none"/>
          <w:lang w:val="en-US" w:eastAsia="zh-CN"/>
          <w14:textFill>
            <w14:solidFill>
              <w14:schemeClr w14:val="tx1"/>
            </w14:solidFill>
          </w14:textFill>
        </w:rPr>
        <w:t>（参考评分细则，投标人自行编制）；</w:t>
      </w:r>
    </w:p>
    <w:p w14:paraId="6F2A6FF5">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w:t>
      </w:r>
      <w:r>
        <w:rPr>
          <w:rFonts w:hint="eastAsia" w:ascii="仿宋" w:hAnsi="仿宋" w:eastAsia="仿宋" w:cs="仿宋"/>
          <w:color w:val="000000" w:themeColor="text1"/>
          <w:szCs w:val="21"/>
          <w:highlight w:val="none"/>
          <w:lang w:val="en-US" w:eastAsia="zh-CN"/>
          <w14:textFill>
            <w14:solidFill>
              <w14:schemeClr w14:val="tx1"/>
            </w14:solidFill>
          </w14:textFill>
        </w:rPr>
        <w:t>9 应急响应措施（参考评分细则，投标人自行编制）</w:t>
      </w:r>
      <w:r>
        <w:rPr>
          <w:rFonts w:hint="eastAsia" w:ascii="仿宋" w:hAnsi="仿宋" w:eastAsia="仿宋" w:cs="仿宋"/>
          <w:color w:val="000000" w:themeColor="text1"/>
          <w:szCs w:val="21"/>
          <w:highlight w:val="none"/>
          <w14:textFill>
            <w14:solidFill>
              <w14:schemeClr w14:val="tx1"/>
            </w14:solidFill>
          </w14:textFill>
        </w:rPr>
        <w:t>；</w:t>
      </w:r>
    </w:p>
    <w:p w14:paraId="5CDF162A">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9.1.10 针对本项目招录的具体方案及措施（参考评分细则，投标人自行编制）；</w:t>
      </w:r>
    </w:p>
    <w:p w14:paraId="73F2C267">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9.1.11 培训计划方案（参考评分细则，投标人自行编制）；</w:t>
      </w:r>
    </w:p>
    <w:p w14:paraId="62E41D70">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9.1.12 管理规则制定（参考评分细则，投标人自行编制）；</w:t>
      </w:r>
    </w:p>
    <w:p w14:paraId="7C95526D">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9.1.13 劳动纠纷服务保障（参考评分细则，投标人自行编制）；</w:t>
      </w:r>
    </w:p>
    <w:p w14:paraId="0B0C7931">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14 </w:t>
      </w:r>
      <w:r>
        <w:rPr>
          <w:rFonts w:hint="eastAsia" w:ascii="仿宋" w:hAnsi="仿宋" w:eastAsia="仿宋" w:cs="仿宋"/>
          <w:color w:val="000000" w:themeColor="text1"/>
          <w:szCs w:val="21"/>
          <w:highlight w:val="none"/>
          <w14:textFill>
            <w14:solidFill>
              <w14:schemeClr w14:val="tx1"/>
            </w14:solidFill>
          </w14:textFill>
        </w:rPr>
        <w:t>其他内容</w:t>
      </w:r>
      <w:r>
        <w:rPr>
          <w:rFonts w:hint="eastAsia" w:ascii="仿宋" w:hAnsi="仿宋" w:eastAsia="仿宋" w:cs="仿宋"/>
          <w:color w:val="000000" w:themeColor="text1"/>
          <w:szCs w:val="21"/>
          <w:highlight w:val="none"/>
          <w:lang w:val="zh-CN"/>
          <w14:textFill>
            <w14:solidFill>
              <w14:schemeClr w14:val="tx1"/>
            </w14:solidFill>
          </w14:textFill>
        </w:rPr>
        <w:t>可根据评分细则编制。</w:t>
      </w:r>
    </w:p>
    <w:p w14:paraId="77D06AA3">
      <w:pPr>
        <w:snapToGrid w:val="0"/>
        <w:spacing w:line="380" w:lineRule="exact"/>
        <w:ind w:firstLine="422"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9.2【报价文件】</w:t>
      </w:r>
    </w:p>
    <w:p w14:paraId="27AED51A">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9.2.1投标函；</w:t>
      </w:r>
    </w:p>
    <w:p w14:paraId="4C6D0277">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9.2.2</w:t>
      </w:r>
      <w:r>
        <w:rPr>
          <w:rFonts w:hint="eastAsia" w:ascii="仿宋" w:hAnsi="仿宋" w:eastAsia="仿宋" w:cs="仿宋"/>
          <w:color w:val="000000" w:themeColor="text1"/>
          <w:szCs w:val="21"/>
          <w:highlight w:val="none"/>
          <w14:textFill>
            <w14:solidFill>
              <w14:schemeClr w14:val="tx1"/>
            </w14:solidFill>
          </w14:textFill>
        </w:rPr>
        <w:t xml:space="preserve">开标一览表； </w:t>
      </w:r>
    </w:p>
    <w:p w14:paraId="130C1E7D">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9.2.3</w:t>
      </w:r>
      <w:r>
        <w:rPr>
          <w:rFonts w:hint="eastAsia" w:ascii="仿宋" w:hAnsi="仿宋" w:eastAsia="仿宋" w:cs="仿宋"/>
          <w:color w:val="000000" w:themeColor="text1"/>
          <w:szCs w:val="21"/>
          <w:highlight w:val="none"/>
          <w14:textFill>
            <w14:solidFill>
              <w14:schemeClr w14:val="tx1"/>
            </w14:solidFill>
          </w14:textFill>
        </w:rPr>
        <w:t xml:space="preserve">投标人认为有必要提供的其他资料。 </w:t>
      </w:r>
    </w:p>
    <w:p w14:paraId="7B0BB8DB">
      <w:pPr>
        <w:autoSpaceDE w:val="0"/>
        <w:autoSpaceDN w:val="0"/>
        <w:adjustRightInd w:val="0"/>
        <w:snapToGrid w:val="0"/>
        <w:spacing w:line="380" w:lineRule="exact"/>
        <w:ind w:firstLine="422" w:firstLineChars="200"/>
        <w:jc w:val="left"/>
        <w:textAlignment w:val="bottom"/>
        <w:rPr>
          <w:rFonts w:hint="eastAsia" w:ascii="仿宋" w:hAnsi="仿宋" w:eastAsia="仿宋" w:cs="仿宋"/>
          <w:b/>
          <w:color w:val="000000" w:themeColor="text1"/>
          <w:szCs w:val="21"/>
          <w:highlight w:val="none"/>
          <w14:textFill>
            <w14:solidFill>
              <w14:schemeClr w14:val="tx1"/>
            </w14:solidFill>
          </w14:textFill>
        </w:rPr>
      </w:pPr>
      <w:bookmarkStart w:id="26" w:name="OLE_LINK39"/>
      <w:r>
        <w:rPr>
          <w:rFonts w:hint="eastAsia" w:ascii="仿宋" w:hAnsi="仿宋" w:eastAsia="仿宋" w:cs="仿宋"/>
          <w:b/>
          <w:color w:val="000000" w:themeColor="text1"/>
          <w:szCs w:val="21"/>
          <w:highlight w:val="none"/>
          <w14:textFill>
            <w14:solidFill>
              <w14:schemeClr w14:val="tx1"/>
            </w14:solidFill>
          </w14:textFill>
        </w:rPr>
        <w:t>以上投标文件内容，招标文件中提供格式的，投标人须按招标文件中提供的格式及要求盖章并签字，招标文件没有提供格式的可自拟格式，也须盖章或签字。</w:t>
      </w:r>
      <w:bookmarkEnd w:id="26"/>
    </w:p>
    <w:p w14:paraId="22B01C3A">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10.投标文件内容填写说明</w:t>
      </w:r>
      <w:bookmarkEnd w:id="20"/>
      <w:bookmarkEnd w:id="21"/>
      <w:bookmarkEnd w:id="22"/>
    </w:p>
    <w:p w14:paraId="46B25752">
      <w:pPr>
        <w:autoSpaceDE w:val="0"/>
        <w:autoSpaceDN w:val="0"/>
        <w:adjustRightInd w:val="0"/>
        <w:snapToGrid w:val="0"/>
        <w:spacing w:line="380" w:lineRule="exact"/>
        <w:ind w:firstLine="420" w:firstLineChars="200"/>
        <w:jc w:val="left"/>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 投标人应在认真阅读招标文件所有内容的基础上，按照招标文件的要求编制完整的投标文件。投标文件应按照招标文件中规定的统一格式填写，严格按照规定的顺序胶装成册并编制目录，混乱的编排导致投标文件被误读或招标人查找不到有效文件是投标人的风险。招标文件对投标文件格式有要求的应按格式逐项填写内容，不准有空项；无相应内容可填的项应填写“无”、“未测试”、“没有相应指标”等明确的回答文字。</w:t>
      </w:r>
    </w:p>
    <w:p w14:paraId="2EF2327A">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10.2 </w:t>
      </w:r>
      <w:bookmarkStart w:id="27" w:name="OLE_LINK40"/>
      <w:r>
        <w:rPr>
          <w:rFonts w:hint="eastAsia" w:ascii="仿宋" w:hAnsi="仿宋" w:eastAsia="仿宋" w:cs="仿宋"/>
          <w:color w:val="000000" w:themeColor="text1"/>
          <w:szCs w:val="21"/>
          <w:highlight w:val="none"/>
          <w14:textFill>
            <w14:solidFill>
              <w14:schemeClr w14:val="tx1"/>
            </w14:solidFill>
          </w14:textFill>
        </w:rPr>
        <w:t>投标人必须保证投标文件所提供的全部资料真实可靠，并接受招标人对其中任何资料进一步审查的要求。</w:t>
      </w:r>
      <w:bookmarkEnd w:id="27"/>
    </w:p>
    <w:p w14:paraId="6007C2A6">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 《投标函》为在开标仪式上唱标的内容，要求按格式填写、统一规范，不得自行增减内容。</w:t>
      </w:r>
    </w:p>
    <w:p w14:paraId="2033DE81">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10.4 投标文件须对招标文件中的内容做出实质性的和完整的响应，否则其投标将被拒绝。如果投标文件填报的内容资料不详，或没有提供招标文件中所要求的全部资料及数据，将会导致投标被拒绝。</w:t>
      </w:r>
    </w:p>
    <w:p w14:paraId="780C29BC">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10.5 投标人已明知招标期间或之后企业将发生兼并改制，或提供的产品将停产、淘汰及其他应当告知招标人可能影响招标项目实施或损害招标人利益的信息，必须在投标文件中予以特别说明，否则，招标人可以拒绝其投标文件。</w:t>
      </w:r>
    </w:p>
    <w:p w14:paraId="11BA62A9">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10.6 投标文件不得涂改和增删，如有错漏必须修改，修改处须由授权代表签字或盖单位公章。</w:t>
      </w:r>
    </w:p>
    <w:p w14:paraId="0FFA915C">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10.7 由于字迹模糊或表达不清引起的后果由投标人负责。</w:t>
      </w:r>
    </w:p>
    <w:p w14:paraId="42D0D8B1">
      <w:pPr>
        <w:autoSpaceDE w:val="0"/>
        <w:autoSpaceDN w:val="0"/>
        <w:adjustRightInd w:val="0"/>
        <w:snapToGrid w:val="0"/>
        <w:spacing w:line="380" w:lineRule="exact"/>
        <w:ind w:firstLine="422" w:firstLineChars="200"/>
        <w:jc w:val="left"/>
        <w:textAlignment w:val="bottom"/>
        <w:rPr>
          <w:rFonts w:hint="eastAsia" w:ascii="仿宋" w:hAnsi="仿宋" w:eastAsia="仿宋" w:cs="仿宋"/>
          <w:b/>
          <w:color w:val="000000" w:themeColor="text1"/>
          <w:szCs w:val="21"/>
          <w:highlight w:val="none"/>
          <w14:textFill>
            <w14:solidFill>
              <w14:schemeClr w14:val="tx1"/>
            </w14:solidFill>
          </w14:textFill>
        </w:rPr>
      </w:pPr>
      <w:bookmarkStart w:id="28" w:name="_Toc170700683"/>
      <w:bookmarkStart w:id="29" w:name="_Toc135553082"/>
      <w:bookmarkStart w:id="30" w:name="_Toc135552942"/>
      <w:r>
        <w:rPr>
          <w:rFonts w:hint="eastAsia" w:ascii="仿宋" w:hAnsi="仿宋" w:eastAsia="仿宋" w:cs="仿宋"/>
          <w:b/>
          <w:color w:val="000000" w:themeColor="text1"/>
          <w:szCs w:val="21"/>
          <w:highlight w:val="none"/>
          <w14:textFill>
            <w14:solidFill>
              <w14:schemeClr w14:val="tx1"/>
            </w14:solidFill>
          </w14:textFill>
        </w:rPr>
        <w:t>11.报价要求</w:t>
      </w:r>
      <w:bookmarkEnd w:id="28"/>
      <w:bookmarkEnd w:id="29"/>
      <w:bookmarkEnd w:id="30"/>
    </w:p>
    <w:p w14:paraId="7DF8FAA9">
      <w:pPr>
        <w:autoSpaceDE w:val="0"/>
        <w:autoSpaceDN w:val="0"/>
        <w:adjustRightInd w:val="0"/>
        <w:snapToGrid w:val="0"/>
        <w:spacing w:line="380" w:lineRule="exact"/>
        <w:ind w:firstLine="422" w:firstLineChars="200"/>
        <w:jc w:val="left"/>
        <w:textAlignment w:val="bottom"/>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11.1本项目</w:t>
      </w:r>
      <w:r>
        <w:rPr>
          <w:rFonts w:hint="eastAsia" w:ascii="仿宋" w:hAnsi="仿宋" w:eastAsia="仿宋" w:cs="仿宋"/>
          <w:b/>
          <w:bCs/>
          <w:color w:val="000000" w:themeColor="text1"/>
          <w:szCs w:val="21"/>
          <w:highlight w:val="none"/>
          <w:lang w:eastAsia="zh-CN"/>
          <w14:textFill>
            <w14:solidFill>
              <w14:schemeClr w14:val="tx1"/>
            </w14:solidFill>
          </w14:textFill>
        </w:rPr>
        <w:t>投标</w:t>
      </w:r>
      <w:r>
        <w:rPr>
          <w:rFonts w:hint="eastAsia" w:ascii="仿宋" w:hAnsi="仿宋" w:eastAsia="仿宋" w:cs="仿宋"/>
          <w:b/>
          <w:bCs/>
          <w:color w:val="000000" w:themeColor="text1"/>
          <w:szCs w:val="21"/>
          <w:highlight w:val="none"/>
          <w14:textFill>
            <w14:solidFill>
              <w14:schemeClr w14:val="tx1"/>
            </w14:solidFill>
          </w14:textFill>
        </w:rPr>
        <w:t>报价采用</w:t>
      </w:r>
      <w:r>
        <w:rPr>
          <w:rFonts w:hint="eastAsia" w:ascii="仿宋" w:hAnsi="仿宋" w:eastAsia="仿宋" w:cs="仿宋"/>
          <w:b/>
          <w:bCs/>
          <w:color w:val="000000" w:themeColor="text1"/>
          <w:szCs w:val="21"/>
          <w:highlight w:val="none"/>
          <w:lang w:val="en-US" w:eastAsia="zh-CN"/>
          <w14:textFill>
            <w14:solidFill>
              <w14:schemeClr w14:val="tx1"/>
            </w14:solidFill>
          </w14:textFill>
        </w:rPr>
        <w:t>人民币</w:t>
      </w:r>
      <w:r>
        <w:rPr>
          <w:rFonts w:hint="eastAsia" w:ascii="仿宋" w:hAnsi="仿宋" w:eastAsia="仿宋" w:cs="仿宋"/>
          <w:b/>
          <w:bCs/>
          <w:color w:val="000000" w:themeColor="text1"/>
          <w:szCs w:val="21"/>
          <w:highlight w:val="none"/>
          <w14:textFill>
            <w14:solidFill>
              <w14:schemeClr w14:val="tx1"/>
            </w14:solidFill>
          </w14:textFill>
        </w:rPr>
        <w:t>报价</w:t>
      </w: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投标人应根据本招标文件相关报价文件进行报价。投标人应根据本招标文件相关报价文件进行报价。投标人报价须包括员工工资、福利保障、社会保险（包括养老、工伤、失业、医疗、生育）、利润、税金、代理费、政策性文件规定及合同包含的所有风险及责任等所有费用。投标人应充分考虑项目实施过程中可能发生的一切费用。无论报价过程中的作法和结果如何，投标人将自行承担所有与报价有关的全部费用。</w:t>
      </w:r>
    </w:p>
    <w:p w14:paraId="636B7962">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w:t>
      </w:r>
      <w:bookmarkStart w:id="31" w:name="OLE_LINK42"/>
      <w:r>
        <w:rPr>
          <w:rFonts w:hint="eastAsia" w:ascii="仿宋" w:hAnsi="仿宋" w:eastAsia="仿宋" w:cs="仿宋"/>
          <w:color w:val="000000" w:themeColor="text1"/>
          <w:szCs w:val="21"/>
          <w:highlight w:val="none"/>
          <w14:textFill>
            <w14:solidFill>
              <w14:schemeClr w14:val="tx1"/>
            </w14:solidFill>
          </w14:textFill>
        </w:rPr>
        <w:t>投标人应按要求填写《投标函》，投标函不得有空</w:t>
      </w:r>
      <w:bookmarkEnd w:id="31"/>
      <w:r>
        <w:rPr>
          <w:rFonts w:hint="eastAsia" w:ascii="仿宋" w:hAnsi="仿宋" w:eastAsia="仿宋" w:cs="仿宋"/>
          <w:color w:val="000000" w:themeColor="text1"/>
          <w:szCs w:val="21"/>
          <w:highlight w:val="none"/>
          <w14:textFill>
            <w14:solidFill>
              <w14:schemeClr w14:val="tx1"/>
            </w14:solidFill>
          </w14:textFill>
        </w:rPr>
        <w:t xml:space="preserve">项。 </w:t>
      </w:r>
    </w:p>
    <w:p w14:paraId="330423AF">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w:t>
      </w:r>
      <w:bookmarkStart w:id="32" w:name="OLE_LINK43"/>
      <w:r>
        <w:rPr>
          <w:rFonts w:hint="eastAsia" w:ascii="仿宋" w:hAnsi="仿宋" w:eastAsia="仿宋" w:cs="仿宋"/>
          <w:color w:val="000000" w:themeColor="text1"/>
          <w:szCs w:val="21"/>
          <w:highlight w:val="none"/>
          <w14:textFill>
            <w14:solidFill>
              <w14:schemeClr w14:val="tx1"/>
            </w14:solidFill>
          </w14:textFill>
        </w:rPr>
        <w:t>投标人应按招标文件的要求认真填写相应材料，</w:t>
      </w:r>
      <w:bookmarkEnd w:id="32"/>
      <w:r>
        <w:rPr>
          <w:rFonts w:hint="eastAsia" w:ascii="仿宋" w:hAnsi="仿宋" w:eastAsia="仿宋" w:cs="仿宋"/>
          <w:color w:val="000000" w:themeColor="text1"/>
          <w:szCs w:val="21"/>
          <w:highlight w:val="none"/>
          <w14:textFill>
            <w14:solidFill>
              <w14:schemeClr w14:val="tx1"/>
            </w14:solidFill>
          </w14:textFill>
        </w:rPr>
        <w:t>招标文件对本项目只允许有一个投标报价，招标人不接受有任何选择的投标报价。</w:t>
      </w:r>
    </w:p>
    <w:p w14:paraId="7ABA74E1">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kern w:val="0"/>
          <w:szCs w:val="21"/>
          <w:highlight w:val="none"/>
          <w14:textFill>
            <w14:solidFill>
              <w14:schemeClr w14:val="tx1"/>
            </w14:solidFill>
          </w14:textFill>
        </w:rPr>
      </w:pPr>
      <w:bookmarkStart w:id="33" w:name="_Toc135552943"/>
      <w:bookmarkStart w:id="34" w:name="_Toc170700684"/>
      <w:bookmarkStart w:id="35" w:name="_Toc135553083"/>
      <w:r>
        <w:rPr>
          <w:rFonts w:hint="eastAsia" w:ascii="仿宋" w:hAnsi="仿宋" w:eastAsia="仿宋" w:cs="仿宋"/>
          <w:color w:val="000000" w:themeColor="text1"/>
          <w:kern w:val="0"/>
          <w:szCs w:val="21"/>
          <w:highlight w:val="none"/>
          <w14:textFill>
            <w14:solidFill>
              <w14:schemeClr w14:val="tx1"/>
            </w14:solidFill>
          </w14:textFill>
        </w:rPr>
        <w:t>12.投标保证金</w:t>
      </w:r>
      <w:bookmarkEnd w:id="33"/>
      <w:bookmarkEnd w:id="34"/>
      <w:bookmarkEnd w:id="35"/>
    </w:p>
    <w:p w14:paraId="4EDEBC95">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kern w:val="0"/>
          <w:szCs w:val="21"/>
          <w:highlight w:val="none"/>
          <w14:textFill>
            <w14:solidFill>
              <w14:schemeClr w14:val="tx1"/>
            </w14:solidFill>
          </w14:textFill>
        </w:rPr>
      </w:pPr>
      <w:bookmarkStart w:id="36" w:name="OLE_LINK26"/>
      <w:r>
        <w:rPr>
          <w:rFonts w:hint="eastAsia" w:ascii="仿宋" w:hAnsi="仿宋" w:eastAsia="仿宋" w:cs="仿宋"/>
          <w:color w:val="000000" w:themeColor="text1"/>
          <w:kern w:val="0"/>
          <w:szCs w:val="21"/>
          <w:highlight w:val="none"/>
          <w14:textFill>
            <w14:solidFill>
              <w14:schemeClr w14:val="tx1"/>
            </w14:solidFill>
          </w14:textFill>
        </w:rPr>
        <w:t>12.1 投标人在递交投标文件的同时，应按投标人须知前附表规定的金额、支付形式递交投标保证金，并作为其投标文件的组成部分。</w:t>
      </w:r>
    </w:p>
    <w:p w14:paraId="446D936E">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12.2 </w:t>
      </w:r>
      <w:r>
        <w:rPr>
          <w:rFonts w:hint="eastAsia" w:ascii="仿宋" w:hAnsi="仿宋" w:eastAsia="仿宋" w:cs="仿宋"/>
          <w:bCs/>
          <w:color w:val="000000" w:themeColor="text1"/>
          <w:kern w:val="0"/>
          <w:szCs w:val="21"/>
          <w:highlight w:val="none"/>
          <w14:textFill>
            <w14:solidFill>
              <w14:schemeClr w14:val="tx1"/>
            </w14:solidFill>
          </w14:textFill>
        </w:rPr>
        <w:t>投标人不按要求提交投标保证金的，其投标文件不予受理。</w:t>
      </w:r>
    </w:p>
    <w:p w14:paraId="73F67341">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12.3 </w:t>
      </w:r>
      <w:r>
        <w:rPr>
          <w:rFonts w:hint="eastAsia" w:ascii="仿宋" w:hAnsi="仿宋" w:eastAsia="仿宋" w:cs="仿宋"/>
          <w:color w:val="000000" w:themeColor="text1"/>
          <w:szCs w:val="21"/>
          <w:highlight w:val="none"/>
          <w14:textFill>
            <w14:solidFill>
              <w14:schemeClr w14:val="tx1"/>
            </w14:solidFill>
          </w14:textFill>
        </w:rPr>
        <w:t>未中标的投标人投标保证金在中标通知书发出后5个工作日内退还，中标人和备选人的投标保证金在合同签订后5个工作日内退回。所有的投标保证金将退至其公司账户。</w:t>
      </w:r>
    </w:p>
    <w:p w14:paraId="0078199C">
      <w:pPr>
        <w:snapToGrid w:val="0"/>
        <w:spacing w:line="380" w:lineRule="exact"/>
        <w:ind w:firstLine="413" w:firstLineChars="196"/>
        <w:jc w:val="left"/>
        <w:rPr>
          <w:rFonts w:hint="eastAsia" w:ascii="仿宋" w:hAnsi="仿宋" w:eastAsia="仿宋" w:cs="仿宋"/>
          <w:b/>
          <w:color w:val="000000" w:themeColor="text1"/>
          <w:kern w:val="0"/>
          <w:szCs w:val="21"/>
          <w:highlight w:val="none"/>
          <w14:textFill>
            <w14:solidFill>
              <w14:schemeClr w14:val="tx1"/>
            </w14:solidFill>
          </w14:textFill>
        </w:rPr>
      </w:pPr>
      <w:bookmarkStart w:id="37" w:name="OLE_LINK27"/>
      <w:r>
        <w:rPr>
          <w:rFonts w:hint="eastAsia" w:ascii="仿宋" w:hAnsi="仿宋" w:eastAsia="仿宋" w:cs="仿宋"/>
          <w:b/>
          <w:color w:val="000000" w:themeColor="text1"/>
          <w:kern w:val="0"/>
          <w:szCs w:val="21"/>
          <w:highlight w:val="none"/>
          <w14:textFill>
            <w14:solidFill>
              <w14:schemeClr w14:val="tx1"/>
            </w14:solidFill>
          </w14:textFill>
        </w:rPr>
        <w:t>12.4有下列情形之一的</w:t>
      </w:r>
      <w:bookmarkEnd w:id="37"/>
      <w:r>
        <w:rPr>
          <w:rFonts w:hint="eastAsia" w:ascii="仿宋" w:hAnsi="仿宋" w:eastAsia="仿宋" w:cs="仿宋"/>
          <w:b/>
          <w:color w:val="000000" w:themeColor="text1"/>
          <w:kern w:val="0"/>
          <w:szCs w:val="21"/>
          <w:highlight w:val="none"/>
          <w14:textFill>
            <w14:solidFill>
              <w14:schemeClr w14:val="tx1"/>
            </w14:solidFill>
          </w14:textFill>
        </w:rPr>
        <w:t>，</w:t>
      </w:r>
      <w:bookmarkStart w:id="38" w:name="OLE_LINK28"/>
      <w:r>
        <w:rPr>
          <w:rFonts w:hint="eastAsia" w:ascii="仿宋" w:hAnsi="仿宋" w:eastAsia="仿宋" w:cs="仿宋"/>
          <w:b/>
          <w:color w:val="000000" w:themeColor="text1"/>
          <w:kern w:val="0"/>
          <w:szCs w:val="21"/>
          <w:highlight w:val="none"/>
          <w14:textFill>
            <w14:solidFill>
              <w14:schemeClr w14:val="tx1"/>
            </w14:solidFill>
          </w14:textFill>
        </w:rPr>
        <w:t>投标保证金将不予退还</w:t>
      </w:r>
      <w:bookmarkEnd w:id="38"/>
      <w:r>
        <w:rPr>
          <w:rFonts w:hint="eastAsia" w:ascii="仿宋" w:hAnsi="仿宋" w:eastAsia="仿宋" w:cs="仿宋"/>
          <w:b/>
          <w:color w:val="000000" w:themeColor="text1"/>
          <w:kern w:val="0"/>
          <w:szCs w:val="21"/>
          <w:highlight w:val="none"/>
          <w14:textFill>
            <w14:solidFill>
              <w14:schemeClr w14:val="tx1"/>
            </w14:solidFill>
          </w14:textFill>
        </w:rPr>
        <w:t>，并在三年内不欢迎参加招标人组织的所有采购活动。</w:t>
      </w:r>
    </w:p>
    <w:p w14:paraId="2B869149">
      <w:pPr>
        <w:snapToGrid w:val="0"/>
        <w:spacing w:line="380" w:lineRule="exact"/>
        <w:ind w:firstLine="413" w:firstLineChars="196"/>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12.4.1</w:t>
      </w:r>
      <w:bookmarkStart w:id="39" w:name="OLE_LINK33"/>
      <w:r>
        <w:rPr>
          <w:rFonts w:hint="eastAsia" w:ascii="仿宋" w:hAnsi="仿宋" w:eastAsia="仿宋" w:cs="仿宋"/>
          <w:b/>
          <w:color w:val="000000" w:themeColor="text1"/>
          <w:kern w:val="0"/>
          <w:szCs w:val="21"/>
          <w:highlight w:val="none"/>
          <w14:textFill>
            <w14:solidFill>
              <w14:schemeClr w14:val="tx1"/>
            </w14:solidFill>
          </w14:textFill>
        </w:rPr>
        <w:t>投标人在投标截止时间后</w:t>
      </w:r>
      <w:bookmarkStart w:id="40" w:name="OLE_LINK32"/>
      <w:r>
        <w:rPr>
          <w:rFonts w:hint="eastAsia" w:ascii="仿宋" w:hAnsi="仿宋" w:eastAsia="仿宋" w:cs="仿宋"/>
          <w:b/>
          <w:color w:val="000000" w:themeColor="text1"/>
          <w:kern w:val="0"/>
          <w:szCs w:val="21"/>
          <w:highlight w:val="none"/>
          <w14:textFill>
            <w14:solidFill>
              <w14:schemeClr w14:val="tx1"/>
            </w14:solidFill>
          </w14:textFill>
        </w:rPr>
        <w:t>撤销</w:t>
      </w:r>
      <w:bookmarkEnd w:id="40"/>
      <w:r>
        <w:rPr>
          <w:rFonts w:hint="eastAsia" w:ascii="仿宋" w:hAnsi="仿宋" w:eastAsia="仿宋" w:cs="仿宋"/>
          <w:b/>
          <w:color w:val="000000" w:themeColor="text1"/>
          <w:kern w:val="0"/>
          <w:szCs w:val="21"/>
          <w:highlight w:val="none"/>
          <w14:textFill>
            <w14:solidFill>
              <w14:schemeClr w14:val="tx1"/>
            </w14:solidFill>
          </w14:textFill>
        </w:rPr>
        <w:t>、或撤回、或修改其投标文件的。</w:t>
      </w:r>
      <w:bookmarkEnd w:id="39"/>
    </w:p>
    <w:p w14:paraId="526E878B">
      <w:pPr>
        <w:snapToGrid w:val="0"/>
        <w:spacing w:line="380" w:lineRule="exact"/>
        <w:ind w:firstLine="422" w:firstLineChars="20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12.4.2</w:t>
      </w:r>
      <w:bookmarkStart w:id="41" w:name="OLE_LINK34"/>
      <w:r>
        <w:rPr>
          <w:rFonts w:hint="eastAsia" w:ascii="仿宋" w:hAnsi="仿宋" w:eastAsia="仿宋" w:cs="仿宋"/>
          <w:b/>
          <w:color w:val="000000" w:themeColor="text1"/>
          <w:kern w:val="0"/>
          <w:szCs w:val="21"/>
          <w:highlight w:val="none"/>
          <w14:textFill>
            <w14:solidFill>
              <w14:schemeClr w14:val="tx1"/>
            </w14:solidFill>
          </w14:textFill>
        </w:rPr>
        <w:t>投标人的投标文件经招标代理签收后但未参加开标会议的。</w:t>
      </w:r>
      <w:bookmarkEnd w:id="41"/>
    </w:p>
    <w:p w14:paraId="2D239285">
      <w:pPr>
        <w:autoSpaceDE w:val="0"/>
        <w:autoSpaceDN w:val="0"/>
        <w:adjustRightInd w:val="0"/>
        <w:snapToGrid w:val="0"/>
        <w:spacing w:line="380" w:lineRule="exact"/>
        <w:ind w:firstLine="422" w:firstLineChars="20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12.4.3</w:t>
      </w:r>
      <w:bookmarkStart w:id="42" w:name="OLE_LINK29"/>
      <w:r>
        <w:rPr>
          <w:rFonts w:hint="eastAsia" w:ascii="仿宋" w:hAnsi="仿宋" w:eastAsia="仿宋" w:cs="仿宋"/>
          <w:b/>
          <w:color w:val="000000" w:themeColor="text1"/>
          <w:kern w:val="0"/>
          <w:szCs w:val="21"/>
          <w:highlight w:val="none"/>
          <w14:textFill>
            <w14:solidFill>
              <w14:schemeClr w14:val="tx1"/>
            </w14:solidFill>
          </w14:textFill>
        </w:rPr>
        <w:t xml:space="preserve"> 中标后放弃的、或未按期领取中标通知书、或不递交履约保证金、或未按期签订合同、或修改或拒绝接受已确定的条款；或转让中标的、或取消中标资格的、或不履行合同的。 </w:t>
      </w:r>
    </w:p>
    <w:bookmarkEnd w:id="42"/>
    <w:p w14:paraId="689C1AE8">
      <w:pPr>
        <w:snapToGrid w:val="0"/>
        <w:spacing w:line="380" w:lineRule="exact"/>
        <w:ind w:firstLine="422" w:firstLineChars="20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12.4.4</w:t>
      </w:r>
      <w:bookmarkStart w:id="43" w:name="OLE_LINK35"/>
      <w:r>
        <w:rPr>
          <w:rFonts w:hint="eastAsia" w:ascii="仿宋" w:hAnsi="仿宋" w:eastAsia="仿宋" w:cs="仿宋"/>
          <w:b/>
          <w:color w:val="000000" w:themeColor="text1"/>
          <w:kern w:val="0"/>
          <w:szCs w:val="21"/>
          <w:highlight w:val="none"/>
          <w14:textFill>
            <w14:solidFill>
              <w14:schemeClr w14:val="tx1"/>
            </w14:solidFill>
          </w14:textFill>
        </w:rPr>
        <w:t>投标人在招标期间有串标、哄抬标价等违法违规行为的。</w:t>
      </w:r>
      <w:bookmarkEnd w:id="43"/>
    </w:p>
    <w:p w14:paraId="5800173F">
      <w:pPr>
        <w:snapToGrid w:val="0"/>
        <w:spacing w:line="380" w:lineRule="exact"/>
        <w:ind w:firstLine="422" w:firstLineChars="20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12.4.5</w:t>
      </w:r>
      <w:bookmarkStart w:id="44" w:name="OLE_LINK36"/>
      <w:r>
        <w:rPr>
          <w:rFonts w:hint="eastAsia" w:ascii="仿宋" w:hAnsi="仿宋" w:eastAsia="仿宋" w:cs="仿宋"/>
          <w:b/>
          <w:color w:val="000000" w:themeColor="text1"/>
          <w:kern w:val="0"/>
          <w:szCs w:val="21"/>
          <w:highlight w:val="none"/>
          <w14:textFill>
            <w14:solidFill>
              <w14:schemeClr w14:val="tx1"/>
            </w14:solidFill>
          </w14:textFill>
        </w:rPr>
        <w:t>招标过程及投标文件中有弄虚作假行为，提供虚假证明材料的。</w:t>
      </w:r>
    </w:p>
    <w:bookmarkEnd w:id="44"/>
    <w:p w14:paraId="31F27585">
      <w:pPr>
        <w:snapToGrid w:val="0"/>
        <w:spacing w:line="380" w:lineRule="exact"/>
        <w:ind w:firstLine="422" w:firstLineChars="20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12.4.6</w:t>
      </w:r>
      <w:bookmarkStart w:id="45" w:name="OLE_LINK30"/>
      <w:r>
        <w:rPr>
          <w:rFonts w:hint="eastAsia" w:ascii="仿宋" w:hAnsi="仿宋" w:eastAsia="仿宋" w:cs="仿宋"/>
          <w:b/>
          <w:color w:val="000000" w:themeColor="text1"/>
          <w:kern w:val="0"/>
          <w:szCs w:val="21"/>
          <w:highlight w:val="none"/>
          <w14:textFill>
            <w14:solidFill>
              <w14:schemeClr w14:val="tx1"/>
            </w14:solidFill>
          </w14:textFill>
        </w:rPr>
        <w:t>如属本省系统内处级以上领导干部（含副调研员和离退休干部）、招标人科级领导干部亲属及其特定关系人的企业，包括领导干部亲属及其特定关系人实际控制或担任股东或有关联交易、依托关系的企业。</w:t>
      </w:r>
      <w:bookmarkEnd w:id="45"/>
    </w:p>
    <w:p w14:paraId="6C8FAFDF">
      <w:pPr>
        <w:snapToGrid w:val="0"/>
        <w:spacing w:line="380" w:lineRule="exact"/>
        <w:ind w:firstLine="422" w:firstLineChars="20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12.4.7</w:t>
      </w:r>
      <w:bookmarkStart w:id="46" w:name="OLE_LINK31"/>
      <w:r>
        <w:rPr>
          <w:rFonts w:hint="eastAsia" w:ascii="仿宋" w:hAnsi="仿宋" w:eastAsia="仿宋" w:cs="仿宋"/>
          <w:b/>
          <w:color w:val="000000" w:themeColor="text1"/>
          <w:kern w:val="0"/>
          <w:szCs w:val="21"/>
          <w:highlight w:val="none"/>
          <w14:textFill>
            <w14:solidFill>
              <w14:schemeClr w14:val="tx1"/>
            </w14:solidFill>
          </w14:textFill>
        </w:rPr>
        <w:t>如给予招标人有关工作人员提供现金、实物、有价证券或服务，经查实属于商业贿赂的。</w:t>
      </w:r>
    </w:p>
    <w:bookmarkEnd w:id="46"/>
    <w:p w14:paraId="06B15782">
      <w:pPr>
        <w:snapToGrid w:val="0"/>
        <w:spacing w:line="380" w:lineRule="exact"/>
        <w:ind w:firstLine="422" w:firstLineChars="20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12.4.8</w:t>
      </w:r>
      <w:bookmarkStart w:id="47" w:name="OLE_LINK37"/>
      <w:r>
        <w:rPr>
          <w:rFonts w:hint="eastAsia" w:ascii="仿宋" w:hAnsi="仿宋" w:eastAsia="仿宋" w:cs="仿宋"/>
          <w:b/>
          <w:color w:val="000000" w:themeColor="text1"/>
          <w:kern w:val="0"/>
          <w:szCs w:val="21"/>
          <w:highlight w:val="none"/>
          <w14:textFill>
            <w14:solidFill>
              <w14:schemeClr w14:val="tx1"/>
            </w14:solidFill>
          </w14:textFill>
        </w:rPr>
        <w:t>其他违反法律法规行为的。</w:t>
      </w:r>
      <w:bookmarkEnd w:id="47"/>
    </w:p>
    <w:bookmarkEnd w:id="36"/>
    <w:p w14:paraId="30CB01FC">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bookmarkStart w:id="48" w:name="_Toc135553084"/>
      <w:bookmarkStart w:id="49" w:name="_Toc135552944"/>
      <w:bookmarkStart w:id="50" w:name="_Toc170700685"/>
      <w:r>
        <w:rPr>
          <w:rFonts w:hint="eastAsia" w:ascii="仿宋" w:hAnsi="仿宋" w:eastAsia="仿宋" w:cs="仿宋"/>
          <w:color w:val="000000" w:themeColor="text1"/>
          <w:szCs w:val="21"/>
          <w:highlight w:val="none"/>
          <w14:textFill>
            <w14:solidFill>
              <w14:schemeClr w14:val="tx1"/>
            </w14:solidFill>
          </w14:textFill>
        </w:rPr>
        <w:t>13.投标文件的有效期</w:t>
      </w:r>
      <w:bookmarkEnd w:id="48"/>
      <w:bookmarkEnd w:id="49"/>
      <w:bookmarkEnd w:id="50"/>
    </w:p>
    <w:p w14:paraId="133A8F92">
      <w:pPr>
        <w:pStyle w:val="13"/>
        <w:adjustRightInd w:val="0"/>
        <w:snapToGrid w:val="0"/>
        <w:spacing w:line="38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13.1自开标之日起90天内，投标文件应保持有效。有效期短于这个规定期限的投标文件将被拒绝。签订合同后，中标人的投标文件有效期跟随合同有效期。</w:t>
      </w:r>
    </w:p>
    <w:p w14:paraId="733558E0">
      <w:pPr>
        <w:pStyle w:val="13"/>
        <w:adjustRightInd w:val="0"/>
        <w:snapToGrid w:val="0"/>
        <w:spacing w:line="38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13.2在特殊情况下，招标人可与投标人协商延长投标文件的有效期,这种要求和答复均应以书面形式进行。</w:t>
      </w:r>
    </w:p>
    <w:p w14:paraId="5D2D96D7">
      <w:pPr>
        <w:pStyle w:val="13"/>
        <w:adjustRightInd w:val="0"/>
        <w:snapToGrid w:val="0"/>
        <w:spacing w:line="38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 投标人可拒绝接受延期要求而不会导致投标保证金被没收。同意延长有效期的投标人不能修改投标文件。</w:t>
      </w:r>
    </w:p>
    <w:p w14:paraId="6071770A">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bookmarkStart w:id="51" w:name="_Toc135552945"/>
      <w:bookmarkStart w:id="52" w:name="_Toc170700686"/>
      <w:bookmarkStart w:id="53" w:name="_Toc135553085"/>
      <w:r>
        <w:rPr>
          <w:rFonts w:hint="eastAsia" w:ascii="仿宋" w:hAnsi="仿宋" w:eastAsia="仿宋" w:cs="仿宋"/>
          <w:color w:val="000000" w:themeColor="text1"/>
          <w:szCs w:val="21"/>
          <w:highlight w:val="none"/>
          <w14:textFill>
            <w14:solidFill>
              <w14:schemeClr w14:val="tx1"/>
            </w14:solidFill>
          </w14:textFill>
        </w:rPr>
        <w:t>14.投标文件的签署和份数</w:t>
      </w:r>
      <w:bookmarkEnd w:id="51"/>
      <w:bookmarkEnd w:id="52"/>
      <w:bookmarkEnd w:id="53"/>
      <w:bookmarkStart w:id="54" w:name="_Toc135552946"/>
      <w:bookmarkStart w:id="55" w:name="_Toc170700687"/>
      <w:bookmarkStart w:id="56" w:name="_Toc135553086"/>
    </w:p>
    <w:p w14:paraId="456D772E">
      <w:pPr>
        <w:pStyle w:val="13"/>
        <w:snapToGrid w:val="0"/>
        <w:spacing w:line="42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14.1投标文件须由投标人在规定位置盖章并由法定代表人或法定代表人的授权委托人签署，投标人应写全称。投标文件的副本可复印。</w:t>
      </w:r>
      <w:r>
        <w:rPr>
          <w:rFonts w:hint="eastAsia" w:ascii="仿宋" w:hAnsi="仿宋" w:eastAsia="仿宋" w:cs="仿宋"/>
          <w:b/>
          <w:color w:val="000000" w:themeColor="text1"/>
          <w:highlight w:val="none"/>
          <w14:textFill>
            <w14:solidFill>
              <w14:schemeClr w14:val="tx1"/>
            </w14:solidFill>
          </w14:textFill>
        </w:rPr>
        <w:t>投标文件里除了签名外必须打印。</w:t>
      </w:r>
      <w:r>
        <w:rPr>
          <w:rFonts w:hint="eastAsia" w:ascii="仿宋" w:hAnsi="仿宋" w:eastAsia="仿宋" w:cs="仿宋"/>
          <w:color w:val="000000" w:themeColor="text1"/>
          <w:highlight w:val="none"/>
          <w14:textFill>
            <w14:solidFill>
              <w14:schemeClr w14:val="tx1"/>
            </w14:solidFill>
          </w14:textFill>
        </w:rPr>
        <w:t xml:space="preserve"> 投标文件的封面、投标函应加盖投标人公章并经法定代表人或其委托代理人签字或盖章。由委托代理人签字或盖章的在投标文件中必须同时提交投标文件签署授权委托书，投标文件签署授权委托书格式、签字、盖章及内容均应符合要求，否则投标文件签署授权委托书无效。</w:t>
      </w:r>
    </w:p>
    <w:p w14:paraId="334093D8">
      <w:pPr>
        <w:autoSpaceDE w:val="0"/>
        <w:autoSpaceDN w:val="0"/>
        <w:adjustRightInd w:val="0"/>
        <w:snapToGrid w:val="0"/>
        <w:spacing w:line="380" w:lineRule="exact"/>
        <w:ind w:firstLine="420"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14.2 投标文件的份数</w:t>
      </w:r>
    </w:p>
    <w:p w14:paraId="0CF298AF">
      <w:pPr>
        <w:autoSpaceDE w:val="0"/>
        <w:autoSpaceDN w:val="0"/>
        <w:adjustRightInd w:val="0"/>
        <w:snapToGrid w:val="0"/>
        <w:spacing w:line="380" w:lineRule="exact"/>
        <w:ind w:firstLine="422" w:firstLineChars="20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投标文件的资信技术文件、报价文件各一式五份，其中正本一份，副本四份，正本与副本内容不一致的以正本为准。</w:t>
      </w:r>
      <w:r>
        <w:rPr>
          <w:rFonts w:hint="eastAsia" w:ascii="仿宋" w:hAnsi="仿宋" w:eastAsia="仿宋" w:cs="仿宋"/>
          <w:color w:val="000000" w:themeColor="text1"/>
          <w:szCs w:val="21"/>
          <w:highlight w:val="none"/>
          <w14:textFill>
            <w14:solidFill>
              <w14:schemeClr w14:val="tx1"/>
            </w14:solidFill>
          </w14:textFill>
        </w:rPr>
        <w:t>投标文件的正本需打印或用不褪色的材料填写，并注明“正本”字样。投标文件的副本可复印。</w:t>
      </w:r>
      <w:r>
        <w:rPr>
          <w:rFonts w:hint="eastAsia" w:ascii="仿宋" w:hAnsi="仿宋" w:eastAsia="仿宋" w:cs="仿宋"/>
          <w:b/>
          <w:color w:val="000000" w:themeColor="text1"/>
          <w:szCs w:val="21"/>
          <w:highlight w:val="none"/>
          <w14:textFill>
            <w14:solidFill>
              <w14:schemeClr w14:val="tx1"/>
            </w14:solidFill>
          </w14:textFill>
        </w:rPr>
        <w:t>投标文件应当分别胶装成册，不得活页装订。</w:t>
      </w:r>
      <w:r>
        <w:rPr>
          <w:rFonts w:hint="eastAsia" w:ascii="仿宋" w:hAnsi="仿宋" w:eastAsia="仿宋" w:cs="仿宋"/>
          <w:color w:val="000000" w:themeColor="text1"/>
          <w:szCs w:val="21"/>
          <w:highlight w:val="none"/>
          <w14:textFill>
            <w14:solidFill>
              <w14:schemeClr w14:val="tx1"/>
            </w14:solidFill>
          </w14:textFill>
        </w:rPr>
        <w:t>建议投标人尽量双面使用纸张。</w:t>
      </w:r>
    </w:p>
    <w:p w14:paraId="6C6F7135">
      <w:pPr>
        <w:pStyle w:val="13"/>
        <w:adjustRightInd w:val="0"/>
        <w:snapToGrid w:val="0"/>
        <w:spacing w:line="38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14.3包装及密封</w:t>
      </w:r>
    </w:p>
    <w:p w14:paraId="3100D77B">
      <w:pPr>
        <w:pStyle w:val="13"/>
        <w:adjustRightInd w:val="0"/>
        <w:snapToGrid w:val="0"/>
        <w:spacing w:line="38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将装订好的 “正本”和“副本”，按报价文件、资信技术文件分别密封包装在密封袋内，须密封并在封口处加盖投标人公章或密封章，封套上应注明：</w:t>
      </w:r>
      <w:r>
        <w:rPr>
          <w:rFonts w:hint="eastAsia" w:ascii="仿宋" w:hAnsi="仿宋" w:eastAsia="仿宋" w:cs="仿宋"/>
          <w:b/>
          <w:color w:val="000000" w:themeColor="text1"/>
          <w:highlight w:val="none"/>
          <w14:textFill>
            <w14:solidFill>
              <w14:schemeClr w14:val="tx1"/>
            </w14:solidFill>
          </w14:textFill>
        </w:rPr>
        <w:t>“招标项目名称、投标文件名称（资信技术文件或报价文件）、投标人名称及在投标截止时间前不得开启”</w:t>
      </w:r>
      <w:r>
        <w:rPr>
          <w:rFonts w:hint="eastAsia" w:ascii="仿宋" w:hAnsi="仿宋" w:eastAsia="仿宋" w:cs="仿宋"/>
          <w:color w:val="000000" w:themeColor="text1"/>
          <w:highlight w:val="none"/>
          <w14:textFill>
            <w14:solidFill>
              <w14:schemeClr w14:val="tx1"/>
            </w14:solidFill>
          </w14:textFill>
        </w:rPr>
        <w:t>等字样。</w:t>
      </w:r>
    </w:p>
    <w:p w14:paraId="11B2107D">
      <w:pPr>
        <w:pStyle w:val="13"/>
        <w:adjustRightInd w:val="0"/>
        <w:snapToGrid w:val="0"/>
        <w:spacing w:line="380" w:lineRule="exact"/>
        <w:ind w:firstLine="384" w:firstLineChars="182"/>
        <w:jc w:val="lef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如果投标人未按要求密封和盖章，招标代理将拒收或者告知投标人招标代理将不承担投标文件错放或提前开封的责任。对由此造成的提前开封的投标文件将予以拒绝，并退还给投标人。</w:t>
      </w:r>
      <w:bookmarkStart w:id="57" w:name="_Toc304283806"/>
    </w:p>
    <w:p w14:paraId="088C8482">
      <w:pPr>
        <w:pStyle w:val="6"/>
        <w:snapToGrid w:val="0"/>
        <w:spacing w:line="3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（三）投标文件的递交</w:t>
      </w:r>
      <w:bookmarkEnd w:id="54"/>
      <w:bookmarkEnd w:id="55"/>
      <w:bookmarkEnd w:id="56"/>
      <w:bookmarkEnd w:id="57"/>
    </w:p>
    <w:p w14:paraId="700CAF6E">
      <w:pPr>
        <w:pStyle w:val="13"/>
        <w:adjustRightInd w:val="0"/>
        <w:snapToGrid w:val="0"/>
        <w:spacing w:line="380" w:lineRule="exact"/>
        <w:jc w:val="left"/>
        <w:rPr>
          <w:rFonts w:hint="eastAsia" w:ascii="仿宋" w:hAnsi="仿宋" w:eastAsia="仿宋" w:cs="仿宋"/>
          <w:color w:val="000000" w:themeColor="text1"/>
          <w:highlight w:val="none"/>
          <w14:textFill>
            <w14:solidFill>
              <w14:schemeClr w14:val="tx1"/>
            </w14:solidFill>
          </w14:textFill>
        </w:rPr>
      </w:pPr>
      <w:bookmarkStart w:id="58" w:name="_Toc170700689"/>
      <w:bookmarkStart w:id="59" w:name="_Toc135553088"/>
      <w:bookmarkStart w:id="60" w:name="_Toc135552948"/>
      <w:r>
        <w:rPr>
          <w:rFonts w:hint="eastAsia" w:ascii="仿宋" w:hAnsi="仿宋" w:eastAsia="仿宋" w:cs="仿宋"/>
          <w:color w:val="000000" w:themeColor="text1"/>
          <w:highlight w:val="none"/>
          <w14:textFill>
            <w14:solidFill>
              <w14:schemeClr w14:val="tx1"/>
            </w14:solidFill>
          </w14:textFill>
        </w:rPr>
        <w:t>15.投标文件递交截止时间</w:t>
      </w:r>
      <w:bookmarkEnd w:id="58"/>
      <w:bookmarkEnd w:id="59"/>
      <w:bookmarkEnd w:id="60"/>
    </w:p>
    <w:p w14:paraId="229D3A79">
      <w:pPr>
        <w:pStyle w:val="13"/>
        <w:adjustRightInd w:val="0"/>
        <w:snapToGrid w:val="0"/>
        <w:spacing w:line="380" w:lineRule="exact"/>
        <w:ind w:firstLine="480"/>
        <w:jc w:val="lef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15.1</w:t>
      </w:r>
      <w:r>
        <w:rPr>
          <w:rFonts w:hint="eastAsia" w:ascii="仿宋" w:hAnsi="仿宋" w:eastAsia="仿宋" w:cs="仿宋"/>
          <w:b/>
          <w:bCs/>
          <w:color w:val="000000" w:themeColor="text1"/>
          <w:highlight w:val="none"/>
          <w14:textFill>
            <w14:solidFill>
              <w14:schemeClr w14:val="tx1"/>
            </w14:solidFill>
          </w14:textFill>
        </w:rPr>
        <w:t>投标文件必须在前附表规定的截止时间前按招标文件规定送达指定的招标地点。</w:t>
      </w:r>
    </w:p>
    <w:p w14:paraId="7A1A208B">
      <w:pPr>
        <w:pStyle w:val="13"/>
        <w:adjustRightInd w:val="0"/>
        <w:snapToGrid w:val="0"/>
        <w:spacing w:line="380" w:lineRule="exact"/>
        <w:ind w:firstLine="480"/>
        <w:jc w:val="lef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15.2开标现场需单独递交核查的材料，包括参加开标会的法定代表人或委托代理人身份证原件，委托代理人参加开标会议的需提供法定代表人授权委托书原件（如授权委托书装订在投标文件中，要有另行书面说明，开标后查验不符合要求的，做无效投标）。</w:t>
      </w:r>
    </w:p>
    <w:p w14:paraId="3DADB645">
      <w:pPr>
        <w:pStyle w:val="13"/>
        <w:adjustRightInd w:val="0"/>
        <w:snapToGrid w:val="0"/>
        <w:spacing w:line="380" w:lineRule="exact"/>
        <w:ind w:firstLine="480"/>
        <w:jc w:val="lef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以上核查材料在</w:t>
      </w:r>
      <w:r>
        <w:rPr>
          <w:rFonts w:hint="eastAsia" w:ascii="仿宋" w:hAnsi="仿宋" w:eastAsia="仿宋" w:cs="仿宋"/>
          <w:b/>
          <w:bCs/>
          <w:color w:val="000000" w:themeColor="text1"/>
          <w:highlight w:val="none"/>
          <w14:textFill>
            <w14:solidFill>
              <w14:schemeClr w14:val="tx1"/>
            </w14:solidFill>
          </w14:textFill>
        </w:rPr>
        <w:t>开标截止时间前未提供的，其投标文件不予受理。</w:t>
      </w:r>
    </w:p>
    <w:p w14:paraId="384F656C">
      <w:pPr>
        <w:pStyle w:val="13"/>
        <w:adjustRightInd w:val="0"/>
        <w:snapToGrid w:val="0"/>
        <w:spacing w:line="380" w:lineRule="exact"/>
        <w:jc w:val="lef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15.3招标人如因故推迟招标时间，应在发布招标公告的媒体上发布信息。在这种情况下，招标人和投标人的权利和义务将受到新的截止时间的约束。</w:t>
      </w:r>
    </w:p>
    <w:p w14:paraId="6DDFDC0D">
      <w:pPr>
        <w:pStyle w:val="13"/>
        <w:adjustRightInd w:val="0"/>
        <w:snapToGrid w:val="0"/>
        <w:spacing w:line="38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bookmarkStart w:id="61" w:name="_Toc135553089"/>
      <w:bookmarkStart w:id="62" w:name="_Toc170700690"/>
      <w:bookmarkStart w:id="63" w:name="_Toc135552949"/>
      <w:r>
        <w:rPr>
          <w:rFonts w:hint="eastAsia" w:ascii="仿宋" w:hAnsi="仿宋" w:eastAsia="仿宋" w:cs="仿宋"/>
          <w:color w:val="000000" w:themeColor="text1"/>
          <w:highlight w:val="none"/>
          <w14:textFill>
            <w14:solidFill>
              <w14:schemeClr w14:val="tx1"/>
            </w14:solidFill>
          </w14:textFill>
        </w:rPr>
        <w:t>16.投标文件的修改和撤回</w:t>
      </w:r>
      <w:bookmarkEnd w:id="61"/>
      <w:bookmarkEnd w:id="62"/>
      <w:bookmarkEnd w:id="63"/>
    </w:p>
    <w:p w14:paraId="58C7059C">
      <w:pPr>
        <w:pStyle w:val="13"/>
        <w:adjustRightInd w:val="0"/>
        <w:snapToGrid w:val="0"/>
        <w:spacing w:line="380" w:lineRule="exact"/>
        <w:jc w:val="left"/>
        <w:rPr>
          <w:rFonts w:hint="eastAsia" w:ascii="仿宋" w:hAnsi="仿宋" w:eastAsia="仿宋" w:cs="仿宋"/>
          <w:color w:val="000000" w:themeColor="text1"/>
          <w:highlight w:val="none"/>
          <w14:textFill>
            <w14:solidFill>
              <w14:schemeClr w14:val="tx1"/>
            </w14:solidFill>
          </w14:textFill>
        </w:rPr>
      </w:pPr>
      <w:bookmarkStart w:id="64" w:name="_Toc135552950"/>
      <w:bookmarkStart w:id="65" w:name="_Toc135553090"/>
      <w:bookmarkStart w:id="66" w:name="_Toc170700691"/>
      <w:r>
        <w:rPr>
          <w:rFonts w:hint="eastAsia" w:ascii="仿宋" w:hAnsi="仿宋" w:eastAsia="仿宋" w:cs="仿宋"/>
          <w:color w:val="000000" w:themeColor="text1"/>
          <w:highlight w:val="none"/>
          <w14:textFill>
            <w14:solidFill>
              <w14:schemeClr w14:val="tx1"/>
            </w14:solidFill>
          </w14:textFill>
        </w:rPr>
        <w:t xml:space="preserve">    16.1在投标截止时间前，投标人可以用书面形式提出修改或撤回其投标文件并送达到招标代理人。</w:t>
      </w:r>
    </w:p>
    <w:p w14:paraId="6167952A">
      <w:pPr>
        <w:pStyle w:val="13"/>
        <w:adjustRightInd w:val="0"/>
        <w:snapToGrid w:val="0"/>
        <w:spacing w:line="380"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16.2投标人修改或撤回投标文件的书面材料，须密封送达到开标现场交至招标代理人。同时应在封皮上注明“投标文件修改”或“投标文件撤回通知”字样。</w:t>
      </w:r>
    </w:p>
    <w:p w14:paraId="0C05B138">
      <w:pPr>
        <w:pStyle w:val="13"/>
        <w:adjustRightInd w:val="0"/>
        <w:snapToGrid w:val="0"/>
        <w:spacing w:line="380"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16.3若投标人以传真形式通知招标代理人撤回投标文件，随后必须补充有法定代表人或其授权代表签署的正式文件送达到招标代理人。</w:t>
      </w:r>
    </w:p>
    <w:p w14:paraId="1BAE1EA4">
      <w:pPr>
        <w:pStyle w:val="13"/>
        <w:adjustRightInd w:val="0"/>
        <w:snapToGrid w:val="0"/>
        <w:spacing w:line="380"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16.4从投标截止日期起至投标文件有效期满这段时间内，投标人不得撤回其报价，否则其投标保证金将不予退还。</w:t>
      </w:r>
    </w:p>
    <w:p w14:paraId="76994DBD">
      <w:pPr>
        <w:snapToGrid w:val="0"/>
        <w:spacing w:line="380" w:lineRule="exact"/>
        <w:ind w:firstLine="422"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17.发生下列情况之一的，招标代理人不予受理，投标文件将被拒绝接受</w:t>
      </w:r>
      <w:r>
        <w:rPr>
          <w:rFonts w:hint="eastAsia" w:ascii="仿宋" w:hAnsi="仿宋" w:eastAsia="仿宋" w:cs="仿宋"/>
          <w:color w:val="000000" w:themeColor="text1"/>
          <w:szCs w:val="21"/>
          <w:highlight w:val="none"/>
          <w14:textFill>
            <w14:solidFill>
              <w14:schemeClr w14:val="tx1"/>
            </w14:solidFill>
          </w14:textFill>
        </w:rPr>
        <w:t>：</w:t>
      </w:r>
    </w:p>
    <w:p w14:paraId="2FE35BE3">
      <w:pPr>
        <w:snapToGrid w:val="0"/>
        <w:spacing w:line="380" w:lineRule="exact"/>
        <w:ind w:firstLine="413"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17.1逾期送达的或者未送达指定地点的。</w:t>
      </w:r>
    </w:p>
    <w:p w14:paraId="0F294601">
      <w:pPr>
        <w:snapToGrid w:val="0"/>
        <w:spacing w:line="380" w:lineRule="exact"/>
        <w:ind w:firstLine="413"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17.2未按照招标文件规定要求包装、密封的或由于包装不妥严重破损或失散的。</w:t>
      </w:r>
    </w:p>
    <w:p w14:paraId="4EA4A364">
      <w:pPr>
        <w:snapToGrid w:val="0"/>
        <w:spacing w:line="380" w:lineRule="exact"/>
        <w:ind w:firstLine="413" w:firstLineChars="196"/>
        <w:jc w:val="left"/>
        <w:rPr>
          <w:rFonts w:hint="eastAsia" w:ascii="仿宋" w:hAnsi="仿宋" w:eastAsia="仿宋" w:cs="仿宋"/>
          <w:b/>
          <w:color w:val="000000" w:themeColor="text1"/>
          <w:szCs w:val="21"/>
          <w:highlight w:val="none"/>
          <w14:textFill>
            <w14:solidFill>
              <w14:schemeClr w14:val="tx1"/>
            </w14:solidFill>
          </w14:textFill>
        </w:rPr>
      </w:pPr>
      <w:bookmarkStart w:id="67" w:name="_Toc304283807"/>
      <w:r>
        <w:rPr>
          <w:rFonts w:hint="eastAsia" w:ascii="仿宋" w:hAnsi="仿宋" w:eastAsia="仿宋" w:cs="仿宋"/>
          <w:b/>
          <w:color w:val="000000" w:themeColor="text1"/>
          <w:szCs w:val="21"/>
          <w:highlight w:val="none"/>
          <w14:textFill>
            <w14:solidFill>
              <w14:schemeClr w14:val="tx1"/>
            </w14:solidFill>
          </w14:textFill>
        </w:rPr>
        <w:t>17.3未按照招标文件的其他约定。</w:t>
      </w:r>
    </w:p>
    <w:p w14:paraId="5C709AB8">
      <w:pPr>
        <w:pStyle w:val="6"/>
        <w:snapToGrid w:val="0"/>
        <w:spacing w:line="3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（四）开标、评审及合同签订</w:t>
      </w:r>
      <w:bookmarkEnd w:id="64"/>
      <w:bookmarkEnd w:id="65"/>
      <w:bookmarkEnd w:id="66"/>
      <w:bookmarkEnd w:id="67"/>
    </w:p>
    <w:p w14:paraId="02DFFA0A">
      <w:pPr>
        <w:snapToGrid w:val="0"/>
        <w:spacing w:line="380" w:lineRule="exact"/>
        <w:ind w:firstLine="435"/>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18.开标</w:t>
      </w:r>
    </w:p>
    <w:p w14:paraId="497254D4">
      <w:pPr>
        <w:autoSpaceDE w:val="0"/>
        <w:autoSpaceDN w:val="0"/>
        <w:adjustRightInd w:val="0"/>
        <w:snapToGrid w:val="0"/>
        <w:spacing w:line="380" w:lineRule="exact"/>
        <w:ind w:firstLine="42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18.1招标代理宣布投标截止时间，截止时间以国家授时中心标准时间（北京时间）为准，宣布招标会议开始。</w:t>
      </w:r>
    </w:p>
    <w:p w14:paraId="0CAAD17E">
      <w:pPr>
        <w:adjustRightInd w:val="0"/>
        <w:snapToGrid w:val="0"/>
        <w:spacing w:line="380" w:lineRule="exact"/>
        <w:ind w:firstLine="420" w:firstLineChars="20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18.2工作人员确认投标人法定代表人或授权委托代理人资格，投标人法定代表人或法定代表授权委托人作为投标人代表出席开标会议需随身携带身份证原件，委托代理人需提供本人身份证原件、出席开标会议授权委托书原件（或书面说明投标授权委托书原件装订在投标文件内）。工作人员确认投标人投标保证金交纳等情况，</w:t>
      </w:r>
      <w:r>
        <w:rPr>
          <w:rFonts w:hint="eastAsia" w:ascii="仿宋" w:hAnsi="仿宋" w:eastAsia="仿宋" w:cs="仿宋"/>
          <w:b/>
          <w:bCs/>
          <w:color w:val="000000" w:themeColor="text1"/>
          <w:szCs w:val="21"/>
          <w:highlight w:val="none"/>
          <w14:textFill>
            <w14:solidFill>
              <w14:schemeClr w14:val="tx1"/>
            </w14:solidFill>
          </w14:textFill>
        </w:rPr>
        <w:t>如未按招标文件要求递交投标保证金的，招标代理人将不接受其投标文件。</w:t>
      </w:r>
    </w:p>
    <w:p w14:paraId="1FF3CDF8">
      <w:pPr>
        <w:autoSpaceDE w:val="0"/>
        <w:autoSpaceDN w:val="0"/>
        <w:adjustRightInd w:val="0"/>
        <w:snapToGrid w:val="0"/>
        <w:spacing w:line="380" w:lineRule="exact"/>
        <w:ind w:firstLine="42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18.3工作人员检查各投标人的标函密封、标记情况。</w:t>
      </w:r>
    </w:p>
    <w:p w14:paraId="667A3CE4">
      <w:pPr>
        <w:autoSpaceDE w:val="0"/>
        <w:autoSpaceDN w:val="0"/>
        <w:adjustRightInd w:val="0"/>
        <w:snapToGrid w:val="0"/>
        <w:spacing w:line="380" w:lineRule="exact"/>
        <w:ind w:firstLine="42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18.4由工作人员按标书递交时间的后交先开顺序当众启封各投标人的资信技术文件，并送评标委员会评审，宣布投标人的资信技术评审结果。</w:t>
      </w:r>
    </w:p>
    <w:p w14:paraId="7097751B">
      <w:pPr>
        <w:autoSpaceDE w:val="0"/>
        <w:autoSpaceDN w:val="0"/>
        <w:adjustRightInd w:val="0"/>
        <w:snapToGrid w:val="0"/>
        <w:spacing w:line="380" w:lineRule="exact"/>
        <w:ind w:firstLine="42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18.5由工作人员按后交先开顺序拆封各投标人的报价文件，宣布各投标人报价，送评标委员会进行审查，宣布投标人的报价评审结果。</w:t>
      </w:r>
    </w:p>
    <w:p w14:paraId="08F7F69F">
      <w:pPr>
        <w:autoSpaceDE w:val="0"/>
        <w:autoSpaceDN w:val="0"/>
        <w:adjustRightInd w:val="0"/>
        <w:snapToGrid w:val="0"/>
        <w:spacing w:line="380" w:lineRule="exact"/>
        <w:ind w:firstLine="42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18.6在招标人的监督下，进行复核。</w:t>
      </w:r>
    </w:p>
    <w:p w14:paraId="765C9ECA">
      <w:pPr>
        <w:autoSpaceDE w:val="0"/>
        <w:autoSpaceDN w:val="0"/>
        <w:adjustRightInd w:val="0"/>
        <w:snapToGrid w:val="0"/>
        <w:spacing w:line="380" w:lineRule="exact"/>
        <w:ind w:firstLine="42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18.7开标会议结束。</w:t>
      </w:r>
    </w:p>
    <w:p w14:paraId="494FBB00">
      <w:pPr>
        <w:autoSpaceDE w:val="0"/>
        <w:autoSpaceDN w:val="0"/>
        <w:adjustRightInd w:val="0"/>
        <w:snapToGrid w:val="0"/>
        <w:spacing w:line="380" w:lineRule="exact"/>
        <w:ind w:firstLine="42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受理的投标文件将不再退还投标人。</w:t>
      </w:r>
    </w:p>
    <w:p w14:paraId="5DA6238B">
      <w:pPr>
        <w:snapToGrid w:val="0"/>
        <w:spacing w:line="380" w:lineRule="exact"/>
        <w:ind w:firstLine="435"/>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19.评标委员会组成</w:t>
      </w:r>
    </w:p>
    <w:p w14:paraId="77AF6C90">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19.1招标代理依法组建评标委员会。评标委员会成员5人，其中招标人代表1人，专家4人。评标专家确定方式：负责在系统内评标专家库中随机抽取产生或从其他地方专家库中随机抽取。评标小组负责本项目的评标活动。评标小组成员名单在中标结果确定前保密。</w:t>
      </w:r>
    </w:p>
    <w:p w14:paraId="39C47220">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19.2评标委员会对投标人的资格审查并对投标书进行审查、质疑、评估和比较。评委会对投标文件作出的评审结论，应当符合有关法律、法规、规章和招标文件的规定，并按少数服从多数的原则产生。</w:t>
      </w:r>
    </w:p>
    <w:p w14:paraId="71BAF1E8">
      <w:pPr>
        <w:pStyle w:val="13"/>
        <w:snapToGrid w:val="0"/>
        <w:spacing w:line="380" w:lineRule="exact"/>
        <w:ind w:firstLine="422" w:firstLineChars="200"/>
        <w:jc w:val="lef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20.</w:t>
      </w:r>
      <w:r>
        <w:rPr>
          <w:rFonts w:hint="eastAsia" w:ascii="仿宋" w:hAnsi="仿宋" w:eastAsia="仿宋" w:cs="仿宋"/>
          <w:b/>
          <w:color w:val="000000" w:themeColor="text1"/>
          <w:highlight w:val="none"/>
          <w14:textFill>
            <w14:solidFill>
              <w14:schemeClr w14:val="tx1"/>
            </w14:solidFill>
          </w14:textFill>
        </w:rPr>
        <w:t>评标过程的监督</w:t>
      </w:r>
    </w:p>
    <w:p w14:paraId="760942A3">
      <w:pPr>
        <w:pStyle w:val="13"/>
        <w:snapToGrid w:val="0"/>
        <w:spacing w:line="38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本项目评标过程中由招标人及</w:t>
      </w:r>
      <w:r>
        <w:rPr>
          <w:rFonts w:hint="eastAsia" w:ascii="仿宋" w:hAnsi="仿宋" w:eastAsia="仿宋" w:cs="仿宋"/>
          <w:color w:val="000000" w:themeColor="text1"/>
          <w:highlight w:val="none"/>
          <w:lang w:val="en-US" w:eastAsia="zh-CN"/>
          <w14:textFill>
            <w14:solidFill>
              <w14:schemeClr w14:val="tx1"/>
            </w14:solidFill>
          </w14:textFill>
        </w:rPr>
        <w:t>主管</w:t>
      </w:r>
      <w:r>
        <w:rPr>
          <w:rFonts w:hint="eastAsia" w:ascii="仿宋" w:hAnsi="仿宋" w:eastAsia="仿宋" w:cs="仿宋"/>
          <w:color w:val="000000" w:themeColor="text1"/>
          <w:highlight w:val="none"/>
          <w14:textFill>
            <w14:solidFill>
              <w14:schemeClr w14:val="tx1"/>
            </w14:solidFill>
          </w14:textFill>
        </w:rPr>
        <w:t>监督部门进行现场监督。投标人在评标过程中所进行的试图影响评标结果的不公正活动，可能导致其投标被拒绝。</w:t>
      </w:r>
    </w:p>
    <w:p w14:paraId="1B9255E4">
      <w:pPr>
        <w:snapToGrid w:val="0"/>
        <w:spacing w:line="380" w:lineRule="exact"/>
        <w:ind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21.评标程序</w:t>
      </w:r>
    </w:p>
    <w:p w14:paraId="404FB469">
      <w:pPr>
        <w:snapToGrid w:val="0"/>
        <w:spacing w:line="38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21.1评标委员会对各投标人的投标资格进行审查，然后对合格投标人的资信技术文件进行评审，资信技术文件评审通过后开报价文件，对报价文件评审后，提交评审报告。</w:t>
      </w:r>
    </w:p>
    <w:p w14:paraId="4316F1DD">
      <w:pPr>
        <w:snapToGrid w:val="0"/>
        <w:spacing w:line="380" w:lineRule="exact"/>
        <w:ind w:firstLine="43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22.对投标文件的审查和响应性的确定</w:t>
      </w:r>
    </w:p>
    <w:p w14:paraId="455BB6F4">
      <w:pPr>
        <w:snapToGrid w:val="0"/>
        <w:spacing w:line="380" w:lineRule="exact"/>
        <w:ind w:firstLine="437"/>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22.1开标后，招标代理将组织评标委员会审查投标人的资格是否符合要求；投标文件是否完整及符合要求；招标文件要求的投标保证金是否已交纳；投标文件是否按规定签署。</w:t>
      </w:r>
    </w:p>
    <w:p w14:paraId="22843CDC">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22.2在对投标文件进行详细评估之前，招标代理将组织评标委员会审查投标人提供的资格证明文件以审查投标人的财务、技术和服务能力。如确定投标人无资格履行合同，其投标将被拒绝。</w:t>
      </w:r>
    </w:p>
    <w:p w14:paraId="02E1C204">
      <w:pPr>
        <w:shd w:val="clear" w:color="auto" w:fill="FFFFFF"/>
        <w:adjustRightInd w:val="0"/>
        <w:snapToGrid w:val="0"/>
        <w:spacing w:line="380" w:lineRule="exact"/>
        <w:ind w:firstLine="382" w:firstLineChars="182"/>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22.3评标委员会将依照招标文件的要求和规定，对投标人提供的资料等进行符合性审查。符合性审查不通过的，作无效标处理，不再进入后续评审。</w:t>
      </w:r>
    </w:p>
    <w:p w14:paraId="5D245F16">
      <w:pPr>
        <w:shd w:val="clear" w:color="auto" w:fill="FFFFFF"/>
        <w:adjustRightInd w:val="0"/>
        <w:snapToGrid w:val="0"/>
        <w:spacing w:line="380" w:lineRule="exact"/>
        <w:ind w:firstLine="315" w:firstLineChars="15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22.4</w:t>
      </w:r>
      <w:r>
        <w:rPr>
          <w:rFonts w:hint="eastAsia" w:ascii="仿宋" w:hAnsi="仿宋" w:eastAsia="仿宋" w:cs="仿宋"/>
          <w:b/>
          <w:color w:val="000000" w:themeColor="text1"/>
          <w:szCs w:val="21"/>
          <w:highlight w:val="none"/>
          <w14:textFill>
            <w14:solidFill>
              <w14:schemeClr w14:val="tx1"/>
            </w14:solidFill>
          </w14:textFill>
        </w:rPr>
        <w:t>评标委员会在评审过程中，可就投标文件中的问题向投标人进行询问</w:t>
      </w:r>
      <w:r>
        <w:rPr>
          <w:rFonts w:hint="eastAsia" w:ascii="仿宋" w:hAnsi="仿宋" w:eastAsia="仿宋" w:cs="仿宋"/>
          <w:color w:val="000000" w:themeColor="text1"/>
          <w:szCs w:val="21"/>
          <w:highlight w:val="none"/>
          <w14:textFill>
            <w14:solidFill>
              <w14:schemeClr w14:val="tx1"/>
            </w14:solidFill>
          </w14:textFill>
        </w:rPr>
        <w:t>。</w:t>
      </w:r>
    </w:p>
    <w:p w14:paraId="6ECDBE6F">
      <w:pPr>
        <w:shd w:val="clear" w:color="auto" w:fill="FFFFFF"/>
        <w:adjustRightInd w:val="0"/>
        <w:snapToGrid w:val="0"/>
        <w:spacing w:line="380" w:lineRule="exact"/>
        <w:ind w:firstLine="382" w:firstLineChars="182"/>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询标是评标中的重要环节，对需要询问的问题，投标人的法定代表人或经其授权委托的代表必须到场。投标人有义务按评标委员会的要求进行答疑和澄清。</w:t>
      </w:r>
    </w:p>
    <w:p w14:paraId="7BC49A9C">
      <w:pPr>
        <w:shd w:val="clear" w:color="auto" w:fill="FFFFFF"/>
        <w:adjustRightInd w:val="0"/>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答疑和澄清的答复应是书面的，但不得对投标内容进行实质性修改。书面答复内容将成为投标文件的重要组成部份。</w:t>
      </w:r>
    </w:p>
    <w:p w14:paraId="4CFEF9F8">
      <w:pPr>
        <w:shd w:val="clear" w:color="auto" w:fill="FFFFFF"/>
        <w:adjustRightInd w:val="0"/>
        <w:snapToGrid w:val="0"/>
        <w:spacing w:line="380" w:lineRule="exact"/>
        <w:ind w:firstLine="382" w:firstLineChars="182"/>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22.5评标委员会在澄清、调查核实、评估和比较的基础上，按照招标文件的要求和条件进行评审，只对确定为实质上响应招标文件的投标文件进行评价和比较。判断投标文件的响应性仅基于投标文件本身而不靠外部证据。投标人在投标截止以后提供的资料不得作为评标依据，但应评标委员会要求提供的证明、说明则不在此列。</w:t>
      </w:r>
    </w:p>
    <w:p w14:paraId="578F3CD1">
      <w:pPr>
        <w:shd w:val="clear" w:color="auto" w:fill="FFFFFF"/>
        <w:adjustRightInd w:val="0"/>
        <w:snapToGrid w:val="0"/>
        <w:spacing w:line="380" w:lineRule="exact"/>
        <w:ind w:firstLine="382" w:firstLineChars="182"/>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22.6投标报价错误的修正原则：</w:t>
      </w:r>
    </w:p>
    <w:p w14:paraId="7AAE0929">
      <w:pPr>
        <w:shd w:val="clear" w:color="auto" w:fill="FFFFFF"/>
        <w:adjustRightInd w:val="0"/>
        <w:snapToGrid w:val="0"/>
        <w:spacing w:line="380" w:lineRule="exact"/>
        <w:ind w:firstLine="382" w:firstLineChars="182"/>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如果数字表示的金额和用文字表示的金额不一致时，应以文字表示的金额为准。</w:t>
      </w:r>
    </w:p>
    <w:p w14:paraId="73E18500">
      <w:pPr>
        <w:shd w:val="clear" w:color="auto" w:fill="FFFFFF"/>
        <w:adjustRightInd w:val="0"/>
        <w:snapToGrid w:val="0"/>
        <w:spacing w:line="380" w:lineRule="exact"/>
        <w:ind w:firstLine="382" w:firstLineChars="182"/>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小数点点错的除外。</w:t>
      </w:r>
    </w:p>
    <w:p w14:paraId="30F41A1B">
      <w:pPr>
        <w:autoSpaceDE w:val="0"/>
        <w:autoSpaceDN w:val="0"/>
        <w:adjustRightInd w:val="0"/>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按上述修正错误的原则及方法调整或修正投标文件的投标报价，投标人同意后，调整后的投标报价对投标人起约束作用。如果投标人不接受调整或修正后的报价，则其投标将被拒绝，并不影响评标工作。</w:t>
      </w:r>
    </w:p>
    <w:p w14:paraId="6658BC23">
      <w:pPr>
        <w:autoSpaceDE w:val="0"/>
        <w:autoSpaceDN w:val="0"/>
        <w:adjustRightInd w:val="0"/>
        <w:snapToGrid w:val="0"/>
        <w:spacing w:line="380" w:lineRule="exact"/>
        <w:ind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23.开标时，发生下列情况之一的投标文件由评标委员会评审后按无效标处理：</w:t>
      </w:r>
    </w:p>
    <w:p w14:paraId="0A36FF36">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23.1以电讯、邮寄形式投标的。</w:t>
      </w:r>
    </w:p>
    <w:p w14:paraId="2C33C557">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投标人未参加开标会议，或未携带身份证明的。未按招标文件规定加盖投标人印章或未经法定代表人或其委托代理人签字或盖章。由委托代理人签字或盖章未随投标文件一起提供有效的“授权委托书”原件的。</w:t>
      </w:r>
    </w:p>
    <w:p w14:paraId="4A8E0076">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23.3投标文件正、副本标书数量不足的，或资信技术文件中出现投标价格信息的，或文件混装的，或因投标人原因造成报价文件提前开启的，或未按招标文件规定要求进行报价的。</w:t>
      </w:r>
    </w:p>
    <w:p w14:paraId="1A35CFC6">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23.4投标人递交两份或多份内容不同的投标文件，或在一份报价文件中有两个或多个报价，且未声明哪一个有效。</w:t>
      </w:r>
    </w:p>
    <w:p w14:paraId="0F22A4DF">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23.5投标人名称与投标保证金名称不一致的（企业正常变更的除外，但必须相关法定部门出具的变更证明）。</w:t>
      </w:r>
    </w:p>
    <w:p w14:paraId="0E76CF54">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23.6报价超过最高结算率限价或预算价的。</w:t>
      </w:r>
    </w:p>
    <w:p w14:paraId="4EAE2435">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23.7不具备招标文件中规定的资格要求的。</w:t>
      </w:r>
    </w:p>
    <w:p w14:paraId="784F08A5">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23.8投标人处于被责令停业，财产被接管、冻结、破产状态。</w:t>
      </w:r>
    </w:p>
    <w:p w14:paraId="6232F32D">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23.9未按招标文件要求递交投标保证金的。</w:t>
      </w:r>
    </w:p>
    <w:p w14:paraId="39B8556E">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23.10未能提供原件核查的或未能在规定的时间内提供原件备查的或提供虚假资料的。</w:t>
      </w:r>
    </w:p>
    <w:p w14:paraId="3FC6E5A9">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23.11投标文件未按规定的格式编制、或响应的内容不全、或未按要求提供、或主要实质性内容未响应或字迹模糊辨认不清的。</w:t>
      </w:r>
    </w:p>
    <w:p w14:paraId="69061997">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23.12附有招标人不能接受的条件的。</w:t>
      </w:r>
    </w:p>
    <w:p w14:paraId="3EE27E5E">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23.13投标人的报价明显高于其市场价或低于成本价的，该投标人不能合理说明原因并提供证明材料的。</w:t>
      </w:r>
    </w:p>
    <w:p w14:paraId="33DDE330">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23.14不响应修正原则的。</w:t>
      </w:r>
    </w:p>
    <w:p w14:paraId="7AC5DB1F">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23.15评标委员会认定属投标人自身原因有重大漏项的。</w:t>
      </w:r>
    </w:p>
    <w:p w14:paraId="61280908">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23.16串通投标、以行贿手段谋取中标或者以其他弄虚作假方式投标的。</w:t>
      </w:r>
    </w:p>
    <w:p w14:paraId="6CB31341">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23.17因违反有关招标投标法律法规，投标资格被取消或在暂停期限内的。</w:t>
      </w:r>
    </w:p>
    <w:p w14:paraId="302A7F77">
      <w:pPr>
        <w:snapToGrid w:val="0"/>
        <w:spacing w:line="380" w:lineRule="exact"/>
        <w:ind w:firstLine="411"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23.18不符合法律、法规和招标文件规定的其他实质性要求的。</w:t>
      </w:r>
    </w:p>
    <w:p w14:paraId="12C45B48">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以上无效标情况，由评标委员会成员以少数服从多数的原则认定。</w:t>
      </w:r>
    </w:p>
    <w:p w14:paraId="74DA164A">
      <w:pPr>
        <w:snapToGrid w:val="0"/>
        <w:spacing w:line="38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投标被确认为无效的，招标人应告之该投标人。</w:t>
      </w:r>
    </w:p>
    <w:p w14:paraId="3841320C">
      <w:pPr>
        <w:snapToGrid w:val="0"/>
        <w:spacing w:line="380" w:lineRule="exact"/>
        <w:ind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24.出现下列情形之一的，应予流标：</w:t>
      </w:r>
    </w:p>
    <w:p w14:paraId="6D14BB15">
      <w:pPr>
        <w:snapToGrid w:val="0"/>
        <w:spacing w:line="38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24.1投标人不足三家的。</w:t>
      </w:r>
    </w:p>
    <w:p w14:paraId="335D18B6">
      <w:pPr>
        <w:snapToGrid w:val="0"/>
        <w:spacing w:line="38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24.2有效标只剩两家或评标委员会因投标人提供的产品及其报价、质量、售后服务承诺等不能满足招标人要求而否决全部投标的。</w:t>
      </w:r>
    </w:p>
    <w:p w14:paraId="464FAAA9">
      <w:pPr>
        <w:snapToGrid w:val="0"/>
        <w:spacing w:line="38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24.3出现影响采购公正的违法、违规、欺骗行为的，或出现其他不正常情况的。</w:t>
      </w:r>
    </w:p>
    <w:p w14:paraId="4A0316A5">
      <w:pPr>
        <w:snapToGrid w:val="0"/>
        <w:spacing w:line="380" w:lineRule="exact"/>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24.4因重大变故，采购任务取消的。</w:t>
      </w:r>
    </w:p>
    <w:p w14:paraId="38344CC1">
      <w:pPr>
        <w:snapToGrid w:val="0"/>
        <w:spacing w:line="380" w:lineRule="exact"/>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ab/>
      </w:r>
      <w:r>
        <w:rPr>
          <w:rFonts w:hint="eastAsia" w:ascii="仿宋" w:hAnsi="仿宋" w:eastAsia="仿宋" w:cs="仿宋"/>
          <w:b/>
          <w:color w:val="000000" w:themeColor="text1"/>
          <w:szCs w:val="21"/>
          <w:highlight w:val="none"/>
          <w14:textFill>
            <w14:solidFill>
              <w14:schemeClr w14:val="tx1"/>
            </w14:solidFill>
          </w14:textFill>
        </w:rPr>
        <w:t>流标后，将重新组织招标。</w:t>
      </w:r>
    </w:p>
    <w:p w14:paraId="09344F99">
      <w:pPr>
        <w:snapToGrid w:val="0"/>
        <w:spacing w:line="380" w:lineRule="exact"/>
        <w:ind w:firstLine="435"/>
        <w:jc w:val="left"/>
        <w:rPr>
          <w:rFonts w:hint="eastAsia" w:ascii="仿宋" w:hAnsi="仿宋" w:eastAsia="仿宋" w:cs="仿宋"/>
          <w:b/>
          <w:color w:val="000000" w:themeColor="text1"/>
          <w:szCs w:val="21"/>
          <w:highlight w:val="none"/>
          <w14:textFill>
            <w14:solidFill>
              <w14:schemeClr w14:val="tx1"/>
            </w14:solidFill>
          </w14:textFill>
        </w:rPr>
      </w:pPr>
      <w:bookmarkStart w:id="68" w:name="_Toc423359421"/>
      <w:bookmarkStart w:id="69" w:name="_Toc423359487"/>
      <w:r>
        <w:rPr>
          <w:rFonts w:hint="eastAsia" w:ascii="仿宋" w:hAnsi="仿宋" w:eastAsia="仿宋" w:cs="仿宋"/>
          <w:b/>
          <w:color w:val="000000" w:themeColor="text1"/>
          <w:szCs w:val="21"/>
          <w:highlight w:val="none"/>
          <w14:textFill>
            <w14:solidFill>
              <w14:schemeClr w14:val="tx1"/>
            </w14:solidFill>
          </w14:textFill>
        </w:rPr>
        <w:t>25.评标原则和评标办法</w:t>
      </w:r>
    </w:p>
    <w:p w14:paraId="1B3AFC12">
      <w:pPr>
        <w:snapToGrid w:val="0"/>
        <w:spacing w:line="380" w:lineRule="exact"/>
        <w:ind w:firstLine="420" w:firstLineChars="200"/>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25.1评标原则：按照公平、公正、科学、择优的原则。</w:t>
      </w:r>
    </w:p>
    <w:p w14:paraId="76FA9A64">
      <w:pPr>
        <w:adjustRightInd w:val="0"/>
        <w:snapToGrid w:val="0"/>
        <w:spacing w:line="380" w:lineRule="exact"/>
        <w:ind w:firstLine="411" w:firstLineChars="196"/>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color w:val="000000" w:themeColor="text1"/>
          <w:szCs w:val="21"/>
          <w:highlight w:val="none"/>
          <w:lang w:val="zh-CN"/>
          <w14:textFill>
            <w14:solidFill>
              <w14:schemeClr w14:val="tx1"/>
            </w14:solidFill>
          </w14:textFill>
        </w:rPr>
        <w:t>.2本次评标均</w:t>
      </w:r>
      <w:r>
        <w:rPr>
          <w:rFonts w:hint="eastAsia" w:ascii="仿宋" w:hAnsi="仿宋" w:eastAsia="仿宋" w:cs="仿宋"/>
          <w:b/>
          <w:color w:val="000000" w:themeColor="text1"/>
          <w:szCs w:val="21"/>
          <w:highlight w:val="none"/>
          <w:lang w:val="zh-CN"/>
          <w14:textFill>
            <w14:solidFill>
              <w14:schemeClr w14:val="tx1"/>
            </w14:solidFill>
          </w14:textFill>
        </w:rPr>
        <w:t>采用综合评分法</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b/>
          <w:bCs/>
          <w:color w:val="000000" w:themeColor="text1"/>
          <w:szCs w:val="21"/>
          <w:highlight w:val="none"/>
          <w:lang w:val="zh-CN"/>
          <w14:textFill>
            <w14:solidFill>
              <w14:schemeClr w14:val="tx1"/>
            </w14:solidFill>
          </w14:textFill>
        </w:rPr>
        <w:t>评标采取百分制，满分100分，其中资信技术</w:t>
      </w:r>
      <w:r>
        <w:rPr>
          <w:rFonts w:hint="eastAsia" w:ascii="仿宋" w:hAnsi="仿宋" w:eastAsia="仿宋" w:cs="仿宋"/>
          <w:b/>
          <w:bCs/>
          <w:color w:val="000000" w:themeColor="text1"/>
          <w:szCs w:val="21"/>
          <w:highlight w:val="none"/>
          <w:lang w:val="en-US" w:eastAsia="zh-CN"/>
          <w14:textFill>
            <w14:solidFill>
              <w14:schemeClr w14:val="tx1"/>
            </w14:solidFill>
          </w14:textFill>
        </w:rPr>
        <w:t>4</w:t>
      </w:r>
      <w:r>
        <w:rPr>
          <w:rFonts w:hint="eastAsia" w:ascii="仿宋" w:hAnsi="仿宋" w:eastAsia="仿宋" w:cs="仿宋"/>
          <w:b/>
          <w:bCs/>
          <w:color w:val="000000" w:themeColor="text1"/>
          <w:szCs w:val="21"/>
          <w:highlight w:val="none"/>
          <w14:textFill>
            <w14:solidFill>
              <w14:schemeClr w14:val="tx1"/>
            </w14:solidFill>
          </w14:textFill>
        </w:rPr>
        <w:t>0</w:t>
      </w:r>
      <w:r>
        <w:rPr>
          <w:rFonts w:hint="eastAsia" w:ascii="仿宋" w:hAnsi="仿宋" w:eastAsia="仿宋" w:cs="仿宋"/>
          <w:b/>
          <w:bCs/>
          <w:color w:val="000000" w:themeColor="text1"/>
          <w:szCs w:val="21"/>
          <w:highlight w:val="none"/>
          <w:lang w:val="zh-CN"/>
          <w14:textFill>
            <w14:solidFill>
              <w14:schemeClr w14:val="tx1"/>
            </w14:solidFill>
          </w14:textFill>
        </w:rPr>
        <w:t>分、报价</w:t>
      </w:r>
      <w:r>
        <w:rPr>
          <w:rFonts w:hint="eastAsia" w:ascii="仿宋" w:hAnsi="仿宋" w:eastAsia="仿宋" w:cs="仿宋"/>
          <w:b/>
          <w:bCs/>
          <w:color w:val="000000" w:themeColor="text1"/>
          <w:szCs w:val="21"/>
          <w:highlight w:val="none"/>
          <w:lang w:val="en-US" w:eastAsia="zh-CN"/>
          <w14:textFill>
            <w14:solidFill>
              <w14:schemeClr w14:val="tx1"/>
            </w14:solidFill>
          </w14:textFill>
        </w:rPr>
        <w:t>6</w:t>
      </w:r>
      <w:r>
        <w:rPr>
          <w:rFonts w:hint="eastAsia" w:ascii="仿宋" w:hAnsi="仿宋" w:eastAsia="仿宋" w:cs="仿宋"/>
          <w:b/>
          <w:bCs/>
          <w:color w:val="000000" w:themeColor="text1"/>
          <w:szCs w:val="21"/>
          <w:highlight w:val="none"/>
          <w14:textFill>
            <w14:solidFill>
              <w14:schemeClr w14:val="tx1"/>
            </w14:solidFill>
          </w14:textFill>
        </w:rPr>
        <w:t>0</w:t>
      </w:r>
      <w:r>
        <w:rPr>
          <w:rFonts w:hint="eastAsia" w:ascii="仿宋" w:hAnsi="仿宋" w:eastAsia="仿宋" w:cs="仿宋"/>
          <w:b/>
          <w:bCs/>
          <w:color w:val="000000" w:themeColor="text1"/>
          <w:szCs w:val="21"/>
          <w:highlight w:val="none"/>
          <w:lang w:val="zh-CN"/>
          <w14:textFill>
            <w14:solidFill>
              <w14:schemeClr w14:val="tx1"/>
            </w14:solidFill>
          </w14:textFill>
        </w:rPr>
        <w:t>分。</w:t>
      </w:r>
    </w:p>
    <w:p w14:paraId="192F9634">
      <w:pPr>
        <w:pStyle w:val="46"/>
        <w:keepNext w:val="0"/>
        <w:keepLines w:val="0"/>
        <w:pageBreakBefore w:val="0"/>
        <w:kinsoku/>
        <w:wordWrap/>
        <w:topLinePunct w:val="0"/>
        <w:bidi w:val="0"/>
        <w:spacing w:line="440" w:lineRule="exact"/>
        <w:ind w:left="0" w:right="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评标委员会根据各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rPr>
        <w:t>人的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rPr>
        <w:t>文件分别进行符合性审查。未通过符合性审查的为无效</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rPr>
        <w:t>。通过符合性审查的，按评分细则由评标委员会根据各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rPr>
        <w:t>人的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rPr>
        <w:t>文件分别进行独立评分，综合得分=资信技术得分+报价得分。资信技术得分为各评标专家的评分算术平均值，四舍五入保留两位小数。按综合得分由高到低进行排名，评标委员会将推荐综合得分最高的为中标候选人。综合得分相同时，报价低者排前；综合得分、报价都相同时，抽签确定排名。</w:t>
      </w:r>
    </w:p>
    <w:p w14:paraId="57B0A863">
      <w:pPr>
        <w:pStyle w:val="46"/>
        <w:keepNext w:val="0"/>
        <w:keepLines w:val="0"/>
        <w:pageBreakBefore w:val="0"/>
        <w:kinsoku/>
        <w:wordWrap/>
        <w:topLinePunct w:val="0"/>
        <w:bidi w:val="0"/>
        <w:spacing w:line="440" w:lineRule="exact"/>
        <w:ind w:left="0" w:right="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采购人及评审小组对未成交的</w:t>
      </w:r>
      <w:r>
        <w:rPr>
          <w:rFonts w:hint="eastAsia" w:ascii="仿宋" w:hAnsi="仿宋" w:eastAsia="仿宋" w:cs="仿宋"/>
          <w:color w:val="auto"/>
          <w:sz w:val="21"/>
          <w:szCs w:val="21"/>
          <w:highlight w:val="none"/>
          <w:lang w:eastAsia="zh-CN"/>
        </w:rPr>
        <w:t>投标供应商</w:t>
      </w:r>
      <w:r>
        <w:rPr>
          <w:rFonts w:hint="eastAsia" w:ascii="仿宋" w:hAnsi="仿宋" w:eastAsia="仿宋" w:cs="仿宋"/>
          <w:color w:val="auto"/>
          <w:sz w:val="21"/>
          <w:szCs w:val="21"/>
          <w:highlight w:val="none"/>
        </w:rPr>
        <w:t>不作原因解释。</w:t>
      </w:r>
    </w:p>
    <w:p w14:paraId="0BF632F2">
      <w:pPr>
        <w:keepNext w:val="0"/>
        <w:keepLines w:val="0"/>
        <w:pageBreakBefore w:val="0"/>
        <w:kinsoku/>
        <w:wordWrap/>
        <w:topLinePunct w:val="0"/>
        <w:bidi w:val="0"/>
        <w:spacing w:line="440" w:lineRule="exact"/>
        <w:ind w:left="0" w:righ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bl>
      <w:tblPr>
        <w:tblStyle w:val="22"/>
        <w:tblW w:w="10091" w:type="dxa"/>
        <w:tblInd w:w="-3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91"/>
        <w:gridCol w:w="7424"/>
        <w:gridCol w:w="1176"/>
      </w:tblGrid>
      <w:tr w14:paraId="5EDF6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0" w:hRule="atLeast"/>
        </w:trPr>
        <w:tc>
          <w:tcPr>
            <w:tcW w:w="1491" w:type="dxa"/>
            <w:noWrap w:val="0"/>
            <w:tcMar>
              <w:top w:w="15" w:type="dxa"/>
              <w:left w:w="15" w:type="dxa"/>
              <w:bottom w:w="0" w:type="dxa"/>
              <w:right w:w="15" w:type="dxa"/>
            </w:tcMar>
            <w:vAlign w:val="center"/>
          </w:tcPr>
          <w:p w14:paraId="03FD6DB2">
            <w:pPr>
              <w:pStyle w:val="47"/>
              <w:ind w:left="0" w:leftChars="0" w:firstLine="0" w:firstLineChars="0"/>
              <w:jc w:val="center"/>
              <w:rPr>
                <w:rFonts w:hint="eastAsia" w:ascii="仿宋" w:hAnsi="仿宋" w:eastAsia="仿宋" w:cs="仿宋"/>
                <w:color w:val="auto"/>
                <w:sz w:val="22"/>
                <w:szCs w:val="22"/>
                <w:highlight w:val="none"/>
                <w:lang w:eastAsia="zh-CN"/>
              </w:rPr>
            </w:pPr>
            <w:bookmarkStart w:id="70" w:name="OLE_LINK14"/>
            <w:r>
              <w:rPr>
                <w:rFonts w:hint="eastAsia" w:ascii="仿宋" w:hAnsi="仿宋" w:eastAsia="仿宋" w:cs="仿宋"/>
                <w:b/>
                <w:bCs/>
                <w:color w:val="auto"/>
                <w:sz w:val="22"/>
                <w:szCs w:val="22"/>
                <w:highlight w:val="none"/>
                <w:lang w:eastAsia="zh-CN"/>
              </w:rPr>
              <w:t>评分内容</w:t>
            </w:r>
          </w:p>
        </w:tc>
        <w:tc>
          <w:tcPr>
            <w:tcW w:w="7424" w:type="dxa"/>
            <w:noWrap w:val="0"/>
            <w:tcMar>
              <w:top w:w="15" w:type="dxa"/>
              <w:left w:w="15" w:type="dxa"/>
              <w:bottom w:w="0" w:type="dxa"/>
              <w:right w:w="15" w:type="dxa"/>
            </w:tcMar>
            <w:vAlign w:val="center"/>
          </w:tcPr>
          <w:p w14:paraId="5BBA51D1">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评议标准和参考分值</w:t>
            </w:r>
          </w:p>
        </w:tc>
        <w:tc>
          <w:tcPr>
            <w:tcW w:w="1176" w:type="dxa"/>
            <w:noWrap w:val="0"/>
            <w:tcMar>
              <w:top w:w="15" w:type="dxa"/>
              <w:left w:w="15" w:type="dxa"/>
              <w:bottom w:w="0" w:type="dxa"/>
              <w:right w:w="15" w:type="dxa"/>
            </w:tcMar>
            <w:vAlign w:val="center"/>
          </w:tcPr>
          <w:p w14:paraId="5A703CDA">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评议得分</w:t>
            </w:r>
          </w:p>
        </w:tc>
      </w:tr>
      <w:bookmarkEnd w:id="70"/>
      <w:tr w14:paraId="4ABA6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491" w:type="dxa"/>
            <w:noWrap w:val="0"/>
            <w:tcMar>
              <w:top w:w="15" w:type="dxa"/>
              <w:left w:w="15" w:type="dxa"/>
              <w:bottom w:w="0" w:type="dxa"/>
              <w:right w:w="15" w:type="dxa"/>
            </w:tcMar>
            <w:vAlign w:val="center"/>
          </w:tcPr>
          <w:p w14:paraId="4BB33839">
            <w:pPr>
              <w:autoSpaceDE w:val="0"/>
              <w:autoSpaceDN w:val="0"/>
              <w:adjustRightInd w:val="0"/>
              <w:snapToGrid w:val="0"/>
              <w:spacing w:line="4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同类业绩</w:t>
            </w:r>
          </w:p>
        </w:tc>
        <w:tc>
          <w:tcPr>
            <w:tcW w:w="7424" w:type="dxa"/>
            <w:noWrap w:val="0"/>
            <w:tcMar>
              <w:top w:w="15" w:type="dxa"/>
              <w:left w:w="15" w:type="dxa"/>
              <w:bottom w:w="0" w:type="dxa"/>
              <w:right w:w="15" w:type="dxa"/>
            </w:tcMar>
            <w:vAlign w:val="top"/>
          </w:tcPr>
          <w:p w14:paraId="50A31144">
            <w:pPr>
              <w:snapToGrid w:val="0"/>
              <w:spacing w:line="480" w:lineRule="exact"/>
              <w:jc w:val="left"/>
              <w:rPr>
                <w:rFonts w:hint="eastAsia" w:ascii="仿宋" w:hAnsi="仿宋" w:eastAsia="仿宋" w:cs="仿宋"/>
                <w:sz w:val="21"/>
                <w:szCs w:val="21"/>
              </w:rPr>
            </w:pPr>
            <w:r>
              <w:rPr>
                <w:rFonts w:hint="eastAsia" w:ascii="仿宋" w:hAnsi="仿宋" w:eastAsia="仿宋" w:cs="仿宋"/>
                <w:sz w:val="21"/>
                <w:szCs w:val="21"/>
              </w:rPr>
              <w:t>投标人自202</w:t>
            </w:r>
            <w:r>
              <w:rPr>
                <w:rFonts w:hint="eastAsia" w:ascii="仿宋" w:hAnsi="仿宋" w:eastAsia="仿宋" w:cs="仿宋"/>
                <w:sz w:val="21"/>
                <w:szCs w:val="21"/>
                <w:lang w:val="en-US" w:eastAsia="zh-CN"/>
              </w:rPr>
              <w:t>2</w:t>
            </w:r>
            <w:r>
              <w:rPr>
                <w:rFonts w:hint="eastAsia" w:ascii="仿宋" w:hAnsi="仿宋" w:eastAsia="仿宋" w:cs="仿宋"/>
                <w:sz w:val="21"/>
                <w:szCs w:val="21"/>
              </w:rPr>
              <w:t>年1月1日至投标截止时间止（以签订合同时间为准），有承担类似项目业绩的，每个项目得1分</w:t>
            </w:r>
            <w:r>
              <w:rPr>
                <w:rFonts w:hint="eastAsia" w:ascii="仿宋" w:hAnsi="仿宋" w:eastAsia="仿宋" w:cs="仿宋"/>
                <w:sz w:val="21"/>
                <w:szCs w:val="21"/>
                <w:lang w:eastAsia="zh-CN"/>
              </w:rPr>
              <w:t>，最高得</w:t>
            </w:r>
            <w:r>
              <w:rPr>
                <w:rFonts w:hint="eastAsia" w:ascii="仿宋" w:hAnsi="仿宋" w:eastAsia="仿宋" w:cs="仿宋"/>
                <w:sz w:val="21"/>
                <w:szCs w:val="21"/>
                <w:lang w:val="en-US" w:eastAsia="zh-CN"/>
              </w:rPr>
              <w:t>3分</w:t>
            </w:r>
            <w:r>
              <w:rPr>
                <w:rFonts w:hint="eastAsia" w:ascii="仿宋" w:hAnsi="仿宋" w:eastAsia="仿宋" w:cs="仿宋"/>
                <w:sz w:val="21"/>
                <w:szCs w:val="21"/>
              </w:rPr>
              <w:t>。</w:t>
            </w:r>
          </w:p>
          <w:p w14:paraId="4591F54D">
            <w:pPr>
              <w:snapToGrid w:val="0"/>
              <w:spacing w:line="480" w:lineRule="exact"/>
              <w:jc w:val="left"/>
              <w:rPr>
                <w:rFonts w:hint="eastAsia" w:ascii="仿宋" w:hAnsi="仿宋" w:eastAsia="仿宋" w:cs="仿宋"/>
                <w:color w:val="auto"/>
                <w:sz w:val="21"/>
                <w:szCs w:val="21"/>
                <w:highlight w:val="none"/>
              </w:rPr>
            </w:pPr>
            <w:r>
              <w:rPr>
                <w:rFonts w:hint="eastAsia" w:ascii="仿宋" w:hAnsi="仿宋" w:eastAsia="仿宋" w:cs="仿宋"/>
                <w:b/>
                <w:bCs/>
                <w:sz w:val="21"/>
                <w:szCs w:val="21"/>
              </w:rPr>
              <w:t>注：提供合同复印件加盖公章作为证明材料，原件核查，未提供原件不得分。</w:t>
            </w:r>
          </w:p>
        </w:tc>
        <w:tc>
          <w:tcPr>
            <w:tcW w:w="1176" w:type="dxa"/>
            <w:noWrap w:val="0"/>
            <w:tcMar>
              <w:top w:w="15" w:type="dxa"/>
              <w:left w:w="15" w:type="dxa"/>
              <w:bottom w:w="0" w:type="dxa"/>
              <w:right w:w="15" w:type="dxa"/>
            </w:tcMar>
            <w:vAlign w:val="center"/>
          </w:tcPr>
          <w:p w14:paraId="0E4D13E4">
            <w:pPr>
              <w:snapToGrid w:val="0"/>
              <w:spacing w:line="4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3分</w:t>
            </w:r>
          </w:p>
        </w:tc>
      </w:tr>
      <w:tr w14:paraId="1B7BC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0" w:hRule="atLeast"/>
        </w:trPr>
        <w:tc>
          <w:tcPr>
            <w:tcW w:w="1491" w:type="dxa"/>
            <w:noWrap w:val="0"/>
            <w:tcMar>
              <w:top w:w="15" w:type="dxa"/>
              <w:left w:w="15" w:type="dxa"/>
              <w:bottom w:w="0" w:type="dxa"/>
              <w:right w:w="15" w:type="dxa"/>
            </w:tcMar>
            <w:vAlign w:val="center"/>
          </w:tcPr>
          <w:p w14:paraId="66935F31">
            <w:pPr>
              <w:autoSpaceDE w:val="0"/>
              <w:autoSpaceDN w:val="0"/>
              <w:adjustRightInd w:val="0"/>
              <w:snapToGrid w:val="0"/>
              <w:spacing w:line="48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sz w:val="21"/>
                <w:szCs w:val="21"/>
              </w:rPr>
              <w:t>资质资信</w:t>
            </w:r>
          </w:p>
        </w:tc>
        <w:tc>
          <w:tcPr>
            <w:tcW w:w="7424" w:type="dxa"/>
            <w:noWrap w:val="0"/>
            <w:tcMar>
              <w:top w:w="15" w:type="dxa"/>
              <w:left w:w="15" w:type="dxa"/>
              <w:bottom w:w="0" w:type="dxa"/>
              <w:right w:w="15" w:type="dxa"/>
            </w:tcMar>
            <w:vAlign w:val="top"/>
          </w:tcPr>
          <w:p w14:paraId="18D211FD">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投标人具有有效的质量管理体系认证的得1分。</w:t>
            </w:r>
          </w:p>
          <w:p w14:paraId="23E4E062">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投标人具有有效的环境管理体系认证的得1分。</w:t>
            </w:r>
          </w:p>
          <w:p w14:paraId="25827B14">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投标人具有有效的职业健康安全管理体系认证的得1分。</w:t>
            </w:r>
          </w:p>
          <w:p w14:paraId="1D1B84A1">
            <w:pPr>
              <w:snapToGrid w:val="0"/>
              <w:spacing w:line="480" w:lineRule="exact"/>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
                <w:bCs/>
                <w:sz w:val="21"/>
                <w:szCs w:val="21"/>
                <w:lang w:val="en-US" w:eastAsia="zh-CN"/>
              </w:rPr>
              <w:t>注：</w:t>
            </w:r>
            <w:r>
              <w:rPr>
                <w:rFonts w:hint="eastAsia" w:ascii="仿宋" w:hAnsi="仿宋" w:eastAsia="仿宋" w:cs="仿宋"/>
                <w:b/>
                <w:bCs/>
                <w:color w:val="000000" w:themeColor="text1"/>
                <w:sz w:val="21"/>
                <w:szCs w:val="21"/>
                <w:highlight w:val="none"/>
                <w14:textFill>
                  <w14:solidFill>
                    <w14:schemeClr w14:val="tx1"/>
                  </w14:solidFill>
                </w14:textFill>
              </w:rPr>
              <w:t>提供认证证书复印件及认证机构官网的公示截图并加盖公章</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未提供相关证书或超出有效期的证书不计分</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p>
        </w:tc>
        <w:tc>
          <w:tcPr>
            <w:tcW w:w="1176" w:type="dxa"/>
            <w:noWrap w:val="0"/>
            <w:tcMar>
              <w:top w:w="15" w:type="dxa"/>
              <w:left w:w="15" w:type="dxa"/>
              <w:bottom w:w="0" w:type="dxa"/>
              <w:right w:w="15" w:type="dxa"/>
            </w:tcMar>
            <w:vAlign w:val="center"/>
          </w:tcPr>
          <w:p w14:paraId="7DADFE44">
            <w:pPr>
              <w:snapToGrid w:val="0"/>
              <w:spacing w:line="4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r>
      <w:tr w14:paraId="3A58D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2" w:hRule="atLeast"/>
        </w:trPr>
        <w:tc>
          <w:tcPr>
            <w:tcW w:w="1491" w:type="dxa"/>
            <w:noWrap w:val="0"/>
            <w:tcMar>
              <w:top w:w="15" w:type="dxa"/>
              <w:left w:w="15" w:type="dxa"/>
              <w:bottom w:w="0" w:type="dxa"/>
              <w:right w:w="15" w:type="dxa"/>
            </w:tcMar>
            <w:vAlign w:val="center"/>
          </w:tcPr>
          <w:p w14:paraId="65744ED9">
            <w:pPr>
              <w:autoSpaceDE w:val="0"/>
              <w:autoSpaceDN w:val="0"/>
              <w:adjustRightInd w:val="0"/>
              <w:snapToGrid w:val="0"/>
              <w:spacing w:line="48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rPr>
              <w:t>公司荣誉</w:t>
            </w:r>
          </w:p>
        </w:tc>
        <w:tc>
          <w:tcPr>
            <w:tcW w:w="7424" w:type="dxa"/>
            <w:noWrap w:val="0"/>
            <w:tcMar>
              <w:top w:w="15" w:type="dxa"/>
              <w:left w:w="15" w:type="dxa"/>
              <w:bottom w:w="0" w:type="dxa"/>
              <w:right w:w="15" w:type="dxa"/>
            </w:tcMar>
            <w:vAlign w:val="top"/>
          </w:tcPr>
          <w:p w14:paraId="3F7993E8">
            <w:pPr>
              <w:snapToGrid w:val="0"/>
              <w:spacing w:line="480" w:lineRule="exact"/>
              <w:jc w:val="left"/>
              <w:rPr>
                <w:rFonts w:hint="eastAsia" w:ascii="仿宋" w:hAnsi="仿宋" w:eastAsia="仿宋" w:cs="仿宋"/>
                <w:sz w:val="21"/>
                <w:szCs w:val="21"/>
              </w:rPr>
            </w:pPr>
            <w:r>
              <w:rPr>
                <w:rFonts w:hint="eastAsia" w:ascii="仿宋" w:hAnsi="仿宋" w:eastAsia="仿宋" w:cs="仿宋"/>
                <w:sz w:val="21"/>
                <w:szCs w:val="21"/>
              </w:rPr>
              <w:t>投标人自202</w:t>
            </w:r>
            <w:r>
              <w:rPr>
                <w:rFonts w:hint="eastAsia" w:ascii="仿宋" w:hAnsi="仿宋" w:eastAsia="仿宋" w:cs="仿宋"/>
                <w:sz w:val="21"/>
                <w:szCs w:val="21"/>
                <w:lang w:val="en-US" w:eastAsia="zh-CN"/>
              </w:rPr>
              <w:t>2</w:t>
            </w:r>
            <w:r>
              <w:rPr>
                <w:rFonts w:hint="eastAsia" w:ascii="仿宋" w:hAnsi="仿宋" w:eastAsia="仿宋" w:cs="仿宋"/>
                <w:sz w:val="21"/>
                <w:szCs w:val="21"/>
              </w:rPr>
              <w:t>年1月1日至投标截止时间止获得年度获得年度省级先进保安公司荣誉的得3分，获得年度市级先进保安公司荣誉的得2分。获得年度县（区）级先进保安公司荣誉的得1分。最高得3分，不得重复累计。以各级公安部门或保安协会出具的文件或证书为准。</w:t>
            </w:r>
          </w:p>
          <w:p w14:paraId="278381AB">
            <w:pPr>
              <w:snapToGrid w:val="0"/>
              <w:spacing w:line="48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b/>
                <w:bCs/>
                <w:sz w:val="21"/>
                <w:szCs w:val="21"/>
              </w:rPr>
              <w:t>注：提供证书复印件加盖公章为证明材料，原件核查，未提供原件不得分。</w:t>
            </w:r>
          </w:p>
        </w:tc>
        <w:tc>
          <w:tcPr>
            <w:tcW w:w="1176" w:type="dxa"/>
            <w:noWrap w:val="0"/>
            <w:tcMar>
              <w:top w:w="15" w:type="dxa"/>
              <w:left w:w="15" w:type="dxa"/>
              <w:bottom w:w="0" w:type="dxa"/>
              <w:right w:w="15" w:type="dxa"/>
            </w:tcMar>
            <w:vAlign w:val="center"/>
          </w:tcPr>
          <w:p w14:paraId="4AE0AE6F">
            <w:pPr>
              <w:snapToGrid w:val="0"/>
              <w:spacing w:line="4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3分</w:t>
            </w:r>
          </w:p>
        </w:tc>
      </w:tr>
      <w:tr w14:paraId="07E7D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491" w:type="dxa"/>
            <w:vMerge w:val="restart"/>
            <w:noWrap w:val="0"/>
            <w:tcMar>
              <w:top w:w="15" w:type="dxa"/>
              <w:left w:w="15" w:type="dxa"/>
              <w:bottom w:w="0" w:type="dxa"/>
              <w:right w:w="15" w:type="dxa"/>
            </w:tcMar>
            <w:vAlign w:val="center"/>
          </w:tcPr>
          <w:p w14:paraId="7368A9EC">
            <w:pPr>
              <w:autoSpaceDE w:val="0"/>
              <w:autoSpaceDN w:val="0"/>
              <w:adjustRightInd w:val="0"/>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服务实施</w:t>
            </w:r>
          </w:p>
          <w:p w14:paraId="7B34D677">
            <w:pPr>
              <w:autoSpaceDE w:val="0"/>
              <w:autoSpaceDN w:val="0"/>
              <w:adjustRightInd w:val="0"/>
              <w:snapToGrid w:val="0"/>
              <w:spacing w:line="48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rPr>
              <w:t>方案</w:t>
            </w:r>
          </w:p>
        </w:tc>
        <w:tc>
          <w:tcPr>
            <w:tcW w:w="7424" w:type="dxa"/>
            <w:noWrap w:val="0"/>
            <w:tcMar>
              <w:top w:w="15" w:type="dxa"/>
              <w:left w:w="15" w:type="dxa"/>
              <w:bottom w:w="0" w:type="dxa"/>
              <w:right w:w="15" w:type="dxa"/>
            </w:tcMar>
            <w:vAlign w:val="top"/>
          </w:tcPr>
          <w:p w14:paraId="6B4353CC">
            <w:pPr>
              <w:snapToGrid w:val="0"/>
              <w:spacing w:line="48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根据本项目工作任务特点的认识和理解情况，提供服务重难点分析及对策描述，分析全面详细、对重点、难点有合理的建议的得2-4分；分析方案过于笼统，不够完整的得0-2分。</w:t>
            </w:r>
          </w:p>
        </w:tc>
        <w:tc>
          <w:tcPr>
            <w:tcW w:w="1176" w:type="dxa"/>
            <w:noWrap w:val="0"/>
            <w:tcMar>
              <w:top w:w="15" w:type="dxa"/>
              <w:left w:w="15" w:type="dxa"/>
              <w:bottom w:w="0" w:type="dxa"/>
              <w:right w:w="15" w:type="dxa"/>
            </w:tcMar>
            <w:vAlign w:val="center"/>
          </w:tcPr>
          <w:p w14:paraId="46DA4919">
            <w:pPr>
              <w:snapToGrid w:val="0"/>
              <w:spacing w:line="4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r>
      <w:tr w14:paraId="346B1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491" w:type="dxa"/>
            <w:vMerge w:val="continue"/>
            <w:noWrap w:val="0"/>
            <w:tcMar>
              <w:top w:w="15" w:type="dxa"/>
              <w:left w:w="15" w:type="dxa"/>
              <w:bottom w:w="0" w:type="dxa"/>
              <w:right w:w="15" w:type="dxa"/>
            </w:tcMar>
            <w:vAlign w:val="center"/>
          </w:tcPr>
          <w:p w14:paraId="0C384044">
            <w:pPr>
              <w:autoSpaceDE w:val="0"/>
              <w:autoSpaceDN w:val="0"/>
              <w:adjustRightInd w:val="0"/>
              <w:snapToGrid w:val="0"/>
              <w:spacing w:line="480" w:lineRule="exact"/>
              <w:jc w:val="center"/>
              <w:rPr>
                <w:rFonts w:hint="eastAsia" w:ascii="仿宋" w:hAnsi="仿宋" w:eastAsia="仿宋" w:cs="仿宋"/>
                <w:sz w:val="21"/>
                <w:szCs w:val="21"/>
              </w:rPr>
            </w:pPr>
          </w:p>
        </w:tc>
        <w:tc>
          <w:tcPr>
            <w:tcW w:w="7424" w:type="dxa"/>
            <w:noWrap w:val="0"/>
            <w:tcMar>
              <w:top w:w="15" w:type="dxa"/>
              <w:left w:w="15" w:type="dxa"/>
              <w:bottom w:w="0" w:type="dxa"/>
              <w:right w:w="15" w:type="dxa"/>
            </w:tcMar>
            <w:vAlign w:val="top"/>
          </w:tcPr>
          <w:p w14:paraId="7C65038A">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根据投标人提供的如何提高员工</w:t>
            </w:r>
            <w:r>
              <w:rPr>
                <w:rFonts w:hint="eastAsia" w:ascii="仿宋" w:hAnsi="仿宋" w:eastAsia="仿宋" w:cs="仿宋"/>
                <w:sz w:val="21"/>
                <w:szCs w:val="21"/>
              </w:rPr>
              <w:t>服务质量保</w:t>
            </w:r>
            <w:r>
              <w:rPr>
                <w:rFonts w:hint="eastAsia" w:ascii="仿宋" w:hAnsi="仿宋" w:eastAsia="仿宋" w:cs="仿宋"/>
                <w:sz w:val="21"/>
                <w:szCs w:val="21"/>
                <w:lang w:eastAsia="zh-CN"/>
              </w:rPr>
              <w:t>障</w:t>
            </w:r>
            <w:r>
              <w:rPr>
                <w:rFonts w:hint="eastAsia" w:ascii="仿宋" w:hAnsi="仿宋" w:eastAsia="仿宋" w:cs="仿宋"/>
                <w:sz w:val="21"/>
                <w:szCs w:val="21"/>
              </w:rPr>
              <w:t>以及</w:t>
            </w:r>
            <w:r>
              <w:rPr>
                <w:rFonts w:hint="eastAsia" w:ascii="仿宋" w:hAnsi="仿宋" w:eastAsia="仿宋" w:cs="仿宋"/>
                <w:sz w:val="21"/>
                <w:szCs w:val="21"/>
                <w:lang w:eastAsia="zh-CN"/>
              </w:rPr>
              <w:t>人员稳定保障措施</w:t>
            </w:r>
            <w:r>
              <w:rPr>
                <w:rFonts w:hint="eastAsia" w:ascii="仿宋" w:hAnsi="仿宋" w:eastAsia="仿宋" w:cs="仿宋"/>
                <w:sz w:val="21"/>
                <w:szCs w:val="21"/>
              </w:rPr>
              <w:t>（包含但不限于针对各类辞退、纠纷、工伤、突发事件、社会事件、自然灾害事件等）</w:t>
            </w:r>
            <w:r>
              <w:rPr>
                <w:rFonts w:hint="eastAsia" w:ascii="仿宋" w:hAnsi="仿宋" w:eastAsia="仿宋" w:cs="仿宋"/>
                <w:sz w:val="21"/>
                <w:szCs w:val="21"/>
                <w:lang w:eastAsia="zh-CN"/>
              </w:rPr>
              <w:t>等内容进行综合评分，方案</w:t>
            </w:r>
            <w:r>
              <w:rPr>
                <w:rFonts w:hint="eastAsia" w:ascii="仿宋" w:hAnsi="仿宋" w:eastAsia="仿宋" w:cs="仿宋"/>
                <w:sz w:val="21"/>
                <w:szCs w:val="21"/>
                <w:lang w:val="en-US" w:eastAsia="zh-CN"/>
              </w:rPr>
              <w:t>分析全面合理的得2-4分；分析方案过于笼统，不够完整的得0-2分。</w:t>
            </w:r>
          </w:p>
        </w:tc>
        <w:tc>
          <w:tcPr>
            <w:tcW w:w="1176" w:type="dxa"/>
            <w:noWrap w:val="0"/>
            <w:tcMar>
              <w:top w:w="15" w:type="dxa"/>
              <w:left w:w="15" w:type="dxa"/>
              <w:bottom w:w="0" w:type="dxa"/>
              <w:right w:w="15" w:type="dxa"/>
            </w:tcMar>
            <w:vAlign w:val="center"/>
          </w:tcPr>
          <w:p w14:paraId="4FDCA519">
            <w:pPr>
              <w:snapToGri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4分</w:t>
            </w:r>
          </w:p>
        </w:tc>
      </w:tr>
      <w:tr w14:paraId="28B4E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491" w:type="dxa"/>
            <w:vMerge w:val="continue"/>
            <w:noWrap w:val="0"/>
            <w:tcMar>
              <w:top w:w="15" w:type="dxa"/>
              <w:left w:w="15" w:type="dxa"/>
              <w:bottom w:w="0" w:type="dxa"/>
              <w:right w:w="15" w:type="dxa"/>
            </w:tcMar>
            <w:vAlign w:val="center"/>
          </w:tcPr>
          <w:p w14:paraId="773513C8">
            <w:pPr>
              <w:autoSpaceDE w:val="0"/>
              <w:autoSpaceDN w:val="0"/>
              <w:adjustRightInd w:val="0"/>
              <w:snapToGrid w:val="0"/>
              <w:spacing w:line="480" w:lineRule="exact"/>
              <w:jc w:val="center"/>
              <w:rPr>
                <w:rFonts w:hint="eastAsia" w:ascii="仿宋" w:hAnsi="仿宋" w:eastAsia="仿宋" w:cs="仿宋"/>
                <w:sz w:val="21"/>
                <w:szCs w:val="21"/>
              </w:rPr>
            </w:pPr>
          </w:p>
        </w:tc>
        <w:tc>
          <w:tcPr>
            <w:tcW w:w="7424" w:type="dxa"/>
            <w:noWrap w:val="0"/>
            <w:tcMar>
              <w:top w:w="15" w:type="dxa"/>
              <w:left w:w="15" w:type="dxa"/>
              <w:bottom w:w="0" w:type="dxa"/>
              <w:right w:w="15" w:type="dxa"/>
            </w:tcMar>
            <w:vAlign w:val="top"/>
          </w:tcPr>
          <w:p w14:paraId="1129BEAB">
            <w:pPr>
              <w:snapToGrid w:val="0"/>
              <w:spacing w:line="480" w:lineRule="exact"/>
              <w:jc w:val="left"/>
              <w:rPr>
                <w:rFonts w:hint="eastAsia" w:ascii="仿宋" w:hAnsi="仿宋" w:eastAsia="仿宋" w:cs="仿宋"/>
                <w:sz w:val="21"/>
                <w:szCs w:val="21"/>
                <w:lang w:eastAsia="zh-CN"/>
              </w:rPr>
            </w:pPr>
            <w:r>
              <w:rPr>
                <w:rFonts w:hint="eastAsia" w:ascii="仿宋" w:hAnsi="仿宋" w:eastAsia="仿宋" w:cs="仿宋"/>
                <w:sz w:val="21"/>
                <w:szCs w:val="21"/>
              </w:rPr>
              <w:t>根据投标人提供的保密方案（包括制定保密政策、建立保密组织架构、建立保密管理制度、保密责任、人员管理、保密违规处理和处罚）等</w:t>
            </w:r>
            <w:r>
              <w:rPr>
                <w:rFonts w:hint="eastAsia" w:ascii="仿宋" w:hAnsi="仿宋" w:eastAsia="仿宋" w:cs="仿宋"/>
                <w:sz w:val="21"/>
                <w:szCs w:val="21"/>
                <w:lang w:eastAsia="zh-CN"/>
              </w:rPr>
              <w:t>内容进行综合评分，保密制度清晰明确的得</w:t>
            </w:r>
            <w:r>
              <w:rPr>
                <w:rFonts w:hint="eastAsia" w:ascii="仿宋" w:hAnsi="仿宋" w:eastAsia="仿宋" w:cs="仿宋"/>
                <w:sz w:val="21"/>
                <w:szCs w:val="21"/>
                <w:lang w:val="en-US" w:eastAsia="zh-CN"/>
              </w:rPr>
              <w:t>2-4分；保密制度过于笼统，不够完整的得0-2分。</w:t>
            </w:r>
          </w:p>
        </w:tc>
        <w:tc>
          <w:tcPr>
            <w:tcW w:w="1176" w:type="dxa"/>
            <w:noWrap w:val="0"/>
            <w:tcMar>
              <w:top w:w="15" w:type="dxa"/>
              <w:left w:w="15" w:type="dxa"/>
              <w:bottom w:w="0" w:type="dxa"/>
              <w:right w:w="15" w:type="dxa"/>
            </w:tcMar>
            <w:vAlign w:val="center"/>
          </w:tcPr>
          <w:p w14:paraId="65DAAE0B">
            <w:pPr>
              <w:snapToGri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4分</w:t>
            </w:r>
          </w:p>
        </w:tc>
      </w:tr>
      <w:tr w14:paraId="325CA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2" w:hRule="atLeast"/>
        </w:trPr>
        <w:tc>
          <w:tcPr>
            <w:tcW w:w="1491" w:type="dxa"/>
            <w:noWrap w:val="0"/>
            <w:tcMar>
              <w:top w:w="15" w:type="dxa"/>
              <w:left w:w="15" w:type="dxa"/>
              <w:bottom w:w="0" w:type="dxa"/>
              <w:right w:w="15" w:type="dxa"/>
            </w:tcMar>
            <w:vAlign w:val="center"/>
          </w:tcPr>
          <w:p w14:paraId="4D20F2F0">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应急响应</w:t>
            </w:r>
          </w:p>
          <w:p w14:paraId="5FA93827">
            <w:pPr>
              <w:snapToGrid w:val="0"/>
              <w:spacing w:line="48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rPr>
              <w:t>措施</w:t>
            </w:r>
          </w:p>
        </w:tc>
        <w:tc>
          <w:tcPr>
            <w:tcW w:w="7424" w:type="dxa"/>
            <w:noWrap w:val="0"/>
            <w:tcMar>
              <w:top w:w="15" w:type="dxa"/>
              <w:left w:w="15" w:type="dxa"/>
              <w:bottom w:w="0" w:type="dxa"/>
              <w:right w:w="15" w:type="dxa"/>
            </w:tcMar>
            <w:vAlign w:val="top"/>
          </w:tcPr>
          <w:p w14:paraId="5002CD5C">
            <w:pPr>
              <w:snapToGrid w:val="0"/>
              <w:spacing w:line="48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在投标文件中详细说明项目的特征及针对本项目制定的紧急预案可行性、</w:t>
            </w:r>
            <w:r>
              <w:rPr>
                <w:rFonts w:hint="eastAsia" w:ascii="仿宋" w:hAnsi="仿宋" w:eastAsia="仿宋" w:cs="仿宋"/>
                <w:sz w:val="21"/>
                <w:szCs w:val="21"/>
                <w:lang w:val="en-US" w:eastAsia="zh-CN"/>
              </w:rPr>
              <w:t>有效性、</w:t>
            </w:r>
            <w:r>
              <w:rPr>
                <w:rFonts w:hint="eastAsia" w:ascii="仿宋" w:hAnsi="仿宋" w:eastAsia="仿宋" w:cs="仿宋"/>
                <w:sz w:val="21"/>
                <w:szCs w:val="21"/>
              </w:rPr>
              <w:t>可实现程度</w:t>
            </w:r>
            <w:r>
              <w:rPr>
                <w:rFonts w:hint="eastAsia" w:ascii="仿宋" w:hAnsi="仿宋" w:eastAsia="仿宋" w:cs="仿宋"/>
                <w:sz w:val="21"/>
                <w:szCs w:val="21"/>
                <w:lang w:eastAsia="zh-CN"/>
              </w:rPr>
              <w:t>合理的得</w:t>
            </w:r>
            <w:r>
              <w:rPr>
                <w:rFonts w:hint="eastAsia" w:ascii="仿宋" w:hAnsi="仿宋" w:eastAsia="仿宋" w:cs="仿宋"/>
                <w:sz w:val="21"/>
                <w:szCs w:val="21"/>
                <w:lang w:val="en-US" w:eastAsia="zh-CN"/>
              </w:rPr>
              <w:t>2-3分，紧急预案过于笼统的得1-2分。</w:t>
            </w:r>
          </w:p>
        </w:tc>
        <w:tc>
          <w:tcPr>
            <w:tcW w:w="1176" w:type="dxa"/>
            <w:noWrap w:val="0"/>
            <w:tcMar>
              <w:top w:w="15" w:type="dxa"/>
              <w:left w:w="15" w:type="dxa"/>
              <w:bottom w:w="0" w:type="dxa"/>
              <w:right w:w="15" w:type="dxa"/>
            </w:tcMar>
            <w:vAlign w:val="center"/>
          </w:tcPr>
          <w:p w14:paraId="25FDC976">
            <w:pPr>
              <w:snapToGrid w:val="0"/>
              <w:spacing w:line="48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r>
      <w:tr w14:paraId="1AEDA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1491" w:type="dxa"/>
            <w:noWrap w:val="0"/>
            <w:tcMar>
              <w:top w:w="15" w:type="dxa"/>
              <w:left w:w="15" w:type="dxa"/>
              <w:bottom w:w="0" w:type="dxa"/>
              <w:right w:w="15" w:type="dxa"/>
            </w:tcMar>
            <w:vAlign w:val="center"/>
          </w:tcPr>
          <w:p w14:paraId="46A019CF">
            <w:pPr>
              <w:snapToGrid w:val="0"/>
              <w:spacing w:line="46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rPr>
              <w:t>针对本项目招录的具体方案及措施</w:t>
            </w:r>
          </w:p>
        </w:tc>
        <w:tc>
          <w:tcPr>
            <w:tcW w:w="7424" w:type="dxa"/>
            <w:noWrap w:val="0"/>
            <w:tcMar>
              <w:top w:w="15" w:type="dxa"/>
              <w:left w:w="15" w:type="dxa"/>
              <w:bottom w:w="0" w:type="dxa"/>
              <w:right w:w="15" w:type="dxa"/>
            </w:tcMar>
            <w:vAlign w:val="center"/>
          </w:tcPr>
          <w:p w14:paraId="625D18ED">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根据</w:t>
            </w:r>
            <w:r>
              <w:rPr>
                <w:rFonts w:hint="eastAsia" w:ascii="仿宋" w:hAnsi="仿宋" w:eastAsia="仿宋" w:cs="仿宋"/>
                <w:sz w:val="21"/>
                <w:szCs w:val="21"/>
                <w:lang w:eastAsia="zh-CN"/>
              </w:rPr>
              <w:t>投标人</w:t>
            </w:r>
            <w:r>
              <w:rPr>
                <w:rFonts w:hint="eastAsia" w:ascii="仿宋" w:hAnsi="仿宋" w:eastAsia="仿宋" w:cs="仿宋"/>
                <w:sz w:val="21"/>
                <w:szCs w:val="21"/>
              </w:rPr>
              <w:t>提供的针对本项目招录的具体方案及措施进行横向比较进行</w:t>
            </w:r>
            <w:r>
              <w:rPr>
                <w:rFonts w:hint="eastAsia" w:ascii="仿宋" w:hAnsi="仿宋" w:eastAsia="仿宋" w:cs="仿宋"/>
                <w:sz w:val="21"/>
                <w:szCs w:val="21"/>
                <w:lang w:eastAsia="zh-CN"/>
              </w:rPr>
              <w:t>综合评</w:t>
            </w:r>
            <w:r>
              <w:rPr>
                <w:rFonts w:hint="eastAsia" w:ascii="仿宋" w:hAnsi="仿宋" w:eastAsia="仿宋" w:cs="仿宋"/>
                <w:sz w:val="21"/>
                <w:szCs w:val="21"/>
              </w:rPr>
              <w:t>分</w:t>
            </w:r>
            <w:r>
              <w:rPr>
                <w:rFonts w:hint="eastAsia" w:ascii="仿宋" w:hAnsi="仿宋" w:eastAsia="仿宋" w:cs="仿宋"/>
                <w:sz w:val="21"/>
                <w:szCs w:val="21"/>
                <w:lang w:val="en-US" w:eastAsia="zh-CN"/>
              </w:rPr>
              <w:t>0-3分</w:t>
            </w:r>
          </w:p>
        </w:tc>
        <w:tc>
          <w:tcPr>
            <w:tcW w:w="1176" w:type="dxa"/>
            <w:noWrap w:val="0"/>
            <w:tcMar>
              <w:top w:w="15" w:type="dxa"/>
              <w:left w:w="15" w:type="dxa"/>
              <w:bottom w:w="0" w:type="dxa"/>
              <w:right w:w="15" w:type="dxa"/>
            </w:tcMar>
            <w:vAlign w:val="center"/>
          </w:tcPr>
          <w:p w14:paraId="0AC4CD92">
            <w:pPr>
              <w:snapToGrid w:val="0"/>
              <w:spacing w:line="48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r>
      <w:tr w14:paraId="21F91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1491" w:type="dxa"/>
            <w:noWrap w:val="0"/>
            <w:tcMar>
              <w:top w:w="15" w:type="dxa"/>
              <w:left w:w="15" w:type="dxa"/>
              <w:bottom w:w="0" w:type="dxa"/>
              <w:right w:w="15" w:type="dxa"/>
            </w:tcMar>
            <w:vAlign w:val="center"/>
          </w:tcPr>
          <w:p w14:paraId="5F930F57">
            <w:pPr>
              <w:snapToGrid w:val="0"/>
              <w:spacing w:line="46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rPr>
              <w:t>培训计划方案</w:t>
            </w:r>
          </w:p>
        </w:tc>
        <w:tc>
          <w:tcPr>
            <w:tcW w:w="7424" w:type="dxa"/>
            <w:noWrap w:val="0"/>
            <w:tcMar>
              <w:top w:w="15" w:type="dxa"/>
              <w:left w:w="15" w:type="dxa"/>
              <w:bottom w:w="0" w:type="dxa"/>
              <w:right w:w="15" w:type="dxa"/>
            </w:tcMar>
            <w:vAlign w:val="center"/>
          </w:tcPr>
          <w:p w14:paraId="633A12B9">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根据</w:t>
            </w:r>
            <w:r>
              <w:rPr>
                <w:rFonts w:hint="eastAsia" w:ascii="仿宋" w:hAnsi="仿宋" w:eastAsia="仿宋" w:cs="仿宋"/>
                <w:sz w:val="21"/>
                <w:szCs w:val="21"/>
                <w:lang w:eastAsia="zh-CN"/>
              </w:rPr>
              <w:t>投标人</w:t>
            </w:r>
            <w:r>
              <w:rPr>
                <w:rFonts w:hint="eastAsia" w:ascii="仿宋" w:hAnsi="仿宋" w:eastAsia="仿宋" w:cs="仿宋"/>
                <w:sz w:val="21"/>
                <w:szCs w:val="21"/>
              </w:rPr>
              <w:t>提供的人员培训计划</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分析全面合理的得2-3分；分析方案过于笼统，不够完整的得0-2分。</w:t>
            </w:r>
          </w:p>
        </w:tc>
        <w:tc>
          <w:tcPr>
            <w:tcW w:w="1176" w:type="dxa"/>
            <w:noWrap w:val="0"/>
            <w:tcMar>
              <w:top w:w="15" w:type="dxa"/>
              <w:left w:w="15" w:type="dxa"/>
              <w:bottom w:w="0" w:type="dxa"/>
              <w:right w:w="15" w:type="dxa"/>
            </w:tcMar>
            <w:vAlign w:val="center"/>
          </w:tcPr>
          <w:p w14:paraId="10C3EA08">
            <w:pPr>
              <w:snapToGri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bCs/>
                <w:sz w:val="21"/>
                <w:szCs w:val="21"/>
                <w:lang w:val="en-US" w:eastAsia="zh-CN"/>
              </w:rPr>
              <w:t>3</w:t>
            </w:r>
            <w:r>
              <w:rPr>
                <w:rFonts w:hint="eastAsia" w:ascii="仿宋" w:hAnsi="仿宋" w:eastAsia="仿宋" w:cs="仿宋"/>
                <w:sz w:val="21"/>
                <w:szCs w:val="21"/>
              </w:rPr>
              <w:t>分</w:t>
            </w:r>
          </w:p>
        </w:tc>
      </w:tr>
      <w:tr w14:paraId="7AA71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1491" w:type="dxa"/>
            <w:noWrap w:val="0"/>
            <w:tcMar>
              <w:top w:w="15" w:type="dxa"/>
              <w:left w:w="15" w:type="dxa"/>
              <w:bottom w:w="0" w:type="dxa"/>
              <w:right w:w="15" w:type="dxa"/>
            </w:tcMar>
            <w:vAlign w:val="center"/>
          </w:tcPr>
          <w:p w14:paraId="598DE63B">
            <w:pPr>
              <w:snapToGrid w:val="0"/>
              <w:spacing w:line="4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管理规章制度</w:t>
            </w:r>
          </w:p>
        </w:tc>
        <w:tc>
          <w:tcPr>
            <w:tcW w:w="7424" w:type="dxa"/>
            <w:noWrap w:val="0"/>
            <w:tcMar>
              <w:top w:w="15" w:type="dxa"/>
              <w:left w:w="15" w:type="dxa"/>
              <w:bottom w:w="0" w:type="dxa"/>
              <w:right w:w="15" w:type="dxa"/>
            </w:tcMar>
            <w:vAlign w:val="top"/>
          </w:tcPr>
          <w:p w14:paraId="1468CE35">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根据投标人提供的各项管理规章制度，各项管理规章制度包含但不限于安全管理、班次划分、重点风险管控措施、组织管理措施评价等方面进行打分，</w:t>
            </w:r>
            <w:r>
              <w:rPr>
                <w:rFonts w:hint="eastAsia" w:ascii="仿宋" w:hAnsi="仿宋" w:eastAsia="仿宋" w:cs="仿宋"/>
                <w:sz w:val="21"/>
                <w:szCs w:val="21"/>
                <w:lang w:eastAsia="zh-CN"/>
              </w:rPr>
              <w:t>制度可行性合理的得</w:t>
            </w:r>
            <w:r>
              <w:rPr>
                <w:rFonts w:hint="eastAsia" w:ascii="仿宋" w:hAnsi="仿宋" w:eastAsia="仿宋" w:cs="仿宋"/>
                <w:sz w:val="21"/>
                <w:szCs w:val="21"/>
                <w:lang w:val="en-US" w:eastAsia="zh-CN"/>
              </w:rPr>
              <w:t>2-4分，制度分析过于笼统，不够完整的得0-2分。</w:t>
            </w:r>
          </w:p>
        </w:tc>
        <w:tc>
          <w:tcPr>
            <w:tcW w:w="1176" w:type="dxa"/>
            <w:noWrap w:val="0"/>
            <w:tcMar>
              <w:top w:w="15" w:type="dxa"/>
              <w:left w:w="15" w:type="dxa"/>
              <w:bottom w:w="0" w:type="dxa"/>
              <w:right w:w="15" w:type="dxa"/>
            </w:tcMar>
            <w:vAlign w:val="center"/>
          </w:tcPr>
          <w:p w14:paraId="03488908">
            <w:pPr>
              <w:snapToGri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r>
      <w:tr w14:paraId="1615E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1491" w:type="dxa"/>
            <w:noWrap w:val="0"/>
            <w:tcMar>
              <w:top w:w="15" w:type="dxa"/>
              <w:left w:w="15" w:type="dxa"/>
              <w:bottom w:w="0" w:type="dxa"/>
              <w:right w:w="15" w:type="dxa"/>
            </w:tcMar>
            <w:vAlign w:val="center"/>
          </w:tcPr>
          <w:p w14:paraId="5A324BDE">
            <w:pPr>
              <w:snapToGrid w:val="0"/>
              <w:spacing w:line="48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rPr>
              <w:t>劳动纠纷服务保障</w:t>
            </w:r>
          </w:p>
        </w:tc>
        <w:tc>
          <w:tcPr>
            <w:tcW w:w="7424" w:type="dxa"/>
            <w:noWrap w:val="0"/>
            <w:tcMar>
              <w:top w:w="15" w:type="dxa"/>
              <w:left w:w="15" w:type="dxa"/>
              <w:bottom w:w="0" w:type="dxa"/>
              <w:right w:w="15" w:type="dxa"/>
            </w:tcMar>
            <w:vAlign w:val="top"/>
          </w:tcPr>
          <w:p w14:paraId="43C9E1D5">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根据投标人提供的劳动纠纷应对措施、调解解决方案等内容进行打分，方案全面合理的得2-4分；分析方案过于笼统，不够完整的得0-2分。</w:t>
            </w:r>
          </w:p>
        </w:tc>
        <w:tc>
          <w:tcPr>
            <w:tcW w:w="1176" w:type="dxa"/>
            <w:noWrap w:val="0"/>
            <w:tcMar>
              <w:top w:w="15" w:type="dxa"/>
              <w:left w:w="15" w:type="dxa"/>
              <w:bottom w:w="0" w:type="dxa"/>
              <w:right w:w="15" w:type="dxa"/>
            </w:tcMar>
            <w:vAlign w:val="center"/>
          </w:tcPr>
          <w:p w14:paraId="7A5EAE06">
            <w:pPr>
              <w:snapToGri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4分</w:t>
            </w:r>
          </w:p>
        </w:tc>
      </w:tr>
      <w:tr w14:paraId="3983D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6" w:hRule="atLeast"/>
        </w:trPr>
        <w:tc>
          <w:tcPr>
            <w:tcW w:w="1491" w:type="dxa"/>
            <w:noWrap w:val="0"/>
            <w:tcMar>
              <w:top w:w="15" w:type="dxa"/>
              <w:left w:w="15" w:type="dxa"/>
              <w:bottom w:w="0" w:type="dxa"/>
              <w:right w:w="15" w:type="dxa"/>
            </w:tcMar>
            <w:vAlign w:val="center"/>
          </w:tcPr>
          <w:p w14:paraId="1AA12D6B">
            <w:pPr>
              <w:snapToGrid w:val="0"/>
              <w:spacing w:line="48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合理化建议</w:t>
            </w:r>
          </w:p>
        </w:tc>
        <w:tc>
          <w:tcPr>
            <w:tcW w:w="7424" w:type="dxa"/>
            <w:noWrap w:val="0"/>
            <w:tcMar>
              <w:top w:w="15" w:type="dxa"/>
              <w:left w:w="15" w:type="dxa"/>
              <w:bottom w:w="0" w:type="dxa"/>
              <w:right w:w="15" w:type="dxa"/>
            </w:tcMar>
            <w:vAlign w:val="top"/>
          </w:tcPr>
          <w:p w14:paraId="34B94598">
            <w:pPr>
              <w:snapToGrid w:val="0"/>
              <w:spacing w:line="480" w:lineRule="exact"/>
              <w:jc w:val="left"/>
              <w:rPr>
                <w:rFonts w:hint="eastAsia" w:ascii="仿宋" w:hAnsi="仿宋" w:eastAsia="仿宋" w:cs="仿宋"/>
                <w:sz w:val="21"/>
                <w:szCs w:val="21"/>
                <w:lang w:val="en-US" w:eastAsia="zh-CN"/>
              </w:rPr>
            </w:pPr>
            <w:r>
              <w:rPr>
                <w:rFonts w:hint="eastAsia" w:ascii="仿宋" w:hAnsi="仿宋" w:eastAsia="仿宋" w:cs="仿宋"/>
                <w:color w:val="000000"/>
                <w:szCs w:val="21"/>
              </w:rPr>
              <w:t>其它合理化建议或优惠措施</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0-2分</w:t>
            </w:r>
          </w:p>
        </w:tc>
        <w:tc>
          <w:tcPr>
            <w:tcW w:w="1176" w:type="dxa"/>
            <w:noWrap w:val="0"/>
            <w:tcMar>
              <w:top w:w="15" w:type="dxa"/>
              <w:left w:w="15" w:type="dxa"/>
              <w:bottom w:w="0" w:type="dxa"/>
              <w:right w:w="15" w:type="dxa"/>
            </w:tcMar>
            <w:vAlign w:val="center"/>
          </w:tcPr>
          <w:p w14:paraId="34F75E1D">
            <w:pPr>
              <w:snapToGri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2分</w:t>
            </w:r>
          </w:p>
        </w:tc>
      </w:tr>
      <w:tr w14:paraId="205EB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9" w:hRule="atLeast"/>
        </w:trPr>
        <w:tc>
          <w:tcPr>
            <w:tcW w:w="1491" w:type="dxa"/>
            <w:noWrap w:val="0"/>
            <w:tcMar>
              <w:top w:w="15" w:type="dxa"/>
              <w:left w:w="15" w:type="dxa"/>
              <w:bottom w:w="0" w:type="dxa"/>
              <w:right w:w="15" w:type="dxa"/>
            </w:tcMar>
            <w:vAlign w:val="center"/>
          </w:tcPr>
          <w:p w14:paraId="49C887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价格分</w:t>
            </w:r>
          </w:p>
        </w:tc>
        <w:tc>
          <w:tcPr>
            <w:tcW w:w="7424" w:type="dxa"/>
            <w:noWrap w:val="0"/>
            <w:tcMar>
              <w:top w:w="15" w:type="dxa"/>
              <w:left w:w="15" w:type="dxa"/>
              <w:bottom w:w="0" w:type="dxa"/>
              <w:right w:w="15" w:type="dxa"/>
            </w:tcMar>
            <w:vAlign w:val="center"/>
          </w:tcPr>
          <w:p w14:paraId="25C0A67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满足采购文件要求最低的报价为基准价，其价格分为满分。其他</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rPr>
              <w:t>人的价格分统一按照下列公式计算：报价得分=（基准价/报价）*</w:t>
            </w:r>
            <w:r>
              <w:rPr>
                <w:rFonts w:hint="eastAsia" w:ascii="仿宋" w:hAnsi="仿宋" w:eastAsia="仿宋" w:cs="仿宋"/>
                <w:color w:val="auto"/>
                <w:kern w:val="0"/>
                <w:sz w:val="21"/>
                <w:szCs w:val="21"/>
                <w:highlight w:val="none"/>
                <w:lang w:val="en-US" w:eastAsia="zh-CN"/>
              </w:rPr>
              <w:t>60</w:t>
            </w:r>
            <w:r>
              <w:rPr>
                <w:rFonts w:hint="eastAsia" w:ascii="仿宋" w:hAnsi="仿宋" w:eastAsia="仿宋" w:cs="仿宋"/>
                <w:color w:val="auto"/>
                <w:kern w:val="0"/>
                <w:sz w:val="21"/>
                <w:szCs w:val="21"/>
                <w:highlight w:val="none"/>
              </w:rPr>
              <w:t>，四舍五入，保留两位小数</w:t>
            </w:r>
            <w:r>
              <w:rPr>
                <w:rFonts w:hint="eastAsia" w:ascii="仿宋" w:hAnsi="仿宋" w:eastAsia="仿宋" w:cs="仿宋"/>
                <w:color w:val="auto"/>
                <w:kern w:val="0"/>
                <w:sz w:val="21"/>
                <w:szCs w:val="21"/>
                <w:highlight w:val="none"/>
                <w:lang w:eastAsia="zh-CN"/>
              </w:rPr>
              <w:t>。</w:t>
            </w:r>
          </w:p>
        </w:tc>
        <w:tc>
          <w:tcPr>
            <w:tcW w:w="1176" w:type="dxa"/>
            <w:noWrap w:val="0"/>
            <w:tcMar>
              <w:top w:w="15" w:type="dxa"/>
              <w:left w:w="15" w:type="dxa"/>
              <w:bottom w:w="0" w:type="dxa"/>
              <w:right w:w="15" w:type="dxa"/>
            </w:tcMar>
            <w:vAlign w:val="center"/>
          </w:tcPr>
          <w:p w14:paraId="425423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60分</w:t>
            </w:r>
          </w:p>
        </w:tc>
      </w:tr>
    </w:tbl>
    <w:p w14:paraId="7B5AAD60">
      <w:pPr>
        <w:pStyle w:val="46"/>
        <w:keepNext w:val="0"/>
        <w:keepLines w:val="0"/>
        <w:pageBreakBefore w:val="0"/>
        <w:kinsoku/>
        <w:wordWrap/>
        <w:topLinePunct w:val="0"/>
        <w:bidi w:val="0"/>
        <w:spacing w:line="440" w:lineRule="exact"/>
        <w:ind w:left="0" w:right="0" w:firstLine="420" w:firstLineChars="200"/>
        <w:rPr>
          <w:rFonts w:hint="eastAsia" w:ascii="仿宋" w:hAnsi="仿宋" w:eastAsia="仿宋" w:cs="仿宋"/>
          <w:color w:val="auto"/>
          <w:sz w:val="21"/>
          <w:szCs w:val="21"/>
          <w:highlight w:val="none"/>
        </w:rPr>
      </w:pPr>
    </w:p>
    <w:bookmarkEnd w:id="23"/>
    <w:bookmarkEnd w:id="24"/>
    <w:bookmarkEnd w:id="25"/>
    <w:bookmarkEnd w:id="68"/>
    <w:bookmarkEnd w:id="69"/>
    <w:p w14:paraId="5AFD5A7E">
      <w:pPr>
        <w:autoSpaceDE w:val="0"/>
        <w:autoSpaceDN w:val="0"/>
        <w:adjustRightInd w:val="0"/>
        <w:snapToGrid w:val="0"/>
        <w:spacing w:line="380" w:lineRule="exact"/>
        <w:ind w:firstLine="422" w:firstLineChars="200"/>
        <w:jc w:val="left"/>
        <w:textAlignment w:val="bottom"/>
        <w:rPr>
          <w:rFonts w:hint="eastAsia" w:ascii="仿宋" w:hAnsi="仿宋" w:eastAsia="仿宋" w:cs="仿宋"/>
          <w:b/>
          <w:color w:val="000000" w:themeColor="text1"/>
          <w:szCs w:val="21"/>
          <w:highlight w:val="none"/>
          <w14:textFill>
            <w14:solidFill>
              <w14:schemeClr w14:val="tx1"/>
            </w14:solidFill>
          </w14:textFill>
        </w:rPr>
      </w:pPr>
      <w:bookmarkStart w:id="71" w:name="_Toc304283808"/>
      <w:r>
        <w:rPr>
          <w:rFonts w:hint="eastAsia" w:ascii="仿宋" w:hAnsi="仿宋" w:eastAsia="仿宋" w:cs="仿宋"/>
          <w:b/>
          <w:color w:val="000000" w:themeColor="text1"/>
          <w:szCs w:val="21"/>
          <w:highlight w:val="none"/>
          <w14:textFill>
            <w14:solidFill>
              <w14:schemeClr w14:val="tx1"/>
            </w14:solidFill>
          </w14:textFill>
        </w:rPr>
        <w:t>以上所涉及所需的各种证书、证件、证明、执照等须在复印件上加盖投标人公章</w:t>
      </w:r>
      <w:r>
        <w:rPr>
          <w:rFonts w:hint="eastAsia" w:ascii="仿宋" w:hAnsi="仿宋" w:eastAsia="仿宋" w:cs="仿宋"/>
          <w:b/>
          <w:bCs/>
          <w:color w:val="000000" w:themeColor="text1"/>
          <w:szCs w:val="21"/>
          <w:highlight w:val="none"/>
          <w:lang w:val="zh-CN"/>
          <w14:textFill>
            <w14:solidFill>
              <w14:schemeClr w14:val="tx1"/>
            </w14:solidFill>
          </w14:textFill>
        </w:rPr>
        <w:t>，开标时原件必须携带，以备核查，否则评审不得分。</w:t>
      </w:r>
    </w:p>
    <w:p w14:paraId="47A53E50">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25.4评审结果公示在本招标信息发布媒体上公开发布上，各投标人自行上网查看，招标人不再另行通知。</w:t>
      </w:r>
    </w:p>
    <w:p w14:paraId="423106B8">
      <w:pPr>
        <w:snapToGrid w:val="0"/>
        <w:spacing w:line="380" w:lineRule="exact"/>
        <w:ind w:firstLine="435"/>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26.保密及其它注意事项</w:t>
      </w:r>
    </w:p>
    <w:p w14:paraId="2DB5BA72">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26.1评标是招标过程中的重要环节，评标工作在评委会成员内独立进行。评标委员会将遵照评标原则对待所有投标人。</w:t>
      </w:r>
    </w:p>
    <w:p w14:paraId="1E7C1474">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26.2在开标、评标期间，投标人不得向评委询问评标情况，不得进行旨在影响评标结果的活动。</w:t>
      </w:r>
    </w:p>
    <w:p w14:paraId="41D9AA4C">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26.3在评标过程中，评委不得与投标人私下交换意见。在招标工作结束后与评标工作有接触的任何人，不得将评标情况外泄。</w:t>
      </w:r>
    </w:p>
    <w:p w14:paraId="2E6688F3">
      <w:pPr>
        <w:snapToGrid w:val="0"/>
        <w:spacing w:line="380" w:lineRule="exact"/>
        <w:ind w:firstLine="435"/>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26.4招标人、招标代理及评标委员会不向未中标人解释未中标原因。 </w:t>
      </w:r>
    </w:p>
    <w:p w14:paraId="44523DCF">
      <w:pPr>
        <w:snapToGrid w:val="0"/>
        <w:spacing w:line="380" w:lineRule="exact"/>
        <w:ind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27.合同授予</w:t>
      </w:r>
    </w:p>
    <w:p w14:paraId="65125A07">
      <w:pPr>
        <w:autoSpaceDE w:val="0"/>
        <w:autoSpaceDN w:val="0"/>
        <w:adjustRightInd w:val="0"/>
        <w:snapToGrid w:val="0"/>
        <w:spacing w:line="380" w:lineRule="exact"/>
        <w:ind w:firstLine="482"/>
        <w:jc w:val="left"/>
        <w:textAlignment w:val="bottom"/>
        <w:rPr>
          <w:rFonts w:hint="eastAsia" w:ascii="仿宋" w:hAnsi="仿宋" w:eastAsia="仿宋" w:cs="仿宋"/>
          <w:color w:val="000000" w:themeColor="text1"/>
          <w:szCs w:val="21"/>
          <w:highlight w:val="none"/>
          <w14:textFill>
            <w14:solidFill>
              <w14:schemeClr w14:val="tx1"/>
            </w14:solidFill>
          </w14:textFill>
        </w:rPr>
      </w:pPr>
      <w:bookmarkStart w:id="72" w:name="_Toc135553098"/>
      <w:bookmarkStart w:id="73" w:name="_Toc135552958"/>
      <w:bookmarkStart w:id="74" w:name="_Toc170700699"/>
      <w:r>
        <w:rPr>
          <w:rFonts w:hint="eastAsia" w:ascii="仿宋" w:hAnsi="仿宋" w:eastAsia="仿宋" w:cs="仿宋"/>
          <w:color w:val="000000" w:themeColor="text1"/>
          <w:szCs w:val="21"/>
          <w:highlight w:val="none"/>
          <w14:textFill>
            <w14:solidFill>
              <w14:schemeClr w14:val="tx1"/>
            </w14:solidFill>
          </w14:textFill>
        </w:rPr>
        <w:t>27.1中标通知</w:t>
      </w:r>
      <w:bookmarkEnd w:id="72"/>
      <w:bookmarkEnd w:id="73"/>
      <w:bookmarkEnd w:id="74"/>
      <w:r>
        <w:rPr>
          <w:rFonts w:hint="eastAsia" w:ascii="仿宋" w:hAnsi="仿宋" w:eastAsia="仿宋" w:cs="仿宋"/>
          <w:color w:val="000000" w:themeColor="text1"/>
          <w:szCs w:val="21"/>
          <w:highlight w:val="none"/>
          <w14:textFill>
            <w14:solidFill>
              <w14:schemeClr w14:val="tx1"/>
            </w14:solidFill>
          </w14:textFill>
        </w:rPr>
        <w:t>书</w:t>
      </w:r>
    </w:p>
    <w:p w14:paraId="76A2C609">
      <w:pPr>
        <w:autoSpaceDE w:val="0"/>
        <w:autoSpaceDN w:val="0"/>
        <w:adjustRightInd w:val="0"/>
        <w:snapToGrid w:val="0"/>
        <w:spacing w:line="380" w:lineRule="exact"/>
        <w:ind w:firstLine="482"/>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评标结束后，招标人将预中标结果公示三日。公示期满无异议后向中标人发出书面中标通知书，中标人须自行领取。</w:t>
      </w:r>
    </w:p>
    <w:p w14:paraId="34D55231">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bookmarkStart w:id="75" w:name="_Toc135552960"/>
      <w:bookmarkStart w:id="76" w:name="_Toc135553100"/>
      <w:bookmarkStart w:id="77" w:name="_Toc170700701"/>
      <w:r>
        <w:rPr>
          <w:rFonts w:hint="eastAsia" w:ascii="仿宋" w:hAnsi="仿宋" w:eastAsia="仿宋" w:cs="仿宋"/>
          <w:color w:val="000000" w:themeColor="text1"/>
          <w:szCs w:val="21"/>
          <w:highlight w:val="none"/>
          <w14:textFill>
            <w14:solidFill>
              <w14:schemeClr w14:val="tx1"/>
            </w14:solidFill>
          </w14:textFill>
        </w:rPr>
        <w:t>27.2合同</w:t>
      </w:r>
      <w:bookmarkEnd w:id="75"/>
      <w:bookmarkEnd w:id="76"/>
      <w:bookmarkEnd w:id="77"/>
      <w:r>
        <w:rPr>
          <w:rFonts w:hint="eastAsia" w:ascii="仿宋" w:hAnsi="仿宋" w:eastAsia="仿宋" w:cs="仿宋"/>
          <w:color w:val="000000" w:themeColor="text1"/>
          <w:szCs w:val="21"/>
          <w:highlight w:val="none"/>
          <w14:textFill>
            <w14:solidFill>
              <w14:schemeClr w14:val="tx1"/>
            </w14:solidFill>
          </w14:textFill>
        </w:rPr>
        <w:t>协议书的签订</w:t>
      </w:r>
    </w:p>
    <w:p w14:paraId="686AC183">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27.2.1中标人应按中标通知书规定的时间（30日之内）、地点与招标人签订合同。</w:t>
      </w:r>
    </w:p>
    <w:p w14:paraId="56EE551F">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27.2.2招标文件、投标文件及补充修改文件、评审过程中有关澄清文件及询标纪要和中标通知书均作为合同附件。</w:t>
      </w:r>
    </w:p>
    <w:p w14:paraId="18C162F8">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27.2.3 拒签合同的责任</w:t>
      </w:r>
    </w:p>
    <w:p w14:paraId="4D563D7A">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中标人接到中标通知书后，在规定时间内借故否认已经承诺的条件而拒签合同者，以违约处理，其投标保证金不予退还，并赔偿由此对本次招标工作造成的直接经济损失。</w:t>
      </w:r>
    </w:p>
    <w:p w14:paraId="177A20B9">
      <w:pPr>
        <w:autoSpaceDE w:val="0"/>
        <w:autoSpaceDN w:val="0"/>
        <w:adjustRightInd w:val="0"/>
        <w:snapToGrid w:val="0"/>
        <w:spacing w:line="380" w:lineRule="exact"/>
        <w:ind w:firstLine="480"/>
        <w:jc w:val="left"/>
        <w:textAlignment w:val="bottom"/>
        <w:rPr>
          <w:rFonts w:hint="eastAsia" w:ascii="仿宋" w:hAnsi="仿宋" w:eastAsia="仿宋" w:cs="仿宋"/>
          <w:b/>
          <w:color w:val="000000" w:themeColor="text1"/>
          <w:szCs w:val="21"/>
          <w:highlight w:val="none"/>
          <w14:textFill>
            <w14:solidFill>
              <w14:schemeClr w14:val="tx1"/>
            </w14:solidFill>
          </w14:textFill>
        </w:rPr>
      </w:pPr>
      <w:bookmarkStart w:id="78" w:name="_Toc135553101"/>
      <w:bookmarkStart w:id="79" w:name="_Toc170700702"/>
      <w:bookmarkStart w:id="80" w:name="_Toc135552961"/>
      <w:r>
        <w:rPr>
          <w:rFonts w:hint="eastAsia" w:ascii="仿宋" w:hAnsi="仿宋" w:eastAsia="仿宋" w:cs="仿宋"/>
          <w:b/>
          <w:color w:val="000000" w:themeColor="text1"/>
          <w:szCs w:val="21"/>
          <w:highlight w:val="none"/>
          <w14:textFill>
            <w14:solidFill>
              <w14:schemeClr w14:val="tx1"/>
            </w14:solidFill>
          </w14:textFill>
        </w:rPr>
        <w:t>27.3 履约保证金</w:t>
      </w:r>
      <w:bookmarkEnd w:id="78"/>
      <w:bookmarkEnd w:id="79"/>
      <w:bookmarkEnd w:id="80"/>
    </w:p>
    <w:p w14:paraId="5FD94076">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27.3.1 履约保证金在合同期内有效。如中标人不及时交纳履约保证金或不按时与招标人签订合同，招标人将废除其中标权，不退还其投标保证金, 给招标人造成的损失超过投标担保数额的，还应当对超过部分予以赔偿，同时依法要求其承担相应法律责任。</w:t>
      </w:r>
    </w:p>
    <w:p w14:paraId="1CEB2146">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27.3.2履约结束后,招标人凭收据或回执向中标人无息退还。</w:t>
      </w:r>
    </w:p>
    <w:p w14:paraId="08219EDF">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27.3.3履约保证金缴款方式：按投标人须知前附表规定</w:t>
      </w:r>
      <w:r>
        <w:rPr>
          <w:rFonts w:hint="eastAsia" w:ascii="仿宋" w:hAnsi="仿宋" w:eastAsia="仿宋" w:cs="仿宋"/>
          <w:color w:val="000000" w:themeColor="text1"/>
          <w:szCs w:val="21"/>
          <w:highlight w:val="none"/>
          <w:lang w:val="zh-CN"/>
          <w14:textFill>
            <w14:solidFill>
              <w14:schemeClr w14:val="tx1"/>
            </w14:solidFill>
          </w14:textFill>
        </w:rPr>
        <w:t>。履约保证金交纳的单位名称须与成交单位一致。</w:t>
      </w:r>
      <w:r>
        <w:rPr>
          <w:rFonts w:hint="eastAsia" w:ascii="仿宋" w:hAnsi="仿宋" w:eastAsia="仿宋" w:cs="仿宋"/>
          <w:b/>
          <w:bCs/>
          <w:color w:val="000000" w:themeColor="text1"/>
          <w:szCs w:val="21"/>
          <w:highlight w:val="none"/>
          <w:lang w:val="zh-CN"/>
          <w14:textFill>
            <w14:solidFill>
              <w14:schemeClr w14:val="tx1"/>
            </w14:solidFill>
          </w14:textFill>
        </w:rPr>
        <w:t>履约保证金交纳的单位名称须与中标单位一致</w:t>
      </w:r>
      <w:r>
        <w:rPr>
          <w:rFonts w:hint="eastAsia" w:ascii="仿宋" w:hAnsi="仿宋" w:eastAsia="仿宋" w:cs="仿宋"/>
          <w:color w:val="000000" w:themeColor="text1"/>
          <w:szCs w:val="21"/>
          <w:highlight w:val="none"/>
          <w:lang w:val="zh-CN"/>
          <w14:textFill>
            <w14:solidFill>
              <w14:schemeClr w14:val="tx1"/>
            </w14:solidFill>
          </w14:textFill>
        </w:rPr>
        <w:t>。</w:t>
      </w:r>
    </w:p>
    <w:p w14:paraId="0802899F">
      <w:pPr>
        <w:pStyle w:val="2"/>
        <w:snapToGrid w:val="0"/>
        <w:spacing w:line="380" w:lineRule="exact"/>
        <w:ind w:firstLine="316" w:firstLineChars="15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28.解释权</w:t>
      </w:r>
    </w:p>
    <w:p w14:paraId="03351CB0">
      <w:pPr>
        <w:autoSpaceDE w:val="0"/>
        <w:autoSpaceDN w:val="0"/>
        <w:adjustRightInd w:val="0"/>
        <w:snapToGrid w:val="0"/>
        <w:spacing w:line="380" w:lineRule="exact"/>
        <w:ind w:firstLine="480"/>
        <w:jc w:val="left"/>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凡涉及本次招标文件及澄清、修改或补充文件等条款的解释权均属于浙江常新工贸有限公司。</w:t>
      </w:r>
    </w:p>
    <w:p w14:paraId="392C9D1D">
      <w:pPr>
        <w:autoSpaceDE w:val="0"/>
        <w:autoSpaceDN w:val="0"/>
        <w:adjustRightInd w:val="0"/>
        <w:snapToGrid w:val="0"/>
        <w:spacing w:line="380" w:lineRule="exact"/>
        <w:ind w:firstLine="480"/>
        <w:jc w:val="left"/>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29.投标人和其他利害关系人认为本次招标活动违反法律、法规和规章规定的，有权向招标人纪检监察科提出质疑或投诉，投诉电话：0570</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5083101 。</w:t>
      </w:r>
    </w:p>
    <w:p w14:paraId="583848BE">
      <w:pPr>
        <w:pageBreakBefore/>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bookmarkStart w:id="81" w:name="_Toc8169"/>
      <w:bookmarkStart w:id="82" w:name="_Toc8396"/>
      <w:r>
        <w:rPr>
          <w:rFonts w:hint="eastAsia" w:ascii="仿宋" w:hAnsi="仿宋" w:eastAsia="仿宋" w:cs="仿宋"/>
          <w:b/>
          <w:color w:val="000000" w:themeColor="text1"/>
          <w:sz w:val="28"/>
          <w:szCs w:val="28"/>
          <w:highlight w:val="none"/>
          <w14:textFill>
            <w14:solidFill>
              <w14:schemeClr w14:val="tx1"/>
            </w14:solidFill>
          </w14:textFill>
        </w:rPr>
        <w:t>第三章 采购需求</w:t>
      </w:r>
      <w:bookmarkEnd w:id="81"/>
      <w:bookmarkEnd w:id="82"/>
    </w:p>
    <w:p w14:paraId="245DB084">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52C7183A">
      <w:pPr>
        <w:widowControl/>
        <w:snapToGrid w:val="0"/>
        <w:spacing w:line="360" w:lineRule="auto"/>
        <w:rPr>
          <w:rFonts w:hint="eastAsia" w:ascii="仿宋" w:hAnsi="仿宋" w:eastAsia="仿宋" w:cs="仿宋"/>
          <w:b/>
          <w:bCs/>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lang w:val="zh-CN"/>
          <w14:textFill>
            <w14:solidFill>
              <w14:schemeClr w14:val="tx1"/>
            </w14:solidFill>
          </w14:textFill>
        </w:rPr>
        <w:t>项目内容</w:t>
      </w:r>
    </w:p>
    <w:p w14:paraId="7DDA241A">
      <w:pPr>
        <w:pStyle w:val="12"/>
        <w:spacing w:line="360" w:lineRule="auto"/>
        <w:ind w:left="0" w:leftChars="0"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拟通过公开招标方式选定一家安保服务公司，以劳务外包的形式，实施公司警务辅助岗位增设工作。服务期限为一年（具体以合同签订时间为准），项目预算金额：168.54万元。</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1275EBB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二、岗位增设情况</w:t>
      </w:r>
    </w:p>
    <w:p w14:paraId="473E27B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（一）岗位设置及人数</w:t>
      </w:r>
    </w:p>
    <w:p w14:paraId="6572175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合计拟配备19人，分别为：视频监控巡查岗5人（3男、2男女不限）、巡查执勤岗6人（男性）、夜间瞪眼岗6人（男性）、厂区工间驿站1人（男性）,配件中心管理员1人（男性）。</w:t>
      </w:r>
    </w:p>
    <w:p w14:paraId="6D984D8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（二）岗位设置要求</w:t>
      </w:r>
    </w:p>
    <w:p w14:paraId="1AFB357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1.视频监控巡查岗，5人（3男、2男女不限），实行轮班制，上四休一，常态化模式工作时间为8点-21点，如遇法定节假日或非常态化模式按甲方具体情况执行（根据需求确定实际岗位人数）。</w:t>
      </w:r>
    </w:p>
    <w:p w14:paraId="425D55C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巡查执勤岗6人，男性，实行轮班制，上五休一，常态化模式工作时间为6点30分-21点，每天安排一名人员在公司驻地睡班备勤，在岗时间每天不低于10小时，如遇法定节假日或非常态化模式按甲方具体情况执行（根据需求确定实际岗位人数）。</w:t>
      </w:r>
    </w:p>
    <w:p w14:paraId="550E316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夜间瞪眼岗6人，男性。实行轮班制，上四休二。在岗时间每天10小时（21：00--次日7：15），常态模式必须分为前半夜和后半夜两班，不能连班,且在公司驻地睡班备勤。如遇法定节假日或非常态化模式按甲方具体情况执行（根据需求确定实际岗位人数）。</w:t>
      </w:r>
    </w:p>
    <w:p w14:paraId="2C6F560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4.厂区工间驿站1人，男性，上五休二，上班时间一般为周二至周六，在岗时间参照公司上下班时间，如遇法定节假日或非常态化模式按甲方具体情况执行（根据需求确定实际岗位人数）。</w:t>
      </w:r>
    </w:p>
    <w:p w14:paraId="11F5D39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仿宋" w:hAnsi="仿宋" w:eastAsia="仿宋" w:cs="仿宋"/>
          <w:b w:val="0"/>
          <w:bCs w:val="0"/>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5.配件中心管理员1人，男性，上五休二，上班时间一般为周二至周六，在岗时间参照车间出工时间，如遇法定节假日或非常态化模式按甲方具体情况执行（根据需求确定实际岗位人数）。</w:t>
      </w:r>
    </w:p>
    <w:p w14:paraId="03F6E9C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三、保障支持</w:t>
      </w:r>
    </w:p>
    <w:p w14:paraId="3A12559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按照必须、安全、稳妥原则，给予辅警一定权限的门禁卡用于有限出入；允许每人配备一只工作机，用于执勤工作联系；允许1人办理1张公司餐厅就餐卡，用于执勤期间就餐；允许少部分辅警在短时期周转的执勤用房暂时就寝，按月收取一定使用管理费和水电费。上述保障支持事项分别由信息科、行政装备科及劳动保障科牵头负责办理。</w:t>
      </w:r>
    </w:p>
    <w:p w14:paraId="3727B9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四、辅助人员基本条件</w:t>
      </w:r>
    </w:p>
    <w:p w14:paraId="4C704550">
      <w:pPr>
        <w:pStyle w:val="2"/>
        <w:keepNext w:val="0"/>
        <w:keepLines w:val="0"/>
        <w:pageBreakBefore w:val="0"/>
        <w:kinsoku/>
        <w:wordWrap/>
        <w:overflowPunct/>
        <w:topLinePunct w:val="0"/>
        <w:autoSpaceDE/>
        <w:autoSpaceDN/>
        <w:bidi w:val="0"/>
        <w:spacing w:after="0"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1.拥护中国共产党领导和社会主义制度，拥护中华人民共和国宪法，遵守国家法律、法规；</w:t>
      </w:r>
    </w:p>
    <w:p w14:paraId="526BF78D">
      <w:pPr>
        <w:pStyle w:val="2"/>
        <w:keepNext w:val="0"/>
        <w:keepLines w:val="0"/>
        <w:pageBreakBefore w:val="0"/>
        <w:kinsoku/>
        <w:wordWrap/>
        <w:overflowPunct/>
        <w:topLinePunct w:val="0"/>
        <w:autoSpaceDE/>
        <w:autoSpaceDN/>
        <w:bidi w:val="0"/>
        <w:spacing w:after="0"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2.一般年满二十周岁以上且在四十周岁以下，特殊情况可放宽至45周岁；</w:t>
      </w:r>
    </w:p>
    <w:p w14:paraId="35B5F63D">
      <w:pPr>
        <w:pStyle w:val="2"/>
        <w:keepNext w:val="0"/>
        <w:keepLines w:val="0"/>
        <w:pageBreakBefore w:val="0"/>
        <w:kinsoku/>
        <w:wordWrap/>
        <w:overflowPunct/>
        <w:topLinePunct w:val="0"/>
        <w:autoSpaceDE/>
        <w:autoSpaceDN/>
        <w:bidi w:val="0"/>
        <w:spacing w:after="0"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3.女性身高1.58米及以上，男性身高1.70米及以上，巡查执勤岗要求男性身高1.75米及以上；</w:t>
      </w:r>
    </w:p>
    <w:p w14:paraId="539FE17D">
      <w:pPr>
        <w:keepNext w:val="0"/>
        <w:keepLines w:val="0"/>
        <w:pageBreakBefore w:val="0"/>
        <w:kinsoku/>
        <w:wordWrap/>
        <w:overflowPunct/>
        <w:topLinePunct w:val="0"/>
        <w:autoSpaceDE/>
        <w:autoSpaceDN/>
        <w:bidi w:val="0"/>
        <w:spacing w:line="52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4.具有国家承认的大专及以上学历（学信网可查），退伍军人学历可放宽至高中以上；</w:t>
      </w:r>
    </w:p>
    <w:p w14:paraId="00DD9D96">
      <w:pPr>
        <w:pStyle w:val="2"/>
        <w:keepNext w:val="0"/>
        <w:keepLines w:val="0"/>
        <w:pageBreakBefore w:val="0"/>
        <w:kinsoku/>
        <w:wordWrap/>
        <w:overflowPunct/>
        <w:topLinePunct w:val="0"/>
        <w:autoSpaceDE/>
        <w:autoSpaceDN/>
        <w:bidi w:val="0"/>
        <w:spacing w:after="0"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5.具有岗位职责所需的身体条件、心理素质和工作能力；</w:t>
      </w:r>
    </w:p>
    <w:p w14:paraId="4B4F2DD0">
      <w:pPr>
        <w:pStyle w:val="2"/>
        <w:keepNext w:val="0"/>
        <w:keepLines w:val="0"/>
        <w:pageBreakBefore w:val="0"/>
        <w:kinsoku/>
        <w:wordWrap/>
        <w:overflowPunct/>
        <w:topLinePunct w:val="0"/>
        <w:autoSpaceDE/>
        <w:autoSpaceDN/>
        <w:bidi w:val="0"/>
        <w:spacing w:after="0"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6.身体健康，无纹身，无严重传染性疾病，应提供体检证明；</w:t>
      </w:r>
    </w:p>
    <w:p w14:paraId="7BD84B2D">
      <w:pPr>
        <w:pStyle w:val="2"/>
        <w:keepNext w:val="0"/>
        <w:keepLines w:val="0"/>
        <w:pageBreakBefore w:val="0"/>
        <w:kinsoku/>
        <w:wordWrap/>
        <w:overflowPunct/>
        <w:topLinePunct w:val="0"/>
        <w:autoSpaceDE/>
        <w:autoSpaceDN/>
        <w:bidi w:val="0"/>
        <w:spacing w:after="0"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7.家庭和睦，邻里友善，有良好的社会公德，省内户籍人员优先；</w:t>
      </w:r>
    </w:p>
    <w:p w14:paraId="6EE714BD">
      <w:pPr>
        <w:pStyle w:val="2"/>
        <w:keepNext w:val="0"/>
        <w:keepLines w:val="0"/>
        <w:pageBreakBefore w:val="0"/>
        <w:kinsoku/>
        <w:wordWrap/>
        <w:overflowPunct/>
        <w:topLinePunct w:val="0"/>
        <w:autoSpaceDE/>
        <w:autoSpaceDN/>
        <w:bidi w:val="0"/>
        <w:spacing w:after="0"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8.优先录用公安类、政法类院校毕业生，具有岗位所需专业资质和专门技能的人员、退役士官和士兵、见义勇为积极分子和先进个人以及国家综合性消防救援队伍转退的救援人员。</w:t>
      </w:r>
    </w:p>
    <w:p w14:paraId="618AF1AD">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9.有下列情形之一的，不予录用：</w:t>
      </w:r>
    </w:p>
    <w:p w14:paraId="5B8A52A6">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（1）受过刑事处罚或者涉嫌违法犯罪尚未查清的；</w:t>
      </w:r>
    </w:p>
    <w:p w14:paraId="0D7BD279">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（2）曾被行政拘留、司法拘留、收容教养、收容教育或者有吸毒史的；</w:t>
      </w:r>
    </w:p>
    <w:p w14:paraId="10A476BC">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（3）曾被开除党籍、开除团籍、开除军籍、开除公职的；</w:t>
      </w:r>
    </w:p>
    <w:p w14:paraId="5CB4747C">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（4）曾参与或支持色情、赌博、迷信等活动，或者曾参加过涉黑涉恶、黄赌毒违法犯罪团伙，或者参加过邪教非法组织，被相关职能部门作出过认定或处理的；</w:t>
      </w:r>
    </w:p>
    <w:p w14:paraId="54197E47">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（5）曾因违反用工部门管理规定被解除劳动合同的；</w:t>
      </w:r>
    </w:p>
    <w:p w14:paraId="1E259E23">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（6）本人或直系亲属因故意犯罪受到过刑事处罚或正在服刑的，曾被社区矫治或正在社区矫治的；</w:t>
      </w:r>
    </w:p>
    <w:p w14:paraId="1B661FB7">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（7）被列入失信联合惩戒对象的；</w:t>
      </w:r>
    </w:p>
    <w:p w14:paraId="1ED25F44">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（8）有未按法律法规程序，进行缠访闹访等信访行为的；</w:t>
      </w:r>
    </w:p>
    <w:p w14:paraId="72C69E3C">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（9）在读的全日制学历教育学生；</w:t>
      </w:r>
    </w:p>
    <w:p w14:paraId="0CB68FAE">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（10）不适合岗位要求的其他情形。</w:t>
      </w:r>
    </w:p>
    <w:p w14:paraId="041C1F4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五、岗位职责</w:t>
      </w:r>
    </w:p>
    <w:p w14:paraId="03BD5F85">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1、勤务辅员在公司管理人员的管理、指挥和监督下，按照岗位职责要求，可以从事下列执法岗位的相关辅助工作：</w:t>
      </w:r>
    </w:p>
    <w:p w14:paraId="3E14F021">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（1）协助预防、制止违规违纪、违法犯罪活动；</w:t>
      </w:r>
    </w:p>
    <w:p w14:paraId="230CB712">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（2）协助开展生产车间、围墙周界、警戒巡逻以及对出入监管大门进行安全检查；</w:t>
      </w:r>
    </w:p>
    <w:p w14:paraId="44F1BC87">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（3）协助视频监控、现场看管、押解看护等勤务；</w:t>
      </w:r>
    </w:p>
    <w:p w14:paraId="00E5F0A8">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（4）协助维护车间案（事）件现场秩序，保护案（事）件现场，抢救受伤人员，处置突发性、群体性事件；</w:t>
      </w:r>
    </w:p>
    <w:p w14:paraId="0B23EC01">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（5）协助开展学习、生活、生产劳动三大场所的勤务管理；</w:t>
      </w:r>
    </w:p>
    <w:p w14:paraId="76D17674">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（6）协助开展管理人员在出收工队列带押、车间劳动现场跟单、外协人员以及板块式移动管理；</w:t>
      </w:r>
    </w:p>
    <w:p w14:paraId="28086EF0">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（7）协助打扫执勤室、值班室、办公区域卫生，领取报刊杂志；</w:t>
      </w:r>
    </w:p>
    <w:p w14:paraId="58E9B996">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（8）协助开展搜身和清监，协助消防管理、检查巡查处置工作；</w:t>
      </w:r>
    </w:p>
    <w:p w14:paraId="72CE87D2">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（9）协助施工、驾驶人员带领及现场管理；</w:t>
      </w:r>
    </w:p>
    <w:p w14:paraId="742599EF">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（10）工间驿站辅员要求能熟练操作如奶茶、咖啡、茶叶蛋、三明治等制作工作。；</w:t>
      </w:r>
    </w:p>
    <w:p w14:paraId="366F7066">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（11）执行公司根据实际情况布置的其他勤务务辅助工作。</w:t>
      </w:r>
    </w:p>
    <w:p w14:paraId="234EEBD6">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3.具体岗位考核和岗位职责参照甲方制订的《辅助人员管理办法》和《辅助人员工作手册》。</w:t>
      </w:r>
    </w:p>
    <w:p w14:paraId="6078A20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六、其他</w:t>
      </w:r>
    </w:p>
    <w:p w14:paraId="3C3C5447">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1.中标人须在合同签订前提供各岗位人员的相关有效证件和信息，如果中标人不能提供，则招标人有权终止合同签订。</w:t>
      </w:r>
    </w:p>
    <w:p w14:paraId="2B5DFFA9">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中标人应按要求和事项发生量及时配备足够和胜任的相关管理和服务人员，所有人员进场前须经招标人认可，并保持人员的稳定。遇调动或辞职时，项目负责人提前一个月、辅助管理人员提前10天告知招标人并得到同意后才能更换，同时按要求及时补充相应人员，提前做好交接班。对招标人认为无能力、工作失职或不合适人员，应立即更换。岗位人数不足时，按相应岗位成本扣除服务费。所有人员（含调整）的具体身份信息应在上岗前交招标人处报备。</w:t>
      </w:r>
    </w:p>
    <w:p w14:paraId="2D6C5C5B">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3.中标方须在合同订立之日起20天内安排招标人录用的辅助管理人员按要求到招标人指定岗位报到并按岗位班次运转工作。</w:t>
      </w:r>
    </w:p>
    <w:p w14:paraId="1D6ECFF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七、经费预算及列支。</w:t>
      </w:r>
    </w:p>
    <w:p w14:paraId="4B87C352">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1.岗位招标限高单价，包含队员工资、社保、节假日福利、加班、高温补贴、奖励、管理、人力、物力、财务、税金等履行合同所需的所有费用。共计新增辅员19人，约需经费168.54万元，列企业开支。</w:t>
      </w:r>
    </w:p>
    <w:tbl>
      <w:tblPr>
        <w:tblStyle w:val="22"/>
        <w:tblpPr w:leftFromText="180" w:rightFromText="180" w:vertAnchor="text" w:horzAnchor="page" w:tblpX="1439" w:tblpY="572"/>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8"/>
        <w:gridCol w:w="2036"/>
        <w:gridCol w:w="1554"/>
        <w:gridCol w:w="1832"/>
        <w:gridCol w:w="2758"/>
      </w:tblGrid>
      <w:tr w14:paraId="03AE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178" w:type="dxa"/>
            <w:tcBorders>
              <w:top w:val="single" w:color="auto" w:sz="4" w:space="0"/>
              <w:left w:val="single" w:color="auto" w:sz="4" w:space="0"/>
              <w:bottom w:val="single" w:color="auto" w:sz="4" w:space="0"/>
              <w:right w:val="single" w:color="auto" w:sz="4" w:space="0"/>
            </w:tcBorders>
            <w:noWrap w:val="0"/>
            <w:vAlign w:val="center"/>
          </w:tcPr>
          <w:p w14:paraId="2AC2771C">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序号</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4CFB126A">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岗   位</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44CA07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计划岗位人数</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3740AA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元/岗/月</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55266CD6">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备注</w:t>
            </w:r>
          </w:p>
        </w:tc>
      </w:tr>
      <w:tr w14:paraId="7DF1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78" w:type="dxa"/>
            <w:tcBorders>
              <w:top w:val="single" w:color="auto" w:sz="4" w:space="0"/>
              <w:left w:val="single" w:color="auto" w:sz="4" w:space="0"/>
              <w:bottom w:val="single" w:color="auto" w:sz="4" w:space="0"/>
              <w:right w:val="single" w:color="auto" w:sz="4" w:space="0"/>
            </w:tcBorders>
            <w:noWrap w:val="0"/>
            <w:vAlign w:val="center"/>
          </w:tcPr>
          <w:p w14:paraId="10F11729">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3FDEB00B">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巡查执勤岗</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703071C8">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54A8A5D7">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8150</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20237BCF">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75D4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178" w:type="dxa"/>
            <w:tcBorders>
              <w:top w:val="single" w:color="auto" w:sz="4" w:space="0"/>
              <w:left w:val="single" w:color="auto" w:sz="4" w:space="0"/>
              <w:bottom w:val="single" w:color="auto" w:sz="4" w:space="0"/>
              <w:right w:val="single" w:color="auto" w:sz="4" w:space="0"/>
            </w:tcBorders>
            <w:noWrap w:val="0"/>
            <w:vAlign w:val="center"/>
          </w:tcPr>
          <w:p w14:paraId="6312DE89">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1BFFE8D9">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配件中心管理员</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5BBF5B63">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7377613D">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8150</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6B07C350">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7ABD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178" w:type="dxa"/>
            <w:tcBorders>
              <w:top w:val="single" w:color="auto" w:sz="4" w:space="0"/>
              <w:left w:val="single" w:color="auto" w:sz="4" w:space="0"/>
              <w:bottom w:val="single" w:color="auto" w:sz="4" w:space="0"/>
              <w:right w:val="single" w:color="auto" w:sz="4" w:space="0"/>
            </w:tcBorders>
            <w:noWrap w:val="0"/>
            <w:vAlign w:val="center"/>
          </w:tcPr>
          <w:p w14:paraId="74F563A4">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31EB34FD">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夜间瞪眼岗</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7C7DD73E">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59DDEBC7">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7200</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36E22C57">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26C9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178" w:type="dxa"/>
            <w:tcBorders>
              <w:top w:val="single" w:color="auto" w:sz="4" w:space="0"/>
              <w:left w:val="single" w:color="auto" w:sz="4" w:space="0"/>
              <w:bottom w:val="single" w:color="auto" w:sz="4" w:space="0"/>
              <w:right w:val="single" w:color="auto" w:sz="4" w:space="0"/>
            </w:tcBorders>
            <w:noWrap w:val="0"/>
            <w:vAlign w:val="center"/>
          </w:tcPr>
          <w:p w14:paraId="243FDBA0">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3D52D754">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视频监控巡查岗</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7EA1AA0D">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23D7332E">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6700</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66D9F02C">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7FAE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78" w:type="dxa"/>
            <w:tcBorders>
              <w:top w:val="single" w:color="auto" w:sz="4" w:space="0"/>
              <w:left w:val="single" w:color="auto" w:sz="4" w:space="0"/>
              <w:bottom w:val="single" w:color="auto" w:sz="4" w:space="0"/>
              <w:right w:val="single" w:color="auto" w:sz="4" w:space="0"/>
            </w:tcBorders>
            <w:noWrap w:val="0"/>
            <w:vAlign w:val="center"/>
          </w:tcPr>
          <w:p w14:paraId="685A9435">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6F71EE4A">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厂区工间驿站</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3E252D14">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14CCA2A4">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6700</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2D31B503">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2F96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178" w:type="dxa"/>
            <w:tcBorders>
              <w:top w:val="single" w:color="auto" w:sz="4" w:space="0"/>
              <w:left w:val="single" w:color="auto" w:sz="4" w:space="0"/>
              <w:bottom w:val="single" w:color="auto" w:sz="4" w:space="0"/>
              <w:right w:val="single" w:color="auto" w:sz="4" w:space="0"/>
            </w:tcBorders>
            <w:noWrap/>
            <w:vAlign w:val="center"/>
          </w:tcPr>
          <w:p w14:paraId="6A3563E3">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w:t>
            </w:r>
          </w:p>
        </w:tc>
        <w:tc>
          <w:tcPr>
            <w:tcW w:w="2036" w:type="dxa"/>
            <w:tcBorders>
              <w:top w:val="single" w:color="auto" w:sz="4" w:space="0"/>
              <w:left w:val="single" w:color="auto" w:sz="4" w:space="0"/>
              <w:bottom w:val="single" w:color="auto" w:sz="4" w:space="0"/>
              <w:right w:val="single" w:color="auto" w:sz="4" w:space="0"/>
            </w:tcBorders>
            <w:noWrap/>
            <w:vAlign w:val="center"/>
          </w:tcPr>
          <w:p w14:paraId="09917712">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合计</w:t>
            </w:r>
          </w:p>
        </w:tc>
        <w:tc>
          <w:tcPr>
            <w:tcW w:w="1554" w:type="dxa"/>
            <w:tcBorders>
              <w:top w:val="single" w:color="auto" w:sz="4" w:space="0"/>
              <w:left w:val="single" w:color="auto" w:sz="4" w:space="0"/>
              <w:bottom w:val="single" w:color="auto" w:sz="4" w:space="0"/>
              <w:right w:val="single" w:color="auto" w:sz="4" w:space="0"/>
            </w:tcBorders>
            <w:noWrap/>
            <w:vAlign w:val="center"/>
          </w:tcPr>
          <w:p w14:paraId="6F5B7CCE">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19</w:t>
            </w:r>
          </w:p>
        </w:tc>
        <w:tc>
          <w:tcPr>
            <w:tcW w:w="1832" w:type="dxa"/>
            <w:tcBorders>
              <w:top w:val="single" w:color="auto" w:sz="4" w:space="0"/>
              <w:left w:val="single" w:color="auto" w:sz="4" w:space="0"/>
              <w:bottom w:val="single" w:color="auto" w:sz="4" w:space="0"/>
              <w:right w:val="single" w:color="auto" w:sz="4" w:space="0"/>
            </w:tcBorders>
            <w:noWrap/>
            <w:vAlign w:val="center"/>
          </w:tcPr>
          <w:p w14:paraId="063F14B2">
            <w:pPr>
              <w:keepNext w:val="0"/>
              <w:keepLines w:val="0"/>
              <w:pageBreakBefore w:val="0"/>
              <w:numPr>
                <w:ilvl w:val="0"/>
                <w:numId w:val="0"/>
              </w:numPr>
              <w:kinsoku/>
              <w:wordWrap/>
              <w:overflowPunct/>
              <w:topLinePunct w:val="0"/>
              <w:autoSpaceDE/>
              <w:autoSpaceDN/>
              <w:bidi w:val="0"/>
              <w:spacing w:line="500" w:lineRule="exact"/>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年预算168.54万元。</w:t>
            </w:r>
          </w:p>
        </w:tc>
        <w:tc>
          <w:tcPr>
            <w:tcW w:w="2758" w:type="dxa"/>
            <w:tcBorders>
              <w:top w:val="single" w:color="auto" w:sz="4" w:space="0"/>
              <w:left w:val="single" w:color="auto" w:sz="4" w:space="0"/>
              <w:bottom w:val="single" w:color="auto" w:sz="4" w:space="0"/>
              <w:right w:val="single" w:color="auto" w:sz="4" w:space="0"/>
            </w:tcBorders>
            <w:noWrap/>
            <w:vAlign w:val="center"/>
          </w:tcPr>
          <w:p w14:paraId="04749009">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bl>
    <w:p w14:paraId="1C0A865C">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1"/>
          <w:szCs w:val="21"/>
          <w:lang w:eastAsia="zh-CN"/>
        </w:rPr>
      </w:pPr>
    </w:p>
    <w:p w14:paraId="6D916BEB">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2.设年度考核奖金：在岗且当年满一年的辅员，发放年度考核奖，按2000-6000元/人/年标准设置，结合月度考核情况和岗位职能发挥等进行发放。此费用由甲方单独按实按考核进行操作发放。</w:t>
      </w:r>
    </w:p>
    <w:p w14:paraId="7D18C438">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3.中标单位对辅助人员的税前薪资待遇无特殊情况不得低于以下标准。</w:t>
      </w:r>
    </w:p>
    <w:tbl>
      <w:tblPr>
        <w:tblStyle w:val="22"/>
        <w:tblpPr w:leftFromText="180" w:rightFromText="180" w:vertAnchor="text" w:horzAnchor="page" w:tblpX="1426" w:tblpY="259"/>
        <w:tblOverlap w:val="never"/>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000"/>
        <w:gridCol w:w="1356"/>
        <w:gridCol w:w="1839"/>
        <w:gridCol w:w="3301"/>
      </w:tblGrid>
      <w:tr w14:paraId="1BF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050" w:type="dxa"/>
            <w:noWrap w:val="0"/>
            <w:vAlign w:val="center"/>
          </w:tcPr>
          <w:p w14:paraId="7699DF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序号</w:t>
            </w:r>
          </w:p>
        </w:tc>
        <w:tc>
          <w:tcPr>
            <w:tcW w:w="2000" w:type="dxa"/>
            <w:noWrap w:val="0"/>
            <w:vAlign w:val="center"/>
          </w:tcPr>
          <w:p w14:paraId="7D267B0C">
            <w:pPr>
              <w:keepNext w:val="0"/>
              <w:keepLines w:val="0"/>
              <w:pageBreakBefore w:val="0"/>
              <w:widowControl w:val="0"/>
              <w:kinsoku/>
              <w:wordWrap/>
              <w:overflowPunct/>
              <w:topLinePunct w:val="0"/>
              <w:autoSpaceDE/>
              <w:autoSpaceDN/>
              <w:bidi w:val="0"/>
              <w:adjustRightInd/>
              <w:snapToGrid/>
              <w:spacing w:line="500" w:lineRule="exact"/>
              <w:ind w:firstLine="632" w:firstLineChars="300"/>
              <w:jc w:val="both"/>
              <w:textAlignment w:val="auto"/>
              <w:outlineLvl w:val="9"/>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岗</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位</w:t>
            </w:r>
          </w:p>
        </w:tc>
        <w:tc>
          <w:tcPr>
            <w:tcW w:w="1356" w:type="dxa"/>
            <w:noWrap w:val="0"/>
            <w:vAlign w:val="center"/>
          </w:tcPr>
          <w:p w14:paraId="711E9A5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计划</w:t>
            </w:r>
            <w:r>
              <w:rPr>
                <w:rFonts w:hint="eastAsia" w:ascii="仿宋" w:hAnsi="仿宋" w:eastAsia="仿宋" w:cs="仿宋"/>
                <w:b/>
                <w:bCs/>
                <w:color w:val="000000"/>
                <w:sz w:val="21"/>
                <w:szCs w:val="21"/>
              </w:rPr>
              <w:t>岗位</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lang w:eastAsia="zh-CN"/>
              </w:rPr>
              <w:t>人数</w:t>
            </w:r>
          </w:p>
        </w:tc>
        <w:tc>
          <w:tcPr>
            <w:tcW w:w="1839" w:type="dxa"/>
            <w:noWrap w:val="0"/>
            <w:vAlign w:val="center"/>
          </w:tcPr>
          <w:p w14:paraId="04345FC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21"/>
                <w:szCs w:val="21"/>
                <w:lang w:val="en-US" w:eastAsia="zh-CN"/>
              </w:rPr>
            </w:pPr>
            <w:r>
              <w:rPr>
                <w:rFonts w:hint="eastAsia" w:ascii="仿宋" w:hAnsi="仿宋" w:eastAsia="仿宋" w:cs="仿宋"/>
                <w:b/>
                <w:bCs/>
                <w:sz w:val="21"/>
                <w:szCs w:val="21"/>
                <w:lang w:val="en-US" w:eastAsia="zh-CN"/>
              </w:rPr>
              <w:t>2024年薪资税前</w:t>
            </w:r>
            <w:r>
              <w:rPr>
                <w:rFonts w:hint="eastAsia" w:ascii="仿宋" w:hAnsi="仿宋" w:eastAsia="仿宋" w:cs="仿宋"/>
                <w:b/>
                <w:bCs/>
                <w:sz w:val="21"/>
                <w:szCs w:val="21"/>
              </w:rPr>
              <w:t>（元/岗/月）</w:t>
            </w:r>
          </w:p>
        </w:tc>
        <w:tc>
          <w:tcPr>
            <w:tcW w:w="3301" w:type="dxa"/>
            <w:noWrap w:val="0"/>
            <w:vAlign w:val="center"/>
          </w:tcPr>
          <w:p w14:paraId="341F63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备</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lang w:eastAsia="zh-CN"/>
              </w:rPr>
              <w:t>注</w:t>
            </w:r>
          </w:p>
        </w:tc>
      </w:tr>
      <w:tr w14:paraId="24E7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50" w:type="dxa"/>
            <w:noWrap w:val="0"/>
            <w:vAlign w:val="center"/>
          </w:tcPr>
          <w:p w14:paraId="293AF8CB">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2000" w:type="dxa"/>
            <w:noWrap w:val="0"/>
            <w:vAlign w:val="center"/>
          </w:tcPr>
          <w:p w14:paraId="3DDAD0FA">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b w:val="0"/>
                <w:bCs/>
                <w:sz w:val="21"/>
                <w:szCs w:val="21"/>
                <w:lang w:val="en-US" w:eastAsia="zh-CN"/>
              </w:rPr>
              <w:t>巡查执勤岗</w:t>
            </w:r>
          </w:p>
        </w:tc>
        <w:tc>
          <w:tcPr>
            <w:tcW w:w="1356" w:type="dxa"/>
            <w:noWrap w:val="0"/>
            <w:vAlign w:val="center"/>
          </w:tcPr>
          <w:p w14:paraId="283D52C8">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6</w:t>
            </w:r>
          </w:p>
        </w:tc>
        <w:tc>
          <w:tcPr>
            <w:tcW w:w="1839" w:type="dxa"/>
            <w:noWrap w:val="0"/>
            <w:vAlign w:val="center"/>
          </w:tcPr>
          <w:p w14:paraId="09394AE3">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w:t>
            </w:r>
          </w:p>
        </w:tc>
        <w:tc>
          <w:tcPr>
            <w:tcW w:w="3301" w:type="dxa"/>
            <w:noWrap w:val="0"/>
            <w:vAlign w:val="center"/>
          </w:tcPr>
          <w:p w14:paraId="1C44BE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304F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50" w:type="dxa"/>
            <w:noWrap w:val="0"/>
            <w:vAlign w:val="center"/>
          </w:tcPr>
          <w:p w14:paraId="75A05990">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p>
        </w:tc>
        <w:tc>
          <w:tcPr>
            <w:tcW w:w="2000" w:type="dxa"/>
            <w:noWrap w:val="0"/>
            <w:vAlign w:val="center"/>
          </w:tcPr>
          <w:p w14:paraId="7A21147D">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配件中心管理员</w:t>
            </w:r>
          </w:p>
        </w:tc>
        <w:tc>
          <w:tcPr>
            <w:tcW w:w="1356" w:type="dxa"/>
            <w:noWrap w:val="0"/>
            <w:vAlign w:val="center"/>
          </w:tcPr>
          <w:p w14:paraId="28F0C633">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1</w:t>
            </w:r>
          </w:p>
        </w:tc>
        <w:tc>
          <w:tcPr>
            <w:tcW w:w="1839" w:type="dxa"/>
            <w:noWrap w:val="0"/>
            <w:vAlign w:val="center"/>
          </w:tcPr>
          <w:p w14:paraId="2F3807AD">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6000</w:t>
            </w:r>
          </w:p>
        </w:tc>
        <w:tc>
          <w:tcPr>
            <w:tcW w:w="3301" w:type="dxa"/>
            <w:noWrap w:val="0"/>
            <w:vAlign w:val="center"/>
          </w:tcPr>
          <w:p w14:paraId="2FC12ACD">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按实际岗位使用数结算</w:t>
            </w:r>
          </w:p>
        </w:tc>
      </w:tr>
      <w:tr w14:paraId="0471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50" w:type="dxa"/>
            <w:noWrap w:val="0"/>
            <w:vAlign w:val="center"/>
          </w:tcPr>
          <w:p w14:paraId="7B58EEC2">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2000" w:type="dxa"/>
            <w:noWrap w:val="0"/>
            <w:vAlign w:val="center"/>
          </w:tcPr>
          <w:p w14:paraId="43F11708">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b w:val="0"/>
                <w:bCs/>
                <w:sz w:val="21"/>
                <w:szCs w:val="21"/>
                <w:lang w:val="en-US" w:eastAsia="zh-CN"/>
              </w:rPr>
              <w:t>夜间瞪眼岗</w:t>
            </w:r>
          </w:p>
        </w:tc>
        <w:tc>
          <w:tcPr>
            <w:tcW w:w="1356" w:type="dxa"/>
            <w:noWrap w:val="0"/>
            <w:vAlign w:val="center"/>
          </w:tcPr>
          <w:p w14:paraId="3A3F2FA8">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6</w:t>
            </w:r>
          </w:p>
        </w:tc>
        <w:tc>
          <w:tcPr>
            <w:tcW w:w="1839" w:type="dxa"/>
            <w:noWrap w:val="0"/>
            <w:vAlign w:val="center"/>
          </w:tcPr>
          <w:p w14:paraId="03EDEAB4">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5000</w:t>
            </w:r>
          </w:p>
        </w:tc>
        <w:tc>
          <w:tcPr>
            <w:tcW w:w="3301" w:type="dxa"/>
            <w:noWrap w:val="0"/>
            <w:vAlign w:val="center"/>
          </w:tcPr>
          <w:p w14:paraId="212A024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3E8D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50" w:type="dxa"/>
            <w:noWrap w:val="0"/>
            <w:vAlign w:val="center"/>
          </w:tcPr>
          <w:p w14:paraId="6FB4582F">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w:t>
            </w:r>
          </w:p>
        </w:tc>
        <w:tc>
          <w:tcPr>
            <w:tcW w:w="2000" w:type="dxa"/>
            <w:noWrap w:val="0"/>
            <w:vAlign w:val="center"/>
          </w:tcPr>
          <w:p w14:paraId="104E772B">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b w:val="0"/>
                <w:bCs/>
                <w:sz w:val="21"/>
                <w:szCs w:val="21"/>
                <w:lang w:val="en-US" w:eastAsia="zh-CN"/>
              </w:rPr>
              <w:t>视频监控巡查岗</w:t>
            </w:r>
          </w:p>
        </w:tc>
        <w:tc>
          <w:tcPr>
            <w:tcW w:w="1356" w:type="dxa"/>
            <w:noWrap w:val="0"/>
            <w:vAlign w:val="center"/>
          </w:tcPr>
          <w:p w14:paraId="4C1CB24D">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c>
          <w:tcPr>
            <w:tcW w:w="1839" w:type="dxa"/>
            <w:noWrap w:val="0"/>
            <w:vAlign w:val="center"/>
          </w:tcPr>
          <w:p w14:paraId="7C3F2500">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4600</w:t>
            </w:r>
          </w:p>
        </w:tc>
        <w:tc>
          <w:tcPr>
            <w:tcW w:w="3301" w:type="dxa"/>
            <w:noWrap w:val="0"/>
            <w:vAlign w:val="center"/>
          </w:tcPr>
          <w:p w14:paraId="1FF8869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16D0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50" w:type="dxa"/>
            <w:noWrap w:val="0"/>
            <w:vAlign w:val="center"/>
          </w:tcPr>
          <w:p w14:paraId="3595C1A0">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w:t>
            </w:r>
          </w:p>
        </w:tc>
        <w:tc>
          <w:tcPr>
            <w:tcW w:w="2000" w:type="dxa"/>
            <w:noWrap w:val="0"/>
            <w:vAlign w:val="center"/>
          </w:tcPr>
          <w:p w14:paraId="7D1F43D2">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b w:val="0"/>
                <w:bCs/>
                <w:sz w:val="21"/>
                <w:szCs w:val="21"/>
                <w:lang w:val="en-US" w:eastAsia="zh-CN"/>
              </w:rPr>
              <w:t>厂区工间驿站</w:t>
            </w:r>
          </w:p>
        </w:tc>
        <w:tc>
          <w:tcPr>
            <w:tcW w:w="1356" w:type="dxa"/>
            <w:noWrap w:val="0"/>
            <w:vAlign w:val="center"/>
          </w:tcPr>
          <w:p w14:paraId="24402BBC">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1839" w:type="dxa"/>
            <w:noWrap w:val="0"/>
            <w:vAlign w:val="center"/>
          </w:tcPr>
          <w:p w14:paraId="42C719FD">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4600</w:t>
            </w:r>
          </w:p>
        </w:tc>
        <w:tc>
          <w:tcPr>
            <w:tcW w:w="3301" w:type="dxa"/>
            <w:noWrap w:val="0"/>
            <w:vAlign w:val="center"/>
          </w:tcPr>
          <w:p w14:paraId="5279FF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1B12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50" w:type="dxa"/>
            <w:noWrap w:val="0"/>
            <w:vAlign w:val="center"/>
          </w:tcPr>
          <w:p w14:paraId="275BC3C3">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合计</w:t>
            </w:r>
          </w:p>
        </w:tc>
        <w:tc>
          <w:tcPr>
            <w:tcW w:w="2000" w:type="dxa"/>
            <w:noWrap w:val="0"/>
            <w:vAlign w:val="center"/>
          </w:tcPr>
          <w:p w14:paraId="66AB1BF2">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p>
        </w:tc>
        <w:tc>
          <w:tcPr>
            <w:tcW w:w="1356" w:type="dxa"/>
            <w:noWrap w:val="0"/>
            <w:vAlign w:val="center"/>
          </w:tcPr>
          <w:p w14:paraId="7F193A00">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19</w:t>
            </w:r>
          </w:p>
        </w:tc>
        <w:tc>
          <w:tcPr>
            <w:tcW w:w="1839" w:type="dxa"/>
            <w:noWrap w:val="0"/>
            <w:vAlign w:val="center"/>
          </w:tcPr>
          <w:p w14:paraId="37EA4100">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p>
        </w:tc>
        <w:tc>
          <w:tcPr>
            <w:tcW w:w="3301" w:type="dxa"/>
            <w:noWrap w:val="0"/>
            <w:vAlign w:val="center"/>
          </w:tcPr>
          <w:p w14:paraId="5595B2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p>
        </w:tc>
      </w:tr>
    </w:tbl>
    <w:p w14:paraId="12CDD5A7">
      <w:pPr>
        <w:pStyle w:val="2"/>
        <w:rPr>
          <w:rFonts w:hint="eastAsia" w:ascii="仿宋" w:hAnsi="仿宋" w:eastAsia="仿宋" w:cs="仿宋"/>
          <w:lang w:val="zh-CN" w:eastAsia="zh-CN"/>
        </w:rPr>
        <w:sectPr>
          <w:footerReference r:id="rId6" w:type="default"/>
          <w:pgSz w:w="11906" w:h="16838"/>
          <w:pgMar w:top="1440" w:right="1417" w:bottom="1440" w:left="1417" w:header="851" w:footer="992" w:gutter="0"/>
          <w:cols w:space="720" w:num="1"/>
          <w:docGrid w:type="lines" w:linePitch="312" w:charSpace="0"/>
        </w:sectPr>
      </w:pPr>
    </w:p>
    <w:bookmarkEnd w:id="71"/>
    <w:p w14:paraId="409EE9C5">
      <w:pPr>
        <w:pStyle w:val="13"/>
        <w:jc w:val="center"/>
        <w:rPr>
          <w:rFonts w:hint="eastAsia" w:ascii="仿宋" w:hAnsi="仿宋" w:eastAsia="仿宋" w:cs="仿宋"/>
          <w:b/>
          <w:color w:val="000000" w:themeColor="text1"/>
          <w:highlight w:val="none"/>
          <w14:textFill>
            <w14:solidFill>
              <w14:schemeClr w14:val="tx1"/>
            </w14:solidFill>
          </w14:textFill>
        </w:rPr>
      </w:pPr>
      <w:bookmarkStart w:id="83" w:name="_Toc304283809"/>
      <w:bookmarkStart w:id="84" w:name="_Toc88893681"/>
      <w:bookmarkStart w:id="85" w:name="_Toc135552967"/>
      <w:bookmarkStart w:id="86" w:name="_Toc135553107"/>
      <w:bookmarkStart w:id="87" w:name="_Toc170700709"/>
      <w:bookmarkStart w:id="88" w:name="OLE_LINK58"/>
    </w:p>
    <w:p w14:paraId="5970DEB6">
      <w:pPr>
        <w:pStyle w:val="13"/>
        <w:jc w:val="center"/>
        <w:outlineLvl w:val="0"/>
        <w:rPr>
          <w:rFonts w:hint="eastAsia" w:ascii="仿宋" w:hAnsi="仿宋" w:eastAsia="仿宋" w:cs="仿宋"/>
          <w:b/>
          <w:color w:val="000000" w:themeColor="text1"/>
          <w:highlight w:val="none"/>
          <w14:textFill>
            <w14:solidFill>
              <w14:schemeClr w14:val="tx1"/>
            </w14:solidFill>
          </w14:textFill>
        </w:rPr>
      </w:pPr>
      <w:bookmarkStart w:id="89" w:name="_Toc22933"/>
      <w:bookmarkStart w:id="90" w:name="_Toc3770"/>
      <w:r>
        <w:rPr>
          <w:rFonts w:hint="eastAsia" w:ascii="仿宋" w:hAnsi="仿宋" w:eastAsia="仿宋" w:cs="仿宋"/>
          <w:b/>
          <w:color w:val="000000" w:themeColor="text1"/>
          <w:sz w:val="30"/>
          <w:szCs w:val="30"/>
          <w:highlight w:val="none"/>
          <w14:textFill>
            <w14:solidFill>
              <w14:schemeClr w14:val="tx1"/>
            </w14:solidFill>
          </w14:textFill>
        </w:rPr>
        <w:t xml:space="preserve">第四章 </w:t>
      </w:r>
      <w:bookmarkEnd w:id="83"/>
      <w:bookmarkEnd w:id="84"/>
      <w:bookmarkEnd w:id="85"/>
      <w:bookmarkEnd w:id="86"/>
      <w:bookmarkEnd w:id="87"/>
      <w:r>
        <w:rPr>
          <w:rFonts w:hint="eastAsia" w:ascii="仿宋" w:hAnsi="仿宋" w:eastAsia="仿宋" w:cs="仿宋"/>
          <w:b/>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0"/>
          <w:szCs w:val="30"/>
          <w:highlight w:val="none"/>
          <w:lang w:eastAsia="zh-CN"/>
          <w14:textFill>
            <w14:solidFill>
              <w14:schemeClr w14:val="tx1"/>
            </w14:solidFill>
          </w14:textFill>
        </w:rPr>
        <w:t>浙江常新工贸有限公司新址辅助管理人员外包服务项目</w:t>
      </w:r>
      <w:r>
        <w:rPr>
          <w:rFonts w:hint="eastAsia" w:ascii="仿宋" w:hAnsi="仿宋" w:eastAsia="仿宋" w:cs="仿宋"/>
          <w:b/>
          <w:color w:val="000000" w:themeColor="text1"/>
          <w:sz w:val="30"/>
          <w:szCs w:val="30"/>
          <w:highlight w:val="none"/>
          <w14:textFill>
            <w14:solidFill>
              <w14:schemeClr w14:val="tx1"/>
            </w14:solidFill>
          </w14:textFill>
        </w:rPr>
        <w:t>合同</w:t>
      </w:r>
      <w:bookmarkEnd w:id="89"/>
      <w:bookmarkEnd w:id="90"/>
    </w:p>
    <w:bookmarkEnd w:id="88"/>
    <w:p w14:paraId="4E7024C2">
      <w:pPr>
        <w:adjustRightInd w:val="0"/>
        <w:snapToGrid w:val="0"/>
        <w:spacing w:line="360" w:lineRule="auto"/>
        <w:ind w:firstLine="560" w:firstLineChars="200"/>
        <w:rPr>
          <w:rFonts w:hint="eastAsia" w:ascii="仿宋" w:hAnsi="仿宋" w:eastAsia="仿宋" w:cs="仿宋"/>
          <w:sz w:val="28"/>
          <w:szCs w:val="28"/>
        </w:rPr>
      </w:pPr>
    </w:p>
    <w:p w14:paraId="113D8EC1">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甲方（招标人）：</w:t>
      </w:r>
      <w:r>
        <w:rPr>
          <w:rFonts w:hint="eastAsia" w:ascii="仿宋" w:hAnsi="仿宋" w:eastAsia="仿宋" w:cs="仿宋"/>
          <w:sz w:val="21"/>
          <w:szCs w:val="21"/>
          <w:lang w:eastAsia="zh-CN"/>
        </w:rPr>
        <w:t>浙江常新工贸有限公司</w:t>
      </w:r>
      <w:r>
        <w:rPr>
          <w:rFonts w:hint="eastAsia" w:ascii="仿宋" w:hAnsi="仿宋" w:eastAsia="仿宋" w:cs="仿宋"/>
          <w:sz w:val="21"/>
          <w:szCs w:val="21"/>
        </w:rPr>
        <w:t xml:space="preserve"> </w:t>
      </w:r>
    </w:p>
    <w:p w14:paraId="23F87570">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乙方（中标人）：</w:t>
      </w:r>
    </w:p>
    <w:p w14:paraId="5D713D1F">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kern w:val="0"/>
          <w:sz w:val="21"/>
          <w:szCs w:val="21"/>
        </w:rPr>
        <w:t>甲、乙双方根据</w:t>
      </w:r>
      <w:r>
        <w:rPr>
          <w:rFonts w:hint="eastAsia" w:ascii="仿宋" w:hAnsi="仿宋" w:eastAsia="仿宋" w:cs="仿宋"/>
          <w:sz w:val="21"/>
          <w:szCs w:val="21"/>
        </w:rPr>
        <w:t>有关法律法规，在自愿、平等、协商一致的基础上，</w:t>
      </w:r>
      <w:r>
        <w:rPr>
          <w:rFonts w:hint="eastAsia" w:ascii="仿宋" w:hAnsi="仿宋" w:eastAsia="仿宋" w:cs="仿宋"/>
          <w:kern w:val="0"/>
          <w:sz w:val="21"/>
          <w:szCs w:val="21"/>
        </w:rPr>
        <w:t>关于</w:t>
      </w:r>
      <w:r>
        <w:rPr>
          <w:rFonts w:hint="eastAsia" w:ascii="仿宋" w:hAnsi="仿宋" w:eastAsia="仿宋" w:cs="仿宋"/>
          <w:sz w:val="21"/>
          <w:szCs w:val="21"/>
        </w:rPr>
        <w:t>编号为</w:t>
      </w:r>
      <w:r>
        <w:rPr>
          <w:rFonts w:hint="eastAsia" w:ascii="仿宋" w:hAnsi="仿宋" w:eastAsia="仿宋" w:cs="仿宋"/>
          <w:b/>
          <w:bCs/>
          <w:color w:val="000000" w:themeColor="text1"/>
          <w:sz w:val="21"/>
          <w:szCs w:val="21"/>
          <w:u w:val="single"/>
          <w:lang w:val="en-US" w:eastAsia="zh-CN"/>
          <w14:textFill>
            <w14:solidFill>
              <w14:schemeClr w14:val="tx1"/>
            </w14:solidFill>
          </w14:textFill>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的</w:t>
      </w:r>
      <w:r>
        <w:rPr>
          <w:rFonts w:hint="eastAsia" w:ascii="仿宋" w:hAnsi="仿宋" w:eastAsia="仿宋" w:cs="仿宋"/>
          <w:sz w:val="21"/>
          <w:szCs w:val="21"/>
          <w:u w:val="none"/>
          <w:lang w:eastAsia="zh-CN"/>
        </w:rPr>
        <w:t>浙江常新工贸有限公司新址辅助管理人员外包服务项目</w:t>
      </w:r>
      <w:r>
        <w:rPr>
          <w:rFonts w:hint="eastAsia" w:ascii="仿宋" w:hAnsi="仿宋" w:eastAsia="仿宋" w:cs="仿宋"/>
          <w:sz w:val="21"/>
          <w:szCs w:val="21"/>
        </w:rPr>
        <w:t>公开招标的结果，签署本合同。</w:t>
      </w:r>
    </w:p>
    <w:p w14:paraId="5D254FD4">
      <w:pPr>
        <w:pStyle w:val="13"/>
        <w:tabs>
          <w:tab w:val="left" w:pos="993"/>
          <w:tab w:val="left" w:pos="1342"/>
        </w:tabs>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一、服务内容与要求</w:t>
      </w:r>
    </w:p>
    <w:p w14:paraId="0E54527D">
      <w:pPr>
        <w:adjustRightInd w:val="0"/>
        <w:snapToGrid w:val="0"/>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详见本项目招标文件第</w:t>
      </w:r>
      <w:r>
        <w:rPr>
          <w:rFonts w:hint="eastAsia" w:ascii="仿宋" w:hAnsi="仿宋" w:eastAsia="仿宋" w:cs="仿宋"/>
          <w:kern w:val="0"/>
          <w:sz w:val="21"/>
          <w:szCs w:val="21"/>
          <w:lang w:val="en-US" w:eastAsia="zh-CN"/>
        </w:rPr>
        <w:t>三</w:t>
      </w:r>
      <w:r>
        <w:rPr>
          <w:rFonts w:hint="eastAsia" w:ascii="仿宋" w:hAnsi="仿宋" w:eastAsia="仿宋" w:cs="仿宋"/>
          <w:kern w:val="0"/>
          <w:sz w:val="21"/>
          <w:szCs w:val="21"/>
        </w:rPr>
        <w:t>部分招标需求</w:t>
      </w:r>
    </w:p>
    <w:p w14:paraId="53FA85AC">
      <w:pPr>
        <w:pStyle w:val="13"/>
        <w:tabs>
          <w:tab w:val="left" w:pos="993"/>
          <w:tab w:val="left" w:pos="1342"/>
        </w:tabs>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二、服务方式及地点</w:t>
      </w:r>
    </w:p>
    <w:p w14:paraId="535767DE">
      <w:pPr>
        <w:adjustRightInd w:val="0"/>
        <w:snapToGrid w:val="0"/>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辅助管理岗位人员采用服务外包的用工方式。服务的地点为</w:t>
      </w:r>
      <w:r>
        <w:rPr>
          <w:rFonts w:hint="eastAsia" w:ascii="仿宋" w:hAnsi="仿宋" w:eastAsia="仿宋" w:cs="仿宋"/>
          <w:kern w:val="0"/>
          <w:sz w:val="21"/>
          <w:szCs w:val="21"/>
          <w:lang w:eastAsia="zh-CN"/>
        </w:rPr>
        <w:t>浙江常新工贸有限公司</w:t>
      </w:r>
      <w:r>
        <w:rPr>
          <w:rFonts w:hint="eastAsia" w:ascii="仿宋" w:hAnsi="仿宋" w:eastAsia="仿宋" w:cs="仿宋"/>
          <w:kern w:val="0"/>
          <w:sz w:val="21"/>
          <w:szCs w:val="21"/>
        </w:rPr>
        <w:t>。</w:t>
      </w:r>
    </w:p>
    <w:p w14:paraId="4C509CDA">
      <w:pPr>
        <w:pStyle w:val="13"/>
        <w:numPr>
          <w:ilvl w:val="0"/>
          <w:numId w:val="0"/>
        </w:numPr>
        <w:tabs>
          <w:tab w:val="left" w:pos="993"/>
          <w:tab w:val="left" w:pos="1342"/>
        </w:tabs>
        <w:adjustRightInd w:val="0"/>
        <w:snapToGrid w:val="0"/>
        <w:spacing w:line="360" w:lineRule="auto"/>
        <w:ind w:leftChars="200"/>
        <w:rPr>
          <w:rFonts w:hint="eastAsia" w:ascii="仿宋" w:hAnsi="仿宋" w:eastAsia="仿宋" w:cs="仿宋"/>
          <w:b/>
          <w:sz w:val="24"/>
          <w:szCs w:val="24"/>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合同金额</w:t>
      </w:r>
    </w:p>
    <w:p w14:paraId="607EF8AB">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1.岗位招标限高单价，包含队员工资、社保、节假日福利、加班、高温补贴、奖励、管理、人力、物力、财务、税金等履行合同所需的所有费用。共计新增辅员19人，约需经费  万元，列企业开支。</w:t>
      </w:r>
    </w:p>
    <w:tbl>
      <w:tblPr>
        <w:tblStyle w:val="22"/>
        <w:tblpPr w:leftFromText="180" w:rightFromText="180" w:vertAnchor="text" w:horzAnchor="page" w:tblpX="1674" w:tblpY="19"/>
        <w:tblOverlap w:val="never"/>
        <w:tblW w:w="9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2383"/>
        <w:gridCol w:w="1131"/>
        <w:gridCol w:w="2208"/>
        <w:gridCol w:w="2815"/>
      </w:tblGrid>
      <w:tr w14:paraId="7464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03D66D16">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序号</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E45B29F">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岗   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FB2CD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计划岗位人数</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24362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元/岗/月</w:t>
            </w:r>
          </w:p>
        </w:tc>
        <w:tc>
          <w:tcPr>
            <w:tcW w:w="2815" w:type="dxa"/>
            <w:tcBorders>
              <w:top w:val="single" w:color="auto" w:sz="4" w:space="0"/>
              <w:left w:val="single" w:color="auto" w:sz="4" w:space="0"/>
              <w:bottom w:val="single" w:color="auto" w:sz="4" w:space="0"/>
              <w:right w:val="single" w:color="auto" w:sz="4" w:space="0"/>
            </w:tcBorders>
            <w:noWrap w:val="0"/>
            <w:vAlign w:val="center"/>
          </w:tcPr>
          <w:p w14:paraId="45DA4182">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备注</w:t>
            </w:r>
          </w:p>
        </w:tc>
      </w:tr>
      <w:tr w14:paraId="3803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58B3E63B">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BC2518D">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巡查执勤岗</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9ADD360">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E9D3A24">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14:paraId="51EE105A">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1B49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6924E820">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D26B9C9">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配件中心管理员</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D63C0CA">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6EBBEDEE">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14:paraId="0C4D7F2D">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700F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58E6D9C4">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753798D">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夜间瞪眼岗</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304A37C">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3522AE66">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14:paraId="71938243">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03A0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6BFACF2A">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676AB12">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视频监控巡查岗</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724BBB5">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6914EF79">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14:paraId="0E942000">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7CC4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002A3D6A">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71F0FCF">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厂区工间驿站</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1B1650A">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6377502C">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14:paraId="34BE0AA6">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r w14:paraId="088F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78" w:type="dxa"/>
            <w:tcBorders>
              <w:top w:val="single" w:color="auto" w:sz="4" w:space="0"/>
              <w:left w:val="single" w:color="auto" w:sz="4" w:space="0"/>
              <w:bottom w:val="single" w:color="auto" w:sz="4" w:space="0"/>
              <w:right w:val="single" w:color="auto" w:sz="4" w:space="0"/>
            </w:tcBorders>
            <w:noWrap/>
            <w:vAlign w:val="center"/>
          </w:tcPr>
          <w:p w14:paraId="580D91F9">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w:t>
            </w:r>
          </w:p>
        </w:tc>
        <w:tc>
          <w:tcPr>
            <w:tcW w:w="2383" w:type="dxa"/>
            <w:tcBorders>
              <w:top w:val="single" w:color="auto" w:sz="4" w:space="0"/>
              <w:left w:val="single" w:color="auto" w:sz="4" w:space="0"/>
              <w:bottom w:val="single" w:color="auto" w:sz="4" w:space="0"/>
              <w:right w:val="single" w:color="auto" w:sz="4" w:space="0"/>
            </w:tcBorders>
            <w:noWrap/>
            <w:vAlign w:val="center"/>
          </w:tcPr>
          <w:p w14:paraId="2C8CF34E">
            <w:pPr>
              <w:keepNext w:val="0"/>
              <w:keepLines w:val="0"/>
              <w:pageBreakBefore w:val="0"/>
              <w:numPr>
                <w:ilvl w:val="0"/>
                <w:numId w:val="0"/>
              </w:numPr>
              <w:kinsoku/>
              <w:wordWrap/>
              <w:overflowPunct/>
              <w:topLinePunct w:val="0"/>
              <w:autoSpaceDE/>
              <w:autoSpaceDN/>
              <w:bidi w:val="0"/>
              <w:spacing w:line="500" w:lineRule="exact"/>
              <w:ind w:firstLine="420" w:firstLineChars="20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合计</w:t>
            </w:r>
          </w:p>
        </w:tc>
        <w:tc>
          <w:tcPr>
            <w:tcW w:w="1131" w:type="dxa"/>
            <w:tcBorders>
              <w:top w:val="single" w:color="auto" w:sz="4" w:space="0"/>
              <w:left w:val="single" w:color="auto" w:sz="4" w:space="0"/>
              <w:bottom w:val="single" w:color="auto" w:sz="4" w:space="0"/>
              <w:right w:val="single" w:color="auto" w:sz="4" w:space="0"/>
            </w:tcBorders>
            <w:noWrap/>
            <w:vAlign w:val="center"/>
          </w:tcPr>
          <w:p w14:paraId="09B23370">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19</w:t>
            </w:r>
          </w:p>
        </w:tc>
        <w:tc>
          <w:tcPr>
            <w:tcW w:w="2208" w:type="dxa"/>
            <w:tcBorders>
              <w:top w:val="single" w:color="auto" w:sz="4" w:space="0"/>
              <w:left w:val="single" w:color="auto" w:sz="4" w:space="0"/>
              <w:bottom w:val="single" w:color="auto" w:sz="4" w:space="0"/>
              <w:right w:val="single" w:color="auto" w:sz="4" w:space="0"/>
            </w:tcBorders>
            <w:noWrap/>
            <w:vAlign w:val="center"/>
          </w:tcPr>
          <w:p w14:paraId="7F78D1C1">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p>
        </w:tc>
        <w:tc>
          <w:tcPr>
            <w:tcW w:w="2815" w:type="dxa"/>
            <w:tcBorders>
              <w:top w:val="single" w:color="auto" w:sz="4" w:space="0"/>
              <w:left w:val="single" w:color="auto" w:sz="4" w:space="0"/>
              <w:bottom w:val="single" w:color="auto" w:sz="4" w:space="0"/>
              <w:right w:val="single" w:color="auto" w:sz="4" w:space="0"/>
            </w:tcBorders>
            <w:noWrap/>
            <w:vAlign w:val="center"/>
          </w:tcPr>
          <w:p w14:paraId="39BA57D8">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按实际岗位使用数结算</w:t>
            </w:r>
          </w:p>
        </w:tc>
      </w:tr>
    </w:tbl>
    <w:p w14:paraId="34E16B0A">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注：具体岗位安排及结算按甲方实际需求及综合单价结算。</w:t>
      </w:r>
    </w:p>
    <w:p w14:paraId="373539BE">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2.设年度考核奖金：在岗且当年满一年的辅员，发放年度考核奖，按2000-6000元/人/年标准设置，结合月度考核情况和岗位职能发挥等进行发放。此费用由甲方单独按实按考核进行操作发放。</w:t>
      </w:r>
    </w:p>
    <w:p w14:paraId="0AFA10A2">
      <w:pPr>
        <w:pStyle w:val="13"/>
        <w:tabs>
          <w:tab w:val="left" w:pos="993"/>
          <w:tab w:val="left" w:pos="1342"/>
        </w:tabs>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四、合同期</w:t>
      </w:r>
    </w:p>
    <w:p w14:paraId="4F253B5B">
      <w:pPr>
        <w:adjustRightInd w:val="0"/>
        <w:snapToGrid w:val="0"/>
        <w:spacing w:line="360" w:lineRule="auto"/>
        <w:ind w:firstLine="420" w:firstLineChars="200"/>
        <w:rPr>
          <w:rFonts w:hint="eastAsia" w:ascii="仿宋" w:hAnsi="仿宋" w:eastAsia="仿宋" w:cs="仿宋"/>
          <w:sz w:val="28"/>
          <w:szCs w:val="28"/>
        </w:rPr>
      </w:pPr>
      <w:r>
        <w:rPr>
          <w:rFonts w:hint="eastAsia" w:ascii="仿宋" w:hAnsi="仿宋" w:eastAsia="仿宋" w:cs="仿宋"/>
          <w:kern w:val="0"/>
          <w:sz w:val="21"/>
          <w:szCs w:val="21"/>
          <w:lang w:val="en-US" w:eastAsia="zh-CN"/>
        </w:rPr>
        <w:t>合同期为2025年合同生效之日到2026年 月 日，合同期为1年。</w:t>
      </w:r>
    </w:p>
    <w:p w14:paraId="0CAB6FF1">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五、转包或分包</w:t>
      </w:r>
    </w:p>
    <w:p w14:paraId="2C217147">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本合同范围的服务内容，应由乙方直接服务，不得转包或分包给他人，否则，甲方有权解除合同。同时扣除乙方全部保证金，保证金不足以弥补甲方损失的（包括但不限于甲方另订合同所额外支出的费用、为维护自身权益所支出的律师费、诉讼费、保全费等等），乙方应继续承担违约责任。</w:t>
      </w:r>
    </w:p>
    <w:p w14:paraId="5D446286">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六、履约保证金</w:t>
      </w:r>
    </w:p>
    <w:p w14:paraId="4DFDF86F">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1.乙方需一次性缴纳履约保证金（合同总价的1%，取整数）</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kern w:val="0"/>
          <w:sz w:val="21"/>
          <w:szCs w:val="21"/>
          <w:lang w:val="en-US" w:eastAsia="zh-CN"/>
        </w:rPr>
        <w:t>万元（小写：      元）。履约保证金缴纳形式：银行转账。</w:t>
      </w:r>
    </w:p>
    <w:p w14:paraId="7F86E1EF">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2.乙方在合同期内无违规情况，合同期满后15日内甲方一次性无息退还。</w:t>
      </w:r>
    </w:p>
    <w:p w14:paraId="16DD1C16">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3.乙方被扣除履约保证金后，应在七个工作日内补足，逾期未补足的，甲方有权提前解除协议。</w:t>
      </w:r>
    </w:p>
    <w:p w14:paraId="30D7B36C">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七、双方的权利和义务</w:t>
      </w:r>
    </w:p>
    <w:p w14:paraId="1FB2059D">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（一）甲方权利义务</w:t>
      </w:r>
    </w:p>
    <w:p w14:paraId="793B9529">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1.代表和维护产权人、使用人的合法权益；</w:t>
      </w:r>
    </w:p>
    <w:p w14:paraId="684C5937">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2.审定乙方拟定的辅助人员服务制度；</w:t>
      </w:r>
    </w:p>
    <w:p w14:paraId="4F1621A0">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3.检查监督乙方管理工作的实施及制度的执行情况；</w:t>
      </w:r>
    </w:p>
    <w:p w14:paraId="2B3D0DED">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4.审定乙方提出的辅员服务年度计划、财务预算及决算；</w:t>
      </w:r>
    </w:p>
    <w:p w14:paraId="3C9A9AFA">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5.有权根据现场实际需要调整岗位设置，要求乙方更换不合格队员；</w:t>
      </w:r>
    </w:p>
    <w:p w14:paraId="5B374AE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6.按期支付辅员服务费用；</w:t>
      </w:r>
    </w:p>
    <w:p w14:paraId="3D8CC784">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按照必须、安全、稳妥原则，给予辅助管理人员一定权限的门禁卡用于有限出入；允许每人配备一只工作机，用于工作联系；允许每人办理1张餐厅就餐卡，用于工作期间就餐，餐费自理；允许少部分辅助管理人员在短时期周转的执勤用房暂时就寝，按月收取一定使用管理费和水电费。</w:t>
      </w:r>
    </w:p>
    <w:p w14:paraId="3BB955C4">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8.在不可预见的情况下，如发生煤气泄漏、漏电、火灾、救助人命、协助公安机关执行任务等突发事件的，乙方应积极配合甲方采取必要的紧急避险措施；</w:t>
      </w:r>
    </w:p>
    <w:p w14:paraId="58AFB8C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（二）乙方权利义务</w:t>
      </w:r>
    </w:p>
    <w:p w14:paraId="7F0C3190">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1.乙方需到现场探看服务范围以及甲方提供的执勤岗位情况，根据需要安排安保力量与必要装备，甲方不再提供其他设备，设施；</w:t>
      </w:r>
    </w:p>
    <w:p w14:paraId="5AEDF7E1">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2.根据有关法律法规及本合同的约定，根据甲方制订的辅助人员管理办法、工作手册等制度协助甲方共同开展辅员的日常管理；</w:t>
      </w:r>
    </w:p>
    <w:p w14:paraId="25C09A8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3.乙方提供的辅员服务必须满足本项目的工作要求；</w:t>
      </w:r>
    </w:p>
    <w:p w14:paraId="7DF8BE8F">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乙方必须按投标的承诺，及时配备足够的人员。项目负责人必须及时到位，全权代表乙方与甲方保持密切联系并保证完成承包区域的服务工作。聘用的工作人员必须符合国家有关用工规定，并向甲方人事部门提供符合基本条件的证明材料，经甲方人事部门审核合格后持证上岗，该类费用开支由乙方负担。工作人员上岗穿由甲方确认的制服及甲方许可的装饰物品，费用和制作均由乙方负担。服务过程中，乙方不得随意更换辅助人员，若确需更换，乙方需提交书面申请并经甲方同意；</w:t>
      </w:r>
    </w:p>
    <w:p w14:paraId="76AD4B4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5.不得将本辅员服务转让给第三方；对本辅员服务的公用设施不得擅自占用和改变使用功能；</w:t>
      </w:r>
    </w:p>
    <w:p w14:paraId="02EAED00">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6.乙方须向辅员明确告知辅员应遵守的纪律与各项制度，违反制度的后果，并按甲方提供的辅员履职情况予以兑现,涉嫌违法犯罪的，移送司法机关处理；</w:t>
      </w:r>
    </w:p>
    <w:p w14:paraId="2D13BD0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7.乙方应协助甲方建立、妥善保管和正确使用本辅员服务相关的管理档案，并负责及时记载有关变更情况；按甲方要求及时如实向甲方报告辅助人员服务实施情况；</w:t>
      </w:r>
    </w:p>
    <w:p w14:paraId="2E98B03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8.乙方统一全套工作服装（四季至少各一套工作服）、执勤帽一顶及作训鞋一双，确保上岗期间着装规范、统一，以上装备要及时配置，定期检查，如有损坏需及时维修、更新；</w:t>
      </w:r>
    </w:p>
    <w:p w14:paraId="43C09CE7">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9.如遇突发情况，需要乙方临时增加合同以外安保力量的，乙方应积极配合，临时增加人员可与甲方协商后参照招标合同约定的费用另行计算。</w:t>
      </w:r>
    </w:p>
    <w:p w14:paraId="3604714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因乙方或乙方辅员在管理中的过错或违反本合同的约定进行管理造成甲方或第三人损失的，乙方应依法承担赔偿责任，若因乙方原因致使甲方须向第三人承担责任的，甲方承担后，有权向乙方追偿。若乙方管理混乱或出现2次以上（包括本数）安全责任事故，甲方可解除合同，同时，乙方需向甲方支付合同总金额5%的违约金，违约金不足以弥补甲方损失的（包括但不限于甲方另订合同所额外支出的费用、为维护自身权益所支出的律师费、诉讼费、保全费等等），乙方应继续承担违约责任；</w:t>
      </w:r>
    </w:p>
    <w:p w14:paraId="47CE797A">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合同终止时，乙方必须向甲方移交甲方提供的全部执勤设备及辅助人员服务的全部档案资料（包括上岗证），确保移交的资料和设备、设施完好无缺，由乙方自行处置辅助人员的劳动关系，甲方不承担任何责任。</w:t>
      </w:r>
    </w:p>
    <w:p w14:paraId="32D9023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协议期间乙方配置的辅助人员属乙方职工，辅助人员的社会保险、大病医疗保险、人身意外伤害保险等由乙方自理；甲方与乙方配置的辅助人员不存在隶属关系。乙方员工在工作期间（包括上、下班途中）所发生的任何事故，全部责任及费用由乙方承担。</w:t>
      </w:r>
    </w:p>
    <w:p w14:paraId="203D7D69">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13.乙方须自行或配合甲方组织辅员开展岗位技能培训、思想政治和职业道德教育(原则上一月一次），发放适宜的福利待遇。</w:t>
      </w:r>
    </w:p>
    <w:p w14:paraId="709CD221">
      <w:pPr>
        <w:adjustRightInd w:val="0"/>
        <w:snapToGrid w:val="0"/>
        <w:spacing w:line="360" w:lineRule="auto"/>
        <w:ind w:firstLine="482" w:firstLineChars="200"/>
        <w:jc w:val="left"/>
        <w:rPr>
          <w:rFonts w:hint="eastAsia" w:ascii="仿宋" w:hAnsi="仿宋" w:eastAsia="仿宋" w:cs="仿宋"/>
          <w:b/>
          <w:sz w:val="24"/>
          <w:szCs w:val="24"/>
          <w:lang w:eastAsia="zh-CN"/>
        </w:rPr>
      </w:pPr>
      <w:r>
        <w:rPr>
          <w:rFonts w:hint="eastAsia" w:ascii="仿宋" w:hAnsi="仿宋" w:eastAsia="仿宋" w:cs="仿宋"/>
          <w:b/>
          <w:sz w:val="24"/>
          <w:szCs w:val="24"/>
        </w:rPr>
        <w:t>八、</w:t>
      </w:r>
      <w:r>
        <w:rPr>
          <w:rFonts w:hint="eastAsia" w:ascii="仿宋" w:hAnsi="仿宋" w:eastAsia="仿宋" w:cs="仿宋"/>
          <w:b/>
          <w:sz w:val="24"/>
          <w:szCs w:val="24"/>
          <w:lang w:eastAsia="zh-CN"/>
        </w:rPr>
        <w:t>其它要求</w:t>
      </w:r>
    </w:p>
    <w:p w14:paraId="5C928448">
      <w:pPr>
        <w:pStyle w:val="6"/>
        <w:snapToGrid w:val="0"/>
        <w:spacing w:line="360" w:lineRule="auto"/>
        <w:ind w:firstLine="482" w:firstLineChars="200"/>
        <w:jc w:val="both"/>
        <w:rPr>
          <w:rFonts w:hint="eastAsia" w:ascii="仿宋" w:hAnsi="仿宋" w:eastAsia="仿宋" w:cs="仿宋"/>
          <w:b w:val="0"/>
          <w:bCs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辅助人员基本条件</w:t>
      </w:r>
    </w:p>
    <w:p w14:paraId="7ADE19E5">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1.拥护中国共产党领导和社会主义制度，拥护中华人民共和国宪法，遵守国家法律、法规；</w:t>
      </w:r>
    </w:p>
    <w:p w14:paraId="1749130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2.一般年满二十周岁以上且在四十周岁以下，特殊情况可放宽至45周岁；</w:t>
      </w:r>
    </w:p>
    <w:p w14:paraId="331867E2">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3.女性身高1.60米及以上，男性身高1.70米及以上，厂区巡查执勤岗要求男性身高1.75米及以上；</w:t>
      </w:r>
    </w:p>
    <w:p w14:paraId="458EA63D">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4.具有国家承认的大专及以上学历（学信网可查），退伍军人学历可放宽至高中以上；</w:t>
      </w:r>
    </w:p>
    <w:p w14:paraId="16143529">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5.具有岗位职责所需的身体条件、心理素质和工作能力；</w:t>
      </w:r>
    </w:p>
    <w:p w14:paraId="76DD5C0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6.身体健康，无纹身，无严重传染性疾病，应提供体检证明；</w:t>
      </w:r>
    </w:p>
    <w:p w14:paraId="6E626BEE">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7.家庭和睦，邻里友善，有良好的社会公德，省内户籍人员优先；</w:t>
      </w:r>
    </w:p>
    <w:p w14:paraId="7A59E33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8.优先录用公安类、政法类院校毕业生，具有岗位所需专业资质和专门技能的人员、退役士官和士兵、见义勇为积极分子和先进个人以及国家综合性消防救援队伍转退的救援人员。</w:t>
      </w:r>
    </w:p>
    <w:p w14:paraId="460A16EB">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9.有下列情形之一的，不予录用：</w:t>
      </w:r>
    </w:p>
    <w:p w14:paraId="3F753601">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（1）受过刑事处罚或者涉嫌违法犯罪尚未查清的；</w:t>
      </w:r>
    </w:p>
    <w:p w14:paraId="290DB00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（2）曾被行政拘留、司法拘留、收容教养、收容教育或者有吸毒史的；</w:t>
      </w:r>
    </w:p>
    <w:p w14:paraId="7FB6B40D">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（3）曾被开除党籍、开除团籍、开除军籍、开除公职的；</w:t>
      </w:r>
    </w:p>
    <w:p w14:paraId="52E9947D">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（4）曾参与或支持色情、赌博、迷信等活动，或者曾参加过涉黑涉恶、黄赌毒违法犯罪团伙，或者参加过邪教非法组织，被相关职能部门作出过认定或处理的；</w:t>
      </w:r>
    </w:p>
    <w:p w14:paraId="0EF7581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（5）曾因违反用工部门管理规定被解除劳动合同的；</w:t>
      </w:r>
    </w:p>
    <w:p w14:paraId="5E722672">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（6）本人或直系亲属因故意犯罪受到过刑事处罚或正在服刑的，曾被社区矫治或正在社区矫治的；</w:t>
      </w:r>
    </w:p>
    <w:p w14:paraId="0A410CC1">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（7）被列入失信联合惩戒对象的；</w:t>
      </w:r>
    </w:p>
    <w:p w14:paraId="249BDCA2">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（8）有未按法律法规程序，进行缠访闹访等信访行为的；</w:t>
      </w:r>
    </w:p>
    <w:p w14:paraId="4328D1B9">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（9）在读的全日制学历教育学生；</w:t>
      </w:r>
    </w:p>
    <w:p w14:paraId="1F51D0E4">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（10）不适合岗位要求的其他情形。</w:t>
      </w:r>
    </w:p>
    <w:p w14:paraId="739097D8">
      <w:pPr>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rPr>
        <w:t>岗位设置要求</w:t>
      </w:r>
    </w:p>
    <w:p w14:paraId="5DB23DF6">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1.视频监控巡查岗，5人（3男、2男女不限），实行轮班制，上四休一，常态化模式工作时间为8点-21点，如遇法定节假日或非常态化模式按甲方具体情况执行（根据需求确定实际岗位人数）。</w:t>
      </w:r>
    </w:p>
    <w:p w14:paraId="7D467D3B">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巡查执勤岗6人，男性，实行轮班制，上五休一，常态化模式工作时间为6点30分-21点，每天安排一名人员在公司驻地睡班备勤，在岗时间每天不低于10小时，如遇法定节假日或非常态化模式按甲方具体情况执行（根据需求确定实际岗位人数）。</w:t>
      </w:r>
    </w:p>
    <w:p w14:paraId="132B7717">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夜间瞪眼岗6人，男性。实行轮班制，上四休二。在岗时间每天10小时（21：00--次日7：15），常态模式必须分为前半夜和后半夜两班，不能连班,且在公司驻地睡班备勤。如遇法定节假日或非常态化模式按甲方具体情况执行（根据需求确定实际岗位人数）。</w:t>
      </w:r>
    </w:p>
    <w:p w14:paraId="5155D9B1">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4.厂区工间驿站1人，男性，上五休二，上班时间一般为周二至周六，在岗时间参照公司上下班时间，如遇法定节假日或非常态化模式按甲方具体情况执行（根据需求确定实际岗位人数）。</w:t>
      </w:r>
    </w:p>
    <w:p w14:paraId="50212369">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5.配件中心管理员1人，男性，上五休二，上班时间一般为周二至周六，在岗时间参照车间出工时间，如遇法定节假日或非常态化模式按甲方具体情况执行（根据需求确定实际岗位人数）。</w:t>
      </w:r>
    </w:p>
    <w:p w14:paraId="0AFC2E05">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岗位职责</w:t>
      </w:r>
    </w:p>
    <w:p w14:paraId="1CFF5FFE">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1.勤务辅员在公司管理人员的管理、指挥和监督下，按照岗位职责要求，可以从事下列执法岗位的相关辅助工作：</w:t>
      </w:r>
    </w:p>
    <w:p w14:paraId="2BAC00D2">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（1）协助预防、制止违规违纪、违法犯罪活动；</w:t>
      </w:r>
    </w:p>
    <w:p w14:paraId="09D7F526">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（2）协助开展生产车间、围墙周界、警戒巡逻以及对出入监管大门进行安全检查；</w:t>
      </w:r>
    </w:p>
    <w:p w14:paraId="43552A52">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（3）协助视频监控、现场看管、押解看护等勤务；</w:t>
      </w:r>
    </w:p>
    <w:p w14:paraId="1A77D95E">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（4）协助维护车间案（事）件现场秩序，保护案（事）件现场，抢救受伤人员，处置突发性、群体性事件；</w:t>
      </w:r>
    </w:p>
    <w:p w14:paraId="1759E507">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（5）协助开展学习、生活、生产劳动三大场所的勤务管理；</w:t>
      </w:r>
    </w:p>
    <w:p w14:paraId="500BC7D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（6）协助开展管理人员在出收工队列带押、车间劳动现场跟单、外协人员以及板块式移动管理；</w:t>
      </w:r>
    </w:p>
    <w:p w14:paraId="11CBBD95">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（7）协助打扫执勤室、值班室、办公区域卫生，领取报刊杂志；</w:t>
      </w:r>
    </w:p>
    <w:p w14:paraId="587B6DC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（8）协助开展搜身和清监，协助消防管理、检查巡查处置工作；</w:t>
      </w:r>
    </w:p>
    <w:p w14:paraId="2CDB27C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（9）协助施工、驾驶人员带领及现场管理。</w:t>
      </w:r>
    </w:p>
    <w:p w14:paraId="5EC687B6">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（10）工间驿站辅员要求能熟练操作如奶茶、咖啡、茶叶蛋、三明治等制作工作。</w:t>
      </w:r>
    </w:p>
    <w:p w14:paraId="4BB5B2E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（11）执行公司根据实际情况布置的其他勤务务辅助工作。</w:t>
      </w:r>
    </w:p>
    <w:p w14:paraId="3F204321">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3.具体岗位考核和岗位职责参照甲方制订的《辅助人员管理办法》和《辅助人员工作手册》。</w:t>
      </w:r>
    </w:p>
    <w:p w14:paraId="48C462A6">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（四）工资、福利</w:t>
      </w:r>
      <w:r>
        <w:rPr>
          <w:rFonts w:hint="eastAsia" w:ascii="仿宋" w:hAnsi="仿宋" w:eastAsia="仿宋" w:cs="仿宋"/>
          <w:b/>
          <w:bCs/>
          <w:sz w:val="28"/>
          <w:szCs w:val="28"/>
        </w:rPr>
        <w:t>：</w:t>
      </w:r>
    </w:p>
    <w:p w14:paraId="4D862C86">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1.乙方对辅助人员的税前薪资待遇无特殊情况</w:t>
      </w:r>
      <w:bookmarkStart w:id="91" w:name="OLE_LINK6"/>
      <w:bookmarkStart w:id="92" w:name="OLE_LINK5"/>
      <w:r>
        <w:rPr>
          <w:rFonts w:hint="eastAsia" w:ascii="仿宋" w:hAnsi="仿宋" w:eastAsia="仿宋" w:cs="仿宋"/>
          <w:kern w:val="0"/>
          <w:sz w:val="21"/>
          <w:szCs w:val="21"/>
          <w:lang w:val="en-US" w:eastAsia="zh-CN"/>
        </w:rPr>
        <w:t>不得低于以下标准</w:t>
      </w:r>
      <w:bookmarkEnd w:id="91"/>
      <w:bookmarkEnd w:id="92"/>
      <w:r>
        <w:rPr>
          <w:rFonts w:hint="eastAsia" w:ascii="仿宋" w:hAnsi="仿宋" w:eastAsia="仿宋" w:cs="仿宋"/>
          <w:kern w:val="0"/>
          <w:sz w:val="21"/>
          <w:szCs w:val="21"/>
          <w:lang w:val="en-US" w:eastAsia="zh-CN"/>
        </w:rPr>
        <w:t>。</w:t>
      </w:r>
    </w:p>
    <w:tbl>
      <w:tblPr>
        <w:tblStyle w:val="22"/>
        <w:tblpPr w:leftFromText="180" w:rightFromText="180" w:vertAnchor="text" w:horzAnchor="page" w:tblpX="1202" w:tblpY="259"/>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050"/>
        <w:gridCol w:w="1507"/>
        <w:gridCol w:w="1700"/>
        <w:gridCol w:w="2666"/>
      </w:tblGrid>
      <w:tr w14:paraId="593E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157" w:type="dxa"/>
            <w:noWrap w:val="0"/>
            <w:vAlign w:val="center"/>
          </w:tcPr>
          <w:p w14:paraId="330A25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序号</w:t>
            </w:r>
          </w:p>
        </w:tc>
        <w:tc>
          <w:tcPr>
            <w:tcW w:w="2050" w:type="dxa"/>
            <w:noWrap w:val="0"/>
            <w:vAlign w:val="center"/>
          </w:tcPr>
          <w:p w14:paraId="4CAB4D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岗</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位</w:t>
            </w:r>
          </w:p>
        </w:tc>
        <w:tc>
          <w:tcPr>
            <w:tcW w:w="1507" w:type="dxa"/>
            <w:noWrap w:val="0"/>
            <w:vAlign w:val="center"/>
          </w:tcPr>
          <w:p w14:paraId="3A6CBAC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计划</w:t>
            </w:r>
            <w:r>
              <w:rPr>
                <w:rFonts w:hint="eastAsia" w:ascii="仿宋" w:hAnsi="仿宋" w:eastAsia="仿宋" w:cs="仿宋"/>
                <w:b/>
                <w:bCs/>
                <w:color w:val="000000"/>
                <w:sz w:val="21"/>
                <w:szCs w:val="21"/>
              </w:rPr>
              <w:t>岗位</w:t>
            </w:r>
            <w:r>
              <w:rPr>
                <w:rFonts w:hint="eastAsia" w:ascii="仿宋" w:hAnsi="仿宋" w:eastAsia="仿宋" w:cs="仿宋"/>
                <w:b/>
                <w:bCs/>
                <w:color w:val="000000"/>
                <w:sz w:val="21"/>
                <w:szCs w:val="21"/>
                <w:lang w:eastAsia="zh-CN"/>
              </w:rPr>
              <w:t>人数</w:t>
            </w:r>
          </w:p>
        </w:tc>
        <w:tc>
          <w:tcPr>
            <w:tcW w:w="1700" w:type="dxa"/>
            <w:noWrap w:val="0"/>
            <w:vAlign w:val="center"/>
          </w:tcPr>
          <w:p w14:paraId="4839185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21"/>
                <w:szCs w:val="21"/>
                <w:lang w:val="en-US" w:eastAsia="zh-CN"/>
              </w:rPr>
            </w:pPr>
            <w:r>
              <w:rPr>
                <w:rFonts w:hint="eastAsia" w:ascii="仿宋" w:hAnsi="仿宋" w:eastAsia="仿宋" w:cs="仿宋"/>
                <w:b/>
                <w:bCs/>
                <w:sz w:val="21"/>
                <w:szCs w:val="21"/>
                <w:lang w:val="en-US" w:eastAsia="zh-CN"/>
              </w:rPr>
              <w:t>2024年薪资税前</w:t>
            </w:r>
            <w:r>
              <w:rPr>
                <w:rFonts w:hint="eastAsia" w:ascii="仿宋" w:hAnsi="仿宋" w:eastAsia="仿宋" w:cs="仿宋"/>
                <w:b/>
                <w:bCs/>
                <w:sz w:val="21"/>
                <w:szCs w:val="21"/>
              </w:rPr>
              <w:t>（元/岗/月）</w:t>
            </w:r>
          </w:p>
        </w:tc>
        <w:tc>
          <w:tcPr>
            <w:tcW w:w="2666" w:type="dxa"/>
            <w:noWrap w:val="0"/>
            <w:vAlign w:val="center"/>
          </w:tcPr>
          <w:p w14:paraId="178F76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备</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lang w:eastAsia="zh-CN"/>
              </w:rPr>
              <w:t>注</w:t>
            </w:r>
          </w:p>
        </w:tc>
      </w:tr>
      <w:tr w14:paraId="190C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57" w:type="dxa"/>
            <w:noWrap w:val="0"/>
            <w:vAlign w:val="center"/>
          </w:tcPr>
          <w:p w14:paraId="585EC346">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2050" w:type="dxa"/>
            <w:noWrap w:val="0"/>
            <w:vAlign w:val="center"/>
          </w:tcPr>
          <w:p w14:paraId="4335E685">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b w:val="0"/>
                <w:bCs/>
                <w:sz w:val="21"/>
                <w:szCs w:val="21"/>
                <w:lang w:val="en-US" w:eastAsia="zh-CN"/>
              </w:rPr>
              <w:t>巡查执勤岗</w:t>
            </w:r>
          </w:p>
        </w:tc>
        <w:tc>
          <w:tcPr>
            <w:tcW w:w="1507" w:type="dxa"/>
            <w:noWrap w:val="0"/>
            <w:vAlign w:val="center"/>
          </w:tcPr>
          <w:p w14:paraId="6455F3CC">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6</w:t>
            </w:r>
          </w:p>
        </w:tc>
        <w:tc>
          <w:tcPr>
            <w:tcW w:w="1700" w:type="dxa"/>
            <w:noWrap w:val="0"/>
            <w:vAlign w:val="center"/>
          </w:tcPr>
          <w:p w14:paraId="2982A360">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6000</w:t>
            </w:r>
          </w:p>
        </w:tc>
        <w:tc>
          <w:tcPr>
            <w:tcW w:w="2666" w:type="dxa"/>
            <w:noWrap w:val="0"/>
            <w:vAlign w:val="center"/>
          </w:tcPr>
          <w:p w14:paraId="7C14586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7C94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57" w:type="dxa"/>
            <w:noWrap w:val="0"/>
            <w:vAlign w:val="center"/>
          </w:tcPr>
          <w:p w14:paraId="4E5DC28E">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p>
        </w:tc>
        <w:tc>
          <w:tcPr>
            <w:tcW w:w="2050" w:type="dxa"/>
            <w:noWrap w:val="0"/>
            <w:vAlign w:val="center"/>
          </w:tcPr>
          <w:p w14:paraId="0BD5447F">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配件中心管理员</w:t>
            </w:r>
          </w:p>
        </w:tc>
        <w:tc>
          <w:tcPr>
            <w:tcW w:w="1507" w:type="dxa"/>
            <w:noWrap w:val="0"/>
            <w:vAlign w:val="center"/>
          </w:tcPr>
          <w:p w14:paraId="55FCAE7F">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1</w:t>
            </w:r>
          </w:p>
        </w:tc>
        <w:tc>
          <w:tcPr>
            <w:tcW w:w="1700" w:type="dxa"/>
            <w:noWrap w:val="0"/>
            <w:vAlign w:val="center"/>
          </w:tcPr>
          <w:p w14:paraId="64BEFD5B">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6000</w:t>
            </w:r>
          </w:p>
        </w:tc>
        <w:tc>
          <w:tcPr>
            <w:tcW w:w="2666" w:type="dxa"/>
            <w:noWrap w:val="0"/>
            <w:vAlign w:val="center"/>
          </w:tcPr>
          <w:p w14:paraId="3E0BE632">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按实际岗位使用数结算</w:t>
            </w:r>
          </w:p>
        </w:tc>
      </w:tr>
      <w:tr w14:paraId="79AE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57" w:type="dxa"/>
            <w:noWrap w:val="0"/>
            <w:vAlign w:val="center"/>
          </w:tcPr>
          <w:p w14:paraId="1B4C8ECD">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2050" w:type="dxa"/>
            <w:noWrap w:val="0"/>
            <w:vAlign w:val="center"/>
          </w:tcPr>
          <w:p w14:paraId="638056C1">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b w:val="0"/>
                <w:bCs/>
                <w:sz w:val="21"/>
                <w:szCs w:val="21"/>
                <w:lang w:val="en-US" w:eastAsia="zh-CN"/>
              </w:rPr>
              <w:t>夜间瞪眼岗</w:t>
            </w:r>
          </w:p>
        </w:tc>
        <w:tc>
          <w:tcPr>
            <w:tcW w:w="1507" w:type="dxa"/>
            <w:noWrap w:val="0"/>
            <w:vAlign w:val="center"/>
          </w:tcPr>
          <w:p w14:paraId="77DEBFB5">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6</w:t>
            </w:r>
          </w:p>
        </w:tc>
        <w:tc>
          <w:tcPr>
            <w:tcW w:w="1700" w:type="dxa"/>
            <w:noWrap w:val="0"/>
            <w:vAlign w:val="center"/>
          </w:tcPr>
          <w:p w14:paraId="3FC7C08C">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5000</w:t>
            </w:r>
          </w:p>
        </w:tc>
        <w:tc>
          <w:tcPr>
            <w:tcW w:w="2666" w:type="dxa"/>
            <w:noWrap w:val="0"/>
            <w:vAlign w:val="center"/>
          </w:tcPr>
          <w:p w14:paraId="533335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2ACB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57" w:type="dxa"/>
            <w:noWrap w:val="0"/>
            <w:vAlign w:val="center"/>
          </w:tcPr>
          <w:p w14:paraId="56185870">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w:t>
            </w:r>
          </w:p>
        </w:tc>
        <w:tc>
          <w:tcPr>
            <w:tcW w:w="2050" w:type="dxa"/>
            <w:noWrap w:val="0"/>
            <w:vAlign w:val="center"/>
          </w:tcPr>
          <w:p w14:paraId="4D71901D">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b w:val="0"/>
                <w:bCs/>
                <w:sz w:val="21"/>
                <w:szCs w:val="21"/>
                <w:lang w:val="en-US" w:eastAsia="zh-CN"/>
              </w:rPr>
              <w:t>视频监控巡查岗</w:t>
            </w:r>
          </w:p>
        </w:tc>
        <w:tc>
          <w:tcPr>
            <w:tcW w:w="1507" w:type="dxa"/>
            <w:noWrap w:val="0"/>
            <w:vAlign w:val="center"/>
          </w:tcPr>
          <w:p w14:paraId="32E058AF">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c>
          <w:tcPr>
            <w:tcW w:w="1700" w:type="dxa"/>
            <w:noWrap w:val="0"/>
            <w:vAlign w:val="center"/>
          </w:tcPr>
          <w:p w14:paraId="096FE3A1">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4600</w:t>
            </w:r>
          </w:p>
        </w:tc>
        <w:tc>
          <w:tcPr>
            <w:tcW w:w="2666" w:type="dxa"/>
            <w:noWrap w:val="0"/>
            <w:vAlign w:val="center"/>
          </w:tcPr>
          <w:p w14:paraId="3AADADE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0063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57" w:type="dxa"/>
            <w:noWrap w:val="0"/>
            <w:vAlign w:val="center"/>
          </w:tcPr>
          <w:p w14:paraId="3731BEAA">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w:t>
            </w:r>
          </w:p>
        </w:tc>
        <w:tc>
          <w:tcPr>
            <w:tcW w:w="2050" w:type="dxa"/>
            <w:noWrap w:val="0"/>
            <w:vAlign w:val="center"/>
          </w:tcPr>
          <w:p w14:paraId="291551E4">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b w:val="0"/>
                <w:bCs/>
                <w:sz w:val="21"/>
                <w:szCs w:val="21"/>
                <w:lang w:val="en-US" w:eastAsia="zh-CN"/>
              </w:rPr>
              <w:t>厂区工间驿站</w:t>
            </w:r>
          </w:p>
        </w:tc>
        <w:tc>
          <w:tcPr>
            <w:tcW w:w="1507" w:type="dxa"/>
            <w:noWrap w:val="0"/>
            <w:vAlign w:val="center"/>
          </w:tcPr>
          <w:p w14:paraId="26191225">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1700" w:type="dxa"/>
            <w:noWrap w:val="0"/>
            <w:vAlign w:val="center"/>
          </w:tcPr>
          <w:p w14:paraId="11A37DE5">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4600</w:t>
            </w:r>
          </w:p>
        </w:tc>
        <w:tc>
          <w:tcPr>
            <w:tcW w:w="2666" w:type="dxa"/>
            <w:noWrap w:val="0"/>
            <w:vAlign w:val="center"/>
          </w:tcPr>
          <w:p w14:paraId="641AAB3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按实际岗位使用数结算</w:t>
            </w:r>
          </w:p>
        </w:tc>
      </w:tr>
      <w:tr w14:paraId="4C69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57" w:type="dxa"/>
            <w:noWrap w:val="0"/>
            <w:vAlign w:val="center"/>
          </w:tcPr>
          <w:p w14:paraId="60FD8830">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合计</w:t>
            </w:r>
          </w:p>
        </w:tc>
        <w:tc>
          <w:tcPr>
            <w:tcW w:w="2050" w:type="dxa"/>
            <w:noWrap w:val="0"/>
            <w:vAlign w:val="center"/>
          </w:tcPr>
          <w:p w14:paraId="20C1CB82">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b w:val="0"/>
                <w:bCs/>
                <w:sz w:val="21"/>
                <w:szCs w:val="21"/>
                <w:lang w:val="en-US" w:eastAsia="zh-CN"/>
              </w:rPr>
            </w:pPr>
          </w:p>
        </w:tc>
        <w:tc>
          <w:tcPr>
            <w:tcW w:w="1507" w:type="dxa"/>
            <w:noWrap w:val="0"/>
            <w:vAlign w:val="center"/>
          </w:tcPr>
          <w:p w14:paraId="7495995D">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19</w:t>
            </w:r>
          </w:p>
        </w:tc>
        <w:tc>
          <w:tcPr>
            <w:tcW w:w="1700" w:type="dxa"/>
            <w:noWrap w:val="0"/>
            <w:vAlign w:val="center"/>
          </w:tcPr>
          <w:p w14:paraId="6B8FDAA9">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1"/>
                <w:szCs w:val="21"/>
                <w:lang w:val="en-US" w:eastAsia="zh-CN"/>
              </w:rPr>
            </w:pPr>
          </w:p>
        </w:tc>
        <w:tc>
          <w:tcPr>
            <w:tcW w:w="2666" w:type="dxa"/>
            <w:noWrap w:val="0"/>
            <w:vAlign w:val="center"/>
          </w:tcPr>
          <w:p w14:paraId="7EC60CA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1"/>
                <w:szCs w:val="21"/>
                <w:lang w:val="en-US" w:eastAsia="zh-CN"/>
              </w:rPr>
            </w:pPr>
          </w:p>
        </w:tc>
      </w:tr>
    </w:tbl>
    <w:p w14:paraId="11E0E4D7">
      <w:pPr>
        <w:pStyle w:val="48"/>
        <w:snapToGrid w:val="0"/>
        <w:spacing w:line="360" w:lineRule="auto"/>
        <w:rPr>
          <w:rFonts w:hint="eastAsia" w:ascii="仿宋" w:hAnsi="仿宋" w:eastAsia="仿宋" w:cs="仿宋"/>
          <w:sz w:val="28"/>
          <w:szCs w:val="28"/>
          <w:lang w:eastAsia="zh-CN"/>
        </w:rPr>
      </w:pPr>
    </w:p>
    <w:p w14:paraId="214A9106">
      <w:pPr>
        <w:pStyle w:val="48"/>
        <w:snapToGrid w:val="0"/>
        <w:spacing w:line="360" w:lineRule="auto"/>
        <w:ind w:firstLine="560" w:firstLineChars="200"/>
        <w:rPr>
          <w:rFonts w:hint="eastAsia" w:ascii="仿宋" w:hAnsi="仿宋" w:eastAsia="仿宋" w:cs="仿宋"/>
          <w:sz w:val="28"/>
          <w:szCs w:val="28"/>
          <w:lang w:eastAsia="zh-CN"/>
        </w:rPr>
      </w:pPr>
    </w:p>
    <w:p w14:paraId="3AC818A5">
      <w:pPr>
        <w:pStyle w:val="48"/>
        <w:snapToGrid w:val="0"/>
        <w:spacing w:line="360" w:lineRule="auto"/>
        <w:ind w:firstLine="560" w:firstLineChars="200"/>
        <w:rPr>
          <w:rFonts w:hint="eastAsia" w:ascii="仿宋" w:hAnsi="仿宋" w:eastAsia="仿宋" w:cs="仿宋"/>
          <w:sz w:val="28"/>
          <w:szCs w:val="28"/>
          <w:lang w:eastAsia="zh-CN"/>
        </w:rPr>
      </w:pPr>
    </w:p>
    <w:p w14:paraId="64917ABB">
      <w:pPr>
        <w:pStyle w:val="48"/>
        <w:snapToGrid w:val="0"/>
        <w:spacing w:line="360" w:lineRule="auto"/>
        <w:ind w:firstLine="560" w:firstLineChars="200"/>
        <w:rPr>
          <w:rFonts w:hint="eastAsia" w:ascii="仿宋" w:hAnsi="仿宋" w:eastAsia="仿宋" w:cs="仿宋"/>
          <w:sz w:val="28"/>
          <w:szCs w:val="28"/>
          <w:lang w:eastAsia="zh-CN"/>
        </w:rPr>
      </w:pPr>
    </w:p>
    <w:p w14:paraId="4549FD2F">
      <w:pPr>
        <w:pStyle w:val="48"/>
        <w:snapToGrid w:val="0"/>
        <w:spacing w:line="360" w:lineRule="auto"/>
        <w:ind w:firstLine="560" w:firstLineChars="200"/>
        <w:rPr>
          <w:rFonts w:hint="eastAsia" w:ascii="仿宋" w:hAnsi="仿宋" w:eastAsia="仿宋" w:cs="仿宋"/>
          <w:sz w:val="28"/>
          <w:szCs w:val="28"/>
          <w:lang w:eastAsia="zh-CN"/>
        </w:rPr>
      </w:pPr>
    </w:p>
    <w:p w14:paraId="4B21CD16">
      <w:pPr>
        <w:pStyle w:val="48"/>
        <w:snapToGrid w:val="0"/>
        <w:spacing w:line="360" w:lineRule="auto"/>
        <w:ind w:firstLine="560" w:firstLineChars="200"/>
        <w:rPr>
          <w:rFonts w:hint="eastAsia" w:ascii="仿宋" w:hAnsi="仿宋" w:eastAsia="仿宋" w:cs="仿宋"/>
          <w:sz w:val="28"/>
          <w:szCs w:val="28"/>
          <w:lang w:eastAsia="zh-CN"/>
        </w:rPr>
      </w:pPr>
    </w:p>
    <w:p w14:paraId="3E373AF4">
      <w:pPr>
        <w:pStyle w:val="48"/>
        <w:snapToGrid w:val="0"/>
        <w:spacing w:line="360" w:lineRule="auto"/>
        <w:ind w:firstLine="560" w:firstLineChars="200"/>
        <w:rPr>
          <w:rFonts w:hint="eastAsia" w:ascii="仿宋" w:hAnsi="仿宋" w:eastAsia="仿宋" w:cs="仿宋"/>
          <w:sz w:val="28"/>
          <w:szCs w:val="28"/>
          <w:lang w:eastAsia="zh-CN"/>
        </w:rPr>
      </w:pPr>
    </w:p>
    <w:p w14:paraId="301265D3">
      <w:pPr>
        <w:pStyle w:val="48"/>
        <w:snapToGrid w:val="0"/>
        <w:spacing w:line="360" w:lineRule="auto"/>
        <w:ind w:firstLine="560" w:firstLineChars="200"/>
        <w:rPr>
          <w:rFonts w:hint="eastAsia" w:ascii="仿宋" w:hAnsi="仿宋" w:eastAsia="仿宋" w:cs="仿宋"/>
          <w:sz w:val="28"/>
          <w:szCs w:val="28"/>
          <w:lang w:eastAsia="zh-CN"/>
        </w:rPr>
      </w:pPr>
    </w:p>
    <w:p w14:paraId="634D6CED">
      <w:pPr>
        <w:pStyle w:val="48"/>
        <w:snapToGrid w:val="0"/>
        <w:spacing w:line="360" w:lineRule="auto"/>
        <w:ind w:firstLine="560" w:firstLineChars="200"/>
        <w:rPr>
          <w:rFonts w:hint="eastAsia" w:ascii="仿宋" w:hAnsi="仿宋" w:eastAsia="仿宋" w:cs="仿宋"/>
          <w:sz w:val="28"/>
          <w:szCs w:val="28"/>
          <w:lang w:eastAsia="zh-CN"/>
        </w:rPr>
      </w:pPr>
    </w:p>
    <w:p w14:paraId="6721E00A">
      <w:pPr>
        <w:pStyle w:val="48"/>
        <w:snapToGrid w:val="0"/>
        <w:spacing w:line="360" w:lineRule="auto"/>
        <w:rPr>
          <w:rFonts w:hint="eastAsia" w:ascii="仿宋" w:hAnsi="仿宋" w:eastAsia="仿宋" w:cs="仿宋"/>
          <w:sz w:val="28"/>
          <w:szCs w:val="28"/>
          <w:lang w:eastAsia="zh-CN"/>
        </w:rPr>
      </w:pPr>
    </w:p>
    <w:p w14:paraId="4383AFF1">
      <w:pPr>
        <w:adjustRightInd w:val="0"/>
        <w:snapToGrid w:val="0"/>
        <w:spacing w:line="360" w:lineRule="auto"/>
        <w:rPr>
          <w:rFonts w:hint="eastAsia" w:ascii="仿宋" w:hAnsi="仿宋" w:eastAsia="仿宋" w:cs="仿宋"/>
          <w:kern w:val="0"/>
          <w:sz w:val="21"/>
          <w:szCs w:val="21"/>
          <w:lang w:val="en-US" w:eastAsia="zh-CN"/>
        </w:rPr>
      </w:pPr>
    </w:p>
    <w:p w14:paraId="353A5588">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2.乙方须为上岗人员配置甲方指定的工作服（春、夏、秋、冬各一套共四套，包括执勤帽、作训鞋、标识标牌），确保上岗期间着装规范、统一。</w:t>
      </w:r>
    </w:p>
    <w:p w14:paraId="0B531B97">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3.中标单位要为上岗人员交纳相关社保，按劳动法支付节假日加班费、节日福利、高温补贴等(不低于2024年的交纳标准）。</w:t>
      </w:r>
    </w:p>
    <w:p w14:paraId="6D8C24BE">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4.各岗位人员要相对固定，人员调整必须事前得到甲方的同意和审核，调整需无缝对接。</w:t>
      </w:r>
    </w:p>
    <w:p w14:paraId="5039B2C6">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5.合同不得转包或分包他人。</w:t>
      </w:r>
    </w:p>
    <w:p w14:paraId="7BE796AC">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6.辅助人员每次上岗应提前15分钟到达指定岗位。</w:t>
      </w:r>
    </w:p>
    <w:p w14:paraId="7E52469D">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7.具体辅助人员的岗位职责、管理、考核办法参照甲方的《辅助人员管理办法》、《辅助人员工作手册》执行。</w:t>
      </w:r>
    </w:p>
    <w:p w14:paraId="0968AC19">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8.乙方每年至少协助甲方组织队建活动一次，人均费用为100元。</w:t>
      </w:r>
    </w:p>
    <w:p w14:paraId="78619B1F">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9.服务合同签订后，如出现相关法律法规或上级政策规定甲方不得使用辅员的政策变化，乙方须无条件解除合同，自行处置与辅助人员的劳动关系，甲方不承担任何责任。</w:t>
      </w:r>
    </w:p>
    <w:p w14:paraId="47F59016">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10.如遇新增工作岗位，或岗位工作模式发生变化，与甲方协商确定岗位单价，岗位单价不高于公司厂区巡查执勤岗中标岗位单价标准。</w:t>
      </w:r>
    </w:p>
    <w:p w14:paraId="7D97DEA2">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12.以每月实际岗位用人数支付，原则上不突破计划岗位人数。</w:t>
      </w:r>
    </w:p>
    <w:p w14:paraId="618821DE">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13.甲方每月对乙方的工作情况进行考核，综合分连续两个月低于90分的，可单方面中止合同。</w:t>
      </w:r>
    </w:p>
    <w:p w14:paraId="0802014D">
      <w:pPr>
        <w:adjustRightInd w:val="0"/>
        <w:snapToGrid w:val="0"/>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14.辅助管理岗位人员采用服务外包的用工方式。服务期限为2025年合同生效之日起到2026年  月  日，合同期为壹年。</w:t>
      </w:r>
    </w:p>
    <w:p w14:paraId="712117F7">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付款方式</w:t>
      </w:r>
    </w:p>
    <w:p w14:paraId="5BDFE951">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费用支付方式为：按照实际岗位使用情况,根据考核结果每月进行一次结算支付，甲方对乙方派驻辅员的日常整体工作情况实行月考核，考核结果低于90分的扣除当月服务费1%，连续两个月考核结果低于90分的，甲方有权解除合同。结算方式以甲方财务要求为准，甲方在乙方提出甲方无异议的支付申请后7个工作日内完成支付。</w:t>
      </w:r>
    </w:p>
    <w:p w14:paraId="50A112C4">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乙方在甲方付款前应提供发票，乙方未提供发票的，甲方有权拒付合同款且不承担违约责任。</w:t>
      </w:r>
    </w:p>
    <w:p w14:paraId="7B573A1E">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十</w:t>
      </w:r>
      <w:r>
        <w:rPr>
          <w:rFonts w:hint="eastAsia" w:ascii="仿宋" w:hAnsi="仿宋" w:eastAsia="仿宋" w:cs="仿宋"/>
          <w:b/>
          <w:sz w:val="24"/>
          <w:szCs w:val="24"/>
        </w:rPr>
        <w:t>、违约责任</w:t>
      </w:r>
    </w:p>
    <w:p w14:paraId="7B836A1B">
      <w:pPr>
        <w:adjustRightInd w:val="0"/>
        <w:snapToGrid w:val="0"/>
        <w:spacing w:line="360" w:lineRule="auto"/>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eastAsia="zh-CN"/>
        </w:rPr>
        <w:t>合同</w:t>
      </w:r>
      <w:r>
        <w:rPr>
          <w:rFonts w:hint="eastAsia" w:ascii="仿宋" w:hAnsi="仿宋" w:eastAsia="仿宋" w:cs="仿宋"/>
          <w:sz w:val="21"/>
          <w:szCs w:val="21"/>
        </w:rPr>
        <w:t>期内，符合下列情况之一，甲方有权解除合同，并有权</w:t>
      </w:r>
      <w:r>
        <w:rPr>
          <w:rFonts w:hint="eastAsia" w:ascii="仿宋" w:hAnsi="仿宋" w:eastAsia="仿宋" w:cs="仿宋"/>
          <w:sz w:val="21"/>
          <w:szCs w:val="21"/>
          <w:lang w:eastAsia="zh-CN"/>
        </w:rPr>
        <w:t>每次扣</w:t>
      </w:r>
      <w:r>
        <w:rPr>
          <w:rFonts w:hint="eastAsia" w:ascii="仿宋" w:hAnsi="仿宋" w:eastAsia="仿宋" w:cs="仿宋"/>
          <w:sz w:val="21"/>
          <w:szCs w:val="21"/>
          <w:lang w:val="en-US" w:eastAsia="zh-CN"/>
        </w:rPr>
        <w:t>1000元的保证金。</w:t>
      </w:r>
    </w:p>
    <w:p w14:paraId="441554FB">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（1）有证据证明乙方项目服务人员在本次项目服务中有违法犯罪行为的；</w:t>
      </w:r>
    </w:p>
    <w:p w14:paraId="27FD051E">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（2）甲方提出调换人员后，乙方累计</w:t>
      </w:r>
      <w:r>
        <w:rPr>
          <w:rFonts w:hint="eastAsia" w:ascii="仿宋" w:hAnsi="仿宋" w:eastAsia="仿宋" w:cs="仿宋"/>
          <w:sz w:val="21"/>
          <w:szCs w:val="21"/>
          <w:lang w:eastAsia="zh-CN"/>
        </w:rPr>
        <w:t>三</w:t>
      </w:r>
      <w:r>
        <w:rPr>
          <w:rFonts w:hint="eastAsia" w:ascii="仿宋" w:hAnsi="仿宋" w:eastAsia="仿宋" w:cs="仿宋"/>
          <w:sz w:val="21"/>
          <w:szCs w:val="21"/>
        </w:rPr>
        <w:t>次以上无法选派新的队员</w:t>
      </w:r>
      <w:r>
        <w:rPr>
          <w:rFonts w:hint="eastAsia" w:ascii="仿宋" w:hAnsi="仿宋" w:eastAsia="仿宋" w:cs="仿宋"/>
          <w:sz w:val="21"/>
          <w:szCs w:val="21"/>
          <w:lang w:eastAsia="zh-CN"/>
        </w:rPr>
        <w:t>无缝对接</w:t>
      </w:r>
      <w:r>
        <w:rPr>
          <w:rFonts w:hint="eastAsia" w:ascii="仿宋" w:hAnsi="仿宋" w:eastAsia="仿宋" w:cs="仿宋"/>
          <w:sz w:val="21"/>
          <w:szCs w:val="21"/>
        </w:rPr>
        <w:t>到岗工作的；</w:t>
      </w:r>
    </w:p>
    <w:p w14:paraId="70141FC1">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（3）乙方的服务人员在服务期内被甲方员工或来访人员投诉累计达</w:t>
      </w:r>
      <w:r>
        <w:rPr>
          <w:rFonts w:hint="eastAsia" w:ascii="仿宋" w:hAnsi="仿宋" w:eastAsia="仿宋" w:cs="仿宋"/>
          <w:sz w:val="21"/>
          <w:szCs w:val="21"/>
          <w:lang w:eastAsia="zh-CN"/>
        </w:rPr>
        <w:t>五</w:t>
      </w:r>
      <w:r>
        <w:rPr>
          <w:rFonts w:hint="eastAsia" w:ascii="仿宋" w:hAnsi="仿宋" w:eastAsia="仿宋" w:cs="仿宋"/>
          <w:sz w:val="21"/>
          <w:szCs w:val="21"/>
        </w:rPr>
        <w:t>次及以上的；</w:t>
      </w:r>
    </w:p>
    <w:p w14:paraId="7E97B6AC">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（4）乙方的服务人员在上岗七个工作日的适应期后，仍不能完成合同所要求的工作，且乙方先后调换</w:t>
      </w:r>
      <w:r>
        <w:rPr>
          <w:rFonts w:hint="eastAsia" w:ascii="仿宋" w:hAnsi="仿宋" w:eastAsia="仿宋" w:cs="仿宋"/>
          <w:sz w:val="21"/>
          <w:szCs w:val="21"/>
          <w:lang w:val="en-US" w:eastAsia="zh-CN"/>
        </w:rPr>
        <w:t>3</w:t>
      </w:r>
      <w:r>
        <w:rPr>
          <w:rFonts w:hint="eastAsia" w:ascii="仿宋" w:hAnsi="仿宋" w:eastAsia="仿宋" w:cs="仿宋"/>
          <w:sz w:val="21"/>
          <w:szCs w:val="21"/>
        </w:rPr>
        <w:t>人均未达到甲方所要求的相应服务标准的。</w:t>
      </w:r>
    </w:p>
    <w:p w14:paraId="4C42DD54">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2.因乙方</w:t>
      </w:r>
      <w:r>
        <w:rPr>
          <w:rFonts w:hint="eastAsia" w:ascii="仿宋" w:hAnsi="仿宋" w:eastAsia="仿宋" w:cs="仿宋"/>
          <w:sz w:val="21"/>
          <w:szCs w:val="21"/>
          <w:lang w:eastAsia="zh-CN"/>
        </w:rPr>
        <w:t>三次（含）</w:t>
      </w:r>
      <w:r>
        <w:rPr>
          <w:rFonts w:hint="eastAsia" w:ascii="仿宋" w:hAnsi="仿宋" w:eastAsia="仿宋" w:cs="仿宋"/>
          <w:sz w:val="21"/>
          <w:szCs w:val="21"/>
        </w:rPr>
        <w:t>未能如期提供服务或因其他违约行为导致甲方解除合同的，</w:t>
      </w:r>
      <w:r>
        <w:rPr>
          <w:rFonts w:hint="eastAsia" w:ascii="仿宋" w:hAnsi="仿宋" w:eastAsia="仿宋" w:cs="仿宋"/>
          <w:sz w:val="21"/>
          <w:szCs w:val="21"/>
          <w:lang w:eastAsia="zh-CN"/>
        </w:rPr>
        <w:t>甲方</w:t>
      </w:r>
      <w:r>
        <w:rPr>
          <w:rFonts w:hint="eastAsia" w:ascii="仿宋" w:hAnsi="仿宋" w:eastAsia="仿宋" w:cs="仿宋"/>
          <w:sz w:val="21"/>
          <w:szCs w:val="21"/>
        </w:rPr>
        <w:t>有权</w:t>
      </w:r>
      <w:r>
        <w:rPr>
          <w:rFonts w:hint="eastAsia" w:ascii="仿宋" w:hAnsi="仿宋" w:eastAsia="仿宋" w:cs="仿宋"/>
          <w:sz w:val="21"/>
          <w:szCs w:val="21"/>
          <w:lang w:eastAsia="zh-CN"/>
        </w:rPr>
        <w:t>全额扣除乙方</w:t>
      </w:r>
      <w:r>
        <w:rPr>
          <w:rFonts w:hint="eastAsia" w:ascii="仿宋" w:hAnsi="仿宋" w:eastAsia="仿宋" w:cs="仿宋"/>
          <w:sz w:val="21"/>
          <w:szCs w:val="21"/>
          <w:lang w:val="en-US" w:eastAsia="zh-CN"/>
        </w:rPr>
        <w:t>保证金。</w:t>
      </w:r>
      <w:r>
        <w:rPr>
          <w:rFonts w:hint="eastAsia" w:ascii="仿宋" w:hAnsi="仿宋" w:eastAsia="仿宋" w:cs="仿宋"/>
          <w:sz w:val="21"/>
          <w:szCs w:val="21"/>
        </w:rPr>
        <w:t>违约金不足以弥补甲方损失的（包括但不限于甲方另订合同所额外支出的费用、为维护自身权益所支出的律师费、诉讼费、保全费等等），乙方应继续承担违约责任。</w:t>
      </w:r>
    </w:p>
    <w:p w14:paraId="1F0F800F">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3.因乙方原因未能按甲方标准兑现辅员工资、社保、补贴、团建、服装等相关要求的，未达到一项或一次的扣保证金1000元，累计三项或三次未达到的，甲方有权解除合同。</w:t>
      </w:r>
    </w:p>
    <w:p w14:paraId="29FB6866">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、不可抗力事件处理</w:t>
      </w:r>
    </w:p>
    <w:p w14:paraId="37D870DF">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1.在合同有效期内，任何一方因不可抗力事件导致不能履行合同，则合同履行期可延长，其延长期与不可抗力影响期相同。</w:t>
      </w:r>
    </w:p>
    <w:p w14:paraId="12A39C3D">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2.不可抗力事件发生后，应立即通知对方，并寄送有关权威机构出具的证明。</w:t>
      </w:r>
    </w:p>
    <w:p w14:paraId="7316E993">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3.不可抗力事件延续</w:t>
      </w:r>
      <w:r>
        <w:rPr>
          <w:rFonts w:hint="eastAsia" w:ascii="仿宋" w:hAnsi="仿宋" w:eastAsia="仿宋" w:cs="仿宋"/>
          <w:sz w:val="21"/>
          <w:szCs w:val="21"/>
          <w:lang w:val="en-US" w:eastAsia="zh-CN"/>
        </w:rPr>
        <w:t>60</w:t>
      </w:r>
      <w:r>
        <w:rPr>
          <w:rFonts w:hint="eastAsia" w:ascii="仿宋" w:hAnsi="仿宋" w:eastAsia="仿宋" w:cs="仿宋"/>
          <w:sz w:val="21"/>
          <w:szCs w:val="21"/>
        </w:rPr>
        <w:t>天以上，双方应通过友好协商，确定是否继续履行合同。</w:t>
      </w:r>
    </w:p>
    <w:p w14:paraId="3DA20860">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、争议的解决</w:t>
      </w:r>
    </w:p>
    <w:p w14:paraId="2B70E85D">
      <w:pPr>
        <w:adjustRightInd w:val="0"/>
        <w:snapToGrid w:val="0"/>
        <w:spacing w:line="360" w:lineRule="auto"/>
        <w:ind w:firstLine="420" w:firstLineChars="200"/>
        <w:jc w:val="left"/>
        <w:rPr>
          <w:rFonts w:hint="eastAsia" w:ascii="仿宋" w:hAnsi="仿宋" w:eastAsia="仿宋" w:cs="仿宋"/>
          <w:sz w:val="28"/>
          <w:szCs w:val="28"/>
        </w:rPr>
      </w:pPr>
      <w:r>
        <w:rPr>
          <w:rFonts w:hint="eastAsia" w:ascii="仿宋" w:hAnsi="仿宋" w:eastAsia="仿宋" w:cs="仿宋"/>
          <w:sz w:val="21"/>
          <w:szCs w:val="21"/>
        </w:rPr>
        <w:t>有关本合同的一切争议，应通过协商解决。如协商不成，可向甲方所在地法院起诉。</w:t>
      </w:r>
    </w:p>
    <w:p w14:paraId="5E035CBF">
      <w:pPr>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、合同生效及其他</w:t>
      </w:r>
    </w:p>
    <w:p w14:paraId="335ABE56">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1.合同经甲、乙双方签字并加盖单位公章后生效。</w:t>
      </w:r>
    </w:p>
    <w:p w14:paraId="590EF682">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2.采购文件、投标文件与本合同具有同等法律效力。</w:t>
      </w:r>
    </w:p>
    <w:p w14:paraId="7BA8C8B7">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3.本合同未尽事宜，遵照《</w:t>
      </w:r>
      <w:r>
        <w:rPr>
          <w:rFonts w:hint="eastAsia" w:ascii="仿宋" w:hAnsi="仿宋" w:eastAsia="仿宋" w:cs="仿宋"/>
          <w:sz w:val="21"/>
          <w:szCs w:val="21"/>
          <w:lang w:val="en-US" w:eastAsia="zh-CN"/>
        </w:rPr>
        <w:t>中华人民共和国</w:t>
      </w:r>
      <w:r>
        <w:rPr>
          <w:rFonts w:hint="eastAsia" w:ascii="仿宋" w:hAnsi="仿宋" w:eastAsia="仿宋" w:cs="仿宋"/>
          <w:sz w:val="21"/>
          <w:szCs w:val="21"/>
        </w:rPr>
        <w:t>民法典》有关条文执行。</w:t>
      </w:r>
    </w:p>
    <w:p w14:paraId="132921C2">
      <w:pPr>
        <w:adjustRightInd w:val="0"/>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4.本合同一式四份，具有同等法律效力，甲方三份、乙方一份。</w:t>
      </w:r>
    </w:p>
    <w:p w14:paraId="59BCA89D">
      <w:pPr>
        <w:adjustRightInd w:val="0"/>
        <w:snapToGrid w:val="0"/>
        <w:spacing w:line="360" w:lineRule="auto"/>
        <w:ind w:firstLine="420" w:firstLineChars="200"/>
        <w:jc w:val="left"/>
        <w:rPr>
          <w:rFonts w:hint="eastAsia" w:ascii="仿宋" w:hAnsi="仿宋" w:eastAsia="仿宋" w:cs="仿宋"/>
          <w:sz w:val="28"/>
          <w:szCs w:val="28"/>
        </w:rPr>
      </w:pPr>
      <w:r>
        <w:rPr>
          <w:rFonts w:hint="eastAsia" w:ascii="仿宋" w:hAnsi="仿宋" w:eastAsia="仿宋" w:cs="仿宋"/>
          <w:sz w:val="21"/>
          <w:szCs w:val="21"/>
        </w:rPr>
        <w:t>5.特别约定：服务合同签订后，甲方如有法律法规或上级政策规定甲方不得使用辅员的政策变化，乙方须无条件解除合同。甲方不承担任何相应责任。</w:t>
      </w:r>
    </w:p>
    <w:p w14:paraId="6BBEFD53">
      <w:pPr>
        <w:pStyle w:val="13"/>
        <w:adjustRightInd w:val="0"/>
        <w:snapToGrid w:val="0"/>
        <w:spacing w:line="360" w:lineRule="auto"/>
        <w:ind w:left="0" w:firstLine="200"/>
        <w:rPr>
          <w:rFonts w:hint="eastAsia" w:ascii="仿宋" w:hAnsi="仿宋" w:eastAsia="仿宋" w:cs="仿宋"/>
          <w:sz w:val="28"/>
          <w:szCs w:val="28"/>
        </w:rPr>
      </w:pPr>
    </w:p>
    <w:p w14:paraId="7B052469">
      <w:pPr>
        <w:pStyle w:val="13"/>
        <w:adjustRightInd w:val="0"/>
        <w:snapToGrid w:val="0"/>
        <w:spacing w:line="360" w:lineRule="auto"/>
        <w:ind w:left="0" w:firstLine="590" w:firstLineChars="245"/>
        <w:rPr>
          <w:rFonts w:hint="eastAsia" w:ascii="仿宋" w:hAnsi="仿宋" w:eastAsia="仿宋" w:cs="仿宋"/>
          <w:b/>
          <w:sz w:val="24"/>
          <w:szCs w:val="24"/>
        </w:rPr>
      </w:pPr>
    </w:p>
    <w:p w14:paraId="29255FF3">
      <w:pPr>
        <w:pStyle w:val="13"/>
        <w:adjustRightInd w:val="0"/>
        <w:snapToGrid w:val="0"/>
        <w:spacing w:line="360" w:lineRule="auto"/>
        <w:ind w:left="0" w:firstLine="590" w:firstLineChars="245"/>
        <w:rPr>
          <w:rFonts w:hint="eastAsia" w:ascii="仿宋" w:hAnsi="仿宋" w:eastAsia="仿宋" w:cs="仿宋"/>
          <w:b/>
          <w:sz w:val="24"/>
          <w:szCs w:val="24"/>
        </w:rPr>
      </w:pPr>
    </w:p>
    <w:p w14:paraId="615DA2E5">
      <w:pPr>
        <w:pStyle w:val="13"/>
        <w:adjustRightInd w:val="0"/>
        <w:snapToGrid w:val="0"/>
        <w:spacing w:line="360" w:lineRule="auto"/>
        <w:ind w:left="0" w:firstLine="590" w:firstLineChars="245"/>
        <w:rPr>
          <w:rFonts w:hint="eastAsia" w:ascii="仿宋" w:hAnsi="仿宋" w:eastAsia="仿宋" w:cs="仿宋"/>
          <w:b/>
          <w:sz w:val="24"/>
          <w:szCs w:val="24"/>
        </w:rPr>
      </w:pPr>
    </w:p>
    <w:p w14:paraId="1DE0BB9A">
      <w:pPr>
        <w:pStyle w:val="13"/>
        <w:adjustRightInd w:val="0"/>
        <w:snapToGrid w:val="0"/>
        <w:spacing w:line="360" w:lineRule="auto"/>
        <w:ind w:left="0" w:firstLine="590" w:firstLineChars="245"/>
        <w:rPr>
          <w:rFonts w:hint="eastAsia" w:ascii="仿宋" w:hAnsi="仿宋" w:eastAsia="仿宋" w:cs="仿宋"/>
          <w:b/>
          <w:sz w:val="24"/>
          <w:szCs w:val="24"/>
        </w:rPr>
      </w:pPr>
    </w:p>
    <w:p w14:paraId="7C599839">
      <w:pPr>
        <w:pStyle w:val="13"/>
        <w:adjustRightInd w:val="0"/>
        <w:snapToGrid w:val="0"/>
        <w:spacing w:line="360" w:lineRule="auto"/>
        <w:ind w:left="0" w:firstLine="590" w:firstLineChars="245"/>
        <w:rPr>
          <w:rFonts w:hint="eastAsia" w:ascii="仿宋" w:hAnsi="仿宋" w:eastAsia="仿宋" w:cs="仿宋"/>
          <w:b/>
          <w:sz w:val="24"/>
          <w:szCs w:val="24"/>
        </w:rPr>
      </w:pPr>
    </w:p>
    <w:p w14:paraId="265F7DD7">
      <w:pPr>
        <w:pStyle w:val="13"/>
        <w:adjustRightInd w:val="0"/>
        <w:snapToGrid w:val="0"/>
        <w:spacing w:line="360" w:lineRule="auto"/>
        <w:ind w:left="0" w:firstLine="590" w:firstLineChars="245"/>
        <w:rPr>
          <w:rFonts w:hint="eastAsia" w:ascii="仿宋" w:hAnsi="仿宋" w:eastAsia="仿宋" w:cs="仿宋"/>
          <w:b/>
          <w:sz w:val="24"/>
          <w:szCs w:val="24"/>
        </w:rPr>
      </w:pPr>
    </w:p>
    <w:p w14:paraId="695F7ADA">
      <w:pPr>
        <w:pStyle w:val="13"/>
        <w:adjustRightInd w:val="0"/>
        <w:snapToGrid w:val="0"/>
        <w:spacing w:line="480" w:lineRule="auto"/>
        <w:ind w:left="0" w:firstLine="517" w:firstLineChars="245"/>
        <w:rPr>
          <w:rFonts w:hint="eastAsia" w:ascii="仿宋" w:hAnsi="仿宋" w:eastAsia="仿宋" w:cs="仿宋"/>
          <w:b/>
          <w:sz w:val="21"/>
          <w:szCs w:val="21"/>
        </w:rPr>
      </w:pPr>
      <w:r>
        <w:rPr>
          <w:rFonts w:hint="eastAsia" w:ascii="仿宋" w:hAnsi="仿宋" w:eastAsia="仿宋" w:cs="仿宋"/>
          <w:b/>
          <w:sz w:val="21"/>
          <w:szCs w:val="21"/>
        </w:rPr>
        <w:t xml:space="preserve">甲方（盖章）：                     </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乙方（盖章）：</w:t>
      </w:r>
    </w:p>
    <w:p w14:paraId="6DFB3E3B">
      <w:pPr>
        <w:pStyle w:val="13"/>
        <w:adjustRightInd w:val="0"/>
        <w:snapToGrid w:val="0"/>
        <w:spacing w:line="480" w:lineRule="auto"/>
        <w:ind w:left="0" w:firstLine="420" w:firstLineChars="200"/>
        <w:rPr>
          <w:rFonts w:hint="eastAsia" w:ascii="仿宋" w:hAnsi="仿宋" w:eastAsia="仿宋" w:cs="仿宋"/>
          <w:sz w:val="21"/>
          <w:szCs w:val="21"/>
        </w:rPr>
      </w:pPr>
      <w:r>
        <w:rPr>
          <w:rFonts w:hint="eastAsia" w:ascii="仿宋" w:hAnsi="仿宋" w:eastAsia="仿宋" w:cs="仿宋"/>
          <w:sz w:val="21"/>
          <w:szCs w:val="21"/>
        </w:rPr>
        <w:t xml:space="preserve"> 法定代表人或受委托人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法定代表人或受委托人</w:t>
      </w:r>
    </w:p>
    <w:p w14:paraId="01960FDC">
      <w:pPr>
        <w:pStyle w:val="13"/>
        <w:adjustRightInd w:val="0"/>
        <w:snapToGrid w:val="0"/>
        <w:spacing w:line="480" w:lineRule="auto"/>
        <w:ind w:left="0" w:firstLine="420" w:firstLineChars="200"/>
        <w:rPr>
          <w:rFonts w:hint="eastAsia" w:ascii="仿宋" w:hAnsi="仿宋" w:eastAsia="仿宋" w:cs="仿宋"/>
          <w:sz w:val="21"/>
          <w:szCs w:val="21"/>
        </w:rPr>
      </w:pPr>
      <w:r>
        <w:rPr>
          <w:rFonts w:hint="eastAsia" w:ascii="仿宋" w:hAnsi="仿宋" w:eastAsia="仿宋" w:cs="仿宋"/>
          <w:sz w:val="21"/>
          <w:szCs w:val="21"/>
        </w:rPr>
        <w:t xml:space="preserve">（签字）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（签字）</w:t>
      </w:r>
    </w:p>
    <w:p w14:paraId="77194D67">
      <w:pPr>
        <w:adjustRightInd w:val="0"/>
        <w:snapToGrid w:val="0"/>
        <w:spacing w:line="48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 xml:space="preserve">开户行：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开户行：</w:t>
      </w:r>
    </w:p>
    <w:p w14:paraId="12D97D09">
      <w:pPr>
        <w:adjustRightInd w:val="0"/>
        <w:snapToGrid w:val="0"/>
        <w:spacing w:line="48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 xml:space="preserve">账户：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账户：</w:t>
      </w:r>
    </w:p>
    <w:p w14:paraId="541239C1">
      <w:pPr>
        <w:adjustRightInd w:val="0"/>
        <w:snapToGrid w:val="0"/>
        <w:spacing w:line="48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 xml:space="preserve">电话：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电话：</w:t>
      </w:r>
    </w:p>
    <w:p w14:paraId="1C5E119C">
      <w:pPr>
        <w:adjustRightInd w:val="0"/>
        <w:snapToGrid w:val="0"/>
        <w:spacing w:line="48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 xml:space="preserve">签字日期：    年  月  日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签字日期：  年  月  日</w:t>
      </w:r>
    </w:p>
    <w:p w14:paraId="15C2B491">
      <w:pPr>
        <w:ind w:firstLine="525"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br w:type="page"/>
      </w:r>
    </w:p>
    <w:p w14:paraId="7E30F60D">
      <w:pPr>
        <w:adjustRightInd w:val="0"/>
        <w:snapToGrid w:val="0"/>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bookmarkStart w:id="93" w:name="_Toc18897"/>
      <w:bookmarkStart w:id="94" w:name="_Toc17662"/>
      <w:r>
        <w:rPr>
          <w:rFonts w:hint="eastAsia" w:ascii="仿宋" w:hAnsi="仿宋" w:eastAsia="仿宋" w:cs="仿宋"/>
          <w:b/>
          <w:color w:val="000000" w:themeColor="text1"/>
          <w:sz w:val="28"/>
          <w:szCs w:val="28"/>
          <w:highlight w:val="none"/>
          <w14:textFill>
            <w14:solidFill>
              <w14:schemeClr w14:val="tx1"/>
            </w14:solidFill>
          </w14:textFill>
        </w:rPr>
        <w:t>第五章 投标文件格式</w:t>
      </w:r>
      <w:bookmarkEnd w:id="93"/>
      <w:bookmarkEnd w:id="94"/>
    </w:p>
    <w:p w14:paraId="53620A49">
      <w:pPr>
        <w:widowControl/>
        <w:shd w:val="clear" w:color="auto" w:fill="FFFFFF"/>
        <w:autoSpaceDE w:val="0"/>
        <w:spacing w:before="312" w:after="312"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bookmarkStart w:id="95" w:name="_Toc17049"/>
      <w:bookmarkStart w:id="96" w:name="_Toc24253"/>
      <w:r>
        <w:rPr>
          <w:rFonts w:hint="eastAsia" w:ascii="仿宋" w:hAnsi="仿宋" w:eastAsia="仿宋" w:cs="仿宋"/>
          <w:b/>
          <w:color w:val="000000" w:themeColor="text1"/>
          <w:sz w:val="28"/>
          <w:szCs w:val="28"/>
          <w:highlight w:val="none"/>
          <w14:textFill>
            <w14:solidFill>
              <w14:schemeClr w14:val="tx1"/>
            </w14:solidFill>
          </w14:textFill>
        </w:rPr>
        <w:t>（资信技术文件和报价文件必须分开封装）</w:t>
      </w:r>
      <w:bookmarkEnd w:id="95"/>
      <w:bookmarkEnd w:id="96"/>
    </w:p>
    <w:p w14:paraId="5548E572">
      <w:pPr>
        <w:widowControl/>
        <w:shd w:val="clear" w:color="auto" w:fill="FFFFFF"/>
        <w:autoSpaceDE w:val="0"/>
        <w:spacing w:before="312" w:after="312" w:line="360" w:lineRule="auto"/>
        <w:jc w:val="center"/>
        <w:outlineLvl w:val="0"/>
        <w:rPr>
          <w:rFonts w:hint="eastAsia" w:ascii="仿宋" w:hAnsi="仿宋" w:eastAsia="仿宋" w:cs="仿宋"/>
          <w:b/>
          <w:bCs/>
          <w:color w:val="000000" w:themeColor="text1"/>
          <w:sz w:val="28"/>
          <w:szCs w:val="28"/>
          <w:highlight w:val="none"/>
          <w:lang w:val="zh-CN"/>
          <w14:textFill>
            <w14:solidFill>
              <w14:schemeClr w14:val="tx1"/>
            </w14:solidFill>
          </w14:textFill>
        </w:rPr>
      </w:pPr>
      <w:bookmarkStart w:id="97" w:name="_Toc27962"/>
      <w:bookmarkStart w:id="98" w:name="_Toc32217"/>
      <w:r>
        <w:rPr>
          <w:rFonts w:hint="eastAsia" w:ascii="仿宋" w:hAnsi="仿宋" w:eastAsia="仿宋" w:cs="仿宋"/>
          <w:b/>
          <w:bCs/>
          <w:color w:val="000000" w:themeColor="text1"/>
          <w:sz w:val="28"/>
          <w:szCs w:val="28"/>
          <w:highlight w:val="none"/>
          <w:lang w:val="zh-CN"/>
          <w14:textFill>
            <w14:solidFill>
              <w14:schemeClr w14:val="tx1"/>
            </w14:solidFill>
          </w14:textFill>
        </w:rPr>
        <w:t>资信技术文件的外包装封面格式：（不可缺）</w:t>
      </w:r>
      <w:bookmarkEnd w:id="97"/>
      <w:bookmarkEnd w:id="98"/>
    </w:p>
    <w:p w14:paraId="4A3D597B">
      <w:pPr>
        <w:widowControl/>
        <w:shd w:val="clear" w:color="auto" w:fill="FFFFFF"/>
        <w:autoSpaceDE w:val="0"/>
        <w:spacing w:line="500" w:lineRule="exact"/>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2723CD1A">
      <w:pPr>
        <w:widowControl/>
        <w:shd w:val="clear" w:color="auto" w:fill="FFFFFF"/>
        <w:autoSpaceDE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zh-CN"/>
          <w14:textFill>
            <w14:solidFill>
              <w14:schemeClr w14:val="tx1"/>
            </w14:solidFill>
          </w14:textFill>
        </w:rPr>
        <w:t>浙江常新工贸有限公司新址辅助管理人员外包服务项目</w:t>
      </w:r>
    </w:p>
    <w:p w14:paraId="0D44BDCD">
      <w:pPr>
        <w:widowControl/>
        <w:shd w:val="clear" w:color="auto" w:fill="FFFFFF"/>
        <w:autoSpaceDE w:val="0"/>
        <w:jc w:val="center"/>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49FD8FB3">
      <w:pPr>
        <w:widowControl/>
        <w:shd w:val="clear" w:color="auto" w:fill="FFFFFF"/>
        <w:autoSpaceDE w:val="0"/>
        <w:jc w:val="center"/>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2A111366">
      <w:pPr>
        <w:widowControl/>
        <w:shd w:val="clear" w:color="auto" w:fill="FFFFFF"/>
        <w:autoSpaceDE w:val="0"/>
        <w:jc w:val="center"/>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193A5588">
      <w:pPr>
        <w:widowControl/>
        <w:shd w:val="clear" w:color="auto" w:fill="FFFFFF"/>
        <w:autoSpaceDE w:val="0"/>
        <w:jc w:val="center"/>
        <w:rPr>
          <w:rFonts w:hint="eastAsia" w:ascii="仿宋" w:hAnsi="仿宋" w:eastAsia="仿宋" w:cs="仿宋"/>
          <w:color w:val="000000" w:themeColor="text1"/>
          <w:sz w:val="28"/>
          <w:szCs w:val="28"/>
          <w:highlight w:val="none"/>
          <w:lang w:val="zh-CN"/>
          <w14:textFill>
            <w14:solidFill>
              <w14:schemeClr w14:val="tx1"/>
            </w14:solidFill>
          </w14:textFill>
        </w:rPr>
      </w:pPr>
    </w:p>
    <w:p w14:paraId="3A2FA0C9">
      <w:pPr>
        <w:widowControl/>
        <w:shd w:val="clear" w:color="auto" w:fill="FFFFFF"/>
        <w:autoSpaceDE w:val="0"/>
        <w:jc w:val="center"/>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资信技术文件</w:t>
      </w:r>
    </w:p>
    <w:p w14:paraId="769FC822">
      <w:pPr>
        <w:widowControl/>
        <w:shd w:val="clear" w:color="auto" w:fill="FFFFFF"/>
        <w:autoSpaceDE w:val="0"/>
        <w:jc w:val="center"/>
        <w:rPr>
          <w:rFonts w:hint="eastAsia" w:ascii="仿宋" w:hAnsi="仿宋" w:eastAsia="仿宋" w:cs="仿宋"/>
          <w:color w:val="000000" w:themeColor="text1"/>
          <w:sz w:val="28"/>
          <w:szCs w:val="28"/>
          <w:highlight w:val="none"/>
          <w:lang w:val="zh-CN"/>
          <w14:textFill>
            <w14:solidFill>
              <w14:schemeClr w14:val="tx1"/>
            </w14:solidFill>
          </w14:textFill>
        </w:rPr>
      </w:pPr>
    </w:p>
    <w:p w14:paraId="29849339">
      <w:pPr>
        <w:widowControl/>
        <w:shd w:val="clear" w:color="auto" w:fill="FFFFFF"/>
        <w:autoSpaceDE w:val="0"/>
        <w:spacing w:line="500" w:lineRule="exact"/>
        <w:ind w:firstLine="955"/>
        <w:rPr>
          <w:rFonts w:hint="eastAsia" w:ascii="仿宋" w:hAnsi="仿宋" w:eastAsia="仿宋" w:cs="仿宋"/>
          <w:color w:val="000000" w:themeColor="text1"/>
          <w:sz w:val="28"/>
          <w:szCs w:val="28"/>
          <w:highlight w:val="none"/>
          <w:lang w:val="zh-CN"/>
          <w14:textFill>
            <w14:solidFill>
              <w14:schemeClr w14:val="tx1"/>
            </w14:solidFill>
          </w14:textFill>
        </w:rPr>
      </w:pPr>
    </w:p>
    <w:p w14:paraId="16657499">
      <w:pPr>
        <w:widowControl/>
        <w:shd w:val="clear" w:color="auto" w:fill="FFFFFF"/>
        <w:autoSpaceDE w:val="0"/>
        <w:spacing w:line="500" w:lineRule="exact"/>
        <w:rPr>
          <w:rFonts w:hint="eastAsia" w:ascii="仿宋" w:hAnsi="仿宋" w:eastAsia="仿宋" w:cs="仿宋"/>
          <w:color w:val="000000" w:themeColor="text1"/>
          <w:sz w:val="28"/>
          <w:szCs w:val="28"/>
          <w:highlight w:val="none"/>
          <w:lang w:val="zh-CN"/>
          <w14:textFill>
            <w14:solidFill>
              <w14:schemeClr w14:val="tx1"/>
            </w14:solidFill>
          </w14:textFill>
        </w:rPr>
      </w:pPr>
    </w:p>
    <w:p w14:paraId="4348EB60">
      <w:pPr>
        <w:widowControl/>
        <w:shd w:val="clear" w:color="auto" w:fill="FFFFFF"/>
        <w:autoSpaceDE w:val="0"/>
        <w:spacing w:line="500" w:lineRule="exact"/>
        <w:jc w:val="center"/>
        <w:rPr>
          <w:rFonts w:hint="eastAsia" w:ascii="仿宋" w:hAnsi="仿宋" w:eastAsia="仿宋" w:cs="仿宋"/>
          <w:sz w:val="32"/>
          <w:szCs w:val="32"/>
          <w:lang w:val="zh-CN"/>
        </w:rPr>
      </w:pPr>
      <w:r>
        <w:rPr>
          <w:rFonts w:hint="eastAsia" w:ascii="仿宋" w:hAnsi="仿宋" w:eastAsia="仿宋" w:cs="仿宋"/>
          <w:sz w:val="32"/>
          <w:szCs w:val="32"/>
          <w:lang w:val="zh-CN"/>
        </w:rPr>
        <w:t>在</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年</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时</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分</w:t>
      </w:r>
    </w:p>
    <w:p w14:paraId="0C8746FD">
      <w:pPr>
        <w:widowControl/>
        <w:shd w:val="clear" w:color="auto" w:fill="FFFFFF"/>
        <w:autoSpaceDE w:val="0"/>
        <w:spacing w:line="500" w:lineRule="exact"/>
        <w:jc w:val="center"/>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（开标时间）之前不得启封</w:t>
      </w:r>
    </w:p>
    <w:p w14:paraId="1350A012">
      <w:pPr>
        <w:widowControl/>
        <w:shd w:val="clear" w:color="auto" w:fill="FFFFFF"/>
        <w:autoSpaceDE w:val="0"/>
        <w:spacing w:line="500" w:lineRule="exact"/>
        <w:ind w:firstLine="955"/>
        <w:rPr>
          <w:rFonts w:hint="eastAsia" w:ascii="仿宋" w:hAnsi="仿宋" w:eastAsia="仿宋" w:cs="仿宋"/>
          <w:color w:val="000000" w:themeColor="text1"/>
          <w:sz w:val="28"/>
          <w:szCs w:val="28"/>
          <w:highlight w:val="none"/>
          <w:lang w:val="zh-CN"/>
          <w14:textFill>
            <w14:solidFill>
              <w14:schemeClr w14:val="tx1"/>
            </w14:solidFill>
          </w14:textFill>
        </w:rPr>
      </w:pPr>
    </w:p>
    <w:p w14:paraId="326C5A45">
      <w:pPr>
        <w:widowControl/>
        <w:shd w:val="clear" w:color="auto" w:fill="FFFFFF"/>
        <w:autoSpaceDE w:val="0"/>
        <w:spacing w:line="500" w:lineRule="exact"/>
        <w:rPr>
          <w:rFonts w:hint="eastAsia" w:ascii="仿宋" w:hAnsi="仿宋" w:eastAsia="仿宋" w:cs="仿宋"/>
          <w:color w:val="000000" w:themeColor="text1"/>
          <w:sz w:val="28"/>
          <w:szCs w:val="28"/>
          <w:highlight w:val="none"/>
          <w:lang w:val="zh-CN"/>
          <w14:textFill>
            <w14:solidFill>
              <w14:schemeClr w14:val="tx1"/>
            </w14:solidFill>
          </w14:textFill>
        </w:rPr>
      </w:pPr>
    </w:p>
    <w:p w14:paraId="64ECD2C9">
      <w:pPr>
        <w:widowControl/>
        <w:shd w:val="clear" w:color="auto" w:fill="FFFFFF"/>
        <w:wordWrap w:val="0"/>
        <w:spacing w:before="156" w:after="156" w:line="800" w:lineRule="exact"/>
        <w:ind w:firstLine="560" w:firstLineChars="200"/>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投标人名称（盖章）：</w:t>
      </w:r>
    </w:p>
    <w:p w14:paraId="07D2B554">
      <w:pPr>
        <w:widowControl/>
        <w:shd w:val="clear" w:color="auto" w:fill="FFFFFF"/>
        <w:autoSpaceDE w:val="0"/>
        <w:spacing w:line="480" w:lineRule="auto"/>
        <w:ind w:firstLine="3240"/>
        <w:rPr>
          <w:rFonts w:hint="eastAsia" w:ascii="仿宋" w:hAnsi="仿宋" w:eastAsia="仿宋" w:cs="仿宋"/>
          <w:color w:val="000000" w:themeColor="text1"/>
          <w:sz w:val="28"/>
          <w:szCs w:val="28"/>
          <w:highlight w:val="none"/>
          <w:lang w:val="zh-CN"/>
          <w14:textFill>
            <w14:solidFill>
              <w14:schemeClr w14:val="tx1"/>
            </w14:solidFill>
          </w14:textFill>
        </w:rPr>
      </w:pPr>
    </w:p>
    <w:p w14:paraId="72B7C273">
      <w:pPr>
        <w:widowControl/>
        <w:shd w:val="clear" w:color="auto" w:fill="FFFFFF"/>
        <w:autoSpaceDE w:val="0"/>
        <w:spacing w:before="312" w:after="312" w:line="360" w:lineRule="auto"/>
        <w:jc w:val="center"/>
        <w:rPr>
          <w:rFonts w:hint="eastAsia" w:ascii="仿宋" w:hAnsi="仿宋" w:eastAsia="仿宋" w:cs="仿宋"/>
          <w:color w:val="000000" w:themeColor="text1"/>
          <w:sz w:val="28"/>
          <w:szCs w:val="28"/>
          <w:highlight w:val="none"/>
          <w14:textFill>
            <w14:solidFill>
              <w14:schemeClr w14:val="tx1"/>
            </w14:solidFill>
          </w14:textFill>
        </w:rPr>
        <w:sectPr>
          <w:headerReference r:id="rId7" w:type="default"/>
          <w:footerReference r:id="rId8" w:type="default"/>
          <w:type w:val="nextColumn"/>
          <w:pgSz w:w="11907" w:h="16840"/>
          <w:pgMar w:top="1134" w:right="1134" w:bottom="851" w:left="1134" w:header="851" w:footer="567" w:gutter="0"/>
          <w:cols w:space="720" w:num="1"/>
          <w:docGrid w:linePitch="312" w:charSpace="0"/>
        </w:sectPr>
      </w:pPr>
    </w:p>
    <w:p w14:paraId="1FF46A80">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w:t>
      </w:r>
    </w:p>
    <w:p w14:paraId="0F08E64C">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（正本或副本）</w:t>
      </w:r>
    </w:p>
    <w:p w14:paraId="08114962">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6E65ADEC">
      <w:pPr>
        <w:pStyle w:val="35"/>
        <w:wordWrap w:val="0"/>
        <w:spacing w:line="1000" w:lineRule="exact"/>
        <w:jc w:val="left"/>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招标项目名称：</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浙江常新工贸有限公司新址辅助管理人员外包服务项目</w:t>
      </w:r>
    </w:p>
    <w:p w14:paraId="67183134">
      <w:pPr>
        <w:pStyle w:val="35"/>
        <w:wordWrap w:val="0"/>
        <w:spacing w:line="1000" w:lineRule="exact"/>
        <w:jc w:val="left"/>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 标 编 号：</w:t>
      </w:r>
    </w:p>
    <w:p w14:paraId="3D9C93A8">
      <w:pPr>
        <w:pStyle w:val="35"/>
        <w:wordWrap w:val="0"/>
        <w:spacing w:line="100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投标文件内容：</w:t>
      </w:r>
      <w:r>
        <w:rPr>
          <w:rFonts w:hint="eastAsia" w:ascii="仿宋" w:hAnsi="仿宋" w:eastAsia="仿宋" w:cs="仿宋"/>
          <w:color w:val="000000" w:themeColor="text1"/>
          <w:spacing w:val="20"/>
          <w:sz w:val="28"/>
          <w:szCs w:val="28"/>
          <w:highlight w:val="none"/>
          <w:u w:val="single"/>
          <w14:textFill>
            <w14:solidFill>
              <w14:schemeClr w14:val="tx1"/>
            </w14:solidFill>
          </w14:textFill>
        </w:rPr>
        <w:t xml:space="preserve">        资信技术文件               </w:t>
      </w:r>
    </w:p>
    <w:p w14:paraId="3701BD79">
      <w:pPr>
        <w:pStyle w:val="35"/>
        <w:spacing w:line="1000" w:lineRule="exact"/>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   标   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（盖公章）   </w:t>
      </w:r>
    </w:p>
    <w:p w14:paraId="2BCB88E6">
      <w:pPr>
        <w:pStyle w:val="35"/>
        <w:spacing w:line="1000" w:lineRule="exact"/>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法定代表人或委托代理人：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（签字或盖章）</w:t>
      </w:r>
    </w:p>
    <w:p w14:paraId="19BC5DCF">
      <w:pPr>
        <w:pStyle w:val="35"/>
        <w:spacing w:line="1200" w:lineRule="exact"/>
        <w:jc w:val="center"/>
        <w:rPr>
          <w:rFonts w:hint="eastAsia" w:ascii="仿宋" w:hAnsi="仿宋" w:eastAsia="仿宋" w:cs="仿宋"/>
          <w:color w:val="000000" w:themeColor="text1"/>
          <w:sz w:val="28"/>
          <w:szCs w:val="28"/>
          <w:highlight w:val="none"/>
          <w14:textFill>
            <w14:solidFill>
              <w14:schemeClr w14:val="tx1"/>
            </w14:solidFill>
          </w14:textFill>
        </w:rPr>
      </w:pPr>
    </w:p>
    <w:p w14:paraId="297A9019">
      <w:pPr>
        <w:pStyle w:val="35"/>
        <w:spacing w:line="10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日期：202</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    月    日</w:t>
      </w:r>
    </w:p>
    <w:p w14:paraId="7C273202">
      <w:pPr>
        <w:pStyle w:val="37"/>
        <w:adjustRightInd w:val="0"/>
        <w:snapToGrid w:val="0"/>
        <w:spacing w:line="360" w:lineRule="auto"/>
        <w:ind w:firstLine="3990" w:firstLineChars="1900"/>
        <w:rPr>
          <w:rFonts w:hint="eastAsia" w:ascii="仿宋" w:hAnsi="仿宋" w:eastAsia="仿宋" w:cs="仿宋"/>
          <w:color w:val="000000" w:themeColor="text1"/>
          <w:szCs w:val="21"/>
          <w:highlight w:val="none"/>
          <w14:textFill>
            <w14:solidFill>
              <w14:schemeClr w14:val="tx1"/>
            </w14:solidFill>
          </w14:textFill>
        </w:rPr>
      </w:pPr>
    </w:p>
    <w:p w14:paraId="455BC10E">
      <w:pPr>
        <w:pStyle w:val="37"/>
        <w:adjustRightInd w:val="0"/>
        <w:snapToGrid w:val="0"/>
        <w:spacing w:line="360" w:lineRule="auto"/>
        <w:ind w:firstLine="3990" w:firstLineChars="1900"/>
        <w:rPr>
          <w:rFonts w:hint="eastAsia" w:ascii="仿宋" w:hAnsi="仿宋" w:eastAsia="仿宋" w:cs="仿宋"/>
          <w:color w:val="000000" w:themeColor="text1"/>
          <w:szCs w:val="21"/>
          <w:highlight w:val="none"/>
          <w14:textFill>
            <w14:solidFill>
              <w14:schemeClr w14:val="tx1"/>
            </w14:solidFill>
          </w14:textFill>
        </w:rPr>
      </w:pPr>
    </w:p>
    <w:p w14:paraId="61EFF2B0">
      <w:pPr>
        <w:autoSpaceDE w:val="0"/>
        <w:autoSpaceDN w:val="0"/>
        <w:adjustRightInd w:val="0"/>
        <w:snapToGrid w:val="0"/>
        <w:spacing w:line="360" w:lineRule="auto"/>
        <w:ind w:firstLine="409" w:firstLineChars="195"/>
        <w:jc w:val="center"/>
        <w:textAlignment w:val="bottom"/>
        <w:rPr>
          <w:rFonts w:hint="eastAsia" w:ascii="仿宋" w:hAnsi="仿宋" w:eastAsia="仿宋" w:cs="仿宋"/>
          <w:color w:val="000000" w:themeColor="text1"/>
          <w:szCs w:val="21"/>
          <w:highlight w:val="none"/>
          <w14:textFill>
            <w14:solidFill>
              <w14:schemeClr w14:val="tx1"/>
            </w14:solidFill>
          </w14:textFill>
        </w:rPr>
      </w:pPr>
    </w:p>
    <w:p w14:paraId="7480CD70">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69C408F0">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147C9D55">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2DB20A0C">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2979973D">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16F1CE6C">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69FBB13F">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7F9FA82D">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31DA0D22">
      <w:pPr>
        <w:pStyle w:val="12"/>
        <w:ind w:left="0" w:leftChars="0" w:firstLine="0" w:firstLineChars="0"/>
        <w:rPr>
          <w:rFonts w:hint="eastAsia" w:ascii="仿宋" w:hAnsi="仿宋" w:eastAsia="仿宋" w:cs="仿宋"/>
          <w:color w:val="000000" w:themeColor="text1"/>
          <w:szCs w:val="21"/>
          <w:highlight w:val="none"/>
          <w14:textFill>
            <w14:solidFill>
              <w14:schemeClr w14:val="tx1"/>
            </w14:solidFill>
          </w14:textFill>
        </w:rPr>
      </w:pPr>
    </w:p>
    <w:p w14:paraId="6305E7C3">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3D12E9FD">
      <w:pPr>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br w:type="page"/>
      </w:r>
    </w:p>
    <w:p w14:paraId="14831773">
      <w:pPr>
        <w:widowControl/>
        <w:spacing w:line="420" w:lineRule="atLeast"/>
        <w:jc w:val="center"/>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法定代表人身份证明</w:t>
      </w:r>
    </w:p>
    <w:p w14:paraId="67476E7C">
      <w:pPr>
        <w:widowControl/>
        <w:spacing w:line="420" w:lineRule="atLeast"/>
        <w:jc w:val="center"/>
        <w:rPr>
          <w:rFonts w:hint="eastAsia" w:ascii="仿宋" w:hAnsi="仿宋" w:eastAsia="仿宋" w:cs="仿宋"/>
          <w:b/>
          <w:bCs/>
          <w:color w:val="000000" w:themeColor="text1"/>
          <w:kern w:val="0"/>
          <w:sz w:val="24"/>
          <w:highlight w:val="none"/>
          <w14:textFill>
            <w14:solidFill>
              <w14:schemeClr w14:val="tx1"/>
            </w14:solidFill>
          </w14:textFill>
        </w:rPr>
      </w:pPr>
    </w:p>
    <w:p w14:paraId="77BB5EF8">
      <w:pPr>
        <w:widowControl/>
        <w:spacing w:line="420" w:lineRule="atLeast"/>
        <w:ind w:firstLine="480"/>
        <w:jc w:val="left"/>
        <w:rPr>
          <w:rFonts w:hint="eastAsia" w:ascii="仿宋" w:hAnsi="仿宋" w:eastAsia="仿宋" w:cs="仿宋"/>
          <w:color w:val="000000" w:themeColor="text1"/>
          <w:kern w:val="0"/>
          <w:sz w:val="24"/>
          <w:highlight w:val="none"/>
          <w14:textFill>
            <w14:solidFill>
              <w14:schemeClr w14:val="tx1"/>
            </w14:solidFill>
          </w14:textFill>
        </w:rPr>
      </w:pPr>
    </w:p>
    <w:p w14:paraId="41335A56">
      <w:pPr>
        <w:widowControl/>
        <w:spacing w:line="440" w:lineRule="exact"/>
        <w:ind w:firstLine="1077"/>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单位名称：</w:t>
      </w:r>
    </w:p>
    <w:p w14:paraId="74096BC8">
      <w:pPr>
        <w:widowControl/>
        <w:spacing w:line="440" w:lineRule="exact"/>
        <w:ind w:firstLine="1077"/>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单位性质：</w:t>
      </w:r>
    </w:p>
    <w:p w14:paraId="3C0828F8">
      <w:pPr>
        <w:widowControl/>
        <w:spacing w:line="440" w:lineRule="exact"/>
        <w:ind w:firstLine="1077"/>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    址：</w:t>
      </w:r>
    </w:p>
    <w:p w14:paraId="3758945A">
      <w:pPr>
        <w:widowControl/>
        <w:spacing w:line="440" w:lineRule="exact"/>
        <w:ind w:firstLine="1077"/>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成立时间：年月日</w:t>
      </w:r>
    </w:p>
    <w:p w14:paraId="282CA98F">
      <w:pPr>
        <w:widowControl/>
        <w:spacing w:line="440" w:lineRule="exact"/>
        <w:ind w:firstLine="1077"/>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经营期限：</w:t>
      </w:r>
    </w:p>
    <w:p w14:paraId="49B9E67B">
      <w:pPr>
        <w:widowControl/>
        <w:spacing w:line="440" w:lineRule="exact"/>
        <w:ind w:firstLine="1077"/>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    名：性    别：</w:t>
      </w:r>
    </w:p>
    <w:p w14:paraId="5123BB21">
      <w:pPr>
        <w:widowControl/>
        <w:spacing w:line="440" w:lineRule="exact"/>
        <w:ind w:firstLine="1077"/>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年    龄：职    务：</w:t>
      </w:r>
    </w:p>
    <w:p w14:paraId="31160425">
      <w:pPr>
        <w:widowControl/>
        <w:spacing w:line="440" w:lineRule="exact"/>
        <w:ind w:firstLine="1077"/>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系（投标人名称）的法定代表人。</w:t>
      </w:r>
    </w:p>
    <w:p w14:paraId="0D28A931">
      <w:pPr>
        <w:widowControl/>
        <w:spacing w:line="440" w:lineRule="exact"/>
        <w:ind w:firstLine="1077"/>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37C0760D">
      <w:pPr>
        <w:widowControl/>
        <w:spacing w:line="420" w:lineRule="atLeast"/>
        <w:rPr>
          <w:rFonts w:hint="eastAsia" w:ascii="仿宋" w:hAnsi="仿宋" w:eastAsia="仿宋" w:cs="仿宋"/>
          <w:color w:val="000000" w:themeColor="text1"/>
          <w:kern w:val="0"/>
          <w:szCs w:val="21"/>
          <w:highlight w:val="none"/>
          <w14:textFill>
            <w14:solidFill>
              <w14:schemeClr w14:val="tx1"/>
            </w14:solidFill>
          </w14:textFill>
        </w:rPr>
      </w:pPr>
    </w:p>
    <w:p w14:paraId="09580ABE">
      <w:pPr>
        <w:widowControl/>
        <w:spacing w:line="420" w:lineRule="atLeast"/>
        <w:rPr>
          <w:rFonts w:hint="eastAsia" w:ascii="仿宋" w:hAnsi="仿宋" w:eastAsia="仿宋" w:cs="仿宋"/>
          <w:color w:val="000000" w:themeColor="text1"/>
          <w:kern w:val="0"/>
          <w:szCs w:val="21"/>
          <w:highlight w:val="none"/>
          <w14:textFill>
            <w14:solidFill>
              <w14:schemeClr w14:val="tx1"/>
            </w14:solidFill>
          </w14:textFill>
        </w:rPr>
      </w:pPr>
    </w:p>
    <w:p w14:paraId="7DCE57E7">
      <w:pPr>
        <w:widowControl/>
        <w:spacing w:line="420" w:lineRule="atLeast"/>
        <w:ind w:right="-64" w:firstLine="36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投标人：（盖单位章）</w:t>
      </w:r>
    </w:p>
    <w:p w14:paraId="584581C8">
      <w:pPr>
        <w:widowControl/>
        <w:spacing w:line="420" w:lineRule="atLeast"/>
        <w:ind w:right="420"/>
        <w:rPr>
          <w:rFonts w:hint="eastAsia" w:ascii="仿宋" w:hAnsi="仿宋" w:eastAsia="仿宋" w:cs="仿宋"/>
          <w:color w:val="000000" w:themeColor="text1"/>
          <w:kern w:val="0"/>
          <w:szCs w:val="21"/>
          <w:highlight w:val="none"/>
          <w:u w:val="single"/>
          <w14:textFill>
            <w14:solidFill>
              <w14:schemeClr w14:val="tx1"/>
            </w14:solidFill>
          </w14:textFill>
        </w:rPr>
      </w:pPr>
    </w:p>
    <w:p w14:paraId="5A700110">
      <w:pPr>
        <w:widowControl/>
        <w:spacing w:line="420" w:lineRule="atLeast"/>
        <w:ind w:right="-64" w:firstLine="432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年</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月</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日 </w:t>
      </w:r>
    </w:p>
    <w:p w14:paraId="215FA0E3">
      <w:pPr>
        <w:widowControl/>
        <w:spacing w:line="420" w:lineRule="atLeast"/>
        <w:jc w:val="center"/>
        <w:rPr>
          <w:rFonts w:hint="eastAsia" w:ascii="仿宋" w:hAnsi="仿宋" w:eastAsia="仿宋" w:cs="仿宋"/>
          <w:color w:val="000000" w:themeColor="text1"/>
          <w:kern w:val="0"/>
          <w:szCs w:val="21"/>
          <w:highlight w:val="none"/>
          <w14:textFill>
            <w14:solidFill>
              <w14:schemeClr w14:val="tx1"/>
            </w14:solidFill>
          </w14:textFill>
        </w:rPr>
      </w:pPr>
    </w:p>
    <w:p w14:paraId="23D4AF6A">
      <w:pPr>
        <w:widowControl/>
        <w:spacing w:line="420" w:lineRule="atLeas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 xml:space="preserve">后附法定代表人身份证复印件： </w:t>
      </w:r>
    </w:p>
    <w:p w14:paraId="7FA8938C">
      <w:pPr>
        <w:widowControl/>
        <w:spacing w:line="420" w:lineRule="atLeast"/>
        <w:jc w:val="center"/>
        <w:rPr>
          <w:rFonts w:hint="eastAsia" w:ascii="仿宋" w:hAnsi="仿宋" w:eastAsia="仿宋" w:cs="仿宋"/>
          <w:color w:val="000000" w:themeColor="text1"/>
          <w:kern w:val="0"/>
          <w:szCs w:val="21"/>
          <w:highlight w:val="none"/>
          <w14:textFill>
            <w14:solidFill>
              <w14:schemeClr w14:val="tx1"/>
            </w14:solidFill>
          </w14:textFill>
        </w:rPr>
      </w:pPr>
    </w:p>
    <w:p w14:paraId="33FA5234">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651DB0E0">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0A926E43">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75BBF803">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4B3A98EA">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33DEB3EC">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5C4AA5B0">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5F875C27">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1A1B40C2">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7B4D0573">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0F5E7A8B">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153743F0">
      <w:pPr>
        <w:pStyle w:val="10"/>
        <w:rPr>
          <w:rFonts w:hint="eastAsia" w:ascii="仿宋" w:hAnsi="仿宋" w:eastAsia="仿宋" w:cs="仿宋"/>
          <w:color w:val="000000" w:themeColor="text1"/>
          <w:kern w:val="0"/>
          <w:highlight w:val="none"/>
          <w14:textFill>
            <w14:solidFill>
              <w14:schemeClr w14:val="tx1"/>
            </w14:solidFill>
          </w14:textFill>
        </w:rPr>
      </w:pPr>
    </w:p>
    <w:p w14:paraId="603740D2">
      <w:pPr>
        <w:rPr>
          <w:rFonts w:hint="eastAsia" w:ascii="仿宋" w:hAnsi="仿宋" w:eastAsia="仿宋" w:cs="仿宋"/>
          <w:color w:val="000000" w:themeColor="text1"/>
          <w:kern w:val="0"/>
          <w:sz w:val="24"/>
          <w:highlight w:val="none"/>
          <w14:textFill>
            <w14:solidFill>
              <w14:schemeClr w14:val="tx1"/>
            </w14:solidFill>
          </w14:textFill>
        </w:rPr>
      </w:pPr>
    </w:p>
    <w:p w14:paraId="277ED8FC">
      <w:pPr>
        <w:pStyle w:val="10"/>
        <w:rPr>
          <w:rFonts w:hint="eastAsia" w:ascii="仿宋" w:hAnsi="仿宋" w:eastAsia="仿宋" w:cs="仿宋"/>
          <w:color w:val="000000" w:themeColor="text1"/>
          <w:highlight w:val="none"/>
          <w14:textFill>
            <w14:solidFill>
              <w14:schemeClr w14:val="tx1"/>
            </w14:solidFill>
          </w14:textFill>
        </w:rPr>
      </w:pPr>
    </w:p>
    <w:p w14:paraId="7379E35C">
      <w:pPr>
        <w:widowControl/>
        <w:spacing w:line="420" w:lineRule="atLeast"/>
        <w:jc w:val="center"/>
        <w:rPr>
          <w:rFonts w:hint="eastAsia" w:ascii="仿宋" w:hAnsi="仿宋" w:eastAsia="仿宋" w:cs="仿宋"/>
          <w:color w:val="000000" w:themeColor="text1"/>
          <w:kern w:val="0"/>
          <w:sz w:val="24"/>
          <w:highlight w:val="none"/>
          <w14:textFill>
            <w14:solidFill>
              <w14:schemeClr w14:val="tx1"/>
            </w14:solidFill>
          </w14:textFill>
        </w:rPr>
      </w:pPr>
    </w:p>
    <w:p w14:paraId="43141B60">
      <w:pPr>
        <w:rPr>
          <w:rFonts w:hint="eastAsia" w:ascii="仿宋" w:hAnsi="仿宋" w:eastAsia="仿宋" w:cs="仿宋"/>
          <w:b/>
          <w:bCs/>
          <w:color w:val="000000" w:themeColor="text1"/>
          <w:kern w:val="0"/>
          <w:sz w:val="30"/>
          <w:szCs w:val="30"/>
          <w:highlight w:val="none"/>
          <w14:textFill>
            <w14:solidFill>
              <w14:schemeClr w14:val="tx1"/>
            </w14:solidFill>
          </w14:textFill>
        </w:rPr>
      </w:pPr>
      <w:bookmarkStart w:id="99" w:name="_Toc340777669"/>
      <w:bookmarkEnd w:id="99"/>
      <w:r>
        <w:rPr>
          <w:rFonts w:hint="eastAsia" w:ascii="仿宋" w:hAnsi="仿宋" w:eastAsia="仿宋" w:cs="仿宋"/>
          <w:b/>
          <w:bCs/>
          <w:color w:val="000000" w:themeColor="text1"/>
          <w:kern w:val="0"/>
          <w:sz w:val="30"/>
          <w:szCs w:val="30"/>
          <w:highlight w:val="none"/>
          <w14:textFill>
            <w14:solidFill>
              <w14:schemeClr w14:val="tx1"/>
            </w14:solidFill>
          </w14:textFill>
        </w:rPr>
        <w:br w:type="page"/>
      </w:r>
    </w:p>
    <w:p w14:paraId="722F0CDB">
      <w:pPr>
        <w:widowControl/>
        <w:spacing w:line="420" w:lineRule="atLeast"/>
        <w:jc w:val="center"/>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法定代表人授权委托书</w:t>
      </w:r>
    </w:p>
    <w:p w14:paraId="72292518">
      <w:pPr>
        <w:widowControl/>
        <w:spacing w:line="420" w:lineRule="atLeast"/>
        <w:ind w:left="120"/>
        <w:jc w:val="left"/>
        <w:rPr>
          <w:rFonts w:hint="eastAsia" w:ascii="仿宋" w:hAnsi="仿宋" w:eastAsia="仿宋" w:cs="仿宋"/>
          <w:color w:val="000000" w:themeColor="text1"/>
          <w:kern w:val="0"/>
          <w:sz w:val="24"/>
          <w:highlight w:val="none"/>
          <w14:textFill>
            <w14:solidFill>
              <w14:schemeClr w14:val="tx1"/>
            </w14:solidFill>
          </w14:textFill>
        </w:rPr>
      </w:pPr>
    </w:p>
    <w:p w14:paraId="72A3477D">
      <w:pPr>
        <w:widowControl/>
        <w:spacing w:line="460" w:lineRule="exact"/>
        <w:ind w:left="120" w:firstLine="482"/>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本授权书声明：我（法人代表姓名、职务）是（单位名称）的法人代表，现代表本单位授权（被授权人的姓名、职务）为本单位的合法代理人，就参加（项目名称）（项目编号</w:t>
      </w:r>
      <w:r>
        <w:rPr>
          <w:rFonts w:hint="eastAsia" w:ascii="仿宋" w:hAnsi="仿宋" w:eastAsia="仿宋" w:cs="仿宋"/>
          <w:color w:val="000000" w:themeColor="text1"/>
          <w:szCs w:val="21"/>
          <w:highlight w:val="none"/>
          <w:lang w:val="en-US" w:eastAsia="zh-CN"/>
          <w14:textFill>
            <w14:solidFill>
              <w14:schemeClr w14:val="tx1"/>
            </w14:solidFill>
          </w14:textFill>
        </w:rPr>
        <w:t>S3J-C202504016</w:t>
      </w:r>
      <w:r>
        <w:rPr>
          <w:rFonts w:hint="eastAsia" w:ascii="仿宋" w:hAnsi="仿宋" w:eastAsia="仿宋" w:cs="仿宋"/>
          <w:color w:val="000000" w:themeColor="text1"/>
          <w:kern w:val="0"/>
          <w:szCs w:val="21"/>
          <w:highlight w:val="none"/>
          <w14:textFill>
            <w14:solidFill>
              <w14:schemeClr w14:val="tx1"/>
            </w14:solidFill>
          </w14:textFill>
        </w:rPr>
        <w:t>）公开招标的投标、签订合同以及合同的执行、完成和服务，及以本单位名义处理一切与之有关的事务。</w:t>
      </w:r>
    </w:p>
    <w:p w14:paraId="0BCC45FA">
      <w:pPr>
        <w:widowControl/>
        <w:spacing w:line="460" w:lineRule="exact"/>
        <w:ind w:firstLine="482"/>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本授权书于年月日签字生效，特此声明。</w:t>
      </w:r>
    </w:p>
    <w:p w14:paraId="17930114">
      <w:pPr>
        <w:widowControl/>
        <w:spacing w:line="36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p>
    <w:p w14:paraId="7DEE010D">
      <w:pPr>
        <w:widowControl/>
        <w:spacing w:line="36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p>
    <w:p w14:paraId="674DC9B1">
      <w:pPr>
        <w:widowControl/>
        <w:spacing w:line="36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p>
    <w:p w14:paraId="06D75F09">
      <w:pPr>
        <w:widowControl/>
        <w:spacing w:line="36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p>
    <w:p w14:paraId="6ECFFE1B">
      <w:pPr>
        <w:widowControl/>
        <w:spacing w:line="36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p>
    <w:p w14:paraId="26387BF6">
      <w:pPr>
        <w:widowControl/>
        <w:spacing w:line="48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法人代表（签字）</w:t>
      </w:r>
    </w:p>
    <w:p w14:paraId="72EAD352">
      <w:pPr>
        <w:widowControl/>
        <w:spacing w:line="48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授权委托人（签字）</w:t>
      </w:r>
    </w:p>
    <w:p w14:paraId="0D185559">
      <w:pPr>
        <w:widowControl/>
        <w:spacing w:line="48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单位名称（公章）</w:t>
      </w:r>
    </w:p>
    <w:p w14:paraId="12FA80DB">
      <w:pPr>
        <w:widowControl/>
        <w:spacing w:line="480" w:lineRule="auto"/>
        <w:ind w:firstLine="48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日    期：</w:t>
      </w:r>
    </w:p>
    <w:p w14:paraId="19ED4712">
      <w:pPr>
        <w:widowControl/>
        <w:spacing w:line="360" w:lineRule="auto"/>
        <w:rPr>
          <w:rFonts w:hint="eastAsia" w:ascii="仿宋" w:hAnsi="仿宋" w:eastAsia="仿宋" w:cs="仿宋"/>
          <w:color w:val="000000" w:themeColor="text1"/>
          <w:kern w:val="0"/>
          <w:szCs w:val="21"/>
          <w:highlight w:val="none"/>
          <w14:textFill>
            <w14:solidFill>
              <w14:schemeClr w14:val="tx1"/>
            </w14:solidFill>
          </w14:textFill>
        </w:rPr>
      </w:pPr>
    </w:p>
    <w:p w14:paraId="3970561A">
      <w:pPr>
        <w:widowControl/>
        <w:spacing w:line="360" w:lineRule="auto"/>
        <w:rPr>
          <w:rFonts w:hint="eastAsia" w:ascii="仿宋" w:hAnsi="仿宋" w:eastAsia="仿宋" w:cs="仿宋"/>
          <w:color w:val="000000" w:themeColor="text1"/>
          <w:kern w:val="0"/>
          <w:szCs w:val="21"/>
          <w:highlight w:val="none"/>
          <w14:textFill>
            <w14:solidFill>
              <w14:schemeClr w14:val="tx1"/>
            </w14:solidFill>
          </w14:textFill>
        </w:rPr>
      </w:pPr>
    </w:p>
    <w:p w14:paraId="367282ED">
      <w:pPr>
        <w:widowControl/>
        <w:spacing w:line="360" w:lineRule="auto"/>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后附委托代理人身份证复印件：</w:t>
      </w:r>
    </w:p>
    <w:p w14:paraId="1F381F0A">
      <w:pPr>
        <w:widowControl/>
        <w:spacing w:line="360" w:lineRule="auto"/>
        <w:rPr>
          <w:rFonts w:hint="eastAsia" w:ascii="仿宋" w:hAnsi="仿宋" w:eastAsia="仿宋" w:cs="仿宋"/>
          <w:color w:val="000000" w:themeColor="text1"/>
          <w:kern w:val="0"/>
          <w:szCs w:val="21"/>
          <w:highlight w:val="none"/>
          <w14:textFill>
            <w14:solidFill>
              <w14:schemeClr w14:val="tx1"/>
            </w14:solidFill>
          </w14:textFill>
        </w:rPr>
      </w:pPr>
    </w:p>
    <w:p w14:paraId="76056659">
      <w:pPr>
        <w:adjustRightInd w:val="0"/>
        <w:snapToGrid w:val="0"/>
        <w:spacing w:line="500" w:lineRule="exact"/>
        <w:jc w:val="left"/>
        <w:rPr>
          <w:rFonts w:hint="eastAsia" w:ascii="仿宋" w:hAnsi="仿宋" w:eastAsia="仿宋" w:cs="仿宋"/>
          <w:b/>
          <w:color w:val="000000" w:themeColor="text1"/>
          <w:szCs w:val="21"/>
          <w:highlight w:val="none"/>
          <w14:textFill>
            <w14:solidFill>
              <w14:schemeClr w14:val="tx1"/>
            </w14:solidFill>
          </w14:textFill>
        </w:rPr>
      </w:pPr>
    </w:p>
    <w:p w14:paraId="618CA1BA">
      <w:pPr>
        <w:adjustRightInd w:val="0"/>
        <w:snapToGrid w:val="0"/>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68EB0076">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679F40BF">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1352917A">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582F6CC7">
      <w:pPr>
        <w:pStyle w:val="7"/>
        <w:spacing w:before="120" w:after="120"/>
        <w:rPr>
          <w:rFonts w:hint="eastAsia" w:ascii="仿宋" w:hAnsi="仿宋" w:eastAsia="仿宋" w:cs="仿宋"/>
          <w:color w:val="000000" w:themeColor="text1"/>
          <w:kern w:val="0"/>
          <w:sz w:val="28"/>
          <w:szCs w:val="28"/>
          <w:highlight w:val="none"/>
          <w14:textFill>
            <w14:solidFill>
              <w14:schemeClr w14:val="tx1"/>
            </w14:solidFill>
          </w14:textFill>
        </w:rPr>
      </w:pPr>
    </w:p>
    <w:p w14:paraId="79A1DAB6">
      <w:pPr>
        <w:pStyle w:val="7"/>
        <w:spacing w:before="120" w:after="120"/>
        <w:rPr>
          <w:rFonts w:hint="eastAsia" w:ascii="仿宋" w:hAnsi="仿宋" w:eastAsia="仿宋" w:cs="仿宋"/>
          <w:color w:val="000000" w:themeColor="text1"/>
          <w:kern w:val="0"/>
          <w:sz w:val="28"/>
          <w:szCs w:val="28"/>
          <w:highlight w:val="none"/>
          <w14:textFill>
            <w14:solidFill>
              <w14:schemeClr w14:val="tx1"/>
            </w14:solidFill>
          </w14:textFill>
        </w:rPr>
      </w:pPr>
      <w:bookmarkStart w:id="100" w:name="_Toc29934"/>
      <w:bookmarkStart w:id="101" w:name="_Toc16411"/>
    </w:p>
    <w:p w14:paraId="1328506E">
      <w:pPr>
        <w:rPr>
          <w:rFonts w:hint="eastAsia" w:ascii="仿宋" w:hAnsi="仿宋" w:eastAsia="仿宋" w:cs="仿宋"/>
          <w:color w:val="000000" w:themeColor="text1"/>
          <w:kern w:val="0"/>
          <w:sz w:val="28"/>
          <w:szCs w:val="28"/>
          <w:highlight w:val="none"/>
          <w14:textFill>
            <w14:solidFill>
              <w14:schemeClr w14:val="tx1"/>
            </w14:solidFill>
          </w14:textFill>
        </w:rPr>
      </w:pPr>
    </w:p>
    <w:p w14:paraId="2F990B8A">
      <w:pPr>
        <w:pStyle w:val="10"/>
        <w:ind w:left="560" w:hanging="560"/>
        <w:rPr>
          <w:rFonts w:hint="eastAsia" w:ascii="仿宋" w:hAnsi="仿宋" w:eastAsia="仿宋" w:cs="仿宋"/>
          <w:color w:val="000000" w:themeColor="text1"/>
          <w:kern w:val="0"/>
          <w:sz w:val="28"/>
          <w:szCs w:val="28"/>
          <w:highlight w:val="none"/>
          <w14:textFill>
            <w14:solidFill>
              <w14:schemeClr w14:val="tx1"/>
            </w14:solidFill>
          </w14:textFill>
        </w:rPr>
      </w:pPr>
    </w:p>
    <w:p w14:paraId="77F032AA">
      <w:pPr>
        <w:rPr>
          <w:rFonts w:hint="eastAsia" w:ascii="仿宋" w:hAnsi="仿宋" w:eastAsia="仿宋" w:cs="仿宋"/>
          <w:color w:val="000000" w:themeColor="text1"/>
          <w:kern w:val="0"/>
          <w:sz w:val="28"/>
          <w:szCs w:val="28"/>
          <w:highlight w:val="none"/>
          <w14:textFill>
            <w14:solidFill>
              <w14:schemeClr w14:val="tx1"/>
            </w14:solidFill>
          </w14:textFill>
        </w:rPr>
      </w:pPr>
    </w:p>
    <w:p w14:paraId="1E4E8C2E">
      <w:pPr>
        <w:pStyle w:val="10"/>
        <w:rPr>
          <w:rFonts w:hint="eastAsia" w:ascii="仿宋" w:hAnsi="仿宋" w:eastAsia="仿宋" w:cs="仿宋"/>
          <w:color w:val="000000" w:themeColor="text1"/>
          <w:highlight w:val="none"/>
          <w14:textFill>
            <w14:solidFill>
              <w14:schemeClr w14:val="tx1"/>
            </w14:solidFill>
          </w14:textFill>
        </w:rPr>
      </w:pPr>
    </w:p>
    <w:p w14:paraId="42071D1A">
      <w:pPr>
        <w:pStyle w:val="7"/>
        <w:spacing w:before="120" w:after="120"/>
        <w:jc w:val="center"/>
        <w:rPr>
          <w:rFonts w:hint="eastAsia" w:ascii="仿宋" w:hAnsi="仿宋" w:eastAsia="仿宋" w:cs="仿宋"/>
          <w:color w:val="000000" w:themeColor="text1"/>
          <w:kern w:val="0"/>
          <w:sz w:val="28"/>
          <w:szCs w:val="28"/>
          <w:highlight w:val="none"/>
          <w14:textFill>
            <w14:solidFill>
              <w14:schemeClr w14:val="tx1"/>
            </w14:solidFill>
          </w14:textFill>
        </w:rPr>
      </w:pPr>
    </w:p>
    <w:p w14:paraId="27182A42">
      <w:pPr>
        <w:pStyle w:val="7"/>
        <w:spacing w:before="120" w:after="120"/>
        <w:jc w:val="center"/>
        <w:rPr>
          <w:rFonts w:hint="eastAsia" w:ascii="仿宋" w:hAnsi="仿宋" w:eastAsia="仿宋" w:cs="仿宋"/>
          <w:color w:val="000000" w:themeColor="text1"/>
          <w:kern w:val="0"/>
          <w:sz w:val="28"/>
          <w:szCs w:val="28"/>
          <w:highlight w:val="none"/>
          <w14:textFill>
            <w14:solidFill>
              <w14:schemeClr w14:val="tx1"/>
            </w14:solidFill>
          </w14:textFill>
        </w:rPr>
      </w:pPr>
    </w:p>
    <w:p w14:paraId="20C7359A">
      <w:pPr>
        <w:pStyle w:val="7"/>
        <w:spacing w:before="120" w:after="120"/>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投标保证金银行交款回单复印件</w:t>
      </w:r>
      <w:bookmarkEnd w:id="100"/>
      <w:bookmarkEnd w:id="101"/>
    </w:p>
    <w:p w14:paraId="0B95D7C0">
      <w:pPr>
        <w:rPr>
          <w:rFonts w:hint="eastAsia" w:ascii="仿宋" w:hAnsi="仿宋" w:eastAsia="仿宋" w:cs="仿宋"/>
          <w:color w:val="000000" w:themeColor="text1"/>
          <w:szCs w:val="21"/>
          <w:highlight w:val="none"/>
          <w14:textFill>
            <w14:solidFill>
              <w14:schemeClr w14:val="tx1"/>
            </w14:solidFill>
          </w14:textFill>
        </w:rPr>
      </w:pPr>
    </w:p>
    <w:p w14:paraId="53C279BE">
      <w:pPr>
        <w:rPr>
          <w:rFonts w:hint="eastAsia" w:ascii="仿宋" w:hAnsi="仿宋" w:eastAsia="仿宋" w:cs="仿宋"/>
          <w:color w:val="000000" w:themeColor="text1"/>
          <w:szCs w:val="21"/>
          <w:highlight w:val="none"/>
          <w14:textFill>
            <w14:solidFill>
              <w14:schemeClr w14:val="tx1"/>
            </w14:solidFill>
          </w14:textFill>
        </w:rPr>
      </w:pPr>
    </w:p>
    <w:p w14:paraId="5E35EA7E">
      <w:pPr>
        <w:ind w:firstLine="480"/>
        <w:rPr>
          <w:rFonts w:hint="eastAsia" w:ascii="仿宋" w:hAnsi="仿宋" w:eastAsia="仿宋" w:cs="仿宋"/>
          <w:color w:val="000000" w:themeColor="text1"/>
          <w:szCs w:val="21"/>
          <w:highlight w:val="none"/>
          <w14:textFill>
            <w14:solidFill>
              <w14:schemeClr w14:val="tx1"/>
            </w14:solidFill>
          </w14:textFill>
        </w:rPr>
      </w:pPr>
    </w:p>
    <w:tbl>
      <w:tblPr>
        <w:tblStyle w:val="22"/>
        <w:tblW w:w="8689"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14:paraId="3F03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8689" w:type="dxa"/>
            <w:noWrap/>
          </w:tcPr>
          <w:p w14:paraId="7339194B">
            <w:pPr>
              <w:jc w:val="center"/>
              <w:rPr>
                <w:rFonts w:hint="eastAsia" w:ascii="仿宋" w:hAnsi="仿宋" w:eastAsia="仿宋" w:cs="仿宋"/>
                <w:b/>
                <w:color w:val="000000" w:themeColor="text1"/>
                <w:szCs w:val="21"/>
                <w:highlight w:val="none"/>
                <w14:textFill>
                  <w14:solidFill>
                    <w14:schemeClr w14:val="tx1"/>
                  </w14:solidFill>
                </w14:textFill>
              </w:rPr>
            </w:pPr>
          </w:p>
          <w:p w14:paraId="7375B233">
            <w:pPr>
              <w:jc w:val="center"/>
              <w:rPr>
                <w:rFonts w:hint="eastAsia" w:ascii="仿宋" w:hAnsi="仿宋" w:eastAsia="仿宋" w:cs="仿宋"/>
                <w:b/>
                <w:color w:val="000000" w:themeColor="text1"/>
                <w:szCs w:val="21"/>
                <w:highlight w:val="none"/>
                <w14:textFill>
                  <w14:solidFill>
                    <w14:schemeClr w14:val="tx1"/>
                  </w14:solidFill>
                </w14:textFill>
              </w:rPr>
            </w:pPr>
          </w:p>
          <w:p w14:paraId="4257BA51">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投标保证金银行交款回单复印件</w:t>
            </w:r>
          </w:p>
          <w:p w14:paraId="3A5E4D34">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（能体现投标人单位名称的信息）</w:t>
            </w:r>
          </w:p>
          <w:p w14:paraId="3EDC5AF4">
            <w:pPr>
              <w:jc w:val="center"/>
              <w:rPr>
                <w:rFonts w:hint="eastAsia" w:ascii="仿宋" w:hAnsi="仿宋" w:eastAsia="仿宋" w:cs="仿宋"/>
                <w:b/>
                <w:color w:val="000000" w:themeColor="text1"/>
                <w:szCs w:val="21"/>
                <w:highlight w:val="none"/>
                <w14:textFill>
                  <w14:solidFill>
                    <w14:schemeClr w14:val="tx1"/>
                  </w14:solidFill>
                </w14:textFill>
              </w:rPr>
            </w:pPr>
          </w:p>
          <w:p w14:paraId="1DA752EF">
            <w:pPr>
              <w:jc w:val="center"/>
              <w:rPr>
                <w:rFonts w:hint="eastAsia" w:ascii="仿宋" w:hAnsi="仿宋" w:eastAsia="仿宋" w:cs="仿宋"/>
                <w:b/>
                <w:color w:val="000000" w:themeColor="text1"/>
                <w:szCs w:val="21"/>
                <w:highlight w:val="none"/>
                <w14:textFill>
                  <w14:solidFill>
                    <w14:schemeClr w14:val="tx1"/>
                  </w14:solidFill>
                </w14:textFill>
              </w:rPr>
            </w:pPr>
          </w:p>
        </w:tc>
      </w:tr>
    </w:tbl>
    <w:p w14:paraId="09A22987">
      <w:pPr>
        <w:jc w:val="center"/>
        <w:rPr>
          <w:rFonts w:hint="eastAsia" w:ascii="仿宋" w:hAnsi="仿宋" w:eastAsia="仿宋" w:cs="仿宋"/>
          <w:b/>
          <w:color w:val="000000" w:themeColor="text1"/>
          <w:szCs w:val="21"/>
          <w:highlight w:val="none"/>
          <w14:textFill>
            <w14:solidFill>
              <w14:schemeClr w14:val="tx1"/>
            </w14:solidFill>
          </w14:textFill>
        </w:rPr>
      </w:pPr>
    </w:p>
    <w:p w14:paraId="233A585D">
      <w:pPr>
        <w:ind w:firstLine="413" w:firstLineChars="196"/>
        <w:rPr>
          <w:rFonts w:hint="eastAsia" w:ascii="仿宋" w:hAnsi="仿宋" w:eastAsia="仿宋" w:cs="仿宋"/>
          <w:b/>
          <w:color w:val="000000" w:themeColor="text1"/>
          <w:szCs w:val="21"/>
          <w:highlight w:val="none"/>
          <w14:textFill>
            <w14:solidFill>
              <w14:schemeClr w14:val="tx1"/>
            </w14:solidFill>
          </w14:textFill>
        </w:rPr>
      </w:pPr>
    </w:p>
    <w:p w14:paraId="4FEBAA6A">
      <w:pPr>
        <w:rPr>
          <w:rFonts w:hint="eastAsia" w:ascii="仿宋" w:hAnsi="仿宋" w:eastAsia="仿宋" w:cs="仿宋"/>
          <w:b/>
          <w:color w:val="000000" w:themeColor="text1"/>
          <w:szCs w:val="21"/>
          <w:highlight w:val="none"/>
          <w14:textFill>
            <w14:solidFill>
              <w14:schemeClr w14:val="tx1"/>
            </w14:solidFill>
          </w14:textFill>
        </w:rPr>
      </w:pPr>
    </w:p>
    <w:p w14:paraId="0F1D5330">
      <w:pPr>
        <w:rPr>
          <w:rFonts w:hint="eastAsia" w:ascii="仿宋" w:hAnsi="仿宋" w:eastAsia="仿宋" w:cs="仿宋"/>
          <w:b/>
          <w:color w:val="000000" w:themeColor="text1"/>
          <w:szCs w:val="21"/>
          <w:highlight w:val="none"/>
          <w14:textFill>
            <w14:solidFill>
              <w14:schemeClr w14:val="tx1"/>
            </w14:solidFill>
          </w14:textFill>
        </w:rPr>
      </w:pPr>
    </w:p>
    <w:p w14:paraId="761B670C">
      <w:pPr>
        <w:rPr>
          <w:rFonts w:hint="eastAsia" w:ascii="仿宋" w:hAnsi="仿宋" w:eastAsia="仿宋" w:cs="仿宋"/>
          <w:b/>
          <w:color w:val="000000" w:themeColor="text1"/>
          <w:szCs w:val="21"/>
          <w:highlight w:val="none"/>
          <w14:textFill>
            <w14:solidFill>
              <w14:schemeClr w14:val="tx1"/>
            </w14:solidFill>
          </w14:textFill>
        </w:rPr>
      </w:pPr>
    </w:p>
    <w:p w14:paraId="21BB2D94">
      <w:pPr>
        <w:spacing w:line="5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投标人</w:t>
      </w:r>
      <w:r>
        <w:rPr>
          <w:rFonts w:hint="eastAsia" w:ascii="仿宋" w:hAnsi="仿宋" w:eastAsia="仿宋" w:cs="仿宋"/>
          <w:color w:val="000000" w:themeColor="text1"/>
          <w:szCs w:val="21"/>
          <w:highlight w:val="none"/>
          <w:u w:val="single"/>
          <w14:textFill>
            <w14:solidFill>
              <w14:schemeClr w14:val="tx1"/>
            </w14:solidFill>
          </w14:textFill>
        </w:rPr>
        <w:t>：               （</w:t>
      </w:r>
      <w:r>
        <w:rPr>
          <w:rFonts w:hint="eastAsia" w:ascii="仿宋" w:hAnsi="仿宋" w:eastAsia="仿宋" w:cs="仿宋"/>
          <w:color w:val="000000" w:themeColor="text1"/>
          <w:szCs w:val="21"/>
          <w:highlight w:val="none"/>
          <w14:textFill>
            <w14:solidFill>
              <w14:schemeClr w14:val="tx1"/>
            </w14:solidFill>
          </w14:textFill>
        </w:rPr>
        <w:t>单位公章）</w:t>
      </w:r>
    </w:p>
    <w:p w14:paraId="4A7FD6B3">
      <w:pPr>
        <w:spacing w:line="500" w:lineRule="exact"/>
        <w:ind w:firstLine="3570" w:firstLineChars="1700"/>
        <w:jc w:val="left"/>
        <w:rPr>
          <w:rFonts w:hint="eastAsia" w:ascii="仿宋" w:hAnsi="仿宋" w:eastAsia="仿宋" w:cs="仿宋"/>
          <w:color w:val="000000" w:themeColor="text1"/>
          <w:szCs w:val="21"/>
          <w:highlight w:val="none"/>
          <w14:textFill>
            <w14:solidFill>
              <w14:schemeClr w14:val="tx1"/>
            </w14:solidFill>
          </w14:textFill>
        </w:rPr>
      </w:pPr>
    </w:p>
    <w:p w14:paraId="76F6A8C5">
      <w:pPr>
        <w:spacing w:line="500" w:lineRule="exact"/>
        <w:ind w:firstLine="3045" w:firstLineChars="14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法定代表人或委托代理人（签名或盖章）：</w:t>
      </w:r>
    </w:p>
    <w:p w14:paraId="400A94F7">
      <w:pPr>
        <w:spacing w:line="360" w:lineRule="auto"/>
        <w:ind w:firstLine="2205" w:firstLineChars="1050"/>
        <w:jc w:val="left"/>
        <w:rPr>
          <w:rFonts w:hint="eastAsia" w:ascii="仿宋" w:hAnsi="仿宋" w:eastAsia="仿宋" w:cs="仿宋"/>
          <w:color w:val="000000" w:themeColor="text1"/>
          <w:szCs w:val="21"/>
          <w:highlight w:val="none"/>
          <w14:textFill>
            <w14:solidFill>
              <w14:schemeClr w14:val="tx1"/>
            </w14:solidFill>
          </w14:textFill>
        </w:rPr>
      </w:pPr>
    </w:p>
    <w:p w14:paraId="4E3C185A">
      <w:pPr>
        <w:spacing w:line="360" w:lineRule="auto"/>
        <w:ind w:firstLine="2205" w:firstLineChars="105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w:t>
      </w:r>
    </w:p>
    <w:p w14:paraId="0C62FD1B">
      <w:pPr>
        <w:pStyle w:val="13"/>
        <w:adjustRightInd w:val="0"/>
        <w:snapToGrid w:val="0"/>
        <w:spacing w:line="360" w:lineRule="auto"/>
        <w:rPr>
          <w:rFonts w:hint="eastAsia" w:ascii="仿宋" w:hAnsi="仿宋" w:eastAsia="仿宋" w:cs="仿宋"/>
          <w:b/>
          <w:color w:val="000000" w:themeColor="text1"/>
          <w:highlight w:val="none"/>
          <w14:textFill>
            <w14:solidFill>
              <w14:schemeClr w14:val="tx1"/>
            </w14:solidFill>
          </w14:textFill>
        </w:rPr>
      </w:pPr>
    </w:p>
    <w:p w14:paraId="12D66B3D">
      <w:pPr>
        <w:pStyle w:val="13"/>
        <w:adjustRightInd w:val="0"/>
        <w:snapToGrid w:val="0"/>
        <w:spacing w:line="360" w:lineRule="auto"/>
        <w:rPr>
          <w:rFonts w:hint="eastAsia" w:ascii="仿宋" w:hAnsi="仿宋" w:eastAsia="仿宋" w:cs="仿宋"/>
          <w:b/>
          <w:color w:val="000000" w:themeColor="text1"/>
          <w:highlight w:val="none"/>
          <w14:textFill>
            <w14:solidFill>
              <w14:schemeClr w14:val="tx1"/>
            </w14:solidFill>
          </w14:textFill>
        </w:rPr>
      </w:pPr>
    </w:p>
    <w:p w14:paraId="73A769CF">
      <w:pPr>
        <w:pStyle w:val="13"/>
        <w:adjustRightInd w:val="0"/>
        <w:snapToGrid w:val="0"/>
        <w:spacing w:line="360" w:lineRule="auto"/>
        <w:jc w:val="center"/>
        <w:rPr>
          <w:rFonts w:hint="eastAsia" w:ascii="仿宋" w:hAnsi="仿宋" w:eastAsia="仿宋" w:cs="仿宋"/>
          <w:b/>
          <w:color w:val="000000" w:themeColor="text1"/>
          <w:spacing w:val="60"/>
          <w:highlight w:val="none"/>
          <w14:textFill>
            <w14:solidFill>
              <w14:schemeClr w14:val="tx1"/>
            </w14:solidFill>
          </w14:textFill>
        </w:rPr>
      </w:pPr>
    </w:p>
    <w:p w14:paraId="4E4A8DB8">
      <w:pPr>
        <w:pStyle w:val="13"/>
        <w:adjustRightInd w:val="0"/>
        <w:snapToGrid w:val="0"/>
        <w:spacing w:line="360" w:lineRule="auto"/>
        <w:jc w:val="center"/>
        <w:rPr>
          <w:rFonts w:hint="eastAsia" w:ascii="仿宋" w:hAnsi="仿宋" w:eastAsia="仿宋" w:cs="仿宋"/>
          <w:b/>
          <w:color w:val="000000" w:themeColor="text1"/>
          <w:spacing w:val="60"/>
          <w:highlight w:val="none"/>
          <w14:textFill>
            <w14:solidFill>
              <w14:schemeClr w14:val="tx1"/>
            </w14:solidFill>
          </w14:textFill>
        </w:rPr>
      </w:pPr>
    </w:p>
    <w:p w14:paraId="544A8E5F">
      <w:pPr>
        <w:pStyle w:val="13"/>
        <w:adjustRightInd w:val="0"/>
        <w:snapToGrid w:val="0"/>
        <w:spacing w:line="360" w:lineRule="auto"/>
        <w:jc w:val="center"/>
        <w:rPr>
          <w:rFonts w:hint="eastAsia" w:ascii="仿宋" w:hAnsi="仿宋" w:eastAsia="仿宋" w:cs="仿宋"/>
          <w:b/>
          <w:color w:val="000000" w:themeColor="text1"/>
          <w:spacing w:val="60"/>
          <w:highlight w:val="none"/>
          <w14:textFill>
            <w14:solidFill>
              <w14:schemeClr w14:val="tx1"/>
            </w14:solidFill>
          </w14:textFill>
        </w:rPr>
      </w:pPr>
    </w:p>
    <w:p w14:paraId="794AC840">
      <w:pPr>
        <w:pStyle w:val="13"/>
        <w:adjustRightInd w:val="0"/>
        <w:snapToGrid w:val="0"/>
        <w:spacing w:line="360" w:lineRule="auto"/>
        <w:jc w:val="center"/>
        <w:rPr>
          <w:rFonts w:hint="eastAsia" w:ascii="仿宋" w:hAnsi="仿宋" w:eastAsia="仿宋" w:cs="仿宋"/>
          <w:b/>
          <w:color w:val="000000" w:themeColor="text1"/>
          <w:spacing w:val="60"/>
          <w:highlight w:val="none"/>
          <w14:textFill>
            <w14:solidFill>
              <w14:schemeClr w14:val="tx1"/>
            </w14:solidFill>
          </w14:textFill>
        </w:rPr>
      </w:pPr>
    </w:p>
    <w:p w14:paraId="2F56B1B7">
      <w:pPr>
        <w:pStyle w:val="13"/>
        <w:adjustRightInd w:val="0"/>
        <w:snapToGrid w:val="0"/>
        <w:spacing w:line="360" w:lineRule="auto"/>
        <w:jc w:val="center"/>
        <w:rPr>
          <w:rFonts w:hint="eastAsia" w:ascii="仿宋" w:hAnsi="仿宋" w:eastAsia="仿宋" w:cs="仿宋"/>
          <w:b/>
          <w:color w:val="000000" w:themeColor="text1"/>
          <w:spacing w:val="60"/>
          <w:highlight w:val="none"/>
          <w14:textFill>
            <w14:solidFill>
              <w14:schemeClr w14:val="tx1"/>
            </w14:solidFill>
          </w14:textFill>
        </w:rPr>
      </w:pPr>
    </w:p>
    <w:p w14:paraId="76494C3A">
      <w:pPr>
        <w:pStyle w:val="13"/>
        <w:adjustRightInd w:val="0"/>
        <w:snapToGrid w:val="0"/>
        <w:spacing w:line="360" w:lineRule="auto"/>
        <w:rPr>
          <w:rFonts w:hint="eastAsia" w:ascii="仿宋" w:hAnsi="仿宋" w:eastAsia="仿宋" w:cs="仿宋"/>
          <w:b/>
          <w:color w:val="000000" w:themeColor="text1"/>
          <w:spacing w:val="60"/>
          <w:highlight w:val="none"/>
          <w14:textFill>
            <w14:solidFill>
              <w14:schemeClr w14:val="tx1"/>
            </w14:solidFill>
          </w14:textFill>
        </w:rPr>
      </w:pPr>
    </w:p>
    <w:p w14:paraId="50352D88">
      <w:pPr>
        <w:pStyle w:val="13"/>
        <w:adjustRightInd w:val="0"/>
        <w:snapToGrid w:val="0"/>
        <w:spacing w:line="360" w:lineRule="auto"/>
        <w:jc w:val="center"/>
        <w:outlineLvl w:val="0"/>
        <w:rPr>
          <w:rFonts w:hint="eastAsia" w:ascii="仿宋" w:hAnsi="仿宋" w:eastAsia="仿宋" w:cs="仿宋"/>
          <w:b/>
          <w:color w:val="000000" w:themeColor="text1"/>
          <w:spacing w:val="60"/>
          <w:highlight w:val="none"/>
          <w14:textFill>
            <w14:solidFill>
              <w14:schemeClr w14:val="tx1"/>
            </w14:solidFill>
          </w14:textFill>
        </w:rPr>
      </w:pPr>
      <w:bookmarkStart w:id="102" w:name="_Toc1570"/>
      <w:bookmarkStart w:id="103" w:name="_Toc23062"/>
      <w:r>
        <w:rPr>
          <w:rFonts w:hint="eastAsia" w:ascii="仿宋" w:hAnsi="仿宋" w:eastAsia="仿宋" w:cs="仿宋"/>
          <w:b/>
          <w:color w:val="000000" w:themeColor="text1"/>
          <w:spacing w:val="60"/>
          <w:highlight w:val="none"/>
          <w14:textFill>
            <w14:solidFill>
              <w14:schemeClr w14:val="tx1"/>
            </w14:solidFill>
          </w14:textFill>
        </w:rPr>
        <w:br w:type="page"/>
      </w:r>
      <w:r>
        <w:rPr>
          <w:rFonts w:hint="eastAsia" w:ascii="仿宋" w:hAnsi="仿宋" w:eastAsia="仿宋" w:cs="仿宋"/>
          <w:b/>
          <w:color w:val="000000" w:themeColor="text1"/>
          <w:spacing w:val="60"/>
          <w:sz w:val="28"/>
          <w:szCs w:val="28"/>
          <w:highlight w:val="none"/>
          <w14:textFill>
            <w14:solidFill>
              <w14:schemeClr w14:val="tx1"/>
            </w14:solidFill>
          </w14:textFill>
        </w:rPr>
        <w:t>投标人基本情况表</w:t>
      </w:r>
      <w:bookmarkEnd w:id="102"/>
      <w:bookmarkEnd w:id="10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3"/>
        <w:gridCol w:w="1469"/>
        <w:gridCol w:w="854"/>
        <w:gridCol w:w="1453"/>
        <w:gridCol w:w="1005"/>
        <w:gridCol w:w="1656"/>
      </w:tblGrid>
      <w:tr w14:paraId="3E6C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658" w:type="dxa"/>
            <w:noWrap w:val="0"/>
            <w:vAlign w:val="center"/>
          </w:tcPr>
          <w:p w14:paraId="7263D015">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投标人名称</w:t>
            </w:r>
          </w:p>
        </w:tc>
        <w:tc>
          <w:tcPr>
            <w:tcW w:w="7490" w:type="dxa"/>
            <w:gridSpan w:val="6"/>
            <w:noWrap w:val="0"/>
            <w:vAlign w:val="center"/>
          </w:tcPr>
          <w:p w14:paraId="58E93022">
            <w:pPr>
              <w:pStyle w:val="41"/>
              <w:rPr>
                <w:rFonts w:hint="eastAsia" w:ascii="仿宋" w:hAnsi="仿宋" w:eastAsia="仿宋" w:cs="仿宋"/>
                <w:sz w:val="21"/>
                <w:szCs w:val="21"/>
                <w:lang w:val="en-US" w:eastAsia="zh-CN"/>
              </w:rPr>
            </w:pPr>
          </w:p>
        </w:tc>
      </w:tr>
      <w:tr w14:paraId="0C19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658" w:type="dxa"/>
            <w:noWrap w:val="0"/>
            <w:vAlign w:val="center"/>
          </w:tcPr>
          <w:p w14:paraId="27CC91A1">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注册地址</w:t>
            </w:r>
          </w:p>
        </w:tc>
        <w:tc>
          <w:tcPr>
            <w:tcW w:w="3376" w:type="dxa"/>
            <w:gridSpan w:val="3"/>
            <w:noWrap w:val="0"/>
            <w:vAlign w:val="center"/>
          </w:tcPr>
          <w:p w14:paraId="2DF5F4D8">
            <w:pPr>
              <w:pStyle w:val="41"/>
              <w:rPr>
                <w:rFonts w:hint="eastAsia" w:ascii="仿宋" w:hAnsi="仿宋" w:eastAsia="仿宋" w:cs="仿宋"/>
                <w:sz w:val="21"/>
                <w:szCs w:val="21"/>
                <w:lang w:val="en-US" w:eastAsia="zh-CN"/>
              </w:rPr>
            </w:pPr>
          </w:p>
        </w:tc>
        <w:tc>
          <w:tcPr>
            <w:tcW w:w="1453" w:type="dxa"/>
            <w:noWrap w:val="0"/>
            <w:vAlign w:val="center"/>
          </w:tcPr>
          <w:p w14:paraId="5EBDA1C7">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邮政编码</w:t>
            </w:r>
          </w:p>
        </w:tc>
        <w:tc>
          <w:tcPr>
            <w:tcW w:w="2661" w:type="dxa"/>
            <w:gridSpan w:val="2"/>
            <w:noWrap w:val="0"/>
            <w:vAlign w:val="center"/>
          </w:tcPr>
          <w:p w14:paraId="6E2AFC25">
            <w:pPr>
              <w:pStyle w:val="41"/>
              <w:rPr>
                <w:rFonts w:hint="eastAsia" w:ascii="仿宋" w:hAnsi="仿宋" w:eastAsia="仿宋" w:cs="仿宋"/>
                <w:sz w:val="21"/>
                <w:szCs w:val="21"/>
                <w:lang w:val="en-US" w:eastAsia="zh-CN"/>
              </w:rPr>
            </w:pPr>
          </w:p>
        </w:tc>
      </w:tr>
      <w:tr w14:paraId="1EB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658" w:type="dxa"/>
            <w:vMerge w:val="restart"/>
            <w:noWrap w:val="0"/>
            <w:vAlign w:val="center"/>
          </w:tcPr>
          <w:p w14:paraId="6CBAB605">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联系方式</w:t>
            </w:r>
          </w:p>
        </w:tc>
        <w:tc>
          <w:tcPr>
            <w:tcW w:w="1053" w:type="dxa"/>
            <w:noWrap w:val="0"/>
            <w:vAlign w:val="center"/>
          </w:tcPr>
          <w:p w14:paraId="4F171D84">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联系人</w:t>
            </w:r>
          </w:p>
        </w:tc>
        <w:tc>
          <w:tcPr>
            <w:tcW w:w="2323" w:type="dxa"/>
            <w:gridSpan w:val="2"/>
            <w:noWrap w:val="0"/>
            <w:vAlign w:val="center"/>
          </w:tcPr>
          <w:p w14:paraId="077F8A82">
            <w:pPr>
              <w:pStyle w:val="41"/>
              <w:rPr>
                <w:rFonts w:hint="eastAsia" w:ascii="仿宋" w:hAnsi="仿宋" w:eastAsia="仿宋" w:cs="仿宋"/>
                <w:sz w:val="21"/>
                <w:szCs w:val="21"/>
                <w:lang w:val="en-US" w:eastAsia="zh-CN"/>
              </w:rPr>
            </w:pPr>
          </w:p>
        </w:tc>
        <w:tc>
          <w:tcPr>
            <w:tcW w:w="1453" w:type="dxa"/>
            <w:noWrap w:val="0"/>
            <w:vAlign w:val="center"/>
          </w:tcPr>
          <w:p w14:paraId="0F08BE61">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电话</w:t>
            </w:r>
          </w:p>
        </w:tc>
        <w:tc>
          <w:tcPr>
            <w:tcW w:w="2661" w:type="dxa"/>
            <w:gridSpan w:val="2"/>
            <w:noWrap w:val="0"/>
            <w:vAlign w:val="center"/>
          </w:tcPr>
          <w:p w14:paraId="4793FEEB">
            <w:pPr>
              <w:pStyle w:val="41"/>
              <w:rPr>
                <w:rFonts w:hint="eastAsia" w:ascii="仿宋" w:hAnsi="仿宋" w:eastAsia="仿宋" w:cs="仿宋"/>
                <w:sz w:val="21"/>
                <w:szCs w:val="21"/>
                <w:lang w:val="en-US" w:eastAsia="zh-CN"/>
              </w:rPr>
            </w:pPr>
          </w:p>
        </w:tc>
      </w:tr>
      <w:tr w14:paraId="3E3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658" w:type="dxa"/>
            <w:vMerge w:val="continue"/>
            <w:noWrap w:val="0"/>
            <w:vAlign w:val="center"/>
          </w:tcPr>
          <w:p w14:paraId="1B6A2C27">
            <w:pPr>
              <w:pStyle w:val="41"/>
              <w:rPr>
                <w:rFonts w:hint="eastAsia" w:ascii="仿宋" w:hAnsi="仿宋" w:eastAsia="仿宋" w:cs="仿宋"/>
                <w:sz w:val="21"/>
                <w:szCs w:val="21"/>
                <w:lang w:val="en-US" w:eastAsia="zh-CN"/>
              </w:rPr>
            </w:pPr>
          </w:p>
        </w:tc>
        <w:tc>
          <w:tcPr>
            <w:tcW w:w="1053" w:type="dxa"/>
            <w:noWrap w:val="0"/>
            <w:vAlign w:val="center"/>
          </w:tcPr>
          <w:p w14:paraId="1E89F5BC">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传 真</w:t>
            </w:r>
          </w:p>
        </w:tc>
        <w:tc>
          <w:tcPr>
            <w:tcW w:w="2323" w:type="dxa"/>
            <w:gridSpan w:val="2"/>
            <w:noWrap w:val="0"/>
            <w:vAlign w:val="center"/>
          </w:tcPr>
          <w:p w14:paraId="6CC3ED64">
            <w:pPr>
              <w:pStyle w:val="41"/>
              <w:rPr>
                <w:rFonts w:hint="eastAsia" w:ascii="仿宋" w:hAnsi="仿宋" w:eastAsia="仿宋" w:cs="仿宋"/>
                <w:sz w:val="21"/>
                <w:szCs w:val="21"/>
                <w:lang w:val="en-US" w:eastAsia="zh-CN"/>
              </w:rPr>
            </w:pPr>
          </w:p>
        </w:tc>
        <w:tc>
          <w:tcPr>
            <w:tcW w:w="1453" w:type="dxa"/>
            <w:noWrap w:val="0"/>
            <w:vAlign w:val="center"/>
          </w:tcPr>
          <w:p w14:paraId="60AE7D19">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网址</w:t>
            </w:r>
          </w:p>
        </w:tc>
        <w:tc>
          <w:tcPr>
            <w:tcW w:w="2661" w:type="dxa"/>
            <w:gridSpan w:val="2"/>
            <w:noWrap w:val="0"/>
            <w:vAlign w:val="center"/>
          </w:tcPr>
          <w:p w14:paraId="144CFCF9">
            <w:pPr>
              <w:pStyle w:val="41"/>
              <w:rPr>
                <w:rFonts w:hint="eastAsia" w:ascii="仿宋" w:hAnsi="仿宋" w:eastAsia="仿宋" w:cs="仿宋"/>
                <w:sz w:val="21"/>
                <w:szCs w:val="21"/>
                <w:lang w:val="en-US" w:eastAsia="zh-CN"/>
              </w:rPr>
            </w:pPr>
          </w:p>
        </w:tc>
      </w:tr>
      <w:tr w14:paraId="563D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658" w:type="dxa"/>
            <w:noWrap w:val="0"/>
            <w:vAlign w:val="center"/>
          </w:tcPr>
          <w:p w14:paraId="08DA57F2">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w:t>
            </w:r>
          </w:p>
        </w:tc>
        <w:tc>
          <w:tcPr>
            <w:tcW w:w="1053" w:type="dxa"/>
            <w:noWrap w:val="0"/>
            <w:vAlign w:val="center"/>
          </w:tcPr>
          <w:p w14:paraId="17A546F9">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c>
          <w:tcPr>
            <w:tcW w:w="1469" w:type="dxa"/>
            <w:noWrap w:val="0"/>
            <w:vAlign w:val="center"/>
          </w:tcPr>
          <w:p w14:paraId="5A135D59">
            <w:pPr>
              <w:pStyle w:val="41"/>
              <w:rPr>
                <w:rFonts w:hint="eastAsia" w:ascii="仿宋" w:hAnsi="仿宋" w:eastAsia="仿宋" w:cs="仿宋"/>
                <w:sz w:val="21"/>
                <w:szCs w:val="21"/>
                <w:lang w:val="en-US" w:eastAsia="zh-CN"/>
              </w:rPr>
            </w:pPr>
          </w:p>
        </w:tc>
        <w:tc>
          <w:tcPr>
            <w:tcW w:w="854" w:type="dxa"/>
            <w:noWrap w:val="0"/>
            <w:vAlign w:val="center"/>
          </w:tcPr>
          <w:p w14:paraId="67CC8FC6">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职称</w:t>
            </w:r>
          </w:p>
        </w:tc>
        <w:tc>
          <w:tcPr>
            <w:tcW w:w="1453" w:type="dxa"/>
            <w:noWrap w:val="0"/>
            <w:vAlign w:val="center"/>
          </w:tcPr>
          <w:p w14:paraId="2FDCA1C4">
            <w:pPr>
              <w:pStyle w:val="41"/>
              <w:rPr>
                <w:rFonts w:hint="eastAsia" w:ascii="仿宋" w:hAnsi="仿宋" w:eastAsia="仿宋" w:cs="仿宋"/>
                <w:sz w:val="21"/>
                <w:szCs w:val="21"/>
                <w:lang w:val="en-US" w:eastAsia="zh-CN"/>
              </w:rPr>
            </w:pPr>
          </w:p>
        </w:tc>
        <w:tc>
          <w:tcPr>
            <w:tcW w:w="1005" w:type="dxa"/>
            <w:noWrap w:val="0"/>
            <w:vAlign w:val="center"/>
          </w:tcPr>
          <w:p w14:paraId="5FECA39D">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电话</w:t>
            </w:r>
          </w:p>
        </w:tc>
        <w:tc>
          <w:tcPr>
            <w:tcW w:w="1656" w:type="dxa"/>
            <w:noWrap w:val="0"/>
            <w:vAlign w:val="center"/>
          </w:tcPr>
          <w:p w14:paraId="0112A2F5">
            <w:pPr>
              <w:pStyle w:val="41"/>
              <w:rPr>
                <w:rFonts w:hint="eastAsia" w:ascii="仿宋" w:hAnsi="仿宋" w:eastAsia="仿宋" w:cs="仿宋"/>
                <w:sz w:val="21"/>
                <w:szCs w:val="21"/>
                <w:lang w:val="en-US" w:eastAsia="zh-CN"/>
              </w:rPr>
            </w:pPr>
          </w:p>
        </w:tc>
      </w:tr>
      <w:tr w14:paraId="3CEA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658" w:type="dxa"/>
            <w:noWrap w:val="0"/>
            <w:vAlign w:val="center"/>
          </w:tcPr>
          <w:p w14:paraId="3B13DB96">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营业执照号</w:t>
            </w:r>
          </w:p>
        </w:tc>
        <w:tc>
          <w:tcPr>
            <w:tcW w:w="2522" w:type="dxa"/>
            <w:gridSpan w:val="2"/>
            <w:noWrap w:val="0"/>
            <w:vAlign w:val="center"/>
          </w:tcPr>
          <w:p w14:paraId="12C841A6">
            <w:pPr>
              <w:pStyle w:val="41"/>
              <w:rPr>
                <w:rFonts w:hint="eastAsia" w:ascii="仿宋" w:hAnsi="仿宋" w:eastAsia="仿宋" w:cs="仿宋"/>
                <w:sz w:val="21"/>
                <w:szCs w:val="21"/>
                <w:lang w:val="en-US" w:eastAsia="zh-CN"/>
              </w:rPr>
            </w:pPr>
          </w:p>
        </w:tc>
        <w:tc>
          <w:tcPr>
            <w:tcW w:w="2307" w:type="dxa"/>
            <w:gridSpan w:val="2"/>
            <w:noWrap w:val="0"/>
            <w:vAlign w:val="center"/>
          </w:tcPr>
          <w:p w14:paraId="7B317249">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注册资金（万元）</w:t>
            </w:r>
          </w:p>
        </w:tc>
        <w:tc>
          <w:tcPr>
            <w:tcW w:w="2661" w:type="dxa"/>
            <w:gridSpan w:val="2"/>
            <w:noWrap w:val="0"/>
            <w:vAlign w:val="center"/>
          </w:tcPr>
          <w:p w14:paraId="36AD7C40">
            <w:pPr>
              <w:pStyle w:val="41"/>
              <w:rPr>
                <w:rFonts w:hint="eastAsia" w:ascii="仿宋" w:hAnsi="仿宋" w:eastAsia="仿宋" w:cs="仿宋"/>
                <w:sz w:val="21"/>
                <w:szCs w:val="21"/>
                <w:lang w:val="en-US" w:eastAsia="zh-CN"/>
              </w:rPr>
            </w:pPr>
          </w:p>
        </w:tc>
      </w:tr>
      <w:tr w14:paraId="527C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58" w:type="dxa"/>
            <w:noWrap w:val="0"/>
            <w:vAlign w:val="center"/>
          </w:tcPr>
          <w:p w14:paraId="2FF211D2">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开户银行</w:t>
            </w:r>
          </w:p>
        </w:tc>
        <w:tc>
          <w:tcPr>
            <w:tcW w:w="2522" w:type="dxa"/>
            <w:gridSpan w:val="2"/>
            <w:noWrap w:val="0"/>
            <w:vAlign w:val="center"/>
          </w:tcPr>
          <w:p w14:paraId="6968F825">
            <w:pPr>
              <w:pStyle w:val="41"/>
              <w:rPr>
                <w:rFonts w:hint="eastAsia" w:ascii="仿宋" w:hAnsi="仿宋" w:eastAsia="仿宋" w:cs="仿宋"/>
                <w:sz w:val="21"/>
                <w:szCs w:val="21"/>
                <w:lang w:val="en-US" w:eastAsia="zh-CN"/>
              </w:rPr>
            </w:pPr>
          </w:p>
        </w:tc>
        <w:tc>
          <w:tcPr>
            <w:tcW w:w="2307" w:type="dxa"/>
            <w:gridSpan w:val="2"/>
            <w:noWrap w:val="0"/>
            <w:vAlign w:val="center"/>
          </w:tcPr>
          <w:p w14:paraId="5E8BB74B">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帐号</w:t>
            </w:r>
          </w:p>
        </w:tc>
        <w:tc>
          <w:tcPr>
            <w:tcW w:w="2661" w:type="dxa"/>
            <w:gridSpan w:val="2"/>
            <w:noWrap w:val="0"/>
            <w:vAlign w:val="center"/>
          </w:tcPr>
          <w:p w14:paraId="77C0591B">
            <w:pPr>
              <w:pStyle w:val="41"/>
              <w:rPr>
                <w:rFonts w:hint="eastAsia" w:ascii="仿宋" w:hAnsi="仿宋" w:eastAsia="仿宋" w:cs="仿宋"/>
                <w:sz w:val="21"/>
                <w:szCs w:val="21"/>
                <w:lang w:val="en-US" w:eastAsia="zh-CN"/>
              </w:rPr>
            </w:pPr>
          </w:p>
        </w:tc>
      </w:tr>
      <w:tr w14:paraId="678E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658" w:type="dxa"/>
            <w:noWrap w:val="0"/>
            <w:vAlign w:val="center"/>
          </w:tcPr>
          <w:p w14:paraId="114D731D">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企业实力</w:t>
            </w:r>
          </w:p>
        </w:tc>
        <w:tc>
          <w:tcPr>
            <w:tcW w:w="7490" w:type="dxa"/>
            <w:gridSpan w:val="6"/>
            <w:noWrap w:val="0"/>
            <w:vAlign w:val="center"/>
          </w:tcPr>
          <w:p w14:paraId="59A1131E">
            <w:pPr>
              <w:pStyle w:val="41"/>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（投标人自述，包括企业体系、企业信用、所获荣誉等，若有须提供相关证明并后附复印件加盖公章）</w:t>
            </w:r>
          </w:p>
        </w:tc>
      </w:tr>
      <w:tr w14:paraId="6197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658" w:type="dxa"/>
            <w:noWrap w:val="0"/>
            <w:vAlign w:val="center"/>
          </w:tcPr>
          <w:p w14:paraId="6A925ABA">
            <w:pPr>
              <w:pStyle w:val="4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c>
          <w:tcPr>
            <w:tcW w:w="7490" w:type="dxa"/>
            <w:gridSpan w:val="6"/>
            <w:noWrap w:val="0"/>
            <w:vAlign w:val="center"/>
          </w:tcPr>
          <w:p w14:paraId="5B111632">
            <w:pPr>
              <w:pStyle w:val="41"/>
              <w:jc w:val="left"/>
              <w:rPr>
                <w:rFonts w:hint="eastAsia" w:ascii="仿宋" w:hAnsi="仿宋" w:eastAsia="仿宋" w:cs="仿宋"/>
                <w:sz w:val="21"/>
                <w:szCs w:val="21"/>
                <w:lang w:val="en-US" w:eastAsia="zh-CN"/>
              </w:rPr>
            </w:pPr>
          </w:p>
        </w:tc>
      </w:tr>
      <w:tr w14:paraId="0F52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9148" w:type="dxa"/>
            <w:gridSpan w:val="7"/>
            <w:noWrap w:val="0"/>
            <w:vAlign w:val="center"/>
          </w:tcPr>
          <w:p w14:paraId="1BC7C7B9">
            <w:pPr>
              <w:jc w:val="left"/>
              <w:rPr>
                <w:rFonts w:hint="eastAsia" w:ascii="仿宋" w:hAnsi="仿宋" w:eastAsia="仿宋" w:cs="仿宋"/>
                <w:sz w:val="21"/>
                <w:szCs w:val="21"/>
              </w:rPr>
            </w:pPr>
            <w:r>
              <w:rPr>
                <w:rFonts w:hint="eastAsia" w:ascii="仿宋" w:hAnsi="仿宋" w:eastAsia="仿宋" w:cs="仿宋"/>
                <w:sz w:val="21"/>
                <w:szCs w:val="21"/>
              </w:rPr>
              <w:t>我方承诺：</w:t>
            </w:r>
          </w:p>
          <w:p w14:paraId="66BB5F7E">
            <w:pPr>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具有独立承担民事责任的能力；</w:t>
            </w:r>
          </w:p>
          <w:p w14:paraId="161A99EE">
            <w:pPr>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具有履行合同所必需的设备、产品和专业技术能力； </w:t>
            </w:r>
          </w:p>
          <w:p w14:paraId="3574BF8E">
            <w:pPr>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独立参加响应活动，若成交决不转包；</w:t>
            </w:r>
          </w:p>
          <w:p w14:paraId="759E589D">
            <w:pPr>
              <w:jc w:val="left"/>
              <w:rPr>
                <w:rFonts w:hint="eastAsia" w:ascii="仿宋" w:hAnsi="仿宋" w:eastAsia="仿宋" w:cs="仿宋"/>
                <w:bCs/>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w:t>
            </w:r>
            <w:r>
              <w:rPr>
                <w:rFonts w:hint="eastAsia" w:ascii="仿宋" w:hAnsi="仿宋" w:eastAsia="仿宋" w:cs="仿宋"/>
                <w:sz w:val="21"/>
                <w:szCs w:val="21"/>
              </w:rPr>
              <w:t>在采购人处无经公示的不良行为信用记录或有不良行为信用记录已过处罚暂停期的。</w:t>
            </w:r>
          </w:p>
        </w:tc>
      </w:tr>
    </w:tbl>
    <w:p w14:paraId="396D43F5">
      <w:pPr>
        <w:ind w:firstLine="211" w:firstLineChars="100"/>
        <w:rPr>
          <w:rFonts w:hint="eastAsia" w:ascii="仿宋" w:hAnsi="仿宋" w:eastAsia="仿宋" w:cs="仿宋"/>
          <w:b/>
          <w:bCs/>
          <w:sz w:val="21"/>
          <w:szCs w:val="21"/>
        </w:rPr>
      </w:pPr>
    </w:p>
    <w:p w14:paraId="167372AD">
      <w:pPr>
        <w:ind w:firstLine="211" w:firstLineChars="100"/>
        <w:rPr>
          <w:rFonts w:hint="eastAsia" w:ascii="仿宋" w:hAnsi="仿宋" w:eastAsia="仿宋" w:cs="仿宋"/>
          <w:b/>
          <w:bCs/>
          <w:sz w:val="21"/>
          <w:szCs w:val="21"/>
        </w:rPr>
      </w:pPr>
      <w:r>
        <w:rPr>
          <w:rFonts w:hint="eastAsia" w:ascii="仿宋" w:hAnsi="仿宋" w:eastAsia="仿宋" w:cs="仿宋"/>
          <w:b/>
          <w:bCs/>
          <w:sz w:val="21"/>
          <w:szCs w:val="21"/>
        </w:rPr>
        <w:t>注：后附营业执照副本、银行开户许可证复印件、浙江省公安厅批准的《保安服务许可证》。</w:t>
      </w:r>
    </w:p>
    <w:p w14:paraId="1E7FA61E">
      <w:pPr>
        <w:rPr>
          <w:rFonts w:hint="eastAsia" w:ascii="仿宋" w:hAnsi="仿宋" w:eastAsia="仿宋" w:cs="仿宋"/>
          <w:b/>
          <w:bCs/>
          <w:sz w:val="21"/>
          <w:szCs w:val="21"/>
        </w:rPr>
      </w:pPr>
    </w:p>
    <w:p w14:paraId="038DEE9E">
      <w:pPr>
        <w:pStyle w:val="12"/>
        <w:ind w:left="820" w:hanging="400"/>
        <w:rPr>
          <w:rFonts w:hint="eastAsia" w:ascii="仿宋" w:hAnsi="仿宋" w:eastAsia="仿宋" w:cs="仿宋"/>
          <w:sz w:val="21"/>
          <w:szCs w:val="21"/>
        </w:rPr>
      </w:pPr>
    </w:p>
    <w:p w14:paraId="799D297D">
      <w:pPr>
        <w:spacing w:line="400" w:lineRule="exact"/>
        <w:jc w:val="left"/>
        <w:rPr>
          <w:rFonts w:hint="eastAsia" w:ascii="仿宋" w:hAnsi="仿宋" w:eastAsia="仿宋" w:cs="仿宋"/>
          <w:sz w:val="21"/>
          <w:szCs w:val="21"/>
        </w:rPr>
      </w:pPr>
      <w:r>
        <w:rPr>
          <w:rFonts w:hint="eastAsia" w:ascii="仿宋" w:hAnsi="仿宋" w:eastAsia="仿宋" w:cs="仿宋"/>
          <w:sz w:val="21"/>
          <w:szCs w:val="21"/>
        </w:rPr>
        <w:t xml:space="preserve">                               投标人：</w:t>
      </w:r>
      <w:r>
        <w:rPr>
          <w:rFonts w:hint="eastAsia" w:ascii="仿宋" w:hAnsi="仿宋" w:eastAsia="仿宋" w:cs="仿宋"/>
          <w:sz w:val="21"/>
          <w:szCs w:val="21"/>
          <w:u w:val="single"/>
        </w:rPr>
        <w:t xml:space="preserve">                 （单位公章）</w:t>
      </w:r>
    </w:p>
    <w:p w14:paraId="2DFA868A">
      <w:pPr>
        <w:spacing w:line="400" w:lineRule="exact"/>
        <w:ind w:right="420" w:firstLine="3360" w:firstLineChars="1600"/>
        <w:rPr>
          <w:rFonts w:hint="eastAsia" w:ascii="仿宋" w:hAnsi="仿宋" w:eastAsia="仿宋" w:cs="仿宋"/>
          <w:sz w:val="21"/>
          <w:szCs w:val="21"/>
        </w:rPr>
      </w:pPr>
      <w:r>
        <w:rPr>
          <w:rFonts w:hint="eastAsia" w:ascii="仿宋" w:hAnsi="仿宋" w:eastAsia="仿宋" w:cs="仿宋"/>
          <w:sz w:val="21"/>
          <w:szCs w:val="21"/>
        </w:rPr>
        <w:t xml:space="preserve">法定代表人或委托代理人（签名或盖章）： </w:t>
      </w:r>
    </w:p>
    <w:p w14:paraId="41AD2D8D">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 w:val="21"/>
          <w:szCs w:val="21"/>
        </w:rPr>
        <w:t xml:space="preserve">                                              202</w:t>
      </w:r>
      <w:r>
        <w:rPr>
          <w:rFonts w:hint="eastAsia" w:ascii="仿宋" w:hAnsi="仿宋" w:eastAsia="仿宋" w:cs="仿宋"/>
          <w:sz w:val="21"/>
          <w:szCs w:val="21"/>
          <w:lang w:val="en-US" w:eastAsia="zh-CN"/>
        </w:rPr>
        <w:t>5</w:t>
      </w:r>
      <w:r>
        <w:rPr>
          <w:rFonts w:hint="eastAsia" w:ascii="仿宋" w:hAnsi="仿宋" w:eastAsia="仿宋" w:cs="仿宋"/>
          <w:sz w:val="21"/>
          <w:szCs w:val="21"/>
        </w:rPr>
        <w:t>年    月    日</w:t>
      </w:r>
    </w:p>
    <w:p w14:paraId="1A1783C7">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p w14:paraId="3D0E1322">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5D28A11D">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6E87E3B4">
      <w:pPr>
        <w:pStyle w:val="12"/>
        <w:ind w:left="840" w:hanging="420"/>
        <w:rPr>
          <w:rFonts w:hint="eastAsia" w:ascii="仿宋" w:hAnsi="仿宋" w:eastAsia="仿宋" w:cs="仿宋"/>
          <w:color w:val="000000" w:themeColor="text1"/>
          <w:szCs w:val="21"/>
          <w:highlight w:val="none"/>
          <w14:textFill>
            <w14:solidFill>
              <w14:schemeClr w14:val="tx1"/>
            </w14:solidFill>
          </w14:textFill>
        </w:rPr>
      </w:pPr>
    </w:p>
    <w:p w14:paraId="1BD72926">
      <w:pPr>
        <w:spacing w:line="460" w:lineRule="exact"/>
        <w:ind w:firstLine="1265" w:firstLineChars="600"/>
        <w:outlineLvl w:val="0"/>
        <w:rPr>
          <w:rFonts w:hint="eastAsia" w:ascii="仿宋" w:hAnsi="仿宋" w:eastAsia="仿宋" w:cs="仿宋"/>
          <w:b/>
          <w:color w:val="000000" w:themeColor="text1"/>
          <w:szCs w:val="21"/>
          <w:highlight w:val="none"/>
          <w14:textFill>
            <w14:solidFill>
              <w14:schemeClr w14:val="tx1"/>
            </w14:solidFill>
          </w14:textFill>
        </w:rPr>
      </w:pPr>
      <w:bookmarkStart w:id="104" w:name="_Toc29564"/>
      <w:bookmarkStart w:id="105" w:name="_Toc21530"/>
    </w:p>
    <w:p w14:paraId="43423944">
      <w:pPr>
        <w:spacing w:line="460" w:lineRule="exact"/>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2EE9FC3C">
      <w:pPr>
        <w:pStyle w:val="3"/>
        <w:rPr>
          <w:rFonts w:hint="eastAsia" w:ascii="仿宋" w:hAnsi="仿宋" w:eastAsia="仿宋" w:cs="仿宋"/>
          <w:b/>
          <w:color w:val="000000" w:themeColor="text1"/>
          <w:sz w:val="28"/>
          <w:szCs w:val="28"/>
          <w:highlight w:val="none"/>
          <w14:textFill>
            <w14:solidFill>
              <w14:schemeClr w14:val="tx1"/>
            </w14:solidFill>
          </w14:textFill>
        </w:rPr>
      </w:pPr>
    </w:p>
    <w:p w14:paraId="4E4F221C">
      <w:pPr>
        <w:rPr>
          <w:rFonts w:hint="eastAsia" w:ascii="仿宋" w:hAnsi="仿宋" w:eastAsia="仿宋" w:cs="仿宋"/>
          <w:b/>
          <w:color w:val="000000" w:themeColor="text1"/>
          <w:sz w:val="28"/>
          <w:szCs w:val="28"/>
          <w:highlight w:val="none"/>
          <w14:textFill>
            <w14:solidFill>
              <w14:schemeClr w14:val="tx1"/>
            </w14:solidFill>
          </w14:textFill>
        </w:rPr>
      </w:pPr>
    </w:p>
    <w:p w14:paraId="666FFC8B">
      <w:pPr>
        <w:pStyle w:val="3"/>
        <w:rPr>
          <w:rFonts w:hint="eastAsia" w:ascii="仿宋" w:hAnsi="仿宋" w:eastAsia="仿宋" w:cs="仿宋"/>
          <w:b/>
          <w:color w:val="000000" w:themeColor="text1"/>
          <w:sz w:val="28"/>
          <w:szCs w:val="28"/>
          <w:highlight w:val="none"/>
          <w14:textFill>
            <w14:solidFill>
              <w14:schemeClr w14:val="tx1"/>
            </w14:solidFill>
          </w14:textFill>
        </w:rPr>
      </w:pPr>
    </w:p>
    <w:p w14:paraId="1AE691A6">
      <w:pPr>
        <w:rPr>
          <w:rFonts w:hint="eastAsia" w:ascii="仿宋" w:hAnsi="仿宋" w:eastAsia="仿宋" w:cs="仿宋"/>
        </w:rPr>
      </w:pPr>
    </w:p>
    <w:p w14:paraId="133DD7E4">
      <w:pPr>
        <w:spacing w:line="460" w:lineRule="exact"/>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bookmarkEnd w:id="104"/>
    <w:bookmarkEnd w:id="105"/>
    <w:p w14:paraId="0519C9FD">
      <w:pPr>
        <w:spacing w:line="460" w:lineRule="exact"/>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3ACD2E31">
      <w:pPr>
        <w:spacing w:line="460" w:lineRule="exact"/>
        <w:jc w:val="center"/>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符合参与政府采购活动资格条件的承诺函</w:t>
      </w:r>
    </w:p>
    <w:p w14:paraId="2C9EB0E5">
      <w:pPr>
        <w:spacing w:line="460" w:lineRule="exact"/>
        <w:jc w:val="center"/>
        <w:rPr>
          <w:rFonts w:hint="eastAsia" w:ascii="仿宋" w:hAnsi="仿宋" w:eastAsia="仿宋" w:cs="仿宋"/>
          <w:b/>
          <w:color w:val="000000" w:themeColor="text1"/>
          <w:szCs w:val="21"/>
          <w:highlight w:val="none"/>
          <w14:textFill>
            <w14:solidFill>
              <w14:schemeClr w14:val="tx1"/>
            </w14:solidFill>
          </w14:textFill>
        </w:rPr>
      </w:pPr>
    </w:p>
    <w:p w14:paraId="1C598348">
      <w:pPr>
        <w:pStyle w:val="2"/>
        <w:tabs>
          <w:tab w:val="left" w:pos="3659"/>
        </w:tabs>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浙江常新工贸有限公司</w:t>
      </w:r>
      <w:r>
        <w:rPr>
          <w:rFonts w:hint="eastAsia" w:ascii="仿宋" w:hAnsi="仿宋" w:eastAsia="仿宋" w:cs="仿宋"/>
          <w:color w:val="000000" w:themeColor="text1"/>
          <w:szCs w:val="21"/>
          <w:highlight w:val="none"/>
          <w14:textFill>
            <w14:solidFill>
              <w14:schemeClr w14:val="tx1"/>
            </w14:solidFill>
          </w14:textFill>
        </w:rPr>
        <w:t>：</w:t>
      </w:r>
    </w:p>
    <w:p w14:paraId="3C85C381">
      <w:pPr>
        <w:pStyle w:val="39"/>
        <w:spacing w:line="360" w:lineRule="auto"/>
        <w:rPr>
          <w:rFonts w:hint="eastAsia" w:ascii="仿宋" w:hAnsi="仿宋" w:eastAsia="仿宋" w:cs="仿宋"/>
          <w:color w:val="000000" w:themeColor="text1"/>
          <w:szCs w:val="21"/>
          <w:highlight w:val="none"/>
          <w14:textFill>
            <w14:solidFill>
              <w14:schemeClr w14:val="tx1"/>
            </w14:solidFill>
          </w14:textFill>
        </w:rPr>
      </w:pPr>
    </w:p>
    <w:p w14:paraId="6FF8F63A">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我方参与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项目【招标编号：</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】政府采购活动，郑重承诺：</w:t>
      </w:r>
    </w:p>
    <w:p w14:paraId="6A5370FA">
      <w:pPr>
        <w:snapToGrid w:val="0"/>
        <w:spacing w:line="360" w:lineRule="auto"/>
        <w:ind w:firstLine="315" w:firstLineChars="1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（一）具备《中华人民共和国政府采购法》第二十二条第一款规定的条件：</w:t>
      </w:r>
    </w:p>
    <w:p w14:paraId="08B3CC92">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具有独立承担民事责任的能力；</w:t>
      </w:r>
    </w:p>
    <w:p w14:paraId="7333AD89">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 xml:space="preserve">具有良好的商业信誉和健全的财务会计制度； </w:t>
      </w:r>
    </w:p>
    <w:p w14:paraId="52ED6E3A">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具有履行合同所必需的设备和专业技术能力；</w:t>
      </w:r>
    </w:p>
    <w:p w14:paraId="59124774">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有依法缴纳税收和社会保障资金的良好记录；</w:t>
      </w:r>
    </w:p>
    <w:p w14:paraId="4E07CABA">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参加政府采购活动前三年内，在经营活动中没有重大违法记录；</w:t>
      </w:r>
    </w:p>
    <w:p w14:paraId="05B0BB23">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具有法律、行政法规规定的其他条件。</w:t>
      </w:r>
    </w:p>
    <w:p w14:paraId="28CED279">
      <w:pPr>
        <w:snapToGrid w:val="0"/>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（二）未被信用中国（www.creditchina.gov.cn)、中国政府采购网（www.ccgp.gov.cn）列入失信被执行人、重大税收违法案件当事人名单、政府采购严重违法失信行为记录名单。</w:t>
      </w:r>
    </w:p>
    <w:p w14:paraId="4402A8E4">
      <w:pPr>
        <w:spacing w:line="360" w:lineRule="auto"/>
        <w:ind w:firstLine="388" w:firstLineChars="200"/>
        <w:jc w:val="left"/>
        <w:rPr>
          <w:rFonts w:hint="eastAsia" w:ascii="仿宋" w:hAnsi="仿宋" w:eastAsia="仿宋" w:cs="仿宋"/>
          <w:color w:val="000000" w:themeColor="text1"/>
          <w:spacing w:val="-8"/>
          <w:szCs w:val="21"/>
          <w:highlight w:val="none"/>
          <w14:textFill>
            <w14:solidFill>
              <w14:schemeClr w14:val="tx1"/>
            </w14:solidFill>
          </w14:textFill>
        </w:rPr>
      </w:pPr>
    </w:p>
    <w:p w14:paraId="020DA88C">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投标人：</w:t>
      </w:r>
      <w:r>
        <w:rPr>
          <w:rFonts w:hint="eastAsia" w:ascii="仿宋" w:hAnsi="仿宋" w:eastAsia="仿宋" w:cs="仿宋"/>
          <w:color w:val="000000" w:themeColor="text1"/>
          <w:szCs w:val="21"/>
          <w:highlight w:val="none"/>
          <w:u w:val="single"/>
          <w14:textFill>
            <w14:solidFill>
              <w14:schemeClr w14:val="tx1"/>
            </w14:solidFill>
          </w14:textFill>
        </w:rPr>
        <w:t xml:space="preserve">                 （单位公章）</w:t>
      </w:r>
    </w:p>
    <w:p w14:paraId="3E544731">
      <w:pPr>
        <w:spacing w:line="400" w:lineRule="exact"/>
        <w:ind w:right="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法定代表人或委托代理人（签名或盖章）：</w:t>
      </w:r>
    </w:p>
    <w:p w14:paraId="18473974">
      <w:pPr>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w:t>
      </w:r>
    </w:p>
    <w:p w14:paraId="4B9684E6">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bookmarkStart w:id="106" w:name="_Toc21433"/>
      <w:bookmarkStart w:id="107" w:name="_Toc30377"/>
    </w:p>
    <w:p w14:paraId="710E8708">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5320F7B1">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6DAE74A7">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5CE6BE99">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2DDE478C">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465893E5">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6A33D83B">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7A22917C">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57EC49EF">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4398B539">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39FE65E8">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6EAC4B4E">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01D091C7">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53F414F9">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53430331">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p w14:paraId="65CFBD89">
      <w:pPr>
        <w:widowControl/>
        <w:spacing w:line="360" w:lineRule="auto"/>
        <w:rPr>
          <w:rFonts w:hint="eastAsia" w:ascii="仿宋" w:hAnsi="仿宋" w:eastAsia="仿宋" w:cs="仿宋"/>
          <w:color w:val="000000" w:themeColor="text1"/>
          <w:szCs w:val="21"/>
          <w:highlight w:val="none"/>
          <w14:textFill>
            <w14:solidFill>
              <w14:schemeClr w14:val="tx1"/>
            </w14:solidFill>
          </w14:textFill>
        </w:rPr>
      </w:pPr>
    </w:p>
    <w:bookmarkEnd w:id="106"/>
    <w:bookmarkEnd w:id="107"/>
    <w:p w14:paraId="212E976B">
      <w:pPr>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bookmarkStart w:id="108" w:name="_Toc30213"/>
      <w:bookmarkStart w:id="109" w:name="_Toc18021"/>
      <w:r>
        <w:rPr>
          <w:rFonts w:hint="eastAsia" w:ascii="仿宋" w:hAnsi="仿宋" w:eastAsia="仿宋" w:cs="仿宋"/>
          <w:b/>
          <w:color w:val="000000" w:themeColor="text1"/>
          <w:sz w:val="28"/>
          <w:szCs w:val="28"/>
          <w:highlight w:val="none"/>
          <w:lang w:val="en-US" w:eastAsia="zh-CN"/>
          <w14:textFill>
            <w14:solidFill>
              <w14:schemeClr w14:val="tx1"/>
            </w14:solidFill>
          </w14:textFill>
        </w:rPr>
        <w:t>类似项目</w:t>
      </w:r>
      <w:r>
        <w:rPr>
          <w:rFonts w:hint="eastAsia" w:ascii="仿宋" w:hAnsi="仿宋" w:eastAsia="仿宋" w:cs="仿宋"/>
          <w:b/>
          <w:color w:val="000000" w:themeColor="text1"/>
          <w:sz w:val="28"/>
          <w:szCs w:val="28"/>
          <w:highlight w:val="none"/>
          <w14:textFill>
            <w14:solidFill>
              <w14:schemeClr w14:val="tx1"/>
            </w14:solidFill>
          </w14:textFill>
        </w:rPr>
        <w:t>业绩表</w:t>
      </w:r>
      <w:bookmarkEnd w:id="108"/>
      <w:bookmarkEnd w:id="109"/>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1406"/>
        <w:gridCol w:w="1168"/>
        <w:gridCol w:w="1182"/>
        <w:gridCol w:w="1200"/>
        <w:gridCol w:w="1644"/>
        <w:gridCol w:w="1201"/>
      </w:tblGrid>
      <w:tr w14:paraId="3ECA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72" w:type="pct"/>
            <w:noWrap/>
            <w:vAlign w:val="center"/>
          </w:tcPr>
          <w:p w14:paraId="3BBB6EE8">
            <w:pPr>
              <w:pStyle w:val="41"/>
              <w:spacing w:line="400" w:lineRule="exact"/>
              <w:ind w:firstLine="238"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p>
        </w:tc>
        <w:tc>
          <w:tcPr>
            <w:tcW w:w="721" w:type="pct"/>
            <w:noWrap/>
            <w:vAlign w:val="center"/>
          </w:tcPr>
          <w:p w14:paraId="39CAA501">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招标人名称</w:t>
            </w:r>
          </w:p>
        </w:tc>
        <w:tc>
          <w:tcPr>
            <w:tcW w:w="618" w:type="pct"/>
            <w:noWrap/>
            <w:vAlign w:val="center"/>
          </w:tcPr>
          <w:p w14:paraId="4473DD71">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项目地点</w:t>
            </w:r>
          </w:p>
        </w:tc>
        <w:tc>
          <w:tcPr>
            <w:tcW w:w="662" w:type="pct"/>
            <w:noWrap/>
            <w:vAlign w:val="center"/>
          </w:tcPr>
          <w:p w14:paraId="74222B81">
            <w:pPr>
              <w:pStyle w:val="41"/>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采购内容</w:t>
            </w:r>
          </w:p>
        </w:tc>
        <w:tc>
          <w:tcPr>
            <w:tcW w:w="641" w:type="pct"/>
            <w:noWrap/>
            <w:vAlign w:val="center"/>
          </w:tcPr>
          <w:p w14:paraId="30E902B8">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合同时间</w:t>
            </w:r>
          </w:p>
        </w:tc>
        <w:tc>
          <w:tcPr>
            <w:tcW w:w="641" w:type="pct"/>
            <w:noWrap/>
            <w:vAlign w:val="center"/>
          </w:tcPr>
          <w:p w14:paraId="5FFE1045">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业主联系电话</w:t>
            </w:r>
          </w:p>
        </w:tc>
        <w:tc>
          <w:tcPr>
            <w:tcW w:w="641" w:type="pct"/>
            <w:noWrap/>
            <w:vAlign w:val="center"/>
          </w:tcPr>
          <w:p w14:paraId="26450EC6">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1FC3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72" w:type="pct"/>
            <w:noWrap/>
            <w:vAlign w:val="center"/>
          </w:tcPr>
          <w:p w14:paraId="06D69BF7">
            <w:pPr>
              <w:pStyle w:val="41"/>
              <w:spacing w:line="400" w:lineRule="exact"/>
              <w:jc w:val="both"/>
              <w:rPr>
                <w:rFonts w:hint="eastAsia" w:ascii="仿宋" w:hAnsi="仿宋" w:eastAsia="仿宋" w:cs="仿宋"/>
                <w:color w:val="000000" w:themeColor="text1"/>
                <w:szCs w:val="21"/>
                <w:highlight w:val="none"/>
                <w14:textFill>
                  <w14:solidFill>
                    <w14:schemeClr w14:val="tx1"/>
                  </w14:solidFill>
                </w14:textFill>
              </w:rPr>
            </w:pPr>
          </w:p>
        </w:tc>
        <w:tc>
          <w:tcPr>
            <w:tcW w:w="721" w:type="pct"/>
            <w:noWrap/>
            <w:vAlign w:val="center"/>
          </w:tcPr>
          <w:p w14:paraId="6DC6E41D">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18" w:type="pct"/>
            <w:noWrap/>
            <w:vAlign w:val="center"/>
          </w:tcPr>
          <w:p w14:paraId="2893C545">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62" w:type="pct"/>
            <w:noWrap/>
            <w:vAlign w:val="center"/>
          </w:tcPr>
          <w:p w14:paraId="29C2719E">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0FB3C3A3">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2065A686">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3D7841AC">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r>
      <w:tr w14:paraId="3472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072" w:type="pct"/>
            <w:noWrap/>
            <w:vAlign w:val="center"/>
          </w:tcPr>
          <w:p w14:paraId="03D835BE">
            <w:pPr>
              <w:pStyle w:val="41"/>
              <w:spacing w:line="400" w:lineRule="exact"/>
              <w:jc w:val="both"/>
              <w:rPr>
                <w:rFonts w:hint="eastAsia" w:ascii="仿宋" w:hAnsi="仿宋" w:eastAsia="仿宋" w:cs="仿宋"/>
                <w:color w:val="000000" w:themeColor="text1"/>
                <w:szCs w:val="21"/>
                <w:highlight w:val="none"/>
                <w14:textFill>
                  <w14:solidFill>
                    <w14:schemeClr w14:val="tx1"/>
                  </w14:solidFill>
                </w14:textFill>
              </w:rPr>
            </w:pPr>
          </w:p>
        </w:tc>
        <w:tc>
          <w:tcPr>
            <w:tcW w:w="721" w:type="pct"/>
            <w:noWrap/>
            <w:vAlign w:val="center"/>
          </w:tcPr>
          <w:p w14:paraId="273887A5">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18" w:type="pct"/>
            <w:noWrap/>
            <w:vAlign w:val="center"/>
          </w:tcPr>
          <w:p w14:paraId="59318687">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62" w:type="pct"/>
            <w:noWrap/>
            <w:vAlign w:val="center"/>
          </w:tcPr>
          <w:p w14:paraId="3BCD6F8E">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0E606FBA">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7D261F86">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01F0D41D">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r>
      <w:tr w14:paraId="7B9D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72" w:type="pct"/>
            <w:noWrap/>
            <w:vAlign w:val="center"/>
          </w:tcPr>
          <w:p w14:paraId="4E71D865">
            <w:pPr>
              <w:pStyle w:val="41"/>
              <w:spacing w:line="400" w:lineRule="exact"/>
              <w:jc w:val="both"/>
              <w:rPr>
                <w:rFonts w:hint="eastAsia" w:ascii="仿宋" w:hAnsi="仿宋" w:eastAsia="仿宋" w:cs="仿宋"/>
                <w:color w:val="000000" w:themeColor="text1"/>
                <w:szCs w:val="21"/>
                <w:highlight w:val="none"/>
                <w14:textFill>
                  <w14:solidFill>
                    <w14:schemeClr w14:val="tx1"/>
                  </w14:solidFill>
                </w14:textFill>
              </w:rPr>
            </w:pPr>
          </w:p>
        </w:tc>
        <w:tc>
          <w:tcPr>
            <w:tcW w:w="721" w:type="pct"/>
            <w:noWrap/>
            <w:vAlign w:val="center"/>
          </w:tcPr>
          <w:p w14:paraId="342D6B30">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18" w:type="pct"/>
            <w:noWrap/>
            <w:vAlign w:val="center"/>
          </w:tcPr>
          <w:p w14:paraId="153BA10C">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62" w:type="pct"/>
            <w:noWrap/>
            <w:vAlign w:val="center"/>
          </w:tcPr>
          <w:p w14:paraId="29EC25F4">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371F7DA5">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6C75B6D1">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138DFBD8">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r>
      <w:tr w14:paraId="27E2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72" w:type="pct"/>
            <w:noWrap/>
            <w:vAlign w:val="center"/>
          </w:tcPr>
          <w:p w14:paraId="625DF88B">
            <w:pPr>
              <w:pStyle w:val="41"/>
              <w:spacing w:line="400" w:lineRule="exact"/>
              <w:jc w:val="both"/>
              <w:rPr>
                <w:rFonts w:hint="eastAsia" w:ascii="仿宋" w:hAnsi="仿宋" w:eastAsia="仿宋" w:cs="仿宋"/>
                <w:color w:val="000000" w:themeColor="text1"/>
                <w:szCs w:val="21"/>
                <w:highlight w:val="none"/>
                <w14:textFill>
                  <w14:solidFill>
                    <w14:schemeClr w14:val="tx1"/>
                  </w14:solidFill>
                </w14:textFill>
              </w:rPr>
            </w:pPr>
          </w:p>
        </w:tc>
        <w:tc>
          <w:tcPr>
            <w:tcW w:w="721" w:type="pct"/>
            <w:noWrap/>
            <w:vAlign w:val="center"/>
          </w:tcPr>
          <w:p w14:paraId="276A641C">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18" w:type="pct"/>
            <w:noWrap/>
            <w:vAlign w:val="center"/>
          </w:tcPr>
          <w:p w14:paraId="77E31D2A">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62" w:type="pct"/>
            <w:noWrap/>
            <w:vAlign w:val="center"/>
          </w:tcPr>
          <w:p w14:paraId="61388FA5">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362D72EE">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02384C97">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736B78CA">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r>
      <w:tr w14:paraId="6CBA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72" w:type="pct"/>
            <w:noWrap/>
            <w:vAlign w:val="center"/>
          </w:tcPr>
          <w:p w14:paraId="3A38C80C">
            <w:pPr>
              <w:pStyle w:val="41"/>
              <w:spacing w:line="400" w:lineRule="exact"/>
              <w:jc w:val="both"/>
              <w:rPr>
                <w:rFonts w:hint="eastAsia" w:ascii="仿宋" w:hAnsi="仿宋" w:eastAsia="仿宋" w:cs="仿宋"/>
                <w:color w:val="000000" w:themeColor="text1"/>
                <w:szCs w:val="21"/>
                <w:highlight w:val="none"/>
                <w14:textFill>
                  <w14:solidFill>
                    <w14:schemeClr w14:val="tx1"/>
                  </w14:solidFill>
                </w14:textFill>
              </w:rPr>
            </w:pPr>
          </w:p>
        </w:tc>
        <w:tc>
          <w:tcPr>
            <w:tcW w:w="721" w:type="pct"/>
            <w:noWrap/>
            <w:vAlign w:val="center"/>
          </w:tcPr>
          <w:p w14:paraId="48CF1634">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18" w:type="pct"/>
            <w:noWrap/>
            <w:vAlign w:val="center"/>
          </w:tcPr>
          <w:p w14:paraId="545312DA">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62" w:type="pct"/>
            <w:noWrap/>
            <w:vAlign w:val="center"/>
          </w:tcPr>
          <w:p w14:paraId="34C8A067">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537E0776">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616687B3">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5CDEC5A6">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r>
      <w:tr w14:paraId="3C76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72" w:type="pct"/>
            <w:noWrap/>
            <w:vAlign w:val="center"/>
          </w:tcPr>
          <w:p w14:paraId="13888068">
            <w:pPr>
              <w:pStyle w:val="41"/>
              <w:spacing w:line="400" w:lineRule="exact"/>
              <w:jc w:val="both"/>
              <w:rPr>
                <w:rFonts w:hint="eastAsia" w:ascii="仿宋" w:hAnsi="仿宋" w:eastAsia="仿宋" w:cs="仿宋"/>
                <w:color w:val="000000" w:themeColor="text1"/>
                <w:szCs w:val="21"/>
                <w:highlight w:val="none"/>
                <w14:textFill>
                  <w14:solidFill>
                    <w14:schemeClr w14:val="tx1"/>
                  </w14:solidFill>
                </w14:textFill>
              </w:rPr>
            </w:pPr>
          </w:p>
        </w:tc>
        <w:tc>
          <w:tcPr>
            <w:tcW w:w="721" w:type="pct"/>
            <w:noWrap/>
            <w:vAlign w:val="center"/>
          </w:tcPr>
          <w:p w14:paraId="4BEFEC8D">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18" w:type="pct"/>
            <w:noWrap/>
            <w:vAlign w:val="center"/>
          </w:tcPr>
          <w:p w14:paraId="19B2633F">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62" w:type="pct"/>
            <w:noWrap/>
            <w:vAlign w:val="center"/>
          </w:tcPr>
          <w:p w14:paraId="7D6E30A6">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55D0DDA2">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0D5D7C96">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c>
          <w:tcPr>
            <w:tcW w:w="641" w:type="pct"/>
            <w:noWrap/>
            <w:vAlign w:val="center"/>
          </w:tcPr>
          <w:p w14:paraId="36D1722D">
            <w:pPr>
              <w:pStyle w:val="41"/>
              <w:spacing w:line="400" w:lineRule="exact"/>
              <w:jc w:val="left"/>
              <w:rPr>
                <w:rFonts w:hint="eastAsia" w:ascii="仿宋" w:hAnsi="仿宋" w:eastAsia="仿宋" w:cs="仿宋"/>
                <w:color w:val="000000" w:themeColor="text1"/>
                <w:szCs w:val="21"/>
                <w:highlight w:val="none"/>
                <w14:textFill>
                  <w14:solidFill>
                    <w14:schemeClr w14:val="tx1"/>
                  </w14:solidFill>
                </w14:textFill>
              </w:rPr>
            </w:pPr>
          </w:p>
        </w:tc>
      </w:tr>
    </w:tbl>
    <w:p w14:paraId="2B2D5654">
      <w:pPr>
        <w:spacing w:line="5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注：后附合同复印件并加盖投标人公章。</w:t>
      </w:r>
    </w:p>
    <w:p w14:paraId="31EFF6CB">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FD44C3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2F83D54">
      <w:pPr>
        <w:spacing w:line="500" w:lineRule="exact"/>
        <w:ind w:firstLine="3570" w:firstLineChars="17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投标人：</w:t>
      </w:r>
      <w:r>
        <w:rPr>
          <w:rFonts w:hint="eastAsia" w:ascii="仿宋" w:hAnsi="仿宋" w:eastAsia="仿宋" w:cs="仿宋"/>
          <w:color w:val="000000" w:themeColor="text1"/>
          <w:szCs w:val="21"/>
          <w:highlight w:val="none"/>
          <w:u w:val="single"/>
          <w14:textFill>
            <w14:solidFill>
              <w14:schemeClr w14:val="tx1"/>
            </w14:solidFill>
          </w14:textFill>
        </w:rPr>
        <w:t xml:space="preserve">            （盖单位章）  </w:t>
      </w:r>
    </w:p>
    <w:p w14:paraId="5AAD878F">
      <w:pPr>
        <w:spacing w:line="500" w:lineRule="exact"/>
        <w:ind w:firstLine="3465" w:firstLineChars="16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（签字或盖章）</w:t>
      </w:r>
    </w:p>
    <w:p w14:paraId="40124D0C">
      <w:pPr>
        <w:spacing w:line="500" w:lineRule="exact"/>
        <w:ind w:firstLine="4200" w:firstLineChars="20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年    月    日</w:t>
      </w:r>
    </w:p>
    <w:p w14:paraId="43E9771B">
      <w:pPr>
        <w:adjustRightInd w:val="0"/>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5CF19B6D">
      <w:pPr>
        <w:adjustRightInd w:val="0"/>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40E9243C">
      <w:pPr>
        <w:adjustRightInd w:val="0"/>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09681EEC">
      <w:pPr>
        <w:adjustRightInd w:val="0"/>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1A1A73D5">
      <w:pPr>
        <w:adjustRightInd w:val="0"/>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5756C8E9">
      <w:pPr>
        <w:jc w:val="center"/>
        <w:rPr>
          <w:rFonts w:hint="eastAsia" w:ascii="仿宋" w:hAnsi="仿宋" w:eastAsia="仿宋" w:cs="仿宋"/>
          <w:b/>
          <w:color w:val="000000" w:themeColor="text1"/>
          <w:szCs w:val="21"/>
          <w:highlight w:val="none"/>
          <w14:textFill>
            <w14:solidFill>
              <w14:schemeClr w14:val="tx1"/>
            </w14:solidFill>
          </w14:textFill>
        </w:rPr>
      </w:pPr>
    </w:p>
    <w:p w14:paraId="4883000E">
      <w:pPr>
        <w:jc w:val="center"/>
        <w:rPr>
          <w:rFonts w:hint="eastAsia" w:ascii="仿宋" w:hAnsi="仿宋" w:eastAsia="仿宋" w:cs="仿宋"/>
          <w:b/>
          <w:color w:val="000000" w:themeColor="text1"/>
          <w:szCs w:val="21"/>
          <w:highlight w:val="none"/>
          <w14:textFill>
            <w14:solidFill>
              <w14:schemeClr w14:val="tx1"/>
            </w14:solidFill>
          </w14:textFill>
        </w:rPr>
      </w:pPr>
    </w:p>
    <w:p w14:paraId="0D269A0C">
      <w:pPr>
        <w:pStyle w:val="12"/>
        <w:ind w:left="842" w:hanging="422"/>
        <w:rPr>
          <w:rFonts w:hint="eastAsia" w:ascii="仿宋" w:hAnsi="仿宋" w:eastAsia="仿宋" w:cs="仿宋"/>
          <w:b/>
          <w:color w:val="000000" w:themeColor="text1"/>
          <w:szCs w:val="21"/>
          <w:highlight w:val="none"/>
          <w14:textFill>
            <w14:solidFill>
              <w14:schemeClr w14:val="tx1"/>
            </w14:solidFill>
          </w14:textFill>
        </w:rPr>
      </w:pPr>
    </w:p>
    <w:p w14:paraId="16E12DBC">
      <w:pPr>
        <w:pStyle w:val="12"/>
        <w:ind w:left="842" w:hanging="422"/>
        <w:rPr>
          <w:rFonts w:hint="eastAsia" w:ascii="仿宋" w:hAnsi="仿宋" w:eastAsia="仿宋" w:cs="仿宋"/>
          <w:b/>
          <w:color w:val="000000" w:themeColor="text1"/>
          <w:szCs w:val="21"/>
          <w:highlight w:val="none"/>
          <w14:textFill>
            <w14:solidFill>
              <w14:schemeClr w14:val="tx1"/>
            </w14:solidFill>
          </w14:textFill>
        </w:rPr>
      </w:pPr>
    </w:p>
    <w:p w14:paraId="5A3C6AE5">
      <w:pPr>
        <w:pStyle w:val="12"/>
        <w:ind w:left="842" w:hanging="422"/>
        <w:rPr>
          <w:rFonts w:hint="eastAsia" w:ascii="仿宋" w:hAnsi="仿宋" w:eastAsia="仿宋" w:cs="仿宋"/>
          <w:b/>
          <w:color w:val="000000" w:themeColor="text1"/>
          <w:szCs w:val="21"/>
          <w:highlight w:val="none"/>
          <w14:textFill>
            <w14:solidFill>
              <w14:schemeClr w14:val="tx1"/>
            </w14:solidFill>
          </w14:textFill>
        </w:rPr>
      </w:pPr>
    </w:p>
    <w:p w14:paraId="6C092C92">
      <w:pPr>
        <w:pStyle w:val="12"/>
        <w:ind w:left="842" w:hanging="422"/>
        <w:rPr>
          <w:rFonts w:hint="eastAsia" w:ascii="仿宋" w:hAnsi="仿宋" w:eastAsia="仿宋" w:cs="仿宋"/>
          <w:b/>
          <w:color w:val="000000" w:themeColor="text1"/>
          <w:szCs w:val="21"/>
          <w:highlight w:val="none"/>
          <w14:textFill>
            <w14:solidFill>
              <w14:schemeClr w14:val="tx1"/>
            </w14:solidFill>
          </w14:textFill>
        </w:rPr>
      </w:pPr>
    </w:p>
    <w:p w14:paraId="4B245B63">
      <w:pPr>
        <w:pStyle w:val="12"/>
        <w:ind w:left="842" w:hanging="422"/>
        <w:rPr>
          <w:rFonts w:hint="eastAsia" w:ascii="仿宋" w:hAnsi="仿宋" w:eastAsia="仿宋" w:cs="仿宋"/>
          <w:b/>
          <w:color w:val="000000" w:themeColor="text1"/>
          <w:szCs w:val="21"/>
          <w:highlight w:val="none"/>
          <w14:textFill>
            <w14:solidFill>
              <w14:schemeClr w14:val="tx1"/>
            </w14:solidFill>
          </w14:textFill>
        </w:rPr>
      </w:pPr>
    </w:p>
    <w:p w14:paraId="6221BD6A">
      <w:pPr>
        <w:pStyle w:val="12"/>
        <w:ind w:left="842" w:hanging="422"/>
        <w:rPr>
          <w:rFonts w:hint="eastAsia" w:ascii="仿宋" w:hAnsi="仿宋" w:eastAsia="仿宋" w:cs="仿宋"/>
          <w:b/>
          <w:color w:val="000000" w:themeColor="text1"/>
          <w:szCs w:val="21"/>
          <w:highlight w:val="none"/>
          <w14:textFill>
            <w14:solidFill>
              <w14:schemeClr w14:val="tx1"/>
            </w14:solidFill>
          </w14:textFill>
        </w:rPr>
      </w:pPr>
    </w:p>
    <w:p w14:paraId="19108C66">
      <w:pPr>
        <w:pStyle w:val="12"/>
        <w:ind w:left="842" w:hanging="422"/>
        <w:rPr>
          <w:rFonts w:hint="eastAsia" w:ascii="仿宋" w:hAnsi="仿宋" w:eastAsia="仿宋" w:cs="仿宋"/>
          <w:b/>
          <w:color w:val="000000" w:themeColor="text1"/>
          <w:szCs w:val="21"/>
          <w:highlight w:val="none"/>
          <w14:textFill>
            <w14:solidFill>
              <w14:schemeClr w14:val="tx1"/>
            </w14:solidFill>
          </w14:textFill>
        </w:rPr>
      </w:pPr>
    </w:p>
    <w:p w14:paraId="3C62E64E">
      <w:pPr>
        <w:jc w:val="both"/>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110" w:name="_Toc10788"/>
      <w:bookmarkStart w:id="111" w:name="_Toc23948"/>
    </w:p>
    <w:p w14:paraId="766C6F18">
      <w:pPr>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拟投入本项目服务人员计划表</w:t>
      </w:r>
      <w:bookmarkEnd w:id="110"/>
      <w:bookmarkEnd w:id="111"/>
    </w:p>
    <w:p w14:paraId="32475E3D">
      <w:pPr>
        <w:jc w:val="center"/>
        <w:rPr>
          <w:rFonts w:hint="eastAsia" w:ascii="仿宋" w:hAnsi="仿宋" w:eastAsia="仿宋" w:cs="仿宋"/>
          <w:b/>
          <w:color w:val="000000" w:themeColor="text1"/>
          <w:sz w:val="48"/>
          <w:highlight w:val="none"/>
          <w14:textFill>
            <w14:solidFill>
              <w14:schemeClr w14:val="tx1"/>
            </w14:solidFill>
          </w14:textFill>
        </w:rPr>
      </w:pP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1388"/>
        <w:gridCol w:w="2354"/>
        <w:gridCol w:w="2151"/>
        <w:gridCol w:w="1770"/>
        <w:gridCol w:w="1388"/>
      </w:tblGrid>
      <w:tr w14:paraId="5444C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6" w:type="pct"/>
            <w:noWrap/>
            <w:vAlign w:val="center"/>
          </w:tcPr>
          <w:p w14:paraId="1B0E080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704" w:type="pct"/>
            <w:noWrap/>
            <w:vAlign w:val="center"/>
          </w:tcPr>
          <w:p w14:paraId="3D072166">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人员姓名</w:t>
            </w:r>
          </w:p>
        </w:tc>
        <w:tc>
          <w:tcPr>
            <w:tcW w:w="1194" w:type="pct"/>
            <w:noWrap/>
            <w:vAlign w:val="center"/>
          </w:tcPr>
          <w:p w14:paraId="5941A8D6">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身份证号</w:t>
            </w:r>
          </w:p>
        </w:tc>
        <w:tc>
          <w:tcPr>
            <w:tcW w:w="1091" w:type="pct"/>
            <w:noWrap/>
            <w:vAlign w:val="center"/>
          </w:tcPr>
          <w:p w14:paraId="7109400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社保号</w:t>
            </w:r>
          </w:p>
        </w:tc>
        <w:tc>
          <w:tcPr>
            <w:tcW w:w="898" w:type="pct"/>
            <w:noWrap/>
            <w:vAlign w:val="center"/>
          </w:tcPr>
          <w:p w14:paraId="6AC3E04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服务人员类型</w:t>
            </w:r>
          </w:p>
        </w:tc>
        <w:tc>
          <w:tcPr>
            <w:tcW w:w="704" w:type="pct"/>
            <w:noWrap/>
            <w:vAlign w:val="center"/>
          </w:tcPr>
          <w:p w14:paraId="31822759">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联系电话</w:t>
            </w:r>
          </w:p>
        </w:tc>
      </w:tr>
      <w:tr w14:paraId="4E5E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6" w:type="pct"/>
            <w:noWrap/>
            <w:vAlign w:val="center"/>
          </w:tcPr>
          <w:p w14:paraId="7B9EC34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704" w:type="pct"/>
            <w:noWrap/>
            <w:vAlign w:val="center"/>
          </w:tcPr>
          <w:p w14:paraId="435DE813">
            <w:pPr>
              <w:jc w:val="center"/>
              <w:rPr>
                <w:rFonts w:hint="eastAsia" w:ascii="仿宋" w:hAnsi="仿宋" w:eastAsia="仿宋" w:cs="仿宋"/>
                <w:color w:val="000000" w:themeColor="text1"/>
                <w:highlight w:val="none"/>
                <w14:textFill>
                  <w14:solidFill>
                    <w14:schemeClr w14:val="tx1"/>
                  </w14:solidFill>
                </w14:textFill>
              </w:rPr>
            </w:pPr>
          </w:p>
        </w:tc>
        <w:tc>
          <w:tcPr>
            <w:tcW w:w="1194" w:type="pct"/>
            <w:noWrap/>
            <w:vAlign w:val="center"/>
          </w:tcPr>
          <w:p w14:paraId="17D17276">
            <w:pPr>
              <w:jc w:val="center"/>
              <w:rPr>
                <w:rFonts w:hint="eastAsia" w:ascii="仿宋" w:hAnsi="仿宋" w:eastAsia="仿宋" w:cs="仿宋"/>
                <w:color w:val="000000" w:themeColor="text1"/>
                <w:highlight w:val="none"/>
                <w14:textFill>
                  <w14:solidFill>
                    <w14:schemeClr w14:val="tx1"/>
                  </w14:solidFill>
                </w14:textFill>
              </w:rPr>
            </w:pPr>
          </w:p>
        </w:tc>
        <w:tc>
          <w:tcPr>
            <w:tcW w:w="1091" w:type="pct"/>
            <w:noWrap/>
            <w:vAlign w:val="center"/>
          </w:tcPr>
          <w:p w14:paraId="75C49234">
            <w:pPr>
              <w:jc w:val="center"/>
              <w:rPr>
                <w:rFonts w:hint="eastAsia" w:ascii="仿宋" w:hAnsi="仿宋" w:eastAsia="仿宋" w:cs="仿宋"/>
                <w:color w:val="000000" w:themeColor="text1"/>
                <w:highlight w:val="none"/>
                <w14:textFill>
                  <w14:solidFill>
                    <w14:schemeClr w14:val="tx1"/>
                  </w14:solidFill>
                </w14:textFill>
              </w:rPr>
            </w:pPr>
          </w:p>
        </w:tc>
        <w:tc>
          <w:tcPr>
            <w:tcW w:w="898" w:type="pct"/>
            <w:noWrap/>
            <w:vAlign w:val="center"/>
          </w:tcPr>
          <w:p w14:paraId="67D00DE9">
            <w:pPr>
              <w:jc w:val="center"/>
              <w:rPr>
                <w:rFonts w:hint="eastAsia" w:ascii="仿宋" w:hAnsi="仿宋" w:eastAsia="仿宋" w:cs="仿宋"/>
                <w:color w:val="000000" w:themeColor="text1"/>
                <w:highlight w:val="none"/>
                <w14:textFill>
                  <w14:solidFill>
                    <w14:schemeClr w14:val="tx1"/>
                  </w14:solidFill>
                </w14:textFill>
              </w:rPr>
            </w:pPr>
          </w:p>
        </w:tc>
        <w:tc>
          <w:tcPr>
            <w:tcW w:w="704" w:type="pct"/>
            <w:noWrap/>
            <w:vAlign w:val="center"/>
          </w:tcPr>
          <w:p w14:paraId="17674C6D">
            <w:pPr>
              <w:jc w:val="center"/>
              <w:rPr>
                <w:rFonts w:hint="eastAsia" w:ascii="仿宋" w:hAnsi="仿宋" w:eastAsia="仿宋" w:cs="仿宋"/>
                <w:color w:val="000000" w:themeColor="text1"/>
                <w:highlight w:val="none"/>
                <w14:textFill>
                  <w14:solidFill>
                    <w14:schemeClr w14:val="tx1"/>
                  </w14:solidFill>
                </w14:textFill>
              </w:rPr>
            </w:pPr>
          </w:p>
        </w:tc>
      </w:tr>
      <w:tr w14:paraId="1E67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6" w:type="pct"/>
            <w:noWrap/>
            <w:vAlign w:val="center"/>
          </w:tcPr>
          <w:p w14:paraId="5F79102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704" w:type="pct"/>
            <w:noWrap/>
            <w:vAlign w:val="center"/>
          </w:tcPr>
          <w:p w14:paraId="36D186E2">
            <w:pPr>
              <w:jc w:val="center"/>
              <w:rPr>
                <w:rFonts w:hint="eastAsia" w:ascii="仿宋" w:hAnsi="仿宋" w:eastAsia="仿宋" w:cs="仿宋"/>
                <w:color w:val="000000" w:themeColor="text1"/>
                <w:highlight w:val="none"/>
                <w14:textFill>
                  <w14:solidFill>
                    <w14:schemeClr w14:val="tx1"/>
                  </w14:solidFill>
                </w14:textFill>
              </w:rPr>
            </w:pPr>
          </w:p>
        </w:tc>
        <w:tc>
          <w:tcPr>
            <w:tcW w:w="1194" w:type="pct"/>
            <w:noWrap/>
            <w:vAlign w:val="center"/>
          </w:tcPr>
          <w:p w14:paraId="29252593">
            <w:pPr>
              <w:jc w:val="center"/>
              <w:rPr>
                <w:rFonts w:hint="eastAsia" w:ascii="仿宋" w:hAnsi="仿宋" w:eastAsia="仿宋" w:cs="仿宋"/>
                <w:color w:val="000000" w:themeColor="text1"/>
                <w:highlight w:val="none"/>
                <w14:textFill>
                  <w14:solidFill>
                    <w14:schemeClr w14:val="tx1"/>
                  </w14:solidFill>
                </w14:textFill>
              </w:rPr>
            </w:pPr>
          </w:p>
        </w:tc>
        <w:tc>
          <w:tcPr>
            <w:tcW w:w="1091" w:type="pct"/>
            <w:noWrap/>
            <w:vAlign w:val="center"/>
          </w:tcPr>
          <w:p w14:paraId="22CEC904">
            <w:pPr>
              <w:jc w:val="center"/>
              <w:rPr>
                <w:rFonts w:hint="eastAsia" w:ascii="仿宋" w:hAnsi="仿宋" w:eastAsia="仿宋" w:cs="仿宋"/>
                <w:color w:val="000000" w:themeColor="text1"/>
                <w:highlight w:val="none"/>
                <w14:textFill>
                  <w14:solidFill>
                    <w14:schemeClr w14:val="tx1"/>
                  </w14:solidFill>
                </w14:textFill>
              </w:rPr>
            </w:pPr>
          </w:p>
        </w:tc>
        <w:tc>
          <w:tcPr>
            <w:tcW w:w="898" w:type="pct"/>
            <w:noWrap/>
            <w:vAlign w:val="center"/>
          </w:tcPr>
          <w:p w14:paraId="7D5EA89B">
            <w:pPr>
              <w:jc w:val="center"/>
              <w:rPr>
                <w:rFonts w:hint="eastAsia" w:ascii="仿宋" w:hAnsi="仿宋" w:eastAsia="仿宋" w:cs="仿宋"/>
                <w:color w:val="000000" w:themeColor="text1"/>
                <w:highlight w:val="none"/>
                <w14:textFill>
                  <w14:solidFill>
                    <w14:schemeClr w14:val="tx1"/>
                  </w14:solidFill>
                </w14:textFill>
              </w:rPr>
            </w:pPr>
          </w:p>
        </w:tc>
        <w:tc>
          <w:tcPr>
            <w:tcW w:w="704" w:type="pct"/>
            <w:noWrap/>
            <w:vAlign w:val="center"/>
          </w:tcPr>
          <w:p w14:paraId="07D1D8BA">
            <w:pPr>
              <w:jc w:val="center"/>
              <w:rPr>
                <w:rFonts w:hint="eastAsia" w:ascii="仿宋" w:hAnsi="仿宋" w:eastAsia="仿宋" w:cs="仿宋"/>
                <w:color w:val="000000" w:themeColor="text1"/>
                <w:highlight w:val="none"/>
                <w14:textFill>
                  <w14:solidFill>
                    <w14:schemeClr w14:val="tx1"/>
                  </w14:solidFill>
                </w14:textFill>
              </w:rPr>
            </w:pPr>
          </w:p>
        </w:tc>
      </w:tr>
      <w:tr w14:paraId="4D143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6" w:type="pct"/>
            <w:noWrap/>
            <w:vAlign w:val="center"/>
          </w:tcPr>
          <w:p w14:paraId="54EBCC6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704" w:type="pct"/>
            <w:noWrap/>
            <w:vAlign w:val="center"/>
          </w:tcPr>
          <w:p w14:paraId="6E6F0C0B">
            <w:pPr>
              <w:jc w:val="center"/>
              <w:rPr>
                <w:rFonts w:hint="eastAsia" w:ascii="仿宋" w:hAnsi="仿宋" w:eastAsia="仿宋" w:cs="仿宋"/>
                <w:color w:val="000000" w:themeColor="text1"/>
                <w:highlight w:val="none"/>
                <w14:textFill>
                  <w14:solidFill>
                    <w14:schemeClr w14:val="tx1"/>
                  </w14:solidFill>
                </w14:textFill>
              </w:rPr>
            </w:pPr>
          </w:p>
        </w:tc>
        <w:tc>
          <w:tcPr>
            <w:tcW w:w="1194" w:type="pct"/>
            <w:noWrap/>
            <w:vAlign w:val="center"/>
          </w:tcPr>
          <w:p w14:paraId="20FD893E">
            <w:pPr>
              <w:jc w:val="center"/>
              <w:rPr>
                <w:rFonts w:hint="eastAsia" w:ascii="仿宋" w:hAnsi="仿宋" w:eastAsia="仿宋" w:cs="仿宋"/>
                <w:color w:val="000000" w:themeColor="text1"/>
                <w:highlight w:val="none"/>
                <w14:textFill>
                  <w14:solidFill>
                    <w14:schemeClr w14:val="tx1"/>
                  </w14:solidFill>
                </w14:textFill>
              </w:rPr>
            </w:pPr>
          </w:p>
        </w:tc>
        <w:tc>
          <w:tcPr>
            <w:tcW w:w="1091" w:type="pct"/>
            <w:noWrap/>
            <w:vAlign w:val="center"/>
          </w:tcPr>
          <w:p w14:paraId="290363BE">
            <w:pPr>
              <w:jc w:val="center"/>
              <w:rPr>
                <w:rFonts w:hint="eastAsia" w:ascii="仿宋" w:hAnsi="仿宋" w:eastAsia="仿宋" w:cs="仿宋"/>
                <w:color w:val="000000" w:themeColor="text1"/>
                <w:highlight w:val="none"/>
                <w14:textFill>
                  <w14:solidFill>
                    <w14:schemeClr w14:val="tx1"/>
                  </w14:solidFill>
                </w14:textFill>
              </w:rPr>
            </w:pPr>
          </w:p>
        </w:tc>
        <w:tc>
          <w:tcPr>
            <w:tcW w:w="898" w:type="pct"/>
            <w:noWrap/>
            <w:vAlign w:val="center"/>
          </w:tcPr>
          <w:p w14:paraId="01E0A569">
            <w:pPr>
              <w:jc w:val="center"/>
              <w:rPr>
                <w:rFonts w:hint="eastAsia" w:ascii="仿宋" w:hAnsi="仿宋" w:eastAsia="仿宋" w:cs="仿宋"/>
                <w:color w:val="000000" w:themeColor="text1"/>
                <w:highlight w:val="none"/>
                <w14:textFill>
                  <w14:solidFill>
                    <w14:schemeClr w14:val="tx1"/>
                  </w14:solidFill>
                </w14:textFill>
              </w:rPr>
            </w:pPr>
          </w:p>
        </w:tc>
        <w:tc>
          <w:tcPr>
            <w:tcW w:w="704" w:type="pct"/>
            <w:noWrap/>
            <w:vAlign w:val="center"/>
          </w:tcPr>
          <w:p w14:paraId="73F7E6E2">
            <w:pPr>
              <w:jc w:val="center"/>
              <w:rPr>
                <w:rFonts w:hint="eastAsia" w:ascii="仿宋" w:hAnsi="仿宋" w:eastAsia="仿宋" w:cs="仿宋"/>
                <w:color w:val="000000" w:themeColor="text1"/>
                <w:highlight w:val="none"/>
                <w14:textFill>
                  <w14:solidFill>
                    <w14:schemeClr w14:val="tx1"/>
                  </w14:solidFill>
                </w14:textFill>
              </w:rPr>
            </w:pPr>
          </w:p>
        </w:tc>
      </w:tr>
      <w:tr w14:paraId="2455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6" w:type="pct"/>
            <w:noWrap/>
            <w:vAlign w:val="center"/>
          </w:tcPr>
          <w:p w14:paraId="41ED792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704" w:type="pct"/>
            <w:noWrap/>
            <w:vAlign w:val="center"/>
          </w:tcPr>
          <w:p w14:paraId="5938E408">
            <w:pPr>
              <w:jc w:val="center"/>
              <w:rPr>
                <w:rFonts w:hint="eastAsia" w:ascii="仿宋" w:hAnsi="仿宋" w:eastAsia="仿宋" w:cs="仿宋"/>
                <w:color w:val="000000" w:themeColor="text1"/>
                <w:highlight w:val="none"/>
                <w14:textFill>
                  <w14:solidFill>
                    <w14:schemeClr w14:val="tx1"/>
                  </w14:solidFill>
                </w14:textFill>
              </w:rPr>
            </w:pPr>
          </w:p>
        </w:tc>
        <w:tc>
          <w:tcPr>
            <w:tcW w:w="1194" w:type="pct"/>
            <w:noWrap/>
            <w:vAlign w:val="center"/>
          </w:tcPr>
          <w:p w14:paraId="131060BA">
            <w:pPr>
              <w:jc w:val="center"/>
              <w:rPr>
                <w:rFonts w:hint="eastAsia" w:ascii="仿宋" w:hAnsi="仿宋" w:eastAsia="仿宋" w:cs="仿宋"/>
                <w:color w:val="000000" w:themeColor="text1"/>
                <w:highlight w:val="none"/>
                <w14:textFill>
                  <w14:solidFill>
                    <w14:schemeClr w14:val="tx1"/>
                  </w14:solidFill>
                </w14:textFill>
              </w:rPr>
            </w:pPr>
          </w:p>
        </w:tc>
        <w:tc>
          <w:tcPr>
            <w:tcW w:w="1091" w:type="pct"/>
            <w:noWrap/>
            <w:vAlign w:val="center"/>
          </w:tcPr>
          <w:p w14:paraId="3B5D356B">
            <w:pPr>
              <w:jc w:val="center"/>
              <w:rPr>
                <w:rFonts w:hint="eastAsia" w:ascii="仿宋" w:hAnsi="仿宋" w:eastAsia="仿宋" w:cs="仿宋"/>
                <w:color w:val="000000" w:themeColor="text1"/>
                <w:highlight w:val="none"/>
                <w14:textFill>
                  <w14:solidFill>
                    <w14:schemeClr w14:val="tx1"/>
                  </w14:solidFill>
                </w14:textFill>
              </w:rPr>
            </w:pPr>
          </w:p>
        </w:tc>
        <w:tc>
          <w:tcPr>
            <w:tcW w:w="898" w:type="pct"/>
            <w:noWrap/>
            <w:vAlign w:val="center"/>
          </w:tcPr>
          <w:p w14:paraId="1DC63254">
            <w:pPr>
              <w:jc w:val="center"/>
              <w:rPr>
                <w:rFonts w:hint="eastAsia" w:ascii="仿宋" w:hAnsi="仿宋" w:eastAsia="仿宋" w:cs="仿宋"/>
                <w:color w:val="000000" w:themeColor="text1"/>
                <w:highlight w:val="none"/>
                <w14:textFill>
                  <w14:solidFill>
                    <w14:schemeClr w14:val="tx1"/>
                  </w14:solidFill>
                </w14:textFill>
              </w:rPr>
            </w:pPr>
          </w:p>
        </w:tc>
        <w:tc>
          <w:tcPr>
            <w:tcW w:w="704" w:type="pct"/>
            <w:noWrap/>
            <w:vAlign w:val="center"/>
          </w:tcPr>
          <w:p w14:paraId="464CB3F0">
            <w:pPr>
              <w:jc w:val="center"/>
              <w:rPr>
                <w:rFonts w:hint="eastAsia" w:ascii="仿宋" w:hAnsi="仿宋" w:eastAsia="仿宋" w:cs="仿宋"/>
                <w:color w:val="000000" w:themeColor="text1"/>
                <w:highlight w:val="none"/>
                <w14:textFill>
                  <w14:solidFill>
                    <w14:schemeClr w14:val="tx1"/>
                  </w14:solidFill>
                </w14:textFill>
              </w:rPr>
            </w:pPr>
          </w:p>
        </w:tc>
      </w:tr>
      <w:tr w14:paraId="33E0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6" w:type="pct"/>
            <w:noWrap/>
            <w:vAlign w:val="center"/>
          </w:tcPr>
          <w:p w14:paraId="334A1D4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704" w:type="pct"/>
            <w:noWrap/>
            <w:vAlign w:val="center"/>
          </w:tcPr>
          <w:p w14:paraId="28CCD999">
            <w:pPr>
              <w:jc w:val="center"/>
              <w:rPr>
                <w:rFonts w:hint="eastAsia" w:ascii="仿宋" w:hAnsi="仿宋" w:eastAsia="仿宋" w:cs="仿宋"/>
                <w:color w:val="000000" w:themeColor="text1"/>
                <w:highlight w:val="none"/>
                <w14:textFill>
                  <w14:solidFill>
                    <w14:schemeClr w14:val="tx1"/>
                  </w14:solidFill>
                </w14:textFill>
              </w:rPr>
            </w:pPr>
          </w:p>
        </w:tc>
        <w:tc>
          <w:tcPr>
            <w:tcW w:w="1194" w:type="pct"/>
            <w:noWrap/>
            <w:vAlign w:val="center"/>
          </w:tcPr>
          <w:p w14:paraId="24F29FC6">
            <w:pPr>
              <w:jc w:val="center"/>
              <w:rPr>
                <w:rFonts w:hint="eastAsia" w:ascii="仿宋" w:hAnsi="仿宋" w:eastAsia="仿宋" w:cs="仿宋"/>
                <w:color w:val="000000" w:themeColor="text1"/>
                <w:highlight w:val="none"/>
                <w14:textFill>
                  <w14:solidFill>
                    <w14:schemeClr w14:val="tx1"/>
                  </w14:solidFill>
                </w14:textFill>
              </w:rPr>
            </w:pPr>
          </w:p>
        </w:tc>
        <w:tc>
          <w:tcPr>
            <w:tcW w:w="1091" w:type="pct"/>
            <w:noWrap/>
            <w:vAlign w:val="center"/>
          </w:tcPr>
          <w:p w14:paraId="3F4BD818">
            <w:pPr>
              <w:jc w:val="center"/>
              <w:rPr>
                <w:rFonts w:hint="eastAsia" w:ascii="仿宋" w:hAnsi="仿宋" w:eastAsia="仿宋" w:cs="仿宋"/>
                <w:color w:val="000000" w:themeColor="text1"/>
                <w:highlight w:val="none"/>
                <w14:textFill>
                  <w14:solidFill>
                    <w14:schemeClr w14:val="tx1"/>
                  </w14:solidFill>
                </w14:textFill>
              </w:rPr>
            </w:pPr>
          </w:p>
        </w:tc>
        <w:tc>
          <w:tcPr>
            <w:tcW w:w="898" w:type="pct"/>
            <w:noWrap/>
            <w:vAlign w:val="center"/>
          </w:tcPr>
          <w:p w14:paraId="5E9EABCD">
            <w:pPr>
              <w:jc w:val="center"/>
              <w:rPr>
                <w:rFonts w:hint="eastAsia" w:ascii="仿宋" w:hAnsi="仿宋" w:eastAsia="仿宋" w:cs="仿宋"/>
                <w:color w:val="000000" w:themeColor="text1"/>
                <w:highlight w:val="none"/>
                <w14:textFill>
                  <w14:solidFill>
                    <w14:schemeClr w14:val="tx1"/>
                  </w14:solidFill>
                </w14:textFill>
              </w:rPr>
            </w:pPr>
          </w:p>
        </w:tc>
        <w:tc>
          <w:tcPr>
            <w:tcW w:w="704" w:type="pct"/>
            <w:noWrap/>
            <w:vAlign w:val="center"/>
          </w:tcPr>
          <w:p w14:paraId="1A993352">
            <w:pPr>
              <w:jc w:val="center"/>
              <w:rPr>
                <w:rFonts w:hint="eastAsia" w:ascii="仿宋" w:hAnsi="仿宋" w:eastAsia="仿宋" w:cs="仿宋"/>
                <w:color w:val="000000" w:themeColor="text1"/>
                <w:highlight w:val="none"/>
                <w14:textFill>
                  <w14:solidFill>
                    <w14:schemeClr w14:val="tx1"/>
                  </w14:solidFill>
                </w14:textFill>
              </w:rPr>
            </w:pPr>
          </w:p>
        </w:tc>
      </w:tr>
    </w:tbl>
    <w:p w14:paraId="1D901EF3">
      <w:pPr>
        <w:tabs>
          <w:tab w:val="left" w:pos="1725"/>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注：1.此表后附人员身份证或驾驶证复印件加盖公章。</w:t>
      </w:r>
    </w:p>
    <w:p w14:paraId="46A00E23">
      <w:pPr>
        <w:tabs>
          <w:tab w:val="left" w:pos="1725"/>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2.此表后附劳动合同或由社保机构出具社保证明复印件加盖公章</w:t>
      </w:r>
    </w:p>
    <w:p w14:paraId="6F394A13">
      <w:pPr>
        <w:pStyle w:val="13"/>
        <w:snapToGrid w:val="0"/>
        <w:rPr>
          <w:rFonts w:hint="eastAsia" w:ascii="仿宋" w:hAnsi="仿宋" w:eastAsia="仿宋" w:cs="仿宋"/>
          <w:color w:val="000000" w:themeColor="text1"/>
          <w:sz w:val="24"/>
          <w:szCs w:val="24"/>
          <w:highlight w:val="none"/>
          <w14:textFill>
            <w14:solidFill>
              <w14:schemeClr w14:val="tx1"/>
            </w14:solidFill>
          </w14:textFill>
        </w:rPr>
      </w:pPr>
    </w:p>
    <w:p w14:paraId="41E7AA86">
      <w:pPr>
        <w:spacing w:line="500" w:lineRule="exact"/>
        <w:ind w:firstLine="3570" w:firstLineChars="1700"/>
        <w:jc w:val="left"/>
        <w:rPr>
          <w:rFonts w:hint="eastAsia" w:ascii="仿宋" w:hAnsi="仿宋" w:eastAsia="仿宋" w:cs="仿宋"/>
          <w:color w:val="000000" w:themeColor="text1"/>
          <w:szCs w:val="21"/>
          <w:highlight w:val="none"/>
          <w14:textFill>
            <w14:solidFill>
              <w14:schemeClr w14:val="tx1"/>
            </w14:solidFill>
          </w14:textFill>
        </w:rPr>
      </w:pPr>
      <w:bookmarkStart w:id="112" w:name="_Toc10705"/>
      <w:bookmarkStart w:id="113" w:name="_Toc26131"/>
      <w:r>
        <w:rPr>
          <w:rFonts w:hint="eastAsia" w:ascii="仿宋" w:hAnsi="仿宋" w:eastAsia="仿宋" w:cs="仿宋"/>
          <w:color w:val="000000" w:themeColor="text1"/>
          <w:szCs w:val="21"/>
          <w:highlight w:val="none"/>
          <w14:textFill>
            <w14:solidFill>
              <w14:schemeClr w14:val="tx1"/>
            </w14:solidFill>
          </w14:textFill>
        </w:rPr>
        <w:t xml:space="preserve"> 投标人：</w:t>
      </w:r>
      <w:r>
        <w:rPr>
          <w:rFonts w:hint="eastAsia" w:ascii="仿宋" w:hAnsi="仿宋" w:eastAsia="仿宋" w:cs="仿宋"/>
          <w:color w:val="000000" w:themeColor="text1"/>
          <w:szCs w:val="21"/>
          <w:highlight w:val="none"/>
          <w:u w:val="single"/>
          <w14:textFill>
            <w14:solidFill>
              <w14:schemeClr w14:val="tx1"/>
            </w14:solidFill>
          </w14:textFill>
        </w:rPr>
        <w:t xml:space="preserve">            （盖单位章）  </w:t>
      </w:r>
    </w:p>
    <w:p w14:paraId="6D7A1689">
      <w:pPr>
        <w:spacing w:line="500" w:lineRule="exact"/>
        <w:ind w:firstLine="3465" w:firstLineChars="16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（签字或盖章）</w:t>
      </w:r>
    </w:p>
    <w:p w14:paraId="6F3A827D">
      <w:pPr>
        <w:spacing w:line="500" w:lineRule="exact"/>
        <w:ind w:firstLine="4200" w:firstLineChars="20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年    月    日</w:t>
      </w:r>
    </w:p>
    <w:p w14:paraId="39FF8550">
      <w:pPr>
        <w:pStyle w:val="12"/>
        <w:ind w:left="480" w:leftChars="0" w:firstLine="0" w:firstLineChars="0"/>
        <w:rPr>
          <w:rFonts w:hint="eastAsia" w:ascii="仿宋" w:hAnsi="仿宋" w:eastAsia="仿宋" w:cs="仿宋"/>
          <w:color w:val="000000" w:themeColor="text1"/>
          <w:highlight w:val="none"/>
          <w14:textFill>
            <w14:solidFill>
              <w14:schemeClr w14:val="tx1"/>
            </w14:solidFill>
          </w14:textFill>
        </w:rPr>
      </w:pPr>
    </w:p>
    <w:bookmarkEnd w:id="112"/>
    <w:bookmarkEnd w:id="113"/>
    <w:p w14:paraId="0F7FC56B">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bookmarkStart w:id="114" w:name="_Toc16416"/>
      <w:bookmarkStart w:id="115" w:name="_Toc2693"/>
    </w:p>
    <w:p w14:paraId="61BBC8EF">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7F900546">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5B7C9379">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5639F2BC">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5E9858AC">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024BE628">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39EE36F3">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460D078C">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32A98D4F">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5AF52E07">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48C225E4">
      <w:pPr>
        <w:snapToGrid w:val="0"/>
        <w:jc w:val="both"/>
        <w:outlineLvl w:val="0"/>
        <w:rPr>
          <w:rFonts w:hint="eastAsia" w:ascii="仿宋" w:hAnsi="仿宋" w:eastAsia="仿宋" w:cs="仿宋"/>
          <w:b/>
          <w:color w:val="000000" w:themeColor="text1"/>
          <w:sz w:val="28"/>
          <w:szCs w:val="28"/>
          <w:highlight w:val="none"/>
          <w14:textFill>
            <w14:solidFill>
              <w14:schemeClr w14:val="tx1"/>
            </w14:solidFill>
          </w14:textFill>
        </w:rPr>
      </w:pPr>
    </w:p>
    <w:p w14:paraId="3BD044BE">
      <w:pPr>
        <w:snapToGrid w:val="0"/>
        <w:jc w:val="center"/>
        <w:outlineLvl w:val="0"/>
        <w:rPr>
          <w:rFonts w:hint="eastAsia" w:ascii="仿宋" w:hAnsi="仿宋" w:eastAsia="仿宋" w:cs="仿宋"/>
          <w:b/>
          <w:color w:val="000000" w:themeColor="text1"/>
          <w:sz w:val="28"/>
          <w:szCs w:val="28"/>
          <w:highlight w:val="none"/>
          <w14:textFill>
            <w14:solidFill>
              <w14:schemeClr w14:val="tx1"/>
            </w14:solidFill>
          </w14:textFill>
        </w:rPr>
      </w:pPr>
    </w:p>
    <w:p w14:paraId="090FA319">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179E66EB">
      <w:pPr>
        <w:snapToGrid w:val="0"/>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廉政承诺书</w:t>
      </w:r>
      <w:bookmarkEnd w:id="114"/>
      <w:bookmarkEnd w:id="115"/>
    </w:p>
    <w:p w14:paraId="57F25442">
      <w:pPr>
        <w:adjustRightInd w:val="0"/>
        <w:snapToGrid w:val="0"/>
        <w:spacing w:line="560" w:lineRule="exact"/>
        <w:ind w:firstLine="42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为参加</w:t>
      </w:r>
      <w:r>
        <w:rPr>
          <w:rFonts w:hint="eastAsia" w:ascii="仿宋" w:hAnsi="仿宋" w:eastAsia="仿宋" w:cs="仿宋"/>
          <w:color w:val="000000" w:themeColor="text1"/>
          <w:szCs w:val="21"/>
          <w:highlight w:val="none"/>
          <w:u w:val="single"/>
          <w:lang w:eastAsia="zh-CN"/>
          <w14:textFill>
            <w14:solidFill>
              <w14:schemeClr w14:val="tx1"/>
            </w14:solidFill>
          </w14:textFill>
        </w:rPr>
        <w:t>浙江常新工贸有限公司新址辅助管理人员外包服务项目</w:t>
      </w:r>
      <w:r>
        <w:rPr>
          <w:rFonts w:hint="eastAsia" w:ascii="仿宋" w:hAnsi="仿宋" w:eastAsia="仿宋" w:cs="仿宋"/>
          <w:color w:val="000000" w:themeColor="text1"/>
          <w:szCs w:val="21"/>
          <w:highlight w:val="none"/>
          <w14:textFill>
            <w14:solidFill>
              <w14:schemeClr w14:val="tx1"/>
            </w14:solidFill>
          </w14:textFill>
        </w:rPr>
        <w:t>投标，本企业承诺如下：</w:t>
      </w:r>
    </w:p>
    <w:p w14:paraId="7DBA0303">
      <w:pPr>
        <w:adjustRightInd w:val="0"/>
        <w:snapToGrid w:val="0"/>
        <w:spacing w:line="56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本企业不属省属（招标人所属）系统处级以上领导干部（含副调研员和离退休干部）和招标人科级领导干部亲属及其特定关系人的企业，包括领导干部亲属及其特定关系人实际控制或担任股东或有关联交易、依托关系的企业。</w:t>
      </w:r>
    </w:p>
    <w:p w14:paraId="4C002917">
      <w:pPr>
        <w:adjustRightInd w:val="0"/>
        <w:snapToGrid w:val="0"/>
        <w:spacing w:line="56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二、本企业在投标或合同履行过程中，不给招标人的相关人员提供有悖于商业诚信原则的现金、实物、有价证券或服务，不通过非法手段谋求额外利益。</w:t>
      </w:r>
    </w:p>
    <w:p w14:paraId="59A81992">
      <w:pPr>
        <w:adjustRightInd w:val="0"/>
        <w:snapToGrid w:val="0"/>
        <w:spacing w:line="56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三、如有相反的事实存在，本企业自愿接受招标人取消本企业投标资格、没收投标保证金或在中标后终止合同并扣除履约保证金等处理。</w:t>
      </w:r>
    </w:p>
    <w:p w14:paraId="5E7523A9">
      <w:pPr>
        <w:adjustRightInd w:val="0"/>
        <w:snapToGrid w:val="0"/>
        <w:spacing w:line="360" w:lineRule="auto"/>
        <w:ind w:firstLine="3570" w:firstLineChars="1700"/>
        <w:rPr>
          <w:rFonts w:hint="eastAsia" w:ascii="仿宋" w:hAnsi="仿宋" w:eastAsia="仿宋" w:cs="仿宋"/>
          <w:color w:val="000000" w:themeColor="text1"/>
          <w:szCs w:val="21"/>
          <w:highlight w:val="none"/>
          <w14:textFill>
            <w14:solidFill>
              <w14:schemeClr w14:val="tx1"/>
            </w14:solidFill>
          </w14:textFill>
        </w:rPr>
      </w:pPr>
    </w:p>
    <w:p w14:paraId="63449197">
      <w:pPr>
        <w:adjustRightInd w:val="0"/>
        <w:snapToGrid w:val="0"/>
        <w:spacing w:line="360" w:lineRule="auto"/>
        <w:ind w:firstLine="3570" w:firstLineChars="1700"/>
        <w:rPr>
          <w:rFonts w:hint="eastAsia" w:ascii="仿宋" w:hAnsi="仿宋" w:eastAsia="仿宋" w:cs="仿宋"/>
          <w:color w:val="000000" w:themeColor="text1"/>
          <w:szCs w:val="21"/>
          <w:highlight w:val="none"/>
          <w14:textFill>
            <w14:solidFill>
              <w14:schemeClr w14:val="tx1"/>
            </w14:solidFill>
          </w14:textFill>
        </w:rPr>
      </w:pPr>
    </w:p>
    <w:p w14:paraId="4FE79F61">
      <w:pPr>
        <w:snapToGrid w:val="0"/>
        <w:jc w:val="center"/>
        <w:rPr>
          <w:rFonts w:hint="eastAsia" w:ascii="仿宋" w:hAnsi="仿宋" w:eastAsia="仿宋" w:cs="仿宋"/>
          <w:color w:val="000000" w:themeColor="text1"/>
          <w:szCs w:val="21"/>
          <w:highlight w:val="none"/>
          <w14:textFill>
            <w14:solidFill>
              <w14:schemeClr w14:val="tx1"/>
            </w14:solidFill>
          </w14:textFill>
        </w:rPr>
      </w:pPr>
    </w:p>
    <w:p w14:paraId="7CD91DF5">
      <w:pPr>
        <w:snapToGrid w:val="0"/>
        <w:spacing w:line="500" w:lineRule="exact"/>
        <w:ind w:firstLine="3780" w:firstLineChars="18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承诺人：（盖单位章）</w:t>
      </w:r>
    </w:p>
    <w:p w14:paraId="667BFC94">
      <w:pPr>
        <w:snapToGrid w:val="0"/>
        <w:spacing w:line="500" w:lineRule="exact"/>
        <w:rPr>
          <w:rFonts w:hint="eastAsia" w:ascii="仿宋" w:hAnsi="仿宋" w:eastAsia="仿宋" w:cs="仿宋"/>
          <w:color w:val="000000" w:themeColor="text1"/>
          <w:szCs w:val="24"/>
          <w:highlight w:val="none"/>
          <w14:textFill>
            <w14:solidFill>
              <w14:schemeClr w14:val="tx1"/>
            </w14:solidFill>
          </w14:textFill>
        </w:rPr>
      </w:pPr>
    </w:p>
    <w:p w14:paraId="18702D4D">
      <w:pPr>
        <w:snapToGrid w:val="0"/>
        <w:spacing w:line="500" w:lineRule="exact"/>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法定代表人或授权委托人（签字或盖章）：</w:t>
      </w:r>
    </w:p>
    <w:p w14:paraId="5E3338FB">
      <w:pPr>
        <w:snapToGrid w:val="0"/>
        <w:spacing w:line="500" w:lineRule="exact"/>
        <w:rPr>
          <w:rFonts w:hint="eastAsia" w:ascii="仿宋" w:hAnsi="仿宋" w:eastAsia="仿宋" w:cs="仿宋"/>
          <w:color w:val="000000" w:themeColor="text1"/>
          <w:szCs w:val="24"/>
          <w:highlight w:val="none"/>
          <w14:textFill>
            <w14:solidFill>
              <w14:schemeClr w14:val="tx1"/>
            </w14:solidFill>
          </w14:textFill>
        </w:rPr>
      </w:pPr>
    </w:p>
    <w:p w14:paraId="2596C9F5">
      <w:pPr>
        <w:snapToGrid w:val="0"/>
        <w:spacing w:line="500" w:lineRule="exact"/>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202</w:t>
      </w:r>
      <w:r>
        <w:rPr>
          <w:rFonts w:hint="eastAsia" w:ascii="仿宋" w:hAnsi="仿宋" w:eastAsia="仿宋" w:cs="仿宋"/>
          <w:color w:val="000000" w:themeColor="text1"/>
          <w:szCs w:val="24"/>
          <w:highlight w:val="none"/>
          <w:lang w:val="en-US" w:eastAsia="zh-CN"/>
          <w14:textFill>
            <w14:solidFill>
              <w14:schemeClr w14:val="tx1"/>
            </w14:solidFill>
          </w14:textFill>
        </w:rPr>
        <w:t>5</w:t>
      </w:r>
      <w:r>
        <w:rPr>
          <w:rFonts w:hint="eastAsia" w:ascii="仿宋" w:hAnsi="仿宋" w:eastAsia="仿宋" w:cs="仿宋"/>
          <w:color w:val="000000" w:themeColor="text1"/>
          <w:szCs w:val="24"/>
          <w:highlight w:val="none"/>
          <w14:textFill>
            <w14:solidFill>
              <w14:schemeClr w14:val="tx1"/>
            </w14:solidFill>
          </w14:textFill>
        </w:rPr>
        <w:t>年    月    日</w:t>
      </w:r>
    </w:p>
    <w:p w14:paraId="13D4AF22">
      <w:pPr>
        <w:snapToGrid w:val="0"/>
        <w:outlineLvl w:val="0"/>
        <w:rPr>
          <w:rFonts w:hint="eastAsia" w:ascii="仿宋" w:hAnsi="仿宋" w:eastAsia="仿宋" w:cs="仿宋"/>
          <w:b/>
          <w:color w:val="000000" w:themeColor="text1"/>
          <w:sz w:val="28"/>
          <w:szCs w:val="28"/>
          <w:highlight w:val="none"/>
          <w14:textFill>
            <w14:solidFill>
              <w14:schemeClr w14:val="tx1"/>
            </w14:solidFill>
          </w14:textFill>
        </w:rPr>
      </w:pPr>
      <w:bookmarkStart w:id="116" w:name="_Toc6720"/>
      <w:bookmarkStart w:id="117" w:name="_Toc21967"/>
    </w:p>
    <w:bookmarkEnd w:id="116"/>
    <w:bookmarkEnd w:id="117"/>
    <w:p w14:paraId="4ED47C60">
      <w:pPr>
        <w:pStyle w:val="12"/>
        <w:ind w:left="1063" w:hanging="643"/>
        <w:rPr>
          <w:rFonts w:hint="eastAsia" w:ascii="仿宋" w:hAnsi="仿宋" w:eastAsia="仿宋" w:cs="仿宋"/>
          <w:b/>
          <w:bCs/>
          <w:color w:val="000000" w:themeColor="text1"/>
          <w:sz w:val="32"/>
          <w:szCs w:val="32"/>
          <w:highlight w:val="none"/>
          <w:lang w:val="zh-CN"/>
          <w14:textFill>
            <w14:solidFill>
              <w14:schemeClr w14:val="tx1"/>
            </w14:solidFill>
          </w14:textFill>
        </w:rPr>
      </w:pPr>
    </w:p>
    <w:p w14:paraId="7E7B00B7">
      <w:pPr>
        <w:pStyle w:val="12"/>
        <w:ind w:left="1063" w:hanging="643"/>
        <w:rPr>
          <w:rFonts w:hint="eastAsia" w:ascii="仿宋" w:hAnsi="仿宋" w:eastAsia="仿宋" w:cs="仿宋"/>
          <w:b/>
          <w:bCs/>
          <w:color w:val="000000" w:themeColor="text1"/>
          <w:sz w:val="32"/>
          <w:szCs w:val="32"/>
          <w:highlight w:val="none"/>
          <w:lang w:val="zh-CN"/>
          <w14:textFill>
            <w14:solidFill>
              <w14:schemeClr w14:val="tx1"/>
            </w14:solidFill>
          </w14:textFill>
        </w:rPr>
      </w:pPr>
    </w:p>
    <w:p w14:paraId="1FF87FC2">
      <w:pPr>
        <w:pStyle w:val="12"/>
        <w:ind w:left="1063" w:hanging="643"/>
        <w:rPr>
          <w:rFonts w:hint="eastAsia" w:ascii="仿宋" w:hAnsi="仿宋" w:eastAsia="仿宋" w:cs="仿宋"/>
          <w:b/>
          <w:bCs/>
          <w:color w:val="000000" w:themeColor="text1"/>
          <w:sz w:val="32"/>
          <w:szCs w:val="32"/>
          <w:highlight w:val="none"/>
          <w:lang w:val="zh-CN"/>
          <w14:textFill>
            <w14:solidFill>
              <w14:schemeClr w14:val="tx1"/>
            </w14:solidFill>
          </w14:textFill>
        </w:rPr>
      </w:pPr>
    </w:p>
    <w:p w14:paraId="610798BC">
      <w:pPr>
        <w:pStyle w:val="12"/>
        <w:ind w:left="1063" w:hanging="643"/>
        <w:rPr>
          <w:rFonts w:hint="eastAsia" w:ascii="仿宋" w:hAnsi="仿宋" w:eastAsia="仿宋" w:cs="仿宋"/>
          <w:b/>
          <w:bCs/>
          <w:color w:val="000000" w:themeColor="text1"/>
          <w:sz w:val="32"/>
          <w:szCs w:val="32"/>
          <w:highlight w:val="none"/>
          <w:lang w:val="zh-CN"/>
          <w14:textFill>
            <w14:solidFill>
              <w14:schemeClr w14:val="tx1"/>
            </w14:solidFill>
          </w14:textFill>
        </w:rPr>
      </w:pPr>
    </w:p>
    <w:p w14:paraId="0C5B94A4">
      <w:pPr>
        <w:pStyle w:val="12"/>
        <w:ind w:left="1063" w:hanging="643"/>
        <w:rPr>
          <w:rFonts w:hint="eastAsia" w:ascii="仿宋" w:hAnsi="仿宋" w:eastAsia="仿宋" w:cs="仿宋"/>
          <w:b/>
          <w:bCs/>
          <w:color w:val="000000" w:themeColor="text1"/>
          <w:sz w:val="32"/>
          <w:szCs w:val="32"/>
          <w:highlight w:val="none"/>
          <w:lang w:val="zh-CN"/>
          <w14:textFill>
            <w14:solidFill>
              <w14:schemeClr w14:val="tx1"/>
            </w14:solidFill>
          </w14:textFill>
        </w:rPr>
      </w:pPr>
    </w:p>
    <w:p w14:paraId="2CFA0A29">
      <w:pPr>
        <w:widowControl/>
        <w:shd w:val="clear" w:color="auto" w:fill="FFFFFF"/>
        <w:autoSpaceDE w:val="0"/>
        <w:spacing w:before="312" w:after="312" w:line="360" w:lineRule="auto"/>
        <w:jc w:val="center"/>
        <w:rPr>
          <w:rFonts w:hint="eastAsia" w:ascii="仿宋" w:hAnsi="仿宋" w:eastAsia="仿宋" w:cs="仿宋"/>
          <w:b/>
          <w:bCs/>
          <w:color w:val="000000" w:themeColor="text1"/>
          <w:szCs w:val="21"/>
          <w:highlight w:val="none"/>
          <w:lang w:val="zh-CN"/>
          <w14:textFill>
            <w14:solidFill>
              <w14:schemeClr w14:val="tx1"/>
            </w14:solidFill>
          </w14:textFill>
        </w:rPr>
      </w:pPr>
    </w:p>
    <w:p w14:paraId="656D1925">
      <w:pPr>
        <w:widowControl/>
        <w:shd w:val="clear" w:color="auto" w:fill="FFFFFF"/>
        <w:autoSpaceDE w:val="0"/>
        <w:spacing w:before="312" w:after="312" w:line="360" w:lineRule="auto"/>
        <w:jc w:val="center"/>
        <w:rPr>
          <w:rFonts w:hint="eastAsia" w:ascii="仿宋" w:hAnsi="仿宋" w:eastAsia="仿宋" w:cs="仿宋"/>
          <w:b/>
          <w:bCs/>
          <w:color w:val="000000" w:themeColor="text1"/>
          <w:sz w:val="28"/>
          <w:szCs w:val="28"/>
          <w:highlight w:val="none"/>
          <w:lang w:val="zh-CN"/>
          <w14:textFill>
            <w14:solidFill>
              <w14:schemeClr w14:val="tx1"/>
            </w14:solidFill>
          </w14:textFill>
        </w:rPr>
      </w:pPr>
      <w:bookmarkStart w:id="118" w:name="_Toc21723"/>
      <w:bookmarkStart w:id="119" w:name="_Toc6214"/>
    </w:p>
    <w:p w14:paraId="7F3AC95F">
      <w:pPr>
        <w:widowControl/>
        <w:shd w:val="clear" w:color="auto" w:fill="FFFFFF"/>
        <w:autoSpaceDE w:val="0"/>
        <w:spacing w:before="312" w:after="312" w:line="360" w:lineRule="auto"/>
        <w:jc w:val="both"/>
        <w:rPr>
          <w:rFonts w:hint="eastAsia" w:ascii="仿宋" w:hAnsi="仿宋" w:eastAsia="仿宋" w:cs="仿宋"/>
          <w:b/>
          <w:sz w:val="32"/>
          <w:szCs w:val="32"/>
        </w:rPr>
      </w:pPr>
    </w:p>
    <w:p w14:paraId="5EDB10DD">
      <w:pPr>
        <w:rPr>
          <w:rFonts w:hint="eastAsia" w:ascii="仿宋" w:hAnsi="仿宋" w:eastAsia="仿宋" w:cs="仿宋"/>
          <w:b/>
          <w:sz w:val="32"/>
          <w:szCs w:val="32"/>
        </w:rPr>
      </w:pPr>
      <w:r>
        <w:rPr>
          <w:rFonts w:hint="eastAsia" w:ascii="仿宋" w:hAnsi="仿宋" w:eastAsia="仿宋" w:cs="仿宋"/>
          <w:b/>
          <w:sz w:val="32"/>
          <w:szCs w:val="32"/>
        </w:rPr>
        <w:br w:type="page"/>
      </w:r>
    </w:p>
    <w:p w14:paraId="00367EB7">
      <w:pPr>
        <w:widowControl/>
        <w:shd w:val="clear" w:color="auto" w:fill="FFFFFF"/>
        <w:autoSpaceDE w:val="0"/>
        <w:spacing w:before="312" w:after="312" w:line="360" w:lineRule="auto"/>
        <w:jc w:val="center"/>
        <w:rPr>
          <w:rFonts w:hint="eastAsia" w:ascii="仿宋" w:hAnsi="仿宋" w:eastAsia="仿宋" w:cs="仿宋"/>
          <w:b/>
          <w:sz w:val="32"/>
          <w:szCs w:val="32"/>
        </w:rPr>
      </w:pPr>
      <w:r>
        <w:rPr>
          <w:rFonts w:hint="eastAsia" w:ascii="仿宋" w:hAnsi="仿宋" w:eastAsia="仿宋" w:cs="仿宋"/>
          <w:b/>
          <w:sz w:val="32"/>
          <w:szCs w:val="32"/>
        </w:rPr>
        <w:t>投标人认为需要加以说明的其他书面材料。</w:t>
      </w:r>
    </w:p>
    <w:p w14:paraId="71C663DD">
      <w:pPr>
        <w:rPr>
          <w:rFonts w:hint="eastAsia" w:ascii="仿宋" w:hAnsi="仿宋" w:eastAsia="仿宋" w:cs="仿宋"/>
          <w:b/>
          <w:sz w:val="32"/>
          <w:szCs w:val="32"/>
        </w:rPr>
      </w:pPr>
      <w:r>
        <w:rPr>
          <w:rFonts w:hint="eastAsia" w:ascii="仿宋" w:hAnsi="仿宋" w:eastAsia="仿宋" w:cs="仿宋"/>
          <w:b/>
          <w:sz w:val="32"/>
          <w:szCs w:val="32"/>
        </w:rPr>
        <w:br w:type="page"/>
      </w:r>
    </w:p>
    <w:p w14:paraId="400266E3">
      <w:pPr>
        <w:widowControl/>
        <w:shd w:val="clear" w:color="auto" w:fill="FFFFFF"/>
        <w:autoSpaceDE w:val="0"/>
        <w:spacing w:before="312" w:after="312" w:line="360" w:lineRule="auto"/>
        <w:jc w:val="center"/>
        <w:rPr>
          <w:rFonts w:hint="eastAsia" w:ascii="仿宋" w:hAnsi="仿宋" w:eastAsia="仿宋" w:cs="仿宋"/>
          <w:b/>
          <w:bCs/>
          <w:color w:val="000000" w:themeColor="text1"/>
          <w:sz w:val="28"/>
          <w:szCs w:val="28"/>
          <w:highlight w:val="none"/>
          <w:lang w:val="zh-CN"/>
          <w14:textFill>
            <w14:solidFill>
              <w14:schemeClr w14:val="tx1"/>
            </w14:solidFill>
          </w14:textFill>
        </w:rPr>
      </w:pPr>
      <w:r>
        <w:rPr>
          <w:rFonts w:hint="eastAsia" w:ascii="仿宋" w:hAnsi="仿宋" w:eastAsia="仿宋" w:cs="仿宋"/>
          <w:b/>
          <w:bCs/>
          <w:color w:val="000000" w:themeColor="text1"/>
          <w:sz w:val="28"/>
          <w:szCs w:val="28"/>
          <w:highlight w:val="none"/>
          <w:lang w:val="zh-CN"/>
          <w14:textFill>
            <w14:solidFill>
              <w14:schemeClr w14:val="tx1"/>
            </w14:solidFill>
          </w14:textFill>
        </w:rPr>
        <w:t>报价文件的外包装封面格式：（不可缺）</w:t>
      </w:r>
      <w:bookmarkEnd w:id="118"/>
      <w:bookmarkEnd w:id="119"/>
    </w:p>
    <w:p w14:paraId="6944B892">
      <w:pPr>
        <w:widowControl/>
        <w:shd w:val="clear" w:color="auto" w:fill="FFFFFF"/>
        <w:autoSpaceDE w:val="0"/>
        <w:spacing w:line="500" w:lineRule="exact"/>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607B8633">
      <w:pPr>
        <w:widowControl/>
        <w:shd w:val="clear" w:color="auto" w:fill="FFFFFF"/>
        <w:autoSpaceDE w:val="0"/>
        <w:spacing w:line="500" w:lineRule="exact"/>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575E2AAB">
      <w:pPr>
        <w:pStyle w:val="2"/>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7DC54F1B">
      <w:pPr>
        <w:pStyle w:val="3"/>
        <w:ind w:firstLine="281"/>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33BB242C">
      <w:pPr>
        <w:pStyle w:val="4"/>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27FBB4EA">
      <w:pPr>
        <w:widowControl/>
        <w:shd w:val="clear" w:color="auto" w:fill="FFFFFF"/>
        <w:autoSpaceDE w:val="0"/>
        <w:spacing w:line="500" w:lineRule="exact"/>
        <w:rPr>
          <w:rFonts w:hint="eastAsia" w:ascii="仿宋" w:hAnsi="仿宋" w:eastAsia="仿宋" w:cs="仿宋"/>
          <w:b/>
          <w:bCs/>
          <w:color w:val="000000" w:themeColor="text1"/>
          <w:sz w:val="28"/>
          <w:szCs w:val="28"/>
          <w:highlight w:val="none"/>
          <w:lang w:val="zh-CN"/>
          <w14:textFill>
            <w14:solidFill>
              <w14:schemeClr w14:val="tx1"/>
            </w14:solidFill>
          </w14:textFill>
        </w:rPr>
      </w:pPr>
    </w:p>
    <w:p w14:paraId="54EDE607">
      <w:pPr>
        <w:widowControl/>
        <w:shd w:val="clear" w:color="auto" w:fill="FFFFFF"/>
        <w:autoSpaceDE w:val="0"/>
        <w:jc w:val="center"/>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pacing w:val="-20"/>
          <w:sz w:val="28"/>
          <w:szCs w:val="28"/>
          <w:highlight w:val="none"/>
          <w:lang w:val="zh-CN"/>
          <w14:textFill>
            <w14:solidFill>
              <w14:schemeClr w14:val="tx1"/>
            </w14:solidFill>
          </w14:textFill>
        </w:rPr>
        <w:t>浙江常新工贸有限公司新址辅助管理人员外包服务项目</w:t>
      </w:r>
    </w:p>
    <w:p w14:paraId="0E551528">
      <w:pPr>
        <w:widowControl/>
        <w:shd w:val="clear" w:color="auto" w:fill="FFFFFF"/>
        <w:autoSpaceDE w:val="0"/>
        <w:jc w:val="center"/>
        <w:rPr>
          <w:rFonts w:hint="eastAsia" w:ascii="仿宋" w:hAnsi="仿宋" w:eastAsia="仿宋" w:cs="仿宋"/>
          <w:color w:val="000000" w:themeColor="text1"/>
          <w:sz w:val="28"/>
          <w:szCs w:val="28"/>
          <w:highlight w:val="none"/>
          <w:lang w:val="zh-CN"/>
          <w14:textFill>
            <w14:solidFill>
              <w14:schemeClr w14:val="tx1"/>
            </w14:solidFill>
          </w14:textFill>
        </w:rPr>
      </w:pPr>
    </w:p>
    <w:p w14:paraId="06B77B5C">
      <w:pPr>
        <w:widowControl/>
        <w:shd w:val="clear" w:color="auto" w:fill="FFFFFF"/>
        <w:autoSpaceDE w:val="0"/>
        <w:jc w:val="center"/>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报价文件</w:t>
      </w:r>
    </w:p>
    <w:p w14:paraId="513C5DF5">
      <w:pPr>
        <w:widowControl/>
        <w:shd w:val="clear" w:color="auto" w:fill="FFFFFF"/>
        <w:autoSpaceDE w:val="0"/>
        <w:jc w:val="center"/>
        <w:rPr>
          <w:rFonts w:hint="eastAsia" w:ascii="仿宋" w:hAnsi="仿宋" w:eastAsia="仿宋" w:cs="仿宋"/>
          <w:color w:val="000000" w:themeColor="text1"/>
          <w:sz w:val="28"/>
          <w:szCs w:val="28"/>
          <w:highlight w:val="none"/>
          <w:lang w:val="zh-CN"/>
          <w14:textFill>
            <w14:solidFill>
              <w14:schemeClr w14:val="tx1"/>
            </w14:solidFill>
          </w14:textFill>
        </w:rPr>
      </w:pPr>
    </w:p>
    <w:p w14:paraId="79DBB29F">
      <w:pPr>
        <w:widowControl/>
        <w:shd w:val="clear" w:color="auto" w:fill="FFFFFF"/>
        <w:autoSpaceDE w:val="0"/>
        <w:spacing w:line="500" w:lineRule="exact"/>
        <w:ind w:firstLine="955"/>
        <w:rPr>
          <w:rFonts w:hint="eastAsia" w:ascii="仿宋" w:hAnsi="仿宋" w:eastAsia="仿宋" w:cs="仿宋"/>
          <w:color w:val="000000" w:themeColor="text1"/>
          <w:sz w:val="28"/>
          <w:szCs w:val="28"/>
          <w:highlight w:val="none"/>
          <w:lang w:val="zh-CN"/>
          <w14:textFill>
            <w14:solidFill>
              <w14:schemeClr w14:val="tx1"/>
            </w14:solidFill>
          </w14:textFill>
        </w:rPr>
      </w:pPr>
    </w:p>
    <w:p w14:paraId="1940CD7B">
      <w:pPr>
        <w:widowControl/>
        <w:shd w:val="clear" w:color="auto" w:fill="FFFFFF"/>
        <w:autoSpaceDE w:val="0"/>
        <w:spacing w:line="500" w:lineRule="exact"/>
        <w:jc w:val="center"/>
        <w:rPr>
          <w:rFonts w:hint="eastAsia" w:ascii="仿宋" w:hAnsi="仿宋" w:eastAsia="仿宋" w:cs="仿宋"/>
          <w:sz w:val="32"/>
          <w:szCs w:val="32"/>
          <w:lang w:val="zh-CN"/>
        </w:rPr>
      </w:pPr>
      <w:r>
        <w:rPr>
          <w:rFonts w:hint="eastAsia" w:ascii="仿宋" w:hAnsi="仿宋" w:eastAsia="仿宋" w:cs="仿宋"/>
          <w:sz w:val="32"/>
          <w:szCs w:val="32"/>
          <w:lang w:val="zh-CN"/>
        </w:rPr>
        <w:t>在</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年</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时</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分</w:t>
      </w:r>
    </w:p>
    <w:p w14:paraId="4D893D4C">
      <w:pPr>
        <w:widowControl/>
        <w:shd w:val="clear" w:color="auto" w:fill="FFFFFF"/>
        <w:autoSpaceDE w:val="0"/>
        <w:spacing w:line="500" w:lineRule="exact"/>
        <w:jc w:val="center"/>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（开标时间）之前不得启封</w:t>
      </w:r>
    </w:p>
    <w:p w14:paraId="17AA874E">
      <w:pPr>
        <w:widowControl/>
        <w:shd w:val="clear" w:color="auto" w:fill="FFFFFF"/>
        <w:autoSpaceDE w:val="0"/>
        <w:spacing w:line="500" w:lineRule="exact"/>
        <w:ind w:firstLine="955"/>
        <w:rPr>
          <w:rFonts w:hint="eastAsia" w:ascii="仿宋" w:hAnsi="仿宋" w:eastAsia="仿宋" w:cs="仿宋"/>
          <w:color w:val="000000" w:themeColor="text1"/>
          <w:sz w:val="28"/>
          <w:szCs w:val="28"/>
          <w:highlight w:val="none"/>
          <w:lang w:val="zh-CN"/>
          <w14:textFill>
            <w14:solidFill>
              <w14:schemeClr w14:val="tx1"/>
            </w14:solidFill>
          </w14:textFill>
        </w:rPr>
      </w:pPr>
    </w:p>
    <w:p w14:paraId="3EFB827B">
      <w:pPr>
        <w:widowControl/>
        <w:shd w:val="clear" w:color="auto" w:fill="FFFFFF"/>
        <w:autoSpaceDE w:val="0"/>
        <w:spacing w:before="156" w:after="156" w:line="800" w:lineRule="exact"/>
        <w:ind w:firstLine="560" w:firstLineChars="200"/>
        <w:rPr>
          <w:rFonts w:hint="eastAsia" w:ascii="仿宋" w:hAnsi="仿宋" w:eastAsia="仿宋" w:cs="仿宋"/>
          <w:color w:val="000000" w:themeColor="text1"/>
          <w:sz w:val="28"/>
          <w:szCs w:val="28"/>
          <w:highlight w:val="none"/>
          <w:lang w:val="zh-CN"/>
          <w14:textFill>
            <w14:solidFill>
              <w14:schemeClr w14:val="tx1"/>
            </w14:solidFill>
          </w14:textFill>
        </w:rPr>
      </w:pPr>
    </w:p>
    <w:p w14:paraId="6149B0C1">
      <w:pPr>
        <w:wordWrap w:val="0"/>
        <w:ind w:firstLine="1260" w:firstLineChars="450"/>
        <w:rPr>
          <w:rFonts w:hint="eastAsia" w:ascii="仿宋" w:hAnsi="仿宋" w:eastAsia="仿宋" w:cs="仿宋"/>
          <w:color w:val="000000" w:themeColor="text1"/>
          <w:sz w:val="28"/>
          <w:szCs w:val="28"/>
          <w:highlight w:val="none"/>
          <w:u w:val="singl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投标人名称（盖章）：</w:t>
      </w:r>
    </w:p>
    <w:p w14:paraId="7177FC1E">
      <w:pPr>
        <w:pStyle w:val="2"/>
        <w:wordWrap w:val="0"/>
        <w:spacing w:line="480" w:lineRule="auto"/>
        <w:jc w:val="center"/>
        <w:rPr>
          <w:rFonts w:hint="eastAsia" w:ascii="仿宋" w:hAnsi="仿宋" w:eastAsia="仿宋" w:cs="仿宋"/>
          <w:color w:val="000000" w:themeColor="text1"/>
          <w:sz w:val="28"/>
          <w:szCs w:val="28"/>
          <w:highlight w:val="none"/>
          <w:u w:val="single"/>
          <w14:textFill>
            <w14:solidFill>
              <w14:schemeClr w14:val="tx1"/>
            </w14:solidFill>
          </w14:textFill>
        </w:rPr>
      </w:pPr>
    </w:p>
    <w:p w14:paraId="7338C003">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797B5F19">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25592CC2">
      <w:pPr>
        <w:pStyle w:val="3"/>
        <w:ind w:firstLine="280"/>
        <w:rPr>
          <w:rFonts w:hint="eastAsia" w:ascii="仿宋" w:hAnsi="仿宋" w:eastAsia="仿宋" w:cs="仿宋"/>
          <w:color w:val="000000" w:themeColor="text1"/>
          <w:sz w:val="28"/>
          <w:szCs w:val="28"/>
          <w:highlight w:val="none"/>
          <w14:textFill>
            <w14:solidFill>
              <w14:schemeClr w14:val="tx1"/>
            </w14:solidFill>
          </w14:textFill>
        </w:rPr>
      </w:pPr>
    </w:p>
    <w:p w14:paraId="32F4F7FE">
      <w:pPr>
        <w:pStyle w:val="4"/>
        <w:rPr>
          <w:rFonts w:hint="eastAsia" w:ascii="仿宋" w:hAnsi="仿宋" w:eastAsia="仿宋" w:cs="仿宋"/>
          <w:color w:val="000000" w:themeColor="text1"/>
          <w:sz w:val="28"/>
          <w:szCs w:val="28"/>
          <w:highlight w:val="none"/>
          <w14:textFill>
            <w14:solidFill>
              <w14:schemeClr w14:val="tx1"/>
            </w14:solidFill>
          </w14:textFill>
        </w:rPr>
      </w:pPr>
    </w:p>
    <w:p w14:paraId="03A79AF3">
      <w:pPr>
        <w:rPr>
          <w:rFonts w:hint="eastAsia" w:ascii="仿宋" w:hAnsi="仿宋" w:eastAsia="仿宋" w:cs="仿宋"/>
          <w:color w:val="000000" w:themeColor="text1"/>
          <w:sz w:val="28"/>
          <w:szCs w:val="28"/>
          <w:highlight w:val="none"/>
          <w14:textFill>
            <w14:solidFill>
              <w14:schemeClr w14:val="tx1"/>
            </w14:solidFill>
          </w14:textFill>
        </w:rPr>
      </w:pPr>
    </w:p>
    <w:p w14:paraId="03B1AAFB">
      <w:pPr>
        <w:pStyle w:val="2"/>
        <w:rPr>
          <w:rFonts w:hint="eastAsia" w:ascii="仿宋" w:hAnsi="仿宋" w:eastAsia="仿宋" w:cs="仿宋"/>
          <w:color w:val="000000" w:themeColor="text1"/>
          <w:sz w:val="28"/>
          <w:szCs w:val="28"/>
          <w:highlight w:val="none"/>
          <w14:textFill>
            <w14:solidFill>
              <w14:schemeClr w14:val="tx1"/>
            </w14:solidFill>
          </w14:textFill>
        </w:rPr>
      </w:pPr>
    </w:p>
    <w:p w14:paraId="2B1982B1">
      <w:pPr>
        <w:pStyle w:val="3"/>
        <w:ind w:firstLine="210"/>
        <w:rPr>
          <w:rFonts w:hint="eastAsia" w:ascii="仿宋" w:hAnsi="仿宋" w:eastAsia="仿宋" w:cs="仿宋"/>
          <w:color w:val="000000" w:themeColor="text1"/>
          <w:highlight w:val="none"/>
          <w14:textFill>
            <w14:solidFill>
              <w14:schemeClr w14:val="tx1"/>
            </w14:solidFill>
          </w14:textFill>
        </w:rPr>
      </w:pPr>
    </w:p>
    <w:p w14:paraId="522CCD8C">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7720D5D1">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24904C86">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72A72BF5">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w:t>
      </w:r>
    </w:p>
    <w:p w14:paraId="25220336">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（正本或副本）</w:t>
      </w:r>
    </w:p>
    <w:p w14:paraId="2E939DF2">
      <w:pPr>
        <w:pStyle w:val="2"/>
        <w:spacing w:line="48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5689A948">
      <w:pPr>
        <w:wordWrap w:val="0"/>
        <w:adjustRightInd w:val="0"/>
        <w:snapToGrid w:val="0"/>
        <w:spacing w:line="1000" w:lineRule="exact"/>
        <w:jc w:val="left"/>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招标项目名称：</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浙江常新工贸有限公司新址辅助管理人员外包服务项目</w:t>
      </w:r>
    </w:p>
    <w:p w14:paraId="275DC952">
      <w:pPr>
        <w:pStyle w:val="35"/>
        <w:wordWrap w:val="0"/>
        <w:spacing w:line="1000" w:lineRule="exact"/>
        <w:jc w:val="left"/>
        <w:rPr>
          <w:rFonts w:hint="eastAsia" w:ascii="仿宋" w:hAnsi="仿宋" w:eastAsia="仿宋" w:cs="仿宋"/>
          <w:color w:val="000000" w:themeColor="text1"/>
          <w:spacing w:val="20"/>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 标 编 号：</w:t>
      </w:r>
    </w:p>
    <w:p w14:paraId="0B873E3F">
      <w:pPr>
        <w:pStyle w:val="35"/>
        <w:wordWrap w:val="0"/>
        <w:spacing w:line="100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投标文件内容：</w:t>
      </w:r>
      <w:r>
        <w:rPr>
          <w:rFonts w:hint="eastAsia" w:ascii="仿宋" w:hAnsi="仿宋" w:eastAsia="仿宋" w:cs="仿宋"/>
          <w:color w:val="000000" w:themeColor="text1"/>
          <w:spacing w:val="20"/>
          <w:sz w:val="28"/>
          <w:szCs w:val="28"/>
          <w:highlight w:val="none"/>
          <w:u w:val="single"/>
          <w14:textFill>
            <w14:solidFill>
              <w14:schemeClr w14:val="tx1"/>
            </w14:solidFill>
          </w14:textFill>
        </w:rPr>
        <w:t xml:space="preserve">        报价文件               </w:t>
      </w:r>
    </w:p>
    <w:p w14:paraId="119F8F40">
      <w:pPr>
        <w:pStyle w:val="35"/>
        <w:spacing w:line="1000" w:lineRule="exact"/>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   标   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（盖公章）   </w:t>
      </w:r>
    </w:p>
    <w:p w14:paraId="5CD26F73">
      <w:pPr>
        <w:pStyle w:val="35"/>
        <w:spacing w:line="1000" w:lineRule="exact"/>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法定代表人或委托代理人：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（签字或盖章）</w:t>
      </w:r>
    </w:p>
    <w:p w14:paraId="3A603CD9">
      <w:pPr>
        <w:pStyle w:val="35"/>
        <w:spacing w:line="1200" w:lineRule="exact"/>
        <w:jc w:val="center"/>
        <w:rPr>
          <w:rFonts w:hint="eastAsia" w:ascii="仿宋" w:hAnsi="仿宋" w:eastAsia="仿宋" w:cs="仿宋"/>
          <w:color w:val="000000" w:themeColor="text1"/>
          <w:sz w:val="28"/>
          <w:szCs w:val="28"/>
          <w:highlight w:val="none"/>
          <w14:textFill>
            <w14:solidFill>
              <w14:schemeClr w14:val="tx1"/>
            </w14:solidFill>
          </w14:textFill>
        </w:rPr>
      </w:pPr>
    </w:p>
    <w:p w14:paraId="131395AD">
      <w:pPr>
        <w:pStyle w:val="35"/>
        <w:spacing w:line="10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日期：202</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    月    日</w:t>
      </w:r>
    </w:p>
    <w:p w14:paraId="44A3FDF5">
      <w:pPr>
        <w:autoSpaceDE w:val="0"/>
        <w:autoSpaceDN w:val="0"/>
        <w:adjustRightInd w:val="0"/>
        <w:snapToGrid w:val="0"/>
        <w:spacing w:line="360" w:lineRule="auto"/>
        <w:ind w:left="466" w:leftChars="222"/>
        <w:jc w:val="center"/>
        <w:textAlignment w:val="bottom"/>
        <w:rPr>
          <w:rFonts w:hint="eastAsia" w:ascii="仿宋" w:hAnsi="仿宋" w:eastAsia="仿宋" w:cs="仿宋"/>
          <w:color w:val="000000" w:themeColor="text1"/>
          <w:szCs w:val="21"/>
          <w:highlight w:val="none"/>
          <w14:textFill>
            <w14:solidFill>
              <w14:schemeClr w14:val="tx1"/>
            </w14:solidFill>
          </w14:textFill>
        </w:rPr>
      </w:pPr>
    </w:p>
    <w:p w14:paraId="240E581A">
      <w:pPr>
        <w:autoSpaceDE w:val="0"/>
        <w:autoSpaceDN w:val="0"/>
        <w:adjustRightInd w:val="0"/>
        <w:snapToGrid w:val="0"/>
        <w:spacing w:line="360" w:lineRule="auto"/>
        <w:ind w:left="466" w:leftChars="222"/>
        <w:jc w:val="center"/>
        <w:textAlignment w:val="bottom"/>
        <w:rPr>
          <w:rFonts w:hint="eastAsia" w:ascii="仿宋" w:hAnsi="仿宋" w:eastAsia="仿宋" w:cs="仿宋"/>
          <w:color w:val="000000" w:themeColor="text1"/>
          <w:szCs w:val="21"/>
          <w:highlight w:val="none"/>
          <w14:textFill>
            <w14:solidFill>
              <w14:schemeClr w14:val="tx1"/>
            </w14:solidFill>
          </w14:textFill>
        </w:rPr>
      </w:pPr>
    </w:p>
    <w:p w14:paraId="2DB586E5">
      <w:pPr>
        <w:pStyle w:val="2"/>
        <w:rPr>
          <w:rFonts w:hint="eastAsia" w:ascii="仿宋" w:hAnsi="仿宋" w:eastAsia="仿宋" w:cs="仿宋"/>
          <w:color w:val="000000" w:themeColor="text1"/>
          <w:szCs w:val="21"/>
          <w:highlight w:val="none"/>
          <w14:textFill>
            <w14:solidFill>
              <w14:schemeClr w14:val="tx1"/>
            </w14:solidFill>
          </w14:textFill>
        </w:rPr>
      </w:pPr>
    </w:p>
    <w:p w14:paraId="3B60C6FC">
      <w:pPr>
        <w:pStyle w:val="3"/>
        <w:ind w:firstLine="210"/>
        <w:rPr>
          <w:rFonts w:hint="eastAsia" w:ascii="仿宋" w:hAnsi="仿宋" w:eastAsia="仿宋" w:cs="仿宋"/>
          <w:color w:val="000000" w:themeColor="text1"/>
          <w:szCs w:val="21"/>
          <w:highlight w:val="none"/>
          <w14:textFill>
            <w14:solidFill>
              <w14:schemeClr w14:val="tx1"/>
            </w14:solidFill>
          </w14:textFill>
        </w:rPr>
      </w:pPr>
    </w:p>
    <w:p w14:paraId="421052BE">
      <w:pPr>
        <w:pStyle w:val="4"/>
        <w:rPr>
          <w:rFonts w:hint="eastAsia" w:ascii="仿宋" w:hAnsi="仿宋" w:eastAsia="仿宋" w:cs="仿宋"/>
          <w:color w:val="000000" w:themeColor="text1"/>
          <w:szCs w:val="21"/>
          <w:highlight w:val="none"/>
          <w14:textFill>
            <w14:solidFill>
              <w14:schemeClr w14:val="tx1"/>
            </w14:solidFill>
          </w14:textFill>
        </w:rPr>
      </w:pPr>
    </w:p>
    <w:p w14:paraId="559560A6">
      <w:pPr>
        <w:rPr>
          <w:rFonts w:hint="eastAsia" w:ascii="仿宋" w:hAnsi="仿宋" w:eastAsia="仿宋" w:cs="仿宋"/>
          <w:color w:val="000000" w:themeColor="text1"/>
          <w:szCs w:val="21"/>
          <w:highlight w:val="none"/>
          <w14:textFill>
            <w14:solidFill>
              <w14:schemeClr w14:val="tx1"/>
            </w14:solidFill>
          </w14:textFill>
        </w:rPr>
      </w:pPr>
    </w:p>
    <w:p w14:paraId="2A73213F">
      <w:pPr>
        <w:pStyle w:val="3"/>
        <w:ind w:firstLine="210"/>
        <w:rPr>
          <w:rFonts w:hint="eastAsia" w:ascii="仿宋" w:hAnsi="仿宋" w:eastAsia="仿宋" w:cs="仿宋"/>
          <w:color w:val="000000" w:themeColor="text1"/>
          <w:highlight w:val="none"/>
          <w14:textFill>
            <w14:solidFill>
              <w14:schemeClr w14:val="tx1"/>
            </w14:solidFill>
          </w14:textFill>
        </w:rPr>
      </w:pPr>
    </w:p>
    <w:p w14:paraId="4D079A14">
      <w:pPr>
        <w:pStyle w:val="4"/>
        <w:rPr>
          <w:rFonts w:hint="eastAsia" w:ascii="仿宋" w:hAnsi="仿宋" w:eastAsia="仿宋" w:cs="仿宋"/>
          <w:color w:val="000000" w:themeColor="text1"/>
          <w:highlight w:val="none"/>
          <w14:textFill>
            <w14:solidFill>
              <w14:schemeClr w14:val="tx1"/>
            </w14:solidFill>
          </w14:textFill>
        </w:rPr>
      </w:pPr>
    </w:p>
    <w:p w14:paraId="221AE9EC">
      <w:pPr>
        <w:adjustRightInd w:val="0"/>
        <w:snapToGrid w:val="0"/>
        <w:spacing w:line="360" w:lineRule="auto"/>
        <w:jc w:val="center"/>
        <w:outlineLvl w:val="0"/>
        <w:rPr>
          <w:rFonts w:hint="eastAsia" w:ascii="仿宋" w:hAnsi="仿宋" w:eastAsia="仿宋" w:cs="仿宋"/>
          <w:b/>
          <w:snapToGrid w:val="0"/>
          <w:color w:val="000000" w:themeColor="text1"/>
          <w:szCs w:val="21"/>
          <w:highlight w:val="none"/>
          <w14:textFill>
            <w14:solidFill>
              <w14:schemeClr w14:val="tx1"/>
            </w14:solidFill>
          </w14:textFill>
        </w:rPr>
      </w:pPr>
      <w:bookmarkStart w:id="120" w:name="_Toc25357"/>
      <w:bookmarkStart w:id="121" w:name="_Toc8839"/>
    </w:p>
    <w:p w14:paraId="44A22D3A">
      <w:pPr>
        <w:adjustRightInd w:val="0"/>
        <w:snapToGrid w:val="0"/>
        <w:spacing w:line="360" w:lineRule="auto"/>
        <w:jc w:val="center"/>
        <w:outlineLvl w:val="0"/>
        <w:rPr>
          <w:rFonts w:hint="eastAsia" w:ascii="仿宋" w:hAnsi="仿宋" w:eastAsia="仿宋" w:cs="仿宋"/>
          <w:b/>
          <w:snapToGrid w:val="0"/>
          <w:color w:val="000000" w:themeColor="text1"/>
          <w:szCs w:val="21"/>
          <w:highlight w:val="none"/>
          <w14:textFill>
            <w14:solidFill>
              <w14:schemeClr w14:val="tx1"/>
            </w14:solidFill>
          </w14:textFill>
        </w:rPr>
      </w:pPr>
    </w:p>
    <w:p w14:paraId="2DB1F4D3">
      <w:pPr>
        <w:pStyle w:val="10"/>
        <w:ind w:left="482" w:hanging="482"/>
        <w:rPr>
          <w:rFonts w:hint="eastAsia" w:ascii="仿宋" w:hAnsi="仿宋" w:eastAsia="仿宋" w:cs="仿宋"/>
          <w:b/>
          <w:snapToGrid w:val="0"/>
          <w:color w:val="000000" w:themeColor="text1"/>
          <w:szCs w:val="21"/>
          <w:highlight w:val="none"/>
          <w14:textFill>
            <w14:solidFill>
              <w14:schemeClr w14:val="tx1"/>
            </w14:solidFill>
          </w14:textFill>
        </w:rPr>
      </w:pPr>
    </w:p>
    <w:p w14:paraId="3495EEED">
      <w:pPr>
        <w:adjustRightInd w:val="0"/>
        <w:snapToGrid w:val="0"/>
        <w:spacing w:line="360" w:lineRule="auto"/>
        <w:jc w:val="both"/>
        <w:outlineLvl w:val="0"/>
        <w:rPr>
          <w:rFonts w:hint="eastAsia" w:ascii="仿宋" w:hAnsi="仿宋" w:eastAsia="仿宋" w:cs="仿宋"/>
          <w:b/>
          <w:snapToGrid w:val="0"/>
          <w:color w:val="000000" w:themeColor="text1"/>
          <w:sz w:val="28"/>
          <w:szCs w:val="28"/>
          <w:highlight w:val="none"/>
          <w14:textFill>
            <w14:solidFill>
              <w14:schemeClr w14:val="tx1"/>
            </w14:solidFill>
          </w14:textFill>
        </w:rPr>
      </w:pPr>
    </w:p>
    <w:p w14:paraId="6CF75383">
      <w:pPr>
        <w:rPr>
          <w:rFonts w:hint="eastAsia" w:ascii="仿宋" w:hAnsi="仿宋" w:eastAsia="仿宋" w:cs="仿宋"/>
          <w:b/>
          <w:snapToGrid w:val="0"/>
          <w:color w:val="000000" w:themeColor="text1"/>
          <w:sz w:val="28"/>
          <w:szCs w:val="28"/>
          <w:highlight w:val="none"/>
          <w:lang w:eastAsia="zh-CN"/>
          <w14:textFill>
            <w14:solidFill>
              <w14:schemeClr w14:val="tx1"/>
            </w14:solidFill>
          </w14:textFill>
        </w:rPr>
      </w:pPr>
      <w:r>
        <w:rPr>
          <w:rFonts w:hint="eastAsia" w:ascii="仿宋" w:hAnsi="仿宋" w:eastAsia="仿宋" w:cs="仿宋"/>
          <w:b/>
          <w:snapToGrid w:val="0"/>
          <w:color w:val="000000" w:themeColor="text1"/>
          <w:sz w:val="28"/>
          <w:szCs w:val="28"/>
          <w:highlight w:val="none"/>
          <w:lang w:eastAsia="zh-CN"/>
          <w14:textFill>
            <w14:solidFill>
              <w14:schemeClr w14:val="tx1"/>
            </w14:solidFill>
          </w14:textFill>
        </w:rPr>
        <w:br w:type="page"/>
      </w:r>
    </w:p>
    <w:p w14:paraId="7F54EEB7">
      <w:pPr>
        <w:adjustRightInd w:val="0"/>
        <w:snapToGrid w:val="0"/>
        <w:spacing w:line="360" w:lineRule="auto"/>
        <w:jc w:val="center"/>
        <w:outlineLvl w:val="0"/>
        <w:rPr>
          <w:rFonts w:hint="eastAsia" w:ascii="仿宋" w:hAnsi="仿宋" w:eastAsia="仿宋" w:cs="仿宋"/>
          <w:b/>
          <w:snapToGrid w:val="0"/>
          <w:color w:val="000000" w:themeColor="text1"/>
          <w:sz w:val="28"/>
          <w:szCs w:val="28"/>
          <w:highlight w:val="none"/>
          <w14:textFill>
            <w14:solidFill>
              <w14:schemeClr w14:val="tx1"/>
            </w14:solidFill>
          </w14:textFill>
        </w:rPr>
      </w:pPr>
      <w:r>
        <w:rPr>
          <w:rFonts w:hint="eastAsia" w:ascii="仿宋" w:hAnsi="仿宋" w:eastAsia="仿宋" w:cs="仿宋"/>
          <w:b/>
          <w:snapToGrid w:val="0"/>
          <w:color w:val="000000" w:themeColor="text1"/>
          <w:sz w:val="28"/>
          <w:szCs w:val="28"/>
          <w:highlight w:val="none"/>
          <w:lang w:eastAsia="zh-CN"/>
          <w14:textFill>
            <w14:solidFill>
              <w14:schemeClr w14:val="tx1"/>
            </w14:solidFill>
          </w14:textFill>
        </w:rPr>
        <w:t>一、</w:t>
      </w:r>
      <w:r>
        <w:rPr>
          <w:rFonts w:hint="eastAsia" w:ascii="仿宋" w:hAnsi="仿宋" w:eastAsia="仿宋" w:cs="仿宋"/>
          <w:b/>
          <w:snapToGrid w:val="0"/>
          <w:color w:val="000000" w:themeColor="text1"/>
          <w:sz w:val="28"/>
          <w:szCs w:val="28"/>
          <w:highlight w:val="none"/>
          <w14:textFill>
            <w14:solidFill>
              <w14:schemeClr w14:val="tx1"/>
            </w14:solidFill>
          </w14:textFill>
        </w:rPr>
        <w:t>投  标  函</w:t>
      </w:r>
      <w:bookmarkEnd w:id="120"/>
      <w:bookmarkEnd w:id="121"/>
    </w:p>
    <w:p w14:paraId="41114651">
      <w:pPr>
        <w:pStyle w:val="1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snapToGrid w:val="0"/>
          <w:color w:val="000000" w:themeColor="text1"/>
          <w:highlight w:val="none"/>
          <w14:textFill>
            <w14:solidFill>
              <w14:schemeClr w14:val="tx1"/>
            </w14:solidFill>
          </w14:textFill>
        </w:rPr>
        <w:t>致：</w:t>
      </w:r>
      <w:r>
        <w:rPr>
          <w:rFonts w:hint="eastAsia" w:ascii="仿宋" w:hAnsi="仿宋" w:eastAsia="仿宋" w:cs="仿宋"/>
          <w:snapToGrid w:val="0"/>
          <w:color w:val="000000" w:themeColor="text1"/>
          <w:highlight w:val="none"/>
          <w:u w:val="single"/>
          <w14:textFill>
            <w14:solidFill>
              <w14:schemeClr w14:val="tx1"/>
            </w14:solidFill>
          </w14:textFill>
        </w:rPr>
        <w:t>浙江常新工贸有限公司</w:t>
      </w:r>
      <w:r>
        <w:rPr>
          <w:rFonts w:hint="eastAsia" w:ascii="仿宋" w:hAnsi="仿宋" w:eastAsia="仿宋" w:cs="仿宋"/>
          <w:color w:val="000000" w:themeColor="text1"/>
          <w:highlight w:val="none"/>
          <w14:textFill>
            <w14:solidFill>
              <w14:schemeClr w14:val="tx1"/>
            </w14:solidFill>
          </w14:textFill>
        </w:rPr>
        <w:t>：</w:t>
      </w:r>
    </w:p>
    <w:p w14:paraId="6BC2C351">
      <w:pPr>
        <w:pStyle w:val="13"/>
        <w:snapToGrid w:val="0"/>
        <w:spacing w:line="360" w:lineRule="auto"/>
        <w:ind w:firstLine="404"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我方参加贵方组织的</w:t>
      </w:r>
      <w:r>
        <w:rPr>
          <w:rFonts w:hint="eastAsia" w:ascii="仿宋" w:hAnsi="仿宋" w:eastAsia="仿宋" w:cs="仿宋"/>
          <w:color w:val="000000" w:themeColor="text1"/>
          <w:highlight w:val="none"/>
          <w:u w:val="single"/>
          <w:lang w:eastAsia="zh-CN"/>
          <w14:textFill>
            <w14:solidFill>
              <w14:schemeClr w14:val="tx1"/>
            </w14:solidFill>
          </w14:textFill>
        </w:rPr>
        <w:t>浙江常新工贸有限公司新址辅助管理人员外包服务项目</w:t>
      </w:r>
      <w:r>
        <w:rPr>
          <w:rFonts w:hint="eastAsia" w:ascii="仿宋" w:hAnsi="仿宋" w:eastAsia="仿宋" w:cs="仿宋"/>
          <w:color w:val="000000" w:themeColor="text1"/>
          <w:spacing w:val="-4"/>
          <w:highlight w:val="none"/>
          <w:u w:val="single"/>
          <w14:textFill>
            <w14:solidFill>
              <w14:schemeClr w14:val="tx1"/>
            </w14:solidFill>
          </w14:textFill>
        </w:rPr>
        <w:t>（招标编号：</w:t>
      </w:r>
      <w:r>
        <w:rPr>
          <w:rFonts w:hint="eastAsia" w:ascii="仿宋" w:hAnsi="仿宋" w:eastAsia="仿宋" w:cs="仿宋"/>
          <w:color w:val="000000" w:themeColor="text1"/>
          <w:spacing w:val="-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highlight w:val="none"/>
          <w:u w:val="single"/>
          <w14:textFill>
            <w14:solidFill>
              <w14:schemeClr w14:val="tx1"/>
            </w14:solidFill>
          </w14:textFill>
        </w:rPr>
        <w:t>）</w:t>
      </w:r>
      <w:r>
        <w:rPr>
          <w:rFonts w:hint="eastAsia" w:ascii="仿宋" w:hAnsi="仿宋" w:eastAsia="仿宋" w:cs="仿宋"/>
          <w:color w:val="000000" w:themeColor="text1"/>
          <w:spacing w:val="-4"/>
          <w:highlight w:val="none"/>
          <w14:textFill>
            <w14:solidFill>
              <w14:schemeClr w14:val="tx1"/>
            </w14:solidFill>
          </w14:textFill>
        </w:rPr>
        <w:t>项目</w:t>
      </w:r>
      <w:r>
        <w:rPr>
          <w:rFonts w:hint="eastAsia" w:ascii="仿宋" w:hAnsi="仿宋" w:eastAsia="仿宋" w:cs="仿宋"/>
          <w:color w:val="000000" w:themeColor="text1"/>
          <w:highlight w:val="none"/>
          <w14:textFill>
            <w14:solidFill>
              <w14:schemeClr w14:val="tx1"/>
            </w14:solidFill>
          </w14:textFill>
        </w:rPr>
        <w:t>的招标活动。为此：</w:t>
      </w:r>
    </w:p>
    <w:p w14:paraId="0B2AF2A5">
      <w:pPr>
        <w:pStyle w:val="13"/>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一、提供投标须知规定的资信技术文件、报价文件各正本一份，副本四份。</w:t>
      </w:r>
    </w:p>
    <w:p w14:paraId="308A37E1">
      <w:pPr>
        <w:pStyle w:val="13"/>
        <w:snapToGrid w:val="0"/>
        <w:spacing w:line="360" w:lineRule="auto"/>
        <w:ind w:firstLine="42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总价（小写）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元</w:t>
      </w:r>
      <w:r>
        <w:rPr>
          <w:rFonts w:hint="eastAsia" w:ascii="仿宋" w:hAnsi="仿宋" w:eastAsia="仿宋" w:cs="仿宋"/>
          <w:color w:val="000000" w:themeColor="text1"/>
          <w:highlight w:val="none"/>
          <w:lang w:eastAsia="zh-CN"/>
          <w14:textFill>
            <w14:solidFill>
              <w14:schemeClr w14:val="tx1"/>
            </w14:solidFill>
          </w14:textFill>
        </w:rPr>
        <w:t>（最多保留小数点后两位），</w:t>
      </w:r>
      <w:r>
        <w:rPr>
          <w:rFonts w:hint="eastAsia" w:ascii="仿宋" w:hAnsi="仿宋" w:eastAsia="仿宋" w:cs="仿宋"/>
          <w:color w:val="000000" w:themeColor="text1"/>
          <w:highlight w:val="none"/>
          <w14:textFill>
            <w14:solidFill>
              <w14:schemeClr w14:val="tx1"/>
            </w14:solidFill>
          </w14:textFill>
        </w:rPr>
        <w:t>以上价格包含招标文件约定的一切费用。项目负责人为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；服务期为</w:t>
      </w:r>
      <w:r>
        <w:rPr>
          <w:rFonts w:hint="eastAsia" w:ascii="仿宋" w:hAnsi="仿宋" w:eastAsia="仿宋" w:cs="仿宋"/>
          <w:color w:val="000000" w:themeColor="text1"/>
          <w:highlight w:val="none"/>
          <w:lang w:val="en-US" w:eastAsia="zh-CN"/>
          <w14:textFill>
            <w14:solidFill>
              <w14:schemeClr w14:val="tx1"/>
            </w14:solidFill>
          </w14:textFill>
        </w:rPr>
        <w:t>一年。</w:t>
      </w:r>
    </w:p>
    <w:p w14:paraId="63C63C6B">
      <w:pPr>
        <w:pStyle w:val="13"/>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三、我方承诺：</w:t>
      </w:r>
    </w:p>
    <w:p w14:paraId="1D875F37">
      <w:pPr>
        <w:pStyle w:val="13"/>
        <w:spacing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1、保证遵守招标文件中的有关规定和收费标准。</w:t>
      </w:r>
    </w:p>
    <w:p w14:paraId="59DB5BA5">
      <w:pPr>
        <w:pStyle w:val="13"/>
        <w:spacing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2、保证忠实地执行协议双方所签的合同，并承担合同规定的责任义务。</w:t>
      </w:r>
    </w:p>
    <w:p w14:paraId="1BA88800">
      <w:pPr>
        <w:pStyle w:val="13"/>
        <w:spacing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3、愿意向贵方提供任何与该项投标有关的数据、标准、技术资料及相关情况。</w:t>
      </w:r>
    </w:p>
    <w:p w14:paraId="5447B30D">
      <w:pPr>
        <w:pStyle w:val="13"/>
        <w:spacing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4、本投标自开标之日起</w:t>
      </w:r>
      <w:r>
        <w:rPr>
          <w:rFonts w:hint="eastAsia" w:ascii="仿宋" w:hAnsi="仿宋" w:eastAsia="仿宋" w:cs="仿宋"/>
          <w:color w:val="000000" w:themeColor="text1"/>
          <w:highlight w:val="none"/>
          <w:u w:val="single"/>
          <w14:textFill>
            <w14:solidFill>
              <w14:schemeClr w14:val="tx1"/>
            </w14:solidFill>
          </w14:textFill>
        </w:rPr>
        <w:t>90</w:t>
      </w:r>
      <w:r>
        <w:rPr>
          <w:rFonts w:hint="eastAsia" w:ascii="仿宋" w:hAnsi="仿宋" w:eastAsia="仿宋" w:cs="仿宋"/>
          <w:color w:val="000000" w:themeColor="text1"/>
          <w:highlight w:val="none"/>
          <w14:textFill>
            <w14:solidFill>
              <w14:schemeClr w14:val="tx1"/>
            </w14:solidFill>
          </w14:textFill>
        </w:rPr>
        <w:t>天内有效。</w:t>
      </w:r>
    </w:p>
    <w:p w14:paraId="57FD302B">
      <w:pPr>
        <w:pStyle w:val="13"/>
        <w:spacing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5、我方同意提供按照贵方可能要求的与其投标有关的一切数据或资料，理解贵方不一定要接受最高折扣投标或收到的任何投标。</w:t>
      </w:r>
    </w:p>
    <w:p w14:paraId="70F145F7">
      <w:pPr>
        <w:pStyle w:val="13"/>
        <w:spacing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6、投标人已详细审查全部招标文件，包括修改文件（如有）以及全部参考资料和有关附件。我们完全理解并同意放弃对这方面有不明及误解的权利。</w:t>
      </w:r>
    </w:p>
    <w:p w14:paraId="65758E66">
      <w:pPr>
        <w:pStyle w:val="13"/>
        <w:spacing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四、与本投标有关的一切正式往来通讯请寄：</w:t>
      </w:r>
    </w:p>
    <w:p w14:paraId="3C8AA73C">
      <w:pPr>
        <w:pStyle w:val="13"/>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地址：__________________________</w:t>
      </w:r>
    </w:p>
    <w:p w14:paraId="41FE73BA">
      <w:pPr>
        <w:pStyle w:val="13"/>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邮编：__________________________</w:t>
      </w:r>
    </w:p>
    <w:p w14:paraId="04A2A0B2">
      <w:pPr>
        <w:pStyle w:val="13"/>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电话：__________________________</w:t>
      </w:r>
    </w:p>
    <w:p w14:paraId="76965902">
      <w:pPr>
        <w:pStyle w:val="13"/>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传真：__________________________</w:t>
      </w:r>
    </w:p>
    <w:p w14:paraId="6160634B">
      <w:pPr>
        <w:spacing w:line="500" w:lineRule="exact"/>
        <w:ind w:left="3570" w:leftChars="17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投标人：</w:t>
      </w:r>
      <w:r>
        <w:rPr>
          <w:rFonts w:hint="eastAsia" w:ascii="仿宋" w:hAnsi="仿宋" w:eastAsia="仿宋" w:cs="仿宋"/>
          <w:color w:val="000000" w:themeColor="text1"/>
          <w:szCs w:val="21"/>
          <w:highlight w:val="none"/>
          <w:u w:val="single"/>
          <w14:textFill>
            <w14:solidFill>
              <w14:schemeClr w14:val="tx1"/>
            </w14:solidFill>
          </w14:textFill>
        </w:rPr>
        <w:t xml:space="preserve">            （盖单位章）  </w:t>
      </w:r>
    </w:p>
    <w:p w14:paraId="13582C0E">
      <w:pPr>
        <w:spacing w:line="500" w:lineRule="exact"/>
        <w:ind w:firstLine="3465" w:firstLineChars="16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（签字或盖章）</w:t>
      </w:r>
    </w:p>
    <w:p w14:paraId="518A3323">
      <w:pPr>
        <w:spacing w:line="500" w:lineRule="exact"/>
        <w:ind w:firstLine="3570" w:firstLineChars="17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202</w:t>
      </w:r>
      <w:r>
        <w:rPr>
          <w:rFonts w:hint="eastAsia" w:ascii="仿宋" w:hAnsi="仿宋" w:eastAsia="仿宋" w:cs="仿宋"/>
          <w:color w:val="000000" w:themeColor="text1"/>
          <w:kern w:val="0"/>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Cs w:val="21"/>
          <w:highlight w:val="none"/>
          <w14:textFill>
            <w14:solidFill>
              <w14:schemeClr w14:val="tx1"/>
            </w14:solidFill>
          </w14:textFill>
        </w:rPr>
        <w:t>年    月    日</w:t>
      </w:r>
    </w:p>
    <w:p w14:paraId="40844E04">
      <w:pPr>
        <w:rPr>
          <w:rFonts w:hint="eastAsia" w:ascii="仿宋" w:hAnsi="仿宋" w:eastAsia="仿宋" w:cs="仿宋"/>
        </w:rPr>
      </w:pPr>
      <w:r>
        <w:rPr>
          <w:rFonts w:hint="eastAsia" w:ascii="仿宋" w:hAnsi="仿宋" w:eastAsia="仿宋" w:cs="仿宋"/>
        </w:rPr>
        <w:br w:type="page"/>
      </w:r>
    </w:p>
    <w:p w14:paraId="20FEBAC3">
      <w:pPr>
        <w:adjustRightInd w:val="0"/>
        <w:snapToGrid w:val="0"/>
        <w:spacing w:line="360" w:lineRule="auto"/>
        <w:jc w:val="center"/>
        <w:rPr>
          <w:rFonts w:hint="eastAsia" w:ascii="仿宋" w:hAnsi="仿宋" w:eastAsia="仿宋" w:cs="仿宋"/>
          <w:b/>
          <w:snapToGrid w:val="0"/>
          <w:sz w:val="36"/>
          <w:szCs w:val="36"/>
        </w:rPr>
      </w:pPr>
      <w:r>
        <w:rPr>
          <w:rFonts w:hint="eastAsia" w:ascii="仿宋" w:hAnsi="仿宋" w:eastAsia="仿宋" w:cs="仿宋"/>
          <w:b/>
          <w:snapToGrid w:val="0"/>
          <w:sz w:val="36"/>
          <w:szCs w:val="36"/>
        </w:rPr>
        <w:t>二、投标报价一览表</w:t>
      </w:r>
    </w:p>
    <w:p w14:paraId="67F7CDC3">
      <w:pPr>
        <w:snapToGrid w:val="0"/>
        <w:spacing w:line="360" w:lineRule="exact"/>
        <w:rPr>
          <w:rFonts w:hint="eastAsia" w:ascii="仿宋" w:hAnsi="仿宋" w:eastAsia="仿宋" w:cs="仿宋"/>
          <w:sz w:val="24"/>
        </w:rPr>
      </w:pPr>
    </w:p>
    <w:p w14:paraId="516341DE">
      <w:pPr>
        <w:snapToGrid w:val="0"/>
        <w:spacing w:line="360" w:lineRule="exact"/>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浙江常新工贸有限公司新址辅助管理人员外包服务项目</w:t>
      </w:r>
      <w:r>
        <w:rPr>
          <w:rFonts w:hint="eastAsia" w:ascii="仿宋" w:hAnsi="仿宋" w:eastAsia="仿宋" w:cs="仿宋"/>
          <w:sz w:val="24"/>
        </w:rPr>
        <w:t xml:space="preserve">                                                          </w:t>
      </w:r>
    </w:p>
    <w:p w14:paraId="74D0F9DC">
      <w:pPr>
        <w:snapToGrid w:val="0"/>
        <w:spacing w:line="360" w:lineRule="exact"/>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S3J-C202504016</w:t>
      </w:r>
    </w:p>
    <w:p w14:paraId="5F2EA53B">
      <w:pPr>
        <w:snapToGrid w:val="0"/>
        <w:spacing w:line="360" w:lineRule="exact"/>
        <w:rPr>
          <w:rFonts w:hint="eastAsia" w:ascii="仿宋" w:hAnsi="仿宋" w:eastAsia="仿宋" w:cs="仿宋"/>
          <w:sz w:val="24"/>
        </w:rPr>
      </w:pPr>
    </w:p>
    <w:tbl>
      <w:tblPr>
        <w:tblStyle w:val="22"/>
        <w:tblW w:w="8849" w:type="dxa"/>
        <w:tblInd w:w="595" w:type="dxa"/>
        <w:tblLayout w:type="fixed"/>
        <w:tblCellMar>
          <w:top w:w="15" w:type="dxa"/>
          <w:left w:w="108" w:type="dxa"/>
          <w:bottom w:w="15" w:type="dxa"/>
          <w:right w:w="108" w:type="dxa"/>
        </w:tblCellMar>
      </w:tblPr>
      <w:tblGrid>
        <w:gridCol w:w="833"/>
        <w:gridCol w:w="4776"/>
        <w:gridCol w:w="3240"/>
      </w:tblGrid>
      <w:tr w14:paraId="04890E71">
        <w:tblPrEx>
          <w:tblCellMar>
            <w:top w:w="15" w:type="dxa"/>
            <w:left w:w="108" w:type="dxa"/>
            <w:bottom w:w="15" w:type="dxa"/>
            <w:right w:w="108" w:type="dxa"/>
          </w:tblCellMar>
        </w:tblPrEx>
        <w:trPr>
          <w:trHeight w:val="841" w:hRule="atLeast"/>
        </w:trPr>
        <w:tc>
          <w:tcPr>
            <w:tcW w:w="833" w:type="dxa"/>
            <w:tcBorders>
              <w:top w:val="single" w:color="000000" w:sz="4" w:space="0"/>
              <w:left w:val="single" w:color="000000" w:sz="4" w:space="0"/>
              <w:bottom w:val="single" w:color="000000" w:sz="4" w:space="0"/>
            </w:tcBorders>
            <w:noWrap w:val="0"/>
            <w:vAlign w:val="center"/>
          </w:tcPr>
          <w:p w14:paraId="3112EA6F">
            <w:pPr>
              <w:widowControl/>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14:paraId="0C70C594">
            <w:pPr>
              <w:widowControl/>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2DD374C">
            <w:pPr>
              <w:widowControl/>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投标总价</w:t>
            </w:r>
          </w:p>
        </w:tc>
      </w:tr>
      <w:tr w14:paraId="4A2A65FE">
        <w:tblPrEx>
          <w:tblCellMar>
            <w:top w:w="15" w:type="dxa"/>
            <w:left w:w="108" w:type="dxa"/>
            <w:bottom w:w="15" w:type="dxa"/>
            <w:right w:w="108" w:type="dxa"/>
          </w:tblCellMar>
        </w:tblPrEx>
        <w:trPr>
          <w:trHeight w:val="658" w:hRule="atLeast"/>
        </w:trPr>
        <w:tc>
          <w:tcPr>
            <w:tcW w:w="833" w:type="dxa"/>
            <w:vMerge w:val="restart"/>
            <w:tcBorders>
              <w:top w:val="single" w:color="000000" w:sz="4" w:space="0"/>
              <w:left w:val="single" w:color="000000" w:sz="4" w:space="0"/>
            </w:tcBorders>
            <w:shd w:val="clear" w:color="auto" w:fill="auto"/>
            <w:noWrap w:val="0"/>
            <w:vAlign w:val="center"/>
          </w:tcPr>
          <w:p w14:paraId="4CD36807">
            <w:pPr>
              <w:widowControl/>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4776" w:type="dxa"/>
            <w:vMerge w:val="restart"/>
            <w:tcBorders>
              <w:top w:val="single" w:color="000000" w:sz="4" w:space="0"/>
              <w:left w:val="single" w:color="000000" w:sz="4" w:space="0"/>
              <w:right w:val="single" w:color="000000" w:sz="4" w:space="0"/>
            </w:tcBorders>
            <w:shd w:val="clear" w:color="auto" w:fill="FFFFFF"/>
            <w:noWrap w:val="0"/>
            <w:vAlign w:val="center"/>
          </w:tcPr>
          <w:p w14:paraId="1890E6E1">
            <w:pPr>
              <w:widowControl/>
              <w:jc w:val="center"/>
              <w:rPr>
                <w:rFonts w:hint="eastAsia" w:ascii="仿宋" w:hAnsi="仿宋" w:eastAsia="仿宋" w:cs="仿宋"/>
                <w:kern w:val="0"/>
                <w:sz w:val="24"/>
                <w:szCs w:val="24"/>
              </w:rPr>
            </w:pPr>
            <w:r>
              <w:rPr>
                <w:rFonts w:hint="eastAsia" w:ascii="仿宋" w:hAnsi="仿宋" w:eastAsia="仿宋" w:cs="仿宋"/>
                <w:sz w:val="24"/>
                <w:lang w:eastAsia="zh-CN"/>
              </w:rPr>
              <w:t>浙江常新工贸有限公司新址辅助管理人员外包服务项目</w:t>
            </w:r>
            <w:r>
              <w:rPr>
                <w:rFonts w:hint="eastAsia" w:ascii="仿宋" w:hAnsi="仿宋" w:eastAsia="仿宋" w:cs="仿宋"/>
                <w:sz w:val="24"/>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FB2B1">
            <w:pPr>
              <w:pStyle w:val="13"/>
              <w:spacing w:line="360" w:lineRule="auto"/>
              <w:rPr>
                <w:rFonts w:hint="eastAsia" w:ascii="仿宋" w:hAnsi="仿宋" w:eastAsia="仿宋" w:cs="仿宋"/>
                <w:kern w:val="0"/>
                <w:sz w:val="24"/>
                <w:szCs w:val="24"/>
              </w:rPr>
            </w:pP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元整</w:t>
            </w:r>
          </w:p>
        </w:tc>
      </w:tr>
      <w:tr w14:paraId="6A3B205C">
        <w:tblPrEx>
          <w:tblCellMar>
            <w:top w:w="15" w:type="dxa"/>
            <w:left w:w="108" w:type="dxa"/>
            <w:bottom w:w="15" w:type="dxa"/>
            <w:right w:w="108" w:type="dxa"/>
          </w:tblCellMar>
        </w:tblPrEx>
        <w:trPr>
          <w:trHeight w:val="658" w:hRule="atLeast"/>
        </w:trPr>
        <w:tc>
          <w:tcPr>
            <w:tcW w:w="833" w:type="dxa"/>
            <w:vMerge w:val="continue"/>
            <w:tcBorders>
              <w:left w:val="single" w:color="000000" w:sz="4" w:space="0"/>
              <w:bottom w:val="single" w:color="000000" w:sz="4" w:space="0"/>
            </w:tcBorders>
            <w:shd w:val="clear" w:color="auto" w:fill="auto"/>
            <w:noWrap w:val="0"/>
            <w:vAlign w:val="center"/>
          </w:tcPr>
          <w:p w14:paraId="655144E8">
            <w:pPr>
              <w:widowControl/>
              <w:snapToGrid w:val="0"/>
              <w:spacing w:line="400" w:lineRule="exact"/>
              <w:jc w:val="center"/>
              <w:rPr>
                <w:rFonts w:hint="eastAsia" w:ascii="仿宋" w:hAnsi="仿宋" w:eastAsia="仿宋" w:cs="仿宋"/>
              </w:rPr>
            </w:pPr>
          </w:p>
        </w:tc>
        <w:tc>
          <w:tcPr>
            <w:tcW w:w="4776" w:type="dxa"/>
            <w:vMerge w:val="continue"/>
            <w:tcBorders>
              <w:left w:val="single" w:color="000000" w:sz="4" w:space="0"/>
              <w:bottom w:val="single" w:color="000000" w:sz="4" w:space="0"/>
              <w:right w:val="single" w:color="000000" w:sz="4" w:space="0"/>
            </w:tcBorders>
            <w:shd w:val="clear" w:color="auto" w:fill="FFFFFF"/>
            <w:noWrap w:val="0"/>
            <w:vAlign w:val="center"/>
          </w:tcPr>
          <w:p w14:paraId="739959BE">
            <w:pPr>
              <w:widowControl/>
              <w:snapToGrid w:val="0"/>
              <w:spacing w:line="400" w:lineRule="exact"/>
              <w:jc w:val="center"/>
              <w:rPr>
                <w:rFonts w:hint="eastAsia" w:ascii="仿宋" w:hAnsi="仿宋" w:eastAsia="仿宋" w:cs="仿宋"/>
              </w:rPr>
            </w:pP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7F460">
            <w:pPr>
              <w:pStyle w:val="13"/>
              <w:spacing w:line="360" w:lineRule="auto"/>
              <w:rPr>
                <w:rFonts w:hint="eastAsia" w:ascii="仿宋" w:hAnsi="仿宋" w:eastAsia="仿宋" w:cs="仿宋"/>
                <w:kern w:val="0"/>
                <w:sz w:val="24"/>
                <w:szCs w:val="24"/>
              </w:rPr>
            </w:pPr>
            <w:r>
              <w:rPr>
                <w:rFonts w:hint="eastAsia" w:ascii="仿宋" w:hAnsi="仿宋" w:eastAsia="仿宋" w:cs="仿宋"/>
                <w:color w:val="auto"/>
                <w:szCs w:val="21"/>
              </w:rPr>
              <w:t>小写：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tc>
      </w:tr>
    </w:tbl>
    <w:p w14:paraId="1624D2CA">
      <w:pPr>
        <w:adjustRightInd w:val="0"/>
        <w:snapToGrid w:val="0"/>
        <w:spacing w:line="480" w:lineRule="exact"/>
        <w:rPr>
          <w:rFonts w:hint="eastAsia" w:ascii="仿宋" w:hAnsi="仿宋" w:eastAsia="仿宋" w:cs="仿宋"/>
          <w:snapToGrid w:val="0"/>
          <w:sz w:val="24"/>
          <w:szCs w:val="24"/>
        </w:rPr>
      </w:pPr>
    </w:p>
    <w:p w14:paraId="02EE0A31">
      <w:pPr>
        <w:adjustRightInd w:val="0"/>
        <w:snapToGrid w:val="0"/>
        <w:spacing w:line="480" w:lineRule="exact"/>
        <w:rPr>
          <w:rFonts w:hint="eastAsia" w:ascii="仿宋" w:hAnsi="仿宋" w:eastAsia="仿宋" w:cs="仿宋"/>
          <w:snapToGrid w:val="0"/>
          <w:sz w:val="24"/>
          <w:szCs w:val="24"/>
        </w:rPr>
      </w:pPr>
      <w:r>
        <w:rPr>
          <w:rFonts w:hint="eastAsia" w:ascii="仿宋" w:hAnsi="仿宋" w:eastAsia="仿宋" w:cs="仿宋"/>
          <w:snapToGrid w:val="0"/>
          <w:sz w:val="24"/>
          <w:szCs w:val="24"/>
        </w:rPr>
        <w:t>注：</w:t>
      </w:r>
      <w:r>
        <w:rPr>
          <w:rFonts w:hint="eastAsia" w:ascii="仿宋" w:hAnsi="仿宋" w:eastAsia="仿宋" w:cs="仿宋"/>
          <w:snapToGrid w:val="0"/>
          <w:sz w:val="24"/>
          <w:szCs w:val="24"/>
          <w:lang w:val="en-US" w:eastAsia="zh-CN"/>
        </w:rPr>
        <w:t>1.</w:t>
      </w:r>
      <w:r>
        <w:rPr>
          <w:rFonts w:hint="eastAsia" w:ascii="仿宋" w:hAnsi="仿宋" w:eastAsia="仿宋" w:cs="仿宋"/>
          <w:snapToGrid w:val="0"/>
          <w:sz w:val="24"/>
          <w:szCs w:val="24"/>
        </w:rPr>
        <w:t>上表总计金额须与《投标函》的投标报价一致。</w:t>
      </w:r>
    </w:p>
    <w:p w14:paraId="4C8C97C7">
      <w:pPr>
        <w:numPr>
          <w:ilvl w:val="0"/>
          <w:numId w:val="0"/>
        </w:numPr>
        <w:adjustRightInd w:val="0"/>
        <w:snapToGrid w:val="0"/>
        <w:spacing w:line="480" w:lineRule="exact"/>
        <w:ind w:firstLine="480" w:firstLineChars="200"/>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投标总报价系指招标文件所确定招标范围内全部工作内容的价格表现，包括员工工资、福利保障、社会保险（包括养老、工伤、失业、医疗、生育）、利润、税金、代理费、政策性文件规定及合同包含的所有风险及责任等所有费用。如一旦中标，在服务过程中出现任何遗漏，均由中标供应商免费提供，招标人不再支付任何费用，具体岗位安排及结算按甲方实际需求及综合单价结算。</w:t>
      </w:r>
    </w:p>
    <w:p w14:paraId="0DFA90DE">
      <w:pPr>
        <w:pStyle w:val="13"/>
        <w:adjustRightInd w:val="0"/>
        <w:snapToGrid w:val="0"/>
        <w:spacing w:before="120" w:after="120" w:line="480" w:lineRule="exact"/>
        <w:ind w:left="4070" w:leftChars="1938" w:firstLine="600" w:firstLineChars="250"/>
        <w:rPr>
          <w:rFonts w:hint="eastAsia" w:ascii="仿宋" w:hAnsi="仿宋" w:eastAsia="仿宋" w:cs="仿宋"/>
          <w:snapToGrid w:val="0"/>
          <w:sz w:val="24"/>
          <w:szCs w:val="24"/>
        </w:rPr>
      </w:pPr>
    </w:p>
    <w:p w14:paraId="77715CB9">
      <w:pPr>
        <w:pStyle w:val="13"/>
        <w:adjustRightInd w:val="0"/>
        <w:snapToGrid w:val="0"/>
        <w:spacing w:before="120" w:after="120" w:line="480" w:lineRule="exact"/>
        <w:ind w:left="4070" w:leftChars="1938" w:firstLine="600" w:firstLineChars="250"/>
        <w:rPr>
          <w:rFonts w:hint="eastAsia" w:ascii="仿宋" w:hAnsi="仿宋" w:eastAsia="仿宋" w:cs="仿宋"/>
          <w:snapToGrid w:val="0"/>
          <w:sz w:val="24"/>
          <w:szCs w:val="24"/>
        </w:rPr>
      </w:pPr>
    </w:p>
    <w:p w14:paraId="11CD14F6">
      <w:pPr>
        <w:pStyle w:val="13"/>
        <w:adjustRightInd w:val="0"/>
        <w:snapToGrid w:val="0"/>
        <w:spacing w:before="120" w:after="120" w:line="480" w:lineRule="exact"/>
        <w:ind w:left="4070" w:leftChars="1938" w:firstLine="600" w:firstLineChars="250"/>
        <w:rPr>
          <w:rFonts w:hint="eastAsia" w:ascii="仿宋" w:hAnsi="仿宋" w:eastAsia="仿宋" w:cs="仿宋"/>
          <w:snapToGrid w:val="0"/>
          <w:sz w:val="24"/>
          <w:szCs w:val="24"/>
        </w:rPr>
      </w:pPr>
    </w:p>
    <w:p w14:paraId="1AC1145D">
      <w:pPr>
        <w:pStyle w:val="13"/>
        <w:adjustRightInd w:val="0"/>
        <w:snapToGrid w:val="0"/>
        <w:spacing w:before="120" w:after="120" w:line="480" w:lineRule="exact"/>
        <w:ind w:left="4070" w:leftChars="1938" w:firstLine="600" w:firstLineChars="250"/>
        <w:rPr>
          <w:rFonts w:hint="eastAsia" w:ascii="仿宋" w:hAnsi="仿宋" w:eastAsia="仿宋" w:cs="仿宋"/>
          <w:snapToGrid w:val="0"/>
          <w:sz w:val="24"/>
          <w:szCs w:val="24"/>
        </w:rPr>
      </w:pPr>
    </w:p>
    <w:p w14:paraId="1452C672">
      <w:pPr>
        <w:pStyle w:val="13"/>
        <w:adjustRightInd w:val="0"/>
        <w:snapToGrid w:val="0"/>
        <w:spacing w:before="120" w:after="120" w:line="480" w:lineRule="exact"/>
        <w:ind w:left="4070" w:leftChars="1938" w:firstLine="600" w:firstLineChars="250"/>
        <w:rPr>
          <w:rFonts w:hint="eastAsia" w:ascii="仿宋" w:hAnsi="仿宋" w:eastAsia="仿宋" w:cs="仿宋"/>
          <w:snapToGrid w:val="0"/>
          <w:sz w:val="24"/>
          <w:szCs w:val="24"/>
        </w:rPr>
      </w:pPr>
      <w:r>
        <w:rPr>
          <w:rFonts w:hint="eastAsia" w:ascii="仿宋" w:hAnsi="仿宋" w:eastAsia="仿宋" w:cs="仿宋"/>
          <w:snapToGrid w:val="0"/>
          <w:sz w:val="24"/>
          <w:szCs w:val="24"/>
        </w:rPr>
        <w:t>投标人全称（盖单位章）：</w:t>
      </w:r>
    </w:p>
    <w:p w14:paraId="0D7DFA8E">
      <w:pPr>
        <w:pStyle w:val="13"/>
        <w:adjustRightInd w:val="0"/>
        <w:snapToGrid w:val="0"/>
        <w:spacing w:before="120" w:after="120" w:line="480" w:lineRule="exact"/>
        <w:ind w:left="4070" w:leftChars="1938" w:firstLine="600" w:firstLineChars="250"/>
        <w:rPr>
          <w:rFonts w:hint="eastAsia" w:ascii="仿宋" w:hAnsi="仿宋" w:eastAsia="仿宋" w:cs="仿宋"/>
          <w:snapToGrid w:val="0"/>
          <w:sz w:val="24"/>
          <w:szCs w:val="24"/>
        </w:rPr>
      </w:pPr>
      <w:r>
        <w:rPr>
          <w:rFonts w:hint="eastAsia" w:ascii="仿宋" w:hAnsi="仿宋" w:eastAsia="仿宋" w:cs="仿宋"/>
          <w:snapToGrid w:val="0"/>
          <w:sz w:val="24"/>
          <w:szCs w:val="24"/>
        </w:rPr>
        <w:t>法定代表人(签字或盖章):</w:t>
      </w:r>
    </w:p>
    <w:p w14:paraId="620F7EA1">
      <w:pPr>
        <w:pStyle w:val="13"/>
        <w:adjustRightInd w:val="0"/>
        <w:snapToGrid w:val="0"/>
        <w:spacing w:before="120" w:after="120" w:line="480" w:lineRule="exact"/>
        <w:ind w:left="4070" w:leftChars="1938" w:firstLine="600" w:firstLineChars="250"/>
        <w:rPr>
          <w:rFonts w:hint="eastAsia" w:ascii="仿宋" w:hAnsi="仿宋" w:eastAsia="仿宋" w:cs="仿宋"/>
          <w:snapToGrid w:val="0"/>
          <w:sz w:val="24"/>
          <w:szCs w:val="24"/>
        </w:rPr>
      </w:pPr>
      <w:r>
        <w:rPr>
          <w:rFonts w:hint="eastAsia" w:ascii="仿宋" w:hAnsi="仿宋" w:eastAsia="仿宋" w:cs="仿宋"/>
          <w:snapToGrid w:val="0"/>
          <w:sz w:val="24"/>
          <w:szCs w:val="24"/>
        </w:rPr>
        <w:t>日期：</w:t>
      </w:r>
    </w:p>
    <w:p w14:paraId="7A9C5F26">
      <w:pPr>
        <w:rPr>
          <w:rFonts w:hint="eastAsia" w:ascii="仿宋" w:hAnsi="仿宋" w:eastAsia="仿宋" w:cs="仿宋"/>
        </w:rPr>
      </w:pPr>
      <w:r>
        <w:rPr>
          <w:rFonts w:hint="eastAsia" w:ascii="仿宋" w:hAnsi="仿宋" w:eastAsia="仿宋" w:cs="仿宋"/>
        </w:rPr>
        <w:br w:type="page"/>
      </w:r>
    </w:p>
    <w:p w14:paraId="4363A7DA">
      <w:pPr>
        <w:adjustRightInd w:val="0"/>
        <w:snapToGrid w:val="0"/>
        <w:spacing w:line="360" w:lineRule="auto"/>
        <w:jc w:val="center"/>
        <w:rPr>
          <w:rFonts w:hint="eastAsia" w:ascii="仿宋" w:hAnsi="仿宋" w:eastAsia="仿宋" w:cs="仿宋"/>
          <w:b/>
          <w:snapToGrid w:val="0"/>
          <w:sz w:val="32"/>
          <w:szCs w:val="32"/>
          <w:lang w:eastAsia="zh-CN"/>
        </w:rPr>
      </w:pPr>
      <w:r>
        <w:rPr>
          <w:rFonts w:hint="eastAsia" w:ascii="仿宋" w:hAnsi="仿宋" w:eastAsia="仿宋" w:cs="仿宋"/>
          <w:b/>
          <w:snapToGrid w:val="0"/>
          <w:sz w:val="32"/>
          <w:szCs w:val="32"/>
          <w:lang w:eastAsia="zh-CN"/>
        </w:rPr>
        <w:t>三、投标报价明细表</w:t>
      </w:r>
    </w:p>
    <w:p w14:paraId="1645E2AC">
      <w:pPr>
        <w:snapToGrid w:val="0"/>
        <w:spacing w:line="360" w:lineRule="exact"/>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浙江常新工贸有限公司新址辅助管理人员外包服务项目</w:t>
      </w:r>
      <w:r>
        <w:rPr>
          <w:rFonts w:hint="eastAsia" w:ascii="仿宋" w:hAnsi="仿宋" w:eastAsia="仿宋" w:cs="仿宋"/>
          <w:sz w:val="24"/>
        </w:rPr>
        <w:t xml:space="preserve">                                                          </w:t>
      </w:r>
    </w:p>
    <w:p w14:paraId="65177F41">
      <w:pPr>
        <w:snapToGrid w:val="0"/>
        <w:spacing w:line="360" w:lineRule="exact"/>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 xml:space="preserve">S3J-C202504016  </w:t>
      </w:r>
    </w:p>
    <w:p w14:paraId="4E4EF2B4">
      <w:pPr>
        <w:snapToGrid w:val="0"/>
        <w:spacing w:line="36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39"/>
        <w:gridCol w:w="1982"/>
        <w:gridCol w:w="1115"/>
        <w:gridCol w:w="1114"/>
        <w:gridCol w:w="1403"/>
        <w:gridCol w:w="1458"/>
      </w:tblGrid>
      <w:tr w14:paraId="7C4B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715" w:type="dxa"/>
            <w:noWrap w:val="0"/>
            <w:vAlign w:val="center"/>
          </w:tcPr>
          <w:p w14:paraId="1C6874CE">
            <w:pPr>
              <w:pStyle w:val="2"/>
              <w:rPr>
                <w:rFonts w:hint="eastAsia" w:ascii="仿宋" w:hAnsi="仿宋" w:eastAsia="仿宋" w:cs="仿宋"/>
              </w:rPr>
            </w:pPr>
            <w:r>
              <w:rPr>
                <w:rFonts w:hint="eastAsia" w:ascii="仿宋" w:hAnsi="仿宋" w:eastAsia="仿宋" w:cs="仿宋"/>
              </w:rPr>
              <w:t>序号</w:t>
            </w:r>
          </w:p>
        </w:tc>
        <w:tc>
          <w:tcPr>
            <w:tcW w:w="1839" w:type="dxa"/>
            <w:noWrap w:val="0"/>
            <w:vAlign w:val="center"/>
          </w:tcPr>
          <w:p w14:paraId="1EBCFD1E">
            <w:pPr>
              <w:pStyle w:val="2"/>
              <w:jc w:val="center"/>
              <w:rPr>
                <w:rFonts w:hint="eastAsia" w:ascii="仿宋" w:hAnsi="仿宋" w:eastAsia="仿宋" w:cs="仿宋"/>
              </w:rPr>
            </w:pPr>
            <w:r>
              <w:rPr>
                <w:rFonts w:hint="eastAsia" w:ascii="仿宋" w:hAnsi="仿宋" w:eastAsia="仿宋" w:cs="仿宋"/>
              </w:rPr>
              <w:t>名称</w:t>
            </w:r>
          </w:p>
        </w:tc>
        <w:tc>
          <w:tcPr>
            <w:tcW w:w="1982" w:type="dxa"/>
            <w:noWrap w:val="0"/>
            <w:vAlign w:val="center"/>
          </w:tcPr>
          <w:p w14:paraId="43C5424B">
            <w:pPr>
              <w:pStyle w:val="2"/>
              <w:jc w:val="center"/>
              <w:rPr>
                <w:rFonts w:hint="eastAsia" w:ascii="仿宋" w:hAnsi="仿宋" w:eastAsia="仿宋" w:cs="仿宋"/>
              </w:rPr>
            </w:pPr>
            <w:r>
              <w:rPr>
                <w:rFonts w:hint="eastAsia" w:ascii="仿宋" w:hAnsi="仿宋" w:eastAsia="仿宋" w:cs="仿宋"/>
              </w:rPr>
              <w:t>具体内容</w:t>
            </w:r>
          </w:p>
        </w:tc>
        <w:tc>
          <w:tcPr>
            <w:tcW w:w="1115" w:type="dxa"/>
            <w:noWrap w:val="0"/>
            <w:vAlign w:val="center"/>
          </w:tcPr>
          <w:p w14:paraId="06B59FD1">
            <w:pPr>
              <w:pStyle w:val="2"/>
              <w:jc w:val="center"/>
              <w:rPr>
                <w:rFonts w:hint="eastAsia" w:ascii="仿宋" w:hAnsi="仿宋" w:eastAsia="仿宋" w:cs="仿宋"/>
              </w:rPr>
            </w:pPr>
            <w:r>
              <w:rPr>
                <w:rFonts w:hint="eastAsia" w:ascii="仿宋" w:hAnsi="仿宋" w:eastAsia="仿宋" w:cs="仿宋"/>
              </w:rPr>
              <w:t>数量</w:t>
            </w:r>
          </w:p>
        </w:tc>
        <w:tc>
          <w:tcPr>
            <w:tcW w:w="1114" w:type="dxa"/>
            <w:noWrap w:val="0"/>
            <w:vAlign w:val="center"/>
          </w:tcPr>
          <w:p w14:paraId="6C467A45">
            <w:pPr>
              <w:pStyle w:val="2"/>
              <w:jc w:val="center"/>
              <w:rPr>
                <w:rFonts w:hint="eastAsia" w:ascii="仿宋" w:hAnsi="仿宋" w:eastAsia="仿宋" w:cs="仿宋"/>
                <w:lang w:val="en-US" w:eastAsia="zh-CN"/>
              </w:rPr>
            </w:pPr>
            <w:r>
              <w:rPr>
                <w:rFonts w:hint="eastAsia" w:ascii="仿宋" w:hAnsi="仿宋" w:eastAsia="仿宋" w:cs="仿宋"/>
              </w:rPr>
              <w:t>单价</w:t>
            </w:r>
            <w:r>
              <w:rPr>
                <w:rFonts w:hint="eastAsia" w:ascii="仿宋" w:hAnsi="仿宋" w:eastAsia="仿宋" w:cs="仿宋"/>
                <w:lang w:eastAsia="zh-CN"/>
              </w:rPr>
              <w:t>（元）</w:t>
            </w:r>
          </w:p>
        </w:tc>
        <w:tc>
          <w:tcPr>
            <w:tcW w:w="1403" w:type="dxa"/>
            <w:noWrap w:val="0"/>
            <w:vAlign w:val="center"/>
          </w:tcPr>
          <w:p w14:paraId="266038A6">
            <w:pPr>
              <w:pStyle w:val="2"/>
              <w:jc w:val="center"/>
              <w:rPr>
                <w:rFonts w:hint="eastAsia" w:ascii="仿宋" w:hAnsi="仿宋" w:eastAsia="仿宋" w:cs="仿宋"/>
                <w:lang w:eastAsia="zh-CN"/>
              </w:rPr>
            </w:pPr>
            <w:r>
              <w:rPr>
                <w:rFonts w:hint="eastAsia" w:ascii="仿宋" w:hAnsi="仿宋" w:eastAsia="仿宋" w:cs="仿宋"/>
              </w:rPr>
              <w:t>总价</w:t>
            </w:r>
            <w:r>
              <w:rPr>
                <w:rFonts w:hint="eastAsia" w:ascii="仿宋" w:hAnsi="仿宋" w:eastAsia="仿宋" w:cs="仿宋"/>
                <w:lang w:eastAsia="zh-CN"/>
              </w:rPr>
              <w:t>（元）</w:t>
            </w:r>
          </w:p>
        </w:tc>
        <w:tc>
          <w:tcPr>
            <w:tcW w:w="1458" w:type="dxa"/>
            <w:noWrap w:val="0"/>
            <w:vAlign w:val="center"/>
          </w:tcPr>
          <w:p w14:paraId="172E7298">
            <w:pPr>
              <w:pStyle w:val="2"/>
              <w:jc w:val="center"/>
              <w:rPr>
                <w:rFonts w:hint="eastAsia" w:ascii="仿宋" w:hAnsi="仿宋" w:eastAsia="仿宋" w:cs="仿宋"/>
              </w:rPr>
            </w:pPr>
            <w:r>
              <w:rPr>
                <w:rFonts w:hint="eastAsia" w:ascii="仿宋" w:hAnsi="仿宋" w:eastAsia="仿宋" w:cs="仿宋"/>
              </w:rPr>
              <w:t>备注</w:t>
            </w:r>
          </w:p>
        </w:tc>
      </w:tr>
      <w:tr w14:paraId="141F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15" w:type="dxa"/>
            <w:noWrap w:val="0"/>
            <w:vAlign w:val="center"/>
          </w:tcPr>
          <w:p w14:paraId="32DC646E">
            <w:pPr>
              <w:pStyle w:val="2"/>
              <w:jc w:val="center"/>
              <w:rPr>
                <w:rFonts w:hint="eastAsia" w:ascii="仿宋" w:hAnsi="仿宋" w:eastAsia="仿宋" w:cs="仿宋"/>
              </w:rPr>
            </w:pPr>
            <w:r>
              <w:rPr>
                <w:rFonts w:hint="eastAsia" w:ascii="仿宋" w:hAnsi="仿宋" w:eastAsia="仿宋" w:cs="仿宋"/>
              </w:rPr>
              <w:t>1</w:t>
            </w:r>
          </w:p>
        </w:tc>
        <w:tc>
          <w:tcPr>
            <w:tcW w:w="1839" w:type="dxa"/>
            <w:noWrap w:val="0"/>
            <w:vAlign w:val="center"/>
          </w:tcPr>
          <w:p w14:paraId="669EF163">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rPr>
            </w:pPr>
            <w:r>
              <w:rPr>
                <w:rFonts w:hint="eastAsia" w:ascii="仿宋" w:hAnsi="仿宋" w:eastAsia="仿宋" w:cs="仿宋"/>
                <w:b w:val="0"/>
                <w:bCs/>
                <w:sz w:val="21"/>
                <w:szCs w:val="21"/>
                <w:lang w:val="en-US" w:eastAsia="zh-CN"/>
              </w:rPr>
              <w:t>巡查执勤岗</w:t>
            </w:r>
          </w:p>
        </w:tc>
        <w:tc>
          <w:tcPr>
            <w:tcW w:w="1982" w:type="dxa"/>
            <w:noWrap w:val="0"/>
            <w:vAlign w:val="center"/>
          </w:tcPr>
          <w:p w14:paraId="4F0DD7B0">
            <w:pPr>
              <w:pStyle w:val="2"/>
              <w:rPr>
                <w:rFonts w:hint="eastAsia" w:ascii="仿宋" w:hAnsi="仿宋" w:eastAsia="仿宋" w:cs="仿宋"/>
              </w:rPr>
            </w:pPr>
          </w:p>
        </w:tc>
        <w:tc>
          <w:tcPr>
            <w:tcW w:w="1115" w:type="dxa"/>
            <w:noWrap w:val="0"/>
            <w:vAlign w:val="center"/>
          </w:tcPr>
          <w:p w14:paraId="70B7C16F">
            <w:pPr>
              <w:pStyle w:val="2"/>
              <w:rPr>
                <w:rFonts w:hint="eastAsia" w:ascii="仿宋" w:hAnsi="仿宋" w:eastAsia="仿宋" w:cs="仿宋"/>
              </w:rPr>
            </w:pPr>
          </w:p>
        </w:tc>
        <w:tc>
          <w:tcPr>
            <w:tcW w:w="1114" w:type="dxa"/>
            <w:noWrap w:val="0"/>
            <w:vAlign w:val="center"/>
          </w:tcPr>
          <w:p w14:paraId="443B8131">
            <w:pPr>
              <w:pStyle w:val="2"/>
              <w:rPr>
                <w:rFonts w:hint="eastAsia" w:ascii="仿宋" w:hAnsi="仿宋" w:eastAsia="仿宋" w:cs="仿宋"/>
              </w:rPr>
            </w:pPr>
          </w:p>
        </w:tc>
        <w:tc>
          <w:tcPr>
            <w:tcW w:w="1403" w:type="dxa"/>
            <w:noWrap w:val="0"/>
            <w:vAlign w:val="center"/>
          </w:tcPr>
          <w:p w14:paraId="3E4AAC7F">
            <w:pPr>
              <w:pStyle w:val="2"/>
              <w:rPr>
                <w:rFonts w:hint="eastAsia" w:ascii="仿宋" w:hAnsi="仿宋" w:eastAsia="仿宋" w:cs="仿宋"/>
              </w:rPr>
            </w:pPr>
          </w:p>
        </w:tc>
        <w:tc>
          <w:tcPr>
            <w:tcW w:w="1458" w:type="dxa"/>
            <w:noWrap w:val="0"/>
            <w:vAlign w:val="center"/>
          </w:tcPr>
          <w:p w14:paraId="0A4E1810">
            <w:pPr>
              <w:pStyle w:val="2"/>
              <w:rPr>
                <w:rFonts w:hint="eastAsia" w:ascii="仿宋" w:hAnsi="仿宋" w:eastAsia="仿宋" w:cs="仿宋"/>
              </w:rPr>
            </w:pPr>
          </w:p>
        </w:tc>
      </w:tr>
      <w:tr w14:paraId="72E3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15" w:type="dxa"/>
            <w:noWrap w:val="0"/>
            <w:vAlign w:val="center"/>
          </w:tcPr>
          <w:p w14:paraId="6C920CB6">
            <w:pPr>
              <w:pStyle w:val="2"/>
              <w:jc w:val="center"/>
              <w:rPr>
                <w:rFonts w:hint="eastAsia" w:ascii="仿宋" w:hAnsi="仿宋" w:eastAsia="仿宋" w:cs="仿宋"/>
                <w:lang w:eastAsia="zh-CN"/>
              </w:rPr>
            </w:pPr>
            <w:r>
              <w:rPr>
                <w:rFonts w:hint="eastAsia" w:ascii="仿宋" w:hAnsi="仿宋" w:eastAsia="仿宋" w:cs="仿宋"/>
                <w:lang w:val="en-US" w:eastAsia="zh-CN"/>
              </w:rPr>
              <w:t>2</w:t>
            </w:r>
          </w:p>
        </w:tc>
        <w:tc>
          <w:tcPr>
            <w:tcW w:w="1839" w:type="dxa"/>
            <w:noWrap w:val="0"/>
            <w:vAlign w:val="center"/>
          </w:tcPr>
          <w:p w14:paraId="77AC3979">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rPr>
            </w:pPr>
            <w:r>
              <w:rPr>
                <w:rFonts w:hint="eastAsia" w:ascii="仿宋" w:hAnsi="仿宋" w:eastAsia="仿宋" w:cs="仿宋"/>
                <w:b w:val="0"/>
                <w:bCs/>
                <w:sz w:val="21"/>
                <w:szCs w:val="21"/>
                <w:lang w:val="en-US" w:eastAsia="zh-CN"/>
              </w:rPr>
              <w:t>配件中心管理员</w:t>
            </w:r>
          </w:p>
        </w:tc>
        <w:tc>
          <w:tcPr>
            <w:tcW w:w="1982" w:type="dxa"/>
            <w:noWrap w:val="0"/>
            <w:vAlign w:val="center"/>
          </w:tcPr>
          <w:p w14:paraId="42EFD88A">
            <w:pPr>
              <w:pStyle w:val="2"/>
              <w:rPr>
                <w:rFonts w:hint="eastAsia" w:ascii="仿宋" w:hAnsi="仿宋" w:eastAsia="仿宋" w:cs="仿宋"/>
              </w:rPr>
            </w:pPr>
          </w:p>
        </w:tc>
        <w:tc>
          <w:tcPr>
            <w:tcW w:w="1115" w:type="dxa"/>
            <w:noWrap w:val="0"/>
            <w:vAlign w:val="center"/>
          </w:tcPr>
          <w:p w14:paraId="5F9781CE">
            <w:pPr>
              <w:pStyle w:val="2"/>
              <w:rPr>
                <w:rFonts w:hint="eastAsia" w:ascii="仿宋" w:hAnsi="仿宋" w:eastAsia="仿宋" w:cs="仿宋"/>
              </w:rPr>
            </w:pPr>
          </w:p>
        </w:tc>
        <w:tc>
          <w:tcPr>
            <w:tcW w:w="1114" w:type="dxa"/>
            <w:noWrap w:val="0"/>
            <w:vAlign w:val="center"/>
          </w:tcPr>
          <w:p w14:paraId="4A61CF35">
            <w:pPr>
              <w:pStyle w:val="2"/>
              <w:rPr>
                <w:rFonts w:hint="eastAsia" w:ascii="仿宋" w:hAnsi="仿宋" w:eastAsia="仿宋" w:cs="仿宋"/>
              </w:rPr>
            </w:pPr>
          </w:p>
        </w:tc>
        <w:tc>
          <w:tcPr>
            <w:tcW w:w="1403" w:type="dxa"/>
            <w:noWrap w:val="0"/>
            <w:vAlign w:val="center"/>
          </w:tcPr>
          <w:p w14:paraId="41F9B0E1">
            <w:pPr>
              <w:pStyle w:val="2"/>
              <w:rPr>
                <w:rFonts w:hint="eastAsia" w:ascii="仿宋" w:hAnsi="仿宋" w:eastAsia="仿宋" w:cs="仿宋"/>
              </w:rPr>
            </w:pPr>
          </w:p>
        </w:tc>
        <w:tc>
          <w:tcPr>
            <w:tcW w:w="1458" w:type="dxa"/>
            <w:noWrap w:val="0"/>
            <w:vAlign w:val="center"/>
          </w:tcPr>
          <w:p w14:paraId="2A43BC69">
            <w:pPr>
              <w:pStyle w:val="2"/>
              <w:rPr>
                <w:rFonts w:hint="eastAsia" w:ascii="仿宋" w:hAnsi="仿宋" w:eastAsia="仿宋" w:cs="仿宋"/>
              </w:rPr>
            </w:pPr>
          </w:p>
        </w:tc>
      </w:tr>
      <w:tr w14:paraId="549E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15" w:type="dxa"/>
            <w:noWrap w:val="0"/>
            <w:vAlign w:val="center"/>
          </w:tcPr>
          <w:p w14:paraId="6AA209A5">
            <w:pPr>
              <w:pStyle w:val="2"/>
              <w:jc w:val="center"/>
              <w:rPr>
                <w:rFonts w:hint="eastAsia" w:ascii="仿宋" w:hAnsi="仿宋" w:eastAsia="仿宋" w:cs="仿宋"/>
                <w:lang w:eastAsia="zh-CN"/>
              </w:rPr>
            </w:pPr>
            <w:r>
              <w:rPr>
                <w:rFonts w:hint="eastAsia" w:ascii="仿宋" w:hAnsi="仿宋" w:eastAsia="仿宋" w:cs="仿宋"/>
                <w:lang w:val="en-US" w:eastAsia="zh-CN"/>
              </w:rPr>
              <w:t>3</w:t>
            </w:r>
          </w:p>
        </w:tc>
        <w:tc>
          <w:tcPr>
            <w:tcW w:w="1839" w:type="dxa"/>
            <w:noWrap w:val="0"/>
            <w:vAlign w:val="center"/>
          </w:tcPr>
          <w:p w14:paraId="5276F953">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rPr>
            </w:pPr>
            <w:r>
              <w:rPr>
                <w:rFonts w:hint="eastAsia" w:ascii="仿宋" w:hAnsi="仿宋" w:eastAsia="仿宋" w:cs="仿宋"/>
                <w:b w:val="0"/>
                <w:bCs/>
                <w:sz w:val="21"/>
                <w:szCs w:val="21"/>
                <w:lang w:val="en-US" w:eastAsia="zh-CN"/>
              </w:rPr>
              <w:t>夜间瞪眼岗</w:t>
            </w:r>
          </w:p>
        </w:tc>
        <w:tc>
          <w:tcPr>
            <w:tcW w:w="1982" w:type="dxa"/>
            <w:noWrap w:val="0"/>
            <w:vAlign w:val="center"/>
          </w:tcPr>
          <w:p w14:paraId="517990D0">
            <w:pPr>
              <w:pStyle w:val="2"/>
              <w:rPr>
                <w:rFonts w:hint="eastAsia" w:ascii="仿宋" w:hAnsi="仿宋" w:eastAsia="仿宋" w:cs="仿宋"/>
              </w:rPr>
            </w:pPr>
          </w:p>
        </w:tc>
        <w:tc>
          <w:tcPr>
            <w:tcW w:w="1115" w:type="dxa"/>
            <w:noWrap w:val="0"/>
            <w:vAlign w:val="center"/>
          </w:tcPr>
          <w:p w14:paraId="76CC3364">
            <w:pPr>
              <w:pStyle w:val="2"/>
              <w:rPr>
                <w:rFonts w:hint="eastAsia" w:ascii="仿宋" w:hAnsi="仿宋" w:eastAsia="仿宋" w:cs="仿宋"/>
              </w:rPr>
            </w:pPr>
          </w:p>
        </w:tc>
        <w:tc>
          <w:tcPr>
            <w:tcW w:w="1114" w:type="dxa"/>
            <w:noWrap w:val="0"/>
            <w:vAlign w:val="center"/>
          </w:tcPr>
          <w:p w14:paraId="51331E0C">
            <w:pPr>
              <w:pStyle w:val="2"/>
              <w:rPr>
                <w:rFonts w:hint="eastAsia" w:ascii="仿宋" w:hAnsi="仿宋" w:eastAsia="仿宋" w:cs="仿宋"/>
              </w:rPr>
            </w:pPr>
          </w:p>
        </w:tc>
        <w:tc>
          <w:tcPr>
            <w:tcW w:w="1403" w:type="dxa"/>
            <w:noWrap w:val="0"/>
            <w:vAlign w:val="center"/>
          </w:tcPr>
          <w:p w14:paraId="1A7EE634">
            <w:pPr>
              <w:pStyle w:val="2"/>
              <w:rPr>
                <w:rFonts w:hint="eastAsia" w:ascii="仿宋" w:hAnsi="仿宋" w:eastAsia="仿宋" w:cs="仿宋"/>
              </w:rPr>
            </w:pPr>
          </w:p>
        </w:tc>
        <w:tc>
          <w:tcPr>
            <w:tcW w:w="1458" w:type="dxa"/>
            <w:noWrap w:val="0"/>
            <w:vAlign w:val="center"/>
          </w:tcPr>
          <w:p w14:paraId="40AAEB98">
            <w:pPr>
              <w:pStyle w:val="2"/>
              <w:rPr>
                <w:rFonts w:hint="eastAsia" w:ascii="仿宋" w:hAnsi="仿宋" w:eastAsia="仿宋" w:cs="仿宋"/>
              </w:rPr>
            </w:pPr>
          </w:p>
        </w:tc>
      </w:tr>
      <w:tr w14:paraId="4A7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15" w:type="dxa"/>
            <w:noWrap w:val="0"/>
            <w:vAlign w:val="center"/>
          </w:tcPr>
          <w:p w14:paraId="54E3EEDD">
            <w:pPr>
              <w:pStyle w:val="2"/>
              <w:jc w:val="center"/>
              <w:rPr>
                <w:rFonts w:hint="eastAsia" w:ascii="仿宋" w:hAnsi="仿宋" w:eastAsia="仿宋" w:cs="仿宋"/>
                <w:lang w:eastAsia="zh-CN"/>
              </w:rPr>
            </w:pPr>
            <w:r>
              <w:rPr>
                <w:rFonts w:hint="eastAsia" w:ascii="仿宋" w:hAnsi="仿宋" w:eastAsia="仿宋" w:cs="仿宋"/>
                <w:lang w:val="en-US" w:eastAsia="zh-CN"/>
              </w:rPr>
              <w:t>4</w:t>
            </w:r>
          </w:p>
        </w:tc>
        <w:tc>
          <w:tcPr>
            <w:tcW w:w="1839" w:type="dxa"/>
            <w:noWrap w:val="0"/>
            <w:vAlign w:val="center"/>
          </w:tcPr>
          <w:p w14:paraId="5537F6D2">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rPr>
            </w:pPr>
            <w:r>
              <w:rPr>
                <w:rFonts w:hint="eastAsia" w:ascii="仿宋" w:hAnsi="仿宋" w:eastAsia="仿宋" w:cs="仿宋"/>
                <w:b w:val="0"/>
                <w:bCs/>
                <w:sz w:val="21"/>
                <w:szCs w:val="21"/>
                <w:lang w:val="en-US" w:eastAsia="zh-CN"/>
              </w:rPr>
              <w:t>视频监控巡查岗</w:t>
            </w:r>
          </w:p>
        </w:tc>
        <w:tc>
          <w:tcPr>
            <w:tcW w:w="1982" w:type="dxa"/>
            <w:noWrap w:val="0"/>
            <w:vAlign w:val="center"/>
          </w:tcPr>
          <w:p w14:paraId="170046A9">
            <w:pPr>
              <w:pStyle w:val="2"/>
              <w:rPr>
                <w:rFonts w:hint="eastAsia" w:ascii="仿宋" w:hAnsi="仿宋" w:eastAsia="仿宋" w:cs="仿宋"/>
              </w:rPr>
            </w:pPr>
          </w:p>
        </w:tc>
        <w:tc>
          <w:tcPr>
            <w:tcW w:w="1115" w:type="dxa"/>
            <w:noWrap w:val="0"/>
            <w:vAlign w:val="center"/>
          </w:tcPr>
          <w:p w14:paraId="113FC64C">
            <w:pPr>
              <w:pStyle w:val="2"/>
              <w:rPr>
                <w:rFonts w:hint="eastAsia" w:ascii="仿宋" w:hAnsi="仿宋" w:eastAsia="仿宋" w:cs="仿宋"/>
              </w:rPr>
            </w:pPr>
          </w:p>
        </w:tc>
        <w:tc>
          <w:tcPr>
            <w:tcW w:w="1114" w:type="dxa"/>
            <w:noWrap w:val="0"/>
            <w:vAlign w:val="center"/>
          </w:tcPr>
          <w:p w14:paraId="3372F254">
            <w:pPr>
              <w:pStyle w:val="2"/>
              <w:rPr>
                <w:rFonts w:hint="eastAsia" w:ascii="仿宋" w:hAnsi="仿宋" w:eastAsia="仿宋" w:cs="仿宋"/>
              </w:rPr>
            </w:pPr>
          </w:p>
        </w:tc>
        <w:tc>
          <w:tcPr>
            <w:tcW w:w="1403" w:type="dxa"/>
            <w:noWrap w:val="0"/>
            <w:vAlign w:val="center"/>
          </w:tcPr>
          <w:p w14:paraId="782F192D">
            <w:pPr>
              <w:pStyle w:val="2"/>
              <w:rPr>
                <w:rFonts w:hint="eastAsia" w:ascii="仿宋" w:hAnsi="仿宋" w:eastAsia="仿宋" w:cs="仿宋"/>
              </w:rPr>
            </w:pPr>
          </w:p>
        </w:tc>
        <w:tc>
          <w:tcPr>
            <w:tcW w:w="1458" w:type="dxa"/>
            <w:noWrap w:val="0"/>
            <w:vAlign w:val="center"/>
          </w:tcPr>
          <w:p w14:paraId="47FD7441">
            <w:pPr>
              <w:pStyle w:val="2"/>
              <w:rPr>
                <w:rFonts w:hint="eastAsia" w:ascii="仿宋" w:hAnsi="仿宋" w:eastAsia="仿宋" w:cs="仿宋"/>
              </w:rPr>
            </w:pPr>
          </w:p>
        </w:tc>
      </w:tr>
      <w:tr w14:paraId="2EC0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715" w:type="dxa"/>
            <w:noWrap w:val="0"/>
            <w:vAlign w:val="center"/>
          </w:tcPr>
          <w:p w14:paraId="791A13FF">
            <w:pPr>
              <w:pStyle w:val="2"/>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839" w:type="dxa"/>
            <w:noWrap w:val="0"/>
            <w:vAlign w:val="center"/>
          </w:tcPr>
          <w:p w14:paraId="729D6EEC">
            <w:pPr>
              <w:keepNext w:val="0"/>
              <w:keepLines w:val="0"/>
              <w:pageBreakBefore w:val="0"/>
              <w:numPr>
                <w:ilvl w:val="0"/>
                <w:numId w:val="0"/>
              </w:numPr>
              <w:kinsoku/>
              <w:wordWrap/>
              <w:overflowPunct/>
              <w:topLinePunct w:val="0"/>
              <w:autoSpaceDE/>
              <w:autoSpaceDN/>
              <w:bidi w:val="0"/>
              <w:spacing w:line="500" w:lineRule="exact"/>
              <w:ind w:left="0" w:leftChars="0" w:firstLine="0" w:firstLineChars="0"/>
              <w:jc w:val="center"/>
              <w:textAlignment w:val="auto"/>
              <w:rPr>
                <w:rFonts w:hint="eastAsia" w:ascii="仿宋" w:hAnsi="仿宋" w:eastAsia="仿宋" w:cs="仿宋"/>
              </w:rPr>
            </w:pPr>
            <w:r>
              <w:rPr>
                <w:rFonts w:hint="eastAsia" w:ascii="仿宋" w:hAnsi="仿宋" w:eastAsia="仿宋" w:cs="仿宋"/>
                <w:b w:val="0"/>
                <w:bCs/>
                <w:sz w:val="21"/>
                <w:szCs w:val="21"/>
                <w:lang w:val="en-US" w:eastAsia="zh-CN"/>
              </w:rPr>
              <w:t>厂区工间驿站</w:t>
            </w:r>
          </w:p>
        </w:tc>
        <w:tc>
          <w:tcPr>
            <w:tcW w:w="1982" w:type="dxa"/>
            <w:noWrap w:val="0"/>
            <w:vAlign w:val="center"/>
          </w:tcPr>
          <w:p w14:paraId="274DC268">
            <w:pPr>
              <w:pStyle w:val="2"/>
              <w:rPr>
                <w:rFonts w:hint="eastAsia" w:ascii="仿宋" w:hAnsi="仿宋" w:eastAsia="仿宋" w:cs="仿宋"/>
              </w:rPr>
            </w:pPr>
          </w:p>
        </w:tc>
        <w:tc>
          <w:tcPr>
            <w:tcW w:w="1115" w:type="dxa"/>
            <w:noWrap w:val="0"/>
            <w:vAlign w:val="center"/>
          </w:tcPr>
          <w:p w14:paraId="6F982235">
            <w:pPr>
              <w:pStyle w:val="2"/>
              <w:rPr>
                <w:rFonts w:hint="eastAsia" w:ascii="仿宋" w:hAnsi="仿宋" w:eastAsia="仿宋" w:cs="仿宋"/>
              </w:rPr>
            </w:pPr>
          </w:p>
        </w:tc>
        <w:tc>
          <w:tcPr>
            <w:tcW w:w="1114" w:type="dxa"/>
            <w:noWrap w:val="0"/>
            <w:vAlign w:val="center"/>
          </w:tcPr>
          <w:p w14:paraId="0E1C7647">
            <w:pPr>
              <w:pStyle w:val="2"/>
              <w:rPr>
                <w:rFonts w:hint="eastAsia" w:ascii="仿宋" w:hAnsi="仿宋" w:eastAsia="仿宋" w:cs="仿宋"/>
              </w:rPr>
            </w:pPr>
          </w:p>
        </w:tc>
        <w:tc>
          <w:tcPr>
            <w:tcW w:w="1403" w:type="dxa"/>
            <w:noWrap w:val="0"/>
            <w:vAlign w:val="center"/>
          </w:tcPr>
          <w:p w14:paraId="2B5791D0">
            <w:pPr>
              <w:pStyle w:val="2"/>
              <w:rPr>
                <w:rFonts w:hint="eastAsia" w:ascii="仿宋" w:hAnsi="仿宋" w:eastAsia="仿宋" w:cs="仿宋"/>
              </w:rPr>
            </w:pPr>
          </w:p>
        </w:tc>
        <w:tc>
          <w:tcPr>
            <w:tcW w:w="1458" w:type="dxa"/>
            <w:noWrap w:val="0"/>
            <w:vAlign w:val="center"/>
          </w:tcPr>
          <w:p w14:paraId="71CFBD63">
            <w:pPr>
              <w:pStyle w:val="2"/>
              <w:rPr>
                <w:rFonts w:hint="eastAsia" w:ascii="仿宋" w:hAnsi="仿宋" w:eastAsia="仿宋" w:cs="仿宋"/>
              </w:rPr>
            </w:pPr>
          </w:p>
        </w:tc>
      </w:tr>
      <w:tr w14:paraId="4A36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715" w:type="dxa"/>
            <w:noWrap w:val="0"/>
            <w:vAlign w:val="center"/>
          </w:tcPr>
          <w:p w14:paraId="5784FE0F">
            <w:pPr>
              <w:pStyle w:val="2"/>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839" w:type="dxa"/>
            <w:noWrap w:val="0"/>
            <w:vAlign w:val="center"/>
          </w:tcPr>
          <w:p w14:paraId="6C0283C0">
            <w:pPr>
              <w:pStyle w:val="2"/>
              <w:rPr>
                <w:rFonts w:hint="eastAsia" w:ascii="仿宋" w:hAnsi="仿宋" w:eastAsia="仿宋" w:cs="仿宋"/>
              </w:rPr>
            </w:pPr>
          </w:p>
        </w:tc>
        <w:tc>
          <w:tcPr>
            <w:tcW w:w="1982" w:type="dxa"/>
            <w:noWrap w:val="0"/>
            <w:vAlign w:val="center"/>
          </w:tcPr>
          <w:p w14:paraId="38F35A47">
            <w:pPr>
              <w:pStyle w:val="2"/>
              <w:rPr>
                <w:rFonts w:hint="eastAsia" w:ascii="仿宋" w:hAnsi="仿宋" w:eastAsia="仿宋" w:cs="仿宋"/>
              </w:rPr>
            </w:pPr>
          </w:p>
        </w:tc>
        <w:tc>
          <w:tcPr>
            <w:tcW w:w="1115" w:type="dxa"/>
            <w:noWrap w:val="0"/>
            <w:vAlign w:val="center"/>
          </w:tcPr>
          <w:p w14:paraId="098A33C1">
            <w:pPr>
              <w:pStyle w:val="2"/>
              <w:rPr>
                <w:rFonts w:hint="eastAsia" w:ascii="仿宋" w:hAnsi="仿宋" w:eastAsia="仿宋" w:cs="仿宋"/>
              </w:rPr>
            </w:pPr>
          </w:p>
        </w:tc>
        <w:tc>
          <w:tcPr>
            <w:tcW w:w="1114" w:type="dxa"/>
            <w:noWrap w:val="0"/>
            <w:vAlign w:val="center"/>
          </w:tcPr>
          <w:p w14:paraId="03C52192">
            <w:pPr>
              <w:pStyle w:val="2"/>
              <w:rPr>
                <w:rFonts w:hint="eastAsia" w:ascii="仿宋" w:hAnsi="仿宋" w:eastAsia="仿宋" w:cs="仿宋"/>
              </w:rPr>
            </w:pPr>
          </w:p>
        </w:tc>
        <w:tc>
          <w:tcPr>
            <w:tcW w:w="1403" w:type="dxa"/>
            <w:noWrap w:val="0"/>
            <w:vAlign w:val="center"/>
          </w:tcPr>
          <w:p w14:paraId="6F28B81C">
            <w:pPr>
              <w:pStyle w:val="2"/>
              <w:rPr>
                <w:rFonts w:hint="eastAsia" w:ascii="仿宋" w:hAnsi="仿宋" w:eastAsia="仿宋" w:cs="仿宋"/>
              </w:rPr>
            </w:pPr>
          </w:p>
        </w:tc>
        <w:tc>
          <w:tcPr>
            <w:tcW w:w="1458" w:type="dxa"/>
            <w:noWrap w:val="0"/>
            <w:vAlign w:val="center"/>
          </w:tcPr>
          <w:p w14:paraId="2A624DD8">
            <w:pPr>
              <w:pStyle w:val="2"/>
              <w:rPr>
                <w:rFonts w:hint="eastAsia" w:ascii="仿宋" w:hAnsi="仿宋" w:eastAsia="仿宋" w:cs="仿宋"/>
              </w:rPr>
            </w:pPr>
          </w:p>
        </w:tc>
      </w:tr>
      <w:tr w14:paraId="7A29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15" w:type="dxa"/>
            <w:noWrap w:val="0"/>
            <w:vAlign w:val="center"/>
          </w:tcPr>
          <w:p w14:paraId="30C0334B">
            <w:pPr>
              <w:pStyle w:val="2"/>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839" w:type="dxa"/>
            <w:noWrap w:val="0"/>
            <w:vAlign w:val="center"/>
          </w:tcPr>
          <w:p w14:paraId="7502409F">
            <w:pPr>
              <w:pStyle w:val="2"/>
              <w:rPr>
                <w:rFonts w:hint="eastAsia" w:ascii="仿宋" w:hAnsi="仿宋" w:eastAsia="仿宋" w:cs="仿宋"/>
              </w:rPr>
            </w:pPr>
          </w:p>
        </w:tc>
        <w:tc>
          <w:tcPr>
            <w:tcW w:w="1982" w:type="dxa"/>
            <w:noWrap w:val="0"/>
            <w:vAlign w:val="center"/>
          </w:tcPr>
          <w:p w14:paraId="0FC7D851">
            <w:pPr>
              <w:pStyle w:val="2"/>
              <w:rPr>
                <w:rFonts w:hint="eastAsia" w:ascii="仿宋" w:hAnsi="仿宋" w:eastAsia="仿宋" w:cs="仿宋"/>
              </w:rPr>
            </w:pPr>
          </w:p>
        </w:tc>
        <w:tc>
          <w:tcPr>
            <w:tcW w:w="1115" w:type="dxa"/>
            <w:noWrap w:val="0"/>
            <w:vAlign w:val="center"/>
          </w:tcPr>
          <w:p w14:paraId="20DD1836">
            <w:pPr>
              <w:pStyle w:val="2"/>
              <w:rPr>
                <w:rFonts w:hint="eastAsia" w:ascii="仿宋" w:hAnsi="仿宋" w:eastAsia="仿宋" w:cs="仿宋"/>
              </w:rPr>
            </w:pPr>
          </w:p>
        </w:tc>
        <w:tc>
          <w:tcPr>
            <w:tcW w:w="1114" w:type="dxa"/>
            <w:noWrap w:val="0"/>
            <w:vAlign w:val="center"/>
          </w:tcPr>
          <w:p w14:paraId="577A8639">
            <w:pPr>
              <w:pStyle w:val="2"/>
              <w:rPr>
                <w:rFonts w:hint="eastAsia" w:ascii="仿宋" w:hAnsi="仿宋" w:eastAsia="仿宋" w:cs="仿宋"/>
              </w:rPr>
            </w:pPr>
          </w:p>
        </w:tc>
        <w:tc>
          <w:tcPr>
            <w:tcW w:w="1403" w:type="dxa"/>
            <w:noWrap w:val="0"/>
            <w:vAlign w:val="center"/>
          </w:tcPr>
          <w:p w14:paraId="52ECB436">
            <w:pPr>
              <w:pStyle w:val="2"/>
              <w:rPr>
                <w:rFonts w:hint="eastAsia" w:ascii="仿宋" w:hAnsi="仿宋" w:eastAsia="仿宋" w:cs="仿宋"/>
              </w:rPr>
            </w:pPr>
          </w:p>
        </w:tc>
        <w:tc>
          <w:tcPr>
            <w:tcW w:w="1458" w:type="dxa"/>
            <w:noWrap w:val="0"/>
            <w:vAlign w:val="center"/>
          </w:tcPr>
          <w:p w14:paraId="2D26B67D">
            <w:pPr>
              <w:pStyle w:val="2"/>
              <w:rPr>
                <w:rFonts w:hint="eastAsia" w:ascii="仿宋" w:hAnsi="仿宋" w:eastAsia="仿宋" w:cs="仿宋"/>
              </w:rPr>
            </w:pPr>
          </w:p>
        </w:tc>
      </w:tr>
      <w:tr w14:paraId="1798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715" w:type="dxa"/>
            <w:noWrap w:val="0"/>
            <w:vAlign w:val="center"/>
          </w:tcPr>
          <w:p w14:paraId="37ECFF47">
            <w:pPr>
              <w:pStyle w:val="2"/>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839" w:type="dxa"/>
            <w:noWrap w:val="0"/>
            <w:vAlign w:val="center"/>
          </w:tcPr>
          <w:p w14:paraId="2AEB4FD5">
            <w:pPr>
              <w:pStyle w:val="2"/>
              <w:rPr>
                <w:rFonts w:hint="eastAsia" w:ascii="仿宋" w:hAnsi="仿宋" w:eastAsia="仿宋" w:cs="仿宋"/>
              </w:rPr>
            </w:pPr>
          </w:p>
        </w:tc>
        <w:tc>
          <w:tcPr>
            <w:tcW w:w="1982" w:type="dxa"/>
            <w:noWrap w:val="0"/>
            <w:vAlign w:val="center"/>
          </w:tcPr>
          <w:p w14:paraId="50BE91A4">
            <w:pPr>
              <w:pStyle w:val="2"/>
              <w:rPr>
                <w:rFonts w:hint="eastAsia" w:ascii="仿宋" w:hAnsi="仿宋" w:eastAsia="仿宋" w:cs="仿宋"/>
              </w:rPr>
            </w:pPr>
          </w:p>
        </w:tc>
        <w:tc>
          <w:tcPr>
            <w:tcW w:w="1115" w:type="dxa"/>
            <w:noWrap w:val="0"/>
            <w:vAlign w:val="center"/>
          </w:tcPr>
          <w:p w14:paraId="76ABDBE8">
            <w:pPr>
              <w:pStyle w:val="2"/>
              <w:rPr>
                <w:rFonts w:hint="eastAsia" w:ascii="仿宋" w:hAnsi="仿宋" w:eastAsia="仿宋" w:cs="仿宋"/>
              </w:rPr>
            </w:pPr>
          </w:p>
        </w:tc>
        <w:tc>
          <w:tcPr>
            <w:tcW w:w="1114" w:type="dxa"/>
            <w:noWrap w:val="0"/>
            <w:vAlign w:val="center"/>
          </w:tcPr>
          <w:p w14:paraId="59C2D607">
            <w:pPr>
              <w:pStyle w:val="2"/>
              <w:rPr>
                <w:rFonts w:hint="eastAsia" w:ascii="仿宋" w:hAnsi="仿宋" w:eastAsia="仿宋" w:cs="仿宋"/>
              </w:rPr>
            </w:pPr>
          </w:p>
        </w:tc>
        <w:tc>
          <w:tcPr>
            <w:tcW w:w="1403" w:type="dxa"/>
            <w:noWrap w:val="0"/>
            <w:vAlign w:val="center"/>
          </w:tcPr>
          <w:p w14:paraId="023AC540">
            <w:pPr>
              <w:pStyle w:val="2"/>
              <w:rPr>
                <w:rFonts w:hint="eastAsia" w:ascii="仿宋" w:hAnsi="仿宋" w:eastAsia="仿宋" w:cs="仿宋"/>
              </w:rPr>
            </w:pPr>
          </w:p>
        </w:tc>
        <w:tc>
          <w:tcPr>
            <w:tcW w:w="1458" w:type="dxa"/>
            <w:noWrap w:val="0"/>
            <w:vAlign w:val="center"/>
          </w:tcPr>
          <w:p w14:paraId="517DBF24">
            <w:pPr>
              <w:pStyle w:val="2"/>
              <w:rPr>
                <w:rFonts w:hint="eastAsia" w:ascii="仿宋" w:hAnsi="仿宋" w:eastAsia="仿宋" w:cs="仿宋"/>
              </w:rPr>
            </w:pPr>
          </w:p>
        </w:tc>
      </w:tr>
      <w:tr w14:paraId="1927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2554" w:type="dxa"/>
            <w:gridSpan w:val="2"/>
            <w:vMerge w:val="restart"/>
            <w:noWrap w:val="0"/>
            <w:vAlign w:val="center"/>
          </w:tcPr>
          <w:p w14:paraId="510FD7C1">
            <w:pPr>
              <w:pStyle w:val="2"/>
              <w:jc w:val="center"/>
              <w:rPr>
                <w:rFonts w:hint="eastAsia" w:ascii="仿宋" w:hAnsi="仿宋" w:eastAsia="仿宋" w:cs="仿宋"/>
                <w:lang w:eastAsia="zh-CN"/>
              </w:rPr>
            </w:pPr>
            <w:r>
              <w:rPr>
                <w:rFonts w:hint="eastAsia" w:ascii="仿宋" w:hAnsi="仿宋" w:eastAsia="仿宋" w:cs="仿宋"/>
                <w:lang w:eastAsia="zh-CN"/>
              </w:rPr>
              <w:t>合计：</w:t>
            </w:r>
          </w:p>
        </w:tc>
        <w:tc>
          <w:tcPr>
            <w:tcW w:w="7072" w:type="dxa"/>
            <w:gridSpan w:val="5"/>
            <w:shd w:val="clear" w:color="auto" w:fill="auto"/>
            <w:noWrap w:val="0"/>
            <w:vAlign w:val="center"/>
          </w:tcPr>
          <w:p w14:paraId="4593AC73">
            <w:pPr>
              <w:rPr>
                <w:rFonts w:hint="eastAsia" w:ascii="仿宋" w:hAnsi="仿宋" w:eastAsia="仿宋" w:cs="仿宋"/>
                <w:b/>
                <w:bCs/>
                <w:kern w:val="2"/>
                <w:sz w:val="21"/>
                <w:szCs w:val="21"/>
                <w:lang w:val="en-US" w:eastAsia="zh-CN" w:bidi="ar-SA"/>
              </w:rPr>
            </w:pPr>
            <w:r>
              <w:rPr>
                <w:rFonts w:hint="eastAsia" w:ascii="仿宋" w:hAnsi="仿宋" w:eastAsia="仿宋" w:cs="仿宋"/>
                <w:b/>
                <w:bCs/>
                <w:szCs w:val="21"/>
              </w:rPr>
              <w:t>小写：</w:t>
            </w:r>
          </w:p>
        </w:tc>
      </w:tr>
      <w:tr w14:paraId="0721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2554" w:type="dxa"/>
            <w:gridSpan w:val="2"/>
            <w:vMerge w:val="continue"/>
          </w:tcPr>
          <w:p w14:paraId="3F8E6C51">
            <w:pPr>
              <w:pStyle w:val="2"/>
              <w:rPr>
                <w:rFonts w:hint="eastAsia" w:ascii="仿宋" w:hAnsi="仿宋" w:eastAsia="仿宋" w:cs="仿宋"/>
                <w:lang w:eastAsia="zh-CN"/>
              </w:rPr>
            </w:pPr>
          </w:p>
        </w:tc>
        <w:tc>
          <w:tcPr>
            <w:tcW w:w="7072" w:type="dxa"/>
            <w:gridSpan w:val="5"/>
            <w:shd w:val="clear" w:color="auto" w:fill="auto"/>
            <w:vAlign w:val="top"/>
          </w:tcPr>
          <w:p w14:paraId="583A9924">
            <w:pPr>
              <w:rPr>
                <w:rFonts w:hint="eastAsia" w:ascii="仿宋" w:hAnsi="仿宋" w:eastAsia="仿宋" w:cs="仿宋"/>
                <w:b/>
                <w:bCs/>
                <w:kern w:val="2"/>
                <w:sz w:val="21"/>
                <w:szCs w:val="21"/>
                <w:lang w:val="en-US" w:eastAsia="zh-CN" w:bidi="ar-SA"/>
              </w:rPr>
            </w:pPr>
            <w:r>
              <w:rPr>
                <w:rFonts w:hint="eastAsia" w:ascii="仿宋" w:hAnsi="仿宋" w:eastAsia="仿宋" w:cs="仿宋"/>
                <w:b/>
                <w:bCs/>
                <w:szCs w:val="21"/>
              </w:rPr>
              <w:t>大写：</w:t>
            </w:r>
          </w:p>
        </w:tc>
      </w:tr>
    </w:tbl>
    <w:p w14:paraId="41A1572E">
      <w:pPr>
        <w:pStyle w:val="2"/>
        <w:rPr>
          <w:rFonts w:hint="eastAsia" w:ascii="仿宋" w:hAnsi="仿宋" w:eastAsia="仿宋" w:cs="仿宋"/>
          <w:lang w:eastAsia="zh-CN"/>
        </w:rPr>
      </w:pPr>
    </w:p>
    <w:p w14:paraId="7287894F">
      <w:pPr>
        <w:pStyle w:val="2"/>
        <w:rPr>
          <w:rFonts w:hint="eastAsia" w:ascii="仿宋" w:hAnsi="仿宋" w:eastAsia="仿宋" w:cs="仿宋"/>
          <w:highlight w:val="yellow"/>
          <w:lang w:eastAsia="zh-CN"/>
        </w:rPr>
      </w:pPr>
      <w:r>
        <w:rPr>
          <w:rFonts w:hint="eastAsia" w:ascii="宋体" w:hAnsi="宋体" w:eastAsia="宋体" w:cs="宋体"/>
          <w:highlight w:val="yellow"/>
          <w:lang w:eastAsia="zh-CN"/>
        </w:rPr>
        <w:t>▲</w:t>
      </w:r>
      <w:r>
        <w:rPr>
          <w:rFonts w:hint="eastAsia" w:ascii="仿宋" w:hAnsi="仿宋" w:eastAsia="仿宋" w:cs="仿宋"/>
          <w:highlight w:val="yellow"/>
          <w:lang w:eastAsia="zh-CN"/>
        </w:rPr>
        <w:t>注意：报价不能高于预算价，人员工资不能低于招标人要求的最低标准。</w:t>
      </w:r>
    </w:p>
    <w:p w14:paraId="716338AB">
      <w:pPr>
        <w:rPr>
          <w:rFonts w:hint="eastAsia" w:ascii="仿宋" w:hAnsi="仿宋" w:eastAsia="仿宋" w:cs="仿宋"/>
          <w:highlight w:val="yellow"/>
          <w:lang w:eastAsia="zh-CN"/>
        </w:rPr>
      </w:pPr>
      <w:r>
        <w:rPr>
          <w:rFonts w:hint="eastAsia" w:ascii="仿宋" w:hAnsi="仿宋" w:eastAsia="仿宋" w:cs="仿宋"/>
          <w:highlight w:val="yellow"/>
          <w:lang w:eastAsia="zh-CN"/>
        </w:rPr>
        <w:br w:type="page"/>
      </w:r>
    </w:p>
    <w:p w14:paraId="58673A5D">
      <w:pPr>
        <w:spacing w:line="400" w:lineRule="exact"/>
        <w:jc w:val="center"/>
        <w:outlineLvl w:val="0"/>
        <w:rPr>
          <w:rFonts w:hint="eastAsia" w:ascii="仿宋" w:hAnsi="仿宋" w:eastAsia="仿宋" w:cs="仿宋"/>
          <w:b/>
          <w:sz w:val="32"/>
        </w:rPr>
      </w:pPr>
      <w:r>
        <w:rPr>
          <w:rFonts w:hint="eastAsia" w:ascii="仿宋" w:hAnsi="仿宋" w:eastAsia="仿宋" w:cs="仿宋"/>
          <w:b/>
          <w:sz w:val="32"/>
        </w:rPr>
        <w:t>退保证金收据</w:t>
      </w:r>
    </w:p>
    <w:p w14:paraId="7C245A70">
      <w:pPr>
        <w:spacing w:line="400" w:lineRule="exact"/>
        <w:rPr>
          <w:rFonts w:hint="eastAsia" w:ascii="仿宋" w:hAnsi="仿宋" w:eastAsia="仿宋" w:cs="仿宋"/>
          <w:b/>
          <w:sz w:val="30"/>
          <w:szCs w:val="30"/>
        </w:rPr>
      </w:pP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42" w:type="dxa"/>
          <w:bottom w:w="0" w:type="dxa"/>
          <w:right w:w="42" w:type="dxa"/>
        </w:tblCellMar>
      </w:tblPr>
      <w:tblGrid>
        <w:gridCol w:w="2030"/>
        <w:gridCol w:w="2693"/>
        <w:gridCol w:w="2009"/>
        <w:gridCol w:w="2146"/>
      </w:tblGrid>
      <w:tr w14:paraId="791A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42" w:type="dxa"/>
            <w:bottom w:w="0" w:type="dxa"/>
            <w:right w:w="42" w:type="dxa"/>
          </w:tblCellMar>
        </w:tblPrEx>
        <w:trPr>
          <w:trHeight w:val="874" w:hRule="atLeast"/>
          <w:jc w:val="center"/>
        </w:trPr>
        <w:tc>
          <w:tcPr>
            <w:tcW w:w="2030" w:type="dxa"/>
            <w:noWrap/>
            <w:vAlign w:val="center"/>
          </w:tcPr>
          <w:p w14:paraId="4F0C222E">
            <w:pPr>
              <w:pStyle w:val="41"/>
              <w:spacing w:line="240" w:lineRule="auto"/>
              <w:rPr>
                <w:rFonts w:hint="eastAsia" w:ascii="仿宋" w:hAnsi="仿宋" w:eastAsia="仿宋" w:cs="仿宋"/>
              </w:rPr>
            </w:pPr>
            <w:r>
              <w:rPr>
                <w:rFonts w:hint="eastAsia" w:ascii="仿宋" w:hAnsi="仿宋" w:eastAsia="仿宋" w:cs="仿宋"/>
              </w:rPr>
              <w:t>投标单位名称</w:t>
            </w:r>
          </w:p>
        </w:tc>
        <w:tc>
          <w:tcPr>
            <w:tcW w:w="6848" w:type="dxa"/>
            <w:gridSpan w:val="3"/>
            <w:noWrap/>
            <w:vAlign w:val="center"/>
          </w:tcPr>
          <w:p w14:paraId="179C4018">
            <w:pPr>
              <w:pStyle w:val="49"/>
              <w:spacing w:line="360" w:lineRule="auto"/>
              <w:outlineLvl w:val="9"/>
              <w:rPr>
                <w:rFonts w:hint="eastAsia" w:ascii="仿宋" w:hAnsi="仿宋" w:eastAsia="仿宋" w:cs="仿宋"/>
              </w:rPr>
            </w:pPr>
          </w:p>
        </w:tc>
      </w:tr>
      <w:tr w14:paraId="6B17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42" w:type="dxa"/>
            <w:bottom w:w="0" w:type="dxa"/>
            <w:right w:w="42" w:type="dxa"/>
          </w:tblCellMar>
        </w:tblPrEx>
        <w:trPr>
          <w:trHeight w:val="999" w:hRule="atLeast"/>
          <w:jc w:val="center"/>
        </w:trPr>
        <w:tc>
          <w:tcPr>
            <w:tcW w:w="2030" w:type="dxa"/>
            <w:noWrap/>
            <w:vAlign w:val="center"/>
          </w:tcPr>
          <w:p w14:paraId="39E4CB7D">
            <w:pPr>
              <w:pStyle w:val="41"/>
              <w:spacing w:line="240" w:lineRule="auto"/>
              <w:rPr>
                <w:rFonts w:hint="eastAsia" w:ascii="仿宋" w:hAnsi="仿宋" w:eastAsia="仿宋" w:cs="仿宋"/>
              </w:rPr>
            </w:pPr>
            <w:r>
              <w:rPr>
                <w:rFonts w:hint="eastAsia" w:ascii="仿宋" w:hAnsi="仿宋" w:eastAsia="仿宋" w:cs="仿宋"/>
              </w:rPr>
              <w:t>项目名称</w:t>
            </w:r>
          </w:p>
        </w:tc>
        <w:tc>
          <w:tcPr>
            <w:tcW w:w="6848" w:type="dxa"/>
            <w:gridSpan w:val="3"/>
            <w:noWrap/>
            <w:vAlign w:val="center"/>
          </w:tcPr>
          <w:p w14:paraId="50F6C2AC">
            <w:pPr>
              <w:pStyle w:val="49"/>
              <w:spacing w:line="360" w:lineRule="auto"/>
              <w:outlineLvl w:val="9"/>
              <w:rPr>
                <w:rFonts w:hint="eastAsia" w:ascii="仿宋" w:hAnsi="仿宋" w:eastAsia="仿宋" w:cs="仿宋"/>
                <w:lang w:eastAsia="zh-CN"/>
              </w:rPr>
            </w:pPr>
            <w:r>
              <w:rPr>
                <w:rFonts w:hint="eastAsia" w:ascii="仿宋" w:hAnsi="仿宋" w:eastAsia="仿宋" w:cs="仿宋"/>
                <w:b w:val="0"/>
                <w:bCs w:val="0"/>
                <w:sz w:val="24"/>
                <w:szCs w:val="24"/>
                <w:lang w:eastAsia="zh-CN"/>
              </w:rPr>
              <w:t>浙江常新工贸有限公司新址辅助管理人员外包服务项目</w:t>
            </w:r>
          </w:p>
        </w:tc>
      </w:tr>
      <w:tr w14:paraId="4598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42" w:type="dxa"/>
            <w:bottom w:w="0" w:type="dxa"/>
            <w:right w:w="42" w:type="dxa"/>
          </w:tblCellMar>
        </w:tblPrEx>
        <w:trPr>
          <w:trHeight w:val="1731" w:hRule="atLeast"/>
          <w:jc w:val="center"/>
        </w:trPr>
        <w:tc>
          <w:tcPr>
            <w:tcW w:w="2030" w:type="dxa"/>
            <w:noWrap/>
            <w:vAlign w:val="center"/>
          </w:tcPr>
          <w:p w14:paraId="1E0796BE">
            <w:pPr>
              <w:pStyle w:val="41"/>
              <w:spacing w:line="360" w:lineRule="auto"/>
              <w:rPr>
                <w:rFonts w:hint="eastAsia" w:ascii="仿宋" w:hAnsi="仿宋" w:eastAsia="仿宋" w:cs="仿宋"/>
              </w:rPr>
            </w:pPr>
            <w:r>
              <w:rPr>
                <w:rFonts w:hint="eastAsia" w:ascii="仿宋" w:hAnsi="仿宋" w:eastAsia="仿宋" w:cs="仿宋"/>
              </w:rPr>
              <w:t>合计人民币（大写）</w:t>
            </w:r>
          </w:p>
        </w:tc>
        <w:tc>
          <w:tcPr>
            <w:tcW w:w="2693" w:type="dxa"/>
            <w:tcBorders>
              <w:right w:val="single" w:color="auto" w:sz="4" w:space="0"/>
            </w:tcBorders>
            <w:noWrap/>
            <w:vAlign w:val="center"/>
          </w:tcPr>
          <w:p w14:paraId="1B0FAA41">
            <w:pPr>
              <w:pStyle w:val="41"/>
              <w:spacing w:line="360" w:lineRule="auto"/>
              <w:rPr>
                <w:rFonts w:hint="eastAsia" w:ascii="仿宋" w:hAnsi="仿宋" w:eastAsia="仿宋" w:cs="仿宋"/>
              </w:rPr>
            </w:pPr>
            <w:r>
              <w:rPr>
                <w:rFonts w:hint="eastAsia" w:ascii="仿宋" w:hAnsi="仿宋" w:eastAsia="仿宋" w:cs="仿宋"/>
                <w:sz w:val="24"/>
                <w:lang w:eastAsia="zh-CN"/>
              </w:rPr>
              <w:t>壹万柒仟</w:t>
            </w:r>
            <w:r>
              <w:rPr>
                <w:rFonts w:hint="eastAsia" w:ascii="仿宋" w:hAnsi="仿宋" w:eastAsia="仿宋" w:cs="仿宋"/>
                <w:sz w:val="24"/>
              </w:rPr>
              <w:t>元</w:t>
            </w:r>
            <w:r>
              <w:rPr>
                <w:rFonts w:hint="eastAsia" w:ascii="仿宋" w:hAnsi="仿宋" w:eastAsia="仿宋" w:cs="仿宋"/>
              </w:rPr>
              <w:t>整</w:t>
            </w:r>
          </w:p>
        </w:tc>
        <w:tc>
          <w:tcPr>
            <w:tcW w:w="2009" w:type="dxa"/>
            <w:tcBorders>
              <w:left w:val="single" w:color="auto" w:sz="4" w:space="0"/>
            </w:tcBorders>
            <w:noWrap/>
            <w:vAlign w:val="center"/>
          </w:tcPr>
          <w:p w14:paraId="7F60A231">
            <w:pPr>
              <w:pStyle w:val="41"/>
              <w:spacing w:line="360" w:lineRule="auto"/>
              <w:rPr>
                <w:rFonts w:hint="eastAsia" w:ascii="仿宋" w:hAnsi="仿宋" w:eastAsia="仿宋" w:cs="仿宋"/>
              </w:rPr>
            </w:pPr>
            <w:r>
              <w:rPr>
                <w:rFonts w:hint="eastAsia" w:ascii="仿宋" w:hAnsi="仿宋" w:eastAsia="仿宋" w:cs="仿宋"/>
              </w:rPr>
              <w:t>小写</w:t>
            </w:r>
          </w:p>
        </w:tc>
        <w:tc>
          <w:tcPr>
            <w:tcW w:w="2146" w:type="dxa"/>
            <w:tcBorders>
              <w:left w:val="single" w:color="auto" w:sz="4" w:space="0"/>
            </w:tcBorders>
            <w:noWrap/>
            <w:vAlign w:val="center"/>
          </w:tcPr>
          <w:p w14:paraId="1072F7E2">
            <w:pPr>
              <w:pStyle w:val="41"/>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17000</w:t>
            </w:r>
            <w:r>
              <w:rPr>
                <w:rFonts w:hint="eastAsia" w:ascii="仿宋" w:hAnsi="仿宋" w:eastAsia="仿宋" w:cs="仿宋"/>
              </w:rPr>
              <w:t>.00</w:t>
            </w:r>
          </w:p>
        </w:tc>
      </w:tr>
      <w:tr w14:paraId="1CBD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42" w:type="dxa"/>
            <w:bottom w:w="0" w:type="dxa"/>
            <w:right w:w="42" w:type="dxa"/>
          </w:tblCellMar>
        </w:tblPrEx>
        <w:trPr>
          <w:trHeight w:val="1731" w:hRule="atLeast"/>
          <w:jc w:val="center"/>
        </w:trPr>
        <w:tc>
          <w:tcPr>
            <w:tcW w:w="2030" w:type="dxa"/>
            <w:noWrap/>
            <w:vAlign w:val="center"/>
          </w:tcPr>
          <w:p w14:paraId="0AD10D08">
            <w:pPr>
              <w:pStyle w:val="41"/>
              <w:spacing w:line="360" w:lineRule="auto"/>
              <w:rPr>
                <w:rFonts w:hint="eastAsia" w:ascii="仿宋" w:hAnsi="仿宋" w:eastAsia="仿宋" w:cs="仿宋"/>
              </w:rPr>
            </w:pPr>
            <w:r>
              <w:rPr>
                <w:rFonts w:hint="eastAsia" w:ascii="仿宋" w:hAnsi="仿宋" w:eastAsia="仿宋" w:cs="仿宋"/>
              </w:rPr>
              <w:t>盖章</w:t>
            </w:r>
          </w:p>
        </w:tc>
        <w:tc>
          <w:tcPr>
            <w:tcW w:w="2693" w:type="dxa"/>
            <w:tcBorders>
              <w:right w:val="single" w:color="auto" w:sz="4" w:space="0"/>
            </w:tcBorders>
            <w:noWrap/>
            <w:vAlign w:val="center"/>
          </w:tcPr>
          <w:p w14:paraId="57BB22CA">
            <w:pPr>
              <w:pStyle w:val="41"/>
              <w:spacing w:line="360" w:lineRule="auto"/>
              <w:rPr>
                <w:rFonts w:hint="eastAsia" w:ascii="仿宋" w:hAnsi="仿宋" w:eastAsia="仿宋" w:cs="仿宋"/>
              </w:rPr>
            </w:pPr>
          </w:p>
        </w:tc>
        <w:tc>
          <w:tcPr>
            <w:tcW w:w="2009" w:type="dxa"/>
            <w:tcBorders>
              <w:left w:val="single" w:color="auto" w:sz="4" w:space="0"/>
            </w:tcBorders>
            <w:noWrap/>
            <w:vAlign w:val="center"/>
          </w:tcPr>
          <w:p w14:paraId="3CAA3E05">
            <w:pPr>
              <w:pStyle w:val="41"/>
              <w:spacing w:line="360" w:lineRule="auto"/>
              <w:rPr>
                <w:rFonts w:hint="eastAsia" w:ascii="仿宋" w:hAnsi="仿宋" w:eastAsia="仿宋" w:cs="仿宋"/>
              </w:rPr>
            </w:pPr>
            <w:r>
              <w:rPr>
                <w:rFonts w:hint="eastAsia" w:ascii="仿宋" w:hAnsi="仿宋" w:eastAsia="仿宋" w:cs="仿宋"/>
              </w:rPr>
              <w:t>经手人联系号码</w:t>
            </w:r>
          </w:p>
        </w:tc>
        <w:tc>
          <w:tcPr>
            <w:tcW w:w="2146" w:type="dxa"/>
            <w:tcBorders>
              <w:left w:val="single" w:color="auto" w:sz="4" w:space="0"/>
            </w:tcBorders>
            <w:noWrap/>
            <w:vAlign w:val="center"/>
          </w:tcPr>
          <w:p w14:paraId="29E959AD">
            <w:pPr>
              <w:pStyle w:val="41"/>
              <w:spacing w:line="360" w:lineRule="auto"/>
              <w:rPr>
                <w:rFonts w:hint="eastAsia" w:ascii="仿宋" w:hAnsi="仿宋" w:eastAsia="仿宋" w:cs="仿宋"/>
              </w:rPr>
            </w:pPr>
          </w:p>
        </w:tc>
      </w:tr>
      <w:tr w14:paraId="4D5A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42" w:type="dxa"/>
            <w:bottom w:w="0" w:type="dxa"/>
            <w:right w:w="42" w:type="dxa"/>
          </w:tblCellMar>
        </w:tblPrEx>
        <w:trPr>
          <w:trHeight w:val="1731" w:hRule="atLeast"/>
          <w:jc w:val="center"/>
        </w:trPr>
        <w:tc>
          <w:tcPr>
            <w:tcW w:w="2030" w:type="dxa"/>
            <w:noWrap/>
            <w:vAlign w:val="center"/>
          </w:tcPr>
          <w:p w14:paraId="626225D5">
            <w:pPr>
              <w:pStyle w:val="41"/>
              <w:spacing w:line="360" w:lineRule="auto"/>
              <w:rPr>
                <w:rFonts w:hint="eastAsia" w:ascii="仿宋" w:hAnsi="仿宋" w:eastAsia="仿宋" w:cs="仿宋"/>
              </w:rPr>
            </w:pPr>
            <w:r>
              <w:rPr>
                <w:rFonts w:hint="eastAsia" w:ascii="仿宋" w:hAnsi="仿宋" w:eastAsia="仿宋" w:cs="仿宋"/>
              </w:rPr>
              <w:t>开户行</w:t>
            </w:r>
          </w:p>
        </w:tc>
        <w:tc>
          <w:tcPr>
            <w:tcW w:w="6848" w:type="dxa"/>
            <w:gridSpan w:val="3"/>
            <w:noWrap/>
            <w:vAlign w:val="center"/>
          </w:tcPr>
          <w:p w14:paraId="2933FCD0">
            <w:pPr>
              <w:pStyle w:val="41"/>
              <w:spacing w:line="360" w:lineRule="auto"/>
              <w:rPr>
                <w:rFonts w:hint="eastAsia" w:ascii="仿宋" w:hAnsi="仿宋" w:eastAsia="仿宋" w:cs="仿宋"/>
              </w:rPr>
            </w:pPr>
          </w:p>
        </w:tc>
      </w:tr>
      <w:tr w14:paraId="3E07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42" w:type="dxa"/>
            <w:bottom w:w="0" w:type="dxa"/>
            <w:right w:w="42" w:type="dxa"/>
          </w:tblCellMar>
        </w:tblPrEx>
        <w:trPr>
          <w:trHeight w:val="1731" w:hRule="atLeast"/>
          <w:jc w:val="center"/>
        </w:trPr>
        <w:tc>
          <w:tcPr>
            <w:tcW w:w="2030" w:type="dxa"/>
            <w:noWrap/>
            <w:vAlign w:val="center"/>
          </w:tcPr>
          <w:p w14:paraId="44C145CC">
            <w:pPr>
              <w:pStyle w:val="41"/>
              <w:spacing w:line="360" w:lineRule="auto"/>
              <w:rPr>
                <w:rFonts w:hint="eastAsia" w:ascii="仿宋" w:hAnsi="仿宋" w:eastAsia="仿宋" w:cs="仿宋"/>
              </w:rPr>
            </w:pPr>
            <w:r>
              <w:rPr>
                <w:rFonts w:hint="eastAsia" w:ascii="仿宋" w:hAnsi="仿宋" w:eastAsia="仿宋" w:cs="仿宋"/>
              </w:rPr>
              <w:t>账号</w:t>
            </w:r>
          </w:p>
        </w:tc>
        <w:tc>
          <w:tcPr>
            <w:tcW w:w="6848" w:type="dxa"/>
            <w:gridSpan w:val="3"/>
            <w:noWrap/>
            <w:vAlign w:val="center"/>
          </w:tcPr>
          <w:p w14:paraId="6DA69924">
            <w:pPr>
              <w:pStyle w:val="41"/>
              <w:spacing w:line="360" w:lineRule="auto"/>
              <w:rPr>
                <w:rFonts w:hint="eastAsia" w:ascii="仿宋" w:hAnsi="仿宋" w:eastAsia="仿宋" w:cs="仿宋"/>
              </w:rPr>
            </w:pPr>
          </w:p>
        </w:tc>
      </w:tr>
    </w:tbl>
    <w:p w14:paraId="3AB4CD06">
      <w:pPr>
        <w:spacing w:line="400" w:lineRule="exact"/>
        <w:rPr>
          <w:rFonts w:hint="eastAsia" w:ascii="仿宋" w:hAnsi="仿宋" w:eastAsia="仿宋" w:cs="仿宋"/>
          <w:b/>
          <w:sz w:val="30"/>
          <w:szCs w:val="30"/>
        </w:rPr>
      </w:pPr>
    </w:p>
    <w:p w14:paraId="7731DCE6">
      <w:pPr>
        <w:spacing w:line="400" w:lineRule="exact"/>
        <w:ind w:firstLine="422" w:firstLineChars="200"/>
        <w:rPr>
          <w:rFonts w:hint="eastAsia" w:ascii="仿宋" w:hAnsi="仿宋" w:eastAsia="仿宋" w:cs="仿宋"/>
          <w:b/>
          <w:bCs/>
          <w:snapToGrid w:val="0"/>
          <w:lang w:eastAsia="zh-CN"/>
        </w:rPr>
      </w:pPr>
      <w:r>
        <w:rPr>
          <w:rFonts w:hint="eastAsia" w:ascii="仿宋" w:hAnsi="仿宋" w:eastAsia="仿宋" w:cs="仿宋"/>
          <w:b/>
          <w:bCs/>
          <w:snapToGrid w:val="0"/>
        </w:rPr>
        <w:t>注：本收据不要做到</w:t>
      </w:r>
      <w:r>
        <w:rPr>
          <w:rFonts w:hint="eastAsia" w:ascii="仿宋" w:hAnsi="仿宋" w:eastAsia="仿宋" w:cs="仿宋"/>
          <w:b/>
          <w:bCs/>
          <w:snapToGrid w:val="0"/>
          <w:lang w:eastAsia="zh-CN"/>
        </w:rPr>
        <w:t>投标</w:t>
      </w:r>
      <w:r>
        <w:rPr>
          <w:rFonts w:hint="eastAsia" w:ascii="仿宋" w:hAnsi="仿宋" w:eastAsia="仿宋" w:cs="仿宋"/>
          <w:b/>
          <w:bCs/>
          <w:snapToGrid w:val="0"/>
        </w:rPr>
        <w:t>文件中，投标时附于响应文件档案袋外交于招标代理，用于退保证金</w:t>
      </w:r>
      <w:r>
        <w:rPr>
          <w:rFonts w:hint="eastAsia" w:ascii="仿宋" w:hAnsi="仿宋" w:eastAsia="仿宋" w:cs="仿宋"/>
          <w:b/>
          <w:bCs/>
          <w:snapToGrid w:val="0"/>
          <w:lang w:eastAsia="zh-CN"/>
        </w:rPr>
        <w:t>。</w:t>
      </w:r>
    </w:p>
    <w:p w14:paraId="5934E068">
      <w:pPr>
        <w:pStyle w:val="8"/>
        <w:numPr>
          <w:ilvl w:val="0"/>
          <w:numId w:val="0"/>
        </w:numPr>
        <w:snapToGrid w:val="0"/>
        <w:spacing w:line="380" w:lineRule="exact"/>
        <w:rPr>
          <w:rFonts w:hint="eastAsia" w:ascii="仿宋" w:hAnsi="仿宋" w:eastAsia="仿宋" w:cs="仿宋"/>
          <w:b/>
          <w:bCs/>
          <w:color w:val="auto"/>
          <w:sz w:val="24"/>
          <w:highlight w:val="none"/>
        </w:rPr>
      </w:pPr>
    </w:p>
    <w:p w14:paraId="0B7F8A3E">
      <w:pPr>
        <w:pStyle w:val="3"/>
        <w:rPr>
          <w:rFonts w:hint="eastAsia"/>
          <w:lang w:eastAsia="zh-CN"/>
        </w:rPr>
      </w:pPr>
    </w:p>
    <w:sectPr>
      <w:headerReference r:id="rId9" w:type="default"/>
      <w:footerReference r:id="rId10" w:type="default"/>
      <w:pgSz w:w="11907" w:h="16840"/>
      <w:pgMar w:top="1134" w:right="1134" w:bottom="851" w:left="1134"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6C35">
    <w:pPr>
      <w:pStyle w:val="17"/>
      <w:jc w:val="left"/>
      <w:rPr>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A56795E">
                          <w:pPr>
                            <w:pStyle w:val="16"/>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4A56795E">
                    <w:pPr>
                      <w:pStyle w:val="16"/>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b/>
        <w:bCs/>
        <w:sz w:val="21"/>
        <w:szCs w:val="21"/>
      </w:rPr>
      <w:drawing>
        <wp:inline distT="0" distB="0" distL="114300" distR="114300">
          <wp:extent cx="686435" cy="523240"/>
          <wp:effectExtent l="0" t="0" r="14605" b="10160"/>
          <wp:docPr id="4" name="图片 4" descr="8135f1049670a12738da54a12821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135f1049670a12738da54a12821a01"/>
                  <pic:cNvPicPr>
                    <a:picLocks noChangeAspect="1"/>
                  </pic:cNvPicPr>
                </pic:nvPicPr>
                <pic:blipFill>
                  <a:blip r:embed="rId1"/>
                  <a:stretch>
                    <a:fillRect/>
                  </a:stretch>
                </pic:blipFill>
                <pic:spPr>
                  <a:xfrm>
                    <a:off x="0" y="0"/>
                    <a:ext cx="686435" cy="523240"/>
                  </a:xfrm>
                  <a:prstGeom prst="rect">
                    <a:avLst/>
                  </a:prstGeom>
                </pic:spPr>
              </pic:pic>
            </a:graphicData>
          </a:graphic>
        </wp:inline>
      </w:drawing>
    </w:r>
    <w:r>
      <w:rPr>
        <w:rFonts w:hint="eastAsia"/>
        <w:b/>
        <w:bCs/>
        <w:sz w:val="21"/>
        <w:szCs w:val="21"/>
      </w:rPr>
      <w:t>浙江中正工程项目管理有限公司</w:t>
    </w:r>
  </w:p>
  <w:p w14:paraId="1AD6BC4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5034">
    <w:pPr>
      <w:pStyle w:val="16"/>
      <w:framePr w:wrap="around" w:vAnchor="text" w:hAnchor="margin" w:xAlign="center" w:y="1"/>
      <w:rPr>
        <w:rStyle w:val="25"/>
      </w:rPr>
    </w:pPr>
    <w:r>
      <w:fldChar w:fldCharType="begin"/>
    </w:r>
    <w:r>
      <w:rPr>
        <w:rStyle w:val="25"/>
      </w:rPr>
      <w:instrText xml:space="preserve">PAGE  </w:instrText>
    </w:r>
    <w:r>
      <w:fldChar w:fldCharType="end"/>
    </w:r>
  </w:p>
  <w:p w14:paraId="4ECA1A0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C423">
    <w:pPr>
      <w:pStyle w:val="17"/>
      <w:jc w:val="left"/>
      <w:rPr>
        <w:b/>
        <w:b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4E165E9">
                          <w:pPr>
                            <w:pStyle w:val="16"/>
                          </w:pPr>
                          <w:r>
                            <w:fldChar w:fldCharType="begin"/>
                          </w:r>
                          <w:r>
                            <w:instrText xml:space="preserve"> PAGE  \* MERGEFORMAT </w:instrText>
                          </w:r>
                          <w:r>
                            <w:fldChar w:fldCharType="separate"/>
                          </w:r>
                          <w:r>
                            <w:t>25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14E165E9">
                    <w:pPr>
                      <w:pStyle w:val="16"/>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b/>
        <w:bCs/>
        <w:sz w:val="21"/>
        <w:szCs w:val="21"/>
      </w:rPr>
      <w:drawing>
        <wp:inline distT="0" distB="0" distL="114300" distR="114300">
          <wp:extent cx="686435" cy="523240"/>
          <wp:effectExtent l="0" t="0" r="14605" b="10160"/>
          <wp:docPr id="5" name="图片 5" descr="8135f1049670a12738da54a12821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135f1049670a12738da54a12821a01"/>
                  <pic:cNvPicPr>
                    <a:picLocks noChangeAspect="1"/>
                  </pic:cNvPicPr>
                </pic:nvPicPr>
                <pic:blipFill>
                  <a:blip r:embed="rId1"/>
                  <a:stretch>
                    <a:fillRect/>
                  </a:stretch>
                </pic:blipFill>
                <pic:spPr>
                  <a:xfrm>
                    <a:off x="0" y="0"/>
                    <a:ext cx="686435" cy="523240"/>
                  </a:xfrm>
                  <a:prstGeom prst="rect">
                    <a:avLst/>
                  </a:prstGeom>
                </pic:spPr>
              </pic:pic>
            </a:graphicData>
          </a:graphic>
        </wp:inline>
      </w:drawing>
    </w:r>
    <w:r>
      <w:rPr>
        <w:rFonts w:hint="eastAsia"/>
        <w:b/>
        <w:bCs/>
        <w:sz w:val="21"/>
        <w:szCs w:val="21"/>
      </w:rPr>
      <w:t>浙江中正工程项目管理有限公司</w:t>
    </w:r>
  </w:p>
  <w:p w14:paraId="55E704E3">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E930">
    <w:pPr>
      <w:pStyle w:val="16"/>
      <w:ind w:right="36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7BDF6CE">
                          <w:pPr>
                            <w:pStyle w:val="16"/>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ANUsFjs&#10;AQAA1QMAAA4AAAAAAAAAAQAgAAAAHgEAAGRycy9lMm9Eb2MueG1sUEsFBgAAAAAGAAYAWQEAAHwF&#10;AAAAAA==&#10;">
              <v:fill on="f" focussize="0,0"/>
              <v:stroke on="f"/>
              <v:imagedata o:title=""/>
              <o:lock v:ext="edit" aspectratio="f"/>
              <v:textbox inset="0mm,0mm,0mm,0mm" style="mso-fit-shape-to-text:t;">
                <w:txbxContent>
                  <w:p w14:paraId="27BDF6CE">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7A61">
    <w:pPr>
      <w:pStyle w:val="16"/>
      <w:ind w:right="360"/>
      <w:jc w:val="center"/>
      <w:rPr>
        <w:color w:val="333333"/>
        <w:sz w:val="21"/>
        <w:szCs w:val="21"/>
        <w:u w:val="single"/>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06AFD6E">
                          <w:pPr>
                            <w:pStyle w:val="16"/>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UZousBAADVAwAADgAAAGRycy9lMm9Eb2MueG1srVPBjtMwEL0j8Q+W&#10;7zTZSou6UdMVU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U/MbzpywdOHnH9/PP3+ff31j&#10;N0me3mNFWfee8uLwGgZamvkc6TCxHtpg05/4MIqTuKeLuGqITKai1XK1KikkKTY7hF88lPuA8a0C&#10;y5JR80C3l0UVx/cYx9Q5JXVzcKeNyTdoHOuJwvXyOhdcIgRuXMpVeRcmmERpHD1ZcdgNE88dNCei&#10;Sa+D2ncQvnLW027U3NFT4My8cyR9WqPZCLOxmw3hJBXWPHI2mm/iuG4HH/S+ywuYBkL/6hCJQOaV&#10;xhh7kx7JodvOykybmdbpbz9nPbzG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jFUZousB&#10;AADVAwAADgAAAAAAAAABACAAAAAeAQAAZHJzL2Uyb0RvYy54bWxQSwUGAAAAAAYABgBZAQAAewUA&#10;AAAA&#10;">
              <v:fill on="f" focussize="0,0"/>
              <v:stroke on="f"/>
              <v:imagedata o:title=""/>
              <o:lock v:ext="edit" aspectratio="f"/>
              <v:textbox inset="0mm,0mm,0mm,0mm" style="mso-fit-shape-to-text:t;">
                <w:txbxContent>
                  <w:p w14:paraId="006AFD6E">
                    <w:pPr>
                      <w:pStyle w:val="16"/>
                    </w:pPr>
                    <w:r>
                      <w:fldChar w:fldCharType="begin"/>
                    </w:r>
                    <w:r>
                      <w:instrText xml:space="preserve"> PAGE  \* MERGEFORMAT </w:instrText>
                    </w:r>
                    <w:r>
                      <w:fldChar w:fldCharType="separate"/>
                    </w:r>
                    <w:r>
                      <w:t>51</w:t>
                    </w:r>
                    <w:r>
                      <w:fldChar w:fldCharType="end"/>
                    </w:r>
                  </w:p>
                </w:txbxContent>
              </v:textbox>
            </v:shape>
          </w:pict>
        </mc:Fallback>
      </mc:AlternateContent>
    </w:r>
  </w:p>
  <w:p w14:paraId="519E1606">
    <w:pPr>
      <w:rPr>
        <w:color w:val="333333"/>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CA4C">
    <w:pPr>
      <w:pStyle w:val="17"/>
      <w:pBdr>
        <w:bottom w:val="dashDotStroked" w:color="auto" w:sz="24" w:space="1"/>
      </w:pBdr>
      <w:ind w:firstLine="342" w:firstLineChars="200"/>
      <w:jc w:val="both"/>
      <w:rPr>
        <w:b/>
        <w:bCs/>
        <w:sz w:val="21"/>
        <w:szCs w:val="21"/>
      </w:rPr>
    </w:pPr>
    <w:r>
      <w:rPr>
        <w:rFonts w:hint="eastAsia" w:ascii="宋体" w:hAnsi="宋体"/>
        <w:b/>
        <w:bCs/>
        <w:spacing w:val="-20"/>
        <w:sz w:val="21"/>
        <w:szCs w:val="21"/>
        <w:lang w:eastAsia="zh-CN"/>
      </w:rPr>
      <w:t>浙江常新工贸有限公司新址辅助管理人员外包服务项目</w:t>
    </w:r>
    <w:r>
      <w:rPr>
        <w:rFonts w:hint="eastAsia" w:ascii="宋体" w:hAnsi="宋体"/>
        <w:b/>
        <w:bCs/>
        <w:spacing w:val="-20"/>
        <w:sz w:val="21"/>
        <w:szCs w:val="21"/>
      </w:rPr>
      <w:t xml:space="preserve">                                         </w:t>
    </w:r>
    <w:r>
      <w:rPr>
        <w:rFonts w:hint="eastAsia" w:ascii="宋体" w:hAnsi="宋体"/>
        <w:b/>
        <w:bCs/>
        <w:spacing w:val="-20"/>
        <w:sz w:val="21"/>
        <w:szCs w:val="21"/>
        <w:lang w:val="en-US" w:eastAsia="zh-CN"/>
      </w:rPr>
      <w:t xml:space="preserve">  </w:t>
    </w:r>
    <w:r>
      <w:rPr>
        <w:rFonts w:hint="eastAsia" w:ascii="宋体" w:hAnsi="宋体"/>
        <w:b/>
        <w:bCs/>
        <w:spacing w:val="-2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032A">
    <w:pPr>
      <w:pStyle w:val="17"/>
      <w:spacing w:line="400" w:lineRule="exact"/>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202A">
    <w:pPr>
      <w:pStyle w:val="17"/>
      <w:pBdr>
        <w:bottom w:val="single" w:color="auto" w:sz="6" w:space="0"/>
      </w:pBdr>
      <w:jc w:val="right"/>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67CF5"/>
    <w:multiLevelType w:val="singleLevel"/>
    <w:tmpl w:val="56D67CF5"/>
    <w:lvl w:ilvl="0" w:tentative="0">
      <w:start w:val="1"/>
      <w:numFmt w:val="decimal"/>
      <w:pStyle w:val="8"/>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RiNDc2MzFlYTQ0OTIxMWE2OWJmNWNiNmRiOGMifQ=="/>
  </w:docVars>
  <w:rsids>
    <w:rsidRoot w:val="00172A27"/>
    <w:rsid w:val="000430B6"/>
    <w:rsid w:val="0006693A"/>
    <w:rsid w:val="000A1860"/>
    <w:rsid w:val="000B61B0"/>
    <w:rsid w:val="001D762E"/>
    <w:rsid w:val="001F7E92"/>
    <w:rsid w:val="00224CB8"/>
    <w:rsid w:val="0024303A"/>
    <w:rsid w:val="00251A92"/>
    <w:rsid w:val="00273388"/>
    <w:rsid w:val="002A6EE6"/>
    <w:rsid w:val="00316127"/>
    <w:rsid w:val="0034057F"/>
    <w:rsid w:val="00367A6D"/>
    <w:rsid w:val="003A65FF"/>
    <w:rsid w:val="003B512A"/>
    <w:rsid w:val="0042572E"/>
    <w:rsid w:val="00473031"/>
    <w:rsid w:val="00520CAD"/>
    <w:rsid w:val="00523D17"/>
    <w:rsid w:val="00542CEE"/>
    <w:rsid w:val="005557A9"/>
    <w:rsid w:val="005709C5"/>
    <w:rsid w:val="00580DE1"/>
    <w:rsid w:val="00626922"/>
    <w:rsid w:val="006A6181"/>
    <w:rsid w:val="00715117"/>
    <w:rsid w:val="007A454A"/>
    <w:rsid w:val="008255F0"/>
    <w:rsid w:val="00867810"/>
    <w:rsid w:val="008B4141"/>
    <w:rsid w:val="00907F8B"/>
    <w:rsid w:val="00995AA3"/>
    <w:rsid w:val="009A6D06"/>
    <w:rsid w:val="00A42E41"/>
    <w:rsid w:val="00AD32A0"/>
    <w:rsid w:val="00B11E58"/>
    <w:rsid w:val="00B43509"/>
    <w:rsid w:val="00B50D9E"/>
    <w:rsid w:val="00BB0F6C"/>
    <w:rsid w:val="00C2484B"/>
    <w:rsid w:val="00CD7354"/>
    <w:rsid w:val="00CF519D"/>
    <w:rsid w:val="00CF7E49"/>
    <w:rsid w:val="00E40880"/>
    <w:rsid w:val="00E44250"/>
    <w:rsid w:val="00E8702E"/>
    <w:rsid w:val="00EC0743"/>
    <w:rsid w:val="00EC12F6"/>
    <w:rsid w:val="00F80B04"/>
    <w:rsid w:val="00FA342A"/>
    <w:rsid w:val="00FA3C47"/>
    <w:rsid w:val="00FD36DC"/>
    <w:rsid w:val="010B4755"/>
    <w:rsid w:val="015123B9"/>
    <w:rsid w:val="015E6884"/>
    <w:rsid w:val="01E41B54"/>
    <w:rsid w:val="028E3199"/>
    <w:rsid w:val="02EF1E8A"/>
    <w:rsid w:val="03224562"/>
    <w:rsid w:val="03F82FC0"/>
    <w:rsid w:val="040A3BF3"/>
    <w:rsid w:val="04333C79"/>
    <w:rsid w:val="04754C8F"/>
    <w:rsid w:val="05171224"/>
    <w:rsid w:val="055E3D17"/>
    <w:rsid w:val="05C62FA7"/>
    <w:rsid w:val="06EB2968"/>
    <w:rsid w:val="07531DD0"/>
    <w:rsid w:val="07DE427B"/>
    <w:rsid w:val="0808695F"/>
    <w:rsid w:val="088D7B3B"/>
    <w:rsid w:val="08955281"/>
    <w:rsid w:val="08A116F6"/>
    <w:rsid w:val="08A33978"/>
    <w:rsid w:val="091F0FEF"/>
    <w:rsid w:val="09FF3916"/>
    <w:rsid w:val="0A187F18"/>
    <w:rsid w:val="0A7A107F"/>
    <w:rsid w:val="0AC879AD"/>
    <w:rsid w:val="0B64718D"/>
    <w:rsid w:val="0BF17FF9"/>
    <w:rsid w:val="0C1B3CF0"/>
    <w:rsid w:val="0C45497E"/>
    <w:rsid w:val="0C523489"/>
    <w:rsid w:val="0C674136"/>
    <w:rsid w:val="0C741652"/>
    <w:rsid w:val="0CE340E1"/>
    <w:rsid w:val="0D366907"/>
    <w:rsid w:val="0D5A0848"/>
    <w:rsid w:val="0DBD4932"/>
    <w:rsid w:val="0DEA2B9F"/>
    <w:rsid w:val="0DFA7935"/>
    <w:rsid w:val="0ED10695"/>
    <w:rsid w:val="0FE144E8"/>
    <w:rsid w:val="0FFF5FED"/>
    <w:rsid w:val="100625C1"/>
    <w:rsid w:val="1008458B"/>
    <w:rsid w:val="10573096"/>
    <w:rsid w:val="110F7B9B"/>
    <w:rsid w:val="112C24FB"/>
    <w:rsid w:val="11D605FD"/>
    <w:rsid w:val="1289069C"/>
    <w:rsid w:val="12B502CE"/>
    <w:rsid w:val="12CA1FCB"/>
    <w:rsid w:val="12E27315"/>
    <w:rsid w:val="13871C6A"/>
    <w:rsid w:val="1387409F"/>
    <w:rsid w:val="13D1738A"/>
    <w:rsid w:val="14164D9C"/>
    <w:rsid w:val="143A0681"/>
    <w:rsid w:val="145450F1"/>
    <w:rsid w:val="151B63BC"/>
    <w:rsid w:val="152C0D1B"/>
    <w:rsid w:val="153C69D2"/>
    <w:rsid w:val="15875F52"/>
    <w:rsid w:val="16D1442C"/>
    <w:rsid w:val="17BD20FF"/>
    <w:rsid w:val="19621224"/>
    <w:rsid w:val="198E8565"/>
    <w:rsid w:val="1A310B82"/>
    <w:rsid w:val="1AF536BE"/>
    <w:rsid w:val="1AFB58CF"/>
    <w:rsid w:val="1B1E590D"/>
    <w:rsid w:val="1B1F49AA"/>
    <w:rsid w:val="1B44703D"/>
    <w:rsid w:val="1B4E5321"/>
    <w:rsid w:val="1B7E3953"/>
    <w:rsid w:val="1BBC5A37"/>
    <w:rsid w:val="1BE614F8"/>
    <w:rsid w:val="1D5F7F2C"/>
    <w:rsid w:val="1D81772B"/>
    <w:rsid w:val="1DCF493A"/>
    <w:rsid w:val="1F1A25BE"/>
    <w:rsid w:val="1F4B7FF0"/>
    <w:rsid w:val="20605D1D"/>
    <w:rsid w:val="206F4170"/>
    <w:rsid w:val="20F36B91"/>
    <w:rsid w:val="21052421"/>
    <w:rsid w:val="210F504D"/>
    <w:rsid w:val="215D04AF"/>
    <w:rsid w:val="21997739"/>
    <w:rsid w:val="21AC3DB3"/>
    <w:rsid w:val="228E6CBA"/>
    <w:rsid w:val="22FD695A"/>
    <w:rsid w:val="23BF71FF"/>
    <w:rsid w:val="2494342A"/>
    <w:rsid w:val="255969F2"/>
    <w:rsid w:val="255B1EFD"/>
    <w:rsid w:val="25C66FF8"/>
    <w:rsid w:val="25CC19E1"/>
    <w:rsid w:val="26013AFE"/>
    <w:rsid w:val="273E5401"/>
    <w:rsid w:val="27CC5249"/>
    <w:rsid w:val="27F82683"/>
    <w:rsid w:val="289E73E3"/>
    <w:rsid w:val="28EC45F2"/>
    <w:rsid w:val="2959155B"/>
    <w:rsid w:val="29826D04"/>
    <w:rsid w:val="29845F41"/>
    <w:rsid w:val="2B5446D0"/>
    <w:rsid w:val="2B903893"/>
    <w:rsid w:val="2BD55811"/>
    <w:rsid w:val="2C6D5473"/>
    <w:rsid w:val="2D060A6C"/>
    <w:rsid w:val="2D320A41"/>
    <w:rsid w:val="2DBD030B"/>
    <w:rsid w:val="2E57383F"/>
    <w:rsid w:val="2F0F7C01"/>
    <w:rsid w:val="2F20265F"/>
    <w:rsid w:val="2F280BB7"/>
    <w:rsid w:val="2F6F7D2B"/>
    <w:rsid w:val="2F8F3F29"/>
    <w:rsid w:val="314677B2"/>
    <w:rsid w:val="31EE4F7B"/>
    <w:rsid w:val="324B2849"/>
    <w:rsid w:val="327B69E7"/>
    <w:rsid w:val="32957AA8"/>
    <w:rsid w:val="32CC2D9E"/>
    <w:rsid w:val="32D103B5"/>
    <w:rsid w:val="32D16607"/>
    <w:rsid w:val="32F3657D"/>
    <w:rsid w:val="33C87A09"/>
    <w:rsid w:val="33E5F5BB"/>
    <w:rsid w:val="33E60F67"/>
    <w:rsid w:val="33EA6B92"/>
    <w:rsid w:val="342801F3"/>
    <w:rsid w:val="3432748E"/>
    <w:rsid w:val="351D4AE6"/>
    <w:rsid w:val="36AE3450"/>
    <w:rsid w:val="370E7993"/>
    <w:rsid w:val="37476E97"/>
    <w:rsid w:val="379A5FE5"/>
    <w:rsid w:val="379F586B"/>
    <w:rsid w:val="385B52F0"/>
    <w:rsid w:val="38C56C0D"/>
    <w:rsid w:val="38F202E0"/>
    <w:rsid w:val="393E681F"/>
    <w:rsid w:val="39805DB2"/>
    <w:rsid w:val="39E43514"/>
    <w:rsid w:val="3A80103E"/>
    <w:rsid w:val="3AAD1707"/>
    <w:rsid w:val="3AC85B03"/>
    <w:rsid w:val="3B023801"/>
    <w:rsid w:val="3B181184"/>
    <w:rsid w:val="3B8666B2"/>
    <w:rsid w:val="3BD43A02"/>
    <w:rsid w:val="3C1D6DB8"/>
    <w:rsid w:val="3C5C418E"/>
    <w:rsid w:val="3C8A61A4"/>
    <w:rsid w:val="3C9F32D2"/>
    <w:rsid w:val="3CAF109E"/>
    <w:rsid w:val="3CE753A4"/>
    <w:rsid w:val="3D7D1EB5"/>
    <w:rsid w:val="3F4A6C79"/>
    <w:rsid w:val="3F6B2313"/>
    <w:rsid w:val="3F827606"/>
    <w:rsid w:val="3FB53538"/>
    <w:rsid w:val="40DC68A2"/>
    <w:rsid w:val="41067DC3"/>
    <w:rsid w:val="41287D39"/>
    <w:rsid w:val="42142158"/>
    <w:rsid w:val="42423F72"/>
    <w:rsid w:val="427F1BDB"/>
    <w:rsid w:val="429C09DF"/>
    <w:rsid w:val="42CB6BCE"/>
    <w:rsid w:val="43CD4BC8"/>
    <w:rsid w:val="43D36FA0"/>
    <w:rsid w:val="448636F5"/>
    <w:rsid w:val="44C47D79"/>
    <w:rsid w:val="44E977E0"/>
    <w:rsid w:val="450D08DB"/>
    <w:rsid w:val="452A0524"/>
    <w:rsid w:val="462034DC"/>
    <w:rsid w:val="4700173E"/>
    <w:rsid w:val="474D0D83"/>
    <w:rsid w:val="4772294D"/>
    <w:rsid w:val="47961EA1"/>
    <w:rsid w:val="47B34C70"/>
    <w:rsid w:val="47C66E1A"/>
    <w:rsid w:val="47DC362C"/>
    <w:rsid w:val="488A3088"/>
    <w:rsid w:val="4A355BE2"/>
    <w:rsid w:val="4CCF2E40"/>
    <w:rsid w:val="4DDFD2AA"/>
    <w:rsid w:val="4E277DB3"/>
    <w:rsid w:val="4E4C150B"/>
    <w:rsid w:val="4F460607"/>
    <w:rsid w:val="4FAE3B00"/>
    <w:rsid w:val="501222E0"/>
    <w:rsid w:val="509D115F"/>
    <w:rsid w:val="50A275EA"/>
    <w:rsid w:val="5110096F"/>
    <w:rsid w:val="51600E2A"/>
    <w:rsid w:val="51B82A14"/>
    <w:rsid w:val="51C71A20"/>
    <w:rsid w:val="521A547C"/>
    <w:rsid w:val="5248023B"/>
    <w:rsid w:val="524932A5"/>
    <w:rsid w:val="526B3F2A"/>
    <w:rsid w:val="527F3531"/>
    <w:rsid w:val="528731F6"/>
    <w:rsid w:val="5340384F"/>
    <w:rsid w:val="53681BC2"/>
    <w:rsid w:val="53F8524D"/>
    <w:rsid w:val="550146E5"/>
    <w:rsid w:val="553D588C"/>
    <w:rsid w:val="5563713A"/>
    <w:rsid w:val="557767FC"/>
    <w:rsid w:val="55FF50B5"/>
    <w:rsid w:val="57FF9CEE"/>
    <w:rsid w:val="581012A3"/>
    <w:rsid w:val="58C425E6"/>
    <w:rsid w:val="59060509"/>
    <w:rsid w:val="59103135"/>
    <w:rsid w:val="595E20F3"/>
    <w:rsid w:val="5A355549"/>
    <w:rsid w:val="5A7238C7"/>
    <w:rsid w:val="5AF81503"/>
    <w:rsid w:val="5B0A0784"/>
    <w:rsid w:val="5B4E22AD"/>
    <w:rsid w:val="5CD64D27"/>
    <w:rsid w:val="5CDC6150"/>
    <w:rsid w:val="5D137698"/>
    <w:rsid w:val="5D5B58C3"/>
    <w:rsid w:val="5D9DAF4C"/>
    <w:rsid w:val="5E4073B6"/>
    <w:rsid w:val="5F6B37BB"/>
    <w:rsid w:val="5F9F3465"/>
    <w:rsid w:val="5FF30EE8"/>
    <w:rsid w:val="600B265B"/>
    <w:rsid w:val="606F1089"/>
    <w:rsid w:val="613E1D7A"/>
    <w:rsid w:val="61677BF6"/>
    <w:rsid w:val="61700E13"/>
    <w:rsid w:val="64872E45"/>
    <w:rsid w:val="653A0624"/>
    <w:rsid w:val="655A2308"/>
    <w:rsid w:val="65644F35"/>
    <w:rsid w:val="65B337C6"/>
    <w:rsid w:val="65FE3176"/>
    <w:rsid w:val="661F70AE"/>
    <w:rsid w:val="665723A3"/>
    <w:rsid w:val="66591510"/>
    <w:rsid w:val="66B80C46"/>
    <w:rsid w:val="673008AD"/>
    <w:rsid w:val="67A103B2"/>
    <w:rsid w:val="67F540B3"/>
    <w:rsid w:val="69832DC4"/>
    <w:rsid w:val="69B1626F"/>
    <w:rsid w:val="6A266C5C"/>
    <w:rsid w:val="6A5F6CCA"/>
    <w:rsid w:val="6A971908"/>
    <w:rsid w:val="6AE663EC"/>
    <w:rsid w:val="6B0435CB"/>
    <w:rsid w:val="6BBDB3C4"/>
    <w:rsid w:val="6BDC7747"/>
    <w:rsid w:val="6C600812"/>
    <w:rsid w:val="6CD97FB6"/>
    <w:rsid w:val="6D062D75"/>
    <w:rsid w:val="6D426A53"/>
    <w:rsid w:val="6D8E7949"/>
    <w:rsid w:val="6E01029C"/>
    <w:rsid w:val="6E40502B"/>
    <w:rsid w:val="6E7D2BC3"/>
    <w:rsid w:val="6E7F2DDF"/>
    <w:rsid w:val="6E8FAC00"/>
    <w:rsid w:val="6E946AD1"/>
    <w:rsid w:val="6EA97E5C"/>
    <w:rsid w:val="6EEF1D13"/>
    <w:rsid w:val="6F4B4A6F"/>
    <w:rsid w:val="6FBD6424"/>
    <w:rsid w:val="6FC211D5"/>
    <w:rsid w:val="6FD560F9"/>
    <w:rsid w:val="6FE13D91"/>
    <w:rsid w:val="6FEA3600"/>
    <w:rsid w:val="6FF9C002"/>
    <w:rsid w:val="6FFE4229"/>
    <w:rsid w:val="70453BB5"/>
    <w:rsid w:val="70864905"/>
    <w:rsid w:val="715142C6"/>
    <w:rsid w:val="71EB39A1"/>
    <w:rsid w:val="71FB09CF"/>
    <w:rsid w:val="721B697B"/>
    <w:rsid w:val="721F01B1"/>
    <w:rsid w:val="72323CC5"/>
    <w:rsid w:val="724052AD"/>
    <w:rsid w:val="72534367"/>
    <w:rsid w:val="728F1117"/>
    <w:rsid w:val="72A2709C"/>
    <w:rsid w:val="73541850"/>
    <w:rsid w:val="7355581F"/>
    <w:rsid w:val="73741D9B"/>
    <w:rsid w:val="73903399"/>
    <w:rsid w:val="73A3131E"/>
    <w:rsid w:val="73DB2866"/>
    <w:rsid w:val="73F84470"/>
    <w:rsid w:val="73FA559D"/>
    <w:rsid w:val="74024296"/>
    <w:rsid w:val="7415543B"/>
    <w:rsid w:val="742B2AF8"/>
    <w:rsid w:val="7467439D"/>
    <w:rsid w:val="754C432E"/>
    <w:rsid w:val="75FEA76B"/>
    <w:rsid w:val="76D31F1A"/>
    <w:rsid w:val="76D8308D"/>
    <w:rsid w:val="77106CCA"/>
    <w:rsid w:val="779FB4BF"/>
    <w:rsid w:val="77E1E978"/>
    <w:rsid w:val="77F47144"/>
    <w:rsid w:val="77FECC51"/>
    <w:rsid w:val="788C1D9C"/>
    <w:rsid w:val="789D7654"/>
    <w:rsid w:val="78CF6711"/>
    <w:rsid w:val="78F85C68"/>
    <w:rsid w:val="79143781"/>
    <w:rsid w:val="793F3897"/>
    <w:rsid w:val="79E9735F"/>
    <w:rsid w:val="7A262361"/>
    <w:rsid w:val="7A3C3932"/>
    <w:rsid w:val="7A613399"/>
    <w:rsid w:val="7AB517F9"/>
    <w:rsid w:val="7B593CB9"/>
    <w:rsid w:val="7BCA404B"/>
    <w:rsid w:val="7BDF75DB"/>
    <w:rsid w:val="7BF849CC"/>
    <w:rsid w:val="7C301C17"/>
    <w:rsid w:val="7D186F3E"/>
    <w:rsid w:val="7D3B8F04"/>
    <w:rsid w:val="7D77E089"/>
    <w:rsid w:val="7D7B2908"/>
    <w:rsid w:val="7DAA3FE5"/>
    <w:rsid w:val="7DD53DCF"/>
    <w:rsid w:val="7DE9DC48"/>
    <w:rsid w:val="7DF02CF2"/>
    <w:rsid w:val="7E784D07"/>
    <w:rsid w:val="7E7A7EDF"/>
    <w:rsid w:val="7F03692F"/>
    <w:rsid w:val="7F0F311B"/>
    <w:rsid w:val="7F302994"/>
    <w:rsid w:val="7F374DA3"/>
    <w:rsid w:val="7F5D1672"/>
    <w:rsid w:val="7F67C4E0"/>
    <w:rsid w:val="7F7F3D87"/>
    <w:rsid w:val="7FBFAF4C"/>
    <w:rsid w:val="7FD7BAF8"/>
    <w:rsid w:val="7FF74AF5"/>
    <w:rsid w:val="7FFFBAB4"/>
    <w:rsid w:val="97AF8CC4"/>
    <w:rsid w:val="ADDFD7C2"/>
    <w:rsid w:val="AEFF2A63"/>
    <w:rsid w:val="B7FF9A10"/>
    <w:rsid w:val="BEF7DDBD"/>
    <w:rsid w:val="CDF79455"/>
    <w:rsid w:val="D2BD0A8F"/>
    <w:rsid w:val="D2FA2F76"/>
    <w:rsid w:val="DFD8CD75"/>
    <w:rsid w:val="E7CFC501"/>
    <w:rsid w:val="EECE1E9E"/>
    <w:rsid w:val="EEDD447B"/>
    <w:rsid w:val="EF2BFF6B"/>
    <w:rsid w:val="EFFA56ED"/>
    <w:rsid w:val="F6DDD976"/>
    <w:rsid w:val="F7C75CAB"/>
    <w:rsid w:val="F8A5635A"/>
    <w:rsid w:val="F8E3DF74"/>
    <w:rsid w:val="F9FF9915"/>
    <w:rsid w:val="FB7DEC42"/>
    <w:rsid w:val="FCAF31BA"/>
    <w:rsid w:val="FDDDBF5E"/>
    <w:rsid w:val="FDFDDA82"/>
    <w:rsid w:val="FF3F8501"/>
    <w:rsid w:val="FF579CA3"/>
    <w:rsid w:val="FF77B5E7"/>
    <w:rsid w:val="FFBEAF12"/>
    <w:rsid w:val="FFEEEEF7"/>
    <w:rsid w:val="FFEFA7D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4"/>
    </w:rPr>
  </w:style>
  <w:style w:type="paragraph" w:styleId="3">
    <w:name w:val="Body Text First Indent"/>
    <w:basedOn w:val="2"/>
    <w:next w:val="4"/>
    <w:unhideWhenUsed/>
    <w:qFormat/>
    <w:uiPriority w:val="99"/>
    <w:pPr>
      <w:ind w:firstLine="420" w:firstLineChars="100"/>
    </w:pPr>
  </w:style>
  <w:style w:type="paragraph" w:styleId="4">
    <w:name w:val="toc 6"/>
    <w:basedOn w:val="1"/>
    <w:next w:val="1"/>
    <w:qFormat/>
    <w:uiPriority w:val="0"/>
    <w:pPr>
      <w:ind w:left="2100" w:leftChars="1000"/>
    </w:pPr>
  </w:style>
  <w:style w:type="paragraph" w:styleId="8">
    <w:name w:val="List Number 2"/>
    <w:basedOn w:val="1"/>
    <w:uiPriority w:val="0"/>
    <w:pPr>
      <w:numPr>
        <w:ilvl w:val="0"/>
        <w:numId w:val="1"/>
      </w:numPr>
    </w:pPr>
  </w:style>
  <w:style w:type="paragraph" w:styleId="9">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0">
    <w:name w:val="Body Text Indent"/>
    <w:basedOn w:val="1"/>
    <w:next w:val="11"/>
    <w:qFormat/>
    <w:uiPriority w:val="0"/>
    <w:pPr>
      <w:ind w:left="480" w:hanging="480" w:hangingChars="200"/>
    </w:pPr>
    <w:rPr>
      <w:rFonts w:ascii="Calibri" w:hAnsi="Calibri"/>
      <w:sz w:val="24"/>
    </w:rPr>
  </w:style>
  <w:style w:type="paragraph" w:styleId="11">
    <w:name w:val="envelope return"/>
    <w:basedOn w:val="1"/>
    <w:qFormat/>
    <w:uiPriority w:val="0"/>
    <w:pPr>
      <w:snapToGrid w:val="0"/>
    </w:pPr>
    <w:rPr>
      <w:rFonts w:ascii="Arial" w:hAnsi="Arial" w:cs="Arial"/>
    </w:rPr>
  </w:style>
  <w:style w:type="paragraph" w:styleId="12">
    <w:name w:val="List 2"/>
    <w:basedOn w:val="1"/>
    <w:qFormat/>
    <w:uiPriority w:val="0"/>
    <w:pPr>
      <w:ind w:left="100" w:leftChars="200" w:hanging="200" w:hangingChars="200"/>
    </w:pPr>
    <w:rPr>
      <w:szCs w:val="24"/>
    </w:rPr>
  </w:style>
  <w:style w:type="paragraph" w:styleId="13">
    <w:name w:val="Plain Text"/>
    <w:basedOn w:val="1"/>
    <w:next w:val="1"/>
    <w:link w:val="42"/>
    <w:qFormat/>
    <w:uiPriority w:val="0"/>
    <w:rPr>
      <w:rFonts w:ascii="宋体" w:hAnsi="Courier New" w:cs="Courier New"/>
      <w:szCs w:val="21"/>
    </w:rPr>
  </w:style>
  <w:style w:type="paragraph" w:styleId="14">
    <w:name w:val="Date"/>
    <w:basedOn w:val="15"/>
    <w:next w:val="15"/>
    <w:qFormat/>
    <w:uiPriority w:val="0"/>
    <w:pPr>
      <w:ind w:left="100" w:leftChars="25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footer"/>
    <w:basedOn w:val="1"/>
    <w:link w:val="44"/>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jc w:val="left"/>
    </w:pPr>
    <w:rPr>
      <w:b/>
      <w:bCs/>
      <w:caps/>
      <w:sz w:val="24"/>
      <w:szCs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1">
    <w:name w:val="Body Text First Indent 2"/>
    <w:basedOn w:val="10"/>
    <w:qFormat/>
    <w:uiPriority w:val="0"/>
    <w:pPr>
      <w:spacing w:after="120"/>
      <w:ind w:left="420" w:leftChars="200" w:hanging="200"/>
    </w:pPr>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paragraph" w:customStyle="1" w:styleId="2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7">
    <w:name w:val="样式 表格正文 + 两端对齐"/>
    <w:basedOn w:val="1"/>
    <w:next w:val="28"/>
    <w:qFormat/>
    <w:uiPriority w:val="0"/>
    <w:pPr>
      <w:spacing w:line="300" w:lineRule="auto"/>
    </w:pPr>
    <w:rPr>
      <w:sz w:val="24"/>
    </w:rPr>
  </w:style>
  <w:style w:type="paragraph" w:customStyle="1" w:styleId="28">
    <w:name w:val="正文1"/>
    <w:basedOn w:val="1"/>
    <w:next w:val="29"/>
    <w:qFormat/>
    <w:uiPriority w:val="0"/>
    <w:pPr>
      <w:widowControl/>
      <w:snapToGrid w:val="0"/>
      <w:spacing w:line="500" w:lineRule="exact"/>
      <w:ind w:firstLine="567"/>
    </w:pPr>
    <w:rPr>
      <w:rFonts w:ascii="楷体_GB2312" w:eastAsia="楷体_GB2312"/>
      <w:kern w:val="0"/>
      <w:sz w:val="28"/>
      <w:szCs w:val="20"/>
    </w:rPr>
  </w:style>
  <w:style w:type="paragraph" w:customStyle="1" w:styleId="29">
    <w:name w:val="自动更正"/>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xl39"/>
    <w:basedOn w:val="1"/>
    <w:next w:val="3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3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32">
    <w:name w:val="Body Text First Indent1"/>
    <w:basedOn w:val="2"/>
    <w:qFormat/>
    <w:uiPriority w:val="0"/>
    <w:pPr>
      <w:ind w:firstLine="420" w:firstLineChars="100"/>
    </w:pPr>
  </w:style>
  <w:style w:type="paragraph" w:customStyle="1" w:styleId="33">
    <w:name w:val="正文2"/>
    <w:basedOn w:val="1"/>
    <w:qFormat/>
    <w:uiPriority w:val="0"/>
    <w:pPr>
      <w:spacing w:line="360" w:lineRule="auto"/>
      <w:ind w:firstLine="510" w:firstLineChars="200"/>
    </w:pPr>
    <w:rPr>
      <w:sz w:val="24"/>
      <w:szCs w:val="20"/>
    </w:rPr>
  </w:style>
  <w:style w:type="paragraph" w:customStyle="1" w:styleId="34">
    <w:name w:val="表正文"/>
    <w:next w:val="2"/>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5">
    <w:name w:val="正文文本 New New"/>
    <w:basedOn w:val="36"/>
    <w:qFormat/>
    <w:uiPriority w:val="0"/>
    <w:pPr>
      <w:spacing w:line="480" w:lineRule="exact"/>
    </w:pPr>
    <w:rPr>
      <w:sz w:val="24"/>
    </w:rPr>
  </w:style>
  <w:style w:type="paragraph" w:customStyle="1" w:styleId="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1"/>
    <w:basedOn w:val="1"/>
    <w:qFormat/>
    <w:uiPriority w:val="0"/>
    <w:rPr>
      <w:rFonts w:hint="eastAsia" w:hAnsi="Courier New"/>
      <w:szCs w:val="20"/>
    </w:rPr>
  </w:style>
  <w:style w:type="paragraph" w:customStyle="1" w:styleId="38">
    <w:name w:val="样式 标题 2节标题 1.1 + 段前: 1 行 段后: 0.5 行"/>
    <w:basedOn w:val="6"/>
    <w:qFormat/>
    <w:uiPriority w:val="0"/>
    <w:pPr>
      <w:spacing w:before="240" w:after="120" w:line="360" w:lineRule="auto"/>
      <w:jc w:val="center"/>
    </w:pPr>
    <w:rPr>
      <w:rFonts w:ascii="宋体" w:hAnsi="宋体"/>
      <w:bCs w:val="0"/>
      <w:sz w:val="24"/>
      <w:szCs w:val="20"/>
    </w:rPr>
  </w:style>
  <w:style w:type="paragraph" w:customStyle="1" w:styleId="39">
    <w:name w:val="Fließtext"/>
    <w:basedOn w:val="1"/>
    <w:qFormat/>
    <w:uiPriority w:val="0"/>
    <w:pPr>
      <w:overflowPunct w:val="0"/>
      <w:autoSpaceDE w:val="0"/>
      <w:autoSpaceDN w:val="0"/>
      <w:adjustRightInd w:val="0"/>
      <w:textAlignment w:val="baseline"/>
    </w:pPr>
    <w:rPr>
      <w:kern w:val="28"/>
      <w:szCs w:val="20"/>
    </w:rPr>
  </w:style>
  <w:style w:type="paragraph" w:customStyle="1" w:styleId="40">
    <w:name w:val="表格文字"/>
    <w:basedOn w:val="1"/>
    <w:next w:val="2"/>
    <w:qFormat/>
    <w:uiPriority w:val="0"/>
    <w:pPr>
      <w:adjustRightInd w:val="0"/>
      <w:spacing w:line="420" w:lineRule="atLeast"/>
      <w:textAlignment w:val="baseline"/>
    </w:pPr>
    <w:rPr>
      <w:rFonts w:ascii="Calibri" w:hAnsi="Calibri"/>
      <w:szCs w:val="20"/>
    </w:rPr>
  </w:style>
  <w:style w:type="paragraph" w:customStyle="1" w:styleId="41">
    <w:name w:val="表格"/>
    <w:basedOn w:val="1"/>
    <w:qFormat/>
    <w:uiPriority w:val="0"/>
    <w:pPr>
      <w:snapToGrid w:val="0"/>
      <w:spacing w:line="240" w:lineRule="atLeast"/>
      <w:jc w:val="center"/>
    </w:pPr>
    <w:rPr>
      <w:rFonts w:ascii="宋体" w:hAnsi="宋体"/>
      <w:spacing w:val="14"/>
      <w:szCs w:val="20"/>
    </w:rPr>
  </w:style>
  <w:style w:type="character" w:customStyle="1" w:styleId="42">
    <w:name w:val="纯文本 Char"/>
    <w:basedOn w:val="24"/>
    <w:link w:val="13"/>
    <w:qFormat/>
    <w:uiPriority w:val="0"/>
    <w:rPr>
      <w:rFonts w:ascii="宋体" w:hAnsi="Courier New" w:eastAsia="宋体" w:cs="Courier New"/>
      <w:kern w:val="2"/>
      <w:sz w:val="21"/>
      <w:szCs w:val="21"/>
    </w:rPr>
  </w:style>
  <w:style w:type="paragraph" w:styleId="43">
    <w:name w:val="List Paragraph"/>
    <w:basedOn w:val="1"/>
    <w:unhideWhenUsed/>
    <w:qFormat/>
    <w:uiPriority w:val="99"/>
    <w:pPr>
      <w:ind w:firstLine="420" w:firstLineChars="200"/>
    </w:pPr>
  </w:style>
  <w:style w:type="character" w:customStyle="1" w:styleId="44">
    <w:name w:val="页脚 Char"/>
    <w:basedOn w:val="24"/>
    <w:link w:val="16"/>
    <w:qFormat/>
    <w:uiPriority w:val="0"/>
    <w:rPr>
      <w:rFonts w:ascii="Times New Roman" w:hAnsi="Times New Roman" w:eastAsia="宋体" w:cs="Times New Roman"/>
      <w:kern w:val="2"/>
      <w:sz w:val="18"/>
      <w:szCs w:val="18"/>
    </w:rPr>
  </w:style>
  <w:style w:type="paragraph" w:customStyle="1" w:styleId="45">
    <w:name w:val="Table Paragraph"/>
    <w:basedOn w:val="1"/>
    <w:qFormat/>
    <w:uiPriority w:val="1"/>
    <w:rPr>
      <w:rFonts w:ascii="Calibri" w:hAnsi="Calibri"/>
      <w:sz w:val="22"/>
      <w:lang w:eastAsia="en-US"/>
    </w:rPr>
  </w:style>
  <w:style w:type="paragraph" w:customStyle="1" w:styleId="46">
    <w:name w:val="正文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缩进1"/>
    <w:basedOn w:val="1"/>
    <w:next w:val="10"/>
    <w:qFormat/>
    <w:uiPriority w:val="0"/>
    <w:pPr>
      <w:widowControl/>
      <w:ind w:firstLine="420"/>
      <w:jc w:val="left"/>
    </w:pPr>
    <w:rPr>
      <w:kern w:val="0"/>
    </w:rPr>
  </w:style>
  <w:style w:type="paragraph" w:customStyle="1" w:styleId="48">
    <w:name w:val="无间隔1"/>
    <w:qFormat/>
    <w:uiPriority w:val="0"/>
    <w:rPr>
      <w:rFonts w:ascii="Times New Roman" w:hAnsi="Times New Roman" w:eastAsia="??" w:cs="宋体"/>
      <w:sz w:val="22"/>
      <w:szCs w:val="22"/>
      <w:lang w:val="en-US" w:eastAsia="en-US" w:bidi="ar-SA"/>
    </w:rPr>
  </w:style>
  <w:style w:type="paragraph" w:customStyle="1" w:styleId="49">
    <w:name w:val="第一节"/>
    <w:basedOn w:val="7"/>
    <w:qFormat/>
    <w:uiPriority w:val="0"/>
    <w:pPr>
      <w:keepNext/>
      <w:keepLines/>
      <w:spacing w:line="480" w:lineRule="auto"/>
      <w:jc w:val="center"/>
      <w:textAlignment w:val="auto"/>
    </w:pPr>
    <w:rPr>
      <w:rFonts w:ascii="TimesNewRomanPSMT" w:hAnsi="TimesNewRomanPSMT" w:eastAsia="宋体" w:cs="Times New Roman"/>
      <w:color w:val="auto"/>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5636</Words>
  <Characters>6146</Characters>
  <Lines>292</Lines>
  <Paragraphs>82</Paragraphs>
  <TotalTime>20</TotalTime>
  <ScaleCrop>false</ScaleCrop>
  <LinksUpToDate>false</LinksUpToDate>
  <CharactersWithSpaces>6416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2021-04-02T08:05:00Z</dcterms:created>
  <dc:creator>浙江中正工程项目管理有限公司</dc:creator>
  <cp:lastModifiedBy>微信用户</cp:lastModifiedBy>
  <cp:lastPrinted>2025-06-13T19:17:00Z</cp:lastPrinted>
  <dcterms:modified xsi:type="dcterms:W3CDTF">2025-06-17T07:59:57Z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1085AAA1864C4024BBB94E069670F415</vt:lpwstr>
  </property>
  <property fmtid="{D5CDD505-2E9C-101B-9397-08002B2CF9AE}" pid="4" name="KSOTemplateDocerSaveRecord">
    <vt:lpwstr>eyJoZGlkIjoiMDNkZDIxZDk4YzM5MjVmNTdjMWU5Y2EzN2IyZjY2M2QiLCJ1c2VySWQiOiIxMjYyMTMzMDg4In0=</vt:lpwstr>
  </property>
</Properties>
</file>