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81F8E">
      <w:pPr>
        <w:spacing w:line="360" w:lineRule="auto"/>
        <w:jc w:val="center"/>
        <w:rPr>
          <w:b/>
          <w:bCs/>
          <w:sz w:val="32"/>
          <w:szCs w:val="40"/>
        </w:rPr>
      </w:pPr>
      <w:r>
        <w:rPr>
          <w:rFonts w:hint="eastAsia"/>
          <w:b/>
          <w:bCs/>
          <w:sz w:val="32"/>
          <w:szCs w:val="40"/>
        </w:rPr>
        <w:t>龙湾中学防漏装修项目招标控制价编制说明</w:t>
      </w:r>
    </w:p>
    <w:p w14:paraId="4BF927EB">
      <w:pPr>
        <w:numPr>
          <w:ilvl w:val="0"/>
          <w:numId w:val="1"/>
        </w:numPr>
        <w:tabs>
          <w:tab w:val="left" w:pos="312"/>
        </w:tabs>
        <w:spacing w:line="360" w:lineRule="auto"/>
        <w:rPr>
          <w:rFonts w:asciiTheme="minorEastAsia" w:hAnsiTheme="minorEastAsia" w:cstheme="minorEastAsia"/>
          <w:b/>
          <w:bCs/>
          <w:sz w:val="24"/>
        </w:rPr>
      </w:pPr>
      <w:r>
        <w:rPr>
          <w:rFonts w:hint="eastAsia" w:asciiTheme="minorEastAsia" w:hAnsiTheme="minorEastAsia" w:cstheme="minorEastAsia"/>
          <w:b/>
          <w:bCs/>
          <w:sz w:val="24"/>
        </w:rPr>
        <w:t>工程慨况：</w:t>
      </w:r>
    </w:p>
    <w:p w14:paraId="569B0DE2">
      <w:pPr>
        <w:tabs>
          <w:tab w:val="left" w:pos="312"/>
        </w:tabs>
        <w:spacing w:line="360" w:lineRule="auto"/>
        <w:rPr>
          <w:rFonts w:asciiTheme="minorEastAsia" w:hAnsiTheme="minorEastAsia" w:cstheme="minorEastAsia"/>
          <w:sz w:val="24"/>
        </w:rPr>
      </w:pPr>
      <w:r>
        <w:rPr>
          <w:rFonts w:hint="eastAsia" w:cs="宋体" w:asciiTheme="minorEastAsia" w:hAnsiTheme="minorEastAsia"/>
          <w:sz w:val="24"/>
        </w:rPr>
        <w:t>本招标项目建设范围及规模详</w:t>
      </w:r>
      <w:r>
        <w:rPr>
          <w:rFonts w:hint="eastAsia" w:asciiTheme="minorEastAsia" w:hAnsiTheme="minorEastAsia" w:cstheme="minorEastAsia"/>
          <w:sz w:val="24"/>
        </w:rPr>
        <w:t>见招标文件</w:t>
      </w:r>
    </w:p>
    <w:p w14:paraId="14769E78">
      <w:pPr>
        <w:tabs>
          <w:tab w:val="left" w:pos="312"/>
        </w:tabs>
        <w:spacing w:line="360" w:lineRule="auto"/>
        <w:rPr>
          <w:rFonts w:asciiTheme="minorEastAsia" w:hAnsiTheme="minorEastAsia" w:cstheme="minorEastAsia"/>
          <w:b/>
          <w:bCs/>
          <w:sz w:val="24"/>
        </w:rPr>
      </w:pPr>
      <w:r>
        <w:rPr>
          <w:rFonts w:hint="eastAsia" w:asciiTheme="minorEastAsia" w:hAnsiTheme="minorEastAsia" w:cstheme="minorEastAsia"/>
          <w:b/>
          <w:bCs/>
          <w:sz w:val="24"/>
        </w:rPr>
        <w:t>二、编制范围：</w:t>
      </w:r>
    </w:p>
    <w:p w14:paraId="0D53F8B8">
      <w:pPr>
        <w:tabs>
          <w:tab w:val="left" w:pos="312"/>
        </w:tabs>
        <w:spacing w:line="360" w:lineRule="auto"/>
        <w:rPr>
          <w:rFonts w:hint="eastAsia" w:asciiTheme="minorEastAsia" w:hAnsiTheme="minorEastAsia" w:cstheme="minorEastAsia"/>
          <w:b/>
          <w:bCs/>
          <w:sz w:val="24"/>
        </w:rPr>
      </w:pPr>
      <w:r>
        <w:rPr>
          <w:rFonts w:hint="eastAsia" w:asciiTheme="minorEastAsia" w:hAnsiTheme="minorEastAsia" w:cstheme="minorEastAsia"/>
          <w:b/>
          <w:bCs/>
          <w:sz w:val="24"/>
        </w:rPr>
        <w:t>龙湾中学防漏装修项目</w:t>
      </w:r>
    </w:p>
    <w:p w14:paraId="68FEE0EC">
      <w:pPr>
        <w:tabs>
          <w:tab w:val="left" w:pos="312"/>
        </w:tabs>
        <w:spacing w:line="360" w:lineRule="auto"/>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b/>
          <w:bCs/>
          <w:sz w:val="24"/>
        </w:rPr>
        <w:t>三、编制依据：</w:t>
      </w:r>
    </w:p>
    <w:p w14:paraId="118B87E3">
      <w:pPr>
        <w:numPr>
          <w:ilvl w:val="0"/>
          <w:numId w:val="2"/>
        </w:numPr>
        <w:tabs>
          <w:tab w:val="left" w:pos="312"/>
        </w:tabs>
        <w:spacing w:line="360" w:lineRule="auto"/>
        <w:rPr>
          <w:rFonts w:asciiTheme="minorEastAsia" w:hAnsiTheme="minorEastAsia" w:cstheme="minorEastAsia"/>
          <w:color w:val="000000" w:themeColor="text1"/>
          <w:sz w:val="24"/>
          <w14:textFill>
            <w14:solidFill>
              <w14:schemeClr w14:val="tx1"/>
            </w14:solidFill>
          </w14:textFill>
        </w:rPr>
      </w:pPr>
      <w:r>
        <w:rPr>
          <w:rFonts w:hint="eastAsia"/>
          <w:sz w:val="24"/>
        </w:rPr>
        <w:t>由</w:t>
      </w:r>
      <w:r>
        <w:rPr>
          <w:rFonts w:hint="eastAsia"/>
          <w:sz w:val="24"/>
          <w:lang w:val="en-US" w:eastAsia="zh-CN"/>
        </w:rPr>
        <w:t>霞光建设集团有限公司</w:t>
      </w:r>
      <w:r>
        <w:rPr>
          <w:rFonts w:hint="eastAsia"/>
          <w:sz w:val="24"/>
        </w:rPr>
        <w:t>出具的龙湾中学防漏装修项目</w:t>
      </w:r>
      <w:bookmarkStart w:id="0" w:name="_GoBack"/>
      <w:bookmarkEnd w:id="0"/>
      <w:r>
        <w:rPr>
          <w:rFonts w:hint="eastAsia"/>
          <w:sz w:val="24"/>
        </w:rPr>
        <w:t>施工图纸</w:t>
      </w:r>
      <w:r>
        <w:rPr>
          <w:rFonts w:hint="eastAsia" w:asciiTheme="minorEastAsia" w:hAnsiTheme="minorEastAsia" w:cstheme="minorEastAsia"/>
          <w:color w:val="000000" w:themeColor="text1"/>
          <w:sz w:val="24"/>
          <w14:textFill>
            <w14:solidFill>
              <w14:schemeClr w14:val="tx1"/>
            </w14:solidFill>
          </w14:textFill>
        </w:rPr>
        <w:t>；</w:t>
      </w:r>
    </w:p>
    <w:p w14:paraId="787D7F70">
      <w:pPr>
        <w:numPr>
          <w:ilvl w:val="0"/>
          <w:numId w:val="2"/>
        </w:numPr>
        <w:tabs>
          <w:tab w:val="left" w:pos="312"/>
        </w:tabs>
        <w:spacing w:line="360" w:lineRule="auto"/>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工程量清单计价按照国标《建设工程工程量清单计价规范》（GB50500-2013）、；</w:t>
      </w:r>
    </w:p>
    <w:p w14:paraId="7A061A14">
      <w:pPr>
        <w:numPr>
          <w:ilvl w:val="0"/>
          <w:numId w:val="2"/>
        </w:numPr>
        <w:tabs>
          <w:tab w:val="left" w:pos="312"/>
        </w:tabs>
        <w:spacing w:line="360" w:lineRule="auto"/>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《浙江省建设工程计价规则》（2018版）；《 浙江省市政工程预算定额》（2018版）、《浙江省房屋建筑与装饰工程预算定额》（2018版）、《浙江省通用安装工程预算定额》（2018版）、《浙江省建设工程工程量清单计价指引》、《计价依据解释》、《浙江省建设工程施工机械台班费用定额》（2018版）、浙江省建筑安装材料基期价格（2018版）；</w:t>
      </w:r>
    </w:p>
    <w:p w14:paraId="311009A7">
      <w:pPr>
        <w:numPr>
          <w:ilvl w:val="0"/>
          <w:numId w:val="2"/>
        </w:numPr>
        <w:tabs>
          <w:tab w:val="left" w:pos="312"/>
        </w:tabs>
        <w:spacing w:line="360" w:lineRule="auto"/>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浙建建[2018]61号文件《关于颁发浙江省建设工程计价依据（2018版）的通知》；</w:t>
      </w:r>
    </w:p>
    <w:p w14:paraId="7E26CEB6">
      <w:pPr>
        <w:numPr>
          <w:ilvl w:val="0"/>
          <w:numId w:val="2"/>
        </w:numPr>
        <w:tabs>
          <w:tab w:val="left" w:pos="312"/>
        </w:tabs>
        <w:spacing w:line="360" w:lineRule="auto"/>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浙江省建建发[2012]93号文件《关于贯彻实施【建设工程工程量清单计价规范】GB50500-2013的通知》；</w:t>
      </w:r>
    </w:p>
    <w:p w14:paraId="31BFDE47">
      <w:pPr>
        <w:numPr>
          <w:ilvl w:val="0"/>
          <w:numId w:val="2"/>
        </w:numPr>
        <w:tabs>
          <w:tab w:val="left" w:pos="312"/>
        </w:tabs>
        <w:spacing w:line="360" w:lineRule="auto"/>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 xml:space="preserve">财税发[2016]36号文件《关于全面推开营业税改征增值税试点的通知》； </w:t>
      </w:r>
    </w:p>
    <w:p w14:paraId="533F7146">
      <w:pPr>
        <w:numPr>
          <w:ilvl w:val="0"/>
          <w:numId w:val="2"/>
        </w:numPr>
        <w:tabs>
          <w:tab w:val="left" w:pos="312"/>
        </w:tabs>
        <w:spacing w:line="360" w:lineRule="auto"/>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浙建站定[2016]23号文件《关于发布营改增后浙江省建设工程施工取费费率的通知》；</w:t>
      </w:r>
    </w:p>
    <w:p w14:paraId="266E2CCD">
      <w:pPr>
        <w:numPr>
          <w:ilvl w:val="0"/>
          <w:numId w:val="2"/>
        </w:numPr>
        <w:tabs>
          <w:tab w:val="left" w:pos="312"/>
        </w:tabs>
        <w:spacing w:line="360" w:lineRule="auto"/>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浙建建发[2016]144号文件《关于建筑业实施营改增后浙江省建设工程计价规则调整的通知》；</w:t>
      </w:r>
    </w:p>
    <w:p w14:paraId="4DAC80CF">
      <w:pPr>
        <w:numPr>
          <w:ilvl w:val="0"/>
          <w:numId w:val="2"/>
        </w:numPr>
        <w:tabs>
          <w:tab w:val="left" w:pos="312"/>
        </w:tabs>
        <w:spacing w:line="360" w:lineRule="auto"/>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浙建建发[2019]92号文件《关于增值税调整后我省建设工程计价依据增值税税率及有关计价调整的通知》；</w:t>
      </w:r>
    </w:p>
    <w:p w14:paraId="04B255E3">
      <w:pPr>
        <w:numPr>
          <w:ilvl w:val="0"/>
          <w:numId w:val="2"/>
        </w:numPr>
        <w:tabs>
          <w:tab w:val="left" w:pos="312"/>
        </w:tabs>
        <w:spacing w:line="360" w:lineRule="auto"/>
        <w:rPr>
          <w:rFonts w:asciiTheme="minorEastAsia" w:hAnsiTheme="minorEastAsia" w:cstheme="minorEastAsia"/>
          <w:color w:val="000000" w:themeColor="text1"/>
          <w:sz w:val="24"/>
          <w14:textFill>
            <w14:solidFill>
              <w14:schemeClr w14:val="tx1"/>
            </w14:solidFill>
          </w14:textFill>
        </w:rPr>
      </w:pPr>
      <w:r>
        <w:rPr>
          <w:rFonts w:hint="eastAsia"/>
          <w:color w:val="000000"/>
          <w:sz w:val="24"/>
        </w:rPr>
        <w:t>模板按实际接触面计算；</w:t>
      </w:r>
    </w:p>
    <w:p w14:paraId="5CCB9879">
      <w:pPr>
        <w:numPr>
          <w:ilvl w:val="0"/>
          <w:numId w:val="2"/>
        </w:numPr>
        <w:tabs>
          <w:tab w:val="left" w:pos="312"/>
        </w:tabs>
        <w:spacing w:line="360" w:lineRule="auto"/>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其他依据：国家标准图集、部省市有关造价政策文件、规范性文件等；</w:t>
      </w:r>
    </w:p>
    <w:p w14:paraId="2FA159D4">
      <w:pPr>
        <w:tabs>
          <w:tab w:val="left" w:pos="312"/>
        </w:tabs>
        <w:spacing w:line="360" w:lineRule="auto"/>
        <w:rPr>
          <w:rFonts w:asciiTheme="minorEastAsia" w:hAnsiTheme="minorEastAsia" w:cstheme="minorEastAsia"/>
          <w:b/>
          <w:bCs/>
          <w:color w:val="000000" w:themeColor="text1"/>
          <w:sz w:val="24"/>
          <w14:textFill>
            <w14:solidFill>
              <w14:schemeClr w14:val="tx1"/>
            </w14:solidFill>
          </w14:textFill>
        </w:rPr>
      </w:pPr>
      <w:r>
        <w:rPr>
          <w:rFonts w:hint="eastAsia" w:asciiTheme="minorEastAsia" w:hAnsiTheme="minorEastAsia" w:cstheme="minorEastAsia"/>
          <w:b/>
          <w:bCs/>
          <w:color w:val="000000" w:themeColor="text1"/>
          <w:sz w:val="24"/>
          <w14:textFill>
            <w14:solidFill>
              <w14:schemeClr w14:val="tx1"/>
            </w14:solidFill>
          </w14:textFill>
        </w:rPr>
        <w:t>四、一般说明：</w:t>
      </w:r>
    </w:p>
    <w:p w14:paraId="4EC39742">
      <w:pPr>
        <w:numPr>
          <w:ilvl w:val="0"/>
          <w:numId w:val="3"/>
        </w:num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本清单没有具体描述的工作内容和做法均按《GB50</w:t>
      </w:r>
      <w:r>
        <w:rPr>
          <w:rFonts w:asciiTheme="minorEastAsia" w:hAnsiTheme="minorEastAsia"/>
          <w:color w:val="000000" w:themeColor="text1"/>
          <w:sz w:val="24"/>
          <w14:textFill>
            <w14:solidFill>
              <w14:schemeClr w14:val="tx1"/>
            </w14:solidFill>
          </w14:textFill>
        </w:rPr>
        <w:t>854</w:t>
      </w:r>
      <w:r>
        <w:rPr>
          <w:rFonts w:hint="eastAsia" w:asciiTheme="minorEastAsia" w:hAnsiTheme="minorEastAsia"/>
          <w:color w:val="000000" w:themeColor="text1"/>
          <w:sz w:val="24"/>
          <w14:textFill>
            <w14:solidFill>
              <w14:schemeClr w14:val="tx1"/>
            </w14:solidFill>
          </w14:textFill>
        </w:rPr>
        <w:t>-2013》规范和设计要求。</w:t>
      </w:r>
    </w:p>
    <w:p w14:paraId="51CC7B6F">
      <w:pPr>
        <w:numPr>
          <w:ilvl w:val="0"/>
          <w:numId w:val="3"/>
        </w:num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对于本工程的个别节点做法，本清单只描述了主要要素，投标单位需根据设计图纸全面考虑并包含在主要工程量清单报价内。</w:t>
      </w:r>
    </w:p>
    <w:p w14:paraId="59718DE1">
      <w:pPr>
        <w:numPr>
          <w:ilvl w:val="0"/>
          <w:numId w:val="3"/>
        </w:num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除清单中注明用途外的预埋铁件，未单列的均包含在其所依附的主要项目内，合并在该项综合单价中报价。</w:t>
      </w:r>
    </w:p>
    <w:p w14:paraId="133E5DCB">
      <w:pPr>
        <w:numPr>
          <w:ilvl w:val="0"/>
          <w:numId w:val="3"/>
        </w:num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清单中项目特征如有描述不清处请各投标单位应结合施工图纸报价，综合单价应包括完成该项目所需的所有费用。</w:t>
      </w:r>
    </w:p>
    <w:p w14:paraId="775820E3">
      <w:pPr>
        <w:numPr>
          <w:ilvl w:val="0"/>
          <w:numId w:val="3"/>
        </w:num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工程量清单和施工图设计要求所涉及颜色、规格、样式的项目或材料，其最终采用何种颜色、规格、样式由建设单位确定，由此增加的费用投标单位均在各工程量清单项目的综合报价中考虑。清单中不再另行描述。</w:t>
      </w:r>
    </w:p>
    <w:p w14:paraId="6F8E03AA">
      <w:pPr>
        <w:numPr>
          <w:ilvl w:val="0"/>
          <w:numId w:val="3"/>
        </w:num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分部分项工程量清单中的工程量是按实物净量计算的，一切损耗均应在投标报价内容。</w:t>
      </w:r>
    </w:p>
    <w:p w14:paraId="148F452D">
      <w:pPr>
        <w:numPr>
          <w:ilvl w:val="0"/>
          <w:numId w:val="3"/>
        </w:num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清单未列出的措施费项目，施工单位应根据图纸结合施工现场在其他施工技术措施费综合考虑，今后不做调整。</w:t>
      </w:r>
    </w:p>
    <w:p w14:paraId="3E255B33">
      <w:pPr>
        <w:numPr>
          <w:ilvl w:val="0"/>
          <w:numId w:val="3"/>
        </w:num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不同材料间接缝处均需做接缝处理（填缝材料、玻璃胶、金属嵌条、磨平等）投标单位自行考虑在报价内。</w:t>
      </w:r>
    </w:p>
    <w:p w14:paraId="4BC14F8B">
      <w:pPr>
        <w:numPr>
          <w:ilvl w:val="0"/>
          <w:numId w:val="3"/>
        </w:num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本工程中门报价均应包括所有的五金配件(含地弹簧)、拉手、锁具、嵌缝、盖缝、油漆等设计要求的所有成品组成。</w:t>
      </w:r>
    </w:p>
    <w:p w14:paraId="44E7D0B3">
      <w:pPr>
        <w:numPr>
          <w:ilvl w:val="0"/>
          <w:numId w:val="3"/>
        </w:num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本工程外露钢材及铁件必须做防锈处理要求，并且结合设计说明相关做法及说明。以上部分均需考虑至相关项目报价中，清单不再描述。</w:t>
      </w:r>
    </w:p>
    <w:p w14:paraId="341FCD8C">
      <w:pPr>
        <w:numPr>
          <w:ilvl w:val="0"/>
          <w:numId w:val="3"/>
        </w:numPr>
        <w:spacing w:line="36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本工程所用建材必须达到图纸设计阻燃等级要求，并且所用建材须持阻燃等级证明并结合设计说明。以上部分均需考虑至相关项目报价中，清单不再描述。</w:t>
      </w:r>
    </w:p>
    <w:p w14:paraId="2A5AB75E">
      <w:pPr>
        <w:numPr>
          <w:ilvl w:val="0"/>
          <w:numId w:val="3"/>
        </w:numPr>
        <w:spacing w:line="360" w:lineRule="auto"/>
        <w:rPr>
          <w:rFonts w:asciiTheme="minorEastAsia" w:hAnsiTheme="minorEastAsia"/>
          <w:color w:val="000000" w:themeColor="text1"/>
          <w:sz w:val="24"/>
          <w14:textFill>
            <w14:solidFill>
              <w14:schemeClr w14:val="tx1"/>
            </w14:solidFill>
          </w14:textFill>
        </w:rPr>
      </w:pPr>
      <w:r>
        <w:rPr>
          <w:rFonts w:hint="eastAsia"/>
          <w:color w:val="000000"/>
          <w:sz w:val="24"/>
        </w:rPr>
        <w:t>所有不锈钢均按304#不锈钢考虑。</w:t>
      </w:r>
    </w:p>
    <w:p w14:paraId="347D68BC">
      <w:pPr>
        <w:tabs>
          <w:tab w:val="left" w:pos="312"/>
        </w:tabs>
        <w:spacing w:line="360" w:lineRule="auto"/>
        <w:rPr>
          <w:rFonts w:asciiTheme="minorEastAsia" w:hAnsiTheme="minorEastAsia" w:cstheme="minorEastAsia"/>
          <w:b/>
          <w:bCs/>
          <w:color w:val="000000" w:themeColor="text1"/>
          <w:sz w:val="24"/>
          <w14:textFill>
            <w14:solidFill>
              <w14:schemeClr w14:val="tx1"/>
            </w14:solidFill>
          </w14:textFill>
        </w:rPr>
      </w:pPr>
      <w:r>
        <w:rPr>
          <w:rFonts w:hint="eastAsia" w:asciiTheme="minorEastAsia" w:hAnsiTheme="minorEastAsia" w:cstheme="minorEastAsia"/>
          <w:b/>
          <w:bCs/>
          <w:color w:val="000000" w:themeColor="text1"/>
          <w:sz w:val="24"/>
          <w14:textFill>
            <w14:solidFill>
              <w14:schemeClr w14:val="tx1"/>
            </w14:solidFill>
          </w14:textFill>
        </w:rPr>
        <w:t>五、其他有关问题的说明</w:t>
      </w:r>
    </w:p>
    <w:p w14:paraId="0E6FFECD">
      <w:pPr>
        <w:spacing w:line="360" w:lineRule="auto"/>
        <w:ind w:left="482" w:hanging="480" w:hangingChars="200"/>
        <w:rPr>
          <w:rFonts w:hint="eastAsia" w:ascii="宋体" w:hAnsi="宋体" w:eastAsia="宋体" w:cs="宋体"/>
          <w:sz w:val="24"/>
          <w:lang w:val="en-US" w:eastAsia="zh-CN"/>
        </w:rPr>
      </w:pPr>
      <w:r>
        <w:rPr>
          <w:rFonts w:hint="eastAsia" w:ascii="宋体" w:hAnsi="宋体" w:eastAsia="宋体" w:cs="宋体"/>
          <w:sz w:val="24"/>
          <w:lang w:val="en-US" w:eastAsia="zh-CN"/>
        </w:rPr>
        <w:t>1、防水附加层费用已包含在平面防水清单中，不另计算工程量，投标单位综合考虑报价；</w:t>
      </w:r>
    </w:p>
    <w:p w14:paraId="1A460733">
      <w:pPr>
        <w:pStyle w:val="2"/>
        <w:ind w:left="0" w:leftChars="0" w:firstLine="0" w:firstLineChars="0"/>
        <w:rPr>
          <w:rFonts w:hint="default"/>
          <w:lang w:val="en-US" w:eastAsia="zh-CN"/>
        </w:rPr>
      </w:pPr>
      <w:r>
        <w:rPr>
          <w:rFonts w:hint="eastAsia" w:ascii="宋体" w:eastAsia="宋体" w:cs="宋体"/>
          <w:sz w:val="24"/>
          <w:lang w:val="en-US" w:eastAsia="zh-CN"/>
        </w:rPr>
        <w:t>2、根据设计回复屋面防水上翻高度按1.5m计入。</w:t>
      </w:r>
    </w:p>
    <w:p w14:paraId="43A38EC4">
      <w:pPr>
        <w:pStyle w:val="2"/>
        <w:rPr>
          <w:rFonts w:hint="default" w:ascii="宋体" w:hAnsi="宋体" w:eastAsia="宋体" w:cs="宋体"/>
          <w:sz w:val="24"/>
          <w:lang w:val="en-US" w:eastAsia="zh-CN"/>
        </w:rPr>
      </w:pPr>
    </w:p>
    <w:p w14:paraId="0EDDD825">
      <w:pPr>
        <w:pStyle w:val="2"/>
        <w:rPr>
          <w:rFonts w:hint="default" w:ascii="宋体" w:hAnsi="宋体" w:eastAsia="宋体" w:cs="宋体"/>
          <w:sz w:val="24"/>
          <w:lang w:val="en-US" w:eastAsia="zh-CN"/>
        </w:rPr>
      </w:pPr>
    </w:p>
    <w:p w14:paraId="2EC33CA4">
      <w:pPr>
        <w:pStyle w:val="2"/>
        <w:rPr>
          <w:rFonts w:hint="default" w:ascii="宋体" w:hAnsi="宋体" w:eastAsia="宋体" w:cs="宋体"/>
          <w:sz w:val="24"/>
          <w:lang w:val="en-US" w:eastAsia="zh-CN"/>
        </w:rPr>
      </w:pPr>
    </w:p>
    <w:p w14:paraId="6D552900">
      <w:pPr>
        <w:tabs>
          <w:tab w:val="left" w:pos="312"/>
        </w:tabs>
        <w:spacing w:line="360" w:lineRule="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07F267"/>
    <w:multiLevelType w:val="singleLevel"/>
    <w:tmpl w:val="BC07F267"/>
    <w:lvl w:ilvl="0" w:tentative="0">
      <w:start w:val="1"/>
      <w:numFmt w:val="chineseCounting"/>
      <w:suff w:val="nothing"/>
      <w:lvlText w:val="%1、"/>
      <w:lvlJc w:val="left"/>
      <w:rPr>
        <w:rFonts w:hint="eastAsia"/>
      </w:rPr>
    </w:lvl>
  </w:abstractNum>
  <w:abstractNum w:abstractNumId="1">
    <w:nsid w:val="C640336B"/>
    <w:multiLevelType w:val="singleLevel"/>
    <w:tmpl w:val="C640336B"/>
    <w:lvl w:ilvl="0" w:tentative="0">
      <w:start w:val="1"/>
      <w:numFmt w:val="decimal"/>
      <w:lvlText w:val="%1."/>
      <w:lvlJc w:val="left"/>
      <w:pPr>
        <w:ind w:left="425" w:hanging="425"/>
      </w:pPr>
      <w:rPr>
        <w:rFonts w:hint="default"/>
      </w:rPr>
    </w:lvl>
  </w:abstractNum>
  <w:abstractNum w:abstractNumId="2">
    <w:nsid w:val="7442589C"/>
    <w:multiLevelType w:val="multilevel"/>
    <w:tmpl w:val="7442589C"/>
    <w:lvl w:ilvl="0" w:tentative="0">
      <w:start w:val="1"/>
      <w:numFmt w:val="decimal"/>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4YzQzNGY0OGZhZDBiZGRiOThiNThmODI4ZWI0OTkifQ=="/>
  </w:docVars>
  <w:rsids>
    <w:rsidRoot w:val="00FD3E25"/>
    <w:rsid w:val="0002623F"/>
    <w:rsid w:val="000473DB"/>
    <w:rsid w:val="00090F6F"/>
    <w:rsid w:val="0014025E"/>
    <w:rsid w:val="001B20F0"/>
    <w:rsid w:val="00233912"/>
    <w:rsid w:val="002914ED"/>
    <w:rsid w:val="003013DB"/>
    <w:rsid w:val="003619F8"/>
    <w:rsid w:val="00710965"/>
    <w:rsid w:val="007A20F7"/>
    <w:rsid w:val="007F157C"/>
    <w:rsid w:val="0081420A"/>
    <w:rsid w:val="00944934"/>
    <w:rsid w:val="00D67E19"/>
    <w:rsid w:val="00DA048D"/>
    <w:rsid w:val="00EA1EC6"/>
    <w:rsid w:val="00F26868"/>
    <w:rsid w:val="00FD3E25"/>
    <w:rsid w:val="01BA07BE"/>
    <w:rsid w:val="043B354E"/>
    <w:rsid w:val="04A6691D"/>
    <w:rsid w:val="04F45F08"/>
    <w:rsid w:val="05241B93"/>
    <w:rsid w:val="054911B7"/>
    <w:rsid w:val="06DD6928"/>
    <w:rsid w:val="07567C67"/>
    <w:rsid w:val="07A94BAF"/>
    <w:rsid w:val="08981E32"/>
    <w:rsid w:val="08F905C4"/>
    <w:rsid w:val="09304BB1"/>
    <w:rsid w:val="097B0342"/>
    <w:rsid w:val="0A767E16"/>
    <w:rsid w:val="0E8F3BC8"/>
    <w:rsid w:val="0EA82CB6"/>
    <w:rsid w:val="0EDD2B76"/>
    <w:rsid w:val="10A156AB"/>
    <w:rsid w:val="110D29C7"/>
    <w:rsid w:val="12063972"/>
    <w:rsid w:val="129C7E30"/>
    <w:rsid w:val="131426E3"/>
    <w:rsid w:val="134611C7"/>
    <w:rsid w:val="136C0EB8"/>
    <w:rsid w:val="149A7AF0"/>
    <w:rsid w:val="152E7AB7"/>
    <w:rsid w:val="15AB6569"/>
    <w:rsid w:val="15DC619D"/>
    <w:rsid w:val="166D0EB7"/>
    <w:rsid w:val="16E0431E"/>
    <w:rsid w:val="172B5844"/>
    <w:rsid w:val="18262884"/>
    <w:rsid w:val="1ABD75E8"/>
    <w:rsid w:val="1B972E81"/>
    <w:rsid w:val="1BFC4701"/>
    <w:rsid w:val="1C4C1A84"/>
    <w:rsid w:val="1D0A3708"/>
    <w:rsid w:val="1D996D5F"/>
    <w:rsid w:val="1F482900"/>
    <w:rsid w:val="20785445"/>
    <w:rsid w:val="2213386E"/>
    <w:rsid w:val="242227CE"/>
    <w:rsid w:val="252B1176"/>
    <w:rsid w:val="25FE706D"/>
    <w:rsid w:val="26A01152"/>
    <w:rsid w:val="26C8687D"/>
    <w:rsid w:val="2701574A"/>
    <w:rsid w:val="2703389D"/>
    <w:rsid w:val="27B90134"/>
    <w:rsid w:val="287C38D4"/>
    <w:rsid w:val="28F3609C"/>
    <w:rsid w:val="2BBE7680"/>
    <w:rsid w:val="2C7C01BD"/>
    <w:rsid w:val="2CB912D9"/>
    <w:rsid w:val="2D5058E5"/>
    <w:rsid w:val="2D7A373A"/>
    <w:rsid w:val="2DC51A5A"/>
    <w:rsid w:val="2DFB7D38"/>
    <w:rsid w:val="2ED16C66"/>
    <w:rsid w:val="31D870B2"/>
    <w:rsid w:val="322813DA"/>
    <w:rsid w:val="329E29EB"/>
    <w:rsid w:val="33BB3327"/>
    <w:rsid w:val="362D6328"/>
    <w:rsid w:val="3633699F"/>
    <w:rsid w:val="371E0DAA"/>
    <w:rsid w:val="37350F75"/>
    <w:rsid w:val="377C7410"/>
    <w:rsid w:val="384F15B6"/>
    <w:rsid w:val="38543F56"/>
    <w:rsid w:val="397B7FD8"/>
    <w:rsid w:val="3B6F161C"/>
    <w:rsid w:val="3BAE5262"/>
    <w:rsid w:val="3CF3447E"/>
    <w:rsid w:val="3D1A33E6"/>
    <w:rsid w:val="3E1D0956"/>
    <w:rsid w:val="42A304B8"/>
    <w:rsid w:val="43140B1E"/>
    <w:rsid w:val="438F38F0"/>
    <w:rsid w:val="44591B0C"/>
    <w:rsid w:val="44FE57D7"/>
    <w:rsid w:val="46856718"/>
    <w:rsid w:val="48E53103"/>
    <w:rsid w:val="4BC47D8E"/>
    <w:rsid w:val="4C815177"/>
    <w:rsid w:val="4C912F6E"/>
    <w:rsid w:val="4D3110A8"/>
    <w:rsid w:val="4EB25D08"/>
    <w:rsid w:val="4F07037A"/>
    <w:rsid w:val="4F0A410C"/>
    <w:rsid w:val="512930E5"/>
    <w:rsid w:val="538A3A89"/>
    <w:rsid w:val="554377B0"/>
    <w:rsid w:val="560A1E18"/>
    <w:rsid w:val="576866AF"/>
    <w:rsid w:val="5A725AD0"/>
    <w:rsid w:val="5C3510EF"/>
    <w:rsid w:val="5C8E3888"/>
    <w:rsid w:val="5D103DB4"/>
    <w:rsid w:val="5ED26D59"/>
    <w:rsid w:val="5F380B69"/>
    <w:rsid w:val="5F8D34EC"/>
    <w:rsid w:val="5FB35E9E"/>
    <w:rsid w:val="60EE7573"/>
    <w:rsid w:val="61C84E68"/>
    <w:rsid w:val="62167BE5"/>
    <w:rsid w:val="65012327"/>
    <w:rsid w:val="66B87B0B"/>
    <w:rsid w:val="67B63833"/>
    <w:rsid w:val="68AF0023"/>
    <w:rsid w:val="69602870"/>
    <w:rsid w:val="6995352C"/>
    <w:rsid w:val="6AB67062"/>
    <w:rsid w:val="6CE7577A"/>
    <w:rsid w:val="6D3D7861"/>
    <w:rsid w:val="6E084027"/>
    <w:rsid w:val="6E856CB9"/>
    <w:rsid w:val="707B183B"/>
    <w:rsid w:val="7441037B"/>
    <w:rsid w:val="74A67B1C"/>
    <w:rsid w:val="74B76D58"/>
    <w:rsid w:val="75030412"/>
    <w:rsid w:val="750C21FD"/>
    <w:rsid w:val="75285C16"/>
    <w:rsid w:val="75AA4795"/>
    <w:rsid w:val="787D4D75"/>
    <w:rsid w:val="796B6436"/>
    <w:rsid w:val="79A97D4C"/>
    <w:rsid w:val="7CDB75D3"/>
    <w:rsid w:val="7DE36E78"/>
    <w:rsid w:val="7DFF09B5"/>
    <w:rsid w:val="7F046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line="300" w:lineRule="exact"/>
      <w:ind w:left="90" w:leftChars="43" w:right="25" w:rightChars="12" w:firstLine="480" w:firstLineChars="200"/>
    </w:pPr>
    <w:rPr>
      <w:rFonts w:ascii="仿宋_GB2312" w:hAnsi="宋体" w:eastAsia="仿宋_GB2312"/>
      <w:sz w:val="24"/>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字符"/>
    <w:basedOn w:val="7"/>
    <w:link w:val="4"/>
    <w:qFormat/>
    <w:uiPriority w:val="0"/>
    <w:rPr>
      <w:rFonts w:asciiTheme="minorHAnsi" w:hAnsiTheme="minorHAnsi" w:eastAsiaTheme="minorEastAsia" w:cstheme="minorBidi"/>
      <w:kern w:val="2"/>
      <w:sz w:val="18"/>
      <w:szCs w:val="18"/>
    </w:rPr>
  </w:style>
  <w:style w:type="character" w:customStyle="1" w:styleId="9">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1216</Words>
  <Characters>1319</Characters>
  <Lines>14</Lines>
  <Paragraphs>4</Paragraphs>
  <TotalTime>4</TotalTime>
  <ScaleCrop>false</ScaleCrop>
  <LinksUpToDate>false</LinksUpToDate>
  <CharactersWithSpaces>1321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2020-05-27T13:04:00Z</dcterms:created>
  <dc:creator>Administrator.admin-PC</dc:creator>
  <cp:lastModifiedBy>倒计时甲坚强</cp:lastModifiedBy>
  <dcterms:modified xsi:type="dcterms:W3CDTF">2025-06-16T07:09:48Z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B7F4B0CAA3BC4818ABBBA316F4CF1074</vt:lpwstr>
  </property>
  <property fmtid="{D5CDD505-2E9C-101B-9397-08002B2CF9AE}" pid="4" name="KSOTemplateDocerSaveRecord">
    <vt:lpwstr>eyJoZGlkIjoiYTA4YzQzNGY0OGZhZDBiZGRiOThiNThmODI4ZWI0OTkiLCJ1c2VySWQiOiIzMTQxNDI0NjcifQ==</vt:lpwstr>
  </property>
</Properties>
</file>