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CB2F7D">
      <w:pPr>
        <w:pStyle w:val="5"/>
        <w:rPr>
          <w:rFonts w:ascii="宋体" w:hAnsi="宋体" w:cs="宋体"/>
          <w:color w:val="auto"/>
          <w:highlight w:val="none"/>
        </w:rPr>
      </w:pPr>
      <w:bookmarkStart w:id="0" w:name="_top"/>
      <w:bookmarkEnd w:id="0"/>
    </w:p>
    <w:p w14:paraId="025CCA3D">
      <w:pPr>
        <w:tabs>
          <w:tab w:val="left" w:pos="5220"/>
        </w:tabs>
        <w:jc w:val="center"/>
        <w:rPr>
          <w:rFonts w:hint="eastAsia" w:ascii="宋体" w:hAnsi="宋体" w:eastAsia="宋体" w:cs="宋体"/>
          <w:b/>
          <w:color w:val="auto"/>
          <w:spacing w:val="-4"/>
          <w:sz w:val="48"/>
          <w:szCs w:val="48"/>
          <w:highlight w:val="none"/>
          <w:lang w:eastAsia="zh-CN"/>
        </w:rPr>
      </w:pPr>
      <w:r>
        <w:rPr>
          <w:rFonts w:hint="eastAsia" w:ascii="宋体" w:hAnsi="宋体" w:cs="宋体"/>
          <w:b/>
          <w:color w:val="auto"/>
          <w:spacing w:val="-4"/>
          <w:sz w:val="48"/>
          <w:szCs w:val="48"/>
          <w:highlight w:val="none"/>
          <w:lang w:eastAsia="zh-CN"/>
        </w:rPr>
        <w:t>吴兴区2025年水土保持技术支撑服务项目</w:t>
      </w:r>
    </w:p>
    <w:p w14:paraId="0CC704D5">
      <w:pPr>
        <w:spacing w:line="400" w:lineRule="exact"/>
        <w:rPr>
          <w:rFonts w:ascii="宋体" w:hAnsi="宋体" w:cs="宋体"/>
          <w:b/>
          <w:bCs/>
          <w:color w:val="auto"/>
          <w:sz w:val="48"/>
          <w:highlight w:val="none"/>
        </w:rPr>
      </w:pPr>
    </w:p>
    <w:p w14:paraId="25DC8A24">
      <w:pPr>
        <w:pStyle w:val="2"/>
        <w:rPr>
          <w:color w:val="auto"/>
        </w:rPr>
      </w:pPr>
    </w:p>
    <w:p w14:paraId="209D7FB4">
      <w:pPr>
        <w:snapToGrid w:val="0"/>
        <w:spacing w:before="156" w:beforeLines="50" w:line="400" w:lineRule="exact"/>
        <w:jc w:val="center"/>
        <w:rPr>
          <w:rFonts w:ascii="宋体" w:hAnsi="宋体" w:cs="宋体"/>
          <w:color w:val="auto"/>
          <w:sz w:val="30"/>
          <w:szCs w:val="72"/>
          <w:highlight w:val="none"/>
        </w:rPr>
      </w:pPr>
    </w:p>
    <w:p w14:paraId="43EAFA22">
      <w:pPr>
        <w:spacing w:before="156" w:beforeLines="50"/>
        <w:jc w:val="center"/>
        <w:rPr>
          <w:rFonts w:ascii="宋体" w:hAnsi="宋体" w:cs="宋体"/>
          <w:b/>
          <w:bCs/>
          <w:color w:val="auto"/>
          <w:sz w:val="52"/>
          <w:szCs w:val="52"/>
          <w:highlight w:val="none"/>
        </w:rPr>
      </w:pPr>
      <w:r>
        <w:rPr>
          <w:rFonts w:hint="eastAsia" w:ascii="宋体" w:hAnsi="宋体" w:cs="宋体"/>
          <w:b/>
          <w:bCs/>
          <w:color w:val="auto"/>
          <w:sz w:val="72"/>
          <w:szCs w:val="72"/>
          <w:highlight w:val="none"/>
        </w:rPr>
        <w:t>竞争性磋商文件</w:t>
      </w:r>
    </w:p>
    <w:p w14:paraId="279854AA">
      <w:pPr>
        <w:widowControl/>
        <w:spacing w:line="600" w:lineRule="exact"/>
        <w:ind w:right="-2"/>
        <w:jc w:val="center"/>
        <w:rPr>
          <w:rFonts w:ascii="宋体" w:hAnsi="宋体" w:cs="宋体"/>
          <w:b/>
          <w:color w:val="auto"/>
          <w:sz w:val="52"/>
          <w:szCs w:val="52"/>
          <w:highlight w:val="none"/>
        </w:rPr>
      </w:pPr>
      <w:r>
        <w:rPr>
          <w:rFonts w:hint="eastAsia" w:ascii="宋体" w:hAnsi="宋体" w:cs="宋体"/>
          <w:b/>
          <w:color w:val="auto"/>
          <w:sz w:val="52"/>
          <w:szCs w:val="52"/>
          <w:highlight w:val="none"/>
        </w:rPr>
        <w:t xml:space="preserve"> </w:t>
      </w:r>
    </w:p>
    <w:p w14:paraId="54938A95">
      <w:pPr>
        <w:snapToGrid w:val="0"/>
        <w:spacing w:before="156" w:beforeLines="50" w:line="400" w:lineRule="exact"/>
        <w:rPr>
          <w:rFonts w:ascii="宋体" w:hAnsi="宋体" w:cs="宋体"/>
          <w:color w:val="auto"/>
          <w:sz w:val="30"/>
          <w:szCs w:val="72"/>
          <w:highlight w:val="none"/>
        </w:rPr>
      </w:pPr>
    </w:p>
    <w:p w14:paraId="2E1C074A">
      <w:pPr>
        <w:snapToGrid w:val="0"/>
        <w:spacing w:before="156" w:beforeLines="50" w:line="400" w:lineRule="exact"/>
        <w:rPr>
          <w:rFonts w:ascii="宋体" w:hAnsi="宋体" w:cs="宋体"/>
          <w:color w:val="auto"/>
          <w:sz w:val="30"/>
          <w:szCs w:val="72"/>
          <w:highlight w:val="none"/>
        </w:rPr>
      </w:pPr>
    </w:p>
    <w:p w14:paraId="1FF28656">
      <w:pPr>
        <w:snapToGrid w:val="0"/>
        <w:spacing w:before="156" w:beforeLines="50" w:line="400" w:lineRule="exact"/>
        <w:rPr>
          <w:rFonts w:ascii="宋体" w:hAnsi="宋体" w:cs="宋体"/>
          <w:color w:val="auto"/>
          <w:sz w:val="30"/>
          <w:szCs w:val="72"/>
          <w:highlight w:val="none"/>
        </w:rPr>
      </w:pPr>
    </w:p>
    <w:p w14:paraId="0D5895AE">
      <w:pPr>
        <w:snapToGrid w:val="0"/>
        <w:spacing w:before="156" w:beforeLines="50" w:line="400" w:lineRule="exact"/>
        <w:rPr>
          <w:rFonts w:ascii="宋体" w:hAnsi="宋体" w:cs="宋体"/>
          <w:color w:val="auto"/>
          <w:sz w:val="30"/>
          <w:szCs w:val="72"/>
          <w:highlight w:val="none"/>
        </w:rPr>
      </w:pPr>
    </w:p>
    <w:p w14:paraId="5C6352C2">
      <w:pPr>
        <w:pStyle w:val="26"/>
        <w:rPr>
          <w:rFonts w:ascii="宋体" w:hAnsi="宋体" w:cs="宋体"/>
          <w:color w:val="auto"/>
          <w:sz w:val="30"/>
          <w:szCs w:val="72"/>
          <w:highlight w:val="none"/>
        </w:rPr>
      </w:pPr>
    </w:p>
    <w:p w14:paraId="7F6F704E">
      <w:pPr>
        <w:pStyle w:val="26"/>
        <w:rPr>
          <w:rFonts w:ascii="宋体" w:hAnsi="宋体" w:cs="宋体"/>
          <w:color w:val="auto"/>
          <w:sz w:val="30"/>
          <w:szCs w:val="72"/>
          <w:highlight w:val="none"/>
        </w:rPr>
      </w:pPr>
    </w:p>
    <w:p w14:paraId="5FD21FC6">
      <w:pPr>
        <w:pStyle w:val="26"/>
        <w:rPr>
          <w:rFonts w:ascii="宋体" w:hAnsi="宋体" w:cs="宋体"/>
          <w:color w:val="auto"/>
          <w:sz w:val="30"/>
          <w:szCs w:val="72"/>
          <w:highlight w:val="none"/>
        </w:rPr>
      </w:pPr>
    </w:p>
    <w:p w14:paraId="515A1976">
      <w:pPr>
        <w:pStyle w:val="26"/>
        <w:rPr>
          <w:rFonts w:ascii="宋体" w:hAnsi="宋体" w:cs="宋体"/>
          <w:color w:val="auto"/>
          <w:sz w:val="30"/>
          <w:szCs w:val="72"/>
          <w:highlight w:val="none"/>
        </w:rPr>
      </w:pPr>
    </w:p>
    <w:p w14:paraId="7D7573B4">
      <w:pPr>
        <w:pStyle w:val="17"/>
        <w:snapToGrid w:val="0"/>
        <w:spacing w:before="120" w:after="120" w:line="400" w:lineRule="exact"/>
        <w:rPr>
          <w:rFonts w:cs="宋体"/>
          <w:b/>
          <w:color w:val="auto"/>
          <w:spacing w:val="-4"/>
          <w:sz w:val="28"/>
          <w:szCs w:val="28"/>
          <w:highlight w:val="none"/>
          <w:u w:val="single"/>
        </w:rPr>
      </w:pPr>
      <w:r>
        <w:rPr>
          <w:rFonts w:hint="eastAsia" w:cs="宋体"/>
          <w:b/>
          <w:bCs/>
          <w:color w:val="auto"/>
          <w:sz w:val="28"/>
          <w:szCs w:val="28"/>
          <w:highlight w:val="none"/>
        </w:rPr>
        <w:t>项目编号：</w:t>
      </w:r>
      <w:r>
        <w:rPr>
          <w:rFonts w:hint="eastAsia" w:cs="宋体"/>
          <w:b/>
          <w:color w:val="auto"/>
          <w:spacing w:val="-4"/>
          <w:sz w:val="28"/>
          <w:szCs w:val="28"/>
          <w:highlight w:val="none"/>
          <w:u w:val="single"/>
        </w:rPr>
        <w:t xml:space="preserve">德威采字〔2025〕004号                                        </w:t>
      </w:r>
    </w:p>
    <w:p w14:paraId="28EF8843">
      <w:pPr>
        <w:pStyle w:val="17"/>
        <w:snapToGrid w:val="0"/>
        <w:spacing w:before="120" w:after="120" w:line="400" w:lineRule="exact"/>
        <w:ind w:left="1383" w:hanging="1383" w:hangingChars="492"/>
        <w:rPr>
          <w:rFonts w:hint="default" w:cs="宋体"/>
          <w:b/>
          <w:color w:val="auto"/>
          <w:spacing w:val="-4"/>
          <w:sz w:val="28"/>
          <w:szCs w:val="28"/>
          <w:highlight w:val="none"/>
          <w:u w:val="single"/>
          <w:lang w:val="en-US"/>
        </w:rPr>
      </w:pPr>
      <w:r>
        <w:rPr>
          <w:rFonts w:hint="eastAsia" w:cs="宋体"/>
          <w:b/>
          <w:color w:val="auto"/>
          <w:sz w:val="28"/>
          <w:szCs w:val="28"/>
          <w:highlight w:val="none"/>
        </w:rPr>
        <w:t>项目名称：</w:t>
      </w:r>
      <w:r>
        <w:rPr>
          <w:rFonts w:hint="eastAsia" w:cs="宋体"/>
          <w:b/>
          <w:color w:val="auto"/>
          <w:spacing w:val="-4"/>
          <w:sz w:val="28"/>
          <w:szCs w:val="28"/>
          <w:highlight w:val="none"/>
          <w:u w:val="single"/>
          <w:lang w:eastAsia="zh-CN"/>
        </w:rPr>
        <w:t>吴兴区2025年水土保持技术支撑服务项目</w:t>
      </w:r>
      <w:r>
        <w:rPr>
          <w:rFonts w:hint="eastAsia" w:cs="宋体"/>
          <w:b/>
          <w:color w:val="auto"/>
          <w:spacing w:val="-4"/>
          <w:sz w:val="28"/>
          <w:szCs w:val="28"/>
          <w:highlight w:val="none"/>
          <w:u w:val="single"/>
          <w:lang w:val="en-US" w:eastAsia="zh-CN"/>
        </w:rPr>
        <w:t xml:space="preserve">                            </w:t>
      </w:r>
    </w:p>
    <w:p w14:paraId="0E8FC066">
      <w:pPr>
        <w:snapToGrid w:val="0"/>
        <w:spacing w:before="156" w:beforeLines="50" w:line="400" w:lineRule="exact"/>
        <w:jc w:val="left"/>
        <w:rPr>
          <w:rFonts w:ascii="宋体" w:hAnsi="宋体" w:cs="宋体"/>
          <w:b/>
          <w:color w:val="auto"/>
          <w:spacing w:val="-4"/>
          <w:sz w:val="28"/>
          <w:szCs w:val="28"/>
          <w:highlight w:val="none"/>
          <w:u w:val="single"/>
        </w:rPr>
      </w:pPr>
      <w:r>
        <w:rPr>
          <w:rFonts w:hint="eastAsia" w:ascii="宋体" w:hAnsi="宋体" w:cs="宋体"/>
          <w:b/>
          <w:bCs/>
          <w:color w:val="auto"/>
          <w:w w:val="95"/>
          <w:sz w:val="28"/>
          <w:szCs w:val="28"/>
          <w:highlight w:val="none"/>
        </w:rPr>
        <w:t>采购单位：</w:t>
      </w:r>
      <w:r>
        <w:rPr>
          <w:rFonts w:hint="eastAsia" w:ascii="宋体" w:hAnsi="宋体" w:cs="宋体"/>
          <w:b/>
          <w:color w:val="auto"/>
          <w:spacing w:val="-4"/>
          <w:sz w:val="28"/>
          <w:szCs w:val="28"/>
          <w:highlight w:val="none"/>
          <w:u w:val="single"/>
          <w:lang w:eastAsia="zh-CN"/>
        </w:rPr>
        <w:t>湖州市吴兴区水利局</w:t>
      </w:r>
      <w:r>
        <w:rPr>
          <w:rFonts w:hint="eastAsia" w:ascii="宋体" w:hAnsi="宋体" w:cs="宋体"/>
          <w:b/>
          <w:color w:val="auto"/>
          <w:spacing w:val="-4"/>
          <w:sz w:val="28"/>
          <w:szCs w:val="28"/>
          <w:highlight w:val="none"/>
          <w:u w:val="single"/>
        </w:rPr>
        <w:t xml:space="preserve">            </w:t>
      </w:r>
      <w:r>
        <w:rPr>
          <w:rFonts w:hint="eastAsia" w:ascii="宋体" w:hAnsi="宋体" w:cs="宋体"/>
          <w:b/>
          <w:color w:val="auto"/>
          <w:spacing w:val="-4"/>
          <w:sz w:val="28"/>
          <w:szCs w:val="28"/>
          <w:highlight w:val="none"/>
          <w:u w:val="single"/>
          <w:lang w:val="en-US" w:eastAsia="zh-CN"/>
        </w:rPr>
        <w:t xml:space="preserve">                </w:t>
      </w:r>
      <w:r>
        <w:rPr>
          <w:rFonts w:hint="eastAsia" w:ascii="宋体" w:hAnsi="宋体" w:cs="宋体"/>
          <w:b/>
          <w:color w:val="auto"/>
          <w:spacing w:val="-4"/>
          <w:sz w:val="28"/>
          <w:szCs w:val="28"/>
          <w:highlight w:val="none"/>
          <w:u w:val="single"/>
        </w:rPr>
        <w:t xml:space="preserve">      （盖章） </w:t>
      </w:r>
    </w:p>
    <w:p w14:paraId="630D3C68">
      <w:pPr>
        <w:pStyle w:val="17"/>
        <w:snapToGrid w:val="0"/>
        <w:spacing w:before="120" w:after="120" w:line="400" w:lineRule="exact"/>
        <w:rPr>
          <w:rFonts w:cs="宋体"/>
          <w:b/>
          <w:bCs/>
          <w:color w:val="auto"/>
          <w:w w:val="95"/>
          <w:sz w:val="28"/>
          <w:szCs w:val="28"/>
          <w:highlight w:val="none"/>
          <w:u w:val="single"/>
        </w:rPr>
      </w:pPr>
      <w:r>
        <w:rPr>
          <w:rFonts w:hint="eastAsia" w:cs="宋体"/>
          <w:b/>
          <w:bCs/>
          <w:color w:val="auto"/>
          <w:w w:val="95"/>
          <w:sz w:val="28"/>
          <w:szCs w:val="28"/>
          <w:highlight w:val="none"/>
        </w:rPr>
        <w:t>代理机构：</w:t>
      </w:r>
      <w:r>
        <w:rPr>
          <w:rFonts w:hint="eastAsia" w:cs="宋体"/>
          <w:b/>
          <w:color w:val="auto"/>
          <w:sz w:val="28"/>
          <w:szCs w:val="28"/>
          <w:highlight w:val="none"/>
          <w:u w:val="single"/>
          <w:lang w:eastAsia="zh-CN"/>
        </w:rPr>
        <w:t>德威工程管理咨询有限公司</w:t>
      </w:r>
      <w:r>
        <w:rPr>
          <w:rFonts w:hint="eastAsia" w:cs="宋体"/>
          <w:b/>
          <w:color w:val="auto"/>
          <w:sz w:val="28"/>
          <w:szCs w:val="28"/>
          <w:highlight w:val="none"/>
          <w:u w:val="single"/>
        </w:rPr>
        <w:t xml:space="preserve">                        </w:t>
      </w:r>
      <w:r>
        <w:rPr>
          <w:rFonts w:hint="eastAsia" w:cs="宋体"/>
          <w:b/>
          <w:color w:val="auto"/>
          <w:spacing w:val="-4"/>
          <w:sz w:val="28"/>
          <w:szCs w:val="28"/>
          <w:highlight w:val="none"/>
          <w:u w:val="single"/>
        </w:rPr>
        <w:t>（盖章）</w:t>
      </w:r>
      <w:r>
        <w:rPr>
          <w:rFonts w:hint="eastAsia" w:cs="宋体"/>
          <w:b/>
          <w:color w:val="auto"/>
          <w:sz w:val="28"/>
          <w:szCs w:val="28"/>
          <w:highlight w:val="none"/>
          <w:u w:val="single"/>
        </w:rPr>
        <w:t xml:space="preserve"> </w:t>
      </w:r>
    </w:p>
    <w:p w14:paraId="0FCF9D33">
      <w:pPr>
        <w:snapToGrid w:val="0"/>
        <w:spacing w:before="156" w:beforeLines="50" w:line="400" w:lineRule="exact"/>
        <w:ind w:left="439" w:leftChars="183" w:firstLine="4599" w:firstLineChars="1607"/>
        <w:rPr>
          <w:rFonts w:ascii="宋体" w:hAnsi="宋体" w:cs="宋体"/>
          <w:b/>
          <w:bCs/>
          <w:color w:val="auto"/>
          <w:w w:val="95"/>
          <w:sz w:val="30"/>
          <w:szCs w:val="30"/>
          <w:highlight w:val="none"/>
        </w:rPr>
      </w:pPr>
    </w:p>
    <w:p w14:paraId="162E319E">
      <w:pPr>
        <w:snapToGrid w:val="0"/>
        <w:spacing w:before="156" w:beforeLines="50" w:line="400" w:lineRule="exact"/>
        <w:rPr>
          <w:rFonts w:ascii="宋体" w:hAnsi="宋体" w:cs="宋体"/>
          <w:b/>
          <w:bCs/>
          <w:color w:val="auto"/>
          <w:w w:val="95"/>
          <w:sz w:val="30"/>
          <w:szCs w:val="30"/>
          <w:highlight w:val="none"/>
        </w:rPr>
      </w:pPr>
    </w:p>
    <w:p w14:paraId="47760A43">
      <w:pPr>
        <w:adjustRightInd w:val="0"/>
        <w:snapToGrid w:val="0"/>
        <w:spacing w:line="400" w:lineRule="exact"/>
        <w:jc w:val="center"/>
        <w:rPr>
          <w:rFonts w:ascii="宋体" w:hAnsi="宋体" w:cs="宋体"/>
          <w:color w:val="auto"/>
          <w:highlight w:val="none"/>
        </w:rPr>
      </w:pPr>
      <w:r>
        <w:rPr>
          <w:rFonts w:hint="eastAsia" w:ascii="宋体" w:hAnsi="宋体" w:cs="宋体"/>
          <w:b/>
          <w:color w:val="auto"/>
          <w:sz w:val="32"/>
          <w:highlight w:val="none"/>
        </w:rPr>
        <w:t>日   期：</w:t>
      </w:r>
      <w:r>
        <w:rPr>
          <w:rFonts w:hint="eastAsia" w:ascii="宋体" w:hAnsi="宋体" w:cs="宋体"/>
          <w:b/>
          <w:color w:val="auto"/>
          <w:sz w:val="32"/>
          <w:highlight w:val="none"/>
          <w:lang w:val="en-US" w:eastAsia="zh-CN"/>
        </w:rPr>
        <w:t>2025</w:t>
      </w:r>
      <w:r>
        <w:rPr>
          <w:rFonts w:hint="eastAsia" w:ascii="宋体" w:hAnsi="宋体" w:cs="宋体"/>
          <w:b/>
          <w:color w:val="auto"/>
          <w:sz w:val="32"/>
          <w:highlight w:val="none"/>
        </w:rPr>
        <w:t>年</w:t>
      </w:r>
      <w:r>
        <w:rPr>
          <w:rFonts w:hint="eastAsia" w:ascii="宋体" w:hAnsi="宋体" w:cs="宋体"/>
          <w:b/>
          <w:color w:val="auto"/>
          <w:sz w:val="32"/>
          <w:highlight w:val="none"/>
          <w:lang w:val="en-US" w:eastAsia="zh-CN"/>
        </w:rPr>
        <w:t>6</w:t>
      </w:r>
      <w:r>
        <w:rPr>
          <w:rFonts w:hint="eastAsia" w:ascii="宋体" w:hAnsi="宋体" w:cs="宋体"/>
          <w:b/>
          <w:color w:val="auto"/>
          <w:sz w:val="32"/>
          <w:highlight w:val="none"/>
        </w:rPr>
        <w:t>月</w:t>
      </w:r>
    </w:p>
    <w:p w14:paraId="75CAD841">
      <w:pPr>
        <w:spacing w:line="360" w:lineRule="exact"/>
        <w:rPr>
          <w:rFonts w:ascii="宋体" w:hAnsi="宋体" w:cs="宋体"/>
          <w:color w:val="auto"/>
          <w:highlight w:val="none"/>
        </w:rPr>
      </w:pPr>
      <w:r>
        <w:rPr>
          <w:rFonts w:hint="eastAsia" w:ascii="宋体" w:hAnsi="宋体" w:cs="宋体"/>
          <w:color w:val="auto"/>
          <w:highlight w:val="none"/>
        </w:rPr>
        <w:br w:type="page"/>
      </w:r>
    </w:p>
    <w:p w14:paraId="4AC52593">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目   录</w:t>
      </w:r>
    </w:p>
    <w:p w14:paraId="0757984E">
      <w:pPr>
        <w:pStyle w:val="28"/>
        <w:tabs>
          <w:tab w:val="right" w:leader="dot" w:pos="9638"/>
          <w:tab w:val="clear" w:pos="8494"/>
        </w:tabs>
        <w:rPr>
          <w:rFonts w:ascii="宋体" w:hAnsi="宋体" w:cs="宋体"/>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TOC \o "1-3" \h \z \u </w:instrText>
      </w:r>
      <w:r>
        <w:rPr>
          <w:rFonts w:hint="eastAsia" w:ascii="宋体" w:hAnsi="宋体" w:cs="宋体"/>
          <w:color w:val="auto"/>
          <w:highlight w:val="none"/>
        </w:rPr>
        <w:fldChar w:fldCharType="separate"/>
      </w:r>
      <w:r>
        <w:rPr>
          <w:color w:val="auto"/>
          <w:highlight w:val="none"/>
        </w:rPr>
        <w:fldChar w:fldCharType="begin"/>
      </w:r>
      <w:r>
        <w:rPr>
          <w:color w:val="auto"/>
          <w:highlight w:val="none"/>
        </w:rPr>
        <w:instrText xml:space="preserve"> HYPERLINK \l "_Toc23814" </w:instrText>
      </w:r>
      <w:r>
        <w:rPr>
          <w:color w:val="auto"/>
          <w:highlight w:val="none"/>
        </w:rPr>
        <w:fldChar w:fldCharType="separate"/>
      </w:r>
      <w:r>
        <w:rPr>
          <w:rFonts w:hint="eastAsia" w:ascii="宋体" w:hAnsi="宋体" w:cs="宋体"/>
          <w:color w:val="auto"/>
          <w:highlight w:val="none"/>
        </w:rPr>
        <w:t>第一章 竞争性磋商公告</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_Toc23814 </w:instrText>
      </w:r>
      <w:r>
        <w:rPr>
          <w:rFonts w:hint="eastAsia" w:ascii="宋体" w:hAnsi="宋体" w:cs="宋体"/>
          <w:color w:val="auto"/>
          <w:highlight w:val="none"/>
        </w:rPr>
        <w:fldChar w:fldCharType="separate"/>
      </w:r>
      <w:r>
        <w:rPr>
          <w:rFonts w:hint="eastAsia" w:ascii="宋体" w:hAnsi="宋体" w:cs="宋体"/>
          <w:color w:val="auto"/>
          <w:highlight w:val="none"/>
        </w:rPr>
        <w:t>1</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47FD55D6">
      <w:pPr>
        <w:pStyle w:val="28"/>
        <w:tabs>
          <w:tab w:val="right" w:leader="dot" w:pos="9638"/>
          <w:tab w:val="clear" w:pos="8494"/>
        </w:tabs>
        <w:rPr>
          <w:rFonts w:ascii="宋体" w:hAnsi="宋体" w:cs="宋体"/>
          <w:color w:val="auto"/>
          <w:highlight w:val="none"/>
        </w:rPr>
      </w:pPr>
      <w:r>
        <w:rPr>
          <w:color w:val="auto"/>
          <w:highlight w:val="none"/>
        </w:rPr>
        <w:fldChar w:fldCharType="begin"/>
      </w:r>
      <w:r>
        <w:rPr>
          <w:color w:val="auto"/>
          <w:highlight w:val="none"/>
        </w:rPr>
        <w:instrText xml:space="preserve"> HYPERLINK \l "_Toc64" </w:instrText>
      </w:r>
      <w:r>
        <w:rPr>
          <w:color w:val="auto"/>
          <w:highlight w:val="none"/>
        </w:rPr>
        <w:fldChar w:fldCharType="separate"/>
      </w:r>
      <w:r>
        <w:rPr>
          <w:rFonts w:hint="eastAsia" w:ascii="宋体" w:hAnsi="宋体" w:cs="宋体"/>
          <w:color w:val="auto"/>
          <w:highlight w:val="none"/>
        </w:rPr>
        <w:t>第二章  供应商须知</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_Toc64 </w:instrText>
      </w:r>
      <w:r>
        <w:rPr>
          <w:rFonts w:hint="eastAsia" w:ascii="宋体" w:hAnsi="宋体" w:cs="宋体"/>
          <w:color w:val="auto"/>
          <w:highlight w:val="none"/>
        </w:rPr>
        <w:fldChar w:fldCharType="separate"/>
      </w:r>
      <w:r>
        <w:rPr>
          <w:rFonts w:hint="eastAsia" w:ascii="宋体" w:hAnsi="宋体" w:cs="宋体"/>
          <w:color w:val="auto"/>
          <w:highlight w:val="none"/>
        </w:rPr>
        <w:t>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2A9AF2DE">
      <w:pPr>
        <w:pStyle w:val="28"/>
        <w:tabs>
          <w:tab w:val="right" w:leader="dot" w:pos="9638"/>
          <w:tab w:val="clear" w:pos="8494"/>
        </w:tabs>
        <w:rPr>
          <w:rFonts w:ascii="宋体" w:hAnsi="宋体" w:cs="宋体"/>
          <w:color w:val="auto"/>
          <w:highlight w:val="none"/>
        </w:rPr>
      </w:pPr>
      <w:r>
        <w:rPr>
          <w:color w:val="auto"/>
          <w:highlight w:val="none"/>
        </w:rPr>
        <w:fldChar w:fldCharType="begin"/>
      </w:r>
      <w:r>
        <w:rPr>
          <w:color w:val="auto"/>
          <w:highlight w:val="none"/>
        </w:rPr>
        <w:instrText xml:space="preserve"> HYPERLINK \l "_Toc18868" </w:instrText>
      </w:r>
      <w:r>
        <w:rPr>
          <w:color w:val="auto"/>
          <w:highlight w:val="none"/>
        </w:rPr>
        <w:fldChar w:fldCharType="separate"/>
      </w:r>
      <w:r>
        <w:rPr>
          <w:rFonts w:hint="eastAsia" w:ascii="宋体" w:hAnsi="宋体" w:cs="宋体"/>
          <w:color w:val="auto"/>
          <w:highlight w:val="none"/>
        </w:rPr>
        <w:t>第三章  采购需求</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_Toc18868 </w:instrText>
      </w:r>
      <w:r>
        <w:rPr>
          <w:rFonts w:hint="eastAsia" w:ascii="宋体" w:hAnsi="宋体" w:cs="宋体"/>
          <w:color w:val="auto"/>
          <w:highlight w:val="none"/>
        </w:rPr>
        <w:fldChar w:fldCharType="separate"/>
      </w:r>
      <w:r>
        <w:rPr>
          <w:rFonts w:hint="eastAsia" w:ascii="宋体" w:hAnsi="宋体" w:cs="宋体"/>
          <w:color w:val="auto"/>
          <w:highlight w:val="none"/>
        </w:rPr>
        <w:t>15</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4258F4DC">
      <w:pPr>
        <w:pStyle w:val="28"/>
        <w:tabs>
          <w:tab w:val="right" w:leader="dot" w:pos="9638"/>
          <w:tab w:val="clear" w:pos="8494"/>
        </w:tabs>
        <w:rPr>
          <w:rFonts w:ascii="宋体" w:hAnsi="宋体" w:cs="宋体"/>
          <w:color w:val="auto"/>
          <w:highlight w:val="none"/>
        </w:rPr>
      </w:pPr>
      <w:r>
        <w:rPr>
          <w:color w:val="auto"/>
          <w:highlight w:val="none"/>
        </w:rPr>
        <w:fldChar w:fldCharType="begin"/>
      </w:r>
      <w:r>
        <w:rPr>
          <w:color w:val="auto"/>
          <w:highlight w:val="none"/>
        </w:rPr>
        <w:instrText xml:space="preserve"> HYPERLINK \l "_Toc30882" </w:instrText>
      </w:r>
      <w:r>
        <w:rPr>
          <w:color w:val="auto"/>
          <w:highlight w:val="none"/>
        </w:rPr>
        <w:fldChar w:fldCharType="separate"/>
      </w:r>
      <w:r>
        <w:rPr>
          <w:rFonts w:hint="eastAsia" w:ascii="宋体" w:hAnsi="宋体" w:cs="宋体"/>
          <w:color w:val="auto"/>
          <w:highlight w:val="none"/>
        </w:rPr>
        <w:t>第四章  磋商原则和程序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_Toc30882 </w:instrText>
      </w:r>
      <w:r>
        <w:rPr>
          <w:rFonts w:hint="eastAsia" w:ascii="宋体" w:hAnsi="宋体" w:cs="宋体"/>
          <w:color w:val="auto"/>
          <w:highlight w:val="none"/>
        </w:rPr>
        <w:fldChar w:fldCharType="separate"/>
      </w:r>
      <w:r>
        <w:rPr>
          <w:rFonts w:hint="eastAsia" w:ascii="宋体" w:hAnsi="宋体" w:cs="宋体"/>
          <w:color w:val="auto"/>
          <w:highlight w:val="none"/>
        </w:rPr>
        <w:t>20</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261F5D2D">
      <w:pPr>
        <w:pStyle w:val="28"/>
        <w:tabs>
          <w:tab w:val="right" w:leader="dot" w:pos="9638"/>
          <w:tab w:val="clear" w:pos="8494"/>
        </w:tabs>
        <w:rPr>
          <w:rFonts w:ascii="宋体" w:hAnsi="宋体" w:cs="宋体"/>
          <w:color w:val="auto"/>
          <w:highlight w:val="none"/>
        </w:rPr>
      </w:pPr>
      <w:r>
        <w:rPr>
          <w:color w:val="auto"/>
          <w:highlight w:val="none"/>
        </w:rPr>
        <w:fldChar w:fldCharType="begin"/>
      </w:r>
      <w:r>
        <w:rPr>
          <w:color w:val="auto"/>
          <w:highlight w:val="none"/>
        </w:rPr>
        <w:instrText xml:space="preserve"> HYPERLINK \l "_Toc7141" </w:instrText>
      </w:r>
      <w:r>
        <w:rPr>
          <w:color w:val="auto"/>
          <w:highlight w:val="none"/>
        </w:rPr>
        <w:fldChar w:fldCharType="separate"/>
      </w:r>
      <w:r>
        <w:rPr>
          <w:rFonts w:hint="eastAsia" w:ascii="宋体" w:hAnsi="宋体" w:cs="宋体"/>
          <w:color w:val="auto"/>
          <w:highlight w:val="none"/>
        </w:rPr>
        <w:t>一、拆封响应文件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_Toc7141 </w:instrText>
      </w:r>
      <w:r>
        <w:rPr>
          <w:rFonts w:hint="eastAsia" w:ascii="宋体" w:hAnsi="宋体" w:cs="宋体"/>
          <w:color w:val="auto"/>
          <w:highlight w:val="none"/>
        </w:rPr>
        <w:fldChar w:fldCharType="separate"/>
      </w:r>
      <w:r>
        <w:rPr>
          <w:rFonts w:hint="eastAsia" w:ascii="宋体" w:hAnsi="宋体" w:cs="宋体"/>
          <w:color w:val="auto"/>
          <w:highlight w:val="none"/>
        </w:rPr>
        <w:t>20</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39838D45">
      <w:pPr>
        <w:pStyle w:val="28"/>
        <w:tabs>
          <w:tab w:val="right" w:leader="dot" w:pos="9638"/>
          <w:tab w:val="clear" w:pos="8494"/>
        </w:tabs>
        <w:rPr>
          <w:rFonts w:ascii="宋体" w:hAnsi="宋体" w:cs="宋体"/>
          <w:color w:val="auto"/>
          <w:highlight w:val="none"/>
        </w:rPr>
      </w:pPr>
      <w:r>
        <w:rPr>
          <w:color w:val="auto"/>
          <w:highlight w:val="none"/>
        </w:rPr>
        <w:fldChar w:fldCharType="begin"/>
      </w:r>
      <w:r>
        <w:rPr>
          <w:color w:val="auto"/>
          <w:highlight w:val="none"/>
        </w:rPr>
        <w:instrText xml:space="preserve"> HYPERLINK \l "_Toc27687" </w:instrText>
      </w:r>
      <w:r>
        <w:rPr>
          <w:color w:val="auto"/>
          <w:highlight w:val="none"/>
        </w:rPr>
        <w:fldChar w:fldCharType="separate"/>
      </w:r>
      <w:r>
        <w:rPr>
          <w:rFonts w:hint="eastAsia" w:ascii="宋体" w:hAnsi="宋体" w:cs="宋体"/>
          <w:color w:val="auto"/>
          <w:highlight w:val="none"/>
        </w:rPr>
        <w:t>二、磋商小组</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_Toc27687 </w:instrText>
      </w:r>
      <w:r>
        <w:rPr>
          <w:rFonts w:hint="eastAsia" w:ascii="宋体" w:hAnsi="宋体" w:cs="宋体"/>
          <w:color w:val="auto"/>
          <w:highlight w:val="none"/>
        </w:rPr>
        <w:fldChar w:fldCharType="separate"/>
      </w:r>
      <w:r>
        <w:rPr>
          <w:rFonts w:hint="eastAsia" w:ascii="宋体" w:hAnsi="宋体" w:cs="宋体"/>
          <w:color w:val="auto"/>
          <w:highlight w:val="none"/>
        </w:rPr>
        <w:t>20</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4AF41AC9">
      <w:pPr>
        <w:pStyle w:val="28"/>
        <w:tabs>
          <w:tab w:val="right" w:leader="dot" w:pos="9638"/>
          <w:tab w:val="clear" w:pos="8494"/>
        </w:tabs>
        <w:rPr>
          <w:rFonts w:ascii="宋体" w:hAnsi="宋体" w:cs="宋体"/>
          <w:color w:val="auto"/>
          <w:highlight w:val="none"/>
        </w:rPr>
      </w:pPr>
      <w:r>
        <w:rPr>
          <w:color w:val="auto"/>
          <w:highlight w:val="none"/>
        </w:rPr>
        <w:fldChar w:fldCharType="begin"/>
      </w:r>
      <w:r>
        <w:rPr>
          <w:color w:val="auto"/>
          <w:highlight w:val="none"/>
        </w:rPr>
        <w:instrText xml:space="preserve"> HYPERLINK \l "_Toc11955" </w:instrText>
      </w:r>
      <w:r>
        <w:rPr>
          <w:color w:val="auto"/>
          <w:highlight w:val="none"/>
        </w:rPr>
        <w:fldChar w:fldCharType="separate"/>
      </w:r>
      <w:r>
        <w:rPr>
          <w:rFonts w:hint="eastAsia" w:ascii="宋体" w:hAnsi="宋体" w:cs="宋体"/>
          <w:color w:val="auto"/>
          <w:highlight w:val="none"/>
        </w:rPr>
        <w:t>三、竞争性磋商原则与方法</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_Toc11955 </w:instrText>
      </w:r>
      <w:r>
        <w:rPr>
          <w:rFonts w:hint="eastAsia" w:ascii="宋体" w:hAnsi="宋体" w:cs="宋体"/>
          <w:color w:val="auto"/>
          <w:highlight w:val="none"/>
        </w:rPr>
        <w:fldChar w:fldCharType="separate"/>
      </w:r>
      <w:r>
        <w:rPr>
          <w:rFonts w:hint="eastAsia" w:ascii="宋体" w:hAnsi="宋体" w:cs="宋体"/>
          <w:color w:val="auto"/>
          <w:highlight w:val="none"/>
        </w:rPr>
        <w:t>20</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771C5A4B">
      <w:pPr>
        <w:pStyle w:val="28"/>
        <w:tabs>
          <w:tab w:val="right" w:leader="dot" w:pos="9638"/>
          <w:tab w:val="clear" w:pos="8494"/>
        </w:tabs>
        <w:rPr>
          <w:rFonts w:ascii="宋体" w:hAnsi="宋体" w:cs="宋体"/>
          <w:color w:val="auto"/>
          <w:highlight w:val="none"/>
        </w:rPr>
      </w:pPr>
      <w:r>
        <w:rPr>
          <w:color w:val="auto"/>
          <w:highlight w:val="none"/>
        </w:rPr>
        <w:fldChar w:fldCharType="begin"/>
      </w:r>
      <w:r>
        <w:rPr>
          <w:color w:val="auto"/>
          <w:highlight w:val="none"/>
        </w:rPr>
        <w:instrText xml:space="preserve"> HYPERLINK \l "_Toc26822" </w:instrText>
      </w:r>
      <w:r>
        <w:rPr>
          <w:color w:val="auto"/>
          <w:highlight w:val="none"/>
        </w:rPr>
        <w:fldChar w:fldCharType="separate"/>
      </w:r>
      <w:r>
        <w:rPr>
          <w:rFonts w:hint="eastAsia" w:ascii="宋体" w:hAnsi="宋体" w:cs="宋体"/>
          <w:color w:val="auto"/>
          <w:highlight w:val="none"/>
        </w:rPr>
        <w:t>四、磋商程序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_Toc26822 </w:instrText>
      </w:r>
      <w:r>
        <w:rPr>
          <w:rFonts w:hint="eastAsia" w:ascii="宋体" w:hAnsi="宋体" w:cs="宋体"/>
          <w:color w:val="auto"/>
          <w:highlight w:val="none"/>
        </w:rPr>
        <w:fldChar w:fldCharType="separate"/>
      </w:r>
      <w:r>
        <w:rPr>
          <w:rFonts w:hint="eastAsia" w:ascii="宋体" w:hAnsi="宋体" w:cs="宋体"/>
          <w:color w:val="auto"/>
          <w:highlight w:val="none"/>
        </w:rPr>
        <w:t>20</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398285A2">
      <w:pPr>
        <w:pStyle w:val="28"/>
        <w:tabs>
          <w:tab w:val="right" w:leader="dot" w:pos="9638"/>
          <w:tab w:val="clear" w:pos="8494"/>
        </w:tabs>
        <w:rPr>
          <w:rFonts w:ascii="宋体" w:hAnsi="宋体" w:cs="宋体"/>
          <w:color w:val="auto"/>
          <w:highlight w:val="none"/>
        </w:rPr>
      </w:pPr>
      <w:r>
        <w:rPr>
          <w:color w:val="auto"/>
          <w:highlight w:val="none"/>
        </w:rPr>
        <w:fldChar w:fldCharType="begin"/>
      </w:r>
      <w:r>
        <w:rPr>
          <w:color w:val="auto"/>
          <w:highlight w:val="none"/>
        </w:rPr>
        <w:instrText xml:space="preserve"> HYPERLINK \l "_Toc8792" </w:instrText>
      </w:r>
      <w:r>
        <w:rPr>
          <w:color w:val="auto"/>
          <w:highlight w:val="none"/>
        </w:rPr>
        <w:fldChar w:fldCharType="separate"/>
      </w:r>
      <w:r>
        <w:rPr>
          <w:rFonts w:hint="eastAsia" w:ascii="宋体" w:hAnsi="宋体" w:cs="宋体"/>
          <w:color w:val="auto"/>
          <w:highlight w:val="none"/>
        </w:rPr>
        <w:t>五、磋商文件的澄清</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_Toc8792 </w:instrText>
      </w:r>
      <w:r>
        <w:rPr>
          <w:rFonts w:hint="eastAsia" w:ascii="宋体" w:hAnsi="宋体" w:cs="宋体"/>
          <w:color w:val="auto"/>
          <w:highlight w:val="none"/>
        </w:rPr>
        <w:fldChar w:fldCharType="separate"/>
      </w:r>
      <w:r>
        <w:rPr>
          <w:rFonts w:hint="eastAsia" w:ascii="宋体" w:hAnsi="宋体" w:cs="宋体"/>
          <w:color w:val="auto"/>
          <w:highlight w:val="none"/>
        </w:rPr>
        <w:t>21</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2FB13EB3">
      <w:pPr>
        <w:pStyle w:val="28"/>
        <w:tabs>
          <w:tab w:val="right" w:leader="dot" w:pos="9638"/>
          <w:tab w:val="clear" w:pos="8494"/>
        </w:tabs>
        <w:rPr>
          <w:rFonts w:ascii="宋体" w:hAnsi="宋体" w:cs="宋体"/>
          <w:color w:val="auto"/>
          <w:highlight w:val="none"/>
        </w:rPr>
      </w:pPr>
      <w:r>
        <w:rPr>
          <w:color w:val="auto"/>
          <w:highlight w:val="none"/>
        </w:rPr>
        <w:fldChar w:fldCharType="begin"/>
      </w:r>
      <w:r>
        <w:rPr>
          <w:color w:val="auto"/>
          <w:highlight w:val="none"/>
        </w:rPr>
        <w:instrText xml:space="preserve"> HYPERLINK \l "_Toc14189" </w:instrText>
      </w:r>
      <w:r>
        <w:rPr>
          <w:color w:val="auto"/>
          <w:highlight w:val="none"/>
        </w:rPr>
        <w:fldChar w:fldCharType="separate"/>
      </w:r>
      <w:r>
        <w:rPr>
          <w:rFonts w:hint="eastAsia" w:ascii="宋体" w:hAnsi="宋体" w:cs="宋体"/>
          <w:color w:val="auto"/>
          <w:highlight w:val="none"/>
        </w:rPr>
        <w:t>六、确定供应商办法</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_Toc14189 </w:instrText>
      </w:r>
      <w:r>
        <w:rPr>
          <w:rFonts w:hint="eastAsia" w:ascii="宋体" w:hAnsi="宋体" w:cs="宋体"/>
          <w:color w:val="auto"/>
          <w:highlight w:val="none"/>
        </w:rPr>
        <w:fldChar w:fldCharType="separate"/>
      </w:r>
      <w:r>
        <w:rPr>
          <w:rFonts w:hint="eastAsia" w:ascii="宋体" w:hAnsi="宋体" w:cs="宋体"/>
          <w:color w:val="auto"/>
          <w:highlight w:val="none"/>
        </w:rPr>
        <w:t>21</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39D05BED">
      <w:pPr>
        <w:pStyle w:val="28"/>
        <w:tabs>
          <w:tab w:val="right" w:leader="dot" w:pos="9638"/>
          <w:tab w:val="clear" w:pos="8494"/>
        </w:tabs>
        <w:rPr>
          <w:rFonts w:ascii="宋体" w:hAnsi="宋体" w:cs="宋体"/>
          <w:color w:val="auto"/>
          <w:highlight w:val="none"/>
        </w:rPr>
      </w:pPr>
      <w:r>
        <w:rPr>
          <w:color w:val="auto"/>
          <w:highlight w:val="none"/>
        </w:rPr>
        <w:fldChar w:fldCharType="begin"/>
      </w:r>
      <w:r>
        <w:rPr>
          <w:color w:val="auto"/>
          <w:highlight w:val="none"/>
        </w:rPr>
        <w:instrText xml:space="preserve"> HYPERLINK \l "_Toc11589" </w:instrText>
      </w:r>
      <w:r>
        <w:rPr>
          <w:color w:val="auto"/>
          <w:highlight w:val="none"/>
        </w:rPr>
        <w:fldChar w:fldCharType="separate"/>
      </w:r>
      <w:r>
        <w:rPr>
          <w:rFonts w:hint="eastAsia" w:ascii="宋体" w:hAnsi="宋体" w:cs="宋体"/>
          <w:color w:val="auto"/>
          <w:highlight w:val="none"/>
        </w:rPr>
        <w:t>八、资格审查</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_Toc11589 </w:instrText>
      </w:r>
      <w:r>
        <w:rPr>
          <w:rFonts w:hint="eastAsia" w:ascii="宋体" w:hAnsi="宋体" w:cs="宋体"/>
          <w:color w:val="auto"/>
          <w:highlight w:val="none"/>
        </w:rPr>
        <w:fldChar w:fldCharType="separate"/>
      </w:r>
      <w:r>
        <w:rPr>
          <w:rFonts w:hint="eastAsia" w:ascii="宋体" w:hAnsi="宋体" w:cs="宋体"/>
          <w:color w:val="auto"/>
          <w:highlight w:val="none"/>
        </w:rPr>
        <w:t>24</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6634F74F">
      <w:pPr>
        <w:pStyle w:val="28"/>
        <w:tabs>
          <w:tab w:val="right" w:leader="dot" w:pos="9638"/>
          <w:tab w:val="clear" w:pos="8494"/>
        </w:tabs>
        <w:rPr>
          <w:rFonts w:ascii="宋体" w:hAnsi="宋体" w:cs="宋体"/>
          <w:color w:val="auto"/>
          <w:highlight w:val="none"/>
        </w:rPr>
      </w:pPr>
      <w:r>
        <w:rPr>
          <w:color w:val="auto"/>
          <w:highlight w:val="none"/>
        </w:rPr>
        <w:fldChar w:fldCharType="begin"/>
      </w:r>
      <w:r>
        <w:rPr>
          <w:color w:val="auto"/>
          <w:highlight w:val="none"/>
        </w:rPr>
        <w:instrText xml:space="preserve"> HYPERLINK \l "_Toc29356" </w:instrText>
      </w:r>
      <w:r>
        <w:rPr>
          <w:color w:val="auto"/>
          <w:highlight w:val="none"/>
        </w:rPr>
        <w:fldChar w:fldCharType="separate"/>
      </w:r>
      <w:r>
        <w:rPr>
          <w:rFonts w:hint="eastAsia" w:ascii="宋体" w:hAnsi="宋体" w:cs="宋体"/>
          <w:color w:val="auto"/>
          <w:highlight w:val="none"/>
        </w:rPr>
        <w:t>九、 成交通知、授予合同</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_Toc29356 </w:instrText>
      </w:r>
      <w:r>
        <w:rPr>
          <w:rFonts w:hint="eastAsia" w:ascii="宋体" w:hAnsi="宋体" w:cs="宋体"/>
          <w:color w:val="auto"/>
          <w:highlight w:val="none"/>
        </w:rPr>
        <w:fldChar w:fldCharType="separate"/>
      </w:r>
      <w:r>
        <w:rPr>
          <w:rFonts w:hint="eastAsia" w:ascii="宋体" w:hAnsi="宋体" w:cs="宋体"/>
          <w:color w:val="auto"/>
          <w:highlight w:val="none"/>
        </w:rPr>
        <w:t>24</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5B17E416">
      <w:pPr>
        <w:pStyle w:val="28"/>
        <w:tabs>
          <w:tab w:val="right" w:leader="dot" w:pos="9638"/>
          <w:tab w:val="clear" w:pos="8494"/>
        </w:tabs>
        <w:rPr>
          <w:rFonts w:ascii="宋体" w:hAnsi="宋体" w:cs="宋体"/>
          <w:color w:val="auto"/>
          <w:highlight w:val="none"/>
        </w:rPr>
      </w:pPr>
      <w:r>
        <w:rPr>
          <w:color w:val="auto"/>
          <w:highlight w:val="none"/>
        </w:rPr>
        <w:fldChar w:fldCharType="begin"/>
      </w:r>
      <w:r>
        <w:rPr>
          <w:color w:val="auto"/>
          <w:highlight w:val="none"/>
        </w:rPr>
        <w:instrText xml:space="preserve"> HYPERLINK \l "_Toc21568" </w:instrText>
      </w:r>
      <w:r>
        <w:rPr>
          <w:color w:val="auto"/>
          <w:highlight w:val="none"/>
        </w:rPr>
        <w:fldChar w:fldCharType="separate"/>
      </w:r>
      <w:r>
        <w:rPr>
          <w:rFonts w:hint="eastAsia" w:ascii="宋体" w:hAnsi="宋体" w:cs="宋体"/>
          <w:color w:val="auto"/>
          <w:highlight w:val="none"/>
        </w:rPr>
        <w:t>第五章、合同主要条款</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_Toc21568 </w:instrText>
      </w:r>
      <w:r>
        <w:rPr>
          <w:rFonts w:hint="eastAsia" w:ascii="宋体" w:hAnsi="宋体" w:cs="宋体"/>
          <w:color w:val="auto"/>
          <w:highlight w:val="none"/>
        </w:rPr>
        <w:fldChar w:fldCharType="separate"/>
      </w:r>
      <w:r>
        <w:rPr>
          <w:rFonts w:hint="eastAsia" w:ascii="宋体" w:hAnsi="宋体" w:cs="宋体"/>
          <w:color w:val="auto"/>
          <w:highlight w:val="none"/>
        </w:rPr>
        <w:t>25</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4E766FE8">
      <w:pPr>
        <w:pStyle w:val="28"/>
        <w:tabs>
          <w:tab w:val="right" w:leader="dot" w:pos="9638"/>
          <w:tab w:val="clear" w:pos="8494"/>
        </w:tabs>
        <w:rPr>
          <w:rFonts w:ascii="宋体" w:hAnsi="宋体" w:cs="宋体"/>
          <w:color w:val="auto"/>
          <w:highlight w:val="none"/>
        </w:rPr>
      </w:pPr>
      <w:r>
        <w:rPr>
          <w:color w:val="auto"/>
          <w:highlight w:val="none"/>
        </w:rPr>
        <w:fldChar w:fldCharType="begin"/>
      </w:r>
      <w:r>
        <w:rPr>
          <w:color w:val="auto"/>
          <w:highlight w:val="none"/>
        </w:rPr>
        <w:instrText xml:space="preserve"> HYPERLINK \l "_Toc20893" </w:instrText>
      </w:r>
      <w:r>
        <w:rPr>
          <w:color w:val="auto"/>
          <w:highlight w:val="none"/>
        </w:rPr>
        <w:fldChar w:fldCharType="separate"/>
      </w:r>
      <w:r>
        <w:rPr>
          <w:rFonts w:hint="eastAsia" w:ascii="宋体" w:hAnsi="宋体" w:cs="宋体"/>
          <w:color w:val="auto"/>
          <w:highlight w:val="none"/>
        </w:rPr>
        <w:t>第六章  响应文件格式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_Toc20893 </w:instrText>
      </w:r>
      <w:r>
        <w:rPr>
          <w:rFonts w:hint="eastAsia" w:ascii="宋体" w:hAnsi="宋体" w:cs="宋体"/>
          <w:color w:val="auto"/>
          <w:highlight w:val="none"/>
        </w:rPr>
        <w:fldChar w:fldCharType="separate"/>
      </w:r>
      <w:r>
        <w:rPr>
          <w:rFonts w:hint="eastAsia" w:ascii="宋体" w:hAnsi="宋体" w:cs="宋体"/>
          <w:color w:val="auto"/>
          <w:highlight w:val="none"/>
        </w:rPr>
        <w:t>29</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7F400186">
      <w:pPr>
        <w:pStyle w:val="28"/>
        <w:tabs>
          <w:tab w:val="right" w:leader="dot" w:pos="9638"/>
          <w:tab w:val="clear" w:pos="8494"/>
        </w:tabs>
        <w:rPr>
          <w:rFonts w:ascii="宋体" w:hAnsi="宋体" w:cs="宋体"/>
          <w:color w:val="auto"/>
          <w:highlight w:val="none"/>
        </w:rPr>
      </w:pPr>
      <w:r>
        <w:rPr>
          <w:color w:val="auto"/>
          <w:highlight w:val="none"/>
        </w:rPr>
        <w:fldChar w:fldCharType="begin"/>
      </w:r>
      <w:r>
        <w:rPr>
          <w:color w:val="auto"/>
          <w:highlight w:val="none"/>
        </w:rPr>
        <w:instrText xml:space="preserve"> HYPERLINK \l "_Toc3302" </w:instrText>
      </w:r>
      <w:r>
        <w:rPr>
          <w:color w:val="auto"/>
          <w:highlight w:val="none"/>
        </w:rPr>
        <w:fldChar w:fldCharType="separate"/>
      </w:r>
      <w:r>
        <w:rPr>
          <w:rFonts w:hint="eastAsia" w:ascii="宋体" w:hAnsi="宋体" w:cs="宋体"/>
          <w:color w:val="auto"/>
          <w:highlight w:val="none"/>
        </w:rPr>
        <w:t>第七章、自评表</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_Toc3302 </w:instrText>
      </w:r>
      <w:r>
        <w:rPr>
          <w:rFonts w:hint="eastAsia" w:ascii="宋体" w:hAnsi="宋体" w:cs="宋体"/>
          <w:color w:val="auto"/>
          <w:highlight w:val="none"/>
        </w:rPr>
        <w:fldChar w:fldCharType="separate"/>
      </w:r>
      <w:r>
        <w:rPr>
          <w:rFonts w:hint="eastAsia" w:ascii="宋体" w:hAnsi="宋体" w:cs="宋体"/>
          <w:color w:val="auto"/>
          <w:highlight w:val="none"/>
        </w:rPr>
        <w:t>47</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000EC51C">
      <w:pPr>
        <w:pStyle w:val="28"/>
        <w:tabs>
          <w:tab w:val="right" w:leader="dot" w:pos="9638"/>
          <w:tab w:val="clear" w:pos="8494"/>
        </w:tabs>
        <w:rPr>
          <w:rFonts w:ascii="宋体" w:hAnsi="宋体" w:cs="宋体"/>
          <w:color w:val="auto"/>
          <w:highlight w:val="none"/>
        </w:rPr>
      </w:pPr>
      <w:r>
        <w:rPr>
          <w:rFonts w:hint="eastAsia" w:ascii="宋体" w:hAnsi="宋体" w:cs="宋体"/>
          <w:color w:val="auto"/>
          <w:highlight w:val="none"/>
        </w:rPr>
        <w:fldChar w:fldCharType="end"/>
      </w:r>
    </w:p>
    <w:p w14:paraId="64B05C31">
      <w:pPr>
        <w:pStyle w:val="28"/>
        <w:tabs>
          <w:tab w:val="right" w:leader="dot" w:pos="9638"/>
          <w:tab w:val="clear" w:pos="8494"/>
        </w:tabs>
        <w:rPr>
          <w:rFonts w:ascii="宋体" w:hAnsi="宋体" w:cs="宋体"/>
          <w:color w:val="auto"/>
          <w:highlight w:val="none"/>
        </w:rPr>
      </w:pPr>
    </w:p>
    <w:p w14:paraId="301EDA7B">
      <w:pPr>
        <w:pStyle w:val="24"/>
        <w:spacing w:line="260" w:lineRule="exact"/>
        <w:rPr>
          <w:rFonts w:cs="宋体"/>
          <w:color w:val="auto"/>
          <w:sz w:val="21"/>
          <w:szCs w:val="21"/>
          <w:highlight w:val="none"/>
        </w:rPr>
      </w:pPr>
      <w:r>
        <w:rPr>
          <w:rFonts w:hint="eastAsia" w:cs="宋体"/>
          <w:color w:val="auto"/>
          <w:sz w:val="21"/>
          <w:szCs w:val="21"/>
          <w:highlight w:val="none"/>
        </w:rPr>
        <w:fldChar w:fldCharType="begin"/>
      </w:r>
      <w:r>
        <w:rPr>
          <w:rFonts w:hint="eastAsia" w:cs="宋体"/>
          <w:color w:val="auto"/>
          <w:sz w:val="21"/>
          <w:szCs w:val="21"/>
          <w:highlight w:val="none"/>
        </w:rPr>
        <w:instrText xml:space="preserve"> TOC \o "1-3" \h \z \u </w:instrText>
      </w:r>
      <w:r>
        <w:rPr>
          <w:rFonts w:hint="eastAsia" w:cs="宋体"/>
          <w:color w:val="auto"/>
          <w:sz w:val="21"/>
          <w:szCs w:val="21"/>
          <w:highlight w:val="none"/>
        </w:rPr>
        <w:fldChar w:fldCharType="separate"/>
      </w:r>
    </w:p>
    <w:p w14:paraId="427939FE">
      <w:pPr>
        <w:pStyle w:val="24"/>
        <w:spacing w:line="260" w:lineRule="exact"/>
        <w:ind w:firstLine="105"/>
        <w:rPr>
          <w:rFonts w:cs="宋体"/>
          <w:color w:val="auto"/>
          <w:sz w:val="21"/>
          <w:szCs w:val="21"/>
          <w:highlight w:val="none"/>
        </w:rPr>
      </w:pPr>
    </w:p>
    <w:p w14:paraId="21358993">
      <w:pPr>
        <w:spacing w:line="360" w:lineRule="exact"/>
        <w:rPr>
          <w:rFonts w:ascii="宋体" w:hAnsi="宋体" w:cs="宋体"/>
          <w:color w:val="auto"/>
          <w:szCs w:val="21"/>
          <w:highlight w:val="none"/>
        </w:rPr>
      </w:pPr>
      <w:r>
        <w:rPr>
          <w:rFonts w:hint="eastAsia" w:ascii="宋体" w:hAnsi="宋体" w:cs="宋体"/>
          <w:color w:val="auto"/>
          <w:szCs w:val="21"/>
          <w:highlight w:val="none"/>
        </w:rPr>
        <w:fldChar w:fldCharType="end"/>
      </w:r>
    </w:p>
    <w:p w14:paraId="43315301">
      <w:pPr>
        <w:spacing w:line="360" w:lineRule="exact"/>
        <w:rPr>
          <w:rFonts w:ascii="宋体" w:hAnsi="宋体" w:cs="宋体"/>
          <w:color w:val="auto"/>
          <w:szCs w:val="21"/>
          <w:highlight w:val="none"/>
        </w:rPr>
      </w:pPr>
    </w:p>
    <w:p w14:paraId="712D18A3">
      <w:pPr>
        <w:spacing w:line="360" w:lineRule="exact"/>
        <w:rPr>
          <w:rFonts w:ascii="宋体" w:hAnsi="宋体" w:cs="宋体"/>
          <w:color w:val="auto"/>
          <w:szCs w:val="21"/>
          <w:highlight w:val="none"/>
        </w:rPr>
      </w:pPr>
    </w:p>
    <w:p w14:paraId="3ACAC6AD">
      <w:pPr>
        <w:pStyle w:val="5"/>
        <w:spacing w:line="360" w:lineRule="exact"/>
        <w:jc w:val="center"/>
        <w:rPr>
          <w:rFonts w:ascii="宋体" w:hAnsi="宋体" w:cs="宋体"/>
          <w:color w:val="auto"/>
          <w:szCs w:val="32"/>
          <w:highlight w:val="none"/>
        </w:rPr>
        <w:sectPr>
          <w:headerReference r:id="rId6" w:type="first"/>
          <w:headerReference r:id="rId5" w:type="default"/>
          <w:pgSz w:w="11906" w:h="16838"/>
          <w:pgMar w:top="1134" w:right="1134" w:bottom="1134" w:left="1134" w:header="567" w:footer="567" w:gutter="0"/>
          <w:pgNumType w:start="1"/>
          <w:cols w:space="720" w:num="1"/>
          <w:docGrid w:type="lines" w:linePitch="312" w:charSpace="0"/>
        </w:sectPr>
      </w:pPr>
    </w:p>
    <w:p w14:paraId="2665DA0B">
      <w:pPr>
        <w:pStyle w:val="5"/>
        <w:jc w:val="center"/>
        <w:rPr>
          <w:rFonts w:ascii="宋体" w:hAnsi="宋体" w:cs="宋体"/>
          <w:color w:val="auto"/>
          <w:szCs w:val="32"/>
          <w:highlight w:val="none"/>
        </w:rPr>
      </w:pPr>
      <w:bookmarkStart w:id="1" w:name="_Toc64"/>
      <w:bookmarkEnd w:id="1"/>
      <w:bookmarkStart w:id="2" w:name="_Toc23814"/>
      <w:bookmarkEnd w:id="2"/>
      <w:r>
        <w:rPr>
          <w:rFonts w:hint="eastAsia"/>
          <w:color w:val="auto"/>
          <w:highlight w:val="none"/>
        </w:rPr>
        <w:t>第一章 竞争性磋商公告</w:t>
      </w:r>
    </w:p>
    <w:p w14:paraId="11A4B9D2">
      <w:pPr>
        <w:widowControl/>
        <w:spacing w:after="75" w:line="240" w:lineRule="auto"/>
        <w:ind w:firstLine="480" w:firstLineChars="200"/>
        <w:jc w:val="left"/>
        <w:rPr>
          <w:rFonts w:ascii="宋体" w:hAnsi="宋体" w:cs="宋体"/>
          <w:b/>
          <w:color w:val="auto"/>
          <w:kern w:val="0"/>
          <w:highlight w:val="none"/>
          <w:u w:val="single"/>
        </w:rPr>
      </w:pPr>
      <w:r>
        <w:rPr>
          <w:rFonts w:hint="eastAsia" w:ascii="宋体" w:hAnsi="宋体" w:eastAsia="宋体" w:cs="宋体"/>
          <w:i w:val="0"/>
          <w:iCs w:val="0"/>
          <w:caps w:val="0"/>
          <w:color w:val="auto"/>
          <w:spacing w:val="0"/>
          <w:sz w:val="24"/>
          <w:szCs w:val="24"/>
          <w:u w:val="single"/>
          <w:lang w:eastAsia="zh-CN"/>
        </w:rPr>
        <w:t>德威工程管理咨询有限公司</w:t>
      </w:r>
      <w:r>
        <w:rPr>
          <w:rFonts w:hint="eastAsia" w:ascii="宋体" w:hAnsi="宋体" w:eastAsia="宋体" w:cs="宋体"/>
          <w:i w:val="0"/>
          <w:iCs w:val="0"/>
          <w:caps w:val="0"/>
          <w:color w:val="auto"/>
          <w:spacing w:val="0"/>
          <w:sz w:val="24"/>
          <w:szCs w:val="24"/>
        </w:rPr>
        <w:t>受</w:t>
      </w:r>
      <w:r>
        <w:rPr>
          <w:rFonts w:hint="eastAsia" w:ascii="宋体" w:hAnsi="宋体" w:eastAsia="宋体" w:cs="宋体"/>
          <w:i w:val="0"/>
          <w:iCs w:val="0"/>
          <w:caps w:val="0"/>
          <w:color w:val="auto"/>
          <w:spacing w:val="0"/>
          <w:sz w:val="24"/>
          <w:szCs w:val="24"/>
          <w:u w:val="single"/>
        </w:rPr>
        <w:t>湖州市吴兴区水利局</w:t>
      </w:r>
      <w:r>
        <w:rPr>
          <w:rFonts w:hint="eastAsia" w:ascii="宋体" w:hAnsi="宋体" w:eastAsia="宋体" w:cs="宋体"/>
          <w:i w:val="0"/>
          <w:iCs w:val="0"/>
          <w:caps w:val="0"/>
          <w:color w:val="auto"/>
          <w:spacing w:val="0"/>
          <w:sz w:val="24"/>
          <w:szCs w:val="24"/>
        </w:rPr>
        <w:t>的委托，就</w:t>
      </w:r>
      <w:r>
        <w:rPr>
          <w:rFonts w:hint="eastAsia" w:ascii="宋体" w:hAnsi="宋体" w:eastAsia="宋体" w:cs="宋体"/>
          <w:i w:val="0"/>
          <w:iCs w:val="0"/>
          <w:caps w:val="0"/>
          <w:color w:val="auto"/>
          <w:spacing w:val="0"/>
          <w:sz w:val="24"/>
          <w:szCs w:val="24"/>
          <w:u w:val="single"/>
          <w:lang w:eastAsia="zh-CN"/>
        </w:rPr>
        <w:t>吴兴区2025年水土保持技术支撑服务项目</w:t>
      </w:r>
      <w:r>
        <w:rPr>
          <w:rFonts w:hint="eastAsia" w:ascii="宋体" w:hAnsi="宋体" w:eastAsia="宋体" w:cs="宋体"/>
          <w:i w:val="0"/>
          <w:iCs w:val="0"/>
          <w:caps w:val="0"/>
          <w:color w:val="auto"/>
          <w:spacing w:val="0"/>
          <w:sz w:val="24"/>
          <w:szCs w:val="24"/>
        </w:rPr>
        <w:t>进行竞争性磋商，欢迎国内合格的供应商前来参加磋商</w:t>
      </w:r>
      <w:r>
        <w:rPr>
          <w:rFonts w:hint="eastAsia" w:ascii="宋体" w:hAnsi="宋体" w:cs="宋体"/>
          <w:color w:val="auto"/>
          <w:kern w:val="0"/>
          <w:highlight w:val="none"/>
        </w:rPr>
        <w:t>：</w:t>
      </w:r>
    </w:p>
    <w:p w14:paraId="0A312BE0">
      <w:pPr>
        <w:widowControl/>
        <w:spacing w:after="75" w:line="240" w:lineRule="auto"/>
        <w:jc w:val="left"/>
        <w:rPr>
          <w:rFonts w:hint="eastAsia" w:ascii="宋体" w:hAnsi="宋体" w:eastAsia="宋体" w:cs="宋体"/>
          <w:color w:val="auto"/>
          <w:kern w:val="0"/>
          <w:highlight w:val="none"/>
          <w:lang w:eastAsia="zh-CN"/>
        </w:rPr>
      </w:pPr>
      <w:r>
        <w:rPr>
          <w:rFonts w:hint="eastAsia" w:ascii="宋体" w:hAnsi="宋体" w:cs="宋体"/>
          <w:b/>
          <w:bCs/>
          <w:color w:val="auto"/>
          <w:kern w:val="0"/>
          <w:highlight w:val="none"/>
        </w:rPr>
        <w:t>一．项目编号</w:t>
      </w:r>
      <w:r>
        <w:rPr>
          <w:rFonts w:hint="eastAsia" w:ascii="宋体" w:hAnsi="宋体" w:cs="宋体"/>
          <w:color w:val="auto"/>
          <w:kern w:val="0"/>
          <w:highlight w:val="none"/>
        </w:rPr>
        <w:t>:</w:t>
      </w:r>
      <w:r>
        <w:rPr>
          <w:rFonts w:hint="eastAsia" w:ascii="宋体" w:hAnsi="宋体" w:cs="宋体"/>
          <w:color w:val="auto"/>
          <w:highlight w:val="none"/>
        </w:rPr>
        <w:t xml:space="preserve"> 德威采字〔2025〕004号 </w:t>
      </w:r>
    </w:p>
    <w:p w14:paraId="63CA082C">
      <w:pPr>
        <w:widowControl/>
        <w:spacing w:after="75" w:line="240" w:lineRule="auto"/>
        <w:jc w:val="left"/>
        <w:rPr>
          <w:rFonts w:ascii="宋体" w:hAnsi="宋体" w:cs="宋体"/>
          <w:color w:val="auto"/>
          <w:kern w:val="0"/>
          <w:highlight w:val="none"/>
        </w:rPr>
      </w:pPr>
      <w:r>
        <w:rPr>
          <w:rFonts w:hint="eastAsia" w:ascii="宋体" w:hAnsi="宋体" w:cs="宋体"/>
          <w:b/>
          <w:bCs/>
          <w:color w:val="auto"/>
          <w:kern w:val="0"/>
          <w:highlight w:val="none"/>
        </w:rPr>
        <w:t>二．组织类型：</w:t>
      </w:r>
      <w:r>
        <w:rPr>
          <w:rFonts w:hint="eastAsia" w:ascii="宋体" w:hAnsi="宋体" w:eastAsia="宋体" w:cs="宋体"/>
          <w:i w:val="0"/>
          <w:iCs w:val="0"/>
          <w:caps w:val="0"/>
          <w:color w:val="auto"/>
          <w:spacing w:val="0"/>
          <w:sz w:val="24"/>
          <w:szCs w:val="24"/>
        </w:rPr>
        <w:t>自行采购委托代理</w:t>
      </w:r>
    </w:p>
    <w:p w14:paraId="4B940D5E">
      <w:pPr>
        <w:widowControl/>
        <w:spacing w:before="75" w:line="240" w:lineRule="auto"/>
        <w:jc w:val="left"/>
        <w:rPr>
          <w:rFonts w:ascii="宋体" w:hAnsi="宋体" w:cs="宋体"/>
          <w:color w:val="auto"/>
          <w:kern w:val="0"/>
          <w:highlight w:val="none"/>
        </w:rPr>
      </w:pPr>
      <w:r>
        <w:rPr>
          <w:rFonts w:hint="eastAsia" w:ascii="宋体" w:hAnsi="宋体" w:cs="宋体"/>
          <w:b/>
          <w:bCs/>
          <w:color w:val="auto"/>
          <w:kern w:val="0"/>
          <w:highlight w:val="none"/>
        </w:rPr>
        <w:t>三．项目概况</w:t>
      </w:r>
      <w:r>
        <w:rPr>
          <w:rFonts w:hint="eastAsia" w:ascii="宋体" w:hAnsi="宋体" w:cs="宋体"/>
          <w:color w:val="auto"/>
          <w:kern w:val="0"/>
          <w:highlight w:val="none"/>
        </w:rPr>
        <w:t>：</w:t>
      </w:r>
    </w:p>
    <w:tbl>
      <w:tblPr>
        <w:tblStyle w:val="33"/>
        <w:tblW w:w="4983"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74"/>
        <w:gridCol w:w="3373"/>
        <w:gridCol w:w="900"/>
        <w:gridCol w:w="976"/>
        <w:gridCol w:w="1760"/>
        <w:gridCol w:w="2237"/>
      </w:tblGrid>
      <w:tr w14:paraId="493FAA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jc w:val="center"/>
        </w:trPr>
        <w:tc>
          <w:tcPr>
            <w:tcW w:w="292" w:type="pct"/>
            <w:tcBorders>
              <w:top w:val="single" w:color="auto" w:sz="4" w:space="0"/>
              <w:left w:val="single" w:color="auto" w:sz="4" w:space="0"/>
              <w:bottom w:val="single" w:color="auto" w:sz="4" w:space="0"/>
              <w:right w:val="single" w:color="auto" w:sz="4" w:space="0"/>
            </w:tcBorders>
            <w:vAlign w:val="center"/>
          </w:tcPr>
          <w:p w14:paraId="4336C963">
            <w:pPr>
              <w:snapToGrid w:val="0"/>
              <w:spacing w:line="240" w:lineRule="auto"/>
              <w:jc w:val="center"/>
              <w:rPr>
                <w:rFonts w:ascii="宋体" w:hAnsi="宋体" w:cs="宋体"/>
                <w:bCs/>
                <w:color w:val="auto"/>
                <w:highlight w:val="none"/>
              </w:rPr>
            </w:pPr>
            <w:r>
              <w:rPr>
                <w:rFonts w:hint="eastAsia" w:ascii="宋体" w:hAnsi="宋体" w:cs="宋体"/>
                <w:bCs/>
                <w:color w:val="auto"/>
                <w:highlight w:val="none"/>
              </w:rPr>
              <w:t>序号</w:t>
            </w:r>
          </w:p>
        </w:tc>
        <w:tc>
          <w:tcPr>
            <w:tcW w:w="1717" w:type="pct"/>
            <w:tcBorders>
              <w:top w:val="single" w:color="auto" w:sz="4" w:space="0"/>
              <w:left w:val="single" w:color="auto" w:sz="4" w:space="0"/>
              <w:bottom w:val="single" w:color="auto" w:sz="4" w:space="0"/>
              <w:right w:val="single" w:color="auto" w:sz="4" w:space="0"/>
            </w:tcBorders>
            <w:vAlign w:val="center"/>
          </w:tcPr>
          <w:p w14:paraId="51980D30">
            <w:pPr>
              <w:snapToGrid w:val="0"/>
              <w:spacing w:line="240" w:lineRule="auto"/>
              <w:jc w:val="center"/>
              <w:rPr>
                <w:rFonts w:ascii="宋体" w:hAnsi="宋体" w:cs="宋体"/>
                <w:bCs/>
                <w:color w:val="auto"/>
                <w:highlight w:val="none"/>
              </w:rPr>
            </w:pPr>
            <w:r>
              <w:rPr>
                <w:rFonts w:hint="eastAsia" w:ascii="宋体" w:hAnsi="宋体" w:cs="宋体"/>
                <w:bCs/>
                <w:color w:val="auto"/>
                <w:highlight w:val="none"/>
              </w:rPr>
              <w:t>采购内容</w:t>
            </w:r>
          </w:p>
        </w:tc>
        <w:tc>
          <w:tcPr>
            <w:tcW w:w="458" w:type="pct"/>
            <w:tcBorders>
              <w:top w:val="single" w:color="auto" w:sz="4" w:space="0"/>
              <w:left w:val="single" w:color="auto" w:sz="4" w:space="0"/>
              <w:bottom w:val="single" w:color="auto" w:sz="4" w:space="0"/>
              <w:right w:val="single" w:color="auto" w:sz="4" w:space="0"/>
            </w:tcBorders>
            <w:vAlign w:val="center"/>
          </w:tcPr>
          <w:p w14:paraId="35615CED">
            <w:pPr>
              <w:snapToGrid w:val="0"/>
              <w:spacing w:line="240" w:lineRule="auto"/>
              <w:jc w:val="center"/>
              <w:rPr>
                <w:rFonts w:ascii="宋体" w:hAnsi="宋体" w:cs="宋体"/>
                <w:bCs/>
                <w:color w:val="auto"/>
                <w:highlight w:val="none"/>
              </w:rPr>
            </w:pPr>
            <w:r>
              <w:rPr>
                <w:rFonts w:hint="eastAsia" w:ascii="宋体" w:hAnsi="宋体" w:cs="宋体"/>
                <w:bCs/>
                <w:color w:val="auto"/>
                <w:highlight w:val="none"/>
              </w:rPr>
              <w:t>单位</w:t>
            </w:r>
          </w:p>
        </w:tc>
        <w:tc>
          <w:tcPr>
            <w:tcW w:w="497" w:type="pct"/>
            <w:tcBorders>
              <w:top w:val="single" w:color="auto" w:sz="4" w:space="0"/>
              <w:left w:val="single" w:color="auto" w:sz="4" w:space="0"/>
              <w:bottom w:val="single" w:color="auto" w:sz="4" w:space="0"/>
              <w:right w:val="single" w:color="auto" w:sz="4" w:space="0"/>
            </w:tcBorders>
            <w:vAlign w:val="center"/>
          </w:tcPr>
          <w:p w14:paraId="1887338D">
            <w:pPr>
              <w:snapToGrid w:val="0"/>
              <w:spacing w:line="240" w:lineRule="auto"/>
              <w:jc w:val="center"/>
              <w:rPr>
                <w:rFonts w:ascii="宋体" w:hAnsi="宋体" w:cs="宋体"/>
                <w:bCs/>
                <w:color w:val="auto"/>
                <w:highlight w:val="none"/>
              </w:rPr>
            </w:pPr>
            <w:r>
              <w:rPr>
                <w:rFonts w:hint="eastAsia" w:ascii="宋体" w:hAnsi="宋体" w:cs="宋体"/>
                <w:bCs/>
                <w:color w:val="auto"/>
                <w:highlight w:val="none"/>
              </w:rPr>
              <w:t>数量</w:t>
            </w:r>
          </w:p>
        </w:tc>
        <w:tc>
          <w:tcPr>
            <w:tcW w:w="896" w:type="pct"/>
            <w:tcBorders>
              <w:top w:val="single" w:color="auto" w:sz="4" w:space="0"/>
              <w:left w:val="single" w:color="auto" w:sz="4" w:space="0"/>
              <w:bottom w:val="single" w:color="auto" w:sz="4" w:space="0"/>
              <w:right w:val="single" w:color="auto" w:sz="4" w:space="0"/>
            </w:tcBorders>
            <w:vAlign w:val="center"/>
          </w:tcPr>
          <w:p w14:paraId="231B2F2B">
            <w:pPr>
              <w:snapToGrid w:val="0"/>
              <w:spacing w:line="240" w:lineRule="auto"/>
              <w:jc w:val="center"/>
              <w:rPr>
                <w:rFonts w:ascii="宋体" w:hAnsi="宋体" w:cs="宋体"/>
                <w:bCs/>
                <w:color w:val="auto"/>
                <w:highlight w:val="none"/>
              </w:rPr>
            </w:pPr>
            <w:r>
              <w:rPr>
                <w:rFonts w:hint="eastAsia" w:ascii="宋体" w:hAnsi="宋体" w:cs="宋体"/>
                <w:bCs/>
                <w:color w:val="auto"/>
                <w:highlight w:val="none"/>
              </w:rPr>
              <w:t>预算金额</w:t>
            </w:r>
          </w:p>
          <w:p w14:paraId="05171CDD">
            <w:pPr>
              <w:snapToGrid w:val="0"/>
              <w:spacing w:line="240" w:lineRule="auto"/>
              <w:jc w:val="center"/>
              <w:rPr>
                <w:rFonts w:ascii="宋体" w:hAnsi="宋体" w:cs="宋体"/>
                <w:bCs/>
                <w:color w:val="auto"/>
                <w:highlight w:val="none"/>
              </w:rPr>
            </w:pPr>
            <w:r>
              <w:rPr>
                <w:rFonts w:hint="eastAsia" w:ascii="宋体" w:hAnsi="宋体" w:cs="宋体"/>
                <w:bCs/>
                <w:color w:val="auto"/>
                <w:highlight w:val="none"/>
              </w:rPr>
              <w:t>（人民币）</w:t>
            </w:r>
          </w:p>
        </w:tc>
        <w:tc>
          <w:tcPr>
            <w:tcW w:w="1137" w:type="pct"/>
            <w:tcBorders>
              <w:top w:val="single" w:color="auto" w:sz="4" w:space="0"/>
              <w:left w:val="single" w:color="auto" w:sz="4" w:space="0"/>
              <w:bottom w:val="single" w:color="auto" w:sz="4" w:space="0"/>
              <w:right w:val="single" w:color="auto" w:sz="4" w:space="0"/>
            </w:tcBorders>
            <w:vAlign w:val="center"/>
          </w:tcPr>
          <w:p w14:paraId="0867DD03">
            <w:pPr>
              <w:snapToGrid w:val="0"/>
              <w:spacing w:line="240" w:lineRule="auto"/>
              <w:jc w:val="center"/>
              <w:rPr>
                <w:rFonts w:ascii="宋体" w:hAnsi="宋体" w:cs="宋体"/>
                <w:bCs/>
                <w:color w:val="auto"/>
                <w:highlight w:val="none"/>
              </w:rPr>
            </w:pPr>
            <w:r>
              <w:rPr>
                <w:rFonts w:hint="eastAsia" w:ascii="宋体" w:hAnsi="宋体" w:cs="宋体"/>
                <w:bCs/>
                <w:color w:val="auto"/>
                <w:highlight w:val="none"/>
              </w:rPr>
              <w:t>备注</w:t>
            </w:r>
          </w:p>
        </w:tc>
      </w:tr>
      <w:tr w14:paraId="7660CB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3" w:hRule="atLeast"/>
          <w:jc w:val="center"/>
        </w:trPr>
        <w:tc>
          <w:tcPr>
            <w:tcW w:w="292" w:type="pct"/>
            <w:tcBorders>
              <w:top w:val="single" w:color="auto" w:sz="4" w:space="0"/>
              <w:left w:val="single" w:color="auto" w:sz="4" w:space="0"/>
              <w:bottom w:val="single" w:color="auto" w:sz="4" w:space="0"/>
              <w:right w:val="single" w:color="auto" w:sz="4" w:space="0"/>
            </w:tcBorders>
            <w:vAlign w:val="center"/>
          </w:tcPr>
          <w:p w14:paraId="1E5901F6">
            <w:pPr>
              <w:snapToGrid w:val="0"/>
              <w:spacing w:line="240" w:lineRule="auto"/>
              <w:jc w:val="center"/>
              <w:rPr>
                <w:rFonts w:ascii="宋体" w:hAnsi="宋体" w:cs="宋体"/>
                <w:bCs/>
                <w:color w:val="auto"/>
                <w:highlight w:val="none"/>
              </w:rPr>
            </w:pPr>
            <w:r>
              <w:rPr>
                <w:rFonts w:hint="eastAsia" w:ascii="宋体" w:hAnsi="宋体" w:cs="宋体"/>
                <w:bCs/>
                <w:color w:val="auto"/>
                <w:highlight w:val="none"/>
              </w:rPr>
              <w:t>1</w:t>
            </w:r>
          </w:p>
        </w:tc>
        <w:tc>
          <w:tcPr>
            <w:tcW w:w="1717" w:type="pct"/>
            <w:tcBorders>
              <w:top w:val="single" w:color="auto" w:sz="4" w:space="0"/>
              <w:left w:val="single" w:color="auto" w:sz="4" w:space="0"/>
              <w:bottom w:val="single" w:color="auto" w:sz="4" w:space="0"/>
              <w:right w:val="single" w:color="auto" w:sz="4" w:space="0"/>
            </w:tcBorders>
            <w:vAlign w:val="center"/>
          </w:tcPr>
          <w:p w14:paraId="696B0ABE">
            <w:pPr>
              <w:snapToGrid w:val="0"/>
              <w:spacing w:line="240" w:lineRule="auto"/>
              <w:jc w:val="center"/>
              <w:rPr>
                <w:rFonts w:ascii="宋体" w:hAnsi="宋体" w:cs="宋体"/>
                <w:bCs/>
                <w:color w:val="auto"/>
                <w:highlight w:val="none"/>
              </w:rPr>
            </w:pPr>
            <w:r>
              <w:rPr>
                <w:rFonts w:hint="eastAsia" w:ascii="宋体" w:hAnsi="宋体" w:cs="宋体"/>
                <w:bCs/>
                <w:color w:val="auto"/>
                <w:highlight w:val="none"/>
                <w:lang w:eastAsia="zh-CN"/>
              </w:rPr>
              <w:t>吴兴区2025年水土保持技术支撑服务项目</w:t>
            </w:r>
          </w:p>
        </w:tc>
        <w:tc>
          <w:tcPr>
            <w:tcW w:w="458" w:type="pct"/>
            <w:tcBorders>
              <w:top w:val="single" w:color="auto" w:sz="4" w:space="0"/>
              <w:left w:val="single" w:color="auto" w:sz="4" w:space="0"/>
              <w:bottom w:val="single" w:color="auto" w:sz="4" w:space="0"/>
              <w:right w:val="single" w:color="auto" w:sz="4" w:space="0"/>
            </w:tcBorders>
            <w:vAlign w:val="center"/>
          </w:tcPr>
          <w:p w14:paraId="3D481CAE">
            <w:pPr>
              <w:snapToGrid w:val="0"/>
              <w:spacing w:line="240" w:lineRule="auto"/>
              <w:jc w:val="center"/>
              <w:rPr>
                <w:rFonts w:ascii="宋体" w:hAnsi="宋体" w:cs="宋体"/>
                <w:bCs/>
                <w:color w:val="auto"/>
                <w:highlight w:val="none"/>
              </w:rPr>
            </w:pPr>
            <w:r>
              <w:rPr>
                <w:rFonts w:hint="eastAsia" w:ascii="宋体" w:hAnsi="宋体" w:cs="宋体"/>
                <w:bCs/>
                <w:color w:val="auto"/>
                <w:highlight w:val="none"/>
              </w:rPr>
              <w:t>项</w:t>
            </w:r>
          </w:p>
        </w:tc>
        <w:tc>
          <w:tcPr>
            <w:tcW w:w="497" w:type="pct"/>
            <w:tcBorders>
              <w:top w:val="single" w:color="auto" w:sz="4" w:space="0"/>
              <w:left w:val="single" w:color="auto" w:sz="4" w:space="0"/>
              <w:bottom w:val="single" w:color="auto" w:sz="4" w:space="0"/>
              <w:right w:val="single" w:color="auto" w:sz="4" w:space="0"/>
            </w:tcBorders>
            <w:vAlign w:val="center"/>
          </w:tcPr>
          <w:p w14:paraId="7E3A7340">
            <w:pPr>
              <w:snapToGrid w:val="0"/>
              <w:spacing w:line="240" w:lineRule="auto"/>
              <w:jc w:val="center"/>
              <w:rPr>
                <w:rFonts w:ascii="宋体" w:hAnsi="宋体" w:cs="宋体"/>
                <w:bCs/>
                <w:color w:val="auto"/>
                <w:highlight w:val="none"/>
              </w:rPr>
            </w:pPr>
            <w:r>
              <w:rPr>
                <w:rFonts w:hint="eastAsia" w:ascii="宋体" w:hAnsi="宋体" w:cs="宋体"/>
                <w:bCs/>
                <w:color w:val="auto"/>
                <w:highlight w:val="none"/>
              </w:rPr>
              <w:t>1</w:t>
            </w:r>
          </w:p>
        </w:tc>
        <w:tc>
          <w:tcPr>
            <w:tcW w:w="896" w:type="pct"/>
            <w:tcBorders>
              <w:top w:val="single" w:color="auto" w:sz="4" w:space="0"/>
              <w:left w:val="single" w:color="auto" w:sz="4" w:space="0"/>
              <w:bottom w:val="single" w:color="auto" w:sz="4" w:space="0"/>
              <w:right w:val="single" w:color="auto" w:sz="4" w:space="0"/>
            </w:tcBorders>
            <w:vAlign w:val="center"/>
          </w:tcPr>
          <w:p w14:paraId="45ACC18D">
            <w:pPr>
              <w:snapToGrid w:val="0"/>
              <w:spacing w:line="240" w:lineRule="auto"/>
              <w:jc w:val="center"/>
              <w:rPr>
                <w:rFonts w:ascii="宋体" w:hAnsi="宋体" w:cs="宋体"/>
                <w:bCs/>
                <w:color w:val="auto"/>
                <w:highlight w:val="none"/>
              </w:rPr>
            </w:pPr>
            <w:r>
              <w:rPr>
                <w:rFonts w:hint="eastAsia" w:ascii="宋体" w:hAnsi="宋体" w:cs="宋体"/>
                <w:bCs/>
                <w:color w:val="auto"/>
                <w:highlight w:val="none"/>
                <w:lang w:val="en-US" w:eastAsia="zh-CN"/>
              </w:rPr>
              <w:t>28</w:t>
            </w:r>
            <w:r>
              <w:rPr>
                <w:rFonts w:hint="eastAsia" w:ascii="宋体" w:hAnsi="宋体" w:cs="宋体"/>
                <w:bCs/>
                <w:color w:val="auto"/>
                <w:highlight w:val="none"/>
              </w:rPr>
              <w:t>万元</w:t>
            </w:r>
          </w:p>
        </w:tc>
        <w:tc>
          <w:tcPr>
            <w:tcW w:w="1137" w:type="pct"/>
            <w:tcBorders>
              <w:top w:val="single" w:color="auto" w:sz="4" w:space="0"/>
              <w:left w:val="single" w:color="auto" w:sz="4" w:space="0"/>
              <w:bottom w:val="single" w:color="auto" w:sz="4" w:space="0"/>
              <w:right w:val="single" w:color="auto" w:sz="4" w:space="0"/>
            </w:tcBorders>
            <w:vAlign w:val="center"/>
          </w:tcPr>
          <w:p w14:paraId="4E5CF9A3">
            <w:pPr>
              <w:snapToGrid w:val="0"/>
              <w:spacing w:line="240" w:lineRule="auto"/>
              <w:jc w:val="center"/>
              <w:rPr>
                <w:rFonts w:ascii="宋体" w:hAnsi="宋体" w:cs="宋体"/>
                <w:bCs/>
                <w:color w:val="auto"/>
                <w:highlight w:val="none"/>
              </w:rPr>
            </w:pPr>
            <w:r>
              <w:rPr>
                <w:rFonts w:hint="eastAsia" w:ascii="宋体" w:hAnsi="宋体" w:cs="宋体"/>
                <w:color w:val="auto"/>
                <w:highlight w:val="none"/>
              </w:rPr>
              <w:t>详见采购需求</w:t>
            </w:r>
          </w:p>
        </w:tc>
      </w:tr>
      <w:tr w14:paraId="5D1CF4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292" w:type="pct"/>
            <w:tcBorders>
              <w:top w:val="single" w:color="auto" w:sz="4" w:space="0"/>
              <w:left w:val="single" w:color="auto" w:sz="4" w:space="0"/>
              <w:bottom w:val="single" w:color="auto" w:sz="4" w:space="0"/>
              <w:right w:val="single" w:color="auto" w:sz="4" w:space="0"/>
            </w:tcBorders>
            <w:vAlign w:val="center"/>
          </w:tcPr>
          <w:p w14:paraId="5C14974E">
            <w:pPr>
              <w:snapToGrid w:val="0"/>
              <w:spacing w:line="240" w:lineRule="auto"/>
              <w:jc w:val="center"/>
              <w:rPr>
                <w:rFonts w:ascii="宋体" w:hAnsi="宋体" w:cs="宋体"/>
                <w:bCs/>
                <w:color w:val="auto"/>
                <w:highlight w:val="none"/>
              </w:rPr>
            </w:pPr>
            <w:r>
              <w:rPr>
                <w:rFonts w:hint="eastAsia" w:ascii="宋体" w:hAnsi="宋体" w:cs="宋体"/>
                <w:bCs/>
                <w:color w:val="auto"/>
                <w:highlight w:val="none"/>
              </w:rPr>
              <w:t>注</w:t>
            </w:r>
          </w:p>
        </w:tc>
        <w:tc>
          <w:tcPr>
            <w:tcW w:w="4707" w:type="pct"/>
            <w:gridSpan w:val="5"/>
            <w:tcBorders>
              <w:top w:val="single" w:color="auto" w:sz="4" w:space="0"/>
              <w:left w:val="single" w:color="auto" w:sz="4" w:space="0"/>
              <w:bottom w:val="single" w:color="auto" w:sz="4" w:space="0"/>
              <w:right w:val="single" w:color="auto" w:sz="4" w:space="0"/>
            </w:tcBorders>
            <w:vAlign w:val="center"/>
          </w:tcPr>
          <w:p w14:paraId="509056B1">
            <w:pPr>
              <w:spacing w:line="240" w:lineRule="auto"/>
              <w:rPr>
                <w:rFonts w:ascii="宋体" w:hAnsi="宋体" w:cs="宋体"/>
                <w:bCs/>
                <w:color w:val="auto"/>
                <w:highlight w:val="none"/>
              </w:rPr>
            </w:pPr>
            <w:r>
              <w:rPr>
                <w:rFonts w:hint="eastAsia" w:ascii="宋体" w:hAnsi="宋体" w:cs="宋体"/>
                <w:bCs/>
                <w:color w:val="auto"/>
                <w:highlight w:val="none"/>
              </w:rPr>
              <w:t>投标报价时不得超过预算金额，否则作无效标处理。</w:t>
            </w:r>
          </w:p>
        </w:tc>
      </w:tr>
    </w:tbl>
    <w:p w14:paraId="5754916F">
      <w:pPr>
        <w:widowControl/>
        <w:spacing w:before="75" w:after="75" w:line="240" w:lineRule="auto"/>
        <w:jc w:val="left"/>
        <w:rPr>
          <w:rFonts w:ascii="宋体" w:hAnsi="宋体" w:cs="宋体"/>
          <w:color w:val="auto"/>
          <w:kern w:val="0"/>
          <w:highlight w:val="none"/>
        </w:rPr>
      </w:pPr>
      <w:r>
        <w:rPr>
          <w:rFonts w:hint="eastAsia" w:ascii="宋体" w:hAnsi="宋体" w:cs="宋体"/>
          <w:b/>
          <w:bCs/>
          <w:color w:val="auto"/>
          <w:kern w:val="0"/>
          <w:highlight w:val="none"/>
        </w:rPr>
        <w:t>四．磋商供应商资格要求</w:t>
      </w:r>
      <w:r>
        <w:rPr>
          <w:rFonts w:hint="eastAsia" w:ascii="宋体" w:hAnsi="宋体" w:cs="宋体"/>
          <w:color w:val="auto"/>
          <w:kern w:val="0"/>
          <w:highlight w:val="none"/>
        </w:rPr>
        <w:t>：</w:t>
      </w:r>
    </w:p>
    <w:p w14:paraId="120EF9B1">
      <w:pPr>
        <w:widowControl/>
        <w:spacing w:before="75" w:after="75" w:line="240" w:lineRule="auto"/>
        <w:ind w:firstLine="480" w:firstLineChars="200"/>
        <w:jc w:val="left"/>
        <w:rPr>
          <w:rFonts w:ascii="宋体" w:hAnsi="宋体" w:cs="宋体"/>
          <w:color w:val="auto"/>
          <w:kern w:val="0"/>
          <w:highlight w:val="none"/>
        </w:rPr>
      </w:pPr>
      <w:r>
        <w:rPr>
          <w:rFonts w:hint="eastAsia" w:ascii="宋体" w:hAnsi="宋体" w:cs="宋体"/>
          <w:color w:val="auto"/>
          <w:kern w:val="0"/>
          <w:highlight w:val="none"/>
        </w:rPr>
        <w:t>1、符合《政府采购法》第二十二条规定：具有独立承担民事责任的能力；具有良好的商业信誉和健全的财务会计制度；具有履行合同所必需的设备和专业技术能力；有依法缴纳税收和社会保障资金的良好记录；近三年内在经营活动中无重大违法记录；</w:t>
      </w:r>
    </w:p>
    <w:p w14:paraId="746A808E">
      <w:pPr>
        <w:widowControl/>
        <w:spacing w:before="75" w:after="75" w:line="240" w:lineRule="auto"/>
        <w:ind w:firstLine="480" w:firstLineChars="200"/>
        <w:jc w:val="left"/>
        <w:rPr>
          <w:rFonts w:ascii="宋体" w:hAnsi="宋体" w:cs="宋体"/>
          <w:color w:val="auto"/>
          <w:kern w:val="0"/>
          <w:highlight w:val="none"/>
        </w:rPr>
      </w:pPr>
      <w:r>
        <w:rPr>
          <w:rFonts w:hint="eastAsia" w:ascii="宋体" w:hAnsi="宋体" w:cs="宋体"/>
          <w:color w:val="auto"/>
          <w:kern w:val="0"/>
          <w:highlight w:val="none"/>
        </w:rPr>
        <w:t>2、本项目不接受联合体，拒绝转包和分包。</w:t>
      </w:r>
    </w:p>
    <w:p w14:paraId="0C539926">
      <w:pPr>
        <w:widowControl/>
        <w:spacing w:before="75" w:after="75" w:line="240" w:lineRule="auto"/>
        <w:jc w:val="left"/>
        <w:rPr>
          <w:rFonts w:ascii="宋体" w:hAnsi="宋体" w:cs="宋体"/>
          <w:b/>
          <w:bCs/>
          <w:color w:val="auto"/>
          <w:kern w:val="0"/>
          <w:highlight w:val="none"/>
        </w:rPr>
      </w:pPr>
      <w:r>
        <w:rPr>
          <w:rFonts w:hint="eastAsia" w:ascii="宋体" w:hAnsi="宋体" w:cs="宋体"/>
          <w:b/>
          <w:bCs/>
          <w:color w:val="auto"/>
          <w:kern w:val="0"/>
          <w:highlight w:val="none"/>
        </w:rPr>
        <w:t>五．报名及获取磋商文件时间：</w:t>
      </w:r>
    </w:p>
    <w:p w14:paraId="012EFA45">
      <w:pPr>
        <w:keepNext w:val="0"/>
        <w:keepLines w:val="0"/>
        <w:pageBreakBefore w:val="0"/>
        <w:widowControl/>
        <w:kinsoku/>
        <w:wordWrap/>
        <w:overflowPunct/>
        <w:topLinePunct w:val="0"/>
        <w:autoSpaceDE/>
        <w:autoSpaceDN/>
        <w:bidi w:val="0"/>
        <w:spacing w:line="240" w:lineRule="auto"/>
        <w:ind w:firstLine="48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时间：2025年6月18日至2025年6月23日(双休日及法定节假日除外)。</w:t>
      </w:r>
    </w:p>
    <w:p w14:paraId="4963486D">
      <w:pPr>
        <w:keepNext w:val="0"/>
        <w:keepLines w:val="0"/>
        <w:pageBreakBefore w:val="0"/>
        <w:widowControl/>
        <w:kinsoku/>
        <w:wordWrap/>
        <w:overflowPunct/>
        <w:topLinePunct w:val="0"/>
        <w:autoSpaceDE/>
        <w:autoSpaceDN/>
        <w:bidi w:val="0"/>
        <w:spacing w:line="240" w:lineRule="auto"/>
        <w:ind w:firstLine="48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上午：8:30-11:30    下午：13:30-16:30。</w:t>
      </w:r>
    </w:p>
    <w:p w14:paraId="6D435408">
      <w:pPr>
        <w:keepNext w:val="0"/>
        <w:keepLines w:val="0"/>
        <w:pageBreakBefore w:val="0"/>
        <w:widowControl/>
        <w:kinsoku/>
        <w:wordWrap/>
        <w:overflowPunct/>
        <w:topLinePunct w:val="0"/>
        <w:autoSpaceDE/>
        <w:autoSpaceDN/>
        <w:bidi w:val="0"/>
        <w:spacing w:line="24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地点：德威工程管理咨询有限公司（浙江省湖州市吴兴区凤凰街道金色水岸1幢商务楼10楼）</w:t>
      </w:r>
    </w:p>
    <w:p w14:paraId="04C1E0C4">
      <w:pPr>
        <w:keepNext w:val="0"/>
        <w:keepLines w:val="0"/>
        <w:pageBreakBefore w:val="0"/>
        <w:widowControl/>
        <w:kinsoku/>
        <w:wordWrap/>
        <w:overflowPunct/>
        <w:topLinePunct w:val="0"/>
        <w:autoSpaceDE/>
        <w:autoSpaceDN/>
        <w:bidi w:val="0"/>
        <w:adjustRightInd/>
        <w:spacing w:before="75" w:after="75" w:line="24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售价：招标文件工本费500元，售后不退</w:t>
      </w:r>
    </w:p>
    <w:p w14:paraId="0F86A362">
      <w:pPr>
        <w:keepNext w:val="0"/>
        <w:keepLines w:val="0"/>
        <w:pageBreakBefore w:val="0"/>
        <w:widowControl/>
        <w:kinsoku/>
        <w:wordWrap/>
        <w:overflowPunct/>
        <w:topLinePunct w:val="0"/>
        <w:autoSpaceDE/>
        <w:autoSpaceDN/>
        <w:bidi w:val="0"/>
        <w:adjustRightInd/>
        <w:spacing w:before="75" w:after="75" w:line="24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潜在</w:t>
      </w:r>
      <w:r>
        <w:rPr>
          <w:rFonts w:hint="eastAsia" w:ascii="宋体" w:hAnsi="宋体" w:eastAsia="宋体" w:cs="宋体"/>
          <w:color w:val="auto"/>
          <w:kern w:val="0"/>
          <w:sz w:val="24"/>
          <w:szCs w:val="24"/>
          <w:lang w:eastAsia="zh-CN"/>
        </w:rPr>
        <w:t>磋商人</w:t>
      </w:r>
      <w:r>
        <w:rPr>
          <w:rFonts w:hint="eastAsia" w:ascii="宋体" w:hAnsi="宋体" w:eastAsia="宋体" w:cs="宋体"/>
          <w:color w:val="auto"/>
          <w:kern w:val="0"/>
          <w:sz w:val="24"/>
          <w:szCs w:val="24"/>
        </w:rPr>
        <w:t>可以通过电子邮件形式进行在线报名，将报名资料发送至指定邮箱</w:t>
      </w:r>
      <w:r>
        <w:rPr>
          <w:rFonts w:hint="eastAsia" w:ascii="宋体" w:hAnsi="宋体" w:eastAsia="宋体" w:cs="宋体"/>
          <w:color w:val="auto"/>
          <w:kern w:val="0"/>
          <w:sz w:val="24"/>
          <w:szCs w:val="24"/>
          <w:lang w:val="en-US" w:eastAsia="zh-CN"/>
        </w:rPr>
        <w:t>571031672@qq.com</w:t>
      </w:r>
      <w:r>
        <w:rPr>
          <w:rFonts w:hint="eastAsia" w:ascii="宋体" w:hAnsi="宋体" w:eastAsia="宋体" w:cs="宋体"/>
          <w:color w:val="auto"/>
          <w:kern w:val="0"/>
          <w:sz w:val="24"/>
          <w:szCs w:val="24"/>
        </w:rPr>
        <w:t>，报名资料于当日24点后收到的视为下一个日历天收到，逾期不予受理。报名受理回执将以电子邮件形式进行反馈，收到反馈并支付招标文件费后发放招标文件电子版。</w:t>
      </w:r>
    </w:p>
    <w:p w14:paraId="23B52B25">
      <w:pPr>
        <w:keepNext w:val="0"/>
        <w:keepLines w:val="0"/>
        <w:pageBreakBefore w:val="0"/>
        <w:widowControl/>
        <w:kinsoku/>
        <w:wordWrap/>
        <w:overflowPunct/>
        <w:topLinePunct w:val="0"/>
        <w:autoSpaceDE/>
        <w:autoSpaceDN/>
        <w:bidi w:val="0"/>
        <w:spacing w:line="240" w:lineRule="auto"/>
        <w:ind w:firstLine="480"/>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账户名称：德威工程管理咨询有限公司湖州分公司</w:t>
      </w:r>
    </w:p>
    <w:p w14:paraId="08D3C16E">
      <w:pPr>
        <w:keepNext w:val="0"/>
        <w:keepLines w:val="0"/>
        <w:pageBreakBefore w:val="0"/>
        <w:widowControl/>
        <w:kinsoku/>
        <w:wordWrap/>
        <w:overflowPunct/>
        <w:topLinePunct w:val="0"/>
        <w:autoSpaceDE/>
        <w:autoSpaceDN/>
        <w:bidi w:val="0"/>
        <w:spacing w:line="240" w:lineRule="auto"/>
        <w:ind w:firstLine="480"/>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纳税人识别号：91330502307551499Y</w:t>
      </w:r>
    </w:p>
    <w:p w14:paraId="4B2850D5">
      <w:pPr>
        <w:keepNext w:val="0"/>
        <w:keepLines w:val="0"/>
        <w:pageBreakBefore w:val="0"/>
        <w:widowControl/>
        <w:kinsoku/>
        <w:wordWrap/>
        <w:overflowPunct/>
        <w:topLinePunct w:val="0"/>
        <w:autoSpaceDE/>
        <w:autoSpaceDN/>
        <w:bidi w:val="0"/>
        <w:spacing w:line="240" w:lineRule="auto"/>
        <w:ind w:firstLine="480"/>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账户号码：1205230209200103620</w:t>
      </w:r>
    </w:p>
    <w:p w14:paraId="4E028A11">
      <w:pPr>
        <w:keepNext w:val="0"/>
        <w:keepLines w:val="0"/>
        <w:pageBreakBefore w:val="0"/>
        <w:widowControl/>
        <w:kinsoku/>
        <w:wordWrap/>
        <w:overflowPunct/>
        <w:topLinePunct w:val="0"/>
        <w:autoSpaceDE/>
        <w:autoSpaceDN/>
        <w:bidi w:val="0"/>
        <w:spacing w:line="240" w:lineRule="auto"/>
        <w:ind w:firstLine="480"/>
        <w:textAlignment w:val="auto"/>
        <w:rPr>
          <w:rFonts w:hint="eastAsia" w:ascii="宋体" w:hAnsi="宋体" w:eastAsia="宋体" w:cs="宋体"/>
          <w:color w:val="auto"/>
          <w:sz w:val="24"/>
          <w:szCs w:val="24"/>
        </w:rPr>
      </w:pPr>
      <w:r>
        <w:rPr>
          <w:rFonts w:hint="eastAsia" w:ascii="宋体" w:hAnsi="宋体" w:eastAsia="宋体" w:cs="宋体"/>
          <w:b/>
          <w:bCs/>
          <w:color w:val="auto"/>
          <w:kern w:val="0"/>
          <w:sz w:val="24"/>
          <w:szCs w:val="24"/>
        </w:rPr>
        <w:t>开户行：中国工商银行股份有限公司湖州吴兴支行</w:t>
      </w:r>
    </w:p>
    <w:p w14:paraId="79CF05C2">
      <w:pPr>
        <w:pStyle w:val="2"/>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bCs/>
          <w:color w:val="auto"/>
          <w:kern w:val="0"/>
          <w:sz w:val="24"/>
          <w:szCs w:val="24"/>
        </w:rPr>
        <w:t>六、磋商响应文件提交截止时间：</w:t>
      </w:r>
      <w:r>
        <w:rPr>
          <w:rFonts w:hint="eastAsia" w:ascii="宋体" w:hAnsi="宋体" w:eastAsia="宋体" w:cs="宋体"/>
          <w:b w:val="0"/>
          <w:bCs w:val="0"/>
          <w:color w:val="auto"/>
          <w:kern w:val="0"/>
          <w:sz w:val="24"/>
          <w:szCs w:val="24"/>
        </w:rPr>
        <w:t>202</w:t>
      </w:r>
      <w:r>
        <w:rPr>
          <w:rFonts w:hint="eastAsia" w:ascii="宋体" w:hAnsi="宋体" w:eastAsia="宋体" w:cs="宋体"/>
          <w:b w:val="0"/>
          <w:bCs w:val="0"/>
          <w:color w:val="auto"/>
          <w:kern w:val="0"/>
          <w:sz w:val="24"/>
          <w:szCs w:val="24"/>
          <w:lang w:val="en-US" w:eastAsia="zh-CN"/>
        </w:rPr>
        <w:t>5</w:t>
      </w:r>
      <w:r>
        <w:rPr>
          <w:rFonts w:hint="eastAsia" w:ascii="宋体" w:hAnsi="宋体" w:eastAsia="宋体" w:cs="宋体"/>
          <w:b w:val="0"/>
          <w:bCs w:val="0"/>
          <w:color w:val="auto"/>
          <w:kern w:val="0"/>
          <w:sz w:val="24"/>
          <w:szCs w:val="24"/>
        </w:rPr>
        <w:t>年</w:t>
      </w:r>
      <w:r>
        <w:rPr>
          <w:rFonts w:hint="eastAsia" w:ascii="宋体" w:hAnsi="宋体" w:cs="宋体"/>
          <w:b w:val="0"/>
          <w:bCs w:val="0"/>
          <w:color w:val="auto"/>
          <w:kern w:val="0"/>
          <w:sz w:val="24"/>
          <w:szCs w:val="24"/>
          <w:lang w:val="en-US" w:eastAsia="zh-CN"/>
        </w:rPr>
        <w:t>6</w:t>
      </w:r>
      <w:r>
        <w:rPr>
          <w:rFonts w:hint="eastAsia" w:ascii="宋体" w:hAnsi="宋体" w:eastAsia="宋体" w:cs="宋体"/>
          <w:b w:val="0"/>
          <w:bCs w:val="0"/>
          <w:color w:val="auto"/>
          <w:kern w:val="0"/>
          <w:sz w:val="24"/>
          <w:szCs w:val="24"/>
          <w:lang w:val="en-US" w:eastAsia="zh-CN"/>
        </w:rPr>
        <w:t>月</w:t>
      </w:r>
      <w:r>
        <w:rPr>
          <w:rFonts w:hint="eastAsia" w:ascii="宋体" w:hAnsi="宋体" w:cs="宋体"/>
          <w:b w:val="0"/>
          <w:bCs w:val="0"/>
          <w:color w:val="auto"/>
          <w:kern w:val="0"/>
          <w:sz w:val="24"/>
          <w:szCs w:val="24"/>
          <w:lang w:val="en-US" w:eastAsia="zh-CN"/>
        </w:rPr>
        <w:t>30</w:t>
      </w:r>
      <w:r>
        <w:rPr>
          <w:rFonts w:hint="eastAsia" w:ascii="宋体" w:hAnsi="宋体" w:eastAsia="宋体" w:cs="宋体"/>
          <w:b w:val="0"/>
          <w:bCs w:val="0"/>
          <w:color w:val="auto"/>
          <w:kern w:val="0"/>
          <w:sz w:val="24"/>
          <w:szCs w:val="24"/>
          <w:lang w:val="en-US" w:eastAsia="zh-CN"/>
        </w:rPr>
        <w:t>日</w:t>
      </w:r>
      <w:r>
        <w:rPr>
          <w:rFonts w:hint="eastAsia" w:ascii="宋体" w:hAnsi="宋体" w:cs="宋体"/>
          <w:b w:val="0"/>
          <w:bCs w:val="0"/>
          <w:color w:val="auto"/>
          <w:sz w:val="24"/>
          <w:szCs w:val="24"/>
          <w:lang w:val="en-US" w:eastAsia="zh-CN"/>
        </w:rPr>
        <w:t>14</w:t>
      </w:r>
      <w:r>
        <w:rPr>
          <w:rFonts w:hint="eastAsia" w:ascii="宋体" w:hAnsi="宋体" w:eastAsia="宋体" w:cs="宋体"/>
          <w:b w:val="0"/>
          <w:bCs w:val="0"/>
          <w:color w:val="auto"/>
          <w:sz w:val="24"/>
          <w:szCs w:val="24"/>
          <w:lang w:val="en-US" w:eastAsia="zh-CN"/>
        </w:rPr>
        <w:t>时</w:t>
      </w:r>
    </w:p>
    <w:p w14:paraId="4DF727F9">
      <w:pPr>
        <w:keepNext w:val="0"/>
        <w:keepLines w:val="0"/>
        <w:pageBreakBefore w:val="0"/>
        <w:widowControl/>
        <w:kinsoku/>
        <w:wordWrap/>
        <w:overflowPunct/>
        <w:topLinePunct w:val="0"/>
        <w:autoSpaceDE/>
        <w:autoSpaceDN/>
        <w:bidi w:val="0"/>
        <w:adjustRightInd/>
        <w:snapToGrid/>
        <w:spacing w:before="75" w:after="75" w:line="240" w:lineRule="auto"/>
        <w:textAlignment w:val="auto"/>
        <w:rPr>
          <w:rFonts w:hint="eastAsia" w:ascii="宋体" w:hAnsi="宋体" w:eastAsia="宋体" w:cs="宋体"/>
          <w:color w:val="auto"/>
          <w:kern w:val="0"/>
          <w:sz w:val="24"/>
          <w:szCs w:val="24"/>
          <w:highlight w:val="yellow"/>
        </w:rPr>
      </w:pPr>
      <w:r>
        <w:rPr>
          <w:rFonts w:hint="eastAsia" w:ascii="宋体" w:hAnsi="宋体" w:eastAsia="宋体" w:cs="宋体"/>
          <w:b/>
          <w:bCs/>
          <w:color w:val="auto"/>
          <w:kern w:val="0"/>
          <w:sz w:val="24"/>
          <w:szCs w:val="24"/>
        </w:rPr>
        <w:t>七、磋商响应文件提交地址：</w:t>
      </w:r>
      <w:r>
        <w:rPr>
          <w:rFonts w:hint="eastAsia" w:ascii="宋体" w:hAnsi="宋体" w:eastAsia="宋体" w:cs="宋体"/>
          <w:color w:val="auto"/>
          <w:kern w:val="0"/>
          <w:sz w:val="24"/>
          <w:szCs w:val="24"/>
        </w:rPr>
        <w:t>德威工程管理咨询有限公司（浙江省湖州市吴兴区凤凰街道金色水岸1幢商务楼10楼）</w:t>
      </w:r>
    </w:p>
    <w:p w14:paraId="679F08E7">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b/>
          <w:color w:val="auto"/>
          <w:sz w:val="24"/>
          <w:szCs w:val="24"/>
          <w:u w:val="single"/>
          <w:lang w:val="en-US" w:eastAsia="zh-CN"/>
        </w:rPr>
      </w:pPr>
      <w:r>
        <w:rPr>
          <w:rFonts w:hint="eastAsia" w:ascii="宋体" w:hAnsi="宋体" w:eastAsia="宋体" w:cs="宋体"/>
          <w:b/>
          <w:color w:val="auto"/>
          <w:sz w:val="24"/>
          <w:szCs w:val="24"/>
        </w:rPr>
        <w:t>八、磋商开始时间：</w:t>
      </w:r>
      <w:r>
        <w:rPr>
          <w:rFonts w:hint="eastAsia" w:ascii="宋体" w:hAnsi="宋体" w:eastAsia="宋体" w:cs="宋体"/>
          <w:b w:val="0"/>
          <w:bCs w:val="0"/>
          <w:color w:val="auto"/>
          <w:kern w:val="0"/>
          <w:sz w:val="24"/>
          <w:szCs w:val="24"/>
          <w:lang w:val="en-US" w:eastAsia="zh-CN" w:bidi="ar-SA"/>
        </w:rPr>
        <w:t>2025年</w:t>
      </w:r>
      <w:r>
        <w:rPr>
          <w:rFonts w:hint="eastAsia" w:ascii="宋体" w:hAnsi="宋体" w:cs="宋体"/>
          <w:b w:val="0"/>
          <w:bCs w:val="0"/>
          <w:color w:val="auto"/>
          <w:kern w:val="0"/>
          <w:sz w:val="24"/>
          <w:szCs w:val="24"/>
          <w:lang w:val="en-US" w:eastAsia="zh-CN" w:bidi="ar-SA"/>
        </w:rPr>
        <w:t>6</w:t>
      </w:r>
      <w:r>
        <w:rPr>
          <w:rFonts w:hint="eastAsia" w:ascii="宋体" w:hAnsi="宋体" w:eastAsia="宋体" w:cs="宋体"/>
          <w:b w:val="0"/>
          <w:bCs w:val="0"/>
          <w:color w:val="auto"/>
          <w:kern w:val="0"/>
          <w:sz w:val="24"/>
          <w:szCs w:val="24"/>
          <w:lang w:val="en-US" w:eastAsia="zh-CN" w:bidi="ar-SA"/>
        </w:rPr>
        <w:t>月</w:t>
      </w:r>
      <w:r>
        <w:rPr>
          <w:rFonts w:hint="eastAsia" w:ascii="宋体" w:hAnsi="宋体" w:cs="宋体"/>
          <w:b w:val="0"/>
          <w:bCs w:val="0"/>
          <w:color w:val="auto"/>
          <w:kern w:val="0"/>
          <w:sz w:val="24"/>
          <w:szCs w:val="24"/>
          <w:lang w:val="en-US" w:eastAsia="zh-CN" w:bidi="ar-SA"/>
        </w:rPr>
        <w:t>30</w:t>
      </w:r>
      <w:r>
        <w:rPr>
          <w:rFonts w:hint="eastAsia" w:ascii="宋体" w:hAnsi="宋体" w:eastAsia="宋体" w:cs="宋体"/>
          <w:b w:val="0"/>
          <w:bCs w:val="0"/>
          <w:color w:val="auto"/>
          <w:kern w:val="0"/>
          <w:sz w:val="24"/>
          <w:szCs w:val="24"/>
          <w:lang w:val="en-US" w:eastAsia="zh-CN" w:bidi="ar-SA"/>
        </w:rPr>
        <w:t>日</w:t>
      </w:r>
      <w:r>
        <w:rPr>
          <w:rFonts w:hint="eastAsia" w:ascii="宋体" w:hAnsi="宋体" w:cs="宋体"/>
          <w:b w:val="0"/>
          <w:bCs w:val="0"/>
          <w:color w:val="auto"/>
          <w:kern w:val="0"/>
          <w:sz w:val="24"/>
          <w:szCs w:val="24"/>
          <w:lang w:val="en-US" w:eastAsia="zh-CN" w:bidi="ar-SA"/>
        </w:rPr>
        <w:t>14</w:t>
      </w:r>
      <w:r>
        <w:rPr>
          <w:rFonts w:hint="eastAsia" w:ascii="宋体" w:hAnsi="宋体" w:eastAsia="宋体" w:cs="宋体"/>
          <w:b w:val="0"/>
          <w:bCs w:val="0"/>
          <w:color w:val="auto"/>
          <w:kern w:val="0"/>
          <w:sz w:val="24"/>
          <w:szCs w:val="24"/>
          <w:lang w:val="en-US" w:eastAsia="zh-CN" w:bidi="ar-SA"/>
        </w:rPr>
        <w:t>时</w:t>
      </w:r>
    </w:p>
    <w:p w14:paraId="7FFBAEB3">
      <w:pPr>
        <w:keepNext w:val="0"/>
        <w:keepLines w:val="0"/>
        <w:pageBreakBefore w:val="0"/>
        <w:widowControl/>
        <w:kinsoku/>
        <w:wordWrap/>
        <w:overflowPunct/>
        <w:topLinePunct w:val="0"/>
        <w:autoSpaceDE/>
        <w:autoSpaceDN/>
        <w:bidi w:val="0"/>
        <w:adjustRightInd/>
        <w:snapToGrid/>
        <w:spacing w:before="75" w:after="75" w:line="240" w:lineRule="auto"/>
        <w:textAlignment w:val="auto"/>
        <w:rPr>
          <w:rFonts w:hint="eastAsia" w:ascii="宋体" w:hAnsi="宋体" w:eastAsia="宋体" w:cs="宋体"/>
          <w:color w:val="auto"/>
          <w:kern w:val="0"/>
          <w:sz w:val="24"/>
          <w:szCs w:val="24"/>
          <w:highlight w:val="yellow"/>
        </w:rPr>
      </w:pPr>
      <w:r>
        <w:rPr>
          <w:rFonts w:hint="eastAsia" w:ascii="宋体" w:hAnsi="宋体" w:eastAsia="宋体" w:cs="宋体"/>
          <w:b/>
          <w:color w:val="auto"/>
          <w:sz w:val="24"/>
          <w:szCs w:val="24"/>
        </w:rPr>
        <w:t>九、磋商地址：</w:t>
      </w:r>
      <w:r>
        <w:rPr>
          <w:rFonts w:hint="eastAsia" w:ascii="宋体" w:hAnsi="宋体" w:eastAsia="宋体" w:cs="宋体"/>
          <w:color w:val="auto"/>
          <w:kern w:val="0"/>
          <w:sz w:val="24"/>
          <w:szCs w:val="24"/>
        </w:rPr>
        <w:t>德威工程管理咨询有限公司（浙江省湖州市吴兴区凤凰街道金色水岸1幢商务楼10楼），</w:t>
      </w:r>
      <w:r>
        <w:rPr>
          <w:rFonts w:hint="eastAsia" w:ascii="宋体" w:hAnsi="宋体" w:eastAsia="宋体" w:cs="宋体"/>
          <w:color w:val="auto"/>
          <w:kern w:val="0"/>
          <w:sz w:val="24"/>
          <w:szCs w:val="24"/>
          <w:lang w:eastAsia="zh-CN"/>
        </w:rPr>
        <w:t>磋商人</w:t>
      </w:r>
      <w:r>
        <w:rPr>
          <w:rFonts w:hint="eastAsia" w:ascii="宋体" w:hAnsi="宋体" w:eastAsia="宋体" w:cs="宋体"/>
          <w:color w:val="auto"/>
          <w:kern w:val="0"/>
          <w:sz w:val="24"/>
          <w:szCs w:val="24"/>
        </w:rPr>
        <w:t>可以派授权代表出席开标会议（授权代表携带身份证、法人授权委托书或法人身份证明文书等有效证明出席。未携带有效证明的，其投标文件将被拒绝）。</w:t>
      </w:r>
    </w:p>
    <w:p w14:paraId="5654B429">
      <w:pPr>
        <w:pStyle w:val="39"/>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注：投标截止时间即开标时间。</w:t>
      </w:r>
    </w:p>
    <w:p w14:paraId="1D45B361">
      <w:pPr>
        <w:keepNext w:val="0"/>
        <w:keepLines w:val="0"/>
        <w:pageBreakBefore w:val="0"/>
        <w:widowControl/>
        <w:kinsoku/>
        <w:wordWrap/>
        <w:overflowPunct/>
        <w:topLinePunct w:val="0"/>
        <w:autoSpaceDE/>
        <w:autoSpaceDN/>
        <w:bidi w:val="0"/>
        <w:adjustRightInd/>
        <w:snapToGrid/>
        <w:spacing w:before="75" w:after="75" w:line="240" w:lineRule="auto"/>
        <w:ind w:firstLine="480" w:firstLineChars="200"/>
        <w:textAlignment w:val="auto"/>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u w:val="single"/>
          <w:lang w:eastAsia="zh-CN"/>
        </w:rPr>
        <w:t>磋商人</w:t>
      </w:r>
      <w:r>
        <w:rPr>
          <w:rFonts w:hint="eastAsia" w:ascii="宋体" w:hAnsi="宋体" w:eastAsia="宋体" w:cs="宋体"/>
          <w:color w:val="auto"/>
          <w:kern w:val="0"/>
          <w:sz w:val="24"/>
          <w:szCs w:val="24"/>
          <w:u w:val="single"/>
        </w:rPr>
        <w:t>应派法定代表人或其授权代表出席开标会议。法定代表人应携带法定代表人身份证明书和身份证原件，授权代表应当携带法定代表人授权委托书原件、本人身份证原件</w:t>
      </w:r>
      <w:r>
        <w:rPr>
          <w:rFonts w:hint="eastAsia" w:ascii="宋体" w:hAnsi="宋体" w:eastAsia="宋体" w:cs="宋体"/>
          <w:b w:val="0"/>
          <w:bCs w:val="0"/>
          <w:color w:val="auto"/>
          <w:kern w:val="0"/>
          <w:sz w:val="24"/>
          <w:szCs w:val="24"/>
          <w:u w:val="single"/>
        </w:rPr>
        <w:t>等</w:t>
      </w:r>
      <w:r>
        <w:rPr>
          <w:rFonts w:hint="eastAsia" w:ascii="宋体" w:hAnsi="宋体" w:eastAsia="宋体" w:cs="宋体"/>
          <w:color w:val="auto"/>
          <w:kern w:val="0"/>
          <w:sz w:val="24"/>
          <w:szCs w:val="24"/>
          <w:u w:val="single"/>
        </w:rPr>
        <w:t>有效证明出席开标会议。</w:t>
      </w:r>
      <w:r>
        <w:rPr>
          <w:rFonts w:hint="eastAsia" w:ascii="宋体" w:hAnsi="宋体" w:eastAsia="宋体" w:cs="宋体"/>
          <w:color w:val="auto"/>
          <w:kern w:val="0"/>
          <w:sz w:val="24"/>
          <w:szCs w:val="24"/>
          <w:u w:val="single"/>
          <w:lang w:eastAsia="zh-CN"/>
        </w:rPr>
        <w:t>磋商人</w:t>
      </w:r>
      <w:r>
        <w:rPr>
          <w:rFonts w:hint="eastAsia" w:ascii="宋体" w:hAnsi="宋体" w:eastAsia="宋体" w:cs="宋体"/>
          <w:color w:val="auto"/>
          <w:kern w:val="0"/>
          <w:sz w:val="24"/>
          <w:szCs w:val="24"/>
          <w:u w:val="single"/>
        </w:rPr>
        <w:t>代表未携带规定证件或迟到的按其自动放弃投标处理。</w:t>
      </w:r>
    </w:p>
    <w:p w14:paraId="2E6BEAA4">
      <w:pPr>
        <w:keepNext w:val="0"/>
        <w:keepLines w:val="0"/>
        <w:pageBreakBefore w:val="0"/>
        <w:widowControl/>
        <w:kinsoku/>
        <w:wordWrap/>
        <w:overflowPunct/>
        <w:topLinePunct w:val="0"/>
        <w:autoSpaceDE/>
        <w:autoSpaceDN/>
        <w:bidi w:val="0"/>
        <w:spacing w:before="75" w:after="75" w:line="240" w:lineRule="auto"/>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十、其他事项：</w:t>
      </w:r>
    </w:p>
    <w:p w14:paraId="70F0FA53">
      <w:pPr>
        <w:keepNext w:val="0"/>
        <w:keepLines w:val="0"/>
        <w:pageBreakBefore w:val="0"/>
        <w:widowControl/>
        <w:kinsoku/>
        <w:wordWrap/>
        <w:overflowPunct/>
        <w:topLinePunct w:val="0"/>
        <w:autoSpaceDE/>
        <w:autoSpaceDN/>
        <w:bidi w:val="0"/>
        <w:adjustRightInd/>
        <w:spacing w:before="75" w:after="75" w:line="24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供货商如认为招标文件表述不清晰、存在歧视性或者其他违法内容的，可以在知道或者应知其权益受到损害之日起7个工作日内以书面形式要求采购人作出书面解释、澄清或者向采购人提出书面质疑，根据《中华人民共和国财政部令第 94 号-政府采购质疑和投诉办法》第十条第二款规定，</w:t>
      </w:r>
      <w:r>
        <w:rPr>
          <w:rFonts w:hint="eastAsia" w:ascii="宋体" w:hAnsi="宋体" w:eastAsia="宋体" w:cs="宋体"/>
          <w:color w:val="auto"/>
          <w:kern w:val="0"/>
          <w:sz w:val="24"/>
          <w:szCs w:val="24"/>
          <w:lang w:eastAsia="zh-CN"/>
        </w:rPr>
        <w:t>磋商人</w:t>
      </w:r>
      <w:r>
        <w:rPr>
          <w:rFonts w:hint="eastAsia" w:ascii="宋体" w:hAnsi="宋体" w:eastAsia="宋体" w:cs="宋体"/>
          <w:color w:val="auto"/>
          <w:kern w:val="0"/>
          <w:sz w:val="24"/>
          <w:szCs w:val="24"/>
        </w:rPr>
        <w:t>在法定质疑期内须一次性提出针对同一采购程序环节的质疑，否则采购代理机构有权拒绝第一次质疑以外其他所有质疑。答疑内容是招标文件的组成部份，并将以书面形式送达所有已报名的供货商。</w:t>
      </w:r>
    </w:p>
    <w:p w14:paraId="2D2089E7">
      <w:pPr>
        <w:keepNext w:val="0"/>
        <w:keepLines w:val="0"/>
        <w:pageBreakBefore w:val="0"/>
        <w:widowControl/>
        <w:kinsoku/>
        <w:wordWrap/>
        <w:overflowPunct/>
        <w:topLinePunct w:val="0"/>
        <w:autoSpaceDE/>
        <w:autoSpaceDN/>
        <w:bidi w:val="0"/>
        <w:adjustRightInd/>
        <w:spacing w:before="75" w:after="75" w:line="24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2、购买招标文件时必须提供以下材料（应将以下资料发送至指定邮箱，需加盖单位公章后以扫描件形式发送）： </w:t>
      </w:r>
    </w:p>
    <w:p w14:paraId="57A1CC7A">
      <w:pPr>
        <w:keepNext w:val="0"/>
        <w:keepLines w:val="0"/>
        <w:pageBreakBefore w:val="0"/>
        <w:widowControl/>
        <w:kinsoku/>
        <w:wordWrap/>
        <w:overflowPunct/>
        <w:topLinePunct w:val="0"/>
        <w:autoSpaceDE/>
        <w:autoSpaceDN/>
        <w:bidi w:val="0"/>
        <w:adjustRightInd/>
        <w:spacing w:before="75" w:after="75" w:line="24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 xml:space="preserve">营业执照 </w:t>
      </w:r>
      <w:r>
        <w:rPr>
          <w:rFonts w:hint="eastAsia" w:ascii="宋体" w:hAnsi="宋体" w:eastAsia="宋体" w:cs="宋体"/>
          <w:color w:val="auto"/>
          <w:kern w:val="0"/>
          <w:sz w:val="24"/>
          <w:szCs w:val="24"/>
        </w:rPr>
        <w:t>；</w:t>
      </w:r>
    </w:p>
    <w:p w14:paraId="7405832D">
      <w:pPr>
        <w:keepNext w:val="0"/>
        <w:keepLines w:val="0"/>
        <w:pageBreakBefore w:val="0"/>
        <w:widowControl/>
        <w:kinsoku/>
        <w:wordWrap/>
        <w:overflowPunct/>
        <w:topLinePunct w:val="0"/>
        <w:autoSpaceDE/>
        <w:autoSpaceDN/>
        <w:bidi w:val="0"/>
        <w:adjustRightInd/>
        <w:spacing w:before="75" w:after="75" w:line="24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）法定代表人身份证明书和法定代表人授权</w:t>
      </w:r>
      <w:r>
        <w:rPr>
          <w:rFonts w:hint="eastAsia" w:ascii="宋体" w:hAnsi="宋体" w:eastAsia="宋体" w:cs="宋体"/>
          <w:color w:val="auto"/>
          <w:kern w:val="0"/>
          <w:sz w:val="24"/>
          <w:szCs w:val="24"/>
          <w:lang w:eastAsia="zh-CN"/>
        </w:rPr>
        <w:t>委托</w:t>
      </w:r>
      <w:r>
        <w:rPr>
          <w:rFonts w:hint="eastAsia" w:ascii="宋体" w:hAnsi="宋体" w:eastAsia="宋体" w:cs="宋体"/>
          <w:color w:val="auto"/>
          <w:kern w:val="0"/>
          <w:sz w:val="24"/>
          <w:szCs w:val="24"/>
        </w:rPr>
        <w:t>书；</w:t>
      </w:r>
    </w:p>
    <w:p w14:paraId="6F9C05DC">
      <w:pPr>
        <w:keepNext w:val="0"/>
        <w:keepLines w:val="0"/>
        <w:pageBreakBefore w:val="0"/>
        <w:widowControl/>
        <w:kinsoku/>
        <w:wordWrap/>
        <w:overflowPunct/>
        <w:topLinePunct w:val="0"/>
        <w:autoSpaceDE/>
        <w:autoSpaceDN/>
        <w:bidi w:val="0"/>
        <w:adjustRightInd/>
        <w:spacing w:before="75" w:after="75" w:line="24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）投标报名表（需注明项目名称、项目编号、</w:t>
      </w:r>
      <w:r>
        <w:rPr>
          <w:rFonts w:hint="eastAsia" w:ascii="宋体" w:hAnsi="宋体" w:eastAsia="宋体" w:cs="宋体"/>
          <w:color w:val="auto"/>
          <w:kern w:val="0"/>
          <w:sz w:val="24"/>
          <w:szCs w:val="24"/>
          <w:lang w:eastAsia="zh-CN"/>
        </w:rPr>
        <w:t>磋商人</w:t>
      </w:r>
      <w:r>
        <w:rPr>
          <w:rFonts w:hint="eastAsia" w:ascii="宋体" w:hAnsi="宋体" w:eastAsia="宋体" w:cs="宋体"/>
          <w:color w:val="auto"/>
          <w:kern w:val="0"/>
          <w:sz w:val="24"/>
          <w:szCs w:val="24"/>
        </w:rPr>
        <w:t>名称、详细地址、联系人、联系人电话、传真号码以及邮箱等相关信息并加盖公章,格式自拟）</w:t>
      </w:r>
    </w:p>
    <w:p w14:paraId="1B8A2287">
      <w:pPr>
        <w:keepNext w:val="0"/>
        <w:keepLines w:val="0"/>
        <w:pageBreakBefore w:val="0"/>
        <w:kinsoku/>
        <w:wordWrap/>
        <w:overflowPunct/>
        <w:topLinePunct w:val="0"/>
        <w:autoSpaceDE/>
        <w:autoSpaceDN/>
        <w:bidi w:val="0"/>
        <w:spacing w:line="240" w:lineRule="auto"/>
        <w:ind w:firstLine="482" w:firstLineChars="200"/>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以上相关资料复印件均需加盖单位公章。</w:t>
      </w:r>
    </w:p>
    <w:p w14:paraId="297C6ABE">
      <w:pPr>
        <w:keepNext w:val="0"/>
        <w:keepLines w:val="0"/>
        <w:pageBreakBefore w:val="0"/>
        <w:kinsoku/>
        <w:wordWrap/>
        <w:overflowPunct/>
        <w:topLinePunct w:val="0"/>
        <w:autoSpaceDE/>
        <w:autoSpaceDN/>
        <w:bidi w:val="0"/>
        <w:spacing w:line="240" w:lineRule="auto"/>
        <w:ind w:firstLine="482" w:firstLineChars="200"/>
        <w:textAlignment w:val="auto"/>
        <w:rPr>
          <w:rFonts w:ascii="宋体" w:hAnsi="宋体" w:cs="宋体"/>
          <w:color w:val="auto"/>
          <w:kern w:val="0"/>
          <w:highlight w:val="none"/>
        </w:rPr>
      </w:pPr>
      <w:r>
        <w:rPr>
          <w:rFonts w:hint="eastAsia" w:ascii="宋体" w:hAnsi="宋体" w:eastAsia="宋体" w:cs="宋体"/>
          <w:b/>
          <w:color w:val="auto"/>
          <w:sz w:val="24"/>
          <w:szCs w:val="24"/>
        </w:rPr>
        <w:t>注：以上资格认定由采购代理机构进行初审，最终由评标委员会根据投标文件认定。</w:t>
      </w:r>
    </w:p>
    <w:p w14:paraId="135FE23C">
      <w:pPr>
        <w:widowControl/>
        <w:spacing w:before="75" w:after="75" w:line="240" w:lineRule="auto"/>
        <w:jc w:val="left"/>
        <w:rPr>
          <w:rFonts w:ascii="宋体" w:hAnsi="宋体" w:cs="宋体"/>
          <w:color w:val="auto"/>
          <w:kern w:val="0"/>
          <w:highlight w:val="none"/>
        </w:rPr>
      </w:pPr>
      <w:r>
        <w:rPr>
          <w:rFonts w:hint="eastAsia" w:ascii="宋体" w:hAnsi="宋体" w:cs="宋体"/>
          <w:b/>
          <w:bCs/>
          <w:color w:val="auto"/>
          <w:kern w:val="0"/>
          <w:highlight w:val="none"/>
        </w:rPr>
        <w:t>十</w:t>
      </w:r>
      <w:r>
        <w:rPr>
          <w:rFonts w:hint="eastAsia" w:ascii="宋体" w:hAnsi="宋体" w:cs="宋体"/>
          <w:b/>
          <w:bCs/>
          <w:color w:val="auto"/>
          <w:kern w:val="0"/>
          <w:highlight w:val="none"/>
          <w:lang w:eastAsia="zh-CN"/>
        </w:rPr>
        <w:t>一</w:t>
      </w:r>
      <w:r>
        <w:rPr>
          <w:rFonts w:hint="eastAsia" w:ascii="宋体" w:hAnsi="宋体" w:cs="宋体"/>
          <w:b/>
          <w:bCs/>
          <w:color w:val="auto"/>
          <w:kern w:val="0"/>
          <w:highlight w:val="none"/>
        </w:rPr>
        <w:t>. 联系方式</w:t>
      </w:r>
    </w:p>
    <w:p w14:paraId="3843855C">
      <w:pPr>
        <w:widowControl/>
        <w:spacing w:line="240" w:lineRule="auto"/>
        <w:ind w:firstLine="480" w:firstLineChars="200"/>
        <w:jc w:val="left"/>
        <w:rPr>
          <w:rFonts w:hint="eastAsia" w:ascii="宋体" w:hAnsi="宋体" w:cs="宋体"/>
          <w:color w:val="auto"/>
          <w:kern w:val="0"/>
          <w:highlight w:val="none"/>
          <w:lang w:eastAsia="zh-CN"/>
        </w:rPr>
      </w:pPr>
      <w:r>
        <w:rPr>
          <w:rFonts w:hint="eastAsia" w:ascii="宋体" w:hAnsi="宋体" w:cs="宋体"/>
          <w:color w:val="auto"/>
          <w:kern w:val="0"/>
          <w:highlight w:val="none"/>
        </w:rPr>
        <w:t>1、采购代理机构名称：</w:t>
      </w:r>
      <w:r>
        <w:rPr>
          <w:rFonts w:hint="eastAsia" w:ascii="宋体" w:hAnsi="宋体" w:cs="宋体"/>
          <w:color w:val="auto"/>
          <w:kern w:val="0"/>
          <w:highlight w:val="none"/>
          <w:lang w:eastAsia="zh-CN"/>
        </w:rPr>
        <w:t>德威工程管理咨询有限公司</w:t>
      </w:r>
    </w:p>
    <w:p w14:paraId="39B43FE8">
      <w:pPr>
        <w:autoSpaceDE w:val="0"/>
        <w:autoSpaceDN w:val="0"/>
        <w:adjustRightInd w:val="0"/>
        <w:spacing w:line="240" w:lineRule="auto"/>
        <w:ind w:firstLine="480" w:firstLineChars="200"/>
        <w:jc w:val="left"/>
        <w:rPr>
          <w:rFonts w:hint="eastAsia" w:ascii="宋体" w:hAnsi="宋体" w:eastAsia="宋体" w:cs="宋体"/>
          <w:color w:val="auto"/>
          <w:sz w:val="24"/>
          <w:lang w:eastAsia="zh-CN"/>
        </w:rPr>
      </w:pPr>
      <w:r>
        <w:rPr>
          <w:rFonts w:hint="eastAsia" w:ascii="宋体" w:hAnsi="宋体" w:eastAsia="宋体" w:cs="宋体"/>
          <w:color w:val="auto"/>
          <w:sz w:val="24"/>
        </w:rPr>
        <w:t>联系人：</w:t>
      </w:r>
      <w:r>
        <w:rPr>
          <w:rFonts w:hint="eastAsia" w:ascii="宋体" w:hAnsi="宋体" w:eastAsia="宋体" w:cs="宋体"/>
          <w:color w:val="auto"/>
          <w:sz w:val="24"/>
          <w:lang w:eastAsia="zh-CN"/>
        </w:rPr>
        <w:t>方女士</w:t>
      </w:r>
    </w:p>
    <w:p w14:paraId="67AE09CB">
      <w:pPr>
        <w:autoSpaceDE w:val="0"/>
        <w:autoSpaceDN w:val="0"/>
        <w:adjustRightInd w:val="0"/>
        <w:spacing w:line="240" w:lineRule="auto"/>
        <w:ind w:firstLine="480" w:firstLineChars="200"/>
        <w:jc w:val="left"/>
        <w:rPr>
          <w:rFonts w:hint="eastAsia" w:ascii="宋体" w:hAnsi="宋体" w:eastAsia="宋体" w:cs="宋体"/>
          <w:color w:val="auto"/>
          <w:sz w:val="24"/>
          <w:lang w:val="en-US" w:eastAsia="zh-CN"/>
        </w:rPr>
      </w:pPr>
      <w:r>
        <w:rPr>
          <w:rFonts w:hint="eastAsia" w:ascii="宋体" w:hAnsi="宋体" w:eastAsia="宋体" w:cs="宋体"/>
          <w:color w:val="auto"/>
          <w:sz w:val="24"/>
        </w:rPr>
        <w:t>联系电话：</w:t>
      </w:r>
      <w:r>
        <w:rPr>
          <w:rFonts w:hint="eastAsia" w:ascii="宋体" w:hAnsi="宋体" w:eastAsia="宋体" w:cs="宋体"/>
          <w:color w:val="auto"/>
          <w:sz w:val="24"/>
          <w:lang w:val="en-US" w:eastAsia="zh-CN"/>
        </w:rPr>
        <w:t>15067291590</w:t>
      </w:r>
    </w:p>
    <w:p w14:paraId="7EAFA8EB">
      <w:pPr>
        <w:autoSpaceDE w:val="0"/>
        <w:autoSpaceDN w:val="0"/>
        <w:adjustRightInd w:val="0"/>
        <w:spacing w:line="240" w:lineRule="auto"/>
        <w:ind w:firstLine="480" w:firstLineChars="200"/>
        <w:jc w:val="left"/>
        <w:rPr>
          <w:rFonts w:hint="default" w:ascii="宋体" w:hAnsi="宋体" w:eastAsia="宋体" w:cs="宋体"/>
          <w:color w:val="auto"/>
          <w:sz w:val="24"/>
          <w:lang w:val="en-US" w:eastAsia="zh-CN"/>
        </w:rPr>
      </w:pPr>
      <w:r>
        <w:rPr>
          <w:rFonts w:hint="default" w:ascii="宋体" w:hAnsi="宋体" w:eastAsia="宋体" w:cs="宋体"/>
          <w:color w:val="auto"/>
          <w:sz w:val="24"/>
          <w:lang w:val="en-US" w:eastAsia="zh-CN"/>
        </w:rPr>
        <w:t>质疑接受联系人：李红丽   联系电话：18006726697</w:t>
      </w:r>
    </w:p>
    <w:p w14:paraId="142BBC20">
      <w:pPr>
        <w:autoSpaceDE w:val="0"/>
        <w:autoSpaceDN w:val="0"/>
        <w:adjustRightInd w:val="0"/>
        <w:spacing w:line="240" w:lineRule="auto"/>
        <w:ind w:firstLine="480" w:firstLineChars="200"/>
        <w:jc w:val="left"/>
        <w:rPr>
          <w:rFonts w:hint="eastAsia" w:ascii="宋体" w:hAnsi="宋体" w:cs="宋体"/>
          <w:color w:val="auto"/>
          <w:sz w:val="24"/>
        </w:rPr>
      </w:pPr>
      <w:r>
        <w:rPr>
          <w:rFonts w:hint="eastAsia" w:ascii="宋体" w:hAnsi="宋体" w:cs="宋体"/>
          <w:color w:val="auto"/>
          <w:sz w:val="24"/>
        </w:rPr>
        <w:t>地址：浙江省湖州市吴兴区凤凰街道金色水岸1幢商务楼10楼</w:t>
      </w:r>
    </w:p>
    <w:p w14:paraId="45DD06F4">
      <w:pPr>
        <w:autoSpaceDE w:val="0"/>
        <w:autoSpaceDN w:val="0"/>
        <w:adjustRightInd w:val="0"/>
        <w:spacing w:line="240" w:lineRule="auto"/>
        <w:ind w:firstLine="480" w:firstLineChars="200"/>
        <w:jc w:val="left"/>
        <w:rPr>
          <w:rFonts w:ascii="宋体" w:hAnsi="宋体" w:cs="宋体"/>
          <w:color w:val="auto"/>
          <w:kern w:val="0"/>
          <w:highlight w:val="none"/>
        </w:rPr>
      </w:pPr>
      <w:r>
        <w:rPr>
          <w:rFonts w:hint="eastAsia" w:ascii="宋体" w:hAnsi="宋体" w:cs="宋体"/>
          <w:color w:val="auto"/>
          <w:kern w:val="0"/>
          <w:highlight w:val="none"/>
        </w:rPr>
        <w:t>2、采购人名称：</w:t>
      </w:r>
      <w:r>
        <w:rPr>
          <w:rFonts w:hint="eastAsia" w:ascii="宋体" w:hAnsi="宋体" w:cs="宋体"/>
          <w:color w:val="auto"/>
          <w:kern w:val="0"/>
          <w:highlight w:val="none"/>
          <w:lang w:eastAsia="zh-CN"/>
        </w:rPr>
        <w:t>湖州市吴兴区水利局</w:t>
      </w:r>
      <w:r>
        <w:rPr>
          <w:rFonts w:hint="eastAsia" w:ascii="宋体" w:hAnsi="宋体" w:cs="宋体"/>
          <w:color w:val="auto"/>
          <w:kern w:val="0"/>
          <w:highlight w:val="none"/>
        </w:rPr>
        <w:t xml:space="preserve"> </w:t>
      </w:r>
    </w:p>
    <w:p w14:paraId="61DAE047">
      <w:pPr>
        <w:widowControl/>
        <w:spacing w:line="240" w:lineRule="auto"/>
        <w:ind w:firstLine="480" w:firstLineChars="200"/>
        <w:jc w:val="left"/>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lang w:val="zh-CN"/>
        </w:rPr>
        <w:t>联系人：</w:t>
      </w:r>
      <w:r>
        <w:rPr>
          <w:rFonts w:hint="eastAsia" w:ascii="宋体" w:hAnsi="宋体" w:cs="宋体"/>
          <w:color w:val="auto"/>
          <w:kern w:val="0"/>
          <w:highlight w:val="none"/>
          <w:lang w:val="en-US" w:eastAsia="zh-CN"/>
        </w:rPr>
        <w:t xml:space="preserve">车琦辉   </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 xml:space="preserve">     联系电话：1</w:t>
      </w:r>
      <w:r>
        <w:rPr>
          <w:rFonts w:hint="eastAsia" w:ascii="宋体" w:hAnsi="宋体" w:cs="宋体"/>
          <w:color w:val="auto"/>
          <w:kern w:val="0"/>
          <w:highlight w:val="none"/>
          <w:lang w:val="en-US" w:eastAsia="zh-CN"/>
        </w:rPr>
        <w:t>5967229390</w:t>
      </w:r>
    </w:p>
    <w:p w14:paraId="021EBF04">
      <w:pPr>
        <w:spacing w:line="240" w:lineRule="auto"/>
        <w:ind w:right="560"/>
        <w:jc w:val="right"/>
        <w:rPr>
          <w:rFonts w:ascii="宋体" w:hAnsi="宋体" w:cs="宋体"/>
          <w:color w:val="auto"/>
          <w:kern w:val="0"/>
          <w:highlight w:val="none"/>
        </w:rPr>
      </w:pPr>
      <w:r>
        <w:rPr>
          <w:rFonts w:hint="eastAsia" w:ascii="宋体" w:hAnsi="宋体" w:cs="宋体"/>
          <w:color w:val="auto"/>
          <w:kern w:val="0"/>
          <w:highlight w:val="none"/>
          <w:lang w:eastAsia="zh-CN"/>
        </w:rPr>
        <w:t>湖州市吴兴区水利局</w:t>
      </w:r>
      <w:r>
        <w:rPr>
          <w:rFonts w:hint="eastAsia" w:ascii="宋体" w:hAnsi="宋体" w:cs="宋体"/>
          <w:color w:val="auto"/>
          <w:kern w:val="0"/>
          <w:highlight w:val="none"/>
        </w:rPr>
        <w:t xml:space="preserve"> </w:t>
      </w:r>
    </w:p>
    <w:p w14:paraId="549F0D73">
      <w:pPr>
        <w:spacing w:line="240" w:lineRule="auto"/>
        <w:ind w:right="560"/>
        <w:jc w:val="right"/>
        <w:rPr>
          <w:rFonts w:hint="eastAsia" w:ascii="宋体" w:hAnsi="宋体" w:eastAsia="宋体" w:cs="宋体"/>
          <w:color w:val="auto"/>
          <w:kern w:val="0"/>
          <w:highlight w:val="none"/>
          <w:lang w:eastAsia="zh-CN"/>
        </w:rPr>
      </w:pPr>
      <w:r>
        <w:rPr>
          <w:rFonts w:hint="eastAsia" w:ascii="宋体" w:hAnsi="宋体" w:cs="宋体"/>
          <w:color w:val="auto"/>
          <w:kern w:val="0"/>
          <w:highlight w:val="none"/>
          <w:lang w:eastAsia="zh-CN"/>
        </w:rPr>
        <w:t>德威工程管理咨询有限公司</w:t>
      </w:r>
    </w:p>
    <w:p w14:paraId="2B602CE1">
      <w:pPr>
        <w:pStyle w:val="56"/>
        <w:spacing w:line="240" w:lineRule="auto"/>
        <w:ind w:right="560"/>
        <w:jc w:val="right"/>
        <w:rPr>
          <w:rFonts w:hAnsi="宋体" w:cs="宋体"/>
          <w:b w:val="0"/>
          <w:color w:val="auto"/>
          <w:sz w:val="24"/>
          <w:szCs w:val="24"/>
          <w:highlight w:val="none"/>
        </w:rPr>
      </w:pPr>
      <w:r>
        <w:rPr>
          <w:rFonts w:hint="eastAsia" w:hAnsi="宋体" w:cs="宋体"/>
          <w:b w:val="0"/>
          <w:color w:val="auto"/>
          <w:sz w:val="24"/>
          <w:szCs w:val="24"/>
          <w:highlight w:val="none"/>
        </w:rPr>
        <w:t xml:space="preserve">       </w:t>
      </w:r>
      <w:r>
        <w:rPr>
          <w:rFonts w:hint="eastAsia" w:hAnsi="宋体" w:cs="宋体"/>
          <w:b w:val="0"/>
          <w:color w:val="auto"/>
          <w:sz w:val="24"/>
          <w:szCs w:val="24"/>
          <w:highlight w:val="none"/>
          <w:lang w:val="en-US" w:eastAsia="zh-CN"/>
        </w:rPr>
        <w:t>2025</w:t>
      </w:r>
      <w:r>
        <w:rPr>
          <w:rFonts w:hint="eastAsia" w:hAnsi="宋体" w:cs="宋体"/>
          <w:b w:val="0"/>
          <w:color w:val="auto"/>
          <w:sz w:val="24"/>
          <w:szCs w:val="24"/>
          <w:highlight w:val="none"/>
        </w:rPr>
        <w:t>年</w:t>
      </w:r>
      <w:r>
        <w:rPr>
          <w:rFonts w:hint="eastAsia" w:hAnsi="宋体" w:cs="宋体"/>
          <w:b w:val="0"/>
          <w:color w:val="auto"/>
          <w:sz w:val="24"/>
          <w:szCs w:val="24"/>
          <w:highlight w:val="none"/>
          <w:lang w:val="en-US" w:eastAsia="zh-CN"/>
        </w:rPr>
        <w:t xml:space="preserve"> 6 </w:t>
      </w:r>
      <w:r>
        <w:rPr>
          <w:rFonts w:hint="eastAsia" w:hAnsi="宋体" w:cs="宋体"/>
          <w:b w:val="0"/>
          <w:color w:val="auto"/>
          <w:sz w:val="24"/>
          <w:szCs w:val="24"/>
          <w:highlight w:val="none"/>
        </w:rPr>
        <w:t xml:space="preserve">月 </w:t>
      </w:r>
      <w:r>
        <w:rPr>
          <w:rFonts w:hint="eastAsia" w:hAnsi="宋体" w:cs="宋体"/>
          <w:b w:val="0"/>
          <w:color w:val="auto"/>
          <w:sz w:val="24"/>
          <w:szCs w:val="24"/>
          <w:highlight w:val="none"/>
          <w:lang w:val="en-US" w:eastAsia="zh-CN"/>
        </w:rPr>
        <w:t>18</w:t>
      </w:r>
      <w:r>
        <w:rPr>
          <w:rFonts w:hint="eastAsia" w:hAnsi="宋体" w:cs="宋体"/>
          <w:b w:val="0"/>
          <w:color w:val="auto"/>
          <w:sz w:val="24"/>
          <w:szCs w:val="24"/>
          <w:highlight w:val="none"/>
        </w:rPr>
        <w:t>日</w:t>
      </w:r>
    </w:p>
    <w:p w14:paraId="5D48984C">
      <w:pPr>
        <w:pStyle w:val="5"/>
        <w:spacing w:before="0" w:after="0" w:line="500" w:lineRule="exact"/>
        <w:jc w:val="center"/>
        <w:rPr>
          <w:rFonts w:ascii="宋体" w:hAnsi="宋体" w:cs="宋体"/>
          <w:color w:val="auto"/>
          <w:szCs w:val="32"/>
          <w:highlight w:val="none"/>
        </w:rPr>
      </w:pPr>
      <w:r>
        <w:rPr>
          <w:rFonts w:hint="eastAsia" w:ascii="宋体" w:hAnsi="宋体" w:cs="宋体"/>
          <w:color w:val="auto"/>
          <w:szCs w:val="32"/>
          <w:highlight w:val="none"/>
        </w:rPr>
        <w:br w:type="page"/>
      </w:r>
      <w:r>
        <w:rPr>
          <w:rFonts w:hint="eastAsia" w:ascii="宋体" w:hAnsi="宋体" w:cs="宋体"/>
          <w:color w:val="auto"/>
          <w:szCs w:val="32"/>
          <w:highlight w:val="none"/>
        </w:rPr>
        <w:t>第二章  供应商须知</w:t>
      </w:r>
    </w:p>
    <w:p w14:paraId="55716AFD">
      <w:pPr>
        <w:spacing w:line="500" w:lineRule="exact"/>
        <w:jc w:val="center"/>
        <w:rPr>
          <w:rFonts w:ascii="宋体" w:hAnsi="宋体" w:cs="宋体"/>
          <w:color w:val="auto"/>
          <w:sz w:val="30"/>
          <w:szCs w:val="30"/>
          <w:highlight w:val="none"/>
        </w:rPr>
      </w:pPr>
      <w:bookmarkStart w:id="3" w:name="_Toc32234"/>
      <w:bookmarkEnd w:id="3"/>
      <w:bookmarkStart w:id="4" w:name="_Toc30213"/>
      <w:bookmarkEnd w:id="4"/>
      <w:r>
        <w:rPr>
          <w:rFonts w:hint="eastAsia" w:ascii="宋体" w:hAnsi="宋体" w:cs="宋体"/>
          <w:color w:val="auto"/>
          <w:sz w:val="30"/>
          <w:szCs w:val="30"/>
          <w:highlight w:val="none"/>
        </w:rPr>
        <w:t>前 附 表</w:t>
      </w:r>
    </w:p>
    <w:tbl>
      <w:tblPr>
        <w:tblStyle w:val="33"/>
        <w:tblW w:w="1006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1"/>
        <w:gridCol w:w="2787"/>
        <w:gridCol w:w="6527"/>
      </w:tblGrid>
      <w:tr w14:paraId="4D2C80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372B1124">
            <w:pPr>
              <w:spacing w:line="320" w:lineRule="exact"/>
              <w:jc w:val="center"/>
              <w:rPr>
                <w:rFonts w:ascii="宋体" w:hAnsi="宋体" w:cs="宋体"/>
                <w:color w:val="auto"/>
                <w:highlight w:val="none"/>
              </w:rPr>
            </w:pPr>
            <w:r>
              <w:rPr>
                <w:rFonts w:hint="eastAsia" w:ascii="宋体" w:hAnsi="宋体" w:cs="宋体"/>
                <w:color w:val="auto"/>
                <w:highlight w:val="none"/>
              </w:rPr>
              <w:t>序号</w:t>
            </w:r>
          </w:p>
        </w:tc>
        <w:tc>
          <w:tcPr>
            <w:tcW w:w="2787" w:type="dxa"/>
            <w:tcBorders>
              <w:top w:val="single" w:color="auto" w:sz="4" w:space="0"/>
              <w:left w:val="single" w:color="auto" w:sz="4" w:space="0"/>
              <w:bottom w:val="single" w:color="auto" w:sz="4" w:space="0"/>
              <w:right w:val="single" w:color="auto" w:sz="4" w:space="0"/>
            </w:tcBorders>
            <w:vAlign w:val="center"/>
          </w:tcPr>
          <w:p w14:paraId="7B88D040">
            <w:pPr>
              <w:spacing w:line="320" w:lineRule="exact"/>
              <w:jc w:val="center"/>
              <w:rPr>
                <w:rFonts w:ascii="宋体" w:hAnsi="宋体" w:cs="宋体"/>
                <w:color w:val="auto"/>
                <w:highlight w:val="none"/>
              </w:rPr>
            </w:pPr>
            <w:r>
              <w:rPr>
                <w:rFonts w:hint="eastAsia" w:ascii="宋体" w:hAnsi="宋体" w:cs="宋体"/>
                <w:color w:val="auto"/>
                <w:highlight w:val="none"/>
              </w:rPr>
              <w:t>项  目</w:t>
            </w:r>
          </w:p>
        </w:tc>
        <w:tc>
          <w:tcPr>
            <w:tcW w:w="6527" w:type="dxa"/>
            <w:tcBorders>
              <w:top w:val="single" w:color="auto" w:sz="4" w:space="0"/>
              <w:left w:val="single" w:color="auto" w:sz="4" w:space="0"/>
              <w:bottom w:val="single" w:color="auto" w:sz="4" w:space="0"/>
              <w:right w:val="single" w:color="auto" w:sz="4" w:space="0"/>
            </w:tcBorders>
            <w:vAlign w:val="center"/>
          </w:tcPr>
          <w:p w14:paraId="55BFBF85">
            <w:pPr>
              <w:spacing w:line="320" w:lineRule="exact"/>
              <w:jc w:val="center"/>
              <w:rPr>
                <w:rFonts w:ascii="宋体" w:hAnsi="宋体" w:cs="宋体"/>
                <w:color w:val="auto"/>
                <w:highlight w:val="none"/>
              </w:rPr>
            </w:pPr>
            <w:r>
              <w:rPr>
                <w:rFonts w:hint="eastAsia" w:ascii="宋体" w:hAnsi="宋体" w:cs="宋体"/>
                <w:color w:val="auto"/>
                <w:highlight w:val="none"/>
              </w:rPr>
              <w:t>内容与要求</w:t>
            </w:r>
          </w:p>
        </w:tc>
      </w:tr>
      <w:tr w14:paraId="2A08D0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32971548">
            <w:pPr>
              <w:spacing w:line="320" w:lineRule="exact"/>
              <w:jc w:val="center"/>
              <w:rPr>
                <w:rFonts w:ascii="宋体" w:hAnsi="宋体" w:cs="宋体"/>
                <w:color w:val="auto"/>
                <w:highlight w:val="none"/>
              </w:rPr>
            </w:pPr>
            <w:r>
              <w:rPr>
                <w:rFonts w:hint="eastAsia" w:ascii="宋体" w:hAnsi="宋体" w:cs="宋体"/>
                <w:color w:val="auto"/>
                <w:highlight w:val="none"/>
              </w:rPr>
              <w:t>1</w:t>
            </w:r>
          </w:p>
        </w:tc>
        <w:tc>
          <w:tcPr>
            <w:tcW w:w="2787" w:type="dxa"/>
            <w:tcBorders>
              <w:top w:val="single" w:color="auto" w:sz="4" w:space="0"/>
              <w:left w:val="single" w:color="auto" w:sz="4" w:space="0"/>
              <w:bottom w:val="single" w:color="auto" w:sz="4" w:space="0"/>
              <w:right w:val="single" w:color="auto" w:sz="4" w:space="0"/>
            </w:tcBorders>
            <w:vAlign w:val="center"/>
          </w:tcPr>
          <w:p w14:paraId="1D218A6D">
            <w:pPr>
              <w:spacing w:line="320" w:lineRule="exact"/>
              <w:jc w:val="center"/>
              <w:rPr>
                <w:rFonts w:ascii="宋体" w:hAnsi="宋体" w:cs="宋体"/>
                <w:bCs/>
                <w:color w:val="auto"/>
                <w:highlight w:val="none"/>
              </w:rPr>
            </w:pPr>
            <w:r>
              <w:rPr>
                <w:rFonts w:hint="eastAsia" w:ascii="宋体" w:hAnsi="宋体" w:cs="宋体"/>
                <w:bCs/>
                <w:color w:val="auto"/>
                <w:highlight w:val="none"/>
              </w:rPr>
              <w:t>项目名称</w:t>
            </w:r>
          </w:p>
        </w:tc>
        <w:tc>
          <w:tcPr>
            <w:tcW w:w="6527" w:type="dxa"/>
            <w:tcBorders>
              <w:top w:val="single" w:color="auto" w:sz="4" w:space="0"/>
              <w:left w:val="single" w:color="auto" w:sz="4" w:space="0"/>
              <w:bottom w:val="single" w:color="auto" w:sz="4" w:space="0"/>
              <w:right w:val="single" w:color="auto" w:sz="4" w:space="0"/>
            </w:tcBorders>
            <w:vAlign w:val="center"/>
          </w:tcPr>
          <w:p w14:paraId="38A479D2">
            <w:pPr>
              <w:spacing w:line="320" w:lineRule="exact"/>
              <w:rPr>
                <w:rFonts w:ascii="宋体" w:hAnsi="宋体" w:cs="宋体"/>
                <w:bCs/>
                <w:color w:val="auto"/>
                <w:spacing w:val="-4"/>
                <w:highlight w:val="none"/>
              </w:rPr>
            </w:pPr>
            <w:r>
              <w:rPr>
                <w:rFonts w:hint="eastAsia" w:ascii="宋体" w:hAnsi="宋体" w:cs="宋体"/>
                <w:color w:val="auto"/>
                <w:kern w:val="0"/>
                <w:highlight w:val="none"/>
                <w:lang w:eastAsia="zh-CN"/>
              </w:rPr>
              <w:t>吴兴区2025年水土保持技术支撑服务项目</w:t>
            </w:r>
            <w:r>
              <w:rPr>
                <w:rFonts w:hint="eastAsia" w:ascii="宋体" w:hAnsi="宋体" w:cs="宋体"/>
                <w:color w:val="auto"/>
                <w:kern w:val="0"/>
                <w:highlight w:val="none"/>
              </w:rPr>
              <w:tab/>
            </w:r>
          </w:p>
        </w:tc>
      </w:tr>
      <w:tr w14:paraId="40B580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55EEC84F">
            <w:pPr>
              <w:spacing w:line="320" w:lineRule="exact"/>
              <w:jc w:val="center"/>
              <w:rPr>
                <w:rFonts w:ascii="宋体" w:hAnsi="宋体" w:cs="宋体"/>
                <w:color w:val="auto"/>
                <w:highlight w:val="none"/>
              </w:rPr>
            </w:pPr>
            <w:r>
              <w:rPr>
                <w:rFonts w:hint="eastAsia" w:ascii="宋体" w:hAnsi="宋体" w:cs="宋体"/>
                <w:color w:val="auto"/>
                <w:highlight w:val="none"/>
              </w:rPr>
              <w:t>2</w:t>
            </w:r>
          </w:p>
        </w:tc>
        <w:tc>
          <w:tcPr>
            <w:tcW w:w="2787" w:type="dxa"/>
            <w:tcBorders>
              <w:top w:val="single" w:color="auto" w:sz="4" w:space="0"/>
              <w:left w:val="single" w:color="auto" w:sz="4" w:space="0"/>
              <w:bottom w:val="single" w:color="auto" w:sz="4" w:space="0"/>
              <w:right w:val="single" w:color="auto" w:sz="4" w:space="0"/>
            </w:tcBorders>
            <w:vAlign w:val="center"/>
          </w:tcPr>
          <w:p w14:paraId="10C16C9D">
            <w:pPr>
              <w:spacing w:line="320" w:lineRule="exact"/>
              <w:jc w:val="center"/>
              <w:rPr>
                <w:rFonts w:ascii="宋体" w:hAnsi="宋体" w:cs="宋体"/>
                <w:bCs/>
                <w:color w:val="auto"/>
                <w:highlight w:val="none"/>
              </w:rPr>
            </w:pPr>
            <w:r>
              <w:rPr>
                <w:rFonts w:hint="eastAsia" w:ascii="宋体" w:hAnsi="宋体" w:cs="宋体"/>
                <w:bCs/>
                <w:color w:val="auto"/>
                <w:highlight w:val="none"/>
              </w:rPr>
              <w:t>编号</w:t>
            </w:r>
          </w:p>
        </w:tc>
        <w:tc>
          <w:tcPr>
            <w:tcW w:w="6527" w:type="dxa"/>
            <w:tcBorders>
              <w:top w:val="single" w:color="auto" w:sz="4" w:space="0"/>
              <w:left w:val="single" w:color="auto" w:sz="4" w:space="0"/>
              <w:bottom w:val="single" w:color="auto" w:sz="4" w:space="0"/>
              <w:right w:val="single" w:color="auto" w:sz="4" w:space="0"/>
            </w:tcBorders>
            <w:vAlign w:val="center"/>
          </w:tcPr>
          <w:p w14:paraId="3D84E113">
            <w:pPr>
              <w:spacing w:line="320" w:lineRule="exact"/>
              <w:rPr>
                <w:rFonts w:hint="eastAsia" w:ascii="宋体" w:hAnsi="宋体" w:eastAsia="宋体" w:cs="宋体"/>
                <w:color w:val="auto"/>
                <w:highlight w:val="none"/>
                <w:lang w:eastAsia="zh-CN"/>
              </w:rPr>
            </w:pPr>
            <w:r>
              <w:rPr>
                <w:rFonts w:hint="eastAsia" w:ascii="宋体" w:hAnsi="宋体" w:cs="宋体"/>
                <w:bCs/>
                <w:color w:val="auto"/>
                <w:spacing w:val="-4"/>
                <w:highlight w:val="none"/>
              </w:rPr>
              <w:t>磋商文件编号:</w:t>
            </w:r>
            <w:r>
              <w:rPr>
                <w:rFonts w:hint="eastAsia" w:ascii="宋体" w:hAnsi="宋体" w:cs="宋体"/>
                <w:color w:val="auto"/>
                <w:highlight w:val="none"/>
              </w:rPr>
              <w:t xml:space="preserve"> 德威采字〔2025〕004号   </w:t>
            </w:r>
          </w:p>
        </w:tc>
      </w:tr>
      <w:tr w14:paraId="7DCC24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44686BE0">
            <w:pPr>
              <w:spacing w:line="320" w:lineRule="exact"/>
              <w:jc w:val="center"/>
              <w:rPr>
                <w:rFonts w:ascii="宋体" w:hAnsi="宋体" w:cs="宋体"/>
                <w:color w:val="auto"/>
                <w:highlight w:val="none"/>
              </w:rPr>
            </w:pPr>
            <w:r>
              <w:rPr>
                <w:rFonts w:hint="eastAsia" w:ascii="宋体" w:hAnsi="宋体" w:cs="宋体"/>
                <w:color w:val="auto"/>
                <w:highlight w:val="none"/>
              </w:rPr>
              <w:t>3</w:t>
            </w:r>
          </w:p>
        </w:tc>
        <w:tc>
          <w:tcPr>
            <w:tcW w:w="2787" w:type="dxa"/>
            <w:tcBorders>
              <w:top w:val="single" w:color="auto" w:sz="4" w:space="0"/>
              <w:left w:val="single" w:color="auto" w:sz="4" w:space="0"/>
              <w:bottom w:val="single" w:color="auto" w:sz="4" w:space="0"/>
              <w:right w:val="single" w:color="auto" w:sz="4" w:space="0"/>
            </w:tcBorders>
            <w:vAlign w:val="center"/>
          </w:tcPr>
          <w:p w14:paraId="2E5F42EF">
            <w:pPr>
              <w:spacing w:line="320" w:lineRule="exact"/>
              <w:jc w:val="center"/>
              <w:rPr>
                <w:rFonts w:ascii="宋体" w:hAnsi="宋体" w:cs="宋体"/>
                <w:bCs/>
                <w:color w:val="auto"/>
                <w:highlight w:val="none"/>
              </w:rPr>
            </w:pPr>
            <w:r>
              <w:rPr>
                <w:rFonts w:hint="eastAsia" w:ascii="宋体" w:hAnsi="宋体" w:cs="宋体"/>
                <w:bCs/>
                <w:color w:val="auto"/>
                <w:highlight w:val="none"/>
              </w:rPr>
              <w:t>磋商代理费</w:t>
            </w:r>
          </w:p>
        </w:tc>
        <w:tc>
          <w:tcPr>
            <w:tcW w:w="6527" w:type="dxa"/>
            <w:tcBorders>
              <w:top w:val="single" w:color="auto" w:sz="4" w:space="0"/>
              <w:left w:val="single" w:color="auto" w:sz="4" w:space="0"/>
              <w:bottom w:val="single" w:color="auto" w:sz="4" w:space="0"/>
              <w:right w:val="single" w:color="auto" w:sz="4" w:space="0"/>
            </w:tcBorders>
            <w:vAlign w:val="center"/>
          </w:tcPr>
          <w:p w14:paraId="049898D5">
            <w:pPr>
              <w:spacing w:line="320" w:lineRule="exact"/>
              <w:rPr>
                <w:rFonts w:ascii="宋体" w:hAnsi="宋体" w:cs="宋体"/>
                <w:color w:val="auto"/>
                <w:highlight w:val="none"/>
              </w:rPr>
            </w:pPr>
            <w:r>
              <w:rPr>
                <w:rFonts w:hint="eastAsia" w:ascii="宋体" w:hAnsi="宋体" w:cs="宋体"/>
                <w:color w:val="auto"/>
                <w:kern w:val="0"/>
                <w:highlight w:val="none"/>
              </w:rPr>
              <w:t>磋商代理费由</w:t>
            </w:r>
            <w:r>
              <w:rPr>
                <w:rFonts w:hint="eastAsia" w:ascii="宋体" w:hAnsi="宋体" w:cs="宋体"/>
                <w:b/>
                <w:bCs/>
                <w:color w:val="auto"/>
                <w:kern w:val="0"/>
                <w:highlight w:val="none"/>
                <w:u w:val="single"/>
              </w:rPr>
              <w:t>中标人</w:t>
            </w:r>
            <w:r>
              <w:rPr>
                <w:rFonts w:hint="eastAsia" w:ascii="宋体" w:hAnsi="宋体" w:cs="宋体"/>
                <w:color w:val="auto"/>
                <w:kern w:val="0"/>
                <w:highlight w:val="none"/>
              </w:rPr>
              <w:t>支付，磋商代理费</w:t>
            </w:r>
            <w:r>
              <w:rPr>
                <w:rFonts w:hint="eastAsia" w:ascii="宋体" w:hAnsi="宋体" w:cs="宋体"/>
                <w:bCs/>
                <w:color w:val="auto"/>
                <w:kern w:val="0"/>
                <w:highlight w:val="none"/>
              </w:rPr>
              <w:t>按照计价格（2002）1980号文件标准</w:t>
            </w:r>
            <w:r>
              <w:rPr>
                <w:rFonts w:hint="eastAsia" w:ascii="宋体" w:hAnsi="宋体" w:cs="宋体"/>
                <w:color w:val="auto"/>
                <w:kern w:val="0"/>
                <w:highlight w:val="none"/>
              </w:rPr>
              <w:t>，领取中标通知书前支付给采购代理机构，该费用请供应商自行考虑计入竞标报价中。本项目代理费按6357</w:t>
            </w:r>
            <w:r>
              <w:rPr>
                <w:rFonts w:hint="eastAsia" w:ascii="宋体" w:hAnsi="宋体" w:cs="宋体"/>
                <w:color w:val="auto"/>
                <w:kern w:val="0"/>
                <w:highlight w:val="none"/>
                <w:lang w:val="en-US" w:eastAsia="zh-CN"/>
              </w:rPr>
              <w:t>.</w:t>
            </w:r>
            <w:r>
              <w:rPr>
                <w:rFonts w:hint="eastAsia" w:ascii="宋体" w:hAnsi="宋体" w:cs="宋体"/>
                <w:color w:val="auto"/>
                <w:kern w:val="0"/>
                <w:highlight w:val="none"/>
              </w:rPr>
              <w:t>5元计取。</w:t>
            </w:r>
          </w:p>
        </w:tc>
      </w:tr>
      <w:tr w14:paraId="66C61E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3B9CD463">
            <w:pPr>
              <w:spacing w:line="320" w:lineRule="exact"/>
              <w:jc w:val="center"/>
              <w:rPr>
                <w:rFonts w:ascii="宋体" w:hAnsi="宋体" w:cs="宋体"/>
                <w:color w:val="auto"/>
                <w:highlight w:val="none"/>
              </w:rPr>
            </w:pPr>
            <w:r>
              <w:rPr>
                <w:rFonts w:hint="eastAsia" w:ascii="宋体" w:hAnsi="宋体" w:cs="宋体"/>
                <w:color w:val="auto"/>
                <w:highlight w:val="none"/>
              </w:rPr>
              <w:t>4</w:t>
            </w:r>
          </w:p>
        </w:tc>
        <w:tc>
          <w:tcPr>
            <w:tcW w:w="2787" w:type="dxa"/>
            <w:tcBorders>
              <w:top w:val="single" w:color="auto" w:sz="4" w:space="0"/>
              <w:left w:val="single" w:color="auto" w:sz="4" w:space="0"/>
              <w:bottom w:val="single" w:color="auto" w:sz="4" w:space="0"/>
              <w:right w:val="single" w:color="auto" w:sz="4" w:space="0"/>
            </w:tcBorders>
            <w:vAlign w:val="center"/>
          </w:tcPr>
          <w:p w14:paraId="1F8F969A">
            <w:pPr>
              <w:spacing w:line="320" w:lineRule="exact"/>
              <w:jc w:val="center"/>
              <w:rPr>
                <w:rFonts w:ascii="宋体" w:hAnsi="宋体" w:cs="宋体"/>
                <w:bCs/>
                <w:color w:val="auto"/>
                <w:highlight w:val="none"/>
              </w:rPr>
            </w:pPr>
            <w:r>
              <w:rPr>
                <w:rFonts w:hint="eastAsia" w:ascii="宋体" w:hAnsi="宋体" w:cs="宋体"/>
                <w:bCs/>
                <w:color w:val="auto"/>
                <w:highlight w:val="none"/>
              </w:rPr>
              <w:t>代理费交纳方式</w:t>
            </w:r>
          </w:p>
        </w:tc>
        <w:tc>
          <w:tcPr>
            <w:tcW w:w="6527" w:type="dxa"/>
            <w:tcBorders>
              <w:top w:val="single" w:color="auto" w:sz="4" w:space="0"/>
              <w:left w:val="single" w:color="auto" w:sz="4" w:space="0"/>
              <w:bottom w:val="single" w:color="auto" w:sz="4" w:space="0"/>
              <w:right w:val="single" w:color="auto" w:sz="4" w:space="0"/>
            </w:tcBorders>
            <w:vAlign w:val="center"/>
          </w:tcPr>
          <w:p w14:paraId="33968D6C">
            <w:pPr>
              <w:spacing w:line="320" w:lineRule="exact"/>
              <w:rPr>
                <w:rFonts w:ascii="宋体" w:hAnsi="宋体" w:cs="宋体"/>
                <w:color w:val="auto"/>
                <w:kern w:val="0"/>
                <w:highlight w:val="none"/>
              </w:rPr>
            </w:pPr>
            <w:r>
              <w:rPr>
                <w:rFonts w:hint="eastAsia" w:ascii="宋体" w:hAnsi="宋体" w:cs="宋体"/>
                <w:color w:val="auto"/>
                <w:kern w:val="0"/>
                <w:highlight w:val="none"/>
              </w:rPr>
              <w:t>可以是汇款或转账形式；</w:t>
            </w:r>
          </w:p>
          <w:p w14:paraId="2E856FCD">
            <w:pPr>
              <w:spacing w:line="320" w:lineRule="exact"/>
              <w:rPr>
                <w:rFonts w:ascii="宋体" w:hAnsi="宋体" w:cs="宋体"/>
                <w:color w:val="auto"/>
                <w:kern w:val="0"/>
                <w:highlight w:val="none"/>
              </w:rPr>
            </w:pPr>
            <w:r>
              <w:rPr>
                <w:rFonts w:hint="eastAsia" w:ascii="宋体" w:hAnsi="宋体" w:cs="宋体"/>
                <w:color w:val="auto"/>
                <w:kern w:val="0"/>
                <w:highlight w:val="none"/>
              </w:rPr>
              <w:t>单位名称：德威工程管理咨询有限公司湖州分公司</w:t>
            </w:r>
          </w:p>
          <w:p w14:paraId="26367009">
            <w:pPr>
              <w:spacing w:line="320" w:lineRule="exact"/>
              <w:rPr>
                <w:rFonts w:hint="eastAsia" w:ascii="宋体" w:hAnsi="宋体" w:cs="宋体"/>
                <w:color w:val="auto"/>
                <w:kern w:val="0"/>
                <w:highlight w:val="none"/>
              </w:rPr>
            </w:pPr>
            <w:r>
              <w:rPr>
                <w:rFonts w:hint="eastAsia" w:ascii="宋体" w:hAnsi="宋体" w:cs="宋体"/>
                <w:color w:val="auto"/>
                <w:kern w:val="0"/>
                <w:highlight w:val="none"/>
              </w:rPr>
              <w:t>账户号码：33050164935500000449</w:t>
            </w:r>
          </w:p>
          <w:p w14:paraId="53326356">
            <w:pPr>
              <w:spacing w:line="320" w:lineRule="exact"/>
              <w:rPr>
                <w:rFonts w:ascii="宋体" w:hAnsi="宋体" w:cs="宋体"/>
                <w:color w:val="auto"/>
                <w:kern w:val="0"/>
                <w:highlight w:val="none"/>
              </w:rPr>
            </w:pPr>
            <w:r>
              <w:rPr>
                <w:rFonts w:hint="eastAsia" w:ascii="宋体" w:hAnsi="宋体" w:cs="宋体"/>
                <w:color w:val="auto"/>
                <w:kern w:val="0"/>
                <w:highlight w:val="none"/>
              </w:rPr>
              <w:t>开户行：中国建设银行湖州市民中心支行</w:t>
            </w:r>
          </w:p>
        </w:tc>
      </w:tr>
      <w:tr w14:paraId="3A9787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9"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0E4D3045">
            <w:pPr>
              <w:spacing w:line="320" w:lineRule="exact"/>
              <w:jc w:val="center"/>
              <w:rPr>
                <w:rFonts w:ascii="宋体" w:hAnsi="宋体" w:cs="宋体"/>
                <w:color w:val="auto"/>
                <w:highlight w:val="none"/>
              </w:rPr>
            </w:pPr>
            <w:r>
              <w:rPr>
                <w:rFonts w:hint="eastAsia" w:ascii="宋体" w:hAnsi="宋体" w:cs="宋体"/>
                <w:color w:val="auto"/>
                <w:highlight w:val="none"/>
              </w:rPr>
              <w:t>5</w:t>
            </w:r>
          </w:p>
        </w:tc>
        <w:tc>
          <w:tcPr>
            <w:tcW w:w="2787" w:type="dxa"/>
            <w:tcBorders>
              <w:top w:val="single" w:color="auto" w:sz="4" w:space="0"/>
              <w:left w:val="single" w:color="auto" w:sz="4" w:space="0"/>
              <w:bottom w:val="single" w:color="auto" w:sz="4" w:space="0"/>
              <w:right w:val="single" w:color="auto" w:sz="4" w:space="0"/>
            </w:tcBorders>
            <w:vAlign w:val="center"/>
          </w:tcPr>
          <w:p w14:paraId="3756C215">
            <w:pPr>
              <w:spacing w:line="320" w:lineRule="exact"/>
              <w:jc w:val="center"/>
              <w:rPr>
                <w:rFonts w:ascii="宋体" w:hAnsi="宋体" w:cs="宋体"/>
                <w:bCs/>
                <w:color w:val="auto"/>
                <w:highlight w:val="none"/>
              </w:rPr>
            </w:pPr>
            <w:r>
              <w:rPr>
                <w:rFonts w:hint="eastAsia" w:ascii="宋体" w:hAnsi="宋体" w:cs="宋体"/>
                <w:bCs/>
                <w:color w:val="auto"/>
                <w:highlight w:val="none"/>
              </w:rPr>
              <w:t>项目实施地点</w:t>
            </w:r>
          </w:p>
        </w:tc>
        <w:tc>
          <w:tcPr>
            <w:tcW w:w="6527" w:type="dxa"/>
            <w:tcBorders>
              <w:top w:val="single" w:color="auto" w:sz="4" w:space="0"/>
              <w:left w:val="single" w:color="auto" w:sz="4" w:space="0"/>
              <w:bottom w:val="single" w:color="auto" w:sz="4" w:space="0"/>
              <w:right w:val="single" w:color="auto" w:sz="4" w:space="0"/>
            </w:tcBorders>
            <w:vAlign w:val="center"/>
          </w:tcPr>
          <w:p w14:paraId="0ADF73E1">
            <w:pPr>
              <w:spacing w:line="320" w:lineRule="exact"/>
              <w:rPr>
                <w:rFonts w:ascii="宋体" w:hAnsi="宋体" w:cs="宋体"/>
                <w:color w:val="auto"/>
                <w:highlight w:val="none"/>
              </w:rPr>
            </w:pPr>
            <w:r>
              <w:rPr>
                <w:rFonts w:hint="eastAsia" w:ascii="宋体" w:hAnsi="宋体" w:cs="宋体"/>
                <w:color w:val="auto"/>
                <w:highlight w:val="none"/>
              </w:rPr>
              <w:t>采购人指定地点。</w:t>
            </w:r>
          </w:p>
        </w:tc>
      </w:tr>
      <w:tr w14:paraId="0598FE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729AFFA2">
            <w:pPr>
              <w:spacing w:line="320" w:lineRule="exact"/>
              <w:jc w:val="center"/>
              <w:rPr>
                <w:rFonts w:ascii="宋体" w:hAnsi="宋体" w:cs="宋体"/>
                <w:color w:val="auto"/>
                <w:highlight w:val="none"/>
              </w:rPr>
            </w:pPr>
            <w:r>
              <w:rPr>
                <w:rFonts w:hint="eastAsia" w:ascii="宋体" w:hAnsi="宋体" w:cs="宋体"/>
                <w:color w:val="auto"/>
                <w:highlight w:val="none"/>
              </w:rPr>
              <w:t>6</w:t>
            </w:r>
          </w:p>
        </w:tc>
        <w:tc>
          <w:tcPr>
            <w:tcW w:w="2787" w:type="dxa"/>
            <w:tcBorders>
              <w:top w:val="single" w:color="auto" w:sz="4" w:space="0"/>
              <w:left w:val="single" w:color="auto" w:sz="4" w:space="0"/>
              <w:bottom w:val="single" w:color="auto" w:sz="4" w:space="0"/>
              <w:right w:val="single" w:color="auto" w:sz="4" w:space="0"/>
            </w:tcBorders>
            <w:vAlign w:val="center"/>
          </w:tcPr>
          <w:p w14:paraId="428F7BF0">
            <w:pPr>
              <w:spacing w:line="320" w:lineRule="exact"/>
              <w:jc w:val="center"/>
              <w:rPr>
                <w:rFonts w:ascii="宋体" w:hAnsi="宋体" w:cs="宋体"/>
                <w:bCs/>
                <w:color w:val="auto"/>
                <w:highlight w:val="none"/>
              </w:rPr>
            </w:pPr>
            <w:r>
              <w:rPr>
                <w:rFonts w:hint="eastAsia" w:ascii="宋体" w:hAnsi="宋体" w:cs="宋体"/>
                <w:bCs/>
                <w:color w:val="auto"/>
                <w:highlight w:val="none"/>
              </w:rPr>
              <w:t>完成期限</w:t>
            </w:r>
          </w:p>
        </w:tc>
        <w:tc>
          <w:tcPr>
            <w:tcW w:w="6527" w:type="dxa"/>
            <w:tcBorders>
              <w:top w:val="single" w:color="auto" w:sz="4" w:space="0"/>
              <w:left w:val="single" w:color="auto" w:sz="4" w:space="0"/>
              <w:bottom w:val="single" w:color="auto" w:sz="4" w:space="0"/>
              <w:right w:val="single" w:color="auto" w:sz="4" w:space="0"/>
            </w:tcBorders>
            <w:vAlign w:val="center"/>
          </w:tcPr>
          <w:p w14:paraId="08396B97">
            <w:pPr>
              <w:spacing w:line="320" w:lineRule="exact"/>
              <w:rPr>
                <w:rFonts w:ascii="宋体" w:hAnsi="宋体" w:cs="宋体"/>
                <w:color w:val="auto"/>
                <w:highlight w:val="none"/>
              </w:rPr>
            </w:pPr>
            <w:r>
              <w:rPr>
                <w:rFonts w:hint="eastAsia" w:ascii="宋体" w:hAnsi="宋体" w:cs="宋体"/>
                <w:color w:val="auto"/>
                <w:highlight w:val="none"/>
              </w:rPr>
              <w:t>采购规定的时间前完成</w:t>
            </w:r>
          </w:p>
        </w:tc>
      </w:tr>
      <w:tr w14:paraId="693F3B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5C8B1591">
            <w:pPr>
              <w:spacing w:line="320" w:lineRule="exact"/>
              <w:jc w:val="center"/>
              <w:rPr>
                <w:rFonts w:ascii="宋体" w:hAnsi="宋体" w:cs="宋体"/>
                <w:color w:val="auto"/>
                <w:highlight w:val="none"/>
              </w:rPr>
            </w:pPr>
            <w:r>
              <w:rPr>
                <w:rFonts w:hint="eastAsia" w:ascii="宋体" w:hAnsi="宋体" w:cs="宋体"/>
                <w:color w:val="auto"/>
                <w:highlight w:val="none"/>
              </w:rPr>
              <w:t>7</w:t>
            </w:r>
          </w:p>
        </w:tc>
        <w:tc>
          <w:tcPr>
            <w:tcW w:w="2787" w:type="dxa"/>
            <w:tcBorders>
              <w:top w:val="single" w:color="auto" w:sz="4" w:space="0"/>
              <w:left w:val="single" w:color="auto" w:sz="4" w:space="0"/>
              <w:bottom w:val="single" w:color="auto" w:sz="4" w:space="0"/>
              <w:right w:val="single" w:color="auto" w:sz="4" w:space="0"/>
            </w:tcBorders>
            <w:vAlign w:val="center"/>
          </w:tcPr>
          <w:p w14:paraId="465F5A71">
            <w:pPr>
              <w:spacing w:line="320" w:lineRule="exact"/>
              <w:jc w:val="center"/>
              <w:rPr>
                <w:rFonts w:ascii="宋体" w:hAnsi="宋体" w:cs="宋体"/>
                <w:bCs/>
                <w:color w:val="auto"/>
                <w:highlight w:val="none"/>
              </w:rPr>
            </w:pPr>
            <w:r>
              <w:rPr>
                <w:rFonts w:hint="eastAsia" w:ascii="宋体" w:hAnsi="宋体" w:cs="宋体"/>
                <w:bCs/>
                <w:color w:val="auto"/>
                <w:highlight w:val="none"/>
              </w:rPr>
              <w:t>磋商答疑时间</w:t>
            </w:r>
          </w:p>
        </w:tc>
        <w:tc>
          <w:tcPr>
            <w:tcW w:w="6527" w:type="dxa"/>
            <w:tcBorders>
              <w:top w:val="single" w:color="auto" w:sz="4" w:space="0"/>
              <w:left w:val="single" w:color="auto" w:sz="4" w:space="0"/>
              <w:bottom w:val="single" w:color="auto" w:sz="4" w:space="0"/>
              <w:right w:val="single" w:color="auto" w:sz="4" w:space="0"/>
            </w:tcBorders>
            <w:vAlign w:val="center"/>
          </w:tcPr>
          <w:p w14:paraId="1BBBB755">
            <w:pPr>
              <w:spacing w:line="320" w:lineRule="exact"/>
              <w:rPr>
                <w:rFonts w:ascii="宋体" w:hAnsi="宋体" w:cs="宋体"/>
                <w:color w:val="auto"/>
                <w:kern w:val="0"/>
                <w:highlight w:val="none"/>
              </w:rPr>
            </w:pPr>
            <w:r>
              <w:rPr>
                <w:rFonts w:hint="eastAsia" w:ascii="宋体" w:hAnsi="宋体" w:cs="宋体"/>
                <w:color w:val="auto"/>
                <w:highlight w:val="none"/>
              </w:rPr>
              <w:t>供货商如认为招标文件表述不清晰、存在歧视性或者其他违法内容的，可以在知道或者应知其权益受到损害之日起7个工作日内以书面形式要求采购人作出书面解释、澄清或者向采购人提出书面质疑，根据《中华人民共和国财政部令第 94 号-政府采购质疑和投诉办法》第十条第二款规定，供应商在法定质疑期内须一次性提出针对同一采购程序环节的质疑，否则采购代理机构有权拒绝第一次质疑以外其他所有质疑。答疑内容是招标文件的组成部份，并将以书面形式送达所有已报名的供货商。</w:t>
            </w:r>
          </w:p>
        </w:tc>
      </w:tr>
      <w:tr w14:paraId="09DD0B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1"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1336A9C8">
            <w:pPr>
              <w:spacing w:line="320" w:lineRule="exact"/>
              <w:jc w:val="center"/>
              <w:rPr>
                <w:rFonts w:ascii="宋体" w:hAnsi="宋体" w:cs="宋体"/>
                <w:color w:val="auto"/>
                <w:highlight w:val="none"/>
              </w:rPr>
            </w:pPr>
            <w:r>
              <w:rPr>
                <w:rFonts w:hint="eastAsia" w:ascii="宋体" w:hAnsi="宋体" w:cs="宋体"/>
                <w:color w:val="auto"/>
                <w:highlight w:val="none"/>
              </w:rPr>
              <w:t>8</w:t>
            </w:r>
          </w:p>
        </w:tc>
        <w:tc>
          <w:tcPr>
            <w:tcW w:w="2787" w:type="dxa"/>
            <w:tcBorders>
              <w:top w:val="single" w:color="auto" w:sz="4" w:space="0"/>
              <w:left w:val="single" w:color="auto" w:sz="4" w:space="0"/>
              <w:bottom w:val="single" w:color="auto" w:sz="4" w:space="0"/>
              <w:right w:val="single" w:color="auto" w:sz="4" w:space="0"/>
            </w:tcBorders>
            <w:vAlign w:val="center"/>
          </w:tcPr>
          <w:p w14:paraId="7096037E">
            <w:pPr>
              <w:spacing w:line="320" w:lineRule="exact"/>
              <w:jc w:val="center"/>
              <w:rPr>
                <w:rFonts w:ascii="宋体" w:hAnsi="宋体" w:cs="宋体"/>
                <w:bCs/>
                <w:color w:val="auto"/>
                <w:highlight w:val="none"/>
              </w:rPr>
            </w:pPr>
            <w:r>
              <w:rPr>
                <w:rFonts w:hint="eastAsia" w:ascii="宋体" w:hAnsi="宋体" w:cs="宋体"/>
                <w:bCs/>
                <w:color w:val="auto"/>
                <w:highlight w:val="none"/>
              </w:rPr>
              <w:t>磋商响应文件组成</w:t>
            </w:r>
          </w:p>
        </w:tc>
        <w:tc>
          <w:tcPr>
            <w:tcW w:w="6527" w:type="dxa"/>
            <w:tcBorders>
              <w:top w:val="single" w:color="auto" w:sz="4" w:space="0"/>
              <w:left w:val="single" w:color="auto" w:sz="4" w:space="0"/>
              <w:bottom w:val="single" w:color="auto" w:sz="4" w:space="0"/>
              <w:right w:val="single" w:color="auto" w:sz="4" w:space="0"/>
            </w:tcBorders>
            <w:vAlign w:val="center"/>
          </w:tcPr>
          <w:p w14:paraId="6935B1D9">
            <w:pPr>
              <w:autoSpaceDE w:val="0"/>
              <w:autoSpaceDN w:val="0"/>
              <w:adjustRightInd w:val="0"/>
              <w:snapToGrid w:val="0"/>
              <w:spacing w:line="400" w:lineRule="exact"/>
              <w:rPr>
                <w:rFonts w:ascii="宋体" w:hAnsi="宋体" w:cs="宋体"/>
                <w:color w:val="auto"/>
                <w:kern w:val="0"/>
                <w:highlight w:val="none"/>
              </w:rPr>
            </w:pPr>
            <w:r>
              <w:rPr>
                <w:rFonts w:hint="eastAsia" w:ascii="宋体" w:hAnsi="宋体" w:cs="宋体"/>
                <w:color w:val="auto"/>
                <w:kern w:val="0"/>
                <w:highlight w:val="none"/>
              </w:rPr>
              <w:t>资格证明文件、商务、技术文件正本 1 份，副本3份；磋商报价文件正本 1 份，副本3份</w:t>
            </w:r>
            <w:r>
              <w:rPr>
                <w:rFonts w:hint="eastAsia" w:ascii="宋体" w:hAnsi="宋体" w:cs="宋体"/>
                <w:color w:val="auto"/>
                <w:kern w:val="0"/>
                <w:highlight w:val="none"/>
                <w:lang w:eastAsia="zh-CN"/>
              </w:rPr>
              <w:t>；资格证明文件、商务、技术文件合并装订，报价文件</w:t>
            </w:r>
            <w:r>
              <w:rPr>
                <w:rFonts w:hint="eastAsia" w:ascii="宋体" w:hAnsi="宋体" w:cs="宋体"/>
                <w:color w:val="auto"/>
                <w:kern w:val="0"/>
                <w:highlight w:val="none"/>
              </w:rPr>
              <w:t>单独装订、单独密封。《电子版投标文件》一份，采用U盘形式制作【电子内容不含</w:t>
            </w:r>
            <w:r>
              <w:rPr>
                <w:rFonts w:hint="eastAsia" w:ascii="宋体" w:hAnsi="宋体" w:cs="宋体"/>
                <w:color w:val="auto"/>
                <w:kern w:val="0"/>
                <w:highlight w:val="none"/>
                <w:lang w:eastAsia="zh-CN"/>
              </w:rPr>
              <w:t>商务</w:t>
            </w:r>
            <w:r>
              <w:rPr>
                <w:rFonts w:hint="eastAsia" w:ascii="宋体" w:hAnsi="宋体" w:cs="宋体"/>
                <w:color w:val="auto"/>
                <w:kern w:val="0"/>
                <w:highlight w:val="none"/>
              </w:rPr>
              <w:t>文件，应为“资格文件”和“</w:t>
            </w:r>
            <w:r>
              <w:rPr>
                <w:rFonts w:hint="eastAsia" w:ascii="宋体" w:hAnsi="宋体" w:cs="宋体"/>
                <w:color w:val="auto"/>
                <w:kern w:val="0"/>
                <w:highlight w:val="none"/>
                <w:lang w:eastAsia="zh-CN"/>
              </w:rPr>
              <w:t>技术</w:t>
            </w:r>
            <w:r>
              <w:rPr>
                <w:rFonts w:hint="eastAsia" w:ascii="宋体" w:hAnsi="宋体" w:cs="宋体"/>
                <w:color w:val="auto"/>
                <w:kern w:val="0"/>
                <w:highlight w:val="none"/>
              </w:rPr>
              <w:t>”正本的扫描件（包含正本内容中的盖章和签字），格式可采用word文档或PDF文档】，便于招标人归档保存。</w:t>
            </w:r>
          </w:p>
        </w:tc>
      </w:tr>
      <w:tr w14:paraId="3A9F46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1"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415023ED">
            <w:pPr>
              <w:spacing w:line="320" w:lineRule="exact"/>
              <w:jc w:val="center"/>
              <w:rPr>
                <w:rFonts w:ascii="宋体" w:hAnsi="宋体" w:cs="宋体"/>
                <w:color w:val="auto"/>
                <w:highlight w:val="none"/>
              </w:rPr>
            </w:pPr>
            <w:r>
              <w:rPr>
                <w:rFonts w:hint="eastAsia" w:ascii="宋体" w:hAnsi="宋体" w:cs="宋体"/>
                <w:color w:val="auto"/>
                <w:highlight w:val="none"/>
              </w:rPr>
              <w:t>9</w:t>
            </w:r>
          </w:p>
        </w:tc>
        <w:tc>
          <w:tcPr>
            <w:tcW w:w="2787" w:type="dxa"/>
            <w:tcBorders>
              <w:top w:val="single" w:color="auto" w:sz="4" w:space="0"/>
              <w:left w:val="single" w:color="auto" w:sz="4" w:space="0"/>
              <w:bottom w:val="single" w:color="auto" w:sz="4" w:space="0"/>
              <w:right w:val="single" w:color="auto" w:sz="4" w:space="0"/>
            </w:tcBorders>
            <w:vAlign w:val="center"/>
          </w:tcPr>
          <w:p w14:paraId="2FBD986F">
            <w:pPr>
              <w:spacing w:line="320" w:lineRule="exact"/>
              <w:jc w:val="center"/>
              <w:rPr>
                <w:rFonts w:ascii="宋体" w:hAnsi="宋体" w:cs="宋体"/>
                <w:bCs/>
                <w:color w:val="auto"/>
                <w:highlight w:val="none"/>
              </w:rPr>
            </w:pPr>
            <w:r>
              <w:rPr>
                <w:rFonts w:hint="eastAsia" w:ascii="宋体" w:hAnsi="宋体" w:cs="宋体"/>
                <w:bCs/>
                <w:color w:val="auto"/>
                <w:highlight w:val="none"/>
              </w:rPr>
              <w:t xml:space="preserve">  响应文件份数  </w:t>
            </w:r>
            <w:r>
              <w:rPr>
                <w:rFonts w:hint="eastAsia" w:ascii="宋体" w:hAnsi="宋体" w:cs="宋体"/>
                <w:bCs/>
                <w:color w:val="auto"/>
                <w:highlight w:val="none"/>
              </w:rPr>
              <w:tab/>
            </w:r>
          </w:p>
        </w:tc>
        <w:tc>
          <w:tcPr>
            <w:tcW w:w="6527" w:type="dxa"/>
            <w:tcBorders>
              <w:top w:val="single" w:color="auto" w:sz="4" w:space="0"/>
              <w:left w:val="single" w:color="auto" w:sz="4" w:space="0"/>
              <w:bottom w:val="single" w:color="auto" w:sz="4" w:space="0"/>
              <w:right w:val="single" w:color="auto" w:sz="4" w:space="0"/>
            </w:tcBorders>
            <w:vAlign w:val="center"/>
          </w:tcPr>
          <w:p w14:paraId="423881A1">
            <w:pPr>
              <w:rPr>
                <w:rFonts w:hint="eastAsia" w:ascii="宋体" w:hAnsi="宋体" w:eastAsia="宋体" w:cs="宋体"/>
                <w:bCs/>
                <w:color w:val="auto"/>
                <w:highlight w:val="none"/>
                <w:lang w:eastAsia="zh-CN"/>
              </w:rPr>
            </w:pPr>
            <w:r>
              <w:rPr>
                <w:rFonts w:hint="eastAsia" w:ascii="宋体" w:hAnsi="宋体" w:cs="宋体"/>
                <w:bCs/>
                <w:color w:val="auto"/>
                <w:highlight w:val="none"/>
              </w:rPr>
              <w:t>资格文件、商务文件、技术文件正本 1 份，副本3份</w:t>
            </w:r>
            <w:r>
              <w:rPr>
                <w:rFonts w:hint="eastAsia" w:ascii="宋体" w:hAnsi="宋体" w:cs="宋体"/>
                <w:bCs/>
                <w:color w:val="auto"/>
                <w:highlight w:val="none"/>
                <w:lang w:eastAsia="zh-CN"/>
              </w:rPr>
              <w:t>；磋商报价文件正本 1 份，副本3份；</w:t>
            </w:r>
          </w:p>
        </w:tc>
      </w:tr>
      <w:tr w14:paraId="1131DC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0760AC61">
            <w:pPr>
              <w:spacing w:line="320" w:lineRule="exact"/>
              <w:jc w:val="center"/>
              <w:rPr>
                <w:rFonts w:ascii="宋体" w:hAnsi="宋体" w:cs="宋体"/>
                <w:color w:val="auto"/>
                <w:highlight w:val="none"/>
              </w:rPr>
            </w:pPr>
            <w:r>
              <w:rPr>
                <w:rFonts w:hint="eastAsia" w:ascii="宋体" w:hAnsi="宋体" w:cs="宋体"/>
                <w:color w:val="auto"/>
                <w:highlight w:val="none"/>
              </w:rPr>
              <w:t>11</w:t>
            </w:r>
          </w:p>
        </w:tc>
        <w:tc>
          <w:tcPr>
            <w:tcW w:w="2787" w:type="dxa"/>
            <w:tcBorders>
              <w:top w:val="single" w:color="auto" w:sz="4" w:space="0"/>
              <w:left w:val="single" w:color="auto" w:sz="4" w:space="0"/>
              <w:bottom w:val="single" w:color="auto" w:sz="4" w:space="0"/>
              <w:right w:val="single" w:color="auto" w:sz="4" w:space="0"/>
            </w:tcBorders>
            <w:vAlign w:val="center"/>
          </w:tcPr>
          <w:p w14:paraId="0660E962">
            <w:pPr>
              <w:spacing w:line="320" w:lineRule="exact"/>
              <w:jc w:val="center"/>
              <w:rPr>
                <w:rFonts w:ascii="宋体" w:hAnsi="宋体" w:cs="宋体"/>
                <w:color w:val="auto"/>
                <w:highlight w:val="none"/>
              </w:rPr>
            </w:pPr>
            <w:r>
              <w:rPr>
                <w:rFonts w:hint="eastAsia" w:ascii="宋体" w:hAnsi="宋体" w:cs="宋体"/>
                <w:color w:val="auto"/>
                <w:highlight w:val="none"/>
              </w:rPr>
              <w:t>磋商时间（磋商截止时间）</w:t>
            </w:r>
          </w:p>
        </w:tc>
        <w:tc>
          <w:tcPr>
            <w:tcW w:w="6527" w:type="dxa"/>
            <w:tcBorders>
              <w:top w:val="single" w:color="auto" w:sz="4" w:space="0"/>
              <w:left w:val="single" w:color="auto" w:sz="4" w:space="0"/>
              <w:bottom w:val="single" w:color="auto" w:sz="4" w:space="0"/>
              <w:right w:val="single" w:color="auto" w:sz="4" w:space="0"/>
            </w:tcBorders>
            <w:vAlign w:val="center"/>
          </w:tcPr>
          <w:p w14:paraId="46E4FA57">
            <w:pPr>
              <w:snapToGrid w:val="0"/>
              <w:spacing w:line="320" w:lineRule="exact"/>
              <w:rPr>
                <w:rFonts w:hint="default" w:ascii="宋体" w:hAnsi="宋体" w:cs="宋体"/>
                <w:color w:val="auto"/>
                <w:kern w:val="0"/>
                <w:highlight w:val="none"/>
                <w:lang w:val="en-US"/>
              </w:rPr>
            </w:pPr>
            <w:r>
              <w:rPr>
                <w:rFonts w:hint="eastAsia" w:ascii="宋体" w:hAnsi="宋体" w:cs="宋体"/>
                <w:b/>
                <w:bCs/>
                <w:color w:val="auto"/>
                <w:kern w:val="0"/>
                <w:highlight w:val="none"/>
                <w:lang w:val="en-US" w:eastAsia="zh-CN"/>
              </w:rPr>
              <w:t>2025</w:t>
            </w:r>
            <w:r>
              <w:rPr>
                <w:rFonts w:hint="eastAsia" w:ascii="宋体" w:hAnsi="宋体" w:cs="宋体"/>
                <w:b/>
                <w:bCs/>
                <w:color w:val="auto"/>
                <w:kern w:val="0"/>
                <w:highlight w:val="none"/>
              </w:rPr>
              <w:t xml:space="preserve">年 </w:t>
            </w:r>
            <w:r>
              <w:rPr>
                <w:rFonts w:hint="eastAsia" w:ascii="宋体" w:hAnsi="宋体" w:cs="宋体"/>
                <w:b/>
                <w:bCs/>
                <w:color w:val="auto"/>
                <w:kern w:val="0"/>
                <w:highlight w:val="none"/>
                <w:lang w:val="en-US" w:eastAsia="zh-CN"/>
              </w:rPr>
              <w:t xml:space="preserve">6 </w:t>
            </w:r>
            <w:r>
              <w:rPr>
                <w:rFonts w:hint="eastAsia" w:ascii="宋体" w:hAnsi="宋体" w:cs="宋体"/>
                <w:b/>
                <w:bCs/>
                <w:color w:val="auto"/>
                <w:kern w:val="0"/>
                <w:highlight w:val="none"/>
              </w:rPr>
              <w:t>月</w:t>
            </w:r>
            <w:r>
              <w:rPr>
                <w:rFonts w:hint="eastAsia" w:ascii="宋体" w:hAnsi="宋体" w:cs="宋体"/>
                <w:b/>
                <w:bCs/>
                <w:color w:val="auto"/>
                <w:kern w:val="0"/>
                <w:highlight w:val="none"/>
                <w:lang w:val="en-US" w:eastAsia="zh-CN"/>
              </w:rPr>
              <w:t>30</w:t>
            </w:r>
            <w:r>
              <w:rPr>
                <w:rFonts w:hint="eastAsia" w:ascii="宋体" w:hAnsi="宋体" w:cs="宋体"/>
                <w:b/>
                <w:bCs/>
                <w:color w:val="auto"/>
                <w:kern w:val="0"/>
                <w:highlight w:val="none"/>
              </w:rPr>
              <w:t>日</w:t>
            </w:r>
            <w:r>
              <w:rPr>
                <w:rFonts w:hint="eastAsia" w:ascii="宋体" w:hAnsi="宋体" w:cs="宋体"/>
                <w:b/>
                <w:bCs/>
                <w:color w:val="auto"/>
                <w:kern w:val="0"/>
                <w:highlight w:val="none"/>
                <w:lang w:val="en-US" w:eastAsia="zh-CN"/>
              </w:rPr>
              <w:t>14</w:t>
            </w:r>
            <w:r>
              <w:rPr>
                <w:rFonts w:hint="eastAsia" w:ascii="宋体" w:hAnsi="宋体" w:cs="宋体"/>
                <w:b/>
                <w:bCs/>
                <w:color w:val="auto"/>
                <w:kern w:val="0"/>
                <w:highlight w:val="none"/>
              </w:rPr>
              <w:t>:</w:t>
            </w:r>
            <w:r>
              <w:rPr>
                <w:rFonts w:hint="eastAsia" w:ascii="宋体" w:hAnsi="宋体" w:cs="宋体"/>
                <w:b/>
                <w:bCs/>
                <w:color w:val="auto"/>
                <w:kern w:val="0"/>
                <w:highlight w:val="none"/>
                <w:lang w:val="en-US" w:eastAsia="zh-CN"/>
              </w:rPr>
              <w:t>00</w:t>
            </w:r>
          </w:p>
        </w:tc>
      </w:tr>
      <w:tr w14:paraId="2957F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76D2151E">
            <w:pPr>
              <w:spacing w:line="320" w:lineRule="exact"/>
              <w:jc w:val="center"/>
              <w:rPr>
                <w:rFonts w:ascii="宋体" w:hAnsi="宋体" w:cs="宋体"/>
                <w:color w:val="auto"/>
                <w:highlight w:val="none"/>
              </w:rPr>
            </w:pPr>
            <w:r>
              <w:rPr>
                <w:rFonts w:hint="eastAsia" w:ascii="宋体" w:hAnsi="宋体" w:cs="宋体"/>
                <w:color w:val="auto"/>
                <w:highlight w:val="none"/>
              </w:rPr>
              <w:t>11</w:t>
            </w:r>
          </w:p>
        </w:tc>
        <w:tc>
          <w:tcPr>
            <w:tcW w:w="2787" w:type="dxa"/>
            <w:tcBorders>
              <w:top w:val="single" w:color="auto" w:sz="4" w:space="0"/>
              <w:left w:val="single" w:color="auto" w:sz="4" w:space="0"/>
              <w:bottom w:val="single" w:color="auto" w:sz="4" w:space="0"/>
              <w:right w:val="single" w:color="auto" w:sz="4" w:space="0"/>
            </w:tcBorders>
            <w:vAlign w:val="center"/>
          </w:tcPr>
          <w:p w14:paraId="165CA04F">
            <w:pPr>
              <w:spacing w:line="320" w:lineRule="exact"/>
              <w:jc w:val="center"/>
              <w:rPr>
                <w:rFonts w:ascii="宋体" w:hAnsi="宋体" w:cs="宋体"/>
                <w:color w:val="auto"/>
                <w:kern w:val="0"/>
                <w:highlight w:val="none"/>
              </w:rPr>
            </w:pPr>
            <w:r>
              <w:rPr>
                <w:rFonts w:hint="eastAsia" w:ascii="宋体" w:hAnsi="宋体" w:cs="宋体"/>
                <w:color w:val="auto"/>
                <w:kern w:val="0"/>
                <w:highlight w:val="none"/>
              </w:rPr>
              <w:t>磋商地点</w:t>
            </w:r>
          </w:p>
        </w:tc>
        <w:tc>
          <w:tcPr>
            <w:tcW w:w="6527" w:type="dxa"/>
            <w:tcBorders>
              <w:top w:val="single" w:color="auto" w:sz="4" w:space="0"/>
              <w:left w:val="single" w:color="auto" w:sz="4" w:space="0"/>
              <w:bottom w:val="single" w:color="auto" w:sz="4" w:space="0"/>
              <w:right w:val="single" w:color="auto" w:sz="4" w:space="0"/>
            </w:tcBorders>
            <w:vAlign w:val="center"/>
          </w:tcPr>
          <w:p w14:paraId="683EED69">
            <w:pPr>
              <w:widowControl/>
              <w:spacing w:line="360" w:lineRule="exact"/>
              <w:jc w:val="left"/>
              <w:rPr>
                <w:rFonts w:ascii="宋体" w:hAnsi="宋体" w:cs="宋体"/>
                <w:color w:val="auto"/>
                <w:kern w:val="0"/>
                <w:highlight w:val="none"/>
              </w:rPr>
            </w:pPr>
            <w:r>
              <w:rPr>
                <w:rFonts w:hint="eastAsia" w:ascii="宋体" w:hAnsi="宋体" w:eastAsia="宋体" w:cs="宋体"/>
                <w:color w:val="auto"/>
                <w:sz w:val="24"/>
                <w:szCs w:val="24"/>
                <w:lang w:val="zh-CN"/>
              </w:rPr>
              <w:t>德威工程管理咨询有限公司（浙江省湖州市吴兴区凤凰街道金色水岸1幢商务楼10楼）</w:t>
            </w:r>
          </w:p>
        </w:tc>
      </w:tr>
      <w:tr w14:paraId="151D08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0F21C0BA">
            <w:pPr>
              <w:spacing w:line="320" w:lineRule="exact"/>
              <w:jc w:val="center"/>
              <w:rPr>
                <w:rFonts w:ascii="宋体" w:hAnsi="宋体" w:cs="宋体"/>
                <w:color w:val="auto"/>
                <w:highlight w:val="none"/>
              </w:rPr>
            </w:pPr>
            <w:r>
              <w:rPr>
                <w:rFonts w:hint="eastAsia" w:ascii="宋体" w:hAnsi="宋体" w:cs="宋体"/>
                <w:color w:val="auto"/>
                <w:highlight w:val="none"/>
              </w:rPr>
              <w:t>13</w:t>
            </w:r>
          </w:p>
        </w:tc>
        <w:tc>
          <w:tcPr>
            <w:tcW w:w="2787" w:type="dxa"/>
            <w:tcBorders>
              <w:top w:val="single" w:color="auto" w:sz="4" w:space="0"/>
              <w:left w:val="single" w:color="auto" w:sz="4" w:space="0"/>
              <w:bottom w:val="single" w:color="auto" w:sz="4" w:space="0"/>
              <w:right w:val="single" w:color="auto" w:sz="4" w:space="0"/>
            </w:tcBorders>
            <w:vAlign w:val="center"/>
          </w:tcPr>
          <w:p w14:paraId="1813850D">
            <w:pPr>
              <w:spacing w:line="320" w:lineRule="exact"/>
              <w:jc w:val="center"/>
              <w:rPr>
                <w:rFonts w:ascii="宋体" w:hAnsi="宋体" w:cs="宋体"/>
                <w:color w:val="auto"/>
                <w:kern w:val="0"/>
                <w:highlight w:val="none"/>
              </w:rPr>
            </w:pPr>
            <w:r>
              <w:rPr>
                <w:rFonts w:hint="eastAsia" w:ascii="宋体" w:hAnsi="宋体" w:cs="宋体"/>
                <w:color w:val="auto"/>
                <w:kern w:val="0"/>
                <w:highlight w:val="none"/>
              </w:rPr>
              <w:t>磋商响应文件有效期</w:t>
            </w:r>
          </w:p>
        </w:tc>
        <w:tc>
          <w:tcPr>
            <w:tcW w:w="6527" w:type="dxa"/>
            <w:tcBorders>
              <w:top w:val="single" w:color="auto" w:sz="4" w:space="0"/>
              <w:left w:val="single" w:color="auto" w:sz="4" w:space="0"/>
              <w:bottom w:val="single" w:color="auto" w:sz="4" w:space="0"/>
              <w:right w:val="single" w:color="auto" w:sz="4" w:space="0"/>
            </w:tcBorders>
            <w:vAlign w:val="center"/>
          </w:tcPr>
          <w:p w14:paraId="6F7DEDA5">
            <w:pPr>
              <w:spacing w:line="320" w:lineRule="exact"/>
              <w:rPr>
                <w:rFonts w:ascii="宋体" w:hAnsi="宋体" w:cs="宋体"/>
                <w:color w:val="auto"/>
                <w:highlight w:val="none"/>
              </w:rPr>
            </w:pPr>
            <w:r>
              <w:rPr>
                <w:rFonts w:hint="eastAsia" w:ascii="宋体" w:hAnsi="宋体" w:cs="宋体"/>
                <w:color w:val="auto"/>
                <w:highlight w:val="none"/>
              </w:rPr>
              <w:t xml:space="preserve">90天（日历天）  </w:t>
            </w:r>
          </w:p>
        </w:tc>
      </w:tr>
      <w:tr w14:paraId="7AEF0C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320C4593">
            <w:pPr>
              <w:spacing w:line="320" w:lineRule="exact"/>
              <w:jc w:val="center"/>
              <w:rPr>
                <w:rFonts w:ascii="宋体" w:hAnsi="宋体" w:cs="宋体"/>
                <w:color w:val="auto"/>
                <w:highlight w:val="none"/>
              </w:rPr>
            </w:pPr>
            <w:r>
              <w:rPr>
                <w:rFonts w:hint="eastAsia" w:ascii="宋体" w:hAnsi="宋体" w:cs="宋体"/>
                <w:color w:val="auto"/>
                <w:highlight w:val="none"/>
              </w:rPr>
              <w:t>14</w:t>
            </w:r>
          </w:p>
        </w:tc>
        <w:tc>
          <w:tcPr>
            <w:tcW w:w="2787" w:type="dxa"/>
            <w:tcBorders>
              <w:top w:val="single" w:color="auto" w:sz="4" w:space="0"/>
              <w:left w:val="single" w:color="auto" w:sz="4" w:space="0"/>
              <w:bottom w:val="single" w:color="auto" w:sz="4" w:space="0"/>
              <w:right w:val="single" w:color="auto" w:sz="4" w:space="0"/>
            </w:tcBorders>
            <w:vAlign w:val="center"/>
          </w:tcPr>
          <w:p w14:paraId="4EE49D8A">
            <w:pPr>
              <w:spacing w:line="320" w:lineRule="exact"/>
              <w:jc w:val="center"/>
              <w:rPr>
                <w:rFonts w:ascii="宋体" w:hAnsi="宋体" w:cs="宋体"/>
                <w:color w:val="auto"/>
                <w:highlight w:val="none"/>
              </w:rPr>
            </w:pPr>
            <w:r>
              <w:rPr>
                <w:rFonts w:hint="eastAsia" w:ascii="宋体" w:hAnsi="宋体" w:cs="宋体"/>
                <w:color w:val="auto"/>
                <w:highlight w:val="none"/>
              </w:rPr>
              <w:t>签订合同</w:t>
            </w:r>
          </w:p>
        </w:tc>
        <w:tc>
          <w:tcPr>
            <w:tcW w:w="6527" w:type="dxa"/>
            <w:tcBorders>
              <w:top w:val="single" w:color="auto" w:sz="4" w:space="0"/>
              <w:left w:val="single" w:color="auto" w:sz="4" w:space="0"/>
              <w:bottom w:val="single" w:color="auto" w:sz="4" w:space="0"/>
              <w:right w:val="single" w:color="auto" w:sz="4" w:space="0"/>
            </w:tcBorders>
            <w:vAlign w:val="center"/>
          </w:tcPr>
          <w:p w14:paraId="5711A892">
            <w:pPr>
              <w:spacing w:line="320" w:lineRule="exact"/>
              <w:rPr>
                <w:rFonts w:ascii="宋体" w:hAnsi="宋体" w:cs="宋体"/>
                <w:color w:val="auto"/>
                <w:highlight w:val="none"/>
              </w:rPr>
            </w:pPr>
            <w:r>
              <w:rPr>
                <w:rFonts w:hint="eastAsia" w:ascii="宋体" w:hAnsi="宋体" w:cs="宋体"/>
                <w:color w:val="auto"/>
                <w:highlight w:val="none"/>
              </w:rPr>
              <w:t>成交通知书发出后30天内</w:t>
            </w:r>
          </w:p>
        </w:tc>
      </w:tr>
      <w:tr w14:paraId="443CAE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30D5FAD5">
            <w:pPr>
              <w:spacing w:line="320" w:lineRule="exact"/>
              <w:jc w:val="center"/>
              <w:rPr>
                <w:rFonts w:ascii="宋体" w:hAnsi="宋体" w:cs="宋体"/>
                <w:color w:val="auto"/>
                <w:highlight w:val="none"/>
              </w:rPr>
            </w:pPr>
            <w:r>
              <w:rPr>
                <w:rFonts w:hint="eastAsia" w:ascii="宋体" w:hAnsi="宋体" w:cs="宋体"/>
                <w:color w:val="auto"/>
                <w:highlight w:val="none"/>
              </w:rPr>
              <w:t>15</w:t>
            </w:r>
          </w:p>
        </w:tc>
        <w:tc>
          <w:tcPr>
            <w:tcW w:w="2787" w:type="dxa"/>
            <w:tcBorders>
              <w:top w:val="single" w:color="auto" w:sz="4" w:space="0"/>
              <w:left w:val="single" w:color="auto" w:sz="4" w:space="0"/>
              <w:bottom w:val="single" w:color="auto" w:sz="4" w:space="0"/>
              <w:right w:val="single" w:color="auto" w:sz="4" w:space="0"/>
            </w:tcBorders>
            <w:vAlign w:val="center"/>
          </w:tcPr>
          <w:p w14:paraId="728ED845">
            <w:pPr>
              <w:spacing w:line="320" w:lineRule="exact"/>
              <w:jc w:val="center"/>
              <w:rPr>
                <w:rFonts w:ascii="宋体" w:hAnsi="宋体" w:cs="宋体"/>
                <w:bCs/>
                <w:color w:val="auto"/>
                <w:highlight w:val="none"/>
              </w:rPr>
            </w:pPr>
            <w:r>
              <w:rPr>
                <w:rFonts w:hint="eastAsia" w:ascii="宋体" w:hAnsi="宋体" w:cs="宋体"/>
                <w:color w:val="auto"/>
                <w:highlight w:val="none"/>
              </w:rPr>
              <w:t>履约保证金</w:t>
            </w:r>
          </w:p>
        </w:tc>
        <w:tc>
          <w:tcPr>
            <w:tcW w:w="6527" w:type="dxa"/>
            <w:tcBorders>
              <w:top w:val="single" w:color="auto" w:sz="4" w:space="0"/>
              <w:left w:val="single" w:color="auto" w:sz="4" w:space="0"/>
              <w:bottom w:val="single" w:color="auto" w:sz="4" w:space="0"/>
              <w:right w:val="single" w:color="auto" w:sz="4" w:space="0"/>
            </w:tcBorders>
            <w:vAlign w:val="center"/>
          </w:tcPr>
          <w:p w14:paraId="38AEFBB0">
            <w:pPr>
              <w:spacing w:line="320" w:lineRule="exact"/>
              <w:rPr>
                <w:rFonts w:ascii="宋体" w:hAnsi="宋体" w:cs="宋体"/>
                <w:bCs/>
                <w:color w:val="auto"/>
                <w:highlight w:val="none"/>
              </w:rPr>
            </w:pPr>
            <w:r>
              <w:rPr>
                <w:rFonts w:hint="eastAsia" w:ascii="宋体" w:hAnsi="宋体" w:cs="宋体"/>
                <w:bCs/>
                <w:color w:val="auto"/>
                <w:highlight w:val="none"/>
              </w:rPr>
              <w:t>无</w:t>
            </w:r>
          </w:p>
        </w:tc>
      </w:tr>
      <w:tr w14:paraId="69B56D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59DAD83C">
            <w:pPr>
              <w:spacing w:line="320" w:lineRule="exact"/>
              <w:jc w:val="center"/>
              <w:rPr>
                <w:rFonts w:ascii="宋体" w:hAnsi="宋体" w:cs="宋体"/>
                <w:color w:val="auto"/>
                <w:highlight w:val="none"/>
              </w:rPr>
            </w:pPr>
            <w:r>
              <w:rPr>
                <w:rFonts w:hint="eastAsia" w:ascii="宋体" w:hAnsi="宋体" w:cs="宋体"/>
                <w:color w:val="auto"/>
                <w:highlight w:val="none"/>
              </w:rPr>
              <w:t>16</w:t>
            </w:r>
          </w:p>
        </w:tc>
        <w:tc>
          <w:tcPr>
            <w:tcW w:w="2787" w:type="dxa"/>
            <w:tcBorders>
              <w:top w:val="single" w:color="auto" w:sz="4" w:space="0"/>
              <w:left w:val="single" w:color="auto" w:sz="4" w:space="0"/>
              <w:bottom w:val="single" w:color="auto" w:sz="4" w:space="0"/>
              <w:right w:val="single" w:color="auto" w:sz="4" w:space="0"/>
            </w:tcBorders>
            <w:vAlign w:val="center"/>
          </w:tcPr>
          <w:p w14:paraId="237C5326">
            <w:pPr>
              <w:spacing w:line="320" w:lineRule="exact"/>
              <w:jc w:val="center"/>
              <w:rPr>
                <w:rFonts w:ascii="宋体" w:hAnsi="宋体" w:cs="宋体"/>
                <w:bCs/>
                <w:color w:val="auto"/>
                <w:highlight w:val="none"/>
              </w:rPr>
            </w:pPr>
            <w:r>
              <w:rPr>
                <w:rFonts w:hint="eastAsia" w:ascii="宋体" w:hAnsi="宋体" w:cs="宋体"/>
                <w:bCs/>
                <w:color w:val="auto"/>
                <w:highlight w:val="none"/>
              </w:rPr>
              <w:t>磋商办法及标准</w:t>
            </w:r>
          </w:p>
        </w:tc>
        <w:tc>
          <w:tcPr>
            <w:tcW w:w="6527" w:type="dxa"/>
            <w:tcBorders>
              <w:top w:val="single" w:color="auto" w:sz="4" w:space="0"/>
              <w:left w:val="single" w:color="auto" w:sz="4" w:space="0"/>
              <w:bottom w:val="single" w:color="auto" w:sz="4" w:space="0"/>
              <w:right w:val="single" w:color="auto" w:sz="4" w:space="0"/>
            </w:tcBorders>
            <w:vAlign w:val="center"/>
          </w:tcPr>
          <w:p w14:paraId="3AF4384A">
            <w:pPr>
              <w:spacing w:line="320" w:lineRule="exact"/>
              <w:rPr>
                <w:rFonts w:ascii="宋体" w:hAnsi="宋体" w:cs="宋体"/>
                <w:bCs/>
                <w:color w:val="auto"/>
                <w:highlight w:val="none"/>
              </w:rPr>
            </w:pPr>
            <w:r>
              <w:rPr>
                <w:rFonts w:hint="eastAsia" w:ascii="宋体" w:hAnsi="宋体" w:cs="宋体"/>
                <w:bCs/>
                <w:color w:val="auto"/>
                <w:highlight w:val="none"/>
              </w:rPr>
              <w:t>详见磋商文件第五章</w:t>
            </w:r>
          </w:p>
        </w:tc>
      </w:tr>
      <w:tr w14:paraId="5D004C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65CCF38D">
            <w:pPr>
              <w:spacing w:line="320" w:lineRule="exact"/>
              <w:jc w:val="center"/>
              <w:rPr>
                <w:rFonts w:ascii="宋体" w:hAnsi="宋体" w:cs="宋体"/>
                <w:bCs/>
                <w:color w:val="auto"/>
                <w:highlight w:val="none"/>
              </w:rPr>
            </w:pPr>
            <w:r>
              <w:rPr>
                <w:rFonts w:hint="eastAsia" w:ascii="宋体" w:hAnsi="宋体" w:cs="宋体"/>
                <w:bCs/>
                <w:color w:val="auto"/>
                <w:highlight w:val="none"/>
              </w:rPr>
              <w:t>17</w:t>
            </w:r>
          </w:p>
        </w:tc>
        <w:tc>
          <w:tcPr>
            <w:tcW w:w="2787" w:type="dxa"/>
            <w:tcBorders>
              <w:top w:val="single" w:color="auto" w:sz="4" w:space="0"/>
              <w:left w:val="single" w:color="auto" w:sz="4" w:space="0"/>
              <w:bottom w:val="single" w:color="auto" w:sz="4" w:space="0"/>
              <w:right w:val="single" w:color="auto" w:sz="4" w:space="0"/>
            </w:tcBorders>
            <w:vAlign w:val="center"/>
          </w:tcPr>
          <w:p w14:paraId="39564B92">
            <w:pPr>
              <w:spacing w:line="320" w:lineRule="exact"/>
              <w:jc w:val="center"/>
              <w:rPr>
                <w:rFonts w:ascii="宋体" w:hAnsi="宋体" w:cs="宋体"/>
                <w:bCs/>
                <w:color w:val="auto"/>
                <w:highlight w:val="none"/>
              </w:rPr>
            </w:pPr>
            <w:r>
              <w:rPr>
                <w:rFonts w:hint="eastAsia" w:ascii="宋体" w:hAnsi="宋体" w:cs="宋体"/>
                <w:bCs/>
                <w:color w:val="auto"/>
                <w:highlight w:val="none"/>
              </w:rPr>
              <w:t>采购单位</w:t>
            </w:r>
          </w:p>
        </w:tc>
        <w:tc>
          <w:tcPr>
            <w:tcW w:w="6527" w:type="dxa"/>
            <w:tcBorders>
              <w:top w:val="single" w:color="auto" w:sz="4" w:space="0"/>
              <w:left w:val="single" w:color="auto" w:sz="4" w:space="0"/>
              <w:bottom w:val="single" w:color="auto" w:sz="4" w:space="0"/>
              <w:right w:val="single" w:color="auto" w:sz="4" w:space="0"/>
            </w:tcBorders>
            <w:vAlign w:val="center"/>
          </w:tcPr>
          <w:p w14:paraId="1A30F4CB">
            <w:pPr>
              <w:spacing w:line="320" w:lineRule="exact"/>
              <w:rPr>
                <w:rFonts w:ascii="宋体" w:hAnsi="宋体" w:cs="宋体"/>
                <w:bCs/>
                <w:color w:val="auto"/>
                <w:highlight w:val="none"/>
              </w:rPr>
            </w:pPr>
            <w:r>
              <w:rPr>
                <w:rFonts w:hint="eastAsia" w:ascii="宋体" w:hAnsi="宋体" w:cs="宋体"/>
                <w:bCs/>
                <w:color w:val="auto"/>
                <w:highlight w:val="none"/>
              </w:rPr>
              <w:t>详见磋商公告</w:t>
            </w:r>
          </w:p>
        </w:tc>
      </w:tr>
      <w:tr w14:paraId="736725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1940D8FE">
            <w:pPr>
              <w:spacing w:line="320" w:lineRule="exact"/>
              <w:jc w:val="center"/>
              <w:rPr>
                <w:rFonts w:ascii="宋体" w:hAnsi="宋体" w:cs="宋体"/>
                <w:bCs/>
                <w:color w:val="auto"/>
                <w:highlight w:val="none"/>
              </w:rPr>
            </w:pPr>
            <w:r>
              <w:rPr>
                <w:rFonts w:hint="eastAsia" w:ascii="宋体" w:hAnsi="宋体" w:cs="宋体"/>
                <w:bCs/>
                <w:color w:val="auto"/>
                <w:highlight w:val="none"/>
              </w:rPr>
              <w:t>18</w:t>
            </w:r>
          </w:p>
        </w:tc>
        <w:tc>
          <w:tcPr>
            <w:tcW w:w="2787" w:type="dxa"/>
            <w:tcBorders>
              <w:top w:val="single" w:color="auto" w:sz="4" w:space="0"/>
              <w:left w:val="single" w:color="auto" w:sz="4" w:space="0"/>
              <w:bottom w:val="single" w:color="auto" w:sz="4" w:space="0"/>
              <w:right w:val="single" w:color="auto" w:sz="4" w:space="0"/>
            </w:tcBorders>
            <w:vAlign w:val="center"/>
          </w:tcPr>
          <w:p w14:paraId="287583DA">
            <w:pPr>
              <w:spacing w:line="320" w:lineRule="exact"/>
              <w:jc w:val="center"/>
              <w:rPr>
                <w:rFonts w:ascii="宋体" w:hAnsi="宋体" w:cs="宋体"/>
                <w:bCs/>
                <w:color w:val="auto"/>
                <w:highlight w:val="none"/>
              </w:rPr>
            </w:pPr>
            <w:r>
              <w:rPr>
                <w:rFonts w:hint="eastAsia" w:ascii="宋体" w:hAnsi="宋体" w:cs="宋体"/>
                <w:bCs/>
                <w:color w:val="auto"/>
                <w:highlight w:val="none"/>
              </w:rPr>
              <w:t>解释</w:t>
            </w:r>
          </w:p>
        </w:tc>
        <w:tc>
          <w:tcPr>
            <w:tcW w:w="6527" w:type="dxa"/>
            <w:tcBorders>
              <w:top w:val="single" w:color="auto" w:sz="4" w:space="0"/>
              <w:left w:val="single" w:color="auto" w:sz="4" w:space="0"/>
              <w:bottom w:val="single" w:color="auto" w:sz="4" w:space="0"/>
              <w:right w:val="single" w:color="auto" w:sz="4" w:space="0"/>
            </w:tcBorders>
            <w:vAlign w:val="center"/>
          </w:tcPr>
          <w:p w14:paraId="6314FAA8">
            <w:pPr>
              <w:spacing w:line="320" w:lineRule="exact"/>
              <w:rPr>
                <w:rFonts w:ascii="宋体" w:hAnsi="宋体" w:cs="宋体"/>
                <w:bCs/>
                <w:color w:val="auto"/>
                <w:highlight w:val="none"/>
              </w:rPr>
            </w:pPr>
            <w:r>
              <w:rPr>
                <w:rFonts w:hint="eastAsia" w:ascii="宋体" w:hAnsi="宋体" w:cs="宋体"/>
                <w:bCs/>
                <w:color w:val="auto"/>
                <w:highlight w:val="none"/>
              </w:rPr>
              <w:t>本磋商文件的解释权属于采购人及采购代理机构</w:t>
            </w:r>
          </w:p>
        </w:tc>
      </w:tr>
    </w:tbl>
    <w:p w14:paraId="4CA0C382">
      <w:pPr>
        <w:spacing w:line="400" w:lineRule="exact"/>
        <w:jc w:val="left"/>
        <w:rPr>
          <w:rFonts w:ascii="宋体" w:hAnsi="宋体" w:cs="宋体"/>
          <w:b/>
          <w:color w:val="auto"/>
          <w:highlight w:val="none"/>
        </w:rPr>
      </w:pPr>
      <w:bookmarkStart w:id="5" w:name="_Toc23399"/>
      <w:bookmarkEnd w:id="5"/>
      <w:bookmarkStart w:id="6" w:name="_Toc15998"/>
      <w:bookmarkEnd w:id="6"/>
      <w:bookmarkStart w:id="7" w:name="_Toc282640696"/>
      <w:bookmarkEnd w:id="7"/>
      <w:r>
        <w:rPr>
          <w:rFonts w:hint="eastAsia" w:ascii="宋体" w:hAnsi="宋体" w:cs="宋体"/>
          <w:b/>
          <w:color w:val="auto"/>
          <w:highlight w:val="none"/>
        </w:rPr>
        <w:t>一、适用范围</w:t>
      </w:r>
    </w:p>
    <w:p w14:paraId="53C3009C">
      <w:pPr>
        <w:spacing w:line="400" w:lineRule="exact"/>
        <w:jc w:val="left"/>
        <w:rPr>
          <w:rFonts w:ascii="宋体" w:hAnsi="宋体" w:cs="宋体"/>
          <w:bCs/>
          <w:color w:val="auto"/>
          <w:highlight w:val="none"/>
        </w:rPr>
      </w:pPr>
      <w:bookmarkStart w:id="8" w:name="_Toc282640697"/>
      <w:r>
        <w:rPr>
          <w:rFonts w:hint="eastAsia" w:ascii="宋体" w:hAnsi="宋体" w:cs="宋体"/>
          <w:bCs/>
          <w:color w:val="auto"/>
          <w:highlight w:val="none"/>
        </w:rPr>
        <w:t xml:space="preserve">   仅适用于本次竞争性磋商采购所叙述的工程、货物和服务。</w:t>
      </w:r>
    </w:p>
    <w:bookmarkEnd w:id="8"/>
    <w:p w14:paraId="23E9CCEC">
      <w:pPr>
        <w:spacing w:line="400" w:lineRule="exact"/>
        <w:jc w:val="left"/>
        <w:rPr>
          <w:rFonts w:ascii="宋体" w:hAnsi="宋体" w:cs="宋体"/>
          <w:b/>
          <w:color w:val="auto"/>
          <w:highlight w:val="none"/>
        </w:rPr>
      </w:pPr>
      <w:r>
        <w:rPr>
          <w:rFonts w:hint="eastAsia" w:ascii="宋体" w:hAnsi="宋体" w:cs="宋体"/>
          <w:bCs/>
          <w:color w:val="auto"/>
          <w:highlight w:val="none"/>
        </w:rPr>
        <w:t>二、</w:t>
      </w:r>
      <w:r>
        <w:rPr>
          <w:rFonts w:hint="eastAsia" w:ascii="宋体" w:hAnsi="宋体" w:cs="宋体"/>
          <w:b/>
          <w:color w:val="auto"/>
          <w:highlight w:val="none"/>
        </w:rPr>
        <w:t>定义</w:t>
      </w:r>
    </w:p>
    <w:p w14:paraId="4A13E46E">
      <w:pPr>
        <w:spacing w:line="400" w:lineRule="exact"/>
        <w:ind w:firstLine="240" w:firstLineChars="100"/>
        <w:jc w:val="left"/>
        <w:rPr>
          <w:rFonts w:ascii="宋体" w:hAnsi="宋体" w:cs="宋体"/>
          <w:bCs/>
          <w:color w:val="auto"/>
          <w:highlight w:val="none"/>
        </w:rPr>
      </w:pPr>
      <w:r>
        <w:rPr>
          <w:rFonts w:hint="eastAsia" w:ascii="宋体" w:hAnsi="宋体" w:cs="宋体"/>
          <w:bCs/>
          <w:color w:val="auto"/>
          <w:highlight w:val="none"/>
        </w:rPr>
        <w:t>1、“采购人”系指</w:t>
      </w:r>
      <w:r>
        <w:rPr>
          <w:rFonts w:hint="eastAsia" w:ascii="宋体" w:hAnsi="宋体" w:cs="宋体"/>
          <w:b/>
          <w:color w:val="auto"/>
          <w:highlight w:val="none"/>
          <w:u w:val="single"/>
          <w:lang w:eastAsia="zh-CN"/>
        </w:rPr>
        <w:t>湖州市吴兴区水利局</w:t>
      </w:r>
      <w:r>
        <w:rPr>
          <w:rFonts w:hint="eastAsia" w:ascii="宋体" w:hAnsi="宋体" w:cs="宋体"/>
          <w:b/>
          <w:color w:val="auto"/>
          <w:highlight w:val="none"/>
          <w:u w:val="single"/>
        </w:rPr>
        <w:t xml:space="preserve"> </w:t>
      </w:r>
      <w:r>
        <w:rPr>
          <w:rFonts w:hint="eastAsia" w:ascii="宋体" w:hAnsi="宋体" w:cs="宋体"/>
          <w:bCs/>
          <w:color w:val="auto"/>
          <w:highlight w:val="none"/>
        </w:rPr>
        <w:t>。</w:t>
      </w:r>
    </w:p>
    <w:p w14:paraId="0045DB4F">
      <w:pPr>
        <w:spacing w:line="400" w:lineRule="exact"/>
        <w:ind w:firstLine="240" w:firstLineChars="100"/>
        <w:jc w:val="left"/>
        <w:rPr>
          <w:rFonts w:ascii="宋体" w:hAnsi="宋体" w:cs="宋体"/>
          <w:bCs/>
          <w:color w:val="auto"/>
          <w:highlight w:val="none"/>
        </w:rPr>
      </w:pPr>
      <w:r>
        <w:rPr>
          <w:rFonts w:hint="eastAsia" w:ascii="宋体" w:hAnsi="宋体" w:cs="宋体"/>
          <w:bCs/>
          <w:color w:val="auto"/>
          <w:highlight w:val="none"/>
        </w:rPr>
        <w:t>2、“采购代理机构”系指</w:t>
      </w:r>
      <w:r>
        <w:rPr>
          <w:rFonts w:hint="eastAsia" w:ascii="宋体" w:hAnsi="宋体" w:cs="宋体"/>
          <w:b/>
          <w:color w:val="auto"/>
          <w:highlight w:val="none"/>
          <w:u w:val="single"/>
          <w:lang w:eastAsia="zh-CN"/>
        </w:rPr>
        <w:t>德威工程管理咨询有限公司</w:t>
      </w:r>
      <w:r>
        <w:rPr>
          <w:rFonts w:hint="eastAsia" w:ascii="宋体" w:hAnsi="宋体" w:cs="宋体"/>
          <w:bCs/>
          <w:color w:val="auto"/>
          <w:highlight w:val="none"/>
        </w:rPr>
        <w:t>。</w:t>
      </w:r>
    </w:p>
    <w:p w14:paraId="526D1230">
      <w:pPr>
        <w:spacing w:line="400" w:lineRule="exact"/>
        <w:ind w:firstLine="240" w:firstLineChars="100"/>
        <w:jc w:val="left"/>
        <w:rPr>
          <w:rFonts w:ascii="宋体" w:hAnsi="宋体" w:cs="宋体"/>
          <w:bCs/>
          <w:color w:val="auto"/>
          <w:highlight w:val="none"/>
        </w:rPr>
      </w:pPr>
      <w:r>
        <w:rPr>
          <w:rFonts w:hint="eastAsia" w:ascii="宋体" w:hAnsi="宋体" w:cs="宋体"/>
          <w:bCs/>
          <w:color w:val="auto"/>
          <w:highlight w:val="none"/>
        </w:rPr>
        <w:t>3、“供应商”系指向采购代理机构提交磋商响应文件的供应商。</w:t>
      </w:r>
    </w:p>
    <w:p w14:paraId="79671949">
      <w:pPr>
        <w:spacing w:line="400" w:lineRule="exact"/>
        <w:ind w:firstLine="240" w:firstLineChars="100"/>
        <w:jc w:val="left"/>
        <w:rPr>
          <w:rFonts w:ascii="宋体" w:hAnsi="宋体" w:cs="宋体"/>
          <w:bCs/>
          <w:color w:val="auto"/>
          <w:highlight w:val="none"/>
        </w:rPr>
      </w:pPr>
      <w:r>
        <w:rPr>
          <w:rFonts w:hint="eastAsia" w:ascii="宋体" w:hAnsi="宋体" w:cs="宋体"/>
          <w:bCs/>
          <w:color w:val="auto"/>
          <w:highlight w:val="none"/>
        </w:rPr>
        <w:t>4、“服务”系指按竞争性磋商文件要求提供的本项目的普查服务所有工作内容。</w:t>
      </w:r>
    </w:p>
    <w:p w14:paraId="200706A8">
      <w:pPr>
        <w:spacing w:line="400" w:lineRule="exact"/>
        <w:jc w:val="left"/>
        <w:rPr>
          <w:rFonts w:ascii="宋体" w:hAnsi="宋体" w:cs="宋体"/>
          <w:b/>
          <w:color w:val="auto"/>
          <w:highlight w:val="none"/>
        </w:rPr>
      </w:pPr>
      <w:bookmarkStart w:id="9" w:name="_Toc31441"/>
      <w:bookmarkEnd w:id="9"/>
      <w:bookmarkStart w:id="10" w:name="_Toc2086"/>
      <w:bookmarkEnd w:id="10"/>
      <w:bookmarkStart w:id="11" w:name="_Toc282640698"/>
      <w:bookmarkEnd w:id="11"/>
      <w:r>
        <w:rPr>
          <w:rFonts w:hint="eastAsia" w:ascii="宋体" w:hAnsi="宋体" w:cs="宋体"/>
          <w:b/>
          <w:color w:val="auto"/>
          <w:highlight w:val="none"/>
        </w:rPr>
        <w:t>三、供应商的资格要求</w:t>
      </w:r>
    </w:p>
    <w:p w14:paraId="2BF76E9E">
      <w:pPr>
        <w:spacing w:line="400" w:lineRule="exact"/>
        <w:rPr>
          <w:rFonts w:ascii="宋体" w:hAnsi="宋体" w:cs="宋体"/>
          <w:bCs/>
          <w:color w:val="auto"/>
          <w:highlight w:val="none"/>
        </w:rPr>
      </w:pPr>
      <w:bookmarkStart w:id="12" w:name="_Toc282640699"/>
      <w:r>
        <w:rPr>
          <w:rFonts w:hint="eastAsia" w:ascii="宋体" w:hAnsi="宋体" w:cs="宋体"/>
          <w:bCs/>
          <w:color w:val="auto"/>
          <w:highlight w:val="none"/>
        </w:rPr>
        <w:t xml:space="preserve">    符合竞争性磋商公告第四条供应商资格要求。</w:t>
      </w:r>
    </w:p>
    <w:bookmarkEnd w:id="12"/>
    <w:p w14:paraId="7ECE582E">
      <w:pPr>
        <w:spacing w:line="400" w:lineRule="exact"/>
        <w:jc w:val="left"/>
        <w:rPr>
          <w:rFonts w:ascii="宋体" w:hAnsi="宋体" w:cs="宋体"/>
          <w:b/>
          <w:color w:val="auto"/>
          <w:highlight w:val="none"/>
        </w:rPr>
      </w:pPr>
      <w:bookmarkStart w:id="13" w:name="_Toc19212"/>
      <w:bookmarkEnd w:id="13"/>
      <w:bookmarkStart w:id="14" w:name="_Toc12662"/>
      <w:bookmarkEnd w:id="14"/>
      <w:r>
        <w:rPr>
          <w:rFonts w:hint="eastAsia" w:ascii="宋体" w:hAnsi="宋体" w:cs="宋体"/>
          <w:b/>
          <w:color w:val="auto"/>
          <w:highlight w:val="none"/>
        </w:rPr>
        <w:t>四、磋商费用</w:t>
      </w:r>
    </w:p>
    <w:p w14:paraId="2E673E92">
      <w:pPr>
        <w:spacing w:line="400" w:lineRule="exact"/>
        <w:jc w:val="left"/>
        <w:rPr>
          <w:rFonts w:ascii="宋体" w:hAnsi="宋体" w:cs="宋体"/>
          <w:bCs/>
          <w:color w:val="auto"/>
          <w:highlight w:val="none"/>
        </w:rPr>
      </w:pPr>
      <w:r>
        <w:rPr>
          <w:rFonts w:hint="eastAsia" w:ascii="宋体" w:hAnsi="宋体" w:cs="宋体"/>
          <w:bCs/>
          <w:color w:val="auto"/>
          <w:highlight w:val="none"/>
        </w:rPr>
        <w:t xml:space="preserve">    无论竞争性磋商过程和结果如何，供应商自行承担与磋商响应有关的全部费用。</w:t>
      </w:r>
    </w:p>
    <w:p w14:paraId="694D3DD7">
      <w:pPr>
        <w:spacing w:line="400" w:lineRule="exact"/>
        <w:jc w:val="left"/>
        <w:rPr>
          <w:rFonts w:ascii="宋体" w:hAnsi="宋体" w:cs="宋体"/>
          <w:b/>
          <w:color w:val="auto"/>
          <w:highlight w:val="none"/>
        </w:rPr>
      </w:pPr>
      <w:bookmarkStart w:id="15" w:name="_Toc282640700"/>
      <w:bookmarkEnd w:id="15"/>
      <w:bookmarkStart w:id="16" w:name="_Toc26958"/>
      <w:bookmarkEnd w:id="16"/>
      <w:bookmarkStart w:id="17" w:name="_Toc14194"/>
      <w:bookmarkEnd w:id="17"/>
      <w:bookmarkStart w:id="18" w:name="_Toc282640701"/>
      <w:r>
        <w:rPr>
          <w:rFonts w:hint="eastAsia" w:ascii="宋体" w:hAnsi="宋体" w:cs="宋体"/>
          <w:b/>
          <w:color w:val="auto"/>
          <w:highlight w:val="none"/>
        </w:rPr>
        <w:t>五、竞争性磋商报价</w:t>
      </w:r>
    </w:p>
    <w:p w14:paraId="37A52E27">
      <w:pPr>
        <w:spacing w:line="400" w:lineRule="exact"/>
        <w:rPr>
          <w:rFonts w:ascii="宋体" w:hAnsi="宋体" w:cs="宋体"/>
          <w:bCs/>
          <w:color w:val="auto"/>
          <w:highlight w:val="none"/>
        </w:rPr>
      </w:pPr>
      <w:r>
        <w:rPr>
          <w:rFonts w:hint="eastAsia" w:ascii="宋体" w:hAnsi="宋体" w:cs="宋体"/>
          <w:bCs/>
          <w:color w:val="auto"/>
          <w:highlight w:val="none"/>
        </w:rPr>
        <w:t xml:space="preserve">    1、竞争性磋商报价以人民币为结算货币。</w:t>
      </w:r>
    </w:p>
    <w:p w14:paraId="5790A503">
      <w:pPr>
        <w:spacing w:line="400" w:lineRule="exact"/>
        <w:rPr>
          <w:rFonts w:ascii="宋体" w:hAnsi="宋体" w:cs="宋体"/>
          <w:bCs/>
          <w:color w:val="auto"/>
          <w:highlight w:val="none"/>
        </w:rPr>
      </w:pPr>
      <w:r>
        <w:rPr>
          <w:rFonts w:hint="eastAsia" w:ascii="宋体" w:hAnsi="宋体" w:cs="宋体"/>
          <w:bCs/>
          <w:color w:val="auto"/>
          <w:highlight w:val="none"/>
        </w:rPr>
        <w:t xml:space="preserve">    2、供应商应按竞争性磋商文件的要求认真填写相应材料，磋商响应文件的大写金额和小写金额不一致的，以大写金额为准；总价金额与按单价汇总金额不一致的，以单价金额计算结果为准；单价金额小数点有明显错位的，应以总价为准，并修改单价。</w:t>
      </w:r>
    </w:p>
    <w:p w14:paraId="75BC4DE8">
      <w:pPr>
        <w:spacing w:line="400" w:lineRule="exact"/>
        <w:ind w:firstLine="480"/>
        <w:rPr>
          <w:rFonts w:ascii="宋体" w:hAnsi="宋体" w:cs="宋体"/>
          <w:bCs/>
          <w:color w:val="auto"/>
          <w:highlight w:val="none"/>
        </w:rPr>
      </w:pPr>
      <w:r>
        <w:rPr>
          <w:rFonts w:hint="eastAsia" w:ascii="宋体" w:hAnsi="宋体" w:cs="宋体"/>
          <w:bCs/>
          <w:color w:val="auto"/>
          <w:highlight w:val="none"/>
        </w:rPr>
        <w:t>▲3、磋商报价是履行合同的最终价格，应该包括完成服务（供货）所需的各种费用及必要的保险费用和各项税金等所有费用的总和报价。供应商应同时列出认为必要的其他费用，招标结束后不再另行增加费用。</w:t>
      </w:r>
    </w:p>
    <w:p w14:paraId="576D4763">
      <w:pPr>
        <w:spacing w:line="400" w:lineRule="exact"/>
        <w:ind w:firstLine="480"/>
        <w:rPr>
          <w:rFonts w:ascii="宋体" w:hAnsi="宋体" w:cs="宋体"/>
          <w:color w:val="auto"/>
          <w:sz w:val="28"/>
          <w:szCs w:val="28"/>
          <w:highlight w:val="none"/>
        </w:rPr>
      </w:pPr>
      <w:r>
        <w:rPr>
          <w:rFonts w:hint="eastAsia" w:ascii="宋体" w:hAnsi="宋体" w:cs="宋体"/>
          <w:bCs/>
          <w:color w:val="auto"/>
          <w:highlight w:val="none"/>
        </w:rPr>
        <w:t>4、供应商应充分考虑因各种原因可能发生的费用。对没有填报的费用，采购人认为所有费用已包含在总价中，除合同条款另有规定外，不得进行</w:t>
      </w:r>
      <w:r>
        <w:rPr>
          <w:rFonts w:hint="eastAsia" w:ascii="宋体" w:hAnsi="宋体" w:cs="宋体"/>
          <w:color w:val="auto"/>
          <w:sz w:val="28"/>
          <w:szCs w:val="28"/>
          <w:highlight w:val="none"/>
        </w:rPr>
        <w:t>调整。</w:t>
      </w:r>
    </w:p>
    <w:bookmarkEnd w:id="18"/>
    <w:p w14:paraId="176143BF">
      <w:pPr>
        <w:spacing w:line="400" w:lineRule="exact"/>
        <w:jc w:val="left"/>
        <w:rPr>
          <w:rFonts w:ascii="宋体" w:hAnsi="宋体" w:cs="宋体"/>
          <w:bCs/>
          <w:color w:val="auto"/>
          <w:highlight w:val="none"/>
        </w:rPr>
      </w:pPr>
      <w:bookmarkStart w:id="19" w:name="_Toc9887"/>
      <w:bookmarkEnd w:id="19"/>
      <w:bookmarkStart w:id="20" w:name="_Toc21742"/>
      <w:bookmarkEnd w:id="20"/>
      <w:bookmarkStart w:id="21" w:name="_Toc7971"/>
      <w:bookmarkEnd w:id="21"/>
      <w:bookmarkStart w:id="22" w:name="_Toc15229"/>
      <w:bookmarkEnd w:id="22"/>
      <w:r>
        <w:rPr>
          <w:rFonts w:hint="eastAsia" w:ascii="宋体" w:hAnsi="宋体" w:cs="宋体"/>
          <w:b/>
          <w:color w:val="auto"/>
          <w:highlight w:val="none"/>
        </w:rPr>
        <w:t>六、履约保证金</w:t>
      </w:r>
    </w:p>
    <w:p w14:paraId="477B429C">
      <w:pPr>
        <w:spacing w:line="420" w:lineRule="exact"/>
        <w:ind w:firstLine="560" w:firstLineChars="200"/>
        <w:rPr>
          <w:rFonts w:ascii="宋体" w:hAnsi="宋体" w:cs="宋体"/>
          <w:bCs/>
          <w:color w:val="auto"/>
          <w:highlight w:val="none"/>
        </w:rPr>
      </w:pPr>
      <w:bookmarkStart w:id="23" w:name="_Toc414960347"/>
      <w:bookmarkEnd w:id="23"/>
      <w:bookmarkStart w:id="24" w:name="_Toc31890"/>
      <w:bookmarkStart w:id="25" w:name="_Toc27409"/>
      <w:r>
        <w:rPr>
          <w:rFonts w:hint="eastAsia" w:ascii="宋体" w:hAnsi="宋体" w:cs="宋体"/>
          <w:color w:val="auto"/>
          <w:sz w:val="28"/>
          <w:szCs w:val="28"/>
          <w:highlight w:val="none"/>
        </w:rPr>
        <w:t xml:space="preserve">   </w:t>
      </w:r>
      <w:r>
        <w:rPr>
          <w:rFonts w:hint="eastAsia" w:ascii="宋体" w:hAnsi="宋体" w:cs="宋体"/>
          <w:bCs/>
          <w:color w:val="auto"/>
          <w:highlight w:val="none"/>
        </w:rPr>
        <w:t>无</w:t>
      </w:r>
    </w:p>
    <w:bookmarkEnd w:id="24"/>
    <w:bookmarkEnd w:id="25"/>
    <w:p w14:paraId="4DC1057B">
      <w:pPr>
        <w:spacing w:line="400" w:lineRule="exact"/>
        <w:rPr>
          <w:rFonts w:ascii="宋体" w:hAnsi="宋体" w:cs="宋体"/>
          <w:b/>
          <w:color w:val="auto"/>
          <w:highlight w:val="none"/>
        </w:rPr>
      </w:pPr>
      <w:r>
        <w:rPr>
          <w:rFonts w:hint="eastAsia" w:ascii="宋体" w:hAnsi="宋体" w:cs="宋体"/>
          <w:b/>
          <w:color w:val="auto"/>
          <w:highlight w:val="none"/>
        </w:rPr>
        <w:t>七、磋商文件有效期</w:t>
      </w:r>
    </w:p>
    <w:p w14:paraId="3E90ACCD">
      <w:pPr>
        <w:spacing w:line="400" w:lineRule="exact"/>
        <w:rPr>
          <w:rFonts w:ascii="宋体" w:hAnsi="宋体" w:cs="宋体"/>
          <w:bCs/>
          <w:color w:val="auto"/>
          <w:highlight w:val="none"/>
        </w:rPr>
      </w:pPr>
      <w:r>
        <w:rPr>
          <w:rFonts w:hint="eastAsia" w:ascii="宋体" w:hAnsi="宋体" w:cs="宋体"/>
          <w:bCs/>
          <w:color w:val="auto"/>
          <w:highlight w:val="none"/>
        </w:rPr>
        <w:t xml:space="preserve">    1、响应文件从磋商之日起，有效期为90天。</w:t>
      </w:r>
    </w:p>
    <w:p w14:paraId="323008A6">
      <w:pPr>
        <w:spacing w:line="400" w:lineRule="exact"/>
        <w:rPr>
          <w:rFonts w:ascii="宋体" w:hAnsi="宋体" w:cs="宋体"/>
          <w:bCs/>
          <w:color w:val="auto"/>
          <w:highlight w:val="none"/>
        </w:rPr>
      </w:pPr>
      <w:r>
        <w:rPr>
          <w:rFonts w:hint="eastAsia" w:ascii="宋体" w:hAnsi="宋体" w:cs="宋体"/>
          <w:bCs/>
          <w:color w:val="auto"/>
          <w:highlight w:val="none"/>
        </w:rPr>
        <w:t xml:space="preserve">    2、特殊情况下，采购人可与供应商协商延缓响应文件的有效期，这种要求和答复均以书面形式进行。</w:t>
      </w:r>
    </w:p>
    <w:p w14:paraId="6F9BF178">
      <w:pPr>
        <w:spacing w:line="400" w:lineRule="exact"/>
        <w:ind w:firstLine="480"/>
        <w:rPr>
          <w:rFonts w:ascii="宋体" w:hAnsi="宋体" w:cs="宋体"/>
          <w:bCs/>
          <w:color w:val="auto"/>
          <w:highlight w:val="none"/>
        </w:rPr>
      </w:pPr>
      <w:bookmarkStart w:id="26" w:name="_Toc282640702"/>
      <w:r>
        <w:rPr>
          <w:rFonts w:hint="eastAsia" w:ascii="宋体" w:hAnsi="宋体" w:cs="宋体"/>
          <w:bCs/>
          <w:color w:val="auto"/>
          <w:highlight w:val="none"/>
        </w:rPr>
        <w:t>3、供应商可拒绝接受延期要求。同意延长有效期的供应商不能修改磋商响应文件。</w:t>
      </w:r>
    </w:p>
    <w:bookmarkEnd w:id="26"/>
    <w:p w14:paraId="25FD15FA">
      <w:pPr>
        <w:spacing w:line="400" w:lineRule="exact"/>
        <w:rPr>
          <w:rFonts w:ascii="宋体" w:hAnsi="宋体" w:cs="宋体"/>
          <w:b/>
          <w:color w:val="auto"/>
          <w:highlight w:val="none"/>
        </w:rPr>
      </w:pPr>
      <w:r>
        <w:rPr>
          <w:rFonts w:hint="eastAsia" w:ascii="宋体" w:hAnsi="宋体" w:cs="宋体"/>
          <w:b/>
          <w:color w:val="auto"/>
          <w:highlight w:val="none"/>
        </w:rPr>
        <w:t>八、响应文件的组成（如无格式，格式自拟）</w:t>
      </w:r>
    </w:p>
    <w:p w14:paraId="6862C223">
      <w:pPr>
        <w:spacing w:line="400" w:lineRule="exact"/>
        <w:rPr>
          <w:rFonts w:ascii="宋体" w:hAnsi="宋体" w:cs="宋体"/>
          <w:bCs/>
          <w:color w:val="auto"/>
          <w:highlight w:val="none"/>
        </w:rPr>
      </w:pPr>
      <w:r>
        <w:rPr>
          <w:rFonts w:hint="eastAsia" w:ascii="宋体" w:hAnsi="宋体" w:cs="宋体"/>
          <w:bCs/>
          <w:color w:val="auto"/>
          <w:highlight w:val="none"/>
        </w:rPr>
        <w:t xml:space="preserve">    1、供应商应仔细阅读竞争性磋商文件中的所有内容，按照磋商文件及采购服务要求，详细编制响应文件。并对磋商文件的要求做出实质上的响应。未实质上响应的响应文件将可能导致被拒绝，但允许报价在满足并优于采购要求的前提下出现的微小差异。</w:t>
      </w:r>
    </w:p>
    <w:p w14:paraId="6448CC3A">
      <w:pPr>
        <w:spacing w:line="400" w:lineRule="exact"/>
        <w:rPr>
          <w:rFonts w:ascii="宋体" w:hAnsi="宋体" w:cs="宋体"/>
          <w:bCs/>
          <w:color w:val="auto"/>
          <w:highlight w:val="none"/>
        </w:rPr>
      </w:pPr>
      <w:r>
        <w:rPr>
          <w:rFonts w:hint="eastAsia" w:ascii="宋体" w:hAnsi="宋体" w:cs="宋体"/>
          <w:bCs/>
          <w:color w:val="auto"/>
          <w:highlight w:val="none"/>
        </w:rPr>
        <w:t xml:space="preserve">    2、供应商必须按竞争性磋商文件的要求提供相关技术文件、资料，包括采用的计量单位，并保证响应文件的正确性和真实性，响应文件全部内容应保持一致，否则可能导致不利于其磋商的评定甚至被拒绝。技术和商务如有偏离均应填写偏离表。</w:t>
      </w:r>
    </w:p>
    <w:p w14:paraId="41D06523">
      <w:pPr>
        <w:spacing w:line="400" w:lineRule="exact"/>
        <w:ind w:firstLine="480"/>
        <w:rPr>
          <w:rFonts w:ascii="宋体" w:hAnsi="宋体" w:cs="宋体"/>
          <w:bCs/>
          <w:color w:val="auto"/>
          <w:highlight w:val="none"/>
        </w:rPr>
      </w:pPr>
      <w:r>
        <w:rPr>
          <w:rFonts w:hint="eastAsia" w:ascii="宋体" w:hAnsi="宋体" w:cs="宋体"/>
          <w:bCs/>
          <w:color w:val="auto"/>
          <w:highlight w:val="none"/>
        </w:rPr>
        <w:t>3、响应文件的组成</w:t>
      </w:r>
    </w:p>
    <w:p w14:paraId="30CA4E15">
      <w:pPr>
        <w:autoSpaceDE w:val="0"/>
        <w:autoSpaceDN w:val="0"/>
        <w:adjustRightInd w:val="0"/>
        <w:snapToGrid w:val="0"/>
        <w:spacing w:line="400" w:lineRule="exact"/>
        <w:ind w:firstLine="487" w:firstLineChars="202"/>
        <w:rPr>
          <w:rFonts w:ascii="宋体" w:hAnsi="宋体" w:cs="宋体"/>
          <w:b/>
          <w:color w:val="auto"/>
          <w:highlight w:val="none"/>
          <w:u w:val="single"/>
        </w:rPr>
      </w:pPr>
      <w:r>
        <w:rPr>
          <w:rFonts w:hint="eastAsia" w:ascii="宋体" w:hAnsi="宋体" w:cs="宋体"/>
          <w:b/>
          <w:color w:val="auto"/>
          <w:highlight w:val="none"/>
          <w:u w:val="single"/>
        </w:rPr>
        <w:t>3.1资格证明文件（如无格式，格式自拟。）</w:t>
      </w:r>
    </w:p>
    <w:p w14:paraId="1BC723F9">
      <w:pPr>
        <w:numPr>
          <w:ilvl w:val="0"/>
          <w:numId w:val="2"/>
        </w:numPr>
        <w:spacing w:line="400" w:lineRule="exact"/>
        <w:rPr>
          <w:rFonts w:ascii="宋体" w:hAnsi="宋体" w:cs="宋体"/>
          <w:color w:val="auto"/>
          <w:highlight w:val="none"/>
        </w:rPr>
      </w:pPr>
      <w:r>
        <w:rPr>
          <w:rFonts w:hint="eastAsia" w:ascii="宋体" w:hAnsi="宋体" w:cs="宋体"/>
          <w:color w:val="auto"/>
          <w:highlight w:val="none"/>
        </w:rPr>
        <w:t>磋商声明书（格式见附件）；</w:t>
      </w:r>
    </w:p>
    <w:p w14:paraId="2D64CC06">
      <w:pPr>
        <w:numPr>
          <w:ilvl w:val="0"/>
          <w:numId w:val="2"/>
        </w:numPr>
        <w:spacing w:line="400" w:lineRule="exact"/>
        <w:rPr>
          <w:rFonts w:ascii="宋体" w:hAnsi="宋体" w:cs="宋体"/>
          <w:color w:val="auto"/>
          <w:highlight w:val="none"/>
        </w:rPr>
      </w:pPr>
      <w:r>
        <w:rPr>
          <w:rFonts w:hint="eastAsia" w:ascii="宋体" w:hAnsi="宋体" w:cs="宋体"/>
          <w:color w:val="auto"/>
          <w:highlight w:val="none"/>
        </w:rPr>
        <w:t>有效的企业营业执照、税务登记证（已办理“三证合一”或“五证合一”的企业无须提供税务登记证）</w:t>
      </w:r>
      <w:r>
        <w:rPr>
          <w:rFonts w:hint="eastAsia" w:ascii="宋体" w:hAnsi="宋体" w:cs="宋体"/>
          <w:color w:val="auto"/>
          <w:highlight w:val="none"/>
          <w:lang w:val="zh-CN"/>
        </w:rPr>
        <w:t>（原件、复印件加盖公章各一份）</w:t>
      </w:r>
      <w:r>
        <w:rPr>
          <w:rFonts w:hint="eastAsia" w:ascii="宋体" w:hAnsi="宋体" w:cs="宋体"/>
          <w:color w:val="auto"/>
          <w:highlight w:val="none"/>
        </w:rPr>
        <w:t>；</w:t>
      </w:r>
    </w:p>
    <w:p w14:paraId="0A800670">
      <w:pPr>
        <w:numPr>
          <w:ilvl w:val="0"/>
          <w:numId w:val="2"/>
        </w:numPr>
        <w:tabs>
          <w:tab w:val="left" w:pos="844"/>
          <w:tab w:val="clear" w:pos="846"/>
        </w:tabs>
        <w:autoSpaceDE w:val="0"/>
        <w:autoSpaceDN w:val="0"/>
        <w:snapToGrid w:val="0"/>
        <w:spacing w:line="400" w:lineRule="exact"/>
        <w:rPr>
          <w:rFonts w:ascii="宋体" w:hAnsi="宋体" w:cs="宋体"/>
          <w:bCs/>
          <w:color w:val="auto"/>
          <w:highlight w:val="none"/>
        </w:rPr>
      </w:pPr>
      <w:r>
        <w:rPr>
          <w:rFonts w:ascii="宋体" w:hAnsi="宋体" w:cs="宋体"/>
          <w:color w:val="auto"/>
          <w:highlight w:val="none"/>
        </w:rPr>
        <w:t>承诺符合参与政府采购活动的资格条件并且没有税收缴纳、社会保障等方面的失信记录</w:t>
      </w:r>
      <w:r>
        <w:rPr>
          <w:rFonts w:hint="eastAsia" w:ascii="宋体" w:hAnsi="宋体" w:cs="宋体"/>
          <w:bCs/>
          <w:color w:val="auto"/>
          <w:highlight w:val="none"/>
        </w:rPr>
        <w:t>；</w:t>
      </w:r>
    </w:p>
    <w:p w14:paraId="20291837">
      <w:pPr>
        <w:numPr>
          <w:ilvl w:val="0"/>
          <w:numId w:val="2"/>
        </w:numPr>
        <w:tabs>
          <w:tab w:val="left" w:pos="844"/>
          <w:tab w:val="clear" w:pos="846"/>
        </w:tabs>
        <w:autoSpaceDE w:val="0"/>
        <w:autoSpaceDN w:val="0"/>
        <w:snapToGrid w:val="0"/>
        <w:spacing w:line="400" w:lineRule="exact"/>
        <w:rPr>
          <w:rFonts w:ascii="宋体" w:hAnsi="宋体" w:cs="宋体"/>
          <w:bCs/>
          <w:color w:val="auto"/>
          <w:highlight w:val="none"/>
        </w:rPr>
      </w:pPr>
      <w:r>
        <w:rPr>
          <w:rFonts w:hint="eastAsia" w:ascii="宋体" w:hAnsi="宋体" w:cs="宋体"/>
          <w:bCs/>
          <w:color w:val="auto"/>
          <w:highlight w:val="none"/>
        </w:rPr>
        <w:t>法定代表人身份证明书（格式见附件）；</w:t>
      </w:r>
    </w:p>
    <w:p w14:paraId="105DD1EB">
      <w:pPr>
        <w:numPr>
          <w:ilvl w:val="0"/>
          <w:numId w:val="2"/>
        </w:numPr>
        <w:tabs>
          <w:tab w:val="left" w:pos="844"/>
          <w:tab w:val="clear" w:pos="846"/>
        </w:tabs>
        <w:autoSpaceDE w:val="0"/>
        <w:autoSpaceDN w:val="0"/>
        <w:snapToGrid w:val="0"/>
        <w:spacing w:line="400" w:lineRule="exact"/>
        <w:rPr>
          <w:rFonts w:ascii="宋体" w:hAnsi="宋体" w:cs="宋体"/>
          <w:bCs/>
          <w:color w:val="auto"/>
          <w:highlight w:val="none"/>
        </w:rPr>
      </w:pPr>
      <w:r>
        <w:rPr>
          <w:rFonts w:hint="eastAsia" w:ascii="宋体" w:hAnsi="宋体" w:cs="宋体"/>
          <w:bCs/>
          <w:color w:val="auto"/>
          <w:highlight w:val="none"/>
        </w:rPr>
        <w:t>信用承诺书（格式见附件）；</w:t>
      </w:r>
    </w:p>
    <w:p w14:paraId="4FD6DCAF">
      <w:pPr>
        <w:numPr>
          <w:ilvl w:val="0"/>
          <w:numId w:val="2"/>
        </w:numPr>
        <w:tabs>
          <w:tab w:val="left" w:pos="844"/>
          <w:tab w:val="clear" w:pos="846"/>
        </w:tabs>
        <w:autoSpaceDE w:val="0"/>
        <w:autoSpaceDN w:val="0"/>
        <w:snapToGrid w:val="0"/>
        <w:spacing w:line="400" w:lineRule="exact"/>
        <w:rPr>
          <w:rFonts w:ascii="宋体" w:hAnsi="宋体" w:cs="宋体"/>
          <w:bCs/>
          <w:color w:val="auto"/>
          <w:highlight w:val="none"/>
        </w:rPr>
      </w:pPr>
      <w:r>
        <w:rPr>
          <w:rFonts w:hint="eastAsia" w:ascii="宋体" w:hAnsi="宋体" w:cs="宋体"/>
          <w:bCs/>
          <w:color w:val="auto"/>
          <w:highlight w:val="none"/>
        </w:rPr>
        <w:t>法定代表人授权委托书及授权代理人有效身份证明（复印件）（格式见附件）；</w:t>
      </w:r>
    </w:p>
    <w:p w14:paraId="49D5E984">
      <w:pPr>
        <w:numPr>
          <w:ilvl w:val="0"/>
          <w:numId w:val="2"/>
        </w:numPr>
        <w:tabs>
          <w:tab w:val="left" w:pos="844"/>
          <w:tab w:val="clear" w:pos="846"/>
        </w:tabs>
        <w:autoSpaceDE w:val="0"/>
        <w:autoSpaceDN w:val="0"/>
        <w:snapToGrid w:val="0"/>
        <w:spacing w:line="400" w:lineRule="exact"/>
        <w:rPr>
          <w:rFonts w:ascii="宋体" w:hAnsi="宋体" w:cs="宋体"/>
          <w:bCs/>
          <w:color w:val="auto"/>
          <w:highlight w:val="none"/>
        </w:rPr>
      </w:pPr>
      <w:r>
        <w:rPr>
          <w:rFonts w:hint="eastAsia" w:ascii="宋体" w:hAnsi="宋体" w:cs="宋体"/>
          <w:bCs/>
          <w:color w:val="auto"/>
          <w:highlight w:val="none"/>
        </w:rPr>
        <w:t>中小企业声明函（格式见附件）；</w:t>
      </w:r>
    </w:p>
    <w:p w14:paraId="0B7A77AE">
      <w:pPr>
        <w:numPr>
          <w:ilvl w:val="0"/>
          <w:numId w:val="2"/>
        </w:numPr>
        <w:tabs>
          <w:tab w:val="left" w:pos="844"/>
          <w:tab w:val="clear" w:pos="846"/>
        </w:tabs>
        <w:autoSpaceDE w:val="0"/>
        <w:autoSpaceDN w:val="0"/>
        <w:snapToGrid w:val="0"/>
        <w:spacing w:line="400" w:lineRule="exact"/>
        <w:rPr>
          <w:rFonts w:ascii="宋体" w:hAnsi="宋体" w:cs="宋体"/>
          <w:bCs/>
          <w:color w:val="auto"/>
          <w:highlight w:val="none"/>
        </w:rPr>
      </w:pPr>
      <w:r>
        <w:rPr>
          <w:rFonts w:hint="eastAsia" w:ascii="宋体" w:hAnsi="宋体" w:cs="宋体"/>
          <w:bCs/>
          <w:color w:val="auto"/>
          <w:highlight w:val="none"/>
        </w:rPr>
        <w:t xml:space="preserve">供应商认为需要提供的其他资料和文件。 </w:t>
      </w:r>
    </w:p>
    <w:p w14:paraId="7CE6CA57">
      <w:pPr>
        <w:autoSpaceDE w:val="0"/>
        <w:autoSpaceDN w:val="0"/>
        <w:adjustRightInd w:val="0"/>
        <w:snapToGrid w:val="0"/>
        <w:spacing w:line="400" w:lineRule="exact"/>
        <w:ind w:firstLine="487" w:firstLineChars="202"/>
        <w:rPr>
          <w:rFonts w:ascii="宋体" w:hAnsi="宋体" w:cs="宋体"/>
          <w:b/>
          <w:color w:val="auto"/>
          <w:highlight w:val="none"/>
          <w:u w:val="single"/>
        </w:rPr>
      </w:pPr>
      <w:r>
        <w:rPr>
          <w:rFonts w:hint="eastAsia" w:ascii="宋体" w:hAnsi="宋体" w:cs="宋体"/>
          <w:b/>
          <w:color w:val="auto"/>
          <w:highlight w:val="none"/>
          <w:u w:val="single"/>
        </w:rPr>
        <w:t>3.2</w:t>
      </w:r>
      <w:r>
        <w:rPr>
          <w:rFonts w:hint="eastAsia" w:ascii="宋体" w:hAnsi="宋体" w:cs="宋体"/>
          <w:b/>
          <w:color w:val="auto"/>
          <w:highlight w:val="none"/>
          <w:u w:val="single"/>
          <w:lang w:eastAsia="zh-CN"/>
        </w:rPr>
        <w:t>报价</w:t>
      </w:r>
      <w:r>
        <w:rPr>
          <w:rFonts w:hint="eastAsia" w:ascii="宋体" w:hAnsi="宋体" w:cs="宋体"/>
          <w:b/>
          <w:color w:val="auto"/>
          <w:highlight w:val="none"/>
          <w:u w:val="single"/>
        </w:rPr>
        <w:t>文件（如无格</w:t>
      </w:r>
      <w:bookmarkStart w:id="108" w:name="_GoBack"/>
      <w:bookmarkEnd w:id="108"/>
      <w:r>
        <w:rPr>
          <w:rFonts w:hint="eastAsia" w:ascii="宋体" w:hAnsi="宋体" w:cs="宋体"/>
          <w:b/>
          <w:color w:val="auto"/>
          <w:highlight w:val="none"/>
          <w:u w:val="single"/>
        </w:rPr>
        <w:t>式，格式自拟。）</w:t>
      </w:r>
    </w:p>
    <w:p w14:paraId="4FC2EEAB">
      <w:pPr>
        <w:tabs>
          <w:tab w:val="left" w:pos="844"/>
        </w:tabs>
        <w:autoSpaceDE w:val="0"/>
        <w:autoSpaceDN w:val="0"/>
        <w:snapToGrid w:val="0"/>
        <w:spacing w:line="400" w:lineRule="exact"/>
        <w:ind w:left="424"/>
        <w:rPr>
          <w:rFonts w:ascii="宋体" w:hAnsi="宋体" w:cs="宋体"/>
          <w:bCs/>
          <w:color w:val="auto"/>
          <w:highlight w:val="none"/>
        </w:rPr>
      </w:pPr>
      <w:r>
        <w:rPr>
          <w:rFonts w:hint="eastAsia" w:ascii="宋体" w:hAnsi="宋体" w:cs="宋体"/>
          <w:bCs/>
          <w:color w:val="auto"/>
          <w:highlight w:val="none"/>
        </w:rPr>
        <w:t>1）磋商申请函（格式见附件）；</w:t>
      </w:r>
    </w:p>
    <w:p w14:paraId="26AB6217">
      <w:pPr>
        <w:tabs>
          <w:tab w:val="left" w:pos="844"/>
        </w:tabs>
        <w:autoSpaceDE w:val="0"/>
        <w:autoSpaceDN w:val="0"/>
        <w:snapToGrid w:val="0"/>
        <w:spacing w:line="400" w:lineRule="exact"/>
        <w:ind w:left="424"/>
        <w:rPr>
          <w:rFonts w:ascii="宋体" w:hAnsi="宋体" w:cs="宋体"/>
          <w:bCs/>
          <w:color w:val="auto"/>
          <w:highlight w:val="none"/>
        </w:rPr>
      </w:pPr>
      <w:r>
        <w:rPr>
          <w:rFonts w:hint="eastAsia" w:ascii="宋体" w:hAnsi="宋体" w:cs="宋体"/>
          <w:bCs/>
          <w:color w:val="auto"/>
          <w:highlight w:val="none"/>
        </w:rPr>
        <w:t>2）初次报价表（格式见附件）；</w:t>
      </w:r>
    </w:p>
    <w:p w14:paraId="60BB13E8">
      <w:pPr>
        <w:tabs>
          <w:tab w:val="left" w:pos="844"/>
        </w:tabs>
        <w:autoSpaceDE w:val="0"/>
        <w:autoSpaceDN w:val="0"/>
        <w:snapToGrid w:val="0"/>
        <w:spacing w:line="400" w:lineRule="exact"/>
        <w:ind w:left="424"/>
        <w:rPr>
          <w:rFonts w:ascii="宋体" w:hAnsi="宋体" w:cs="宋体"/>
          <w:bCs/>
          <w:color w:val="auto"/>
          <w:highlight w:val="none"/>
        </w:rPr>
      </w:pPr>
      <w:r>
        <w:rPr>
          <w:rFonts w:hint="eastAsia" w:ascii="宋体" w:hAnsi="宋体" w:cs="宋体"/>
          <w:bCs/>
          <w:color w:val="auto"/>
          <w:highlight w:val="none"/>
          <w:lang w:val="en-US" w:eastAsia="zh-CN"/>
        </w:rPr>
        <w:t>5</w:t>
      </w:r>
      <w:r>
        <w:rPr>
          <w:rFonts w:hint="eastAsia" w:ascii="宋体" w:hAnsi="宋体" w:cs="宋体"/>
          <w:bCs/>
          <w:color w:val="auto"/>
          <w:highlight w:val="none"/>
        </w:rPr>
        <w:t>）供应商认为应该说明的其他文件和资料；</w:t>
      </w:r>
    </w:p>
    <w:p w14:paraId="24B3B021">
      <w:pPr>
        <w:tabs>
          <w:tab w:val="left" w:pos="844"/>
        </w:tabs>
        <w:autoSpaceDE w:val="0"/>
        <w:autoSpaceDN w:val="0"/>
        <w:snapToGrid w:val="0"/>
        <w:spacing w:line="400" w:lineRule="exact"/>
        <w:ind w:left="424"/>
        <w:outlineLvl w:val="3"/>
        <w:rPr>
          <w:rFonts w:ascii="宋体" w:hAnsi="宋体" w:cs="宋体"/>
          <w:b/>
          <w:color w:val="auto"/>
          <w:highlight w:val="none"/>
          <w:u w:val="single"/>
        </w:rPr>
      </w:pPr>
      <w:r>
        <w:rPr>
          <w:rFonts w:hint="eastAsia" w:ascii="宋体" w:hAnsi="宋体" w:cs="宋体"/>
          <w:b/>
          <w:color w:val="auto"/>
          <w:highlight w:val="none"/>
          <w:u w:val="single"/>
        </w:rPr>
        <w:t>3.3商务、技术文件（如无格式，格式自拟。）</w:t>
      </w:r>
    </w:p>
    <w:p w14:paraId="6FEE6A39">
      <w:pPr>
        <w:numPr>
          <w:ilvl w:val="0"/>
          <w:numId w:val="3"/>
        </w:numPr>
        <w:autoSpaceDE w:val="0"/>
        <w:autoSpaceDN w:val="0"/>
        <w:adjustRightInd w:val="0"/>
        <w:spacing w:line="360" w:lineRule="auto"/>
        <w:ind w:left="0" w:firstLine="425"/>
        <w:rPr>
          <w:rFonts w:ascii="宋体" w:hAnsi="宋体" w:cs="宋体"/>
          <w:color w:val="auto"/>
          <w:highlight w:val="none"/>
          <w:lang w:val="zh-CN"/>
        </w:rPr>
      </w:pPr>
      <w:r>
        <w:rPr>
          <w:rFonts w:hint="eastAsia" w:ascii="宋体" w:hAnsi="宋体" w:cs="宋体"/>
          <w:color w:val="auto"/>
          <w:highlight w:val="none"/>
          <w:lang w:val="zh-CN"/>
        </w:rPr>
        <w:t>评分索引表；</w:t>
      </w:r>
    </w:p>
    <w:p w14:paraId="0D65FD9A">
      <w:pPr>
        <w:numPr>
          <w:ilvl w:val="0"/>
          <w:numId w:val="3"/>
        </w:numPr>
        <w:autoSpaceDE w:val="0"/>
        <w:autoSpaceDN w:val="0"/>
        <w:adjustRightInd w:val="0"/>
        <w:spacing w:line="360" w:lineRule="auto"/>
        <w:ind w:left="0" w:firstLine="425"/>
        <w:rPr>
          <w:rFonts w:ascii="宋体" w:hAnsi="宋体" w:cs="宋体"/>
          <w:color w:val="auto"/>
          <w:highlight w:val="none"/>
          <w:lang w:val="zh-CN"/>
        </w:rPr>
      </w:pPr>
      <w:r>
        <w:rPr>
          <w:rFonts w:hint="eastAsia" w:ascii="宋体" w:hAnsi="宋体" w:cs="宋体"/>
          <w:color w:val="auto"/>
          <w:highlight w:val="none"/>
          <w:lang w:val="zh-CN"/>
        </w:rPr>
        <w:t>技术响应表；</w:t>
      </w:r>
    </w:p>
    <w:p w14:paraId="106B7EA1">
      <w:pPr>
        <w:numPr>
          <w:ilvl w:val="0"/>
          <w:numId w:val="3"/>
        </w:numPr>
        <w:autoSpaceDE w:val="0"/>
        <w:autoSpaceDN w:val="0"/>
        <w:adjustRightInd w:val="0"/>
        <w:spacing w:line="360" w:lineRule="auto"/>
        <w:ind w:left="0" w:firstLine="425"/>
        <w:rPr>
          <w:rFonts w:ascii="宋体" w:hAnsi="宋体" w:cs="宋体"/>
          <w:color w:val="auto"/>
          <w:highlight w:val="none"/>
          <w:lang w:val="zh-CN"/>
        </w:rPr>
      </w:pPr>
      <w:r>
        <w:rPr>
          <w:rFonts w:hint="eastAsia" w:ascii="宋体" w:hAnsi="宋体" w:cs="宋体"/>
          <w:color w:val="auto"/>
          <w:highlight w:val="none"/>
          <w:lang w:val="zh-CN" w:eastAsia="zh-CN"/>
        </w:rPr>
        <w:t>对本项目的理解</w:t>
      </w:r>
      <w:r>
        <w:rPr>
          <w:rFonts w:hint="eastAsia" w:ascii="宋体" w:hAnsi="宋体" w:cs="宋体"/>
          <w:color w:val="auto"/>
          <w:highlight w:val="none"/>
          <w:lang w:val="zh-CN"/>
        </w:rPr>
        <w:t>；</w:t>
      </w:r>
    </w:p>
    <w:p w14:paraId="1C51A7B8">
      <w:pPr>
        <w:numPr>
          <w:ilvl w:val="0"/>
          <w:numId w:val="3"/>
        </w:numPr>
        <w:autoSpaceDE w:val="0"/>
        <w:autoSpaceDN w:val="0"/>
        <w:adjustRightInd w:val="0"/>
        <w:spacing w:line="360" w:lineRule="auto"/>
        <w:ind w:left="0" w:firstLine="425"/>
        <w:rPr>
          <w:rFonts w:ascii="宋体" w:hAnsi="宋体" w:cs="宋体"/>
          <w:color w:val="auto"/>
          <w:highlight w:val="none"/>
          <w:lang w:val="zh-CN"/>
        </w:rPr>
      </w:pPr>
      <w:r>
        <w:rPr>
          <w:rFonts w:hint="eastAsia" w:ascii="宋体" w:hAnsi="宋体" w:cs="宋体"/>
          <w:color w:val="auto"/>
          <w:highlight w:val="none"/>
          <w:lang w:val="en-US" w:eastAsia="zh-CN"/>
        </w:rPr>
        <w:t>项目实施方案</w:t>
      </w:r>
      <w:r>
        <w:rPr>
          <w:rFonts w:hint="eastAsia" w:ascii="宋体" w:hAnsi="宋体" w:cs="宋体"/>
          <w:color w:val="auto"/>
          <w:highlight w:val="none"/>
          <w:lang w:val="zh-CN"/>
        </w:rPr>
        <w:t>；</w:t>
      </w:r>
    </w:p>
    <w:p w14:paraId="52F37BCB">
      <w:pPr>
        <w:numPr>
          <w:ilvl w:val="0"/>
          <w:numId w:val="3"/>
        </w:numPr>
        <w:autoSpaceDE w:val="0"/>
        <w:autoSpaceDN w:val="0"/>
        <w:adjustRightInd w:val="0"/>
        <w:spacing w:line="360" w:lineRule="auto"/>
        <w:ind w:left="0" w:firstLine="425"/>
        <w:rPr>
          <w:rFonts w:ascii="宋体" w:hAnsi="宋体" w:cs="宋体"/>
          <w:color w:val="auto"/>
          <w:highlight w:val="none"/>
          <w:lang w:val="zh-CN"/>
        </w:rPr>
      </w:pPr>
      <w:r>
        <w:rPr>
          <w:rFonts w:hint="eastAsia" w:ascii="宋体" w:hAnsi="宋体" w:cs="宋体"/>
          <w:bCs/>
          <w:color w:val="auto"/>
          <w:highlight w:val="none"/>
        </w:rPr>
        <w:t>项目质量保证措施</w:t>
      </w:r>
      <w:r>
        <w:rPr>
          <w:rFonts w:hint="eastAsia" w:ascii="宋体" w:hAnsi="宋体" w:cs="宋体"/>
          <w:bCs/>
          <w:color w:val="auto"/>
          <w:highlight w:val="none"/>
          <w:lang w:eastAsia="zh-CN"/>
        </w:rPr>
        <w:t>；</w:t>
      </w:r>
    </w:p>
    <w:p w14:paraId="071130A6">
      <w:pPr>
        <w:numPr>
          <w:ilvl w:val="0"/>
          <w:numId w:val="3"/>
        </w:numPr>
        <w:autoSpaceDE w:val="0"/>
        <w:autoSpaceDN w:val="0"/>
        <w:adjustRightInd w:val="0"/>
        <w:spacing w:line="360" w:lineRule="auto"/>
        <w:ind w:left="0" w:firstLine="425"/>
        <w:rPr>
          <w:rFonts w:ascii="宋体" w:hAnsi="宋体" w:cs="宋体"/>
          <w:color w:val="auto"/>
          <w:highlight w:val="none"/>
          <w:lang w:val="zh-CN"/>
        </w:rPr>
      </w:pPr>
      <w:r>
        <w:rPr>
          <w:rFonts w:hint="eastAsia" w:ascii="宋体" w:hAnsi="宋体" w:cs="宋体"/>
          <w:bCs/>
          <w:color w:val="auto"/>
          <w:highlight w:val="none"/>
          <w:lang w:eastAsia="zh-CN"/>
        </w:rPr>
        <w:t>项目进度安排；</w:t>
      </w:r>
    </w:p>
    <w:p w14:paraId="696793CF">
      <w:pPr>
        <w:numPr>
          <w:ilvl w:val="0"/>
          <w:numId w:val="3"/>
        </w:numPr>
        <w:autoSpaceDE w:val="0"/>
        <w:autoSpaceDN w:val="0"/>
        <w:adjustRightInd w:val="0"/>
        <w:spacing w:line="360" w:lineRule="auto"/>
        <w:ind w:left="0" w:firstLine="425"/>
        <w:rPr>
          <w:rFonts w:hint="eastAsia" w:ascii="宋体" w:hAnsi="宋体" w:eastAsia="宋体" w:cs="宋体"/>
          <w:bCs/>
          <w:color w:val="auto"/>
          <w:highlight w:val="none"/>
          <w:lang w:val="zh-CN"/>
        </w:rPr>
      </w:pPr>
      <w:r>
        <w:rPr>
          <w:rFonts w:hint="eastAsia" w:ascii="宋体" w:hAnsi="宋体" w:eastAsia="宋体" w:cs="宋体"/>
          <w:bCs/>
          <w:color w:val="auto"/>
          <w:highlight w:val="none"/>
          <w:lang w:val="zh-CN"/>
        </w:rPr>
        <w:t>项目实施人员</w:t>
      </w:r>
    </w:p>
    <w:p w14:paraId="1BA4D385">
      <w:pPr>
        <w:numPr>
          <w:ilvl w:val="0"/>
          <w:numId w:val="3"/>
        </w:numPr>
        <w:autoSpaceDE w:val="0"/>
        <w:autoSpaceDN w:val="0"/>
        <w:adjustRightInd w:val="0"/>
        <w:spacing w:line="360" w:lineRule="auto"/>
        <w:ind w:left="0" w:firstLine="425"/>
        <w:rPr>
          <w:rFonts w:hint="eastAsia" w:ascii="宋体" w:hAnsi="宋体" w:eastAsia="宋体" w:cs="宋体"/>
          <w:color w:val="auto"/>
          <w:highlight w:val="none"/>
          <w:lang w:val="zh-CN"/>
        </w:rPr>
      </w:pPr>
      <w:r>
        <w:rPr>
          <w:rFonts w:hint="eastAsia" w:ascii="宋体" w:hAnsi="宋体" w:eastAsia="宋体" w:cs="宋体"/>
          <w:color w:val="auto"/>
          <w:highlight w:val="none"/>
          <w:lang w:val="zh-CN" w:eastAsia="zh-CN"/>
        </w:rPr>
        <w:t>合理化建议；</w:t>
      </w:r>
    </w:p>
    <w:p w14:paraId="5E8A45E7">
      <w:pPr>
        <w:numPr>
          <w:ilvl w:val="0"/>
          <w:numId w:val="3"/>
        </w:numPr>
        <w:autoSpaceDE w:val="0"/>
        <w:autoSpaceDN w:val="0"/>
        <w:adjustRightInd w:val="0"/>
        <w:spacing w:line="360" w:lineRule="auto"/>
        <w:ind w:left="0" w:firstLine="425"/>
        <w:rPr>
          <w:rFonts w:hint="eastAsia" w:ascii="宋体" w:hAnsi="宋体" w:eastAsia="宋体" w:cs="宋体"/>
          <w:bCs/>
          <w:color w:val="auto"/>
          <w:highlight w:val="none"/>
          <w:lang w:val="zh-CN" w:eastAsia="zh-CN"/>
        </w:rPr>
      </w:pPr>
      <w:r>
        <w:rPr>
          <w:rFonts w:hint="eastAsia" w:ascii="宋体" w:hAnsi="宋体" w:eastAsia="宋体" w:cs="宋体"/>
          <w:bCs/>
          <w:color w:val="auto"/>
          <w:highlight w:val="none"/>
          <w:lang w:val="zh-CN" w:eastAsia="zh-CN"/>
        </w:rPr>
        <w:t>服务承诺及优惠措施；</w:t>
      </w:r>
    </w:p>
    <w:p w14:paraId="6B0BA0CC">
      <w:pPr>
        <w:numPr>
          <w:ilvl w:val="0"/>
          <w:numId w:val="3"/>
        </w:numPr>
        <w:autoSpaceDE w:val="0"/>
        <w:autoSpaceDN w:val="0"/>
        <w:adjustRightInd w:val="0"/>
        <w:spacing w:line="360" w:lineRule="auto"/>
        <w:ind w:left="0" w:firstLine="425"/>
        <w:rPr>
          <w:rFonts w:hint="eastAsia" w:ascii="宋体" w:hAnsi="宋体" w:eastAsia="宋体" w:cs="宋体"/>
          <w:bCs/>
          <w:color w:val="auto"/>
          <w:highlight w:val="none"/>
          <w:lang w:val="zh-CN" w:eastAsia="zh-CN"/>
        </w:rPr>
      </w:pPr>
      <w:r>
        <w:rPr>
          <w:rFonts w:hint="eastAsia" w:ascii="宋体" w:hAnsi="宋体" w:eastAsia="宋体" w:cs="宋体"/>
          <w:bCs/>
          <w:color w:val="auto"/>
          <w:highlight w:val="none"/>
          <w:lang w:val="zh-CN" w:eastAsia="zh-CN"/>
        </w:rPr>
        <w:t>企业业绩；</w:t>
      </w:r>
    </w:p>
    <w:p w14:paraId="6C3A35CC">
      <w:pPr>
        <w:numPr>
          <w:ilvl w:val="0"/>
          <w:numId w:val="3"/>
        </w:numPr>
        <w:autoSpaceDE w:val="0"/>
        <w:autoSpaceDN w:val="0"/>
        <w:adjustRightInd w:val="0"/>
        <w:spacing w:line="360" w:lineRule="auto"/>
        <w:ind w:left="0" w:firstLine="425"/>
        <w:rPr>
          <w:rFonts w:hint="eastAsia" w:ascii="宋体" w:hAnsi="宋体" w:eastAsia="宋体" w:cs="宋体"/>
          <w:bCs/>
          <w:color w:val="auto"/>
          <w:highlight w:val="none"/>
          <w:lang w:val="zh-CN" w:eastAsia="zh-CN"/>
        </w:rPr>
      </w:pPr>
      <w:r>
        <w:rPr>
          <w:rFonts w:hint="eastAsia" w:ascii="宋体" w:hAnsi="宋体" w:eastAsia="宋体" w:cs="宋体"/>
          <w:bCs/>
          <w:color w:val="auto"/>
          <w:highlight w:val="none"/>
          <w:lang w:val="zh-CN" w:eastAsia="zh-CN"/>
        </w:rPr>
        <w:t>企业认证；</w:t>
      </w:r>
    </w:p>
    <w:p w14:paraId="7C60D33C">
      <w:pPr>
        <w:numPr>
          <w:ilvl w:val="0"/>
          <w:numId w:val="3"/>
        </w:numPr>
        <w:autoSpaceDE w:val="0"/>
        <w:autoSpaceDN w:val="0"/>
        <w:adjustRightInd w:val="0"/>
        <w:spacing w:line="360" w:lineRule="auto"/>
        <w:ind w:left="0" w:firstLine="425"/>
        <w:rPr>
          <w:rFonts w:hint="eastAsia" w:ascii="宋体" w:hAnsi="宋体" w:eastAsia="宋体" w:cs="宋体"/>
          <w:bCs/>
          <w:color w:val="auto"/>
          <w:highlight w:val="none"/>
          <w:lang w:val="zh-CN" w:eastAsia="zh-CN"/>
        </w:rPr>
      </w:pPr>
      <w:r>
        <w:rPr>
          <w:rFonts w:hint="eastAsia" w:ascii="宋体" w:hAnsi="宋体" w:eastAsia="宋体" w:cs="宋体"/>
          <w:bCs/>
          <w:color w:val="auto"/>
          <w:highlight w:val="none"/>
          <w:lang w:val="zh-CN" w:eastAsia="zh-CN"/>
        </w:rPr>
        <w:t>企业实力；</w:t>
      </w:r>
    </w:p>
    <w:p w14:paraId="41524996">
      <w:pPr>
        <w:numPr>
          <w:ilvl w:val="0"/>
          <w:numId w:val="3"/>
        </w:numPr>
        <w:autoSpaceDE w:val="0"/>
        <w:autoSpaceDN w:val="0"/>
        <w:adjustRightInd w:val="0"/>
        <w:spacing w:line="360" w:lineRule="auto"/>
        <w:ind w:left="0" w:firstLine="425"/>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供应商情况一览表</w:t>
      </w:r>
    </w:p>
    <w:p w14:paraId="184C8FCF">
      <w:pPr>
        <w:numPr>
          <w:ilvl w:val="0"/>
          <w:numId w:val="3"/>
        </w:numPr>
        <w:autoSpaceDE w:val="0"/>
        <w:autoSpaceDN w:val="0"/>
        <w:adjustRightInd w:val="0"/>
        <w:spacing w:line="360" w:lineRule="auto"/>
        <w:ind w:left="0" w:firstLine="425"/>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商务响应表（格式见附件）；</w:t>
      </w:r>
    </w:p>
    <w:p w14:paraId="53D72714">
      <w:pPr>
        <w:numPr>
          <w:ilvl w:val="0"/>
          <w:numId w:val="3"/>
        </w:numPr>
        <w:autoSpaceDE w:val="0"/>
        <w:autoSpaceDN w:val="0"/>
        <w:adjustRightInd w:val="0"/>
        <w:spacing w:line="360" w:lineRule="auto"/>
        <w:ind w:left="0" w:firstLine="425"/>
        <w:rPr>
          <w:rFonts w:ascii="宋体" w:hAnsi="宋体" w:cs="宋体"/>
          <w:color w:val="auto"/>
          <w:highlight w:val="none"/>
          <w:lang w:val="zh-CN"/>
        </w:rPr>
      </w:pPr>
      <w:r>
        <w:rPr>
          <w:rFonts w:hint="eastAsia" w:ascii="宋体" w:hAnsi="宋体" w:cs="宋体"/>
          <w:color w:val="auto"/>
          <w:highlight w:val="none"/>
          <w:lang w:val="zh-CN"/>
        </w:rPr>
        <w:t>投标供应商针对技术需要说明的其他材料。</w:t>
      </w:r>
    </w:p>
    <w:p w14:paraId="0CE82135">
      <w:pPr>
        <w:spacing w:line="440" w:lineRule="exact"/>
        <w:ind w:left="424"/>
        <w:rPr>
          <w:rFonts w:ascii="宋体" w:hAnsi="宋体" w:cs="宋体"/>
          <w:b/>
          <w:color w:val="auto"/>
          <w:sz w:val="28"/>
          <w:szCs w:val="28"/>
          <w:highlight w:val="none"/>
        </w:rPr>
      </w:pPr>
      <w:r>
        <w:rPr>
          <w:rFonts w:hint="eastAsia" w:ascii="宋体" w:hAnsi="宋体" w:cs="宋体"/>
          <w:b/>
          <w:color w:val="auto"/>
          <w:sz w:val="28"/>
          <w:szCs w:val="28"/>
          <w:highlight w:val="none"/>
        </w:rPr>
        <w:t>以上磋商响应文件组成内容中的复印件均须加盖供应商公章。</w:t>
      </w:r>
    </w:p>
    <w:p w14:paraId="0C985BD9">
      <w:pPr>
        <w:spacing w:line="400" w:lineRule="exact"/>
        <w:jc w:val="left"/>
        <w:rPr>
          <w:rFonts w:ascii="宋体" w:hAnsi="宋体" w:cs="宋体"/>
          <w:b/>
          <w:color w:val="auto"/>
          <w:highlight w:val="none"/>
        </w:rPr>
      </w:pPr>
      <w:bookmarkStart w:id="27" w:name="_Toc32090"/>
      <w:bookmarkEnd w:id="27"/>
      <w:bookmarkStart w:id="28" w:name="_Toc282640705"/>
      <w:bookmarkEnd w:id="28"/>
      <w:bookmarkStart w:id="29" w:name="_Toc21469"/>
      <w:bookmarkEnd w:id="29"/>
      <w:r>
        <w:rPr>
          <w:rFonts w:hint="eastAsia" w:ascii="宋体" w:hAnsi="宋体" w:cs="宋体"/>
          <w:b/>
          <w:color w:val="auto"/>
          <w:highlight w:val="none"/>
        </w:rPr>
        <w:t>九、响应文件的签署和份数</w:t>
      </w:r>
    </w:p>
    <w:p w14:paraId="3D27F18C">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rPr>
      </w:pPr>
      <w:bookmarkStart w:id="30" w:name="_Toc282640706"/>
      <w:bookmarkEnd w:id="30"/>
      <w:bookmarkStart w:id="31" w:name="_Toc414960351"/>
      <w:bookmarkEnd w:id="31"/>
      <w:r>
        <w:rPr>
          <w:rFonts w:hint="eastAsia" w:ascii="宋体" w:hAnsi="宋体" w:cs="宋体"/>
          <w:bCs/>
          <w:color w:val="auto"/>
          <w:sz w:val="24"/>
          <w:highlight w:val="none"/>
        </w:rPr>
        <w:t xml:space="preserve"> </w:t>
      </w:r>
      <w:r>
        <w:rPr>
          <w:rFonts w:hint="eastAsia" w:ascii="宋体" w:hAnsi="宋体" w:eastAsia="宋体" w:cs="宋体"/>
          <w:color w:val="auto"/>
          <w:sz w:val="24"/>
          <w:szCs w:val="24"/>
        </w:rPr>
        <w:t>1.须提供正本1份，副本3份；</w:t>
      </w:r>
    </w:p>
    <w:p w14:paraId="34A8C971">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b/>
          <w:color w:val="auto"/>
          <w:sz w:val="24"/>
          <w:szCs w:val="24"/>
        </w:rPr>
        <w:t>资格证明文件、商务、技术文件装订一起，磋商报价文件</w:t>
      </w:r>
      <w:r>
        <w:rPr>
          <w:rFonts w:hint="eastAsia" w:ascii="宋体" w:hAnsi="宋体" w:eastAsia="宋体" w:cs="宋体"/>
          <w:color w:val="auto"/>
          <w:sz w:val="24"/>
          <w:szCs w:val="24"/>
        </w:rPr>
        <w:t>”必须单独装订成册正本1份，副本3份（并编写目录），以便在评审时由磋商小组审核确认。否则，由此而造成的后果由磋商人自行承担；</w:t>
      </w:r>
    </w:p>
    <w:p w14:paraId="6F971EE7">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3.除另行规定外磋商文件应用A4书写纸打印，按顺序编号装订成册，并有目录和封面（自行设计）；</w:t>
      </w:r>
    </w:p>
    <w:p w14:paraId="07019F24">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4.磋商人应将磋商文件正本和所有副本用单独的信封密封，且在信封上标明“正本”、“副本”的字样；</w:t>
      </w:r>
    </w:p>
    <w:p w14:paraId="5D7E038B">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（1）信封上应注明：</w:t>
      </w:r>
    </w:p>
    <w:p w14:paraId="33166CF6">
      <w:pPr>
        <w:pageBreakBefore w:val="0"/>
        <w:tabs>
          <w:tab w:val="left" w:pos="1260"/>
          <w:tab w:val="left" w:pos="1380"/>
        </w:tabs>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1.1磋商人名称，并在封袋骑缝处加盖公章。如因标注不清而产生的后果由磋商人自行负责。</w:t>
      </w:r>
    </w:p>
    <w:p w14:paraId="1DD97274">
      <w:pPr>
        <w:pageBreakBefore w:val="0"/>
        <w:tabs>
          <w:tab w:val="left" w:pos="1260"/>
          <w:tab w:val="left" w:pos="1380"/>
        </w:tabs>
        <w:kinsoku/>
        <w:wordWrap/>
        <w:overflowPunct/>
        <w:topLinePunct w:val="0"/>
        <w:bidi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1.2项目编号、项目名称、正本或副本及“</w:t>
      </w:r>
      <w:r>
        <w:rPr>
          <w:rFonts w:hint="eastAsia" w:ascii="宋体" w:hAnsi="宋体" w:eastAsia="宋体" w:cs="宋体"/>
          <w:b/>
          <w:color w:val="auto"/>
          <w:sz w:val="24"/>
          <w:szCs w:val="24"/>
        </w:rPr>
        <w:t>请勿在202</w:t>
      </w:r>
      <w:r>
        <w:rPr>
          <w:rFonts w:hint="eastAsia" w:ascii="宋体" w:hAnsi="宋体" w:eastAsia="宋体" w:cs="宋体"/>
          <w:b/>
          <w:color w:val="auto"/>
          <w:sz w:val="24"/>
          <w:szCs w:val="24"/>
          <w:lang w:val="en-US" w:eastAsia="zh-CN"/>
        </w:rPr>
        <w:t>5</w:t>
      </w:r>
      <w:r>
        <w:rPr>
          <w:rFonts w:hint="eastAsia" w:ascii="宋体" w:hAnsi="宋体" w:eastAsia="宋体" w:cs="宋体"/>
          <w:b/>
          <w:color w:val="auto"/>
          <w:sz w:val="24"/>
          <w:szCs w:val="24"/>
        </w:rPr>
        <w:t>年  月  日  时之前启封</w:t>
      </w:r>
      <w:r>
        <w:rPr>
          <w:rFonts w:hint="eastAsia" w:ascii="宋体" w:hAnsi="宋体" w:eastAsia="宋体" w:cs="宋体"/>
          <w:color w:val="auto"/>
          <w:sz w:val="24"/>
          <w:szCs w:val="24"/>
        </w:rPr>
        <w:t>”的字样。</w:t>
      </w:r>
    </w:p>
    <w:p w14:paraId="1379317F">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1.3如果封袋未按上述要求密封或加写标记，采购代理机构对误投或过早启封概不负责。</w:t>
      </w:r>
    </w:p>
    <w:p w14:paraId="2DCD2740">
      <w:pPr>
        <w:pageBreakBefore w:val="0"/>
        <w:tabs>
          <w:tab w:val="left" w:pos="900"/>
        </w:tabs>
        <w:kinsoku/>
        <w:wordWrap/>
        <w:overflowPunct/>
        <w:topLinePunct w:val="0"/>
        <w:bidi w:val="0"/>
        <w:spacing w:line="360" w:lineRule="auto"/>
        <w:ind w:firstLine="472" w:firstLineChars="196"/>
        <w:rPr>
          <w:rFonts w:hint="eastAsia" w:ascii="宋体" w:hAnsi="宋体" w:eastAsia="宋体" w:cs="宋体"/>
          <w:color w:val="auto"/>
          <w:sz w:val="24"/>
          <w:szCs w:val="24"/>
        </w:rPr>
      </w:pPr>
      <w:r>
        <w:rPr>
          <w:rFonts w:hint="eastAsia" w:ascii="宋体" w:hAnsi="宋体" w:eastAsia="宋体" w:cs="宋体"/>
          <w:b/>
          <w:bCs/>
          <w:color w:val="auto"/>
          <w:sz w:val="24"/>
          <w:szCs w:val="24"/>
        </w:rPr>
        <w:t>1.4磋商人的法定代表人授权书及代理人身份证（原件），在磋商时需再单独提交一份给采购人，以便对磋商人资格进行审核。</w:t>
      </w:r>
    </w:p>
    <w:p w14:paraId="45E23E38">
      <w:pPr>
        <w:pageBreakBefore w:val="0"/>
        <w:tabs>
          <w:tab w:val="left" w:pos="900"/>
        </w:tabs>
        <w:kinsoku/>
        <w:wordWrap/>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szCs w:val="24"/>
        </w:rPr>
        <w:t>1.5未按上述规定提交的磋商文件，一切后果由磋商人负责。</w:t>
      </w:r>
    </w:p>
    <w:p w14:paraId="30A2DE79">
      <w:pPr>
        <w:spacing w:line="360" w:lineRule="auto"/>
        <w:jc w:val="left"/>
        <w:rPr>
          <w:rFonts w:ascii="宋体" w:hAnsi="宋体" w:cs="宋体"/>
          <w:b/>
          <w:color w:val="auto"/>
          <w:highlight w:val="none"/>
        </w:rPr>
      </w:pPr>
      <w:bookmarkStart w:id="32" w:name="_Toc17074"/>
      <w:bookmarkEnd w:id="32"/>
      <w:bookmarkStart w:id="33" w:name="_Toc282640710"/>
      <w:bookmarkEnd w:id="33"/>
      <w:bookmarkStart w:id="34" w:name="_Toc15269"/>
      <w:bookmarkEnd w:id="34"/>
      <w:r>
        <w:rPr>
          <w:rFonts w:hint="eastAsia" w:ascii="宋体" w:hAnsi="宋体" w:cs="宋体"/>
          <w:b/>
          <w:color w:val="auto"/>
          <w:highlight w:val="none"/>
        </w:rPr>
        <w:t>十、无效响应文件</w:t>
      </w:r>
    </w:p>
    <w:p w14:paraId="4DEC8730">
      <w:pPr>
        <w:spacing w:line="360" w:lineRule="auto"/>
        <w:jc w:val="left"/>
        <w:rPr>
          <w:rFonts w:ascii="宋体" w:hAnsi="宋体" w:cs="宋体"/>
          <w:color w:val="auto"/>
          <w:highlight w:val="none"/>
        </w:rPr>
      </w:pPr>
      <w:r>
        <w:rPr>
          <w:rFonts w:hint="eastAsia" w:ascii="宋体" w:hAnsi="宋体" w:cs="宋体"/>
          <w:b/>
          <w:color w:val="auto"/>
          <w:highlight w:val="none"/>
        </w:rPr>
        <w:t xml:space="preserve">    发生下列情况之一的响应文件被视为无效：</w:t>
      </w:r>
    </w:p>
    <w:p w14:paraId="7FB2B5FA">
      <w:pPr>
        <w:spacing w:line="360" w:lineRule="auto"/>
        <w:rPr>
          <w:rFonts w:ascii="宋体" w:hAnsi="宋体" w:cs="宋体"/>
          <w:b/>
          <w:bCs/>
          <w:color w:val="auto"/>
          <w:highlight w:val="none"/>
        </w:rPr>
      </w:pPr>
      <w:r>
        <w:rPr>
          <w:rFonts w:hint="eastAsia" w:ascii="宋体" w:hAnsi="宋体" w:cs="宋体"/>
          <w:b/>
          <w:bCs/>
          <w:color w:val="auto"/>
          <w:highlight w:val="none"/>
        </w:rPr>
        <w:t xml:space="preserve">    1、响应文件逾期送达或未按规定的地点送达的；</w:t>
      </w:r>
    </w:p>
    <w:p w14:paraId="717FE33B">
      <w:pPr>
        <w:spacing w:line="360" w:lineRule="auto"/>
        <w:rPr>
          <w:rFonts w:ascii="宋体" w:hAnsi="宋体" w:cs="宋体"/>
          <w:b/>
          <w:bCs/>
          <w:color w:val="auto"/>
          <w:highlight w:val="none"/>
        </w:rPr>
      </w:pPr>
      <w:r>
        <w:rPr>
          <w:rFonts w:hint="eastAsia" w:ascii="宋体" w:hAnsi="宋体" w:cs="宋体"/>
          <w:b/>
          <w:bCs/>
          <w:color w:val="auto"/>
          <w:highlight w:val="none"/>
        </w:rPr>
        <w:t xml:space="preserve">    2、未按照磋商文件规定的要求签署、盖章的；</w:t>
      </w:r>
    </w:p>
    <w:p w14:paraId="6D448529">
      <w:pPr>
        <w:spacing w:line="360" w:lineRule="auto"/>
        <w:rPr>
          <w:rFonts w:ascii="宋体" w:hAnsi="宋体" w:cs="宋体"/>
          <w:b/>
          <w:bCs/>
          <w:color w:val="auto"/>
          <w:highlight w:val="none"/>
        </w:rPr>
      </w:pPr>
      <w:r>
        <w:rPr>
          <w:rFonts w:hint="eastAsia" w:ascii="宋体" w:hAnsi="宋体" w:cs="宋体"/>
          <w:b/>
          <w:bCs/>
          <w:color w:val="auto"/>
          <w:highlight w:val="none"/>
        </w:rPr>
        <w:t xml:space="preserve">    3、不具备磋商文件中规定的资格条件要求的；</w:t>
      </w:r>
    </w:p>
    <w:p w14:paraId="672AA09B">
      <w:pPr>
        <w:spacing w:line="360" w:lineRule="auto"/>
        <w:rPr>
          <w:rFonts w:ascii="宋体" w:hAnsi="宋体" w:cs="宋体"/>
          <w:b/>
          <w:bCs/>
          <w:color w:val="auto"/>
          <w:highlight w:val="none"/>
        </w:rPr>
      </w:pPr>
      <w:r>
        <w:rPr>
          <w:rFonts w:hint="eastAsia" w:ascii="宋体" w:hAnsi="宋体" w:cs="宋体"/>
          <w:b/>
          <w:bCs/>
          <w:color w:val="auto"/>
          <w:highlight w:val="none"/>
        </w:rPr>
        <w:t xml:space="preserve">    4、供应商提交两份或两份以上内容不同的磋商响应文件，或在一份磋商响应文件中对同一采购项目有两个或两个以上报价的；</w:t>
      </w:r>
    </w:p>
    <w:p w14:paraId="5A06E78B">
      <w:pPr>
        <w:spacing w:line="360" w:lineRule="auto"/>
        <w:rPr>
          <w:rFonts w:ascii="宋体" w:hAnsi="宋体" w:cs="宋体"/>
          <w:b/>
          <w:bCs/>
          <w:color w:val="auto"/>
          <w:highlight w:val="none"/>
        </w:rPr>
      </w:pPr>
      <w:r>
        <w:rPr>
          <w:rFonts w:hint="eastAsia" w:ascii="宋体" w:hAnsi="宋体" w:cs="宋体"/>
          <w:b/>
          <w:bCs/>
          <w:color w:val="auto"/>
          <w:highlight w:val="none"/>
        </w:rPr>
        <w:t xml:space="preserve">    5、磋商响应文件载明的采购项目完成期限超过磋商文件规定的期限，采购人不能接受的；</w:t>
      </w:r>
    </w:p>
    <w:p w14:paraId="76710E62">
      <w:pPr>
        <w:spacing w:line="360" w:lineRule="auto"/>
        <w:rPr>
          <w:rFonts w:ascii="宋体" w:hAnsi="宋体" w:cs="宋体"/>
          <w:b/>
          <w:bCs/>
          <w:color w:val="auto"/>
          <w:highlight w:val="none"/>
        </w:rPr>
      </w:pPr>
      <w:r>
        <w:rPr>
          <w:rFonts w:hint="eastAsia" w:ascii="宋体" w:hAnsi="宋体" w:cs="宋体"/>
          <w:b/>
          <w:bCs/>
          <w:color w:val="auto"/>
          <w:highlight w:val="none"/>
        </w:rPr>
        <w:t xml:space="preserve">    6、磋商响应文件载明的采购项目磋商有效期、服务质保期少于磋商文件规定期限的；</w:t>
      </w:r>
    </w:p>
    <w:p w14:paraId="5C035703">
      <w:pPr>
        <w:spacing w:line="360" w:lineRule="auto"/>
        <w:rPr>
          <w:rFonts w:ascii="宋体" w:hAnsi="宋体" w:cs="宋体"/>
          <w:b/>
          <w:bCs/>
          <w:color w:val="auto"/>
          <w:highlight w:val="none"/>
        </w:rPr>
      </w:pPr>
      <w:r>
        <w:rPr>
          <w:rFonts w:hint="eastAsia" w:ascii="宋体" w:hAnsi="宋体" w:cs="宋体"/>
          <w:b/>
          <w:bCs/>
          <w:color w:val="auto"/>
          <w:highlight w:val="none"/>
        </w:rPr>
        <w:t xml:space="preserve">    7、磋商响应文件未响应磋商文件规定的付款方式的；</w:t>
      </w:r>
    </w:p>
    <w:p w14:paraId="2FEBBBB6">
      <w:pPr>
        <w:spacing w:line="360" w:lineRule="auto"/>
        <w:rPr>
          <w:rFonts w:ascii="宋体" w:hAnsi="宋体" w:cs="宋体"/>
          <w:b/>
          <w:bCs/>
          <w:color w:val="auto"/>
          <w:highlight w:val="none"/>
        </w:rPr>
      </w:pPr>
      <w:r>
        <w:rPr>
          <w:rFonts w:hint="eastAsia" w:ascii="宋体" w:hAnsi="宋体" w:cs="宋体"/>
          <w:b/>
          <w:bCs/>
          <w:color w:val="auto"/>
          <w:highlight w:val="none"/>
        </w:rPr>
        <w:t xml:space="preserve">    8、磋商货物的技术规范、技术标准明显不符合国家强制性要求的；</w:t>
      </w:r>
    </w:p>
    <w:p w14:paraId="090EACB7">
      <w:pPr>
        <w:spacing w:line="360" w:lineRule="auto"/>
        <w:rPr>
          <w:rFonts w:ascii="宋体" w:hAnsi="宋体" w:cs="宋体"/>
          <w:b/>
          <w:bCs/>
          <w:color w:val="auto"/>
          <w:highlight w:val="none"/>
        </w:rPr>
      </w:pPr>
      <w:r>
        <w:rPr>
          <w:rFonts w:hint="eastAsia" w:ascii="宋体" w:hAnsi="宋体" w:cs="宋体"/>
          <w:b/>
          <w:bCs/>
          <w:color w:val="auto"/>
          <w:highlight w:val="none"/>
        </w:rPr>
        <w:t xml:space="preserve">    9、磋商货物载明的验收标准和方法等不符合国家规定及招标文件要求的；</w:t>
      </w:r>
    </w:p>
    <w:p w14:paraId="2026F14E">
      <w:pPr>
        <w:spacing w:line="360" w:lineRule="auto"/>
        <w:rPr>
          <w:rFonts w:ascii="宋体" w:hAnsi="宋体" w:cs="宋体"/>
          <w:b/>
          <w:bCs/>
          <w:color w:val="auto"/>
          <w:highlight w:val="none"/>
        </w:rPr>
      </w:pPr>
      <w:r>
        <w:rPr>
          <w:rFonts w:hint="eastAsia" w:ascii="宋体" w:hAnsi="宋体" w:cs="宋体"/>
          <w:b/>
          <w:bCs/>
          <w:color w:val="auto"/>
          <w:highlight w:val="none"/>
        </w:rPr>
        <w:t xml:space="preserve">    10、磋商响应文件字迹模糊辨认不清的（磋商小组一致认为难以确认）；</w:t>
      </w:r>
    </w:p>
    <w:p w14:paraId="55A7FCB7">
      <w:pPr>
        <w:spacing w:line="360" w:lineRule="auto"/>
        <w:rPr>
          <w:rFonts w:ascii="宋体" w:hAnsi="宋体" w:cs="宋体"/>
          <w:b/>
          <w:bCs/>
          <w:color w:val="auto"/>
          <w:highlight w:val="none"/>
        </w:rPr>
      </w:pPr>
      <w:r>
        <w:rPr>
          <w:rFonts w:hint="eastAsia" w:ascii="宋体" w:hAnsi="宋体" w:cs="宋体"/>
          <w:b/>
          <w:bCs/>
          <w:color w:val="auto"/>
          <w:highlight w:val="none"/>
        </w:rPr>
        <w:t xml:space="preserve">    11、供应商的法定代表人或其授权代理人未能准时参加开标会议的；</w:t>
      </w:r>
    </w:p>
    <w:p w14:paraId="404608F1">
      <w:pPr>
        <w:spacing w:line="360" w:lineRule="auto"/>
        <w:rPr>
          <w:rFonts w:ascii="宋体" w:hAnsi="宋体" w:cs="宋体"/>
          <w:b/>
          <w:bCs/>
          <w:color w:val="auto"/>
          <w:highlight w:val="none"/>
        </w:rPr>
      </w:pPr>
      <w:r>
        <w:rPr>
          <w:rFonts w:hint="eastAsia" w:ascii="宋体" w:hAnsi="宋体" w:cs="宋体"/>
          <w:b/>
          <w:bCs/>
          <w:color w:val="auto"/>
          <w:highlight w:val="none"/>
        </w:rPr>
        <w:t xml:space="preserve">    12、磋商时供应商的法定代表人或其授权代理人未能当场出具有效身份证明的；</w:t>
      </w:r>
    </w:p>
    <w:p w14:paraId="0ACBA135">
      <w:pPr>
        <w:spacing w:line="360" w:lineRule="auto"/>
        <w:rPr>
          <w:rFonts w:ascii="宋体" w:hAnsi="宋体" w:cs="宋体"/>
          <w:b/>
          <w:bCs/>
          <w:color w:val="auto"/>
          <w:highlight w:val="none"/>
        </w:rPr>
      </w:pPr>
      <w:r>
        <w:rPr>
          <w:rFonts w:hint="eastAsia" w:ascii="宋体" w:hAnsi="宋体" w:cs="宋体"/>
          <w:b/>
          <w:bCs/>
          <w:color w:val="auto"/>
          <w:highlight w:val="none"/>
        </w:rPr>
        <w:t xml:space="preserve">    13、提供不真实资料的；</w:t>
      </w:r>
    </w:p>
    <w:p w14:paraId="67D43429">
      <w:pPr>
        <w:spacing w:line="360" w:lineRule="auto"/>
        <w:rPr>
          <w:rFonts w:ascii="宋体" w:hAnsi="宋体" w:cs="宋体"/>
          <w:b/>
          <w:bCs/>
          <w:color w:val="auto"/>
          <w:highlight w:val="none"/>
        </w:rPr>
      </w:pPr>
      <w:r>
        <w:rPr>
          <w:rFonts w:hint="eastAsia" w:ascii="宋体" w:hAnsi="宋体" w:cs="宋体"/>
          <w:b/>
          <w:bCs/>
          <w:color w:val="auto"/>
          <w:highlight w:val="none"/>
        </w:rPr>
        <w:t xml:space="preserve">    14、不符合法律、法规和磋商文件规定的其他实质性要求（磋商小组一致认定）的；</w:t>
      </w:r>
    </w:p>
    <w:p w14:paraId="53874BD4">
      <w:pPr>
        <w:spacing w:line="360" w:lineRule="auto"/>
        <w:rPr>
          <w:rFonts w:ascii="宋体" w:hAnsi="宋体" w:cs="宋体"/>
          <w:b/>
          <w:bCs/>
          <w:color w:val="auto"/>
          <w:highlight w:val="none"/>
        </w:rPr>
      </w:pPr>
      <w:r>
        <w:rPr>
          <w:rFonts w:hint="eastAsia" w:ascii="宋体" w:hAnsi="宋体" w:cs="宋体"/>
          <w:b/>
          <w:bCs/>
          <w:color w:val="auto"/>
          <w:highlight w:val="none"/>
        </w:rPr>
        <w:t xml:space="preserve">    15、磋商服务的服务指标、参数等存在实质性偏离（磋商小组一致认定）的；</w:t>
      </w:r>
    </w:p>
    <w:p w14:paraId="01613B02">
      <w:pPr>
        <w:spacing w:line="360" w:lineRule="auto"/>
        <w:rPr>
          <w:rFonts w:ascii="宋体" w:hAnsi="宋体" w:cs="宋体"/>
          <w:b/>
          <w:bCs/>
          <w:color w:val="auto"/>
          <w:highlight w:val="none"/>
        </w:rPr>
      </w:pPr>
      <w:r>
        <w:rPr>
          <w:rFonts w:hint="eastAsia" w:ascii="宋体" w:hAnsi="宋体" w:cs="宋体"/>
          <w:b/>
          <w:bCs/>
          <w:color w:val="auto"/>
          <w:highlight w:val="none"/>
        </w:rPr>
        <w:t xml:space="preserve">    16、二分之一以上的评委认为供应商报价明显高于市场平均价的；</w:t>
      </w:r>
    </w:p>
    <w:p w14:paraId="3DD26639">
      <w:pPr>
        <w:spacing w:line="360" w:lineRule="auto"/>
        <w:rPr>
          <w:rFonts w:ascii="宋体" w:hAnsi="宋体" w:cs="宋体"/>
          <w:b/>
          <w:bCs/>
          <w:color w:val="auto"/>
          <w:highlight w:val="none"/>
        </w:rPr>
      </w:pPr>
      <w:r>
        <w:rPr>
          <w:rFonts w:hint="eastAsia" w:ascii="宋体" w:hAnsi="宋体" w:cs="宋体"/>
          <w:b/>
          <w:bCs/>
          <w:color w:val="auto"/>
          <w:highlight w:val="none"/>
        </w:rPr>
        <w:t xml:space="preserve">    17、法律、法规、规章及省级以上规范性文件等规定的其他情形。</w:t>
      </w:r>
    </w:p>
    <w:p w14:paraId="3032A058">
      <w:pPr>
        <w:spacing w:line="360" w:lineRule="auto"/>
        <w:jc w:val="left"/>
        <w:rPr>
          <w:rFonts w:ascii="宋体" w:hAnsi="宋体" w:cs="宋体"/>
          <w:b/>
          <w:color w:val="auto"/>
          <w:highlight w:val="none"/>
        </w:rPr>
      </w:pPr>
      <w:bookmarkStart w:id="35" w:name="_Toc16373"/>
      <w:bookmarkEnd w:id="35"/>
      <w:bookmarkStart w:id="36" w:name="_Toc24811"/>
      <w:bookmarkEnd w:id="36"/>
      <w:r>
        <w:rPr>
          <w:rFonts w:hint="eastAsia" w:ascii="宋体" w:hAnsi="宋体" w:cs="宋体"/>
          <w:b/>
          <w:color w:val="auto"/>
          <w:highlight w:val="none"/>
        </w:rPr>
        <w:t>十</w:t>
      </w:r>
      <w:r>
        <w:rPr>
          <w:rFonts w:hint="eastAsia" w:ascii="宋体" w:hAnsi="宋体" w:cs="宋体"/>
          <w:b/>
          <w:color w:val="auto"/>
          <w:highlight w:val="none"/>
          <w:lang w:eastAsia="zh-CN"/>
        </w:rPr>
        <w:t>一</w:t>
      </w:r>
      <w:r>
        <w:rPr>
          <w:rFonts w:hint="eastAsia" w:ascii="宋体" w:hAnsi="宋体" w:cs="宋体"/>
          <w:b/>
          <w:color w:val="auto"/>
          <w:highlight w:val="none"/>
        </w:rPr>
        <w:t>、废标</w:t>
      </w:r>
    </w:p>
    <w:p w14:paraId="414D13A1">
      <w:pPr>
        <w:spacing w:line="440" w:lineRule="exact"/>
        <w:rPr>
          <w:rFonts w:ascii="宋体" w:hAnsi="宋体" w:cs="宋体"/>
          <w:bCs/>
          <w:color w:val="auto"/>
          <w:highlight w:val="none"/>
        </w:rPr>
      </w:pPr>
      <w:r>
        <w:rPr>
          <w:rFonts w:hint="eastAsia" w:ascii="宋体" w:hAnsi="宋体" w:cs="宋体"/>
          <w:bCs/>
          <w:color w:val="auto"/>
          <w:highlight w:val="none"/>
        </w:rPr>
        <w:t xml:space="preserve">    在磋商中，出现下列情形之一的，应予废标：</w:t>
      </w:r>
    </w:p>
    <w:p w14:paraId="7C34A1EA">
      <w:pPr>
        <w:spacing w:line="440" w:lineRule="exact"/>
        <w:rPr>
          <w:rFonts w:ascii="宋体" w:hAnsi="宋体" w:cs="宋体"/>
          <w:bCs/>
          <w:color w:val="auto"/>
          <w:highlight w:val="none"/>
        </w:rPr>
      </w:pPr>
      <w:r>
        <w:rPr>
          <w:rFonts w:hint="eastAsia" w:ascii="宋体" w:hAnsi="宋体" w:cs="宋体"/>
          <w:bCs/>
          <w:color w:val="auto"/>
          <w:highlight w:val="none"/>
        </w:rPr>
        <w:t xml:space="preserve">    1、符合专业条件的供应商或者对磋商文件作实质响应的供应商不足三家的（特殊情况经审批同意的除外）；</w:t>
      </w:r>
    </w:p>
    <w:p w14:paraId="4FA6D888">
      <w:pPr>
        <w:spacing w:line="440" w:lineRule="exact"/>
        <w:ind w:left="562"/>
        <w:rPr>
          <w:rFonts w:ascii="宋体" w:hAnsi="宋体" w:cs="宋体"/>
          <w:bCs/>
          <w:color w:val="auto"/>
          <w:highlight w:val="none"/>
        </w:rPr>
      </w:pPr>
      <w:r>
        <w:rPr>
          <w:rFonts w:hint="eastAsia" w:ascii="宋体" w:hAnsi="宋体" w:cs="宋体"/>
          <w:bCs/>
          <w:color w:val="auto"/>
          <w:highlight w:val="none"/>
        </w:rPr>
        <w:t>1）出现影响采购公正的违法、违规行为的；</w:t>
      </w:r>
    </w:p>
    <w:p w14:paraId="297CC0CA">
      <w:pPr>
        <w:spacing w:line="440" w:lineRule="exact"/>
        <w:ind w:left="562"/>
        <w:rPr>
          <w:rFonts w:ascii="宋体" w:hAnsi="宋体" w:cs="宋体"/>
          <w:bCs/>
          <w:color w:val="auto"/>
          <w:highlight w:val="none"/>
        </w:rPr>
      </w:pPr>
      <w:r>
        <w:rPr>
          <w:rFonts w:hint="eastAsia" w:ascii="宋体" w:hAnsi="宋体" w:cs="宋体"/>
          <w:bCs/>
          <w:color w:val="auto"/>
          <w:highlight w:val="none"/>
        </w:rPr>
        <w:t>2）因重大变故，采购任务取消的;</w:t>
      </w:r>
    </w:p>
    <w:p w14:paraId="11038A6E">
      <w:pPr>
        <w:spacing w:line="440" w:lineRule="exact"/>
        <w:ind w:left="562"/>
        <w:rPr>
          <w:rFonts w:ascii="宋体" w:hAnsi="宋体" w:cs="宋体"/>
          <w:bCs/>
          <w:color w:val="auto"/>
          <w:highlight w:val="none"/>
        </w:rPr>
      </w:pPr>
      <w:r>
        <w:rPr>
          <w:rFonts w:hint="eastAsia" w:ascii="宋体" w:hAnsi="宋体" w:cs="宋体"/>
          <w:bCs/>
          <w:color w:val="auto"/>
          <w:highlight w:val="none"/>
        </w:rPr>
        <w:t>3）供应商的报价均超过预算价的，采购人不能支付的;</w:t>
      </w:r>
    </w:p>
    <w:p w14:paraId="7567E10E">
      <w:pPr>
        <w:spacing w:line="440" w:lineRule="exact"/>
        <w:ind w:left="120" w:leftChars="50"/>
        <w:rPr>
          <w:rFonts w:ascii="宋体" w:hAnsi="宋体" w:cs="宋体"/>
          <w:bCs/>
          <w:color w:val="auto"/>
          <w:highlight w:val="none"/>
        </w:rPr>
      </w:pPr>
      <w:r>
        <w:rPr>
          <w:rFonts w:hint="eastAsia" w:ascii="宋体" w:hAnsi="宋体" w:cs="宋体"/>
          <w:bCs/>
          <w:color w:val="auto"/>
          <w:highlight w:val="none"/>
        </w:rPr>
        <w:t xml:space="preserve">    4）法律、法规、规章等规定的其他情形除外。</w:t>
      </w:r>
    </w:p>
    <w:p w14:paraId="7FAF115C">
      <w:pPr>
        <w:numPr>
          <w:ilvl w:val="0"/>
          <w:numId w:val="4"/>
        </w:numPr>
        <w:spacing w:line="440" w:lineRule="exact"/>
        <w:ind w:left="562"/>
        <w:rPr>
          <w:rFonts w:ascii="宋体" w:hAnsi="宋体" w:cs="宋体"/>
          <w:bCs/>
          <w:color w:val="auto"/>
          <w:highlight w:val="none"/>
        </w:rPr>
      </w:pPr>
      <w:r>
        <w:rPr>
          <w:rFonts w:hint="eastAsia" w:ascii="宋体" w:hAnsi="宋体" w:cs="宋体"/>
          <w:bCs/>
          <w:color w:val="auto"/>
          <w:highlight w:val="none"/>
        </w:rPr>
        <w:t>废标后，采购人将废标理由通知所有供应商。</w:t>
      </w:r>
    </w:p>
    <w:p w14:paraId="09AB246A">
      <w:pPr>
        <w:spacing w:line="400" w:lineRule="exact"/>
        <w:ind w:firstLine="480"/>
        <w:rPr>
          <w:rFonts w:ascii="宋体" w:hAnsi="宋体" w:cs="宋体"/>
          <w:bCs/>
          <w:color w:val="auto"/>
          <w:highlight w:val="none"/>
        </w:rPr>
      </w:pPr>
      <w:r>
        <w:rPr>
          <w:rFonts w:hint="eastAsia" w:ascii="宋体" w:hAnsi="宋体" w:cs="宋体"/>
          <w:bCs/>
          <w:color w:val="auto"/>
          <w:highlight w:val="none"/>
        </w:rPr>
        <w:t>本磋商规则及程序只适用于“</w:t>
      </w:r>
      <w:r>
        <w:rPr>
          <w:rFonts w:hint="eastAsia" w:ascii="宋体" w:hAnsi="宋体" w:cs="宋体"/>
          <w:bCs/>
          <w:color w:val="auto"/>
          <w:highlight w:val="none"/>
          <w:lang w:eastAsia="zh-CN"/>
        </w:rPr>
        <w:t>德威工程管理咨询有限公司</w:t>
      </w:r>
      <w:r>
        <w:rPr>
          <w:rFonts w:hint="eastAsia" w:ascii="宋体" w:hAnsi="宋体" w:cs="宋体"/>
          <w:bCs/>
          <w:color w:val="auto"/>
          <w:highlight w:val="none"/>
        </w:rPr>
        <w:t>磋商文件”。</w:t>
      </w:r>
    </w:p>
    <w:p w14:paraId="1F84CBB5">
      <w:pPr>
        <w:spacing w:line="400" w:lineRule="exact"/>
        <w:jc w:val="left"/>
        <w:rPr>
          <w:rFonts w:ascii="宋体" w:hAnsi="宋体" w:cs="宋体"/>
          <w:b/>
          <w:color w:val="auto"/>
          <w:highlight w:val="none"/>
        </w:rPr>
      </w:pPr>
      <w:bookmarkStart w:id="37" w:name="_Toc27719"/>
      <w:bookmarkEnd w:id="37"/>
      <w:bookmarkStart w:id="38" w:name="_Toc27014"/>
      <w:bookmarkEnd w:id="38"/>
      <w:r>
        <w:rPr>
          <w:rFonts w:hint="eastAsia" w:ascii="宋体" w:hAnsi="宋体" w:cs="宋体"/>
          <w:b/>
          <w:color w:val="auto"/>
          <w:highlight w:val="none"/>
        </w:rPr>
        <w:t>十</w:t>
      </w:r>
      <w:r>
        <w:rPr>
          <w:rFonts w:hint="eastAsia" w:ascii="宋体" w:hAnsi="宋体" w:cs="宋体"/>
          <w:b/>
          <w:color w:val="auto"/>
          <w:highlight w:val="none"/>
          <w:lang w:eastAsia="zh-CN"/>
        </w:rPr>
        <w:t>二</w:t>
      </w:r>
      <w:r>
        <w:rPr>
          <w:rFonts w:hint="eastAsia" w:ascii="宋体" w:hAnsi="宋体" w:cs="宋体"/>
          <w:b/>
          <w:color w:val="auto"/>
          <w:highlight w:val="none"/>
        </w:rPr>
        <w:t>、竞争性磋商文件质疑</w:t>
      </w:r>
    </w:p>
    <w:p w14:paraId="5CFE271F">
      <w:pPr>
        <w:pageBreakBefore w:val="0"/>
        <w:kinsoku/>
        <w:wordWrap/>
        <w:overflowPunct/>
        <w:topLinePunct w:val="0"/>
        <w:bidi w:val="0"/>
        <w:spacing w:line="24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1、磋商答疑时间：磋商人对磋商文件有异议的，应当在202</w:t>
      </w:r>
      <w:r>
        <w:rPr>
          <w:rFonts w:hint="eastAsia" w:ascii="宋体" w:hAnsi="宋体" w:eastAsia="宋体" w:cs="宋体"/>
          <w:color w:val="auto"/>
          <w:sz w:val="24"/>
          <w:szCs w:val="24"/>
          <w:lang w:val="en-US" w:eastAsia="zh-CN"/>
        </w:rPr>
        <w:t>5年  月  日</w:t>
      </w:r>
      <w:r>
        <w:rPr>
          <w:rFonts w:hint="eastAsia" w:ascii="宋体" w:hAnsi="宋体" w:eastAsia="宋体" w:cs="宋体"/>
          <w:color w:val="auto"/>
          <w:sz w:val="24"/>
          <w:szCs w:val="24"/>
        </w:rPr>
        <w:t>下午16:00前以书面（含传真）形式向采购代理机构一次性提出，采购单位将在规定的时间内统一进行澄清和修改，并书面（含传真）通知所有认购磋商文件的</w:t>
      </w:r>
      <w:r>
        <w:rPr>
          <w:rFonts w:hint="eastAsia" w:ascii="宋体" w:hAnsi="宋体" w:eastAsia="宋体" w:cs="宋体"/>
          <w:color w:val="auto"/>
          <w:sz w:val="24"/>
          <w:szCs w:val="24"/>
          <w:lang w:eastAsia="zh-CN"/>
        </w:rPr>
        <w:t>磋商人</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磋商人</w:t>
      </w:r>
      <w:r>
        <w:rPr>
          <w:rFonts w:hint="eastAsia" w:ascii="宋体" w:hAnsi="宋体" w:eastAsia="宋体" w:cs="宋体"/>
          <w:color w:val="auto"/>
          <w:sz w:val="24"/>
          <w:szCs w:val="24"/>
        </w:rPr>
        <w:t>未按规定要求提出的，则视同认可磋商文件，但法律法规及规范性文件有明确规定的除外。</w:t>
      </w:r>
    </w:p>
    <w:p w14:paraId="53CFCDAC">
      <w:pPr>
        <w:pageBreakBefore w:val="0"/>
        <w:kinsoku/>
        <w:wordWrap/>
        <w:overflowPunct/>
        <w:topLinePunct w:val="0"/>
        <w:bidi w:val="0"/>
        <w:spacing w:line="24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磋商人</w:t>
      </w:r>
      <w:r>
        <w:rPr>
          <w:rFonts w:hint="eastAsia" w:ascii="宋体" w:hAnsi="宋体" w:eastAsia="宋体" w:cs="宋体"/>
          <w:color w:val="auto"/>
          <w:sz w:val="24"/>
          <w:szCs w:val="24"/>
        </w:rPr>
        <w:t>提出质疑应当提交质疑函和必要的证明材料。质疑函应当包括下列内容：</w:t>
      </w:r>
    </w:p>
    <w:p w14:paraId="0DEDDC3D">
      <w:pPr>
        <w:pageBreakBefore w:val="0"/>
        <w:kinsoku/>
        <w:wordWrap/>
        <w:overflowPunct/>
        <w:topLinePunct w:val="0"/>
        <w:bidi w:val="0"/>
        <w:spacing w:line="24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磋商人</w:t>
      </w:r>
      <w:r>
        <w:rPr>
          <w:rFonts w:hint="eastAsia" w:ascii="宋体" w:hAnsi="宋体" w:eastAsia="宋体" w:cs="宋体"/>
          <w:color w:val="auto"/>
          <w:sz w:val="24"/>
          <w:szCs w:val="24"/>
        </w:rPr>
        <w:t>的姓名或者名称、地址、邮编、联系人及联系电话；</w:t>
      </w:r>
    </w:p>
    <w:p w14:paraId="11CBC737">
      <w:pPr>
        <w:pageBreakBefore w:val="0"/>
        <w:kinsoku/>
        <w:wordWrap/>
        <w:overflowPunct/>
        <w:topLinePunct w:val="0"/>
        <w:bidi w:val="0"/>
        <w:spacing w:line="24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（2）质疑项目的名称、编号；</w:t>
      </w:r>
    </w:p>
    <w:p w14:paraId="4A780F08">
      <w:pPr>
        <w:pageBreakBefore w:val="0"/>
        <w:kinsoku/>
        <w:wordWrap/>
        <w:overflowPunct/>
        <w:topLinePunct w:val="0"/>
        <w:bidi w:val="0"/>
        <w:spacing w:line="24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（3）具体、明确的质疑事项和与质疑事项相关的请求；</w:t>
      </w:r>
    </w:p>
    <w:p w14:paraId="11034DB5">
      <w:pPr>
        <w:pageBreakBefore w:val="0"/>
        <w:kinsoku/>
        <w:wordWrap/>
        <w:overflowPunct/>
        <w:topLinePunct w:val="0"/>
        <w:bidi w:val="0"/>
        <w:spacing w:line="24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（4）事实依据；</w:t>
      </w:r>
    </w:p>
    <w:p w14:paraId="53DDB7BC">
      <w:pPr>
        <w:pageBreakBefore w:val="0"/>
        <w:kinsoku/>
        <w:wordWrap/>
        <w:overflowPunct/>
        <w:topLinePunct w:val="0"/>
        <w:bidi w:val="0"/>
        <w:spacing w:line="24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（5）必要的法律依据；</w:t>
      </w:r>
    </w:p>
    <w:p w14:paraId="2F4F9F3C">
      <w:pPr>
        <w:pageBreakBefore w:val="0"/>
        <w:kinsoku/>
        <w:wordWrap/>
        <w:overflowPunct/>
        <w:topLinePunct w:val="0"/>
        <w:bidi w:val="0"/>
        <w:spacing w:line="24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（6）提出质疑的日期。</w:t>
      </w:r>
    </w:p>
    <w:p w14:paraId="3B4CE30C">
      <w:pPr>
        <w:pageBreakBefore w:val="0"/>
        <w:kinsoku/>
        <w:wordWrap/>
        <w:overflowPunct/>
        <w:topLinePunct w:val="0"/>
        <w:bidi w:val="0"/>
        <w:spacing w:line="24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w:t>
      </w:r>
      <w:r>
        <w:rPr>
          <w:rFonts w:hint="eastAsia" w:ascii="宋体" w:hAnsi="宋体" w:eastAsia="宋体" w:cs="宋体"/>
          <w:color w:val="auto"/>
          <w:sz w:val="24"/>
          <w:szCs w:val="24"/>
          <w:lang w:eastAsia="zh-CN"/>
        </w:rPr>
        <w:t>磋商人</w:t>
      </w:r>
      <w:r>
        <w:rPr>
          <w:rFonts w:hint="eastAsia" w:ascii="宋体" w:hAnsi="宋体" w:eastAsia="宋体" w:cs="宋体"/>
          <w:color w:val="auto"/>
          <w:sz w:val="24"/>
          <w:szCs w:val="24"/>
        </w:rPr>
        <w:t>为自然人的，应当由本人签字；</w:t>
      </w:r>
      <w:r>
        <w:rPr>
          <w:rFonts w:hint="eastAsia" w:ascii="宋体" w:hAnsi="宋体" w:eastAsia="宋体" w:cs="宋体"/>
          <w:color w:val="auto"/>
          <w:sz w:val="24"/>
          <w:szCs w:val="24"/>
          <w:lang w:eastAsia="zh-CN"/>
        </w:rPr>
        <w:t>磋商人</w:t>
      </w:r>
      <w:r>
        <w:rPr>
          <w:rFonts w:hint="eastAsia" w:ascii="宋体" w:hAnsi="宋体" w:eastAsia="宋体" w:cs="宋体"/>
          <w:color w:val="auto"/>
          <w:sz w:val="24"/>
          <w:szCs w:val="24"/>
        </w:rPr>
        <w:t>为法人或者其他组织的，应当由法定代表人、主要负责人，或者其授权代表签字或者盖章，并加盖公章。</w:t>
      </w:r>
    </w:p>
    <w:p w14:paraId="7642BF57">
      <w:pPr>
        <w:pageBreakBefore w:val="0"/>
        <w:kinsoku/>
        <w:wordWrap/>
        <w:overflowPunct/>
        <w:topLinePunct w:val="0"/>
        <w:bidi w:val="0"/>
        <w:spacing w:line="24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3、采购人、采购代理机构不得拒收质疑</w:t>
      </w:r>
      <w:r>
        <w:rPr>
          <w:rFonts w:hint="eastAsia" w:ascii="宋体" w:hAnsi="宋体" w:eastAsia="宋体" w:cs="宋体"/>
          <w:color w:val="auto"/>
          <w:sz w:val="24"/>
          <w:szCs w:val="24"/>
          <w:lang w:eastAsia="zh-CN"/>
        </w:rPr>
        <w:t>磋商人</w:t>
      </w:r>
      <w:r>
        <w:rPr>
          <w:rFonts w:hint="eastAsia" w:ascii="宋体" w:hAnsi="宋体" w:eastAsia="宋体" w:cs="宋体"/>
          <w:color w:val="auto"/>
          <w:sz w:val="24"/>
          <w:szCs w:val="24"/>
        </w:rPr>
        <w:t>在法定质疑期内发出的质疑函，应当在收到质疑函后7个工作日内作出答复，并以书面形式通知质疑</w:t>
      </w:r>
      <w:r>
        <w:rPr>
          <w:rFonts w:hint="eastAsia" w:ascii="宋体" w:hAnsi="宋体" w:eastAsia="宋体" w:cs="宋体"/>
          <w:color w:val="auto"/>
          <w:sz w:val="24"/>
          <w:szCs w:val="24"/>
          <w:lang w:eastAsia="zh-CN"/>
        </w:rPr>
        <w:t>磋商人</w:t>
      </w:r>
      <w:r>
        <w:rPr>
          <w:rFonts w:hint="eastAsia" w:ascii="宋体" w:hAnsi="宋体" w:eastAsia="宋体" w:cs="宋体"/>
          <w:color w:val="auto"/>
          <w:sz w:val="24"/>
          <w:szCs w:val="24"/>
        </w:rPr>
        <w:t>和其他有关</w:t>
      </w:r>
      <w:r>
        <w:rPr>
          <w:rFonts w:hint="eastAsia" w:ascii="宋体" w:hAnsi="宋体" w:eastAsia="宋体" w:cs="宋体"/>
          <w:color w:val="auto"/>
          <w:sz w:val="24"/>
          <w:szCs w:val="24"/>
          <w:lang w:eastAsia="zh-CN"/>
        </w:rPr>
        <w:t>磋商人</w:t>
      </w:r>
      <w:r>
        <w:rPr>
          <w:rFonts w:hint="eastAsia" w:ascii="宋体" w:hAnsi="宋体" w:eastAsia="宋体" w:cs="宋体"/>
          <w:color w:val="auto"/>
          <w:sz w:val="24"/>
          <w:szCs w:val="24"/>
        </w:rPr>
        <w:t>。</w:t>
      </w:r>
    </w:p>
    <w:p w14:paraId="0845A512">
      <w:pPr>
        <w:pageBreakBefore w:val="0"/>
        <w:kinsoku/>
        <w:wordWrap/>
        <w:overflowPunct/>
        <w:topLinePunct w:val="0"/>
        <w:bidi w:val="0"/>
        <w:spacing w:line="24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磋商人</w:t>
      </w:r>
      <w:r>
        <w:rPr>
          <w:rFonts w:hint="eastAsia" w:ascii="宋体" w:hAnsi="宋体" w:eastAsia="宋体" w:cs="宋体"/>
          <w:color w:val="auto"/>
          <w:sz w:val="24"/>
          <w:szCs w:val="24"/>
        </w:rPr>
        <w:t>对评审过程、中标或者成交结果提出质疑的，采购人、采购代理机构可以组织原评审委员会、竞争性谈判小组、询价小组或者竞争性磋商小组协助答复质疑。</w:t>
      </w:r>
    </w:p>
    <w:p w14:paraId="70AED7E1">
      <w:pPr>
        <w:pageBreakBefore w:val="0"/>
        <w:kinsoku/>
        <w:wordWrap/>
        <w:overflowPunct/>
        <w:topLinePunct w:val="0"/>
        <w:bidi w:val="0"/>
        <w:spacing w:line="24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5、质疑答复应当包括下列内容：</w:t>
      </w:r>
    </w:p>
    <w:p w14:paraId="1284E752">
      <w:pPr>
        <w:pageBreakBefore w:val="0"/>
        <w:kinsoku/>
        <w:wordWrap/>
        <w:overflowPunct/>
        <w:topLinePunct w:val="0"/>
        <w:bidi w:val="0"/>
        <w:spacing w:line="24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（1）质疑</w:t>
      </w:r>
      <w:r>
        <w:rPr>
          <w:rFonts w:hint="eastAsia" w:ascii="宋体" w:hAnsi="宋体" w:eastAsia="宋体" w:cs="宋体"/>
          <w:color w:val="auto"/>
          <w:sz w:val="24"/>
          <w:szCs w:val="24"/>
          <w:lang w:eastAsia="zh-CN"/>
        </w:rPr>
        <w:t>磋商人</w:t>
      </w:r>
      <w:r>
        <w:rPr>
          <w:rFonts w:hint="eastAsia" w:ascii="宋体" w:hAnsi="宋体" w:eastAsia="宋体" w:cs="宋体"/>
          <w:color w:val="auto"/>
          <w:sz w:val="24"/>
          <w:szCs w:val="24"/>
        </w:rPr>
        <w:t>的姓名或者名称；</w:t>
      </w:r>
    </w:p>
    <w:p w14:paraId="15D1BF3F">
      <w:pPr>
        <w:pageBreakBefore w:val="0"/>
        <w:kinsoku/>
        <w:wordWrap/>
        <w:overflowPunct/>
        <w:topLinePunct w:val="0"/>
        <w:bidi w:val="0"/>
        <w:spacing w:line="24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（2）收到质疑函的日期、质疑项目名称及编号；</w:t>
      </w:r>
    </w:p>
    <w:p w14:paraId="2933D3C6">
      <w:pPr>
        <w:pageBreakBefore w:val="0"/>
        <w:kinsoku/>
        <w:wordWrap/>
        <w:overflowPunct/>
        <w:topLinePunct w:val="0"/>
        <w:bidi w:val="0"/>
        <w:spacing w:line="24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（3）质疑事项、质疑答复的具体内容、事实依据和法律依据；</w:t>
      </w:r>
    </w:p>
    <w:p w14:paraId="7D0C08CF">
      <w:pPr>
        <w:pageBreakBefore w:val="0"/>
        <w:kinsoku/>
        <w:wordWrap/>
        <w:overflowPunct/>
        <w:topLinePunct w:val="0"/>
        <w:bidi w:val="0"/>
        <w:spacing w:line="24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（4）告知质疑</w:t>
      </w:r>
      <w:r>
        <w:rPr>
          <w:rFonts w:hint="eastAsia" w:ascii="宋体" w:hAnsi="宋体" w:eastAsia="宋体" w:cs="宋体"/>
          <w:color w:val="auto"/>
          <w:sz w:val="24"/>
          <w:szCs w:val="24"/>
          <w:lang w:eastAsia="zh-CN"/>
        </w:rPr>
        <w:t>磋商人</w:t>
      </w:r>
      <w:r>
        <w:rPr>
          <w:rFonts w:hint="eastAsia" w:ascii="宋体" w:hAnsi="宋体" w:eastAsia="宋体" w:cs="宋体"/>
          <w:color w:val="auto"/>
          <w:sz w:val="24"/>
          <w:szCs w:val="24"/>
        </w:rPr>
        <w:t>依法投诉的权利；</w:t>
      </w:r>
    </w:p>
    <w:p w14:paraId="755CB1C9">
      <w:pPr>
        <w:pageBreakBefore w:val="0"/>
        <w:kinsoku/>
        <w:wordWrap/>
        <w:overflowPunct/>
        <w:topLinePunct w:val="0"/>
        <w:bidi w:val="0"/>
        <w:spacing w:line="24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（5）质疑答复人名称；</w:t>
      </w:r>
    </w:p>
    <w:p w14:paraId="7C1CBF3C">
      <w:pPr>
        <w:pageBreakBefore w:val="0"/>
        <w:kinsoku/>
        <w:wordWrap/>
        <w:overflowPunct/>
        <w:topLinePunct w:val="0"/>
        <w:bidi w:val="0"/>
        <w:spacing w:line="24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（6）答复质疑的日期。</w:t>
      </w:r>
    </w:p>
    <w:p w14:paraId="00DDB692">
      <w:pPr>
        <w:pageBreakBefore w:val="0"/>
        <w:kinsoku/>
        <w:wordWrap/>
        <w:overflowPunct/>
        <w:topLinePunct w:val="0"/>
        <w:bidi w:val="0"/>
        <w:spacing w:line="24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质疑答复的内容不得涉及商业秘密。</w:t>
      </w:r>
    </w:p>
    <w:p w14:paraId="0C079726">
      <w:pPr>
        <w:pageBreakBefore w:val="0"/>
        <w:kinsoku/>
        <w:wordWrap/>
        <w:overflowPunct/>
        <w:topLinePunct w:val="0"/>
        <w:bidi w:val="0"/>
        <w:spacing w:line="24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6、采购人、采购代理机构认为</w:t>
      </w:r>
      <w:r>
        <w:rPr>
          <w:rFonts w:hint="eastAsia" w:ascii="宋体" w:hAnsi="宋体" w:eastAsia="宋体" w:cs="宋体"/>
          <w:color w:val="auto"/>
          <w:sz w:val="24"/>
          <w:szCs w:val="24"/>
          <w:lang w:eastAsia="zh-CN"/>
        </w:rPr>
        <w:t>磋商人</w:t>
      </w:r>
      <w:r>
        <w:rPr>
          <w:rFonts w:hint="eastAsia" w:ascii="宋体" w:hAnsi="宋体" w:eastAsia="宋体" w:cs="宋体"/>
          <w:color w:val="auto"/>
          <w:sz w:val="24"/>
          <w:szCs w:val="24"/>
        </w:rPr>
        <w:t>质疑不成立，或者成立但未对中标、成交结果构成影响的，继续开展采购活动；认为</w:t>
      </w:r>
      <w:r>
        <w:rPr>
          <w:rFonts w:hint="eastAsia" w:ascii="宋体" w:hAnsi="宋体" w:eastAsia="宋体" w:cs="宋体"/>
          <w:color w:val="auto"/>
          <w:sz w:val="24"/>
          <w:szCs w:val="24"/>
          <w:lang w:eastAsia="zh-CN"/>
        </w:rPr>
        <w:t>磋商人</w:t>
      </w:r>
      <w:r>
        <w:rPr>
          <w:rFonts w:hint="eastAsia" w:ascii="宋体" w:hAnsi="宋体" w:eastAsia="宋体" w:cs="宋体"/>
          <w:color w:val="auto"/>
          <w:sz w:val="24"/>
          <w:szCs w:val="24"/>
        </w:rPr>
        <w:t>质疑成立且影响或者可能影响中标、成交结果的，按照下列情况处理：</w:t>
      </w:r>
    </w:p>
    <w:p w14:paraId="744F0A0D">
      <w:pPr>
        <w:pageBreakBefore w:val="0"/>
        <w:kinsoku/>
        <w:wordWrap/>
        <w:overflowPunct/>
        <w:topLinePunct w:val="0"/>
        <w:bidi w:val="0"/>
        <w:spacing w:line="24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（1）对采购文件提出的质疑，依法通过澄清或者修改可以继续开展采购活动的，澄清或者修改采购文件后继续开展采购活动；否则应当修改采购文件后重新开展采购活动。</w:t>
      </w:r>
    </w:p>
    <w:p w14:paraId="170B1EE5">
      <w:pPr>
        <w:pageBreakBefore w:val="0"/>
        <w:kinsoku/>
        <w:wordWrap/>
        <w:overflowPunct/>
        <w:topLinePunct w:val="0"/>
        <w:bidi w:val="0"/>
        <w:spacing w:line="24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（2）对采购过程、中标或者成交结果提出的质疑，合格</w:t>
      </w:r>
      <w:r>
        <w:rPr>
          <w:rFonts w:hint="eastAsia" w:ascii="宋体" w:hAnsi="宋体" w:eastAsia="宋体" w:cs="宋体"/>
          <w:color w:val="auto"/>
          <w:sz w:val="24"/>
          <w:szCs w:val="24"/>
          <w:lang w:eastAsia="zh-CN"/>
        </w:rPr>
        <w:t>磋商人</w:t>
      </w:r>
      <w:r>
        <w:rPr>
          <w:rFonts w:hint="eastAsia" w:ascii="宋体" w:hAnsi="宋体" w:eastAsia="宋体" w:cs="宋体"/>
          <w:color w:val="auto"/>
          <w:sz w:val="24"/>
          <w:szCs w:val="24"/>
        </w:rPr>
        <w:t>符合法定数量时，可以从合格的中标或者成交候选人中另行确定中标、成交</w:t>
      </w:r>
      <w:r>
        <w:rPr>
          <w:rFonts w:hint="eastAsia" w:ascii="宋体" w:hAnsi="宋体" w:eastAsia="宋体" w:cs="宋体"/>
          <w:color w:val="auto"/>
          <w:sz w:val="24"/>
          <w:szCs w:val="24"/>
          <w:lang w:eastAsia="zh-CN"/>
        </w:rPr>
        <w:t>磋商人</w:t>
      </w:r>
      <w:r>
        <w:rPr>
          <w:rFonts w:hint="eastAsia" w:ascii="宋体" w:hAnsi="宋体" w:eastAsia="宋体" w:cs="宋体"/>
          <w:color w:val="auto"/>
          <w:sz w:val="24"/>
          <w:szCs w:val="24"/>
        </w:rPr>
        <w:t>的，应当依法另行确定中标、成交</w:t>
      </w:r>
      <w:r>
        <w:rPr>
          <w:rFonts w:hint="eastAsia" w:ascii="宋体" w:hAnsi="宋体" w:eastAsia="宋体" w:cs="宋体"/>
          <w:color w:val="auto"/>
          <w:sz w:val="24"/>
          <w:szCs w:val="24"/>
          <w:lang w:eastAsia="zh-CN"/>
        </w:rPr>
        <w:t>磋商人</w:t>
      </w:r>
      <w:r>
        <w:rPr>
          <w:rFonts w:hint="eastAsia" w:ascii="宋体" w:hAnsi="宋体" w:eastAsia="宋体" w:cs="宋体"/>
          <w:color w:val="auto"/>
          <w:sz w:val="24"/>
          <w:szCs w:val="24"/>
        </w:rPr>
        <w:t>；否则应当重新开展采购活动。</w:t>
      </w:r>
    </w:p>
    <w:p w14:paraId="0B3C55B3">
      <w:pPr>
        <w:pageBreakBefore w:val="0"/>
        <w:kinsoku/>
        <w:wordWrap/>
        <w:overflowPunct/>
        <w:topLinePunct w:val="0"/>
        <w:bidi w:val="0"/>
        <w:spacing w:line="24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质疑答复导致中标、成交结果改变的，采购人或者采购代理机构应当将有关情况书面报告本级财政部门。</w:t>
      </w:r>
    </w:p>
    <w:p w14:paraId="3BD13FA9">
      <w:pPr>
        <w:pageBreakBefore w:val="0"/>
        <w:kinsoku/>
        <w:wordWrap/>
        <w:overflowPunct/>
        <w:topLinePunct w:val="0"/>
        <w:bidi w:val="0"/>
        <w:spacing w:line="24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磋商人认为磋商文件、磋商过程或中标结果使自己的合法权益受到损害的，应当在知道或者应知其权益受到损害之日起七个工作日内，以书面形式向采购人、采购代理机构提出质疑。磋商人对采购单位、采购代理机构的质疑答复不满意或者采购单位、采购代理机构未在规定时间内作出答复的，可以在答复期满后十五个工作日内向同级采购监管部门投诉。</w:t>
      </w:r>
    </w:p>
    <w:p w14:paraId="41E32D9A">
      <w:pPr>
        <w:spacing w:line="340" w:lineRule="exact"/>
        <w:jc w:val="left"/>
        <w:rPr>
          <w:rFonts w:ascii="宋体" w:hAnsi="宋体" w:cs="宋体"/>
          <w:b/>
          <w:color w:val="auto"/>
          <w:highlight w:val="none"/>
        </w:rPr>
      </w:pPr>
      <w:r>
        <w:rPr>
          <w:rFonts w:hint="eastAsia" w:ascii="宋体" w:hAnsi="宋体" w:cs="宋体"/>
          <w:b/>
          <w:color w:val="auto"/>
          <w:highlight w:val="none"/>
        </w:rPr>
        <w:t>十</w:t>
      </w:r>
      <w:r>
        <w:rPr>
          <w:rFonts w:hint="eastAsia" w:ascii="宋体" w:hAnsi="宋体" w:cs="宋体"/>
          <w:b/>
          <w:color w:val="auto"/>
          <w:highlight w:val="none"/>
          <w:lang w:eastAsia="zh-CN"/>
        </w:rPr>
        <w:t>三</w:t>
      </w:r>
      <w:r>
        <w:rPr>
          <w:rFonts w:hint="eastAsia" w:ascii="宋体" w:hAnsi="宋体" w:cs="宋体"/>
          <w:b/>
          <w:color w:val="auto"/>
          <w:highlight w:val="none"/>
        </w:rPr>
        <w:t>、确定成交供应商方法</w:t>
      </w:r>
    </w:p>
    <w:p w14:paraId="053A3C54">
      <w:pPr>
        <w:spacing w:line="340" w:lineRule="exact"/>
        <w:jc w:val="left"/>
        <w:rPr>
          <w:rFonts w:ascii="宋体" w:hAnsi="宋体" w:cs="宋体"/>
          <w:bCs/>
          <w:color w:val="auto"/>
          <w:highlight w:val="none"/>
        </w:rPr>
      </w:pPr>
      <w:bookmarkStart w:id="39" w:name="_Toc18596"/>
      <w:bookmarkEnd w:id="39"/>
      <w:bookmarkStart w:id="40" w:name="_Toc282640722"/>
      <w:bookmarkEnd w:id="40"/>
      <w:bookmarkStart w:id="41" w:name="_Toc5559"/>
      <w:bookmarkEnd w:id="41"/>
      <w:r>
        <w:rPr>
          <w:rFonts w:hint="eastAsia" w:ascii="宋体" w:hAnsi="宋体" w:cs="宋体"/>
          <w:bCs/>
          <w:color w:val="auto"/>
          <w:highlight w:val="none"/>
        </w:rPr>
        <w:t xml:space="preserve">    在质量与服务均能满足采购项目要求的前提下，以综合得分由高到低的原则确定成交供应商，详细的磋商程序见竞争性磋商文件第四章内容。</w:t>
      </w:r>
    </w:p>
    <w:p w14:paraId="3ABB6CFD">
      <w:pPr>
        <w:spacing w:line="340" w:lineRule="exact"/>
        <w:jc w:val="left"/>
        <w:rPr>
          <w:rFonts w:ascii="宋体" w:hAnsi="宋体" w:cs="宋体"/>
          <w:b/>
          <w:color w:val="auto"/>
          <w:highlight w:val="none"/>
        </w:rPr>
      </w:pPr>
      <w:bookmarkStart w:id="42" w:name="_Toc28666"/>
      <w:bookmarkEnd w:id="42"/>
      <w:bookmarkStart w:id="43" w:name="_Toc16626"/>
      <w:bookmarkEnd w:id="43"/>
      <w:r>
        <w:rPr>
          <w:rFonts w:hint="eastAsia" w:ascii="宋体" w:hAnsi="宋体" w:cs="宋体"/>
          <w:b/>
          <w:color w:val="auto"/>
          <w:highlight w:val="none"/>
        </w:rPr>
        <w:t>十</w:t>
      </w:r>
      <w:r>
        <w:rPr>
          <w:rFonts w:hint="eastAsia" w:ascii="宋体" w:hAnsi="宋体" w:cs="宋体"/>
          <w:b/>
          <w:color w:val="auto"/>
          <w:highlight w:val="none"/>
          <w:lang w:eastAsia="zh-CN"/>
        </w:rPr>
        <w:t>四</w:t>
      </w:r>
      <w:r>
        <w:rPr>
          <w:rFonts w:hint="eastAsia" w:ascii="宋体" w:hAnsi="宋体" w:cs="宋体"/>
          <w:b/>
          <w:color w:val="auto"/>
          <w:highlight w:val="none"/>
        </w:rPr>
        <w:t>、授予合同</w:t>
      </w:r>
    </w:p>
    <w:p w14:paraId="664B5982">
      <w:pPr>
        <w:spacing w:line="340" w:lineRule="exact"/>
        <w:rPr>
          <w:rFonts w:ascii="宋体" w:hAnsi="宋体" w:cs="宋体"/>
          <w:bCs/>
          <w:color w:val="auto"/>
          <w:highlight w:val="none"/>
        </w:rPr>
      </w:pPr>
      <w:r>
        <w:rPr>
          <w:rFonts w:hint="eastAsia" w:ascii="宋体" w:hAnsi="宋体" w:cs="宋体"/>
          <w:bCs/>
          <w:color w:val="auto"/>
          <w:highlight w:val="none"/>
        </w:rPr>
        <w:t xml:space="preserve">    1. 授予合同的依据</w:t>
      </w:r>
    </w:p>
    <w:p w14:paraId="018188C3">
      <w:pPr>
        <w:spacing w:line="340" w:lineRule="exact"/>
        <w:rPr>
          <w:rFonts w:ascii="宋体" w:hAnsi="宋体" w:cs="宋体"/>
          <w:bCs/>
          <w:color w:val="auto"/>
          <w:highlight w:val="none"/>
        </w:rPr>
      </w:pPr>
      <w:r>
        <w:rPr>
          <w:rFonts w:hint="eastAsia" w:ascii="宋体" w:hAnsi="宋体" w:cs="宋体"/>
          <w:bCs/>
          <w:color w:val="auto"/>
          <w:highlight w:val="none"/>
        </w:rPr>
        <w:t xml:space="preserve">    采购人签发的成交通知书；</w:t>
      </w:r>
    </w:p>
    <w:p w14:paraId="5979DD95">
      <w:pPr>
        <w:spacing w:line="340" w:lineRule="exact"/>
        <w:rPr>
          <w:rFonts w:ascii="宋体" w:hAnsi="宋体" w:cs="宋体"/>
          <w:bCs/>
          <w:color w:val="auto"/>
          <w:highlight w:val="none"/>
        </w:rPr>
      </w:pPr>
      <w:r>
        <w:rPr>
          <w:rFonts w:hint="eastAsia" w:ascii="宋体" w:hAnsi="宋体" w:cs="宋体"/>
          <w:bCs/>
          <w:color w:val="auto"/>
          <w:highlight w:val="none"/>
        </w:rPr>
        <w:t xml:space="preserve">    磋商文件、磋商文件的修改及补充通知（函）；</w:t>
      </w:r>
    </w:p>
    <w:p w14:paraId="06DDF889">
      <w:pPr>
        <w:spacing w:line="340" w:lineRule="exact"/>
        <w:rPr>
          <w:rFonts w:ascii="宋体" w:hAnsi="宋体" w:cs="宋体"/>
          <w:bCs/>
          <w:color w:val="auto"/>
          <w:highlight w:val="none"/>
        </w:rPr>
      </w:pPr>
      <w:r>
        <w:rPr>
          <w:rFonts w:hint="eastAsia" w:ascii="宋体" w:hAnsi="宋体" w:cs="宋体"/>
          <w:bCs/>
          <w:color w:val="auto"/>
          <w:highlight w:val="none"/>
        </w:rPr>
        <w:t xml:space="preserve">    响应文件和磋商时供应商作出的书面澄清、说明、纠正、承诺等；</w:t>
      </w:r>
    </w:p>
    <w:p w14:paraId="5004BBD1">
      <w:pPr>
        <w:spacing w:line="340" w:lineRule="exact"/>
        <w:rPr>
          <w:rFonts w:ascii="宋体" w:hAnsi="宋体" w:cs="宋体"/>
          <w:bCs/>
          <w:color w:val="auto"/>
          <w:highlight w:val="none"/>
        </w:rPr>
      </w:pPr>
      <w:r>
        <w:rPr>
          <w:rFonts w:hint="eastAsia" w:ascii="宋体" w:hAnsi="宋体" w:cs="宋体"/>
          <w:bCs/>
          <w:color w:val="auto"/>
          <w:highlight w:val="none"/>
        </w:rPr>
        <w:t xml:space="preserve">    2. 合同签订</w:t>
      </w:r>
    </w:p>
    <w:p w14:paraId="29DA5C05">
      <w:pPr>
        <w:spacing w:line="340" w:lineRule="exact"/>
        <w:rPr>
          <w:rFonts w:ascii="宋体" w:hAnsi="宋体" w:cs="宋体"/>
          <w:bCs/>
          <w:color w:val="auto"/>
          <w:highlight w:val="none"/>
        </w:rPr>
      </w:pPr>
      <w:r>
        <w:rPr>
          <w:rFonts w:hint="eastAsia" w:ascii="宋体" w:hAnsi="宋体" w:cs="宋体"/>
          <w:bCs/>
          <w:color w:val="auto"/>
          <w:highlight w:val="none"/>
        </w:rPr>
        <w:t xml:space="preserve">    2.1成交供应商与采购人应按成交通知书中规定的时间、地点签订合同，否则应承担相应的法律责任。</w:t>
      </w:r>
    </w:p>
    <w:p w14:paraId="1A27A81B">
      <w:pPr>
        <w:spacing w:line="340" w:lineRule="exact"/>
        <w:rPr>
          <w:rFonts w:ascii="宋体" w:hAnsi="宋体" w:cs="宋体"/>
          <w:bCs/>
          <w:color w:val="auto"/>
          <w:highlight w:val="none"/>
        </w:rPr>
      </w:pPr>
      <w:r>
        <w:rPr>
          <w:rFonts w:hint="eastAsia" w:ascii="宋体" w:hAnsi="宋体" w:cs="宋体"/>
          <w:bCs/>
          <w:color w:val="auto"/>
          <w:highlight w:val="none"/>
        </w:rPr>
        <w:t xml:space="preserve">    2.2 磋商文件、成交供应商的响应文件及磋商过程中有关澄清文件和承诺均为合同附件。</w:t>
      </w:r>
    </w:p>
    <w:p w14:paraId="40C189D4">
      <w:pPr>
        <w:spacing w:line="340" w:lineRule="exact"/>
        <w:rPr>
          <w:rFonts w:ascii="宋体" w:hAnsi="宋体" w:cs="宋体"/>
          <w:bCs/>
          <w:color w:val="auto"/>
          <w:highlight w:val="none"/>
        </w:rPr>
      </w:pPr>
      <w:r>
        <w:rPr>
          <w:rFonts w:hint="eastAsia" w:ascii="宋体" w:hAnsi="宋体" w:cs="宋体"/>
          <w:bCs/>
          <w:color w:val="auto"/>
          <w:highlight w:val="none"/>
        </w:rPr>
        <w:t xml:space="preserve">    2.3 采购人与成交供应商将根据《中华人民共和国民法典》的规定，依据磋商文件和成交供应商的响应文件签订书面合同。</w:t>
      </w:r>
    </w:p>
    <w:p w14:paraId="5D4F6252">
      <w:pPr>
        <w:spacing w:line="340" w:lineRule="exact"/>
        <w:rPr>
          <w:rFonts w:ascii="宋体" w:hAnsi="宋体" w:cs="宋体"/>
          <w:bCs/>
          <w:color w:val="auto"/>
          <w:highlight w:val="none"/>
        </w:rPr>
      </w:pPr>
      <w:r>
        <w:rPr>
          <w:rFonts w:hint="eastAsia" w:ascii="宋体" w:hAnsi="宋体" w:cs="宋体"/>
          <w:bCs/>
          <w:color w:val="auto"/>
          <w:highlight w:val="none"/>
        </w:rPr>
        <w:t xml:space="preserve">    2.4 采购人如不与成交供应商订立合同，或者采购人、成交供应商订立背离合同实质性内容的协议，由政府有关部门责令改正，同时依法承担相应法律责任；</w:t>
      </w:r>
    </w:p>
    <w:p w14:paraId="3BA2776A">
      <w:pPr>
        <w:spacing w:line="340" w:lineRule="exact"/>
        <w:rPr>
          <w:rFonts w:ascii="宋体" w:hAnsi="宋体" w:cs="宋体"/>
          <w:bCs/>
          <w:color w:val="auto"/>
          <w:highlight w:val="none"/>
        </w:rPr>
      </w:pPr>
      <w:r>
        <w:rPr>
          <w:rFonts w:hint="eastAsia" w:ascii="宋体" w:hAnsi="宋体" w:cs="宋体"/>
          <w:bCs/>
          <w:color w:val="auto"/>
          <w:highlight w:val="none"/>
        </w:rPr>
        <w:t xml:space="preserve">    2.5 成交供应商如不按规定与采购人订立合同，则采购人将废除授标，给采购人造成的损失超依法承担相应法律责任。</w:t>
      </w:r>
    </w:p>
    <w:p w14:paraId="3CF321FC">
      <w:pPr>
        <w:spacing w:line="340" w:lineRule="exact"/>
        <w:rPr>
          <w:rFonts w:ascii="宋体" w:hAnsi="宋体" w:cs="宋体"/>
          <w:bCs/>
          <w:color w:val="auto"/>
          <w:highlight w:val="none"/>
        </w:rPr>
      </w:pPr>
      <w:r>
        <w:rPr>
          <w:rFonts w:hint="eastAsia" w:ascii="宋体" w:hAnsi="宋体" w:cs="宋体"/>
          <w:bCs/>
          <w:color w:val="auto"/>
          <w:highlight w:val="none"/>
        </w:rPr>
        <w:t xml:space="preserve">    2.6 成交供应商应当按照合同约定履行义务，完成成交项目各项工作，不得将成交项目违法转让（转包）给他人；</w:t>
      </w:r>
    </w:p>
    <w:p w14:paraId="7BEF4DC2">
      <w:pPr>
        <w:spacing w:line="340" w:lineRule="exact"/>
        <w:rPr>
          <w:rFonts w:ascii="宋体" w:hAnsi="宋体" w:cs="宋体"/>
          <w:bCs/>
          <w:color w:val="auto"/>
          <w:highlight w:val="none"/>
        </w:rPr>
      </w:pPr>
      <w:r>
        <w:rPr>
          <w:rFonts w:hint="eastAsia" w:ascii="宋体" w:hAnsi="宋体" w:cs="宋体"/>
          <w:bCs/>
          <w:color w:val="auto"/>
          <w:highlight w:val="none"/>
        </w:rPr>
        <w:t xml:space="preserve">    2.7如果成交供应商未能遵守上述2.5条的规定，则可取消其成交资格。在此情况下，可将合同授予排序在成交供应商之后的第一位成交候选供应商。</w:t>
      </w:r>
    </w:p>
    <w:p w14:paraId="2CE46CB7">
      <w:pPr>
        <w:ind w:firstLine="480" w:firstLineChars="200"/>
        <w:rPr>
          <w:rFonts w:ascii="宋体" w:hAnsi="宋体" w:cs="宋体"/>
          <w:bCs/>
          <w:color w:val="auto"/>
          <w:highlight w:val="none"/>
        </w:rPr>
      </w:pPr>
      <w:r>
        <w:rPr>
          <w:rFonts w:hint="eastAsia" w:ascii="宋体" w:hAnsi="宋体" w:cs="宋体"/>
          <w:bCs/>
          <w:color w:val="auto"/>
          <w:highlight w:val="none"/>
        </w:rPr>
        <w:t>3、履约保证金：无</w:t>
      </w:r>
    </w:p>
    <w:p w14:paraId="67A28AFD">
      <w:pPr>
        <w:rPr>
          <w:color w:val="auto"/>
          <w:highlight w:val="none"/>
        </w:rPr>
      </w:pPr>
      <w:bookmarkStart w:id="44" w:name="_Toc18868"/>
      <w:r>
        <w:rPr>
          <w:rFonts w:hint="eastAsia"/>
          <w:color w:val="auto"/>
          <w:highlight w:val="none"/>
        </w:rPr>
        <w:br w:type="page"/>
      </w:r>
    </w:p>
    <w:bookmarkEnd w:id="44"/>
    <w:p w14:paraId="2969AE7B">
      <w:pPr>
        <w:pStyle w:val="5"/>
        <w:numPr>
          <w:ilvl w:val="0"/>
          <w:numId w:val="5"/>
        </w:numPr>
        <w:jc w:val="center"/>
        <w:rPr>
          <w:rFonts w:hint="eastAsia"/>
          <w:color w:val="auto"/>
          <w:highlight w:val="none"/>
        </w:rPr>
      </w:pPr>
      <w:r>
        <w:rPr>
          <w:rFonts w:hint="eastAsia"/>
          <w:color w:val="auto"/>
          <w:highlight w:val="none"/>
        </w:rPr>
        <w:t xml:space="preserve"> 采购需求</w:t>
      </w:r>
    </w:p>
    <w:p w14:paraId="71ADDC8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color w:val="auto"/>
          <w:highlight w:val="none"/>
        </w:rPr>
      </w:pPr>
      <w:r>
        <w:rPr>
          <w:rFonts w:hint="eastAsia" w:ascii="宋体" w:hAnsi="宋体" w:cs="宋体"/>
          <w:b/>
          <w:bCs/>
          <w:color w:val="auto"/>
          <w:highlight w:val="none"/>
          <w:lang w:val="en-US" w:eastAsia="zh-CN"/>
        </w:rPr>
        <w:t>一、</w:t>
      </w:r>
      <w:r>
        <w:rPr>
          <w:rFonts w:hint="eastAsia" w:ascii="宋体" w:hAnsi="宋体" w:cs="宋体"/>
          <w:color w:val="auto"/>
          <w:highlight w:val="none"/>
        </w:rPr>
        <w:t>吴兴区</w:t>
      </w:r>
      <w:r>
        <w:rPr>
          <w:rFonts w:hint="eastAsia" w:ascii="宋体" w:hAnsi="宋体" w:cs="宋体"/>
          <w:color w:val="auto"/>
          <w:highlight w:val="none"/>
          <w:lang w:eastAsia="zh-CN"/>
        </w:rPr>
        <w:t>吴兴区2025年水土保持技术支撑服务项目</w:t>
      </w:r>
      <w:r>
        <w:rPr>
          <w:rFonts w:hint="eastAsia" w:ascii="宋体" w:hAnsi="宋体" w:cs="宋体"/>
          <w:color w:val="auto"/>
          <w:highlight w:val="none"/>
        </w:rPr>
        <w:t>的需求：</w:t>
      </w:r>
    </w:p>
    <w:p w14:paraId="1B16A622">
      <w:pPr>
        <w:autoSpaceDE w:val="0"/>
        <w:autoSpaceDN w:val="0"/>
        <w:adjustRightInd w:val="0"/>
        <w:snapToGrid w:val="0"/>
        <w:spacing w:line="380" w:lineRule="exact"/>
        <w:ind w:firstLine="480" w:firstLineChars="200"/>
        <w:rPr>
          <w:rFonts w:hint="eastAsia" w:ascii="宋体" w:hAnsi="宋体" w:cs="宋体"/>
          <w:bCs/>
          <w:color w:val="auto"/>
          <w:highlight w:val="none"/>
          <w:lang w:val="en-US" w:eastAsia="zh-CN"/>
        </w:rPr>
      </w:pPr>
      <w:bookmarkStart w:id="45" w:name="_Toc402872203"/>
      <w:bookmarkStart w:id="46" w:name="_Toc30882"/>
      <w:r>
        <w:rPr>
          <w:rFonts w:hint="eastAsia" w:ascii="宋体" w:hAnsi="宋体" w:cs="宋体"/>
          <w:bCs/>
          <w:color w:val="auto"/>
          <w:highlight w:val="none"/>
          <w:lang w:val="en-US" w:eastAsia="zh-CN"/>
        </w:rPr>
        <w:t>1.对于我区所有立项项目、住建部门施工许可证情况进行筛查，现场核实等前期工作；</w:t>
      </w:r>
    </w:p>
    <w:p w14:paraId="3B69AE39">
      <w:pPr>
        <w:autoSpaceDE w:val="0"/>
        <w:autoSpaceDN w:val="0"/>
        <w:adjustRightInd w:val="0"/>
        <w:snapToGrid w:val="0"/>
        <w:spacing w:line="380" w:lineRule="exact"/>
        <w:ind w:firstLine="480" w:firstLineChars="200"/>
        <w:rPr>
          <w:rFonts w:hint="eastAsia" w:ascii="宋体" w:hAnsi="宋体" w:cs="宋体"/>
          <w:bCs/>
          <w:color w:val="auto"/>
          <w:highlight w:val="none"/>
          <w:lang w:val="en-US" w:eastAsia="zh-CN"/>
        </w:rPr>
      </w:pPr>
      <w:r>
        <w:rPr>
          <w:rFonts w:hint="eastAsia" w:ascii="宋体" w:hAnsi="宋体" w:cs="宋体"/>
          <w:bCs/>
          <w:color w:val="auto"/>
          <w:highlight w:val="none"/>
          <w:lang w:val="en-US" w:eastAsia="zh-CN"/>
        </w:rPr>
        <w:t>2.协助水利局完成上级下发的扰动图斑进行技术复核工作；</w:t>
      </w:r>
    </w:p>
    <w:p w14:paraId="7092A7C6">
      <w:pPr>
        <w:autoSpaceDE w:val="0"/>
        <w:autoSpaceDN w:val="0"/>
        <w:adjustRightInd w:val="0"/>
        <w:snapToGrid w:val="0"/>
        <w:spacing w:line="380" w:lineRule="exact"/>
        <w:ind w:firstLine="480" w:firstLineChars="200"/>
        <w:rPr>
          <w:rFonts w:hint="eastAsia" w:ascii="宋体" w:hAnsi="宋体" w:cs="宋体"/>
          <w:bCs/>
          <w:color w:val="auto"/>
          <w:highlight w:val="none"/>
          <w:lang w:val="en-US" w:eastAsia="zh-CN"/>
        </w:rPr>
      </w:pPr>
      <w:r>
        <w:rPr>
          <w:rFonts w:hint="eastAsia" w:ascii="宋体" w:hAnsi="宋体" w:cs="宋体"/>
          <w:bCs/>
          <w:color w:val="auto"/>
          <w:highlight w:val="none"/>
          <w:lang w:val="en-US" w:eastAsia="zh-CN"/>
        </w:rPr>
        <w:t>3.对我区所有在建生产建设项目水土保持方案落实情况进行技术评估2批次（每半年度一次，在第一批次评估时已完工项目无需进行第二批次评估，第一批次完成后新批的项目仅需完成第二批次技术评估）；对生产建设项目水保方案落实情况进行评估并形成书面报告，对需要整改或者对方案中未尽事宜需要进行修正的项目提出水土保持专业建议，形成书面结论并汇总成册；</w:t>
      </w:r>
    </w:p>
    <w:p w14:paraId="664C7DA7">
      <w:pPr>
        <w:autoSpaceDE w:val="0"/>
        <w:autoSpaceDN w:val="0"/>
        <w:adjustRightInd w:val="0"/>
        <w:snapToGrid w:val="0"/>
        <w:spacing w:line="380" w:lineRule="exact"/>
        <w:ind w:firstLine="480" w:firstLineChars="200"/>
        <w:rPr>
          <w:rFonts w:hint="eastAsia" w:ascii="宋体" w:hAnsi="宋体" w:cs="宋体"/>
          <w:bCs/>
          <w:color w:val="auto"/>
          <w:highlight w:val="none"/>
          <w:lang w:val="en-US" w:eastAsia="zh-CN"/>
        </w:rPr>
      </w:pPr>
      <w:r>
        <w:rPr>
          <w:rFonts w:hint="eastAsia" w:ascii="宋体" w:hAnsi="宋体" w:cs="宋体"/>
          <w:bCs/>
          <w:color w:val="auto"/>
          <w:highlight w:val="none"/>
          <w:lang w:val="en-US" w:eastAsia="zh-CN"/>
        </w:rPr>
        <w:t>4.对需要帮助的建设项目提供专业技术指导，编写并印制《吴兴区水土保持管理手册》，在日常工作中协助水利局进行入企宣传和技术帮扶；</w:t>
      </w:r>
    </w:p>
    <w:p w14:paraId="3155238C">
      <w:pPr>
        <w:autoSpaceDE w:val="0"/>
        <w:autoSpaceDN w:val="0"/>
        <w:adjustRightInd w:val="0"/>
        <w:snapToGrid w:val="0"/>
        <w:spacing w:line="380" w:lineRule="exact"/>
        <w:ind w:firstLine="480" w:firstLineChars="200"/>
        <w:rPr>
          <w:rFonts w:hint="default" w:ascii="宋体" w:hAnsi="宋体" w:cs="宋体"/>
          <w:bCs/>
          <w:color w:val="auto"/>
          <w:highlight w:val="none"/>
          <w:lang w:val="en-US" w:eastAsia="zh-CN"/>
        </w:rPr>
      </w:pPr>
      <w:r>
        <w:rPr>
          <w:rFonts w:hint="eastAsia" w:ascii="宋体" w:hAnsi="宋体" w:cs="宋体"/>
          <w:bCs/>
          <w:color w:val="auto"/>
          <w:highlight w:val="none"/>
          <w:lang w:val="en-US" w:eastAsia="zh-CN"/>
        </w:rPr>
        <w:t>5.对水利局需要提供其他水土保持技术支持的事项提供技术支持。</w:t>
      </w:r>
    </w:p>
    <w:p w14:paraId="6872BB30">
      <w:pPr>
        <w:pageBreakBefore w:val="0"/>
        <w:widowControl w:val="0"/>
        <w:kinsoku/>
        <w:wordWrap/>
        <w:overflowPunct/>
        <w:topLinePunct w:val="0"/>
        <w:autoSpaceDE w:val="0"/>
        <w:autoSpaceDN w:val="0"/>
        <w:bidi w:val="0"/>
        <w:adjustRightInd w:val="0"/>
        <w:snapToGrid/>
        <w:spacing w:afterAutospacing="0" w:line="480" w:lineRule="auto"/>
        <w:ind w:firstLine="482" w:firstLineChars="200"/>
        <w:jc w:val="left"/>
        <w:textAlignment w:val="auto"/>
        <w:rPr>
          <w:rFonts w:hint="default" w:ascii="宋体" w:hAnsi="宋体" w:eastAsia="宋体" w:cs="宋体"/>
          <w:b w:val="0"/>
          <w:bCs w:val="0"/>
          <w:color w:val="auto"/>
          <w:sz w:val="24"/>
          <w:szCs w:val="24"/>
          <w:highlight w:val="none"/>
          <w:lang w:val="en-US" w:eastAsia="zh-CN"/>
        </w:rPr>
      </w:pPr>
      <w:r>
        <w:rPr>
          <w:rFonts w:hint="eastAsia" w:ascii="宋体" w:hAnsi="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、项目服务期：</w:t>
      </w:r>
      <w:r>
        <w:rPr>
          <w:rFonts w:hint="eastAsia" w:ascii="宋体" w:hAnsi="宋体" w:cs="宋体"/>
          <w:b/>
          <w:bCs/>
          <w:color w:val="auto"/>
          <w:sz w:val="24"/>
          <w:szCs w:val="24"/>
          <w:highlight w:val="none"/>
          <w:lang w:val="en-US" w:eastAsia="zh-CN"/>
        </w:rPr>
        <w:t>合同签订后一年</w:t>
      </w:r>
    </w:p>
    <w:p w14:paraId="080516ED">
      <w:pPr>
        <w:pStyle w:val="6"/>
        <w:pageBreakBefore w:val="0"/>
        <w:widowControl w:val="0"/>
        <w:kinsoku/>
        <w:wordWrap/>
        <w:overflowPunct/>
        <w:topLinePunct w:val="0"/>
        <w:bidi w:val="0"/>
        <w:snapToGrid/>
        <w:spacing w:before="0" w:beforeAutospacing="0" w:after="0" w:afterAutospacing="0" w:line="480" w:lineRule="auto"/>
        <w:ind w:firstLine="42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 xml:space="preserve"> 商务要求</w:t>
      </w:r>
    </w:p>
    <w:tbl>
      <w:tblPr>
        <w:tblStyle w:val="34"/>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1352"/>
        <w:gridCol w:w="7816"/>
      </w:tblGrid>
      <w:tr w14:paraId="21DE5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4" w:type="dxa"/>
            <w:vAlign w:val="center"/>
          </w:tcPr>
          <w:p w14:paraId="201D034B">
            <w:pPr>
              <w:spacing w:beforeAutospacing="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352" w:type="dxa"/>
            <w:vAlign w:val="center"/>
          </w:tcPr>
          <w:p w14:paraId="230FAE4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内容名称</w:t>
            </w:r>
          </w:p>
        </w:tc>
        <w:tc>
          <w:tcPr>
            <w:tcW w:w="7818" w:type="dxa"/>
            <w:vAlign w:val="center"/>
          </w:tcPr>
          <w:p w14:paraId="2474B6F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w:t>
            </w:r>
          </w:p>
        </w:tc>
      </w:tr>
      <w:tr w14:paraId="6B841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4" w:type="dxa"/>
            <w:vAlign w:val="center"/>
          </w:tcPr>
          <w:p w14:paraId="2A2309EA">
            <w:pPr>
              <w:numPr>
                <w:ilvl w:val="0"/>
                <w:numId w:val="6"/>
              </w:numPr>
              <w:ind w:firstLine="0"/>
              <w:rPr>
                <w:rFonts w:hint="eastAsia" w:ascii="宋体" w:hAnsi="宋体" w:eastAsia="宋体" w:cs="宋体"/>
                <w:color w:val="auto"/>
                <w:sz w:val="24"/>
                <w:szCs w:val="24"/>
                <w:highlight w:val="none"/>
              </w:rPr>
            </w:pPr>
          </w:p>
        </w:tc>
        <w:tc>
          <w:tcPr>
            <w:tcW w:w="1352" w:type="dxa"/>
            <w:vAlign w:val="center"/>
          </w:tcPr>
          <w:p w14:paraId="091F1B4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报价要求</w:t>
            </w:r>
          </w:p>
        </w:tc>
        <w:tc>
          <w:tcPr>
            <w:tcW w:w="7818" w:type="dxa"/>
            <w:vAlign w:val="center"/>
          </w:tcPr>
          <w:p w14:paraId="2F89E317">
            <w:pPr>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1.▲报价应包括完成本项目服务工作所需的人力物力成本、管理费、其他费用、安全文明生产装备费、设备维护费、</w:t>
            </w:r>
            <w:r>
              <w:rPr>
                <w:rFonts w:hint="eastAsia" w:ascii="宋体" w:hAnsi="宋体" w:eastAsia="宋体" w:cs="宋体"/>
                <w:color w:val="auto"/>
                <w:sz w:val="24"/>
                <w:szCs w:val="24"/>
                <w:highlight w:val="none"/>
                <w:lang w:eastAsia="zh-CN"/>
              </w:rPr>
              <w:t>工具</w:t>
            </w:r>
            <w:r>
              <w:rPr>
                <w:rFonts w:hint="eastAsia" w:ascii="宋体" w:hAnsi="宋体" w:eastAsia="宋体" w:cs="宋体"/>
                <w:color w:val="auto"/>
                <w:sz w:val="24"/>
                <w:szCs w:val="24"/>
                <w:highlight w:val="none"/>
              </w:rPr>
              <w:t>材料费、利润、税金等及合同明示或暗示的所有风险、责任、义务等各项完成本项目应有的费用。凡未列入的，将被视为均已包含在投标总报价中。只允许有一个报价，任何有选择的或有条件的报价将不予接受。</w:t>
            </w:r>
          </w:p>
          <w:p w14:paraId="777E0112">
            <w:pPr>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2.▲本次报价币种为人民币价。</w:t>
            </w:r>
          </w:p>
          <w:p w14:paraId="07D75B1E">
            <w:pPr>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3.填报单价及总价。</w:t>
            </w:r>
          </w:p>
          <w:p w14:paraId="04F1D979">
            <w:pPr>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说明：如供应商在规定时间内未提交最后报价视同退出磋商，其竞标视为无效。</w:t>
            </w:r>
          </w:p>
        </w:tc>
      </w:tr>
      <w:tr w14:paraId="3DDD2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4" w:type="dxa"/>
            <w:vAlign w:val="center"/>
          </w:tcPr>
          <w:p w14:paraId="4C7FC7B5">
            <w:pPr>
              <w:numPr>
                <w:ilvl w:val="0"/>
                <w:numId w:val="6"/>
              </w:numPr>
              <w:ind w:firstLine="0"/>
              <w:rPr>
                <w:rFonts w:hint="eastAsia" w:ascii="宋体" w:hAnsi="宋体" w:eastAsia="宋体" w:cs="宋体"/>
                <w:color w:val="auto"/>
                <w:sz w:val="24"/>
                <w:szCs w:val="24"/>
                <w:highlight w:val="none"/>
              </w:rPr>
            </w:pPr>
          </w:p>
        </w:tc>
        <w:tc>
          <w:tcPr>
            <w:tcW w:w="1352" w:type="dxa"/>
            <w:vAlign w:val="center"/>
          </w:tcPr>
          <w:p w14:paraId="69F864C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合同双方</w:t>
            </w:r>
          </w:p>
        </w:tc>
        <w:tc>
          <w:tcPr>
            <w:tcW w:w="7818" w:type="dxa"/>
            <w:vAlign w:val="center"/>
          </w:tcPr>
          <w:p w14:paraId="06D3F13D">
            <w:pPr>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1.本项目合同甲方为</w:t>
            </w:r>
            <w:r>
              <w:rPr>
                <w:rFonts w:hint="eastAsia" w:ascii="宋体" w:hAnsi="宋体" w:eastAsia="宋体" w:cs="宋体"/>
                <w:color w:val="auto"/>
                <w:sz w:val="24"/>
                <w:szCs w:val="24"/>
                <w:highlight w:val="none"/>
                <w:lang w:eastAsia="zh-CN"/>
              </w:rPr>
              <w:t>湖州市吴兴区水利局</w:t>
            </w:r>
            <w:r>
              <w:rPr>
                <w:rFonts w:hint="eastAsia" w:ascii="宋体" w:hAnsi="宋体" w:eastAsia="宋体" w:cs="宋体"/>
                <w:color w:val="auto"/>
                <w:sz w:val="24"/>
                <w:szCs w:val="24"/>
                <w:highlight w:val="none"/>
              </w:rPr>
              <w:t>，合同乙方为成交供应商。</w:t>
            </w:r>
          </w:p>
          <w:p w14:paraId="126994F1">
            <w:pPr>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2.合同款由合同甲方支付给合同乙方。</w:t>
            </w:r>
          </w:p>
        </w:tc>
      </w:tr>
      <w:tr w14:paraId="7708C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4" w:type="dxa"/>
            <w:vAlign w:val="center"/>
          </w:tcPr>
          <w:p w14:paraId="3667FE8D">
            <w:pPr>
              <w:numPr>
                <w:ilvl w:val="0"/>
                <w:numId w:val="6"/>
              </w:numPr>
              <w:ind w:firstLine="0"/>
              <w:rPr>
                <w:rFonts w:hint="eastAsia" w:ascii="宋体" w:hAnsi="宋体" w:eastAsia="宋体" w:cs="宋体"/>
                <w:color w:val="auto"/>
                <w:sz w:val="24"/>
                <w:szCs w:val="24"/>
                <w:highlight w:val="none"/>
              </w:rPr>
            </w:pPr>
          </w:p>
        </w:tc>
        <w:tc>
          <w:tcPr>
            <w:tcW w:w="1352" w:type="dxa"/>
            <w:vAlign w:val="center"/>
          </w:tcPr>
          <w:p w14:paraId="5A4558A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转包或分包</w:t>
            </w:r>
          </w:p>
        </w:tc>
        <w:tc>
          <w:tcPr>
            <w:tcW w:w="7818" w:type="dxa"/>
            <w:vAlign w:val="center"/>
          </w:tcPr>
          <w:p w14:paraId="620E303F">
            <w:pPr>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1.▲本项目不得转包：合同乙方不得将本合同标的转包由其他供应商承担。</w:t>
            </w:r>
          </w:p>
          <w:p w14:paraId="798D8AA4">
            <w:pPr>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2.▲本项目不得分包：合同乙方不得将本合同标的分包由其他供应商承担。</w:t>
            </w:r>
          </w:p>
          <w:p w14:paraId="080F70D3">
            <w:pPr>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3.▲如有违反以上情形，合同甲方有权解除合同，并追究合同乙方的违约责任。</w:t>
            </w:r>
          </w:p>
        </w:tc>
      </w:tr>
      <w:tr w14:paraId="46E5E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4" w:type="dxa"/>
            <w:vAlign w:val="center"/>
          </w:tcPr>
          <w:p w14:paraId="62537733">
            <w:pPr>
              <w:numPr>
                <w:ilvl w:val="0"/>
                <w:numId w:val="6"/>
              </w:numPr>
              <w:ind w:firstLine="0"/>
              <w:rPr>
                <w:rFonts w:hint="eastAsia" w:ascii="宋体" w:hAnsi="宋体" w:eastAsia="宋体" w:cs="宋体"/>
                <w:color w:val="auto"/>
                <w:sz w:val="24"/>
                <w:szCs w:val="24"/>
                <w:highlight w:val="none"/>
              </w:rPr>
            </w:pPr>
          </w:p>
        </w:tc>
        <w:tc>
          <w:tcPr>
            <w:tcW w:w="1352" w:type="dxa"/>
            <w:vAlign w:val="center"/>
          </w:tcPr>
          <w:p w14:paraId="1581F13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w:t>
            </w:r>
          </w:p>
        </w:tc>
        <w:tc>
          <w:tcPr>
            <w:tcW w:w="7818" w:type="dxa"/>
            <w:vAlign w:val="center"/>
          </w:tcPr>
          <w:p w14:paraId="3B8DADD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不需缴纳履约保证金。</w:t>
            </w:r>
          </w:p>
        </w:tc>
      </w:tr>
      <w:tr w14:paraId="7A683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4" w:type="dxa"/>
            <w:vAlign w:val="center"/>
          </w:tcPr>
          <w:p w14:paraId="471F30E6">
            <w:pPr>
              <w:numPr>
                <w:ilvl w:val="0"/>
                <w:numId w:val="6"/>
              </w:numPr>
              <w:ind w:firstLine="0"/>
              <w:rPr>
                <w:rFonts w:hint="eastAsia" w:ascii="宋体" w:hAnsi="宋体" w:eastAsia="宋体" w:cs="宋体"/>
                <w:color w:val="auto"/>
                <w:sz w:val="24"/>
                <w:szCs w:val="24"/>
                <w:highlight w:val="none"/>
              </w:rPr>
            </w:pPr>
          </w:p>
        </w:tc>
        <w:tc>
          <w:tcPr>
            <w:tcW w:w="1352" w:type="dxa"/>
            <w:vAlign w:val="center"/>
          </w:tcPr>
          <w:p w14:paraId="5E44ECA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付款条件</w:t>
            </w:r>
          </w:p>
        </w:tc>
        <w:tc>
          <w:tcPr>
            <w:tcW w:w="7818" w:type="dxa"/>
            <w:vAlign w:val="center"/>
          </w:tcPr>
          <w:p w14:paraId="48A60ECD">
            <w:pPr>
              <w:ind w:firstLine="240" w:firstLineChars="1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根据省财政厅《浙江省财政厅关于进一步发挥政府采购政策功能全力推动经济稳进提质的通知》（浙财采监【2022】3号）要求，制定如下付款方式：</w:t>
            </w:r>
            <w:r>
              <w:rPr>
                <w:rFonts w:hint="eastAsia" w:ascii="宋体" w:hAnsi="宋体" w:cs="宋体"/>
                <w:color w:val="auto"/>
                <w:sz w:val="24"/>
                <w:szCs w:val="24"/>
                <w:highlight w:val="none"/>
                <w:lang w:val="en-US" w:eastAsia="zh-CN"/>
              </w:rPr>
              <w:t>合同签订7个工作日内支付40%预付款，待项目验收通过后支付剩余合同款</w:t>
            </w:r>
            <w:r>
              <w:rPr>
                <w:rFonts w:hint="eastAsia" w:ascii="宋体" w:hAnsi="宋体" w:eastAsia="宋体" w:cs="宋体"/>
                <w:snapToGrid w:val="0"/>
                <w:color w:val="auto"/>
                <w:szCs w:val="21"/>
                <w:highlight w:val="none"/>
                <w:lang w:val="en-US" w:eastAsia="zh-CN"/>
              </w:rPr>
              <w:t>。</w:t>
            </w:r>
          </w:p>
          <w:p w14:paraId="37F5A575">
            <w:pPr>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155DB274">
            <w:pPr>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（1）在签订合同时，如合同乙方明确表示无需预付款或者主动要求降低预付款比例的，预付款比例以双方协商为准。</w:t>
            </w:r>
          </w:p>
          <w:p w14:paraId="716BC766">
            <w:pPr>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（2）预付款：合同生效以及具备实施条件后7个工作日内支付；合同甲方要求合同乙方提交银行、保险公司等金融机构出具的预付款保函。</w:t>
            </w:r>
          </w:p>
          <w:p w14:paraId="3D2785BA">
            <w:pPr>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（3）其余合同款：满足支付条件后，合同甲方收到乙方提交的正规票据（符合合同甲方财务管理要求）后7个工作日内支付至合同乙方账户。</w:t>
            </w:r>
          </w:p>
        </w:tc>
      </w:tr>
      <w:tr w14:paraId="4E1FB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674" w:type="dxa"/>
            <w:vAlign w:val="center"/>
          </w:tcPr>
          <w:p w14:paraId="74F24C18">
            <w:pPr>
              <w:numPr>
                <w:ilvl w:val="0"/>
                <w:numId w:val="6"/>
              </w:numPr>
              <w:ind w:firstLine="0"/>
              <w:rPr>
                <w:rFonts w:hint="eastAsia" w:ascii="宋体" w:hAnsi="宋体" w:eastAsia="宋体" w:cs="宋体"/>
                <w:color w:val="auto"/>
                <w:sz w:val="24"/>
                <w:szCs w:val="24"/>
                <w:highlight w:val="none"/>
              </w:rPr>
            </w:pPr>
          </w:p>
        </w:tc>
        <w:tc>
          <w:tcPr>
            <w:tcW w:w="1352" w:type="dxa"/>
            <w:vAlign w:val="center"/>
          </w:tcPr>
          <w:p w14:paraId="4D27A64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项目考核</w:t>
            </w:r>
          </w:p>
        </w:tc>
        <w:tc>
          <w:tcPr>
            <w:tcW w:w="7818" w:type="dxa"/>
            <w:vAlign w:val="center"/>
          </w:tcPr>
          <w:p w14:paraId="2790D8A8">
            <w:pPr>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1.合同乙方应保质保量按时按约完成项目合同规定的各项工作。</w:t>
            </w:r>
          </w:p>
          <w:p w14:paraId="077CDDD3">
            <w:pPr>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2.甲方将对合同乙方的服务质量进行考核评价，根据考核结果支付合同款。</w:t>
            </w:r>
          </w:p>
        </w:tc>
      </w:tr>
      <w:tr w14:paraId="61F62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674" w:type="dxa"/>
            <w:vAlign w:val="center"/>
          </w:tcPr>
          <w:p w14:paraId="348AEEEF">
            <w:pPr>
              <w:numPr>
                <w:ilvl w:val="0"/>
                <w:numId w:val="6"/>
              </w:numPr>
              <w:ind w:firstLine="0"/>
              <w:rPr>
                <w:rFonts w:hint="eastAsia" w:ascii="宋体" w:hAnsi="宋体" w:eastAsia="宋体" w:cs="宋体"/>
                <w:color w:val="auto"/>
                <w:sz w:val="24"/>
                <w:szCs w:val="24"/>
                <w:highlight w:val="none"/>
              </w:rPr>
            </w:pPr>
          </w:p>
        </w:tc>
        <w:tc>
          <w:tcPr>
            <w:tcW w:w="1352" w:type="dxa"/>
            <w:vAlign w:val="center"/>
          </w:tcPr>
          <w:p w14:paraId="7635B6A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所属行业</w:t>
            </w:r>
          </w:p>
        </w:tc>
        <w:tc>
          <w:tcPr>
            <w:tcW w:w="7818" w:type="dxa"/>
            <w:vAlign w:val="center"/>
          </w:tcPr>
          <w:p w14:paraId="63C45A39">
            <w:pPr>
              <w:rPr>
                <w:rFonts w:hint="eastAsia" w:ascii="宋体" w:hAnsi="宋体" w:eastAsia="宋体" w:cs="宋体"/>
                <w:color w:val="auto"/>
                <w:sz w:val="24"/>
                <w:szCs w:val="24"/>
                <w:highlight w:val="none"/>
              </w:rPr>
            </w:pPr>
            <w:r>
              <w:rPr>
                <w:rFonts w:hint="eastAsia" w:ascii="宋体" w:hAnsi="宋体" w:cs="宋体"/>
                <w:color w:val="auto"/>
                <w:sz w:val="24"/>
                <w:highlight w:val="none"/>
                <w:lang w:val="en-US" w:eastAsia="zh-CN"/>
              </w:rPr>
              <w:t>本项目所属中小企业划分：</w:t>
            </w:r>
            <w:r>
              <w:rPr>
                <w:rFonts w:hint="eastAsia" w:ascii="宋体" w:hAnsi="宋体" w:cs="宋体"/>
                <w:color w:val="auto"/>
                <w:sz w:val="24"/>
                <w:highlight w:val="none"/>
              </w:rPr>
              <w:t>其他未列明行业</w:t>
            </w:r>
          </w:p>
        </w:tc>
      </w:tr>
    </w:tbl>
    <w:p w14:paraId="640C26F7">
      <w:pPr>
        <w:spacing w:line="420" w:lineRule="exact"/>
        <w:jc w:val="center"/>
        <w:rPr>
          <w:rFonts w:ascii="宋体" w:hAnsi="宋体" w:cs="宋体"/>
          <w:b/>
          <w:bCs/>
          <w:i/>
          <w:color w:val="auto"/>
          <w:highlight w:val="none"/>
          <w:u w:val="single"/>
        </w:rPr>
      </w:pPr>
    </w:p>
    <w:p w14:paraId="14610736">
      <w:pPr>
        <w:spacing w:line="420" w:lineRule="exact"/>
        <w:jc w:val="center"/>
        <w:rPr>
          <w:rFonts w:ascii="宋体" w:hAnsi="宋体" w:cs="宋体"/>
          <w:b/>
          <w:i w:val="0"/>
          <w:iCs/>
          <w:color w:val="auto"/>
          <w:highlight w:val="none"/>
        </w:rPr>
      </w:pPr>
      <w:r>
        <w:rPr>
          <w:rFonts w:hint="eastAsia" w:ascii="宋体" w:hAnsi="宋体" w:cs="宋体"/>
          <w:b/>
          <w:bCs/>
          <w:i w:val="0"/>
          <w:iCs/>
          <w:color w:val="auto"/>
          <w:highlight w:val="none"/>
          <w:u w:val="single"/>
        </w:rPr>
        <w:t>注：本招标文件中带 “▲”的有关技术和商务条款为实质性条款，投标人必须在投标文件中作出实质性响应，否则投标无效；带 “★”的有关技术和商务条款为重要条款，投标人必须在投标文件中作出偏离响应。</w:t>
      </w:r>
    </w:p>
    <w:p w14:paraId="2B75FB0C">
      <w:pPr>
        <w:spacing w:line="420" w:lineRule="exact"/>
        <w:ind w:firstLine="420"/>
        <w:jc w:val="center"/>
        <w:rPr>
          <w:rFonts w:ascii="宋体" w:hAnsi="宋体" w:cs="宋体"/>
          <w:b/>
          <w:bCs/>
          <w:i w:val="0"/>
          <w:iCs/>
          <w:color w:val="auto"/>
          <w:highlight w:val="none"/>
          <w:u w:val="single"/>
        </w:rPr>
      </w:pPr>
      <w:r>
        <w:rPr>
          <w:rFonts w:hint="eastAsia" w:ascii="宋体" w:hAnsi="宋体" w:cs="宋体"/>
          <w:b/>
          <w:bCs/>
          <w:i w:val="0"/>
          <w:iCs/>
          <w:color w:val="auto"/>
          <w:highlight w:val="none"/>
          <w:u w:val="single"/>
        </w:rPr>
        <w:t>为了更好地实现采购目标，磋商小组可以修改竞争性磋商文件，对采购需求、合同草案作出实质性变动，并以书面形式通知所有参加磋商的供应商。供应商收到修改采购文件的通知后，可以决定是否继续参加磋商活动。</w:t>
      </w:r>
    </w:p>
    <w:bookmarkEnd w:id="45"/>
    <w:bookmarkEnd w:id="46"/>
    <w:p w14:paraId="13B01998">
      <w:pPr>
        <w:pStyle w:val="5"/>
        <w:jc w:val="center"/>
        <w:rPr>
          <w:color w:val="auto"/>
          <w:highlight w:val="none"/>
        </w:rPr>
      </w:pPr>
      <w:r>
        <w:rPr>
          <w:rFonts w:hint="eastAsia"/>
          <w:color w:val="auto"/>
          <w:highlight w:val="none"/>
        </w:rPr>
        <w:br w:type="page"/>
      </w:r>
      <w:r>
        <w:rPr>
          <w:rFonts w:hint="eastAsia"/>
          <w:color w:val="auto"/>
          <w:highlight w:val="none"/>
        </w:rPr>
        <w:t>第四章  磋商原则和程序</w:t>
      </w:r>
    </w:p>
    <w:p w14:paraId="2CC30B4A">
      <w:pPr>
        <w:snapToGrid w:val="0"/>
        <w:spacing w:line="380" w:lineRule="exact"/>
        <w:rPr>
          <w:rFonts w:ascii="宋体" w:hAnsi="宋体" w:cs="宋体"/>
          <w:bCs/>
          <w:color w:val="auto"/>
          <w:highlight w:val="none"/>
        </w:rPr>
      </w:pPr>
      <w:bookmarkStart w:id="47" w:name="_Toc6985"/>
      <w:bookmarkEnd w:id="47"/>
      <w:bookmarkStart w:id="48" w:name="_Toc17438"/>
      <w:bookmarkEnd w:id="48"/>
      <w:r>
        <w:rPr>
          <w:rFonts w:hint="eastAsia" w:ascii="宋体" w:hAnsi="宋体" w:cs="宋体"/>
          <w:bCs/>
          <w:color w:val="auto"/>
          <w:highlight w:val="none"/>
        </w:rPr>
        <w:t xml:space="preserve">    根据《中华人民共和国政府采购法》、《政府采购竞争性磋商采购方式管理暂行办法》等要求，遵循公开、公平、公正、科学、择优原则和诚实、信誉、效率的服务原则，制定本评审办法。</w:t>
      </w:r>
    </w:p>
    <w:p w14:paraId="529B77DE">
      <w:pPr>
        <w:pStyle w:val="6"/>
        <w:spacing w:before="0" w:after="0" w:line="380" w:lineRule="exact"/>
        <w:rPr>
          <w:rFonts w:ascii="宋体" w:hAnsi="宋体" w:eastAsia="宋体" w:cs="宋体"/>
          <w:color w:val="auto"/>
          <w:sz w:val="24"/>
          <w:szCs w:val="24"/>
          <w:highlight w:val="none"/>
        </w:rPr>
      </w:pPr>
      <w:bookmarkStart w:id="49" w:name="_Toc7141"/>
      <w:bookmarkEnd w:id="49"/>
      <w:bookmarkStart w:id="50" w:name="_Toc5294"/>
      <w:bookmarkEnd w:id="50"/>
      <w:bookmarkStart w:id="51" w:name="_Toc402872204"/>
      <w:bookmarkEnd w:id="51"/>
      <w:bookmarkStart w:id="52" w:name="_Toc282640741"/>
      <w:bookmarkEnd w:id="52"/>
      <w:bookmarkStart w:id="53" w:name="_Toc14739"/>
      <w:bookmarkEnd w:id="53"/>
      <w:r>
        <w:rPr>
          <w:rFonts w:hint="eastAsia" w:ascii="宋体" w:hAnsi="宋体" w:eastAsia="宋体" w:cs="宋体"/>
          <w:color w:val="auto"/>
          <w:sz w:val="24"/>
          <w:szCs w:val="24"/>
          <w:highlight w:val="none"/>
        </w:rPr>
        <w:t>一、拆封响应文件</w:t>
      </w:r>
    </w:p>
    <w:p w14:paraId="6CE215CE">
      <w:pPr>
        <w:snapToGrid w:val="0"/>
        <w:spacing w:line="380" w:lineRule="exact"/>
        <w:rPr>
          <w:rFonts w:ascii="宋体" w:hAnsi="宋体" w:cs="宋体"/>
          <w:bCs/>
          <w:color w:val="auto"/>
          <w:highlight w:val="none"/>
        </w:rPr>
      </w:pPr>
      <w:bookmarkStart w:id="54" w:name="_Toc414960372"/>
      <w:bookmarkEnd w:id="54"/>
      <w:bookmarkStart w:id="55" w:name="_Toc17280"/>
      <w:bookmarkEnd w:id="55"/>
      <w:bookmarkStart w:id="56" w:name="_Toc11975"/>
      <w:bookmarkEnd w:id="56"/>
      <w:r>
        <w:rPr>
          <w:rFonts w:hint="eastAsia" w:ascii="宋体" w:hAnsi="宋体" w:cs="宋体"/>
          <w:bCs/>
          <w:color w:val="auto"/>
          <w:highlight w:val="none"/>
        </w:rPr>
        <w:t xml:space="preserve">    1、采购代理机构按磋商文件规定的时间、地点收取磋商文件。迟到的响应文件予以拒收。</w:t>
      </w:r>
    </w:p>
    <w:p w14:paraId="5E2922AC">
      <w:pPr>
        <w:snapToGrid w:val="0"/>
        <w:spacing w:line="380" w:lineRule="exact"/>
        <w:rPr>
          <w:rFonts w:ascii="宋体" w:hAnsi="宋体" w:cs="宋体"/>
          <w:bCs/>
          <w:color w:val="auto"/>
          <w:highlight w:val="none"/>
        </w:rPr>
      </w:pPr>
      <w:bookmarkStart w:id="57" w:name="_Toc10552"/>
      <w:bookmarkEnd w:id="57"/>
      <w:bookmarkStart w:id="58" w:name="_Toc414960373"/>
      <w:bookmarkEnd w:id="58"/>
      <w:bookmarkStart w:id="59" w:name="_Toc20004"/>
      <w:bookmarkEnd w:id="59"/>
      <w:bookmarkStart w:id="60" w:name="_Toc282640743"/>
      <w:r>
        <w:rPr>
          <w:rFonts w:hint="eastAsia" w:ascii="宋体" w:hAnsi="宋体" w:cs="宋体"/>
          <w:bCs/>
          <w:color w:val="auto"/>
          <w:highlight w:val="none"/>
        </w:rPr>
        <w:t xml:space="preserve">    2、供应商法定代表人或法定代表人授权代表必须出席磋商会议。</w:t>
      </w:r>
    </w:p>
    <w:bookmarkEnd w:id="60"/>
    <w:p w14:paraId="7C142DF9">
      <w:pPr>
        <w:snapToGrid w:val="0"/>
        <w:spacing w:line="380" w:lineRule="exact"/>
        <w:rPr>
          <w:rFonts w:ascii="宋体" w:hAnsi="宋体" w:cs="宋体"/>
          <w:b/>
          <w:color w:val="auto"/>
          <w:highlight w:val="none"/>
        </w:rPr>
      </w:pPr>
      <w:bookmarkStart w:id="61" w:name="_Toc26000"/>
      <w:bookmarkEnd w:id="61"/>
      <w:bookmarkStart w:id="62" w:name="_Toc26233"/>
      <w:bookmarkEnd w:id="62"/>
      <w:bookmarkStart w:id="63" w:name="_Toc414960374"/>
      <w:bookmarkEnd w:id="63"/>
      <w:r>
        <w:rPr>
          <w:rFonts w:hint="eastAsia" w:ascii="宋体" w:hAnsi="宋体" w:cs="宋体"/>
          <w:bCs/>
          <w:color w:val="auto"/>
          <w:highlight w:val="none"/>
        </w:rPr>
        <w:t xml:space="preserve">    3、磋商开始时，供应商代表将查验响应文件密封情况，确认无误后由采购代理机构拆封响应文件。</w:t>
      </w:r>
    </w:p>
    <w:p w14:paraId="586CD489">
      <w:pPr>
        <w:pStyle w:val="6"/>
        <w:spacing w:before="0" w:after="0" w:line="380" w:lineRule="exact"/>
        <w:rPr>
          <w:rFonts w:ascii="宋体" w:hAnsi="宋体" w:eastAsia="宋体" w:cs="宋体"/>
          <w:color w:val="auto"/>
          <w:sz w:val="24"/>
          <w:szCs w:val="24"/>
          <w:highlight w:val="none"/>
        </w:rPr>
      </w:pPr>
      <w:bookmarkStart w:id="64" w:name="_Toc402872205"/>
      <w:bookmarkEnd w:id="64"/>
      <w:bookmarkStart w:id="65" w:name="_Toc27687"/>
      <w:bookmarkEnd w:id="65"/>
      <w:bookmarkStart w:id="66" w:name="_Toc10100"/>
      <w:bookmarkEnd w:id="66"/>
      <w:bookmarkStart w:id="67" w:name="_Toc21671"/>
      <w:bookmarkEnd w:id="67"/>
      <w:bookmarkStart w:id="68" w:name="_Toc282640744"/>
      <w:bookmarkEnd w:id="68"/>
      <w:r>
        <w:rPr>
          <w:rFonts w:hint="eastAsia" w:ascii="宋体" w:hAnsi="宋体" w:eastAsia="宋体" w:cs="宋体"/>
          <w:color w:val="auto"/>
          <w:sz w:val="24"/>
          <w:szCs w:val="24"/>
          <w:highlight w:val="none"/>
        </w:rPr>
        <w:t>二、磋商小组</w:t>
      </w:r>
    </w:p>
    <w:p w14:paraId="31BD70CD">
      <w:pPr>
        <w:autoSpaceDE w:val="0"/>
        <w:autoSpaceDN w:val="0"/>
        <w:adjustRightInd w:val="0"/>
        <w:snapToGrid w:val="0"/>
        <w:spacing w:line="380" w:lineRule="exact"/>
        <w:rPr>
          <w:rFonts w:ascii="宋体" w:hAnsi="宋体" w:cs="宋体"/>
          <w:bCs/>
          <w:color w:val="auto"/>
          <w:highlight w:val="none"/>
        </w:rPr>
      </w:pPr>
      <w:bookmarkStart w:id="69" w:name="_Toc282640745"/>
      <w:bookmarkEnd w:id="69"/>
      <w:bookmarkStart w:id="70" w:name="_Toc414960376"/>
      <w:bookmarkEnd w:id="70"/>
      <w:r>
        <w:rPr>
          <w:rFonts w:hint="eastAsia" w:ascii="宋体" w:hAnsi="宋体" w:cs="宋体"/>
          <w:bCs/>
          <w:color w:val="auto"/>
          <w:highlight w:val="none"/>
        </w:rPr>
        <w:t xml:space="preserve">    1、本项目磋商小组依法由3人（含）以上奇数的人员组成，磋商小组对响应文件进行审查、质疑、评估和比较。</w:t>
      </w:r>
    </w:p>
    <w:p w14:paraId="73656B69">
      <w:pPr>
        <w:autoSpaceDE w:val="0"/>
        <w:autoSpaceDN w:val="0"/>
        <w:adjustRightInd w:val="0"/>
        <w:snapToGrid w:val="0"/>
        <w:spacing w:line="380" w:lineRule="exact"/>
        <w:rPr>
          <w:rFonts w:ascii="宋体" w:hAnsi="宋体" w:cs="宋体"/>
          <w:bCs/>
          <w:color w:val="auto"/>
          <w:highlight w:val="none"/>
        </w:rPr>
      </w:pPr>
      <w:bookmarkStart w:id="71" w:name="_Toc414960377"/>
      <w:bookmarkEnd w:id="71"/>
      <w:r>
        <w:rPr>
          <w:rFonts w:hint="eastAsia" w:ascii="宋体" w:hAnsi="宋体" w:cs="宋体"/>
          <w:bCs/>
          <w:color w:val="auto"/>
          <w:highlight w:val="none"/>
        </w:rPr>
        <w:t xml:space="preserve">    2、磋商期间，供应商法人代表或授权委托人必须在场，负责解答有关事宜。</w:t>
      </w:r>
    </w:p>
    <w:p w14:paraId="68B6AC4D">
      <w:pPr>
        <w:autoSpaceDE w:val="0"/>
        <w:autoSpaceDN w:val="0"/>
        <w:adjustRightInd w:val="0"/>
        <w:snapToGrid w:val="0"/>
        <w:spacing w:line="380" w:lineRule="exact"/>
        <w:rPr>
          <w:rFonts w:ascii="宋体" w:hAnsi="宋体" w:cs="宋体"/>
          <w:bCs/>
          <w:color w:val="auto"/>
          <w:highlight w:val="none"/>
        </w:rPr>
      </w:pPr>
      <w:r>
        <w:rPr>
          <w:rFonts w:hint="eastAsia" w:ascii="宋体" w:hAnsi="宋体" w:cs="宋体"/>
          <w:bCs/>
          <w:color w:val="auto"/>
          <w:highlight w:val="none"/>
        </w:rPr>
        <w:t xml:space="preserve">    3、磋商过程应严格保密，磋商小组及有关工作人员应严格遵守纪律，不得泄露任何磋商信息。</w:t>
      </w:r>
    </w:p>
    <w:p w14:paraId="7B55E312">
      <w:pPr>
        <w:pStyle w:val="6"/>
        <w:spacing w:before="0" w:after="0" w:line="380" w:lineRule="exact"/>
        <w:rPr>
          <w:rFonts w:ascii="宋体" w:hAnsi="宋体" w:eastAsia="宋体" w:cs="宋体"/>
          <w:color w:val="auto"/>
          <w:sz w:val="24"/>
          <w:szCs w:val="24"/>
          <w:highlight w:val="none"/>
        </w:rPr>
      </w:pPr>
      <w:bookmarkStart w:id="72" w:name="_Toc11955"/>
      <w:bookmarkEnd w:id="72"/>
      <w:bookmarkStart w:id="73" w:name="_Toc402872206"/>
      <w:bookmarkEnd w:id="73"/>
      <w:bookmarkStart w:id="74" w:name="_Toc1211"/>
      <w:bookmarkEnd w:id="74"/>
      <w:bookmarkStart w:id="75" w:name="_Toc20285"/>
      <w:bookmarkEnd w:id="75"/>
      <w:r>
        <w:rPr>
          <w:rFonts w:hint="eastAsia" w:ascii="宋体" w:hAnsi="宋体" w:eastAsia="宋体" w:cs="宋体"/>
          <w:color w:val="auto"/>
          <w:sz w:val="24"/>
          <w:szCs w:val="24"/>
          <w:highlight w:val="none"/>
        </w:rPr>
        <w:t>三、竞争性磋商原则与方法</w:t>
      </w:r>
    </w:p>
    <w:p w14:paraId="054C8515">
      <w:pPr>
        <w:autoSpaceDE w:val="0"/>
        <w:autoSpaceDN w:val="0"/>
        <w:adjustRightInd w:val="0"/>
        <w:snapToGrid w:val="0"/>
        <w:spacing w:line="380" w:lineRule="exact"/>
        <w:rPr>
          <w:rFonts w:ascii="宋体" w:hAnsi="宋体" w:cs="宋体"/>
          <w:bCs/>
          <w:color w:val="auto"/>
          <w:highlight w:val="none"/>
        </w:rPr>
      </w:pPr>
      <w:r>
        <w:rPr>
          <w:rFonts w:hint="eastAsia" w:ascii="宋体" w:hAnsi="宋体" w:cs="宋体"/>
          <w:bCs/>
          <w:color w:val="auto"/>
          <w:highlight w:val="none"/>
        </w:rPr>
        <w:t xml:space="preserve">    1、磋商小组将遵循公开、公平、公正的原则，对供应商提供工程、货物或服务的价格、技术性能、工期、安装实施方案、售后服务、培训计划、公司基本情况、履约能力等进行综合分析考评。</w:t>
      </w:r>
    </w:p>
    <w:p w14:paraId="2E61D59D">
      <w:pPr>
        <w:autoSpaceDE w:val="0"/>
        <w:autoSpaceDN w:val="0"/>
        <w:adjustRightInd w:val="0"/>
        <w:snapToGrid w:val="0"/>
        <w:spacing w:line="380" w:lineRule="exact"/>
        <w:rPr>
          <w:rFonts w:ascii="宋体" w:hAnsi="宋体" w:cs="宋体"/>
          <w:bCs/>
          <w:color w:val="auto"/>
          <w:highlight w:val="none"/>
        </w:rPr>
      </w:pPr>
      <w:r>
        <w:rPr>
          <w:rFonts w:hint="eastAsia" w:ascii="宋体" w:hAnsi="宋体" w:cs="宋体"/>
          <w:bCs/>
          <w:color w:val="auto"/>
          <w:highlight w:val="none"/>
        </w:rPr>
        <w:t xml:space="preserve">    2、磋商小组应客观、公正的对待所有供应商，对所有响应文件评价，均采用相同的程序和标准。</w:t>
      </w:r>
    </w:p>
    <w:p w14:paraId="76A2AB33">
      <w:pPr>
        <w:autoSpaceDE w:val="0"/>
        <w:autoSpaceDN w:val="0"/>
        <w:adjustRightInd w:val="0"/>
        <w:snapToGrid w:val="0"/>
        <w:spacing w:line="380" w:lineRule="exact"/>
        <w:rPr>
          <w:rFonts w:ascii="宋体" w:hAnsi="宋体" w:cs="宋体"/>
          <w:bCs/>
          <w:color w:val="auto"/>
          <w:highlight w:val="none"/>
        </w:rPr>
      </w:pPr>
      <w:r>
        <w:rPr>
          <w:rFonts w:hint="eastAsia" w:ascii="宋体" w:hAnsi="宋体" w:cs="宋体"/>
          <w:bCs/>
          <w:color w:val="auto"/>
          <w:highlight w:val="none"/>
        </w:rPr>
        <w:t xml:space="preserve">    3、在磋商期间，供应商不得向磋商小组成员询问磋商情况，不得进行旨在影响磋商结果的活动，否则将废除其磋商资格。</w:t>
      </w:r>
    </w:p>
    <w:p w14:paraId="6D7DCE4D">
      <w:pPr>
        <w:autoSpaceDE w:val="0"/>
        <w:autoSpaceDN w:val="0"/>
        <w:adjustRightInd w:val="0"/>
        <w:snapToGrid w:val="0"/>
        <w:spacing w:line="380" w:lineRule="exact"/>
        <w:rPr>
          <w:rFonts w:ascii="宋体" w:hAnsi="宋体" w:cs="宋体"/>
          <w:bCs/>
          <w:color w:val="auto"/>
          <w:highlight w:val="none"/>
        </w:rPr>
      </w:pPr>
      <w:r>
        <w:rPr>
          <w:rFonts w:hint="eastAsia" w:ascii="宋体" w:hAnsi="宋体" w:cs="宋体"/>
          <w:bCs/>
          <w:color w:val="auto"/>
          <w:highlight w:val="none"/>
        </w:rPr>
        <w:t xml:space="preserve">    4、在磋商过程中，磋商小组成员不得与供应商私下交换意见，在竞争性磋商工作结束后，凡与磋商情况有接触的人不得将磋商情况扩散出磋商小组成员之外。</w:t>
      </w:r>
    </w:p>
    <w:p w14:paraId="43D948FB">
      <w:pPr>
        <w:autoSpaceDE w:val="0"/>
        <w:autoSpaceDN w:val="0"/>
        <w:adjustRightInd w:val="0"/>
        <w:snapToGrid w:val="0"/>
        <w:spacing w:line="380" w:lineRule="exact"/>
        <w:rPr>
          <w:rFonts w:ascii="宋体" w:hAnsi="宋体" w:cs="宋体"/>
          <w:bCs/>
          <w:color w:val="auto"/>
          <w:highlight w:val="none"/>
        </w:rPr>
      </w:pPr>
      <w:r>
        <w:rPr>
          <w:rFonts w:hint="eastAsia" w:ascii="宋体" w:hAnsi="宋体" w:cs="宋体"/>
          <w:bCs/>
          <w:color w:val="auto"/>
          <w:highlight w:val="none"/>
        </w:rPr>
        <w:t xml:space="preserve">    5、采购人不向未成交供应商解释未成交原因，不退还响应文件。</w:t>
      </w:r>
    </w:p>
    <w:p w14:paraId="1D121B55">
      <w:pPr>
        <w:pStyle w:val="6"/>
        <w:spacing w:before="0" w:after="0" w:line="380" w:lineRule="exact"/>
        <w:rPr>
          <w:rFonts w:ascii="宋体" w:hAnsi="宋体" w:eastAsia="宋体" w:cs="宋体"/>
          <w:color w:val="auto"/>
          <w:sz w:val="24"/>
          <w:szCs w:val="24"/>
          <w:highlight w:val="none"/>
        </w:rPr>
      </w:pPr>
      <w:bookmarkStart w:id="76" w:name="_Toc32595"/>
      <w:bookmarkEnd w:id="76"/>
      <w:bookmarkStart w:id="77" w:name="_Toc282640747"/>
      <w:bookmarkEnd w:id="77"/>
      <w:bookmarkStart w:id="78" w:name="_Toc402872207"/>
      <w:bookmarkEnd w:id="78"/>
      <w:bookmarkStart w:id="79" w:name="_Toc15794"/>
      <w:bookmarkEnd w:id="79"/>
      <w:bookmarkStart w:id="80" w:name="_Toc26822"/>
      <w:bookmarkEnd w:id="80"/>
      <w:r>
        <w:rPr>
          <w:rFonts w:hint="eastAsia" w:ascii="宋体" w:hAnsi="宋体" w:eastAsia="宋体" w:cs="宋体"/>
          <w:color w:val="auto"/>
          <w:sz w:val="24"/>
          <w:szCs w:val="24"/>
          <w:highlight w:val="none"/>
        </w:rPr>
        <w:t>四、磋商程序</w:t>
      </w:r>
    </w:p>
    <w:p w14:paraId="23310DBA">
      <w:pPr>
        <w:autoSpaceDE w:val="0"/>
        <w:autoSpaceDN w:val="0"/>
        <w:adjustRightInd w:val="0"/>
        <w:snapToGrid w:val="0"/>
        <w:spacing w:line="380" w:lineRule="exact"/>
        <w:rPr>
          <w:rFonts w:ascii="宋体" w:hAnsi="宋体" w:cs="宋体"/>
          <w:bCs/>
          <w:color w:val="auto"/>
          <w:highlight w:val="none"/>
        </w:rPr>
      </w:pPr>
      <w:r>
        <w:rPr>
          <w:rFonts w:hint="eastAsia" w:ascii="宋体" w:hAnsi="宋体" w:cs="宋体"/>
          <w:bCs/>
          <w:color w:val="auto"/>
          <w:highlight w:val="none"/>
        </w:rPr>
        <w:t xml:space="preserve">    1、采购人和采购代理机构依法对供应商的资格进行审查。</w:t>
      </w:r>
    </w:p>
    <w:p w14:paraId="1424CB70">
      <w:pPr>
        <w:autoSpaceDE w:val="0"/>
        <w:autoSpaceDN w:val="0"/>
        <w:adjustRightInd w:val="0"/>
        <w:snapToGrid w:val="0"/>
        <w:spacing w:line="380" w:lineRule="exact"/>
        <w:rPr>
          <w:rFonts w:ascii="宋体" w:hAnsi="宋体" w:cs="宋体"/>
          <w:bCs/>
          <w:color w:val="auto"/>
          <w:highlight w:val="none"/>
        </w:rPr>
      </w:pPr>
      <w:r>
        <w:rPr>
          <w:rFonts w:hint="eastAsia" w:ascii="宋体" w:hAnsi="宋体" w:cs="宋体"/>
          <w:bCs/>
          <w:color w:val="auto"/>
          <w:highlight w:val="none"/>
        </w:rPr>
        <w:t xml:space="preserve">    2、磋商小组审核磋商响应文件。</w:t>
      </w:r>
    </w:p>
    <w:p w14:paraId="454770AD">
      <w:pPr>
        <w:autoSpaceDE w:val="0"/>
        <w:autoSpaceDN w:val="0"/>
        <w:adjustRightInd w:val="0"/>
        <w:snapToGrid w:val="0"/>
        <w:spacing w:line="380" w:lineRule="exact"/>
        <w:rPr>
          <w:rFonts w:ascii="宋体" w:hAnsi="宋体" w:cs="宋体"/>
          <w:bCs/>
          <w:color w:val="auto"/>
          <w:highlight w:val="none"/>
        </w:rPr>
      </w:pPr>
      <w:r>
        <w:rPr>
          <w:rFonts w:hint="eastAsia" w:ascii="宋体" w:hAnsi="宋体" w:cs="宋体"/>
          <w:bCs/>
          <w:color w:val="auto"/>
          <w:highlight w:val="none"/>
        </w:rPr>
        <w:t xml:space="preserve">    磋商小组按照商务、技术逐项审核响应文件。</w:t>
      </w:r>
    </w:p>
    <w:p w14:paraId="40720051">
      <w:pPr>
        <w:autoSpaceDE w:val="0"/>
        <w:autoSpaceDN w:val="0"/>
        <w:adjustRightInd w:val="0"/>
        <w:snapToGrid w:val="0"/>
        <w:spacing w:line="380" w:lineRule="exact"/>
        <w:rPr>
          <w:rFonts w:ascii="宋体" w:hAnsi="宋体" w:cs="宋体"/>
          <w:bCs/>
          <w:color w:val="auto"/>
          <w:highlight w:val="none"/>
        </w:rPr>
      </w:pPr>
      <w:r>
        <w:rPr>
          <w:rFonts w:hint="eastAsia" w:ascii="宋体" w:hAnsi="宋体" w:cs="宋体"/>
          <w:bCs/>
          <w:color w:val="auto"/>
          <w:highlight w:val="none"/>
        </w:rPr>
        <w:t xml:space="preserve">    依据竞争性磋商文件的规定，从磋商响应文件的有效性、完整性和对竞争性磋商文件的响应程度进行审查，以确定供应商是否对磋商文件的实质性要求作出响应。</w:t>
      </w:r>
    </w:p>
    <w:p w14:paraId="11A6EE88">
      <w:pPr>
        <w:autoSpaceDE w:val="0"/>
        <w:autoSpaceDN w:val="0"/>
        <w:adjustRightInd w:val="0"/>
        <w:snapToGrid w:val="0"/>
        <w:spacing w:line="380" w:lineRule="exact"/>
        <w:rPr>
          <w:rFonts w:ascii="宋体" w:hAnsi="宋体" w:cs="宋体"/>
          <w:bCs/>
          <w:color w:val="auto"/>
          <w:highlight w:val="none"/>
        </w:rPr>
      </w:pPr>
      <w:r>
        <w:rPr>
          <w:rFonts w:hint="eastAsia" w:ascii="宋体" w:hAnsi="宋体" w:cs="宋体"/>
          <w:bCs/>
          <w:color w:val="auto"/>
          <w:highlight w:val="none"/>
        </w:rPr>
        <w:t xml:space="preserve">    3、磋商顺序和方法</w:t>
      </w:r>
    </w:p>
    <w:p w14:paraId="5670956A">
      <w:pPr>
        <w:autoSpaceDE w:val="0"/>
        <w:autoSpaceDN w:val="0"/>
        <w:adjustRightInd w:val="0"/>
        <w:snapToGrid w:val="0"/>
        <w:spacing w:line="380" w:lineRule="exact"/>
        <w:rPr>
          <w:rFonts w:ascii="宋体" w:hAnsi="宋体" w:cs="宋体"/>
          <w:bCs/>
          <w:color w:val="auto"/>
          <w:highlight w:val="none"/>
        </w:rPr>
      </w:pPr>
      <w:r>
        <w:rPr>
          <w:rFonts w:hint="eastAsia" w:ascii="宋体" w:hAnsi="宋体" w:cs="宋体"/>
          <w:bCs/>
          <w:color w:val="auto"/>
          <w:highlight w:val="none"/>
        </w:rPr>
        <w:t xml:space="preserve">    3.1磋商的顺序，按供应商签到的逆时间顺序进行。</w:t>
      </w:r>
    </w:p>
    <w:p w14:paraId="3E6946AD">
      <w:pPr>
        <w:autoSpaceDE w:val="0"/>
        <w:autoSpaceDN w:val="0"/>
        <w:adjustRightInd w:val="0"/>
        <w:snapToGrid w:val="0"/>
        <w:spacing w:line="380" w:lineRule="exact"/>
        <w:rPr>
          <w:rFonts w:ascii="宋体" w:hAnsi="宋体" w:cs="宋体"/>
          <w:bCs/>
          <w:color w:val="auto"/>
          <w:highlight w:val="none"/>
        </w:rPr>
      </w:pPr>
      <w:r>
        <w:rPr>
          <w:rFonts w:hint="eastAsia" w:ascii="宋体" w:hAnsi="宋体" w:cs="宋体"/>
          <w:bCs/>
          <w:color w:val="auto"/>
          <w:highlight w:val="none"/>
        </w:rPr>
        <w:t xml:space="preserve">    3.2开展磋商，按磋商项目内容与各供应商进行2轮磋商。</w:t>
      </w:r>
    </w:p>
    <w:p w14:paraId="63D42406">
      <w:pPr>
        <w:autoSpaceDE w:val="0"/>
        <w:autoSpaceDN w:val="0"/>
        <w:adjustRightInd w:val="0"/>
        <w:snapToGrid w:val="0"/>
        <w:spacing w:line="380" w:lineRule="exact"/>
        <w:rPr>
          <w:rFonts w:ascii="宋体" w:hAnsi="宋体" w:cs="宋体"/>
          <w:bCs/>
          <w:color w:val="auto"/>
          <w:highlight w:val="none"/>
        </w:rPr>
      </w:pPr>
      <w:r>
        <w:rPr>
          <w:rFonts w:hint="eastAsia" w:ascii="宋体" w:hAnsi="宋体" w:cs="宋体"/>
          <w:bCs/>
          <w:color w:val="auto"/>
          <w:highlight w:val="none"/>
        </w:rPr>
        <w:t xml:space="preserve">    3.3磋商小组所有成员集中与单一供应商（</w:t>
      </w:r>
      <w:r>
        <w:rPr>
          <w:rFonts w:hint="eastAsia" w:ascii="宋体" w:hAnsi="宋体" w:cs="宋体"/>
          <w:b/>
          <w:bCs/>
          <w:color w:val="auto"/>
          <w:highlight w:val="none"/>
        </w:rPr>
        <w:t>供应商法定代表人或法定代表人授权代表必须在场，否则，取消其磋商资格</w:t>
      </w:r>
      <w:r>
        <w:rPr>
          <w:rFonts w:hint="eastAsia" w:ascii="宋体" w:hAnsi="宋体" w:cs="宋体"/>
          <w:bCs/>
          <w:color w:val="auto"/>
          <w:highlight w:val="none"/>
        </w:rPr>
        <w:t>）分别进行磋商。磋商的内容可能涉及服务要求、价格、售后服务、合同草案，采购人的权利和义务、履约期限和方式、资金支付要求、验收标准等。供应商所作的重要答复均应补充以书面形式，并经法定代表人或授权代表签署，作为响应文件的一部分，对供应商有约束力。在磋商中，磋商的任何一方不得透露与磋商有关的其他供应商的技术资料、价格和其他信息。第一次报价不公开。</w:t>
      </w:r>
    </w:p>
    <w:p w14:paraId="54E5615F">
      <w:pPr>
        <w:autoSpaceDE w:val="0"/>
        <w:autoSpaceDN w:val="0"/>
        <w:adjustRightInd w:val="0"/>
        <w:snapToGrid w:val="0"/>
        <w:spacing w:line="380" w:lineRule="exact"/>
        <w:rPr>
          <w:rFonts w:ascii="宋体" w:hAnsi="宋体" w:cs="宋体"/>
          <w:bCs/>
          <w:color w:val="auto"/>
          <w:highlight w:val="none"/>
        </w:rPr>
      </w:pPr>
      <w:r>
        <w:rPr>
          <w:rFonts w:hint="eastAsia" w:ascii="宋体" w:hAnsi="宋体" w:cs="宋体"/>
          <w:bCs/>
          <w:color w:val="auto"/>
          <w:highlight w:val="none"/>
        </w:rPr>
        <w:t xml:space="preserve">    3.4为了更好地实现采购目标，磋商小组可以修改竞争性磋商文件，对采购需求、合同草案作出实质性变动，并以书面形式通知所有参加磋商的供应商。供应商收到修改采购文件的通知后，可以决定是否继续参加磋商活动。</w:t>
      </w:r>
    </w:p>
    <w:p w14:paraId="7993B012">
      <w:pPr>
        <w:autoSpaceDE w:val="0"/>
        <w:autoSpaceDN w:val="0"/>
        <w:adjustRightInd w:val="0"/>
        <w:snapToGrid w:val="0"/>
        <w:spacing w:line="380" w:lineRule="exact"/>
        <w:rPr>
          <w:rFonts w:ascii="宋体" w:hAnsi="宋体" w:cs="宋体"/>
          <w:bCs/>
          <w:color w:val="auto"/>
          <w:highlight w:val="none"/>
        </w:rPr>
      </w:pPr>
      <w:r>
        <w:rPr>
          <w:rFonts w:hint="eastAsia" w:ascii="宋体" w:hAnsi="宋体" w:cs="宋体"/>
          <w:bCs/>
          <w:color w:val="auto"/>
          <w:highlight w:val="none"/>
        </w:rPr>
        <w:t xml:space="preserve">    3.5供应商应当按照磋商文件的变动情况和磋商小组的要求重新提交响应文件，并由其法定代表人或授权代表签字或者加盖公章。</w:t>
      </w:r>
    </w:p>
    <w:p w14:paraId="646F8E57">
      <w:pPr>
        <w:autoSpaceDE w:val="0"/>
        <w:autoSpaceDN w:val="0"/>
        <w:adjustRightInd w:val="0"/>
        <w:snapToGrid w:val="0"/>
        <w:spacing w:line="380" w:lineRule="exact"/>
        <w:rPr>
          <w:rFonts w:ascii="宋体" w:hAnsi="宋体" w:cs="宋体"/>
          <w:bCs/>
          <w:color w:val="auto"/>
          <w:highlight w:val="none"/>
        </w:rPr>
      </w:pPr>
      <w:r>
        <w:rPr>
          <w:rFonts w:hint="eastAsia" w:ascii="宋体" w:hAnsi="宋体" w:cs="宋体"/>
          <w:bCs/>
          <w:color w:val="auto"/>
          <w:highlight w:val="none"/>
        </w:rPr>
        <w:t xml:space="preserve">    4、磋商小组汇总并讨论审核情况，确定供应商是否继续进行磋商。</w:t>
      </w:r>
    </w:p>
    <w:p w14:paraId="7E9A6471">
      <w:pPr>
        <w:autoSpaceDE w:val="0"/>
        <w:autoSpaceDN w:val="0"/>
        <w:adjustRightInd w:val="0"/>
        <w:snapToGrid w:val="0"/>
        <w:spacing w:line="380" w:lineRule="exact"/>
        <w:rPr>
          <w:rFonts w:ascii="宋体" w:hAnsi="宋体" w:cs="宋体"/>
          <w:bCs/>
          <w:color w:val="auto"/>
          <w:highlight w:val="none"/>
        </w:rPr>
      </w:pPr>
      <w:r>
        <w:rPr>
          <w:rFonts w:hint="eastAsia" w:ascii="宋体" w:hAnsi="宋体" w:cs="宋体"/>
          <w:bCs/>
          <w:color w:val="auto"/>
          <w:highlight w:val="none"/>
        </w:rPr>
        <w:t xml:space="preserve">    5、磋商小组在磋商结束后，要求所有继续参加磋商的供应商在规定时间内提交最后报价。超过规定时间提交的报价作无效处理。</w:t>
      </w:r>
    </w:p>
    <w:p w14:paraId="598A060F">
      <w:pPr>
        <w:autoSpaceDE w:val="0"/>
        <w:autoSpaceDN w:val="0"/>
        <w:adjustRightInd w:val="0"/>
        <w:snapToGrid w:val="0"/>
        <w:spacing w:line="380" w:lineRule="exact"/>
        <w:rPr>
          <w:rFonts w:ascii="宋体" w:hAnsi="宋体" w:cs="宋体"/>
          <w:bCs/>
          <w:color w:val="auto"/>
          <w:highlight w:val="none"/>
        </w:rPr>
      </w:pPr>
      <w:r>
        <w:rPr>
          <w:rFonts w:hint="eastAsia" w:ascii="宋体" w:hAnsi="宋体" w:cs="宋体"/>
          <w:bCs/>
          <w:color w:val="auto"/>
          <w:highlight w:val="none"/>
        </w:rPr>
        <w:t xml:space="preserve">    6、已提交响应文件的供应商，在提交最后报价之前，可以根据磋商情况退出磋商。</w:t>
      </w:r>
    </w:p>
    <w:p w14:paraId="67715549">
      <w:pPr>
        <w:pStyle w:val="6"/>
        <w:spacing w:before="0" w:after="0" w:line="380" w:lineRule="exact"/>
        <w:rPr>
          <w:rFonts w:ascii="宋体" w:hAnsi="宋体" w:eastAsia="宋体" w:cs="宋体"/>
          <w:color w:val="auto"/>
          <w:sz w:val="24"/>
          <w:szCs w:val="24"/>
          <w:highlight w:val="none"/>
        </w:rPr>
      </w:pPr>
      <w:bookmarkStart w:id="81" w:name="_Toc402872208"/>
      <w:bookmarkEnd w:id="81"/>
      <w:bookmarkStart w:id="82" w:name="_Toc30295"/>
      <w:bookmarkEnd w:id="82"/>
      <w:bookmarkStart w:id="83" w:name="_Toc282640735"/>
      <w:bookmarkEnd w:id="83"/>
      <w:bookmarkStart w:id="84" w:name="_Toc16129"/>
      <w:bookmarkEnd w:id="84"/>
      <w:bookmarkStart w:id="85" w:name="_Toc8792"/>
      <w:bookmarkEnd w:id="85"/>
      <w:r>
        <w:rPr>
          <w:rFonts w:hint="eastAsia" w:ascii="宋体" w:hAnsi="宋体" w:eastAsia="宋体" w:cs="宋体"/>
          <w:color w:val="auto"/>
          <w:sz w:val="24"/>
          <w:szCs w:val="24"/>
          <w:highlight w:val="none"/>
        </w:rPr>
        <w:t>五、磋商文件的澄清</w:t>
      </w:r>
    </w:p>
    <w:p w14:paraId="4DFEEEB2">
      <w:pPr>
        <w:autoSpaceDE w:val="0"/>
        <w:autoSpaceDN w:val="0"/>
        <w:adjustRightInd w:val="0"/>
        <w:snapToGrid w:val="0"/>
        <w:spacing w:line="380" w:lineRule="exact"/>
        <w:rPr>
          <w:rFonts w:ascii="宋体" w:hAnsi="宋体" w:cs="宋体"/>
          <w:bCs/>
          <w:color w:val="auto"/>
          <w:highlight w:val="none"/>
        </w:rPr>
      </w:pPr>
      <w:r>
        <w:rPr>
          <w:rFonts w:hint="eastAsia" w:ascii="宋体" w:hAnsi="宋体" w:cs="宋体"/>
          <w:bCs/>
          <w:color w:val="auto"/>
          <w:highlight w:val="none"/>
        </w:rPr>
        <w:t xml:space="preserve">    1、供应商对磋商文件如有疑义的，应在规定的答疑时间内以书面形式告知采购人，以便及时对磋商文件作出澄清。</w:t>
      </w:r>
    </w:p>
    <w:p w14:paraId="2999F50C">
      <w:pPr>
        <w:autoSpaceDE w:val="0"/>
        <w:autoSpaceDN w:val="0"/>
        <w:adjustRightInd w:val="0"/>
        <w:snapToGrid w:val="0"/>
        <w:spacing w:line="380" w:lineRule="exact"/>
        <w:rPr>
          <w:rFonts w:ascii="宋体" w:hAnsi="宋体" w:cs="宋体"/>
          <w:bCs/>
          <w:color w:val="auto"/>
          <w:highlight w:val="none"/>
        </w:rPr>
      </w:pPr>
      <w:r>
        <w:rPr>
          <w:rFonts w:hint="eastAsia" w:ascii="宋体" w:hAnsi="宋体" w:cs="宋体"/>
          <w:bCs/>
          <w:color w:val="auto"/>
          <w:highlight w:val="none"/>
        </w:rPr>
        <w:t xml:space="preserve">    2、在磋商期间，磋商小组有权要求供应商对其提交的文件资料进行澄清。供应商应派授权代表和有关专业人员接受询问，并对有关内容进行澄清。</w:t>
      </w:r>
    </w:p>
    <w:p w14:paraId="51698FDF">
      <w:pPr>
        <w:autoSpaceDE w:val="0"/>
        <w:autoSpaceDN w:val="0"/>
        <w:adjustRightInd w:val="0"/>
        <w:snapToGrid w:val="0"/>
        <w:spacing w:line="380" w:lineRule="exact"/>
        <w:rPr>
          <w:rFonts w:ascii="宋体" w:hAnsi="宋体" w:cs="宋体"/>
          <w:bCs/>
          <w:color w:val="auto"/>
          <w:highlight w:val="none"/>
        </w:rPr>
      </w:pPr>
      <w:r>
        <w:rPr>
          <w:rFonts w:hint="eastAsia" w:ascii="宋体" w:hAnsi="宋体" w:cs="宋体"/>
          <w:bCs/>
          <w:color w:val="auto"/>
          <w:highlight w:val="none"/>
        </w:rPr>
        <w:t xml:space="preserve">    3、对在澄清中涉及到的商业秘密，磋商小组成员及参加磋商的有关工作人员负有保密责任。</w:t>
      </w:r>
    </w:p>
    <w:p w14:paraId="1CD15AA1">
      <w:pPr>
        <w:autoSpaceDE w:val="0"/>
        <w:autoSpaceDN w:val="0"/>
        <w:adjustRightInd w:val="0"/>
        <w:snapToGrid w:val="0"/>
        <w:spacing w:line="380" w:lineRule="exact"/>
        <w:rPr>
          <w:rFonts w:ascii="宋体" w:hAnsi="宋体" w:cs="宋体"/>
          <w:bCs/>
          <w:color w:val="auto"/>
          <w:highlight w:val="none"/>
        </w:rPr>
      </w:pPr>
      <w:r>
        <w:rPr>
          <w:rFonts w:hint="eastAsia" w:ascii="宋体" w:hAnsi="宋体" w:cs="宋体"/>
          <w:bCs/>
          <w:color w:val="auto"/>
          <w:highlight w:val="none"/>
        </w:rPr>
        <w:t xml:space="preserve">    4、磋商小组以书面形式对磋商文件作出的修改或补充，与磋商文件具有同等法律效力。</w:t>
      </w:r>
    </w:p>
    <w:p w14:paraId="11362407">
      <w:pPr>
        <w:pStyle w:val="6"/>
        <w:spacing w:before="0" w:after="0" w:line="380" w:lineRule="exact"/>
        <w:rPr>
          <w:rFonts w:ascii="宋体" w:hAnsi="宋体" w:eastAsia="宋体" w:cs="宋体"/>
          <w:color w:val="auto"/>
          <w:sz w:val="24"/>
          <w:szCs w:val="24"/>
          <w:highlight w:val="none"/>
        </w:rPr>
      </w:pPr>
      <w:bookmarkStart w:id="86" w:name="_Toc402872209"/>
      <w:bookmarkEnd w:id="86"/>
      <w:bookmarkStart w:id="87" w:name="_Toc14189"/>
      <w:bookmarkEnd w:id="87"/>
      <w:bookmarkStart w:id="88" w:name="_Toc24587"/>
      <w:bookmarkEnd w:id="88"/>
      <w:bookmarkStart w:id="89" w:name="_Toc16835"/>
      <w:bookmarkEnd w:id="89"/>
      <w:r>
        <w:rPr>
          <w:rFonts w:hint="eastAsia" w:ascii="宋体" w:hAnsi="宋体" w:eastAsia="宋体" w:cs="宋体"/>
          <w:color w:val="auto"/>
          <w:sz w:val="24"/>
          <w:szCs w:val="24"/>
          <w:highlight w:val="none"/>
        </w:rPr>
        <w:t>六、确定供应商办法</w:t>
      </w:r>
    </w:p>
    <w:p w14:paraId="4D09C4C3">
      <w:pPr>
        <w:autoSpaceDE w:val="0"/>
        <w:autoSpaceDN w:val="0"/>
        <w:adjustRightInd w:val="0"/>
        <w:snapToGrid w:val="0"/>
        <w:spacing w:line="380" w:lineRule="exact"/>
        <w:rPr>
          <w:rFonts w:ascii="宋体" w:hAnsi="宋体" w:cs="宋体"/>
          <w:bCs/>
          <w:color w:val="auto"/>
          <w:highlight w:val="none"/>
        </w:rPr>
      </w:pPr>
      <w:bookmarkStart w:id="90" w:name="_Toc389216170"/>
      <w:bookmarkStart w:id="91" w:name="_Toc402872210"/>
      <w:bookmarkStart w:id="92" w:name="_Toc282640748"/>
      <w:r>
        <w:rPr>
          <w:rFonts w:hint="eastAsia" w:ascii="宋体" w:hAnsi="宋体" w:cs="宋体"/>
          <w:bCs/>
          <w:color w:val="auto"/>
          <w:highlight w:val="none"/>
        </w:rPr>
        <w:t xml:space="preserve">    本项目由采购人授权磋商小组直接确定成交供应商。</w:t>
      </w:r>
    </w:p>
    <w:p w14:paraId="1D01CE74">
      <w:pPr>
        <w:autoSpaceDE w:val="0"/>
        <w:autoSpaceDN w:val="0"/>
        <w:adjustRightInd w:val="0"/>
        <w:snapToGrid w:val="0"/>
        <w:spacing w:line="380" w:lineRule="exact"/>
        <w:rPr>
          <w:rFonts w:ascii="宋体" w:hAnsi="宋体" w:cs="宋体"/>
          <w:bCs/>
          <w:color w:val="auto"/>
          <w:highlight w:val="none"/>
        </w:rPr>
      </w:pPr>
      <w:r>
        <w:rPr>
          <w:rFonts w:hint="eastAsia" w:ascii="宋体" w:hAnsi="宋体" w:cs="宋体"/>
          <w:bCs/>
          <w:color w:val="auto"/>
          <w:highlight w:val="none"/>
        </w:rPr>
        <w:t xml:space="preserve">    本次评审采用综合评分法，即按照在质量和服务均能满足竞争性磋商文件实质性要求且综合得分由高到低的原则确定成交供应商。</w:t>
      </w:r>
    </w:p>
    <w:p w14:paraId="368AB711">
      <w:pPr>
        <w:autoSpaceDE w:val="0"/>
        <w:autoSpaceDN w:val="0"/>
        <w:adjustRightInd w:val="0"/>
        <w:snapToGrid w:val="0"/>
        <w:spacing w:line="380" w:lineRule="exact"/>
        <w:rPr>
          <w:rFonts w:ascii="宋体" w:hAnsi="宋体" w:cs="宋体"/>
          <w:bCs/>
          <w:color w:val="auto"/>
          <w:highlight w:val="none"/>
        </w:rPr>
      </w:pPr>
      <w:r>
        <w:rPr>
          <w:rFonts w:hint="eastAsia" w:ascii="宋体" w:hAnsi="宋体" w:cs="宋体"/>
          <w:bCs/>
          <w:color w:val="auto"/>
          <w:highlight w:val="none"/>
        </w:rPr>
        <w:t xml:space="preserve">    磋商结束后，磋商小组拟制评审报告。</w:t>
      </w:r>
    </w:p>
    <w:p w14:paraId="36064F48">
      <w:pPr>
        <w:autoSpaceDE w:val="0"/>
        <w:autoSpaceDN w:val="0"/>
        <w:adjustRightInd w:val="0"/>
        <w:snapToGrid w:val="0"/>
        <w:spacing w:line="380" w:lineRule="exact"/>
        <w:rPr>
          <w:rFonts w:ascii="宋体" w:hAnsi="宋体" w:cs="宋体"/>
          <w:bCs/>
          <w:color w:val="auto"/>
          <w:highlight w:val="none"/>
        </w:rPr>
      </w:pPr>
      <w:r>
        <w:rPr>
          <w:rFonts w:hint="eastAsia" w:ascii="宋体" w:hAnsi="宋体" w:cs="宋体"/>
          <w:bCs/>
          <w:color w:val="auto"/>
          <w:highlight w:val="none"/>
        </w:rPr>
        <w:t xml:space="preserve">    采购代理机构在评审结束后2个工作日内在相关网站上发布成交公告，同时发出成交通知书。</w:t>
      </w:r>
    </w:p>
    <w:bookmarkEnd w:id="90"/>
    <w:bookmarkEnd w:id="91"/>
    <w:bookmarkEnd w:id="92"/>
    <w:p w14:paraId="30718353">
      <w:pPr>
        <w:pStyle w:val="6"/>
        <w:spacing w:before="0" w:after="0" w:line="380" w:lineRule="exact"/>
        <w:rPr>
          <w:rFonts w:ascii="宋体" w:hAnsi="宋体" w:eastAsia="宋体" w:cs="宋体"/>
          <w:color w:val="auto"/>
          <w:sz w:val="24"/>
          <w:szCs w:val="24"/>
          <w:highlight w:val="none"/>
        </w:rPr>
      </w:pPr>
      <w:bookmarkStart w:id="93" w:name="_Toc17287"/>
      <w:bookmarkEnd w:id="93"/>
      <w:bookmarkStart w:id="94" w:name="_Toc18677"/>
      <w:bookmarkEnd w:id="94"/>
      <w:bookmarkStart w:id="95" w:name="_Toc1855"/>
      <w:bookmarkEnd w:id="95"/>
      <w:r>
        <w:rPr>
          <w:rFonts w:hint="eastAsia" w:ascii="宋体" w:hAnsi="宋体" w:eastAsia="宋体" w:cs="宋体"/>
          <w:color w:val="auto"/>
          <w:sz w:val="24"/>
          <w:szCs w:val="24"/>
          <w:highlight w:val="none"/>
        </w:rPr>
        <w:t>七、综合评分法</w:t>
      </w:r>
    </w:p>
    <w:p w14:paraId="032555FB">
      <w:pPr>
        <w:autoSpaceDE w:val="0"/>
        <w:autoSpaceDN w:val="0"/>
        <w:adjustRightInd w:val="0"/>
        <w:snapToGrid w:val="0"/>
        <w:spacing w:line="380" w:lineRule="exact"/>
        <w:rPr>
          <w:rFonts w:ascii="宋体" w:hAnsi="宋体" w:cs="宋体"/>
          <w:bCs/>
          <w:color w:val="auto"/>
          <w:highlight w:val="none"/>
        </w:rPr>
      </w:pPr>
      <w:r>
        <w:rPr>
          <w:rFonts w:hint="eastAsia" w:ascii="宋体" w:hAnsi="宋体" w:cs="宋体"/>
          <w:bCs/>
          <w:color w:val="auto"/>
          <w:highlight w:val="none"/>
        </w:rPr>
        <w:t xml:space="preserve">    为公正、公平、科学地选择成交供应商，根据《中华人民共和国政府采购法》等有关法律法规的规定，并结合本项目的实际，制定本办法。</w:t>
      </w:r>
    </w:p>
    <w:p w14:paraId="2703A0D4">
      <w:pPr>
        <w:spacing w:before="156" w:beforeLines="50" w:after="156" w:afterLines="50" w:line="440" w:lineRule="exact"/>
        <w:ind w:firstLine="480" w:firstLineChars="200"/>
        <w:rPr>
          <w:rFonts w:ascii="宋体" w:hAnsi="宋体" w:cs="宋体"/>
          <w:b/>
          <w:color w:val="auto"/>
          <w:highlight w:val="none"/>
        </w:rPr>
      </w:pPr>
      <w:r>
        <w:rPr>
          <w:rFonts w:hint="eastAsia" w:ascii="宋体" w:hAnsi="宋体" w:cs="宋体"/>
          <w:bCs/>
          <w:color w:val="auto"/>
          <w:highlight w:val="none"/>
        </w:rPr>
        <w:t xml:space="preserve">  </w:t>
      </w:r>
      <w:r>
        <w:rPr>
          <w:rFonts w:hint="eastAsia" w:ascii="宋体" w:hAnsi="宋体" w:cs="宋体"/>
          <w:b/>
          <w:color w:val="auto"/>
          <w:highlight w:val="none"/>
        </w:rPr>
        <w:t>（一）、总则</w:t>
      </w:r>
    </w:p>
    <w:p w14:paraId="293D7099">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本次评审采用综合评分法，</w:t>
      </w:r>
      <w:r>
        <w:rPr>
          <w:rFonts w:hint="eastAsia" w:ascii="宋体" w:hAnsi="宋体" w:cs="宋体"/>
          <w:b/>
          <w:color w:val="auto"/>
          <w:highlight w:val="none"/>
        </w:rPr>
        <w:t>总分为100分，其中价格分</w:t>
      </w:r>
      <w:r>
        <w:rPr>
          <w:rFonts w:hint="eastAsia" w:ascii="宋体" w:hAnsi="宋体" w:cs="宋体"/>
          <w:b/>
          <w:color w:val="auto"/>
          <w:highlight w:val="none"/>
          <w:lang w:val="en-US" w:eastAsia="zh-CN"/>
        </w:rPr>
        <w:t>2</w:t>
      </w:r>
      <w:r>
        <w:rPr>
          <w:rFonts w:hint="eastAsia" w:ascii="宋体" w:hAnsi="宋体" w:cs="宋体"/>
          <w:b/>
          <w:color w:val="auto"/>
          <w:highlight w:val="none"/>
        </w:rPr>
        <w:t>0分、技术分、商务分和资信及其他部分权值</w:t>
      </w:r>
      <w:r>
        <w:rPr>
          <w:rFonts w:hint="eastAsia" w:ascii="宋体" w:hAnsi="宋体" w:cs="宋体"/>
          <w:b/>
          <w:color w:val="auto"/>
          <w:highlight w:val="none"/>
          <w:lang w:val="en-US" w:eastAsia="zh-CN"/>
        </w:rPr>
        <w:t>8</w:t>
      </w:r>
      <w:r>
        <w:rPr>
          <w:rFonts w:hint="eastAsia" w:ascii="宋体" w:hAnsi="宋体" w:cs="宋体"/>
          <w:b/>
          <w:color w:val="auto"/>
          <w:highlight w:val="none"/>
        </w:rPr>
        <w:t>0分</w:t>
      </w:r>
      <w:r>
        <w:rPr>
          <w:rFonts w:hint="eastAsia" w:ascii="宋体" w:hAnsi="宋体" w:cs="宋体"/>
          <w:color w:val="auto"/>
          <w:highlight w:val="none"/>
        </w:rPr>
        <w:t>。合格投标供应商的评审得分为各项目汇总得分。本项目由采购人授权的评审小组直接确定中标供应商。评分过程中采用四舍五入法，并保留小数2位。</w:t>
      </w:r>
    </w:p>
    <w:p w14:paraId="4F8B6157">
      <w:pPr>
        <w:spacing w:line="360" w:lineRule="auto"/>
        <w:ind w:firstLine="480" w:firstLineChars="200"/>
        <w:rPr>
          <w:rFonts w:ascii="宋体" w:hAnsi="宋体" w:cs="宋体"/>
          <w:bCs/>
          <w:color w:val="auto"/>
          <w:highlight w:val="none"/>
        </w:rPr>
      </w:pPr>
      <w:r>
        <w:rPr>
          <w:rFonts w:hint="eastAsia" w:ascii="宋体" w:hAnsi="宋体" w:cs="宋体"/>
          <w:bCs/>
          <w:color w:val="auto"/>
          <w:highlight w:val="none"/>
        </w:rPr>
        <w:t>各投标供应商最终得分=技术分、商务分和资信及其他分得分+价格分得分。</w:t>
      </w:r>
    </w:p>
    <w:p w14:paraId="466F9112">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评审小组将对实质上投标响应本项目的投标供应商根据其报价、技术、商务情况由各评委独立记名打分。中标候选资格按评标得分由高到低顺序排列，得分相同的；按投标报价由低到高顺序排列；排名第一的投标供应商为第一中标 候选人，排名第二的投标供应商为第二中标候选人……其他投标供应商中标候选资格依次类推。</w:t>
      </w:r>
    </w:p>
    <w:p w14:paraId="14E5C778">
      <w:pPr>
        <w:spacing w:before="156" w:beforeLines="50" w:after="156" w:afterLines="50" w:line="440" w:lineRule="exact"/>
        <w:ind w:firstLine="482" w:firstLineChars="200"/>
        <w:rPr>
          <w:rFonts w:ascii="宋体" w:hAnsi="宋体" w:cs="宋体"/>
          <w:b/>
          <w:color w:val="auto"/>
          <w:highlight w:val="none"/>
        </w:rPr>
      </w:pPr>
      <w:r>
        <w:rPr>
          <w:rFonts w:hint="eastAsia" w:ascii="宋体" w:hAnsi="宋体" w:cs="宋体"/>
          <w:b/>
          <w:color w:val="auto"/>
          <w:highlight w:val="none"/>
        </w:rPr>
        <w:t>(二)、评审内容及标准</w:t>
      </w:r>
    </w:p>
    <w:p w14:paraId="7C1BDAA8">
      <w:pPr>
        <w:spacing w:line="360" w:lineRule="auto"/>
        <w:ind w:firstLine="482" w:firstLineChars="200"/>
        <w:rPr>
          <w:rFonts w:ascii="宋体" w:hAnsi="宋体" w:cs="宋体"/>
          <w:b/>
          <w:color w:val="auto"/>
          <w:highlight w:val="none"/>
        </w:rPr>
      </w:pPr>
      <w:r>
        <w:rPr>
          <w:rFonts w:hint="eastAsia" w:ascii="宋体" w:hAnsi="宋体" w:cs="宋体"/>
          <w:b/>
          <w:color w:val="auto"/>
          <w:highlight w:val="none"/>
        </w:rPr>
        <w:t>1、价格分</w:t>
      </w:r>
      <w:r>
        <w:rPr>
          <w:rFonts w:hint="eastAsia" w:ascii="宋体" w:hAnsi="宋体" w:cs="宋体"/>
          <w:b/>
          <w:color w:val="auto"/>
          <w:highlight w:val="none"/>
          <w:lang w:val="en-US" w:eastAsia="zh-CN"/>
        </w:rPr>
        <w:t>2</w:t>
      </w:r>
      <w:r>
        <w:rPr>
          <w:rFonts w:hint="eastAsia" w:ascii="宋体" w:hAnsi="宋体" w:cs="宋体"/>
          <w:b/>
          <w:color w:val="auto"/>
          <w:highlight w:val="none"/>
        </w:rPr>
        <w:t>0分</w:t>
      </w:r>
    </w:p>
    <w:p w14:paraId="52409684">
      <w:pPr>
        <w:pStyle w:val="14"/>
        <w:ind w:firstLine="480"/>
        <w:rPr>
          <w:bCs/>
          <w:color w:val="auto"/>
          <w:highlight w:val="none"/>
        </w:rPr>
      </w:pPr>
      <w:r>
        <w:rPr>
          <w:rFonts w:hint="eastAsia"/>
          <w:bCs/>
          <w:color w:val="auto"/>
          <w:highlight w:val="none"/>
        </w:rPr>
        <w:t>价格分采用低价优先法计算，取所有技术入围投标供应商中最终报价最低的投标报价为评标基准价，其他投标供应商的价格分按照下列公式计算：</w:t>
      </w:r>
    </w:p>
    <w:p w14:paraId="4FCF12C8">
      <w:pPr>
        <w:pStyle w:val="14"/>
        <w:ind w:firstLine="480"/>
        <w:rPr>
          <w:bCs/>
          <w:color w:val="auto"/>
          <w:highlight w:val="none"/>
        </w:rPr>
      </w:pPr>
      <w:r>
        <w:rPr>
          <w:rFonts w:hint="eastAsia"/>
          <w:bCs/>
          <w:color w:val="auto"/>
          <w:highlight w:val="none"/>
        </w:rPr>
        <w:t>价格分=（评标基准价/最终投标报价）×</w:t>
      </w:r>
      <w:r>
        <w:rPr>
          <w:rFonts w:hint="eastAsia"/>
          <w:bCs/>
          <w:color w:val="auto"/>
          <w:highlight w:val="none"/>
          <w:lang w:val="en-US" w:eastAsia="zh-CN"/>
        </w:rPr>
        <w:t>2</w:t>
      </w:r>
      <w:r>
        <w:rPr>
          <w:rFonts w:hint="eastAsia"/>
          <w:bCs/>
          <w:color w:val="auto"/>
          <w:highlight w:val="none"/>
        </w:rPr>
        <w:t>0%×100；</w:t>
      </w:r>
    </w:p>
    <w:p w14:paraId="3EF00995">
      <w:pPr>
        <w:pStyle w:val="14"/>
        <w:ind w:firstLine="482"/>
        <w:rPr>
          <w:bCs/>
          <w:color w:val="auto"/>
          <w:highlight w:val="none"/>
        </w:rPr>
      </w:pPr>
      <w:r>
        <w:rPr>
          <w:rFonts w:hint="eastAsia"/>
          <w:bCs/>
          <w:color w:val="auto"/>
          <w:highlight w:val="none"/>
        </w:rPr>
        <w:t>此项由评审小组集体核实后统一打分。</w:t>
      </w:r>
    </w:p>
    <w:p w14:paraId="26062D24">
      <w:pPr>
        <w:pStyle w:val="14"/>
        <w:ind w:firstLine="480"/>
        <w:rPr>
          <w:bCs/>
          <w:color w:val="auto"/>
          <w:highlight w:val="none"/>
        </w:rPr>
      </w:pPr>
      <w:r>
        <w:rPr>
          <w:rFonts w:hint="eastAsia"/>
          <w:bCs/>
          <w:color w:val="auto"/>
          <w:highlight w:val="none"/>
        </w:rPr>
        <w:t xml:space="preserve">注：供应商的报价明显低于其他通过符合性审查供应商的报价，有可能影响产品质量或者不能诚信履约的，应当要求其在现场合理的时间内提供书面说明，必要时提供相关证明材料，供应商不能证明其合理性，评委按照少数服从多数的原则判定其为无效标的。   </w:t>
      </w:r>
    </w:p>
    <w:p w14:paraId="22C24DD0">
      <w:pPr>
        <w:spacing w:line="360" w:lineRule="auto"/>
        <w:ind w:firstLine="482" w:firstLineChars="200"/>
        <w:rPr>
          <w:rFonts w:ascii="宋体" w:hAnsi="宋体" w:cs="宋体"/>
          <w:bCs/>
          <w:color w:val="auto"/>
          <w:spacing w:val="14"/>
          <w:highlight w:val="none"/>
        </w:rPr>
      </w:pPr>
      <w:r>
        <w:rPr>
          <w:rFonts w:hint="eastAsia" w:ascii="宋体" w:hAnsi="宋体" w:cs="宋体"/>
          <w:b/>
          <w:color w:val="auto"/>
          <w:highlight w:val="none"/>
        </w:rPr>
        <w:t>2、技术分、商务分、资信及其他分</w:t>
      </w:r>
      <w:r>
        <w:rPr>
          <w:rFonts w:hint="eastAsia" w:ascii="宋体" w:hAnsi="宋体" w:cs="宋体"/>
          <w:b/>
          <w:color w:val="auto"/>
          <w:highlight w:val="none"/>
          <w:lang w:val="en-US" w:eastAsia="zh-CN"/>
        </w:rPr>
        <w:t>8</w:t>
      </w:r>
      <w:r>
        <w:rPr>
          <w:rFonts w:hint="eastAsia" w:ascii="宋体" w:hAnsi="宋体" w:cs="宋体"/>
          <w:b/>
          <w:color w:val="auto"/>
          <w:highlight w:val="none"/>
        </w:rPr>
        <w:t>0分</w:t>
      </w:r>
    </w:p>
    <w:p w14:paraId="651BF1DD">
      <w:pPr>
        <w:tabs>
          <w:tab w:val="left" w:pos="1154"/>
        </w:tabs>
        <w:spacing w:line="360" w:lineRule="auto"/>
        <w:ind w:firstLine="482" w:firstLineChars="200"/>
        <w:rPr>
          <w:rFonts w:ascii="宋体" w:hAnsi="宋体" w:cs="宋体"/>
          <w:b/>
          <w:bCs/>
          <w:color w:val="auto"/>
          <w:highlight w:val="none"/>
        </w:rPr>
      </w:pPr>
      <w:r>
        <w:rPr>
          <w:rFonts w:hint="eastAsia" w:ascii="宋体" w:hAnsi="宋体" w:cs="宋体"/>
          <w:b/>
          <w:bCs/>
          <w:color w:val="auto"/>
          <w:highlight w:val="none"/>
        </w:rPr>
        <w:t>3、技术分、商务分、资信及其他分的计算</w:t>
      </w:r>
    </w:p>
    <w:p w14:paraId="39B8D269">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技术、商务、资信及其他分=评审小组所有成员评分合计数/评审小组人员数</w:t>
      </w:r>
    </w:p>
    <w:p w14:paraId="6D55F839">
      <w:pPr>
        <w:spacing w:line="360" w:lineRule="auto"/>
        <w:ind w:firstLine="482" w:firstLineChars="200"/>
        <w:rPr>
          <w:rFonts w:ascii="宋体" w:hAnsi="宋体" w:cs="宋体"/>
          <w:b/>
          <w:color w:val="auto"/>
          <w:highlight w:val="none"/>
        </w:rPr>
      </w:pPr>
      <w:r>
        <w:rPr>
          <w:rFonts w:hint="eastAsia" w:ascii="宋体" w:hAnsi="宋体" w:cs="宋体"/>
          <w:b/>
          <w:color w:val="auto"/>
          <w:highlight w:val="none"/>
        </w:rPr>
        <w:t>附件：评分表格式（技术分、商务分、资信及其他分，共</w:t>
      </w:r>
      <w:r>
        <w:rPr>
          <w:rFonts w:hint="eastAsia" w:ascii="宋体" w:hAnsi="宋体" w:cs="宋体"/>
          <w:b/>
          <w:color w:val="auto"/>
          <w:highlight w:val="none"/>
          <w:lang w:val="en-US" w:eastAsia="zh-CN"/>
        </w:rPr>
        <w:t>8</w:t>
      </w:r>
      <w:r>
        <w:rPr>
          <w:rFonts w:hint="eastAsia" w:ascii="宋体" w:hAnsi="宋体" w:cs="宋体"/>
          <w:b/>
          <w:color w:val="auto"/>
          <w:highlight w:val="none"/>
        </w:rPr>
        <w:t>0分）</w:t>
      </w:r>
    </w:p>
    <w:p w14:paraId="411504EC">
      <w:pPr>
        <w:spacing w:line="360" w:lineRule="auto"/>
        <w:ind w:firstLine="482" w:firstLineChars="200"/>
        <w:rPr>
          <w:rFonts w:ascii="宋体" w:hAnsi="宋体" w:cs="宋体"/>
          <w:b/>
          <w:bCs/>
          <w:color w:val="auto"/>
          <w:highlight w:val="none"/>
        </w:rPr>
      </w:pPr>
      <w:r>
        <w:rPr>
          <w:rFonts w:hint="eastAsia" w:ascii="宋体" w:hAnsi="宋体" w:cs="宋体"/>
          <w:b/>
          <w:color w:val="auto"/>
          <w:highlight w:val="none"/>
        </w:rPr>
        <w:t>各项证明资料均须提供有效证书或证明文件复印件加盖投标单位公章</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1086"/>
        <w:gridCol w:w="7439"/>
        <w:gridCol w:w="794"/>
      </w:tblGrid>
      <w:tr w14:paraId="37169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0" w:type="auto"/>
            <w:noWrap w:val="0"/>
            <w:vAlign w:val="center"/>
          </w:tcPr>
          <w:p w14:paraId="2DB6669D">
            <w:pPr>
              <w:spacing w:before="120" w:beforeLines="50" w:after="120" w:afterLines="50" w:line="380" w:lineRule="exact"/>
              <w:jc w:val="center"/>
              <w:rPr>
                <w:rFonts w:ascii="宋体" w:hAnsi="宋体"/>
                <w:b/>
                <w:color w:val="auto"/>
                <w:sz w:val="24"/>
                <w:highlight w:val="none"/>
              </w:rPr>
            </w:pPr>
            <w:r>
              <w:rPr>
                <w:rFonts w:hint="eastAsia" w:ascii="宋体" w:hAnsi="宋体"/>
                <w:b/>
                <w:color w:val="auto"/>
                <w:sz w:val="24"/>
                <w:highlight w:val="none"/>
              </w:rPr>
              <w:t>序号</w:t>
            </w:r>
          </w:p>
        </w:tc>
        <w:tc>
          <w:tcPr>
            <w:tcW w:w="0" w:type="auto"/>
            <w:noWrap w:val="0"/>
            <w:vAlign w:val="center"/>
          </w:tcPr>
          <w:p w14:paraId="60CCDFD9">
            <w:pPr>
              <w:spacing w:before="120" w:beforeLines="50" w:after="120" w:afterLines="50" w:line="380" w:lineRule="exact"/>
              <w:jc w:val="center"/>
              <w:rPr>
                <w:rFonts w:ascii="宋体" w:hAnsi="宋体"/>
                <w:b/>
                <w:color w:val="auto"/>
                <w:sz w:val="24"/>
                <w:highlight w:val="none"/>
              </w:rPr>
            </w:pPr>
            <w:r>
              <w:rPr>
                <w:rFonts w:hint="eastAsia" w:ascii="宋体" w:hAnsi="宋体"/>
                <w:b/>
                <w:color w:val="auto"/>
                <w:sz w:val="24"/>
                <w:highlight w:val="none"/>
              </w:rPr>
              <w:t>评定项目</w:t>
            </w:r>
          </w:p>
        </w:tc>
        <w:tc>
          <w:tcPr>
            <w:tcW w:w="0" w:type="auto"/>
            <w:noWrap w:val="0"/>
            <w:vAlign w:val="center"/>
          </w:tcPr>
          <w:p w14:paraId="7FC9F34B">
            <w:pPr>
              <w:spacing w:before="120" w:beforeLines="50" w:after="120" w:afterLines="50" w:line="380" w:lineRule="exact"/>
              <w:jc w:val="center"/>
              <w:rPr>
                <w:rFonts w:ascii="宋体" w:hAnsi="宋体"/>
                <w:b/>
                <w:color w:val="auto"/>
                <w:sz w:val="24"/>
                <w:highlight w:val="none"/>
              </w:rPr>
            </w:pPr>
            <w:r>
              <w:rPr>
                <w:rFonts w:hint="eastAsia" w:ascii="宋体" w:hAnsi="宋体"/>
                <w:b/>
                <w:color w:val="auto"/>
                <w:sz w:val="24"/>
                <w:highlight w:val="none"/>
              </w:rPr>
              <w:t>评定内容</w:t>
            </w:r>
          </w:p>
        </w:tc>
        <w:tc>
          <w:tcPr>
            <w:tcW w:w="0" w:type="auto"/>
            <w:noWrap w:val="0"/>
            <w:vAlign w:val="center"/>
          </w:tcPr>
          <w:p w14:paraId="46EE6E24">
            <w:pPr>
              <w:spacing w:before="120" w:beforeLines="50" w:after="120" w:afterLines="50" w:line="380" w:lineRule="exact"/>
              <w:jc w:val="center"/>
              <w:rPr>
                <w:rFonts w:ascii="宋体" w:hAnsi="宋体"/>
                <w:b/>
                <w:color w:val="auto"/>
                <w:sz w:val="24"/>
                <w:highlight w:val="none"/>
              </w:rPr>
            </w:pPr>
            <w:r>
              <w:rPr>
                <w:rFonts w:hint="eastAsia" w:ascii="宋体" w:hAnsi="宋体"/>
                <w:b/>
                <w:color w:val="auto"/>
                <w:sz w:val="24"/>
                <w:highlight w:val="none"/>
              </w:rPr>
              <w:t>分值</w:t>
            </w:r>
          </w:p>
          <w:p w14:paraId="2ACC4779">
            <w:pPr>
              <w:spacing w:before="120" w:beforeLines="50" w:after="120" w:afterLines="50" w:line="380" w:lineRule="exact"/>
              <w:jc w:val="center"/>
              <w:rPr>
                <w:rFonts w:ascii="宋体" w:hAnsi="宋体"/>
                <w:b/>
                <w:color w:val="auto"/>
                <w:sz w:val="24"/>
                <w:highlight w:val="none"/>
              </w:rPr>
            </w:pPr>
            <w:r>
              <w:rPr>
                <w:rFonts w:hint="eastAsia" w:ascii="宋体" w:hAnsi="宋体"/>
                <w:b/>
                <w:color w:val="auto"/>
                <w:sz w:val="24"/>
                <w:highlight w:val="none"/>
              </w:rPr>
              <w:t>范围</w:t>
            </w:r>
          </w:p>
        </w:tc>
      </w:tr>
      <w:tr w14:paraId="2FE2B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0" w:type="auto"/>
            <w:noWrap w:val="0"/>
            <w:vAlign w:val="center"/>
          </w:tcPr>
          <w:p w14:paraId="765CE036">
            <w:pPr>
              <w:spacing w:before="120" w:beforeLines="50" w:after="120" w:afterLines="50" w:line="380" w:lineRule="exact"/>
              <w:jc w:val="center"/>
              <w:rPr>
                <w:rFonts w:ascii="宋体" w:hAnsi="宋体"/>
                <w:color w:val="auto"/>
                <w:sz w:val="24"/>
                <w:highlight w:val="none"/>
              </w:rPr>
            </w:pPr>
            <w:r>
              <w:rPr>
                <w:rFonts w:hint="eastAsia" w:ascii="宋体" w:hAnsi="宋体"/>
                <w:color w:val="auto"/>
                <w:sz w:val="24"/>
                <w:highlight w:val="none"/>
              </w:rPr>
              <w:t>1</w:t>
            </w:r>
          </w:p>
        </w:tc>
        <w:tc>
          <w:tcPr>
            <w:tcW w:w="0" w:type="auto"/>
            <w:noWrap w:val="0"/>
            <w:vAlign w:val="center"/>
          </w:tcPr>
          <w:p w14:paraId="7F62B064">
            <w:pPr>
              <w:spacing w:line="360" w:lineRule="auto"/>
              <w:jc w:val="center"/>
              <w:rPr>
                <w:rFonts w:hint="eastAsia" w:ascii="宋体" w:hAnsi="宋体"/>
                <w:color w:val="auto"/>
                <w:sz w:val="24"/>
                <w:highlight w:val="none"/>
              </w:rPr>
            </w:pPr>
            <w:r>
              <w:rPr>
                <w:rFonts w:hint="eastAsia" w:ascii="宋体" w:hAnsi="宋体"/>
                <w:b/>
                <w:color w:val="auto"/>
                <w:sz w:val="24"/>
                <w:highlight w:val="none"/>
              </w:rPr>
              <w:t>对本项目的理解</w:t>
            </w:r>
          </w:p>
        </w:tc>
        <w:tc>
          <w:tcPr>
            <w:tcW w:w="0" w:type="auto"/>
            <w:noWrap w:val="0"/>
            <w:vAlign w:val="center"/>
          </w:tcPr>
          <w:p w14:paraId="3E0B6E80">
            <w:pPr>
              <w:pStyle w:val="14"/>
              <w:ind w:firstLine="480"/>
              <w:rPr>
                <w:rFonts w:hint="eastAsia" w:ascii="宋体" w:hAnsi="宋体" w:eastAsia="宋体" w:cs="宋体"/>
                <w:bCs/>
                <w:color w:val="auto"/>
                <w:highlight w:val="none"/>
              </w:rPr>
            </w:pPr>
            <w:r>
              <w:rPr>
                <w:rFonts w:hint="eastAsia" w:ascii="宋体" w:hAnsi="宋体" w:eastAsia="宋体" w:cs="宋体"/>
                <w:bCs/>
                <w:color w:val="auto"/>
                <w:highlight w:val="none"/>
              </w:rPr>
              <w:t>1、供应商对项目背景、理解全面的得</w:t>
            </w:r>
            <w:r>
              <w:rPr>
                <w:rFonts w:hint="eastAsia" w:ascii="宋体" w:hAnsi="宋体" w:eastAsia="宋体" w:cs="宋体"/>
                <w:bCs/>
                <w:color w:val="auto"/>
                <w:highlight w:val="none"/>
                <w:lang w:val="en-US" w:eastAsia="zh-CN"/>
              </w:rPr>
              <w:t>5-7</w:t>
            </w:r>
            <w:r>
              <w:rPr>
                <w:rFonts w:hint="eastAsia" w:ascii="宋体" w:hAnsi="宋体" w:eastAsia="宋体" w:cs="宋体"/>
                <w:bCs/>
                <w:color w:val="auto"/>
                <w:highlight w:val="none"/>
              </w:rPr>
              <w:t>分，理解不全面或欠缺的每项扣</w:t>
            </w:r>
            <w:r>
              <w:rPr>
                <w:rFonts w:hint="eastAsia" w:ascii="宋体" w:hAnsi="宋体" w:eastAsia="宋体" w:cs="宋体"/>
                <w:bCs/>
                <w:color w:val="auto"/>
                <w:highlight w:val="none"/>
                <w:lang w:val="en-US" w:eastAsia="zh-CN"/>
              </w:rPr>
              <w:t>1-2</w:t>
            </w:r>
            <w:r>
              <w:rPr>
                <w:rFonts w:hint="eastAsia" w:ascii="宋体" w:hAnsi="宋体" w:eastAsia="宋体" w:cs="宋体"/>
                <w:bCs/>
                <w:color w:val="auto"/>
                <w:highlight w:val="none"/>
              </w:rPr>
              <w:t>分（0-</w:t>
            </w:r>
            <w:r>
              <w:rPr>
                <w:rFonts w:hint="eastAsia" w:cs="宋体"/>
                <w:bCs/>
                <w:color w:val="auto"/>
                <w:highlight w:val="none"/>
                <w:lang w:val="en-US" w:eastAsia="zh-CN"/>
              </w:rPr>
              <w:t>7</w:t>
            </w:r>
            <w:r>
              <w:rPr>
                <w:rFonts w:hint="eastAsia" w:ascii="宋体" w:hAnsi="宋体" w:eastAsia="宋体" w:cs="宋体"/>
                <w:bCs/>
                <w:color w:val="auto"/>
                <w:highlight w:val="none"/>
              </w:rPr>
              <w:t>分）；</w:t>
            </w:r>
          </w:p>
          <w:p w14:paraId="50DA8BD3">
            <w:pPr>
              <w:pStyle w:val="14"/>
              <w:ind w:firstLine="480"/>
              <w:rPr>
                <w:color w:val="auto"/>
                <w:highlight w:val="none"/>
              </w:rPr>
            </w:pPr>
            <w:r>
              <w:rPr>
                <w:rFonts w:hint="eastAsia" w:ascii="宋体" w:hAnsi="宋体" w:eastAsia="宋体" w:cs="宋体"/>
                <w:bCs/>
                <w:color w:val="auto"/>
                <w:highlight w:val="none"/>
              </w:rPr>
              <w:t>2、供应商对项目基础资料、重难点理解正确的得</w:t>
            </w:r>
            <w:r>
              <w:rPr>
                <w:rFonts w:hint="eastAsia" w:ascii="宋体" w:hAnsi="宋体" w:eastAsia="宋体" w:cs="宋体"/>
                <w:bCs/>
                <w:color w:val="auto"/>
                <w:highlight w:val="none"/>
                <w:lang w:val="en-US" w:eastAsia="zh-CN"/>
              </w:rPr>
              <w:t>5-7</w:t>
            </w:r>
            <w:r>
              <w:rPr>
                <w:rFonts w:hint="eastAsia" w:ascii="宋体" w:hAnsi="宋体" w:eastAsia="宋体" w:cs="宋体"/>
                <w:bCs/>
                <w:color w:val="auto"/>
                <w:highlight w:val="none"/>
              </w:rPr>
              <w:t>分，理解欠缺或不完善的每项扣</w:t>
            </w:r>
            <w:r>
              <w:rPr>
                <w:rFonts w:hint="eastAsia" w:ascii="宋体" w:hAnsi="宋体" w:eastAsia="宋体" w:cs="宋体"/>
                <w:bCs/>
                <w:color w:val="auto"/>
                <w:highlight w:val="none"/>
                <w:lang w:val="en-US" w:eastAsia="zh-CN"/>
              </w:rPr>
              <w:t>1-2</w:t>
            </w:r>
            <w:r>
              <w:rPr>
                <w:rFonts w:hint="eastAsia" w:ascii="宋体" w:hAnsi="宋体" w:eastAsia="宋体" w:cs="宋体"/>
                <w:bCs/>
                <w:color w:val="auto"/>
                <w:highlight w:val="none"/>
              </w:rPr>
              <w:t>分（0-</w:t>
            </w:r>
            <w:r>
              <w:rPr>
                <w:rFonts w:hint="eastAsia" w:cs="宋体"/>
                <w:bCs/>
                <w:color w:val="auto"/>
                <w:highlight w:val="none"/>
                <w:lang w:val="en-US" w:eastAsia="zh-CN"/>
              </w:rPr>
              <w:t>7</w:t>
            </w:r>
            <w:r>
              <w:rPr>
                <w:rFonts w:hint="eastAsia" w:ascii="宋体" w:hAnsi="宋体" w:eastAsia="宋体" w:cs="宋体"/>
                <w:bCs/>
                <w:color w:val="auto"/>
                <w:highlight w:val="none"/>
              </w:rPr>
              <w:t>分）；</w:t>
            </w:r>
          </w:p>
        </w:tc>
        <w:tc>
          <w:tcPr>
            <w:tcW w:w="0" w:type="auto"/>
            <w:noWrap w:val="0"/>
            <w:vAlign w:val="center"/>
          </w:tcPr>
          <w:p w14:paraId="5D68A61B">
            <w:pPr>
              <w:spacing w:before="120" w:beforeLines="50" w:after="120" w:afterLines="50" w:line="380" w:lineRule="exact"/>
              <w:jc w:val="center"/>
              <w:rPr>
                <w:rFonts w:ascii="宋体" w:hAnsi="宋体"/>
                <w:color w:val="auto"/>
                <w:sz w:val="24"/>
                <w:highlight w:val="none"/>
              </w:rPr>
            </w:pPr>
            <w:r>
              <w:rPr>
                <w:rFonts w:hint="eastAsia" w:ascii="宋体" w:hAnsi="宋体"/>
                <w:color w:val="auto"/>
                <w:sz w:val="24"/>
                <w:highlight w:val="none"/>
                <w:lang w:val="en-US" w:eastAsia="zh-CN"/>
              </w:rPr>
              <w:t>0-14</w:t>
            </w:r>
            <w:r>
              <w:rPr>
                <w:rFonts w:hint="eastAsia" w:ascii="宋体" w:hAnsi="宋体"/>
                <w:color w:val="auto"/>
                <w:sz w:val="24"/>
                <w:highlight w:val="none"/>
              </w:rPr>
              <w:t>分</w:t>
            </w:r>
          </w:p>
        </w:tc>
      </w:tr>
      <w:tr w14:paraId="72F2E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8" w:hRule="atLeast"/>
          <w:jc w:val="center"/>
        </w:trPr>
        <w:tc>
          <w:tcPr>
            <w:tcW w:w="0" w:type="auto"/>
            <w:noWrap w:val="0"/>
            <w:vAlign w:val="center"/>
          </w:tcPr>
          <w:p w14:paraId="7A9E4A96">
            <w:pPr>
              <w:spacing w:before="120" w:beforeLines="50" w:after="120" w:afterLines="50" w:line="380" w:lineRule="exact"/>
              <w:jc w:val="center"/>
              <w:rPr>
                <w:rFonts w:hint="eastAsia" w:ascii="宋体" w:hAnsi="宋体"/>
                <w:color w:val="auto"/>
                <w:sz w:val="24"/>
                <w:highlight w:val="none"/>
              </w:rPr>
            </w:pPr>
            <w:r>
              <w:rPr>
                <w:rFonts w:hint="eastAsia" w:ascii="宋体" w:hAnsi="宋体"/>
                <w:color w:val="auto"/>
                <w:sz w:val="24"/>
                <w:highlight w:val="none"/>
              </w:rPr>
              <w:t>2</w:t>
            </w:r>
          </w:p>
        </w:tc>
        <w:tc>
          <w:tcPr>
            <w:tcW w:w="0" w:type="auto"/>
            <w:noWrap w:val="0"/>
            <w:vAlign w:val="center"/>
          </w:tcPr>
          <w:p w14:paraId="5DC8DCF1">
            <w:pPr>
              <w:spacing w:line="360" w:lineRule="auto"/>
              <w:jc w:val="center"/>
              <w:rPr>
                <w:rFonts w:hint="eastAsia" w:ascii="宋体" w:hAnsi="宋体"/>
                <w:b/>
                <w:color w:val="auto"/>
                <w:sz w:val="24"/>
                <w:highlight w:val="none"/>
              </w:rPr>
            </w:pPr>
            <w:r>
              <w:rPr>
                <w:rFonts w:hint="eastAsia" w:ascii="宋体" w:hAnsi="宋体"/>
                <w:b/>
                <w:color w:val="auto"/>
                <w:sz w:val="24"/>
                <w:highlight w:val="none"/>
              </w:rPr>
              <w:t>项目实施方案</w:t>
            </w:r>
          </w:p>
        </w:tc>
        <w:tc>
          <w:tcPr>
            <w:tcW w:w="0" w:type="auto"/>
            <w:noWrap w:val="0"/>
            <w:vAlign w:val="center"/>
          </w:tcPr>
          <w:p w14:paraId="2B8AFE79">
            <w:pPr>
              <w:pStyle w:val="14"/>
              <w:ind w:firstLine="480"/>
              <w:rPr>
                <w:rFonts w:hint="default" w:ascii="宋体" w:hAnsi="宋体" w:eastAsia="宋体" w:cs="宋体"/>
                <w:bCs/>
                <w:color w:val="auto"/>
                <w:highlight w:val="none"/>
                <w:lang w:val="en-US"/>
              </w:rPr>
            </w:pPr>
            <w:r>
              <w:rPr>
                <w:rFonts w:hint="eastAsia" w:ascii="宋体" w:hAnsi="宋体" w:eastAsia="宋体" w:cs="宋体"/>
                <w:bCs/>
                <w:color w:val="auto"/>
                <w:highlight w:val="none"/>
              </w:rPr>
              <w:t>1、</w:t>
            </w:r>
            <w:r>
              <w:rPr>
                <w:rFonts w:hint="eastAsia" w:ascii="宋体" w:hAnsi="宋体" w:eastAsia="宋体" w:cs="宋体"/>
                <w:bCs/>
                <w:color w:val="auto"/>
                <w:highlight w:val="none"/>
                <w:lang w:val="en-US" w:eastAsia="zh-CN"/>
              </w:rPr>
              <w:t>供应商提供的</w:t>
            </w:r>
            <w:r>
              <w:rPr>
                <w:rFonts w:hint="eastAsia" w:ascii="宋体" w:hAnsi="宋体" w:eastAsia="宋体" w:cs="宋体"/>
                <w:bCs/>
                <w:color w:val="auto"/>
                <w:highlight w:val="none"/>
              </w:rPr>
              <w:t>实施方案内容全面、合理，工作重点明确</w:t>
            </w:r>
            <w:r>
              <w:rPr>
                <w:rFonts w:hint="eastAsia" w:ascii="宋体" w:hAnsi="宋体" w:eastAsia="宋体" w:cs="宋体"/>
                <w:bCs/>
                <w:color w:val="auto"/>
                <w:highlight w:val="none"/>
                <w:lang w:eastAsia="zh-CN"/>
              </w:rPr>
              <w:t>，</w:t>
            </w:r>
            <w:r>
              <w:rPr>
                <w:rFonts w:hint="eastAsia" w:ascii="宋体" w:hAnsi="宋体" w:eastAsia="宋体" w:cs="宋体"/>
                <w:bCs/>
                <w:color w:val="auto"/>
                <w:highlight w:val="none"/>
              </w:rPr>
              <w:t>实施方案符合本项目实际情况和招标文件提出的要求</w:t>
            </w:r>
            <w:r>
              <w:rPr>
                <w:rFonts w:hint="eastAsia" w:ascii="宋体" w:hAnsi="宋体" w:eastAsia="宋体" w:cs="宋体"/>
                <w:bCs/>
                <w:color w:val="auto"/>
                <w:highlight w:val="none"/>
                <w:lang w:val="en-US" w:eastAsia="zh-CN"/>
              </w:rPr>
              <w:t>的得5-6分，欠缺或不完善的每项扣1-2分，不提供不得分。</w:t>
            </w:r>
          </w:p>
          <w:p w14:paraId="71AB7C0F">
            <w:pPr>
              <w:pStyle w:val="14"/>
              <w:ind w:firstLine="480"/>
              <w:rPr>
                <w:rFonts w:hint="default" w:ascii="宋体" w:hAnsi="宋体" w:eastAsia="宋体" w:cs="宋体"/>
                <w:bCs/>
                <w:color w:val="auto"/>
                <w:highlight w:val="none"/>
                <w:lang w:val="en-US" w:eastAsia="zh-CN"/>
              </w:rPr>
            </w:pPr>
            <w:r>
              <w:rPr>
                <w:rFonts w:hint="eastAsia" w:ascii="宋体" w:hAnsi="宋体" w:eastAsia="宋体" w:cs="宋体"/>
                <w:bCs/>
                <w:color w:val="auto"/>
                <w:highlight w:val="none"/>
                <w:lang w:val="en-US" w:eastAsia="zh-CN"/>
              </w:rPr>
              <w:t>2、</w:t>
            </w:r>
            <w:r>
              <w:rPr>
                <w:rFonts w:hint="eastAsia" w:ascii="宋体" w:hAnsi="宋体" w:eastAsia="宋体" w:cs="宋体"/>
                <w:bCs/>
                <w:color w:val="auto"/>
                <w:highlight w:val="none"/>
              </w:rPr>
              <w:t>项目工作思路清晰、工作方法可行，可操作性强</w:t>
            </w:r>
            <w:r>
              <w:rPr>
                <w:rFonts w:hint="eastAsia" w:ascii="宋体" w:hAnsi="宋体" w:eastAsia="宋体" w:cs="宋体"/>
                <w:bCs/>
                <w:color w:val="auto"/>
                <w:highlight w:val="none"/>
                <w:lang w:val="en-US" w:eastAsia="zh-CN"/>
              </w:rPr>
              <w:t>的得5-6分，欠缺或不完善的扣1-2分，不提供不得分。</w:t>
            </w:r>
          </w:p>
          <w:p w14:paraId="0A2F295E">
            <w:pPr>
              <w:pStyle w:val="14"/>
              <w:ind w:firstLine="480"/>
              <w:rPr>
                <w:rFonts w:hint="eastAsia" w:ascii="宋体" w:hAnsi="宋体" w:eastAsia="宋体" w:cs="宋体"/>
                <w:bCs/>
                <w:color w:val="auto"/>
                <w:highlight w:val="none"/>
              </w:rPr>
            </w:pPr>
            <w:r>
              <w:rPr>
                <w:rFonts w:hint="eastAsia" w:ascii="宋体" w:hAnsi="宋体" w:eastAsia="宋体" w:cs="宋体"/>
                <w:bCs/>
                <w:color w:val="auto"/>
                <w:highlight w:val="none"/>
                <w:lang w:val="en-US" w:eastAsia="zh-CN"/>
              </w:rPr>
              <w:t>3、</w:t>
            </w:r>
            <w:r>
              <w:rPr>
                <w:rFonts w:hint="eastAsia" w:ascii="宋体" w:hAnsi="宋体" w:eastAsia="宋体" w:cs="宋体"/>
                <w:bCs/>
                <w:color w:val="auto"/>
                <w:highlight w:val="none"/>
              </w:rPr>
              <w:t>项目的特点及关键技术问题的认识到位、报告编制的工作方案科学</w:t>
            </w:r>
            <w:r>
              <w:rPr>
                <w:rFonts w:hint="eastAsia" w:ascii="宋体" w:hAnsi="宋体" w:eastAsia="宋体" w:cs="宋体"/>
                <w:bCs/>
                <w:color w:val="auto"/>
                <w:highlight w:val="none"/>
                <w:lang w:eastAsia="zh-CN"/>
              </w:rPr>
              <w:t>、</w:t>
            </w:r>
            <w:r>
              <w:rPr>
                <w:rFonts w:hint="eastAsia" w:ascii="宋体" w:hAnsi="宋体" w:eastAsia="宋体" w:cs="宋体"/>
                <w:bCs/>
                <w:color w:val="auto"/>
                <w:highlight w:val="none"/>
                <w:lang w:val="en-US" w:eastAsia="zh-CN"/>
              </w:rPr>
              <w:t>合理的得5-6分，欠缺或不完善的扣1-2分，不提供不得分。</w:t>
            </w:r>
          </w:p>
        </w:tc>
        <w:tc>
          <w:tcPr>
            <w:tcW w:w="0" w:type="auto"/>
            <w:noWrap w:val="0"/>
            <w:vAlign w:val="center"/>
          </w:tcPr>
          <w:p w14:paraId="11B77C28">
            <w:pPr>
              <w:spacing w:before="120" w:beforeLines="50" w:after="120" w:afterLines="50" w:line="380" w:lineRule="exact"/>
              <w:jc w:val="center"/>
              <w:rPr>
                <w:rFonts w:ascii="宋体" w:hAnsi="宋体"/>
                <w:color w:val="auto"/>
                <w:sz w:val="24"/>
                <w:highlight w:val="none"/>
              </w:rPr>
            </w:pPr>
            <w:r>
              <w:rPr>
                <w:rFonts w:hint="eastAsia" w:ascii="宋体" w:hAnsi="宋体"/>
                <w:color w:val="auto"/>
                <w:sz w:val="24"/>
                <w:highlight w:val="none"/>
                <w:lang w:val="en-US" w:eastAsia="zh-CN"/>
              </w:rPr>
              <w:t>0-18</w:t>
            </w:r>
            <w:r>
              <w:rPr>
                <w:rFonts w:hint="eastAsia" w:ascii="宋体" w:hAnsi="宋体"/>
                <w:color w:val="auto"/>
                <w:sz w:val="24"/>
                <w:highlight w:val="none"/>
              </w:rPr>
              <w:t>分</w:t>
            </w:r>
          </w:p>
        </w:tc>
      </w:tr>
      <w:tr w14:paraId="06CA8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0" w:type="auto"/>
            <w:noWrap w:val="0"/>
            <w:vAlign w:val="center"/>
          </w:tcPr>
          <w:p w14:paraId="52EADDFA">
            <w:pPr>
              <w:spacing w:before="120" w:beforeLines="50" w:after="120" w:afterLines="50" w:line="380" w:lineRule="exact"/>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3</w:t>
            </w:r>
          </w:p>
        </w:tc>
        <w:tc>
          <w:tcPr>
            <w:tcW w:w="0" w:type="auto"/>
            <w:noWrap w:val="0"/>
            <w:vAlign w:val="center"/>
          </w:tcPr>
          <w:p w14:paraId="6B6277A0">
            <w:pPr>
              <w:spacing w:before="120" w:beforeLines="50" w:after="120" w:afterLines="50" w:line="380" w:lineRule="exact"/>
              <w:jc w:val="center"/>
              <w:rPr>
                <w:rFonts w:ascii="宋体" w:hAnsi="宋体"/>
                <w:color w:val="auto"/>
                <w:sz w:val="24"/>
                <w:highlight w:val="none"/>
              </w:rPr>
            </w:pPr>
            <w:r>
              <w:rPr>
                <w:rFonts w:ascii="宋体" w:hAnsi="宋体"/>
                <w:b/>
                <w:color w:val="auto"/>
                <w:sz w:val="24"/>
                <w:highlight w:val="none"/>
              </w:rPr>
              <w:t>项目质量保证措施</w:t>
            </w:r>
          </w:p>
        </w:tc>
        <w:tc>
          <w:tcPr>
            <w:tcW w:w="0" w:type="auto"/>
            <w:noWrap w:val="0"/>
            <w:vAlign w:val="center"/>
          </w:tcPr>
          <w:p w14:paraId="11BEEF37">
            <w:pPr>
              <w:pStyle w:val="14"/>
              <w:ind w:firstLine="480"/>
              <w:rPr>
                <w:rFonts w:hint="eastAsia" w:ascii="宋体" w:hAnsi="宋体" w:eastAsia="宋体" w:cs="宋体"/>
                <w:bCs/>
                <w:color w:val="auto"/>
                <w:highlight w:val="none"/>
              </w:rPr>
            </w:pPr>
            <w:r>
              <w:rPr>
                <w:rFonts w:hint="eastAsia" w:ascii="宋体" w:hAnsi="宋体" w:eastAsia="宋体" w:cs="宋体"/>
                <w:bCs/>
                <w:color w:val="auto"/>
                <w:highlight w:val="none"/>
              </w:rPr>
              <w:t>供应商的项目质量保证措施明确，内部校审制度齐全、质量保证措施和管理体系合理、详实，措施方案科学有效的，得</w:t>
            </w:r>
            <w:r>
              <w:rPr>
                <w:rFonts w:hint="eastAsia" w:ascii="宋体" w:hAnsi="宋体" w:eastAsia="宋体" w:cs="宋体"/>
                <w:bCs/>
                <w:color w:val="auto"/>
                <w:highlight w:val="none"/>
                <w:lang w:val="en-US" w:eastAsia="zh-CN"/>
              </w:rPr>
              <w:t>5-6</w:t>
            </w:r>
            <w:r>
              <w:rPr>
                <w:rFonts w:hint="eastAsia" w:ascii="宋体" w:hAnsi="宋体" w:eastAsia="宋体" w:cs="宋体"/>
                <w:bCs/>
                <w:color w:val="auto"/>
                <w:highlight w:val="none"/>
              </w:rPr>
              <w:t>分；措施方案欠佳或措施方案存在明显缺陷的，每项扣</w:t>
            </w:r>
            <w:r>
              <w:rPr>
                <w:rFonts w:hint="eastAsia" w:ascii="宋体" w:hAnsi="宋体" w:eastAsia="宋体" w:cs="宋体"/>
                <w:bCs/>
                <w:color w:val="auto"/>
                <w:highlight w:val="none"/>
                <w:lang w:val="en-US" w:eastAsia="zh-CN"/>
              </w:rPr>
              <w:t>1-2</w:t>
            </w:r>
            <w:r>
              <w:rPr>
                <w:rFonts w:hint="eastAsia" w:ascii="宋体" w:hAnsi="宋体" w:eastAsia="宋体" w:cs="宋体"/>
                <w:bCs/>
                <w:color w:val="auto"/>
                <w:highlight w:val="none"/>
              </w:rPr>
              <w:t>分。</w:t>
            </w:r>
          </w:p>
        </w:tc>
        <w:tc>
          <w:tcPr>
            <w:tcW w:w="0" w:type="auto"/>
            <w:noWrap w:val="0"/>
            <w:vAlign w:val="center"/>
          </w:tcPr>
          <w:p w14:paraId="66DCD6C2">
            <w:pPr>
              <w:spacing w:before="120" w:beforeLines="50" w:after="120" w:afterLines="50" w:line="380" w:lineRule="exact"/>
              <w:jc w:val="center"/>
              <w:rPr>
                <w:rFonts w:ascii="宋体" w:hAnsi="宋体"/>
                <w:color w:val="auto"/>
                <w:sz w:val="24"/>
                <w:highlight w:val="none"/>
              </w:rPr>
            </w:pPr>
            <w:r>
              <w:rPr>
                <w:rFonts w:hint="eastAsia" w:ascii="宋体" w:hAnsi="宋体"/>
                <w:color w:val="auto"/>
                <w:sz w:val="24"/>
                <w:highlight w:val="none"/>
                <w:lang w:val="en-US" w:eastAsia="zh-CN"/>
              </w:rPr>
              <w:t>0-6</w:t>
            </w:r>
            <w:r>
              <w:rPr>
                <w:rFonts w:hint="eastAsia" w:ascii="宋体" w:hAnsi="宋体"/>
                <w:color w:val="auto"/>
                <w:sz w:val="24"/>
                <w:highlight w:val="none"/>
              </w:rPr>
              <w:t>分</w:t>
            </w:r>
          </w:p>
        </w:tc>
      </w:tr>
      <w:tr w14:paraId="2A3ED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0" w:type="auto"/>
            <w:noWrap w:val="0"/>
            <w:vAlign w:val="center"/>
          </w:tcPr>
          <w:p w14:paraId="27534F46">
            <w:pPr>
              <w:spacing w:before="120" w:beforeLines="50" w:after="120" w:afterLines="50" w:line="38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0" w:type="auto"/>
            <w:noWrap w:val="0"/>
            <w:vAlign w:val="center"/>
          </w:tcPr>
          <w:p w14:paraId="2ABF85D9">
            <w:pPr>
              <w:spacing w:before="120" w:beforeLines="50" w:after="120" w:afterLines="50" w:line="380" w:lineRule="exact"/>
              <w:jc w:val="center"/>
              <w:rPr>
                <w:rFonts w:ascii="宋体" w:hAnsi="宋体" w:cs="宋体"/>
                <w:color w:val="auto"/>
                <w:sz w:val="24"/>
                <w:highlight w:val="none"/>
              </w:rPr>
            </w:pPr>
            <w:r>
              <w:rPr>
                <w:rFonts w:hint="eastAsia" w:ascii="宋体" w:hAnsi="宋体"/>
                <w:b/>
                <w:color w:val="auto"/>
                <w:sz w:val="24"/>
                <w:highlight w:val="none"/>
              </w:rPr>
              <w:t>项目进度安排</w:t>
            </w:r>
          </w:p>
        </w:tc>
        <w:tc>
          <w:tcPr>
            <w:tcW w:w="0" w:type="auto"/>
            <w:noWrap w:val="0"/>
            <w:vAlign w:val="center"/>
          </w:tcPr>
          <w:p w14:paraId="2B6BA53F">
            <w:pPr>
              <w:pStyle w:val="14"/>
              <w:ind w:firstLine="480"/>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rPr>
              <w:t>根据供应商的项目进度方案，针对进度安排与采购需求切合性，节点之间细化合理性，进度控制措施科学合理的得</w:t>
            </w:r>
            <w:r>
              <w:rPr>
                <w:rFonts w:hint="eastAsia" w:ascii="宋体" w:hAnsi="宋体" w:eastAsia="宋体" w:cs="宋体"/>
                <w:bCs/>
                <w:color w:val="auto"/>
                <w:highlight w:val="none"/>
                <w:lang w:val="en-US" w:eastAsia="zh-CN"/>
              </w:rPr>
              <w:t>5-6</w:t>
            </w:r>
            <w:r>
              <w:rPr>
                <w:rFonts w:hint="eastAsia" w:ascii="宋体" w:hAnsi="宋体" w:eastAsia="宋体" w:cs="宋体"/>
                <w:bCs/>
                <w:color w:val="auto"/>
                <w:highlight w:val="none"/>
              </w:rPr>
              <w:t>分，进度方案欠佳或进度方案存在明显缺陷的每项扣</w:t>
            </w:r>
            <w:r>
              <w:rPr>
                <w:rFonts w:hint="eastAsia" w:ascii="宋体" w:hAnsi="宋体" w:eastAsia="宋体" w:cs="宋体"/>
                <w:bCs/>
                <w:color w:val="auto"/>
                <w:highlight w:val="none"/>
                <w:lang w:val="en-US" w:eastAsia="zh-CN"/>
              </w:rPr>
              <w:t>1-2</w:t>
            </w:r>
            <w:r>
              <w:rPr>
                <w:rFonts w:hint="eastAsia" w:ascii="宋体" w:hAnsi="宋体" w:eastAsia="宋体" w:cs="宋体"/>
                <w:bCs/>
                <w:color w:val="auto"/>
                <w:highlight w:val="none"/>
              </w:rPr>
              <w:t>分。</w:t>
            </w:r>
            <w:r>
              <w:rPr>
                <w:rFonts w:hint="eastAsia" w:ascii="宋体" w:hAnsi="宋体" w:eastAsia="宋体" w:cs="宋体"/>
                <w:bCs/>
                <w:color w:val="auto"/>
                <w:highlight w:val="none"/>
                <w:lang w:val="en-US" w:eastAsia="zh-CN"/>
              </w:rPr>
              <w:t xml:space="preserve"> </w:t>
            </w:r>
          </w:p>
        </w:tc>
        <w:tc>
          <w:tcPr>
            <w:tcW w:w="0" w:type="auto"/>
            <w:noWrap w:val="0"/>
            <w:vAlign w:val="center"/>
          </w:tcPr>
          <w:p w14:paraId="0B24A3D7">
            <w:pPr>
              <w:spacing w:before="120" w:beforeLines="50" w:after="120" w:afterLines="50" w:line="380" w:lineRule="exact"/>
              <w:jc w:val="center"/>
              <w:rPr>
                <w:rFonts w:ascii="宋体" w:hAnsi="宋体"/>
                <w:color w:val="auto"/>
                <w:sz w:val="24"/>
                <w:highlight w:val="none"/>
              </w:rPr>
            </w:pPr>
            <w:r>
              <w:rPr>
                <w:rFonts w:hint="eastAsia" w:ascii="宋体" w:hAnsi="宋体"/>
                <w:color w:val="auto"/>
                <w:sz w:val="24"/>
                <w:highlight w:val="none"/>
                <w:lang w:val="en-US" w:eastAsia="zh-CN"/>
              </w:rPr>
              <w:t>0-6</w:t>
            </w:r>
            <w:r>
              <w:rPr>
                <w:rFonts w:hint="eastAsia" w:ascii="宋体" w:hAnsi="宋体"/>
                <w:color w:val="auto"/>
                <w:sz w:val="24"/>
                <w:highlight w:val="none"/>
              </w:rPr>
              <w:t>分</w:t>
            </w:r>
          </w:p>
        </w:tc>
      </w:tr>
      <w:tr w14:paraId="34483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noWrap w:val="0"/>
            <w:vAlign w:val="center"/>
          </w:tcPr>
          <w:p w14:paraId="5B239200">
            <w:pPr>
              <w:spacing w:before="120" w:beforeLines="50" w:after="120" w:afterLines="50" w:line="38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0" w:type="auto"/>
            <w:noWrap w:val="0"/>
            <w:vAlign w:val="center"/>
          </w:tcPr>
          <w:p w14:paraId="2BBECC8E">
            <w:pPr>
              <w:spacing w:before="120" w:beforeLines="50" w:after="120" w:afterLines="50" w:line="380" w:lineRule="exact"/>
              <w:jc w:val="center"/>
              <w:rPr>
                <w:rFonts w:ascii="宋体" w:hAnsi="宋体"/>
                <w:color w:val="auto"/>
                <w:sz w:val="24"/>
                <w:highlight w:val="none"/>
              </w:rPr>
            </w:pPr>
            <w:r>
              <w:rPr>
                <w:rFonts w:hint="eastAsia" w:ascii="宋体" w:hAnsi="宋体"/>
                <w:b/>
                <w:color w:val="auto"/>
                <w:sz w:val="24"/>
                <w:highlight w:val="none"/>
              </w:rPr>
              <w:t>项目实施人员</w:t>
            </w:r>
          </w:p>
        </w:tc>
        <w:tc>
          <w:tcPr>
            <w:tcW w:w="0" w:type="auto"/>
            <w:noWrap w:val="0"/>
            <w:vAlign w:val="center"/>
          </w:tcPr>
          <w:p w14:paraId="16510149">
            <w:pPr>
              <w:spacing w:line="360" w:lineRule="auto"/>
              <w:ind w:firstLine="48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项目负责人：（0-</w:t>
            </w:r>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rPr>
              <w:t>分）</w:t>
            </w:r>
          </w:p>
          <w:p w14:paraId="2D121E92">
            <w:pPr>
              <w:spacing w:line="360" w:lineRule="auto"/>
              <w:ind w:firstLine="480"/>
              <w:rPr>
                <w:rFonts w:hint="eastAsia"/>
                <w:b w:val="0"/>
                <w:bCs/>
                <w:color w:val="auto"/>
                <w:kern w:val="0"/>
                <w:sz w:val="24"/>
                <w:highlight w:val="none"/>
                <w:lang w:eastAsia="zh-CN"/>
              </w:rPr>
            </w:pPr>
            <w:r>
              <w:rPr>
                <w:rFonts w:hint="eastAsia"/>
                <w:b w:val="0"/>
                <w:bCs/>
                <w:color w:val="auto"/>
                <w:kern w:val="0"/>
                <w:sz w:val="24"/>
                <w:highlight w:val="none"/>
              </w:rPr>
              <w:t>具有水利及相关专业高级及以上专业技术职称的得4分，工程师技术职称的得2分</w:t>
            </w:r>
            <w:r>
              <w:rPr>
                <w:rFonts w:hint="eastAsia"/>
                <w:b w:val="0"/>
                <w:bCs/>
                <w:color w:val="auto"/>
                <w:kern w:val="0"/>
                <w:sz w:val="24"/>
                <w:highlight w:val="none"/>
                <w:lang w:eastAsia="zh-CN"/>
              </w:rPr>
              <w:t>。</w:t>
            </w:r>
          </w:p>
          <w:p w14:paraId="25E69AE5">
            <w:pPr>
              <w:spacing w:line="360" w:lineRule="auto"/>
              <w:ind w:firstLine="480"/>
              <w:rPr>
                <w:rFonts w:hint="eastAsia"/>
                <w:b/>
                <w:color w:val="auto"/>
                <w:kern w:val="0"/>
                <w:sz w:val="24"/>
                <w:highlight w:val="none"/>
                <w:lang w:eastAsia="zh-CN"/>
              </w:rPr>
            </w:pPr>
            <w:r>
              <w:rPr>
                <w:rFonts w:hint="eastAsia"/>
                <w:b/>
                <w:color w:val="auto"/>
                <w:kern w:val="0"/>
                <w:sz w:val="24"/>
                <w:highlight w:val="none"/>
              </w:rPr>
              <w:t>注：需提供相应人员的证书及社保证明</w:t>
            </w:r>
            <w:r>
              <w:rPr>
                <w:rFonts w:hint="eastAsia"/>
                <w:b/>
                <w:color w:val="auto"/>
                <w:kern w:val="0"/>
                <w:sz w:val="24"/>
                <w:highlight w:val="none"/>
                <w:lang w:val="en-US" w:eastAsia="zh-CN"/>
              </w:rPr>
              <w:t>复印件（或</w:t>
            </w:r>
            <w:r>
              <w:rPr>
                <w:rFonts w:hint="eastAsia"/>
                <w:b/>
                <w:color w:val="auto"/>
                <w:kern w:val="0"/>
                <w:sz w:val="24"/>
                <w:highlight w:val="none"/>
              </w:rPr>
              <w:t>扫描件</w:t>
            </w:r>
            <w:r>
              <w:rPr>
                <w:rFonts w:hint="eastAsia"/>
                <w:b/>
                <w:color w:val="auto"/>
                <w:kern w:val="0"/>
                <w:sz w:val="24"/>
                <w:highlight w:val="none"/>
                <w:lang w:val="en-US" w:eastAsia="zh-CN"/>
              </w:rPr>
              <w:t>）</w:t>
            </w:r>
            <w:r>
              <w:rPr>
                <w:rFonts w:hint="eastAsia"/>
                <w:b/>
                <w:color w:val="auto"/>
                <w:kern w:val="0"/>
                <w:sz w:val="24"/>
                <w:highlight w:val="none"/>
              </w:rPr>
              <w:t>并加盖公章</w:t>
            </w:r>
            <w:r>
              <w:rPr>
                <w:rFonts w:hint="eastAsia"/>
                <w:b/>
                <w:color w:val="auto"/>
                <w:kern w:val="0"/>
                <w:sz w:val="24"/>
                <w:highlight w:val="none"/>
                <w:lang w:eastAsia="zh-CN"/>
              </w:rPr>
              <w:t>。</w:t>
            </w:r>
          </w:p>
          <w:p w14:paraId="4A69C3B0">
            <w:pPr>
              <w:spacing w:line="360" w:lineRule="auto"/>
              <w:ind w:firstLine="480"/>
              <w:rPr>
                <w:rFonts w:ascii="宋体" w:hAnsi="宋体"/>
                <w:b/>
                <w:bCs/>
                <w:color w:val="auto"/>
                <w:sz w:val="24"/>
                <w:highlight w:val="none"/>
              </w:rPr>
            </w:pPr>
            <w:r>
              <w:rPr>
                <w:rFonts w:hint="eastAsia" w:ascii="宋体" w:hAnsi="宋体"/>
                <w:b/>
                <w:bCs/>
                <w:color w:val="auto"/>
                <w:sz w:val="24"/>
                <w:highlight w:val="none"/>
              </w:rPr>
              <w:t>2、项目组成员：（0-</w:t>
            </w:r>
            <w:r>
              <w:rPr>
                <w:rFonts w:hint="eastAsia" w:ascii="宋体" w:hAnsi="宋体"/>
                <w:b/>
                <w:bCs/>
                <w:color w:val="auto"/>
                <w:sz w:val="24"/>
                <w:highlight w:val="none"/>
                <w:lang w:val="en-US" w:eastAsia="zh-CN"/>
              </w:rPr>
              <w:t>6</w:t>
            </w:r>
            <w:r>
              <w:rPr>
                <w:rFonts w:hint="eastAsia" w:ascii="宋体" w:hAnsi="宋体"/>
                <w:b/>
                <w:bCs/>
                <w:color w:val="auto"/>
                <w:sz w:val="24"/>
                <w:highlight w:val="none"/>
              </w:rPr>
              <w:t>分）</w:t>
            </w:r>
          </w:p>
          <w:p w14:paraId="41F94767">
            <w:pPr>
              <w:spacing w:line="360" w:lineRule="auto"/>
              <w:ind w:firstLine="480"/>
              <w:rPr>
                <w:rFonts w:hint="default" w:ascii="Times New Roman" w:hAnsi="Times New Roman" w:eastAsia="宋体" w:cs="Times New Roman"/>
                <w:b w:val="0"/>
                <w:bCs/>
                <w:color w:val="auto"/>
                <w:kern w:val="0"/>
                <w:sz w:val="24"/>
                <w:highlight w:val="none"/>
                <w:lang w:val="en-US" w:eastAsia="zh-CN"/>
              </w:rPr>
            </w:pPr>
            <w:r>
              <w:rPr>
                <w:rFonts w:hint="eastAsia" w:ascii="Times New Roman" w:hAnsi="Times New Roman" w:eastAsia="宋体" w:cs="Times New Roman"/>
                <w:b w:val="0"/>
                <w:bCs/>
                <w:color w:val="auto"/>
                <w:kern w:val="0"/>
                <w:sz w:val="24"/>
                <w:highlight w:val="none"/>
              </w:rPr>
              <w:t>项目组人员人力资源配备充足</w:t>
            </w:r>
            <w:r>
              <w:rPr>
                <w:rFonts w:hint="eastAsia" w:ascii="Times New Roman" w:hAnsi="Times New Roman" w:eastAsia="宋体" w:cs="Times New Roman"/>
                <w:b w:val="0"/>
                <w:bCs/>
                <w:color w:val="auto"/>
                <w:kern w:val="0"/>
                <w:sz w:val="24"/>
                <w:highlight w:val="none"/>
                <w:lang w:eastAsia="zh-CN"/>
              </w:rPr>
              <w:t>、</w:t>
            </w:r>
            <w:r>
              <w:rPr>
                <w:rFonts w:hint="eastAsia" w:ascii="Times New Roman" w:hAnsi="Times New Roman" w:eastAsia="宋体" w:cs="Times New Roman"/>
                <w:b w:val="0"/>
                <w:bCs/>
                <w:color w:val="auto"/>
                <w:kern w:val="0"/>
                <w:sz w:val="24"/>
                <w:highlight w:val="none"/>
              </w:rPr>
              <w:t>结构合理，技术力量强</w:t>
            </w:r>
            <w:r>
              <w:rPr>
                <w:rFonts w:hint="eastAsia" w:ascii="Times New Roman" w:hAnsi="Times New Roman" w:eastAsia="宋体" w:cs="Times New Roman"/>
                <w:b w:val="0"/>
                <w:bCs/>
                <w:color w:val="auto"/>
                <w:kern w:val="0"/>
                <w:sz w:val="24"/>
                <w:highlight w:val="none"/>
                <w:lang w:val="en-US" w:eastAsia="zh-CN"/>
              </w:rPr>
              <w:t>的得5-6分，人力资源欠缺，结构不合理，技术力量薄弱的扣1-2分。</w:t>
            </w:r>
          </w:p>
          <w:p w14:paraId="51928195">
            <w:pPr>
              <w:spacing w:line="360" w:lineRule="auto"/>
              <w:ind w:firstLine="480"/>
              <w:rPr>
                <w:rFonts w:hint="eastAsia" w:eastAsia="宋体"/>
                <w:color w:val="auto"/>
                <w:highlight w:val="none"/>
                <w:lang w:eastAsia="zh-CN"/>
              </w:rPr>
            </w:pPr>
            <w:r>
              <w:rPr>
                <w:rFonts w:hint="eastAsia"/>
                <w:b/>
                <w:color w:val="auto"/>
                <w:kern w:val="0"/>
                <w:sz w:val="24"/>
                <w:highlight w:val="none"/>
              </w:rPr>
              <w:t>注：需提供相应人员的证书及社保证明</w:t>
            </w:r>
            <w:r>
              <w:rPr>
                <w:rFonts w:hint="eastAsia"/>
                <w:b/>
                <w:color w:val="auto"/>
                <w:kern w:val="0"/>
                <w:sz w:val="24"/>
                <w:highlight w:val="none"/>
                <w:lang w:val="en-US" w:eastAsia="zh-CN"/>
              </w:rPr>
              <w:t>复印件（或扫描件）</w:t>
            </w:r>
            <w:r>
              <w:rPr>
                <w:rFonts w:hint="eastAsia"/>
                <w:b/>
                <w:color w:val="auto"/>
                <w:kern w:val="0"/>
                <w:sz w:val="24"/>
                <w:highlight w:val="none"/>
              </w:rPr>
              <w:t>并加盖公章</w:t>
            </w:r>
            <w:r>
              <w:rPr>
                <w:rFonts w:hint="eastAsia"/>
                <w:b/>
                <w:color w:val="auto"/>
                <w:kern w:val="0"/>
                <w:sz w:val="24"/>
                <w:highlight w:val="none"/>
                <w:lang w:eastAsia="zh-CN"/>
              </w:rPr>
              <w:t>。</w:t>
            </w:r>
          </w:p>
        </w:tc>
        <w:tc>
          <w:tcPr>
            <w:tcW w:w="0" w:type="auto"/>
            <w:noWrap w:val="0"/>
            <w:vAlign w:val="center"/>
          </w:tcPr>
          <w:p w14:paraId="13AE2E43">
            <w:pPr>
              <w:spacing w:before="120" w:beforeLines="50" w:after="120" w:afterLines="50" w:line="380" w:lineRule="exact"/>
              <w:jc w:val="center"/>
              <w:rPr>
                <w:rFonts w:ascii="宋体" w:hAnsi="宋体"/>
                <w:bCs/>
                <w:color w:val="auto"/>
                <w:sz w:val="24"/>
                <w:highlight w:val="none"/>
              </w:rPr>
            </w:pPr>
            <w:r>
              <w:rPr>
                <w:rFonts w:hint="eastAsia" w:ascii="宋体" w:hAnsi="宋体"/>
                <w:bCs/>
                <w:color w:val="auto"/>
                <w:sz w:val="24"/>
                <w:highlight w:val="none"/>
                <w:lang w:val="en-US" w:eastAsia="zh-CN"/>
              </w:rPr>
              <w:t>0-10</w:t>
            </w:r>
            <w:r>
              <w:rPr>
                <w:rFonts w:hint="eastAsia" w:ascii="宋体" w:hAnsi="宋体"/>
                <w:bCs/>
                <w:color w:val="auto"/>
                <w:sz w:val="24"/>
                <w:highlight w:val="none"/>
              </w:rPr>
              <w:t>分</w:t>
            </w:r>
          </w:p>
        </w:tc>
      </w:tr>
      <w:tr w14:paraId="3B16C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noWrap w:val="0"/>
            <w:vAlign w:val="center"/>
          </w:tcPr>
          <w:p w14:paraId="14D7CF53">
            <w:pPr>
              <w:spacing w:before="120" w:beforeLines="50" w:after="120" w:afterLines="50" w:line="380" w:lineRule="exact"/>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0" w:type="auto"/>
            <w:noWrap w:val="0"/>
            <w:vAlign w:val="center"/>
          </w:tcPr>
          <w:p w14:paraId="5A6E6900">
            <w:pPr>
              <w:tabs>
                <w:tab w:val="left" w:pos="1080"/>
              </w:tabs>
              <w:spacing w:line="36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val="0"/>
                <w:bCs w:val="0"/>
                <w:color w:val="auto"/>
                <w:sz w:val="24"/>
                <w:highlight w:val="none"/>
                <w:lang w:val="en-US" w:eastAsia="zh-CN"/>
              </w:rPr>
              <w:t>合理化建议</w:t>
            </w:r>
          </w:p>
        </w:tc>
        <w:tc>
          <w:tcPr>
            <w:tcW w:w="0" w:type="auto"/>
            <w:noWrap w:val="0"/>
            <w:vAlign w:val="center"/>
          </w:tcPr>
          <w:p w14:paraId="2BBB9584">
            <w:pPr>
              <w:pStyle w:val="14"/>
              <w:ind w:firstLine="480"/>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lang w:val="en-US" w:eastAsia="zh-CN"/>
              </w:rPr>
              <w:t>对本项目了解，有无存在不足之处，针对项目提出优化建议，综合评估其合理性（0-3分）。</w:t>
            </w:r>
          </w:p>
        </w:tc>
        <w:tc>
          <w:tcPr>
            <w:tcW w:w="0" w:type="auto"/>
            <w:noWrap w:val="0"/>
            <w:vAlign w:val="center"/>
          </w:tcPr>
          <w:p w14:paraId="6DFDE3FB">
            <w:pPr>
              <w:tabs>
                <w:tab w:val="left" w:pos="1080"/>
              </w:tabs>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0-3分</w:t>
            </w:r>
          </w:p>
        </w:tc>
      </w:tr>
      <w:tr w14:paraId="3F94F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0" w:type="auto"/>
            <w:noWrap w:val="0"/>
            <w:vAlign w:val="center"/>
          </w:tcPr>
          <w:p w14:paraId="68BDE47C">
            <w:pPr>
              <w:spacing w:before="120" w:beforeLines="50" w:after="120" w:afterLines="50" w:line="380" w:lineRule="exact"/>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7</w:t>
            </w:r>
          </w:p>
        </w:tc>
        <w:tc>
          <w:tcPr>
            <w:tcW w:w="0" w:type="auto"/>
            <w:noWrap w:val="0"/>
            <w:vAlign w:val="center"/>
          </w:tcPr>
          <w:p w14:paraId="19B8F449">
            <w:pPr>
              <w:spacing w:before="120" w:beforeLines="50" w:after="120" w:afterLines="50" w:line="380" w:lineRule="exact"/>
              <w:jc w:val="center"/>
              <w:rPr>
                <w:rFonts w:ascii="宋体" w:hAnsi="宋体"/>
                <w:color w:val="auto"/>
                <w:sz w:val="24"/>
                <w:highlight w:val="none"/>
              </w:rPr>
            </w:pPr>
            <w:r>
              <w:rPr>
                <w:rFonts w:hint="eastAsia" w:ascii="宋体" w:hAnsi="宋体"/>
                <w:b/>
                <w:bCs/>
                <w:color w:val="auto"/>
                <w:sz w:val="24"/>
                <w:highlight w:val="none"/>
              </w:rPr>
              <w:t>服务承诺及优惠措施</w:t>
            </w:r>
          </w:p>
        </w:tc>
        <w:tc>
          <w:tcPr>
            <w:tcW w:w="0" w:type="auto"/>
            <w:noWrap w:val="0"/>
            <w:vAlign w:val="center"/>
          </w:tcPr>
          <w:p w14:paraId="14F7A264">
            <w:pPr>
              <w:pStyle w:val="14"/>
              <w:ind w:firstLine="480"/>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lang w:val="en-US" w:eastAsia="zh-CN"/>
              </w:rPr>
              <w:t>1、根据供应商提供的服务承诺及优惠措施等内容的合理性、完整性和可操作性等进行评价，每提供1项措施得2分，最多得6分，未提供不得分。</w:t>
            </w:r>
          </w:p>
          <w:p w14:paraId="0A4A690E">
            <w:pPr>
              <w:pStyle w:val="14"/>
              <w:ind w:firstLine="480"/>
              <w:rPr>
                <w:rFonts w:hint="eastAsia" w:ascii="宋体" w:hAnsi="宋体" w:eastAsia="宋体" w:cs="宋体"/>
                <w:bCs/>
                <w:color w:val="auto"/>
                <w:highlight w:val="none"/>
              </w:rPr>
            </w:pPr>
            <w:r>
              <w:rPr>
                <w:rFonts w:hint="eastAsia" w:ascii="宋体" w:hAnsi="宋体" w:eastAsia="宋体" w:cs="宋体"/>
                <w:bCs/>
                <w:color w:val="auto"/>
                <w:highlight w:val="none"/>
                <w:lang w:val="en-US" w:eastAsia="zh-CN"/>
              </w:rPr>
              <w:t>2、</w:t>
            </w:r>
            <w:r>
              <w:rPr>
                <w:rFonts w:hint="eastAsia" w:ascii="宋体" w:hAnsi="宋体" w:eastAsia="宋体" w:cs="宋体"/>
                <w:bCs/>
                <w:color w:val="auto"/>
                <w:highlight w:val="none"/>
                <w:lang w:val="zh-TW" w:eastAsia="zh-CN"/>
              </w:rPr>
              <w:t>服务响应时间：供应商</w:t>
            </w:r>
            <w:r>
              <w:rPr>
                <w:rFonts w:hint="eastAsia" w:ascii="宋体" w:hAnsi="宋体" w:eastAsia="宋体" w:cs="宋体"/>
                <w:bCs/>
                <w:color w:val="auto"/>
                <w:highlight w:val="none"/>
                <w:lang w:val="en-US" w:eastAsia="zh-CN"/>
              </w:rPr>
              <w:t>3</w:t>
            </w:r>
            <w:r>
              <w:rPr>
                <w:rFonts w:hint="eastAsia" w:ascii="宋体" w:hAnsi="宋体" w:eastAsia="宋体" w:cs="宋体"/>
                <w:bCs/>
                <w:color w:val="auto"/>
                <w:highlight w:val="none"/>
                <w:lang w:val="zh-TW" w:eastAsia="zh-CN"/>
              </w:rPr>
              <w:t>小时内现场响应的，得1分，每减少0.5小时加1分，最高可加</w:t>
            </w:r>
            <w:r>
              <w:rPr>
                <w:rFonts w:hint="eastAsia" w:ascii="宋体" w:hAnsi="宋体" w:eastAsia="宋体" w:cs="宋体"/>
                <w:bCs/>
                <w:color w:val="auto"/>
                <w:highlight w:val="none"/>
                <w:lang w:val="en-US" w:eastAsia="zh-CN"/>
              </w:rPr>
              <w:t>2</w:t>
            </w:r>
            <w:r>
              <w:rPr>
                <w:rFonts w:hint="eastAsia" w:ascii="宋体" w:hAnsi="宋体" w:eastAsia="宋体" w:cs="宋体"/>
                <w:bCs/>
                <w:color w:val="auto"/>
                <w:highlight w:val="none"/>
                <w:lang w:val="zh-TW" w:eastAsia="zh-CN"/>
              </w:rPr>
              <w:t>分。</w:t>
            </w:r>
          </w:p>
        </w:tc>
        <w:tc>
          <w:tcPr>
            <w:tcW w:w="0" w:type="auto"/>
            <w:noWrap w:val="0"/>
            <w:vAlign w:val="center"/>
          </w:tcPr>
          <w:p w14:paraId="35AB4FF6">
            <w:pPr>
              <w:spacing w:before="120" w:beforeLines="50" w:after="120" w:afterLines="50" w:line="380" w:lineRule="exact"/>
              <w:jc w:val="center"/>
              <w:rPr>
                <w:rFonts w:ascii="宋体" w:hAnsi="宋体"/>
                <w:color w:val="auto"/>
                <w:sz w:val="24"/>
                <w:highlight w:val="none"/>
              </w:rPr>
            </w:pPr>
            <w:r>
              <w:rPr>
                <w:rFonts w:hint="eastAsia" w:ascii="宋体" w:hAnsi="宋体"/>
                <w:color w:val="auto"/>
                <w:sz w:val="24"/>
                <w:highlight w:val="none"/>
                <w:lang w:val="en-US" w:eastAsia="zh-CN"/>
              </w:rPr>
              <w:t>0-9</w:t>
            </w:r>
            <w:r>
              <w:rPr>
                <w:rFonts w:hint="eastAsia" w:ascii="宋体" w:hAnsi="宋体"/>
                <w:color w:val="auto"/>
                <w:sz w:val="24"/>
                <w:highlight w:val="none"/>
              </w:rPr>
              <w:t>分</w:t>
            </w:r>
          </w:p>
        </w:tc>
      </w:tr>
      <w:tr w14:paraId="22860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0" w:type="auto"/>
            <w:noWrap w:val="0"/>
            <w:vAlign w:val="center"/>
          </w:tcPr>
          <w:p w14:paraId="136E46C7">
            <w:pPr>
              <w:spacing w:before="120" w:beforeLines="50" w:after="120" w:afterLines="50" w:line="380" w:lineRule="exact"/>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8</w:t>
            </w:r>
          </w:p>
        </w:tc>
        <w:tc>
          <w:tcPr>
            <w:tcW w:w="0" w:type="auto"/>
            <w:noWrap w:val="0"/>
            <w:vAlign w:val="center"/>
          </w:tcPr>
          <w:p w14:paraId="78B787F7">
            <w:pPr>
              <w:spacing w:before="120" w:beforeLines="50" w:after="120" w:afterLines="50" w:line="380" w:lineRule="exact"/>
              <w:jc w:val="center"/>
              <w:rPr>
                <w:rFonts w:ascii="宋体" w:hAnsi="宋体"/>
                <w:color w:val="auto"/>
                <w:sz w:val="24"/>
                <w:highlight w:val="none"/>
              </w:rPr>
            </w:pPr>
            <w:r>
              <w:rPr>
                <w:rFonts w:hint="eastAsia" w:ascii="宋体" w:hAnsi="宋体"/>
                <w:b/>
                <w:bCs/>
                <w:color w:val="auto"/>
                <w:sz w:val="24"/>
                <w:highlight w:val="none"/>
              </w:rPr>
              <w:t>企业业绩</w:t>
            </w:r>
          </w:p>
        </w:tc>
        <w:tc>
          <w:tcPr>
            <w:tcW w:w="0" w:type="auto"/>
            <w:noWrap w:val="0"/>
            <w:vAlign w:val="center"/>
          </w:tcPr>
          <w:p w14:paraId="1B5FBA09">
            <w:pPr>
              <w:pStyle w:val="14"/>
              <w:ind w:firstLine="480"/>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lang w:val="en-US" w:eastAsia="zh-CN"/>
              </w:rPr>
              <w:t>根据</w:t>
            </w:r>
            <w:r>
              <w:rPr>
                <w:rFonts w:hint="eastAsia" w:ascii="宋体" w:hAnsi="宋体" w:eastAsia="宋体" w:cs="宋体"/>
                <w:bCs/>
                <w:color w:val="auto"/>
                <w:highlight w:val="none"/>
              </w:rPr>
              <w:t>供应商</w:t>
            </w:r>
            <w:r>
              <w:rPr>
                <w:rFonts w:hint="eastAsia" w:ascii="宋体" w:hAnsi="宋体" w:eastAsia="宋体" w:cs="宋体"/>
                <w:bCs/>
                <w:color w:val="auto"/>
                <w:highlight w:val="none"/>
                <w:lang w:val="en-US" w:eastAsia="zh-CN"/>
              </w:rPr>
              <w:t>自</w:t>
            </w:r>
            <w:r>
              <w:rPr>
                <w:rFonts w:hint="eastAsia" w:ascii="宋体" w:hAnsi="宋体" w:eastAsia="宋体" w:cs="宋体"/>
                <w:bCs/>
                <w:color w:val="auto"/>
                <w:highlight w:val="none"/>
              </w:rPr>
              <w:t>20</w:t>
            </w:r>
            <w:r>
              <w:rPr>
                <w:rFonts w:hint="eastAsia" w:ascii="宋体" w:hAnsi="宋体" w:eastAsia="宋体" w:cs="宋体"/>
                <w:bCs/>
                <w:color w:val="auto"/>
                <w:highlight w:val="none"/>
                <w:lang w:val="en-US" w:eastAsia="zh-CN"/>
              </w:rPr>
              <w:t>2</w:t>
            </w:r>
            <w:r>
              <w:rPr>
                <w:rFonts w:hint="eastAsia" w:cs="宋体"/>
                <w:bCs/>
                <w:color w:val="auto"/>
                <w:highlight w:val="none"/>
                <w:lang w:val="en-US" w:eastAsia="zh-CN"/>
              </w:rPr>
              <w:t>1</w:t>
            </w:r>
            <w:r>
              <w:rPr>
                <w:rFonts w:hint="eastAsia" w:ascii="宋体" w:hAnsi="宋体" w:eastAsia="宋体" w:cs="宋体"/>
                <w:bCs/>
                <w:color w:val="auto"/>
                <w:highlight w:val="none"/>
              </w:rPr>
              <w:t>年1月1日至今</w:t>
            </w:r>
            <w:r>
              <w:rPr>
                <w:rFonts w:hint="eastAsia" w:ascii="宋体" w:hAnsi="宋体" w:eastAsia="宋体" w:cs="宋体"/>
                <w:bCs/>
                <w:color w:val="auto"/>
                <w:highlight w:val="none"/>
                <w:lang w:eastAsia="zh-CN"/>
              </w:rPr>
              <w:t>，</w:t>
            </w:r>
            <w:r>
              <w:rPr>
                <w:rFonts w:hint="eastAsia" w:ascii="宋体" w:hAnsi="宋体" w:eastAsia="宋体" w:cs="宋体"/>
                <w:bCs/>
                <w:color w:val="auto"/>
                <w:highlight w:val="none"/>
                <w:lang w:val="en-US" w:eastAsia="zh-CN"/>
              </w:rPr>
              <w:t>完成过水行政主管部门相关服务的每项得1分，最高得2分；</w:t>
            </w:r>
          </w:p>
          <w:p w14:paraId="720E3F6F">
            <w:pPr>
              <w:pStyle w:val="14"/>
              <w:rPr>
                <w:rFonts w:hint="default" w:ascii="宋体" w:hAnsi="宋体" w:eastAsia="宋体" w:cs="宋体"/>
                <w:bCs/>
                <w:color w:val="auto"/>
                <w:highlight w:val="none"/>
                <w:lang w:val="en-US"/>
              </w:rPr>
            </w:pPr>
            <w:r>
              <w:rPr>
                <w:rFonts w:hint="eastAsia" w:ascii="宋体" w:hAnsi="宋体" w:eastAsia="宋体" w:cs="宋体"/>
                <w:bCs/>
                <w:color w:val="auto"/>
                <w:highlight w:val="none"/>
                <w:lang w:val="en-US" w:eastAsia="zh-CN"/>
              </w:rPr>
              <w:t>注：需提供合同或中标通知书复印件（或扫描件）并加盖单位公章。</w:t>
            </w:r>
          </w:p>
        </w:tc>
        <w:tc>
          <w:tcPr>
            <w:tcW w:w="0" w:type="auto"/>
            <w:noWrap w:val="0"/>
            <w:vAlign w:val="center"/>
          </w:tcPr>
          <w:p w14:paraId="7BD74B30">
            <w:pPr>
              <w:spacing w:before="120" w:beforeLines="50" w:after="120" w:afterLines="50" w:line="380" w:lineRule="exact"/>
              <w:jc w:val="center"/>
              <w:rPr>
                <w:rFonts w:ascii="宋体" w:hAnsi="宋体"/>
                <w:color w:val="auto"/>
                <w:sz w:val="24"/>
                <w:highlight w:val="none"/>
              </w:rPr>
            </w:pPr>
            <w:r>
              <w:rPr>
                <w:rFonts w:hint="eastAsia" w:ascii="宋体" w:hAnsi="宋体" w:eastAsia="宋体" w:cs="Times New Roman"/>
                <w:color w:val="auto"/>
                <w:sz w:val="24"/>
                <w:highlight w:val="none"/>
                <w:lang w:val="en-US" w:eastAsia="zh-CN"/>
              </w:rPr>
              <w:t>0-2分</w:t>
            </w:r>
          </w:p>
        </w:tc>
      </w:tr>
      <w:tr w14:paraId="19EA9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0" w:type="auto"/>
            <w:noWrap w:val="0"/>
            <w:vAlign w:val="center"/>
          </w:tcPr>
          <w:p w14:paraId="2212396D">
            <w:pPr>
              <w:spacing w:before="120" w:beforeLines="50" w:after="120" w:afterLines="50" w:line="38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9</w:t>
            </w:r>
          </w:p>
        </w:tc>
        <w:tc>
          <w:tcPr>
            <w:tcW w:w="0" w:type="auto"/>
            <w:noWrap w:val="0"/>
            <w:vAlign w:val="center"/>
          </w:tcPr>
          <w:p w14:paraId="6266BB45">
            <w:pPr>
              <w:spacing w:before="120" w:beforeLines="50" w:after="120" w:afterLines="50" w:line="380" w:lineRule="exact"/>
              <w:jc w:val="center"/>
              <w:rPr>
                <w:rFonts w:hint="default" w:ascii="宋体" w:hAnsi="宋体" w:eastAsia="宋体"/>
                <w:color w:val="auto"/>
                <w:sz w:val="24"/>
                <w:highlight w:val="none"/>
                <w:lang w:val="en-US" w:eastAsia="zh-CN"/>
              </w:rPr>
            </w:pPr>
            <w:r>
              <w:rPr>
                <w:rFonts w:hint="eastAsia" w:ascii="宋体" w:hAnsi="宋体"/>
                <w:b/>
                <w:bCs/>
                <w:color w:val="auto"/>
                <w:sz w:val="24"/>
                <w:highlight w:val="none"/>
                <w:lang w:val="en-US" w:eastAsia="zh-CN"/>
              </w:rPr>
              <w:t>企业认证</w:t>
            </w:r>
          </w:p>
        </w:tc>
        <w:tc>
          <w:tcPr>
            <w:tcW w:w="0" w:type="auto"/>
            <w:noWrap w:val="0"/>
            <w:vAlign w:val="center"/>
          </w:tcPr>
          <w:p w14:paraId="486FE97E">
            <w:pPr>
              <w:pStyle w:val="14"/>
              <w:ind w:firstLine="480"/>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lang w:val="en-US" w:eastAsia="zh-CN"/>
              </w:rPr>
              <w:t>1、供应商具有有效期内的质量管理体系认证证书的得2分。</w:t>
            </w:r>
          </w:p>
          <w:p w14:paraId="06A2ED6C">
            <w:pPr>
              <w:pStyle w:val="14"/>
              <w:ind w:firstLine="480"/>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lang w:val="en-US" w:eastAsia="zh-CN"/>
              </w:rPr>
              <w:t>2、供应商具有有效期内的环境管理体系认证证书的得2分。</w:t>
            </w:r>
          </w:p>
          <w:p w14:paraId="6C45C4EF">
            <w:pPr>
              <w:pStyle w:val="14"/>
              <w:ind w:firstLine="480"/>
              <w:rPr>
                <w:rFonts w:hint="eastAsia" w:ascii="宋体" w:hAnsi="宋体" w:eastAsia="宋体" w:cs="Times New Roman"/>
                <w:color w:val="auto"/>
                <w:sz w:val="24"/>
                <w:highlight w:val="none"/>
                <w:lang w:val="en-US" w:eastAsia="zh-CN"/>
              </w:rPr>
            </w:pPr>
            <w:r>
              <w:rPr>
                <w:rFonts w:hint="eastAsia" w:ascii="宋体" w:hAnsi="宋体" w:eastAsia="宋体" w:cs="宋体"/>
                <w:bCs/>
                <w:color w:val="auto"/>
                <w:highlight w:val="none"/>
                <w:lang w:val="en-US" w:eastAsia="zh-CN"/>
              </w:rPr>
              <w:t>3、供应商具有有效期内的职业健康安全体系认证证书的得2分。</w:t>
            </w:r>
          </w:p>
          <w:p w14:paraId="0D706C76">
            <w:pPr>
              <w:spacing w:before="120" w:beforeLines="50" w:after="120" w:afterLines="50" w:line="400" w:lineRule="exact"/>
              <w:ind w:firstLine="482" w:firstLineChars="200"/>
              <w:rPr>
                <w:color w:val="auto"/>
                <w:highlight w:val="none"/>
              </w:rPr>
            </w:pPr>
            <w:r>
              <w:rPr>
                <w:rFonts w:hint="eastAsia" w:hAnsi="宋体" w:cs="宋体"/>
                <w:b/>
                <w:bCs/>
                <w:color w:val="auto"/>
                <w:sz w:val="24"/>
                <w:highlight w:val="none"/>
                <w:lang w:val="en-US" w:eastAsia="zh-CN"/>
              </w:rPr>
              <w:t>注：</w:t>
            </w:r>
            <w:r>
              <w:rPr>
                <w:rFonts w:hint="eastAsia" w:hAnsi="宋体" w:eastAsia="宋体" w:cs="宋体"/>
                <w:b/>
                <w:bCs/>
                <w:color w:val="auto"/>
                <w:sz w:val="24"/>
                <w:highlight w:val="none"/>
                <w:lang w:val="zh-CN"/>
              </w:rPr>
              <w:t>需提供证书</w:t>
            </w:r>
            <w:r>
              <w:rPr>
                <w:rFonts w:hint="eastAsia" w:hAnsi="宋体" w:eastAsia="宋体" w:cs="宋体"/>
                <w:b/>
                <w:bCs/>
                <w:color w:val="auto"/>
                <w:sz w:val="24"/>
                <w:highlight w:val="none"/>
              </w:rPr>
              <w:t>复印件（或扫描件）和国家认证认可监督管理委员会官方网站上相关证书有效的网页截图或网站打印页并加盖单位公章。</w:t>
            </w:r>
          </w:p>
        </w:tc>
        <w:tc>
          <w:tcPr>
            <w:tcW w:w="0" w:type="auto"/>
            <w:noWrap w:val="0"/>
            <w:vAlign w:val="center"/>
          </w:tcPr>
          <w:p w14:paraId="7E33A64D">
            <w:pPr>
              <w:spacing w:before="120" w:beforeLines="50" w:after="120" w:afterLines="50" w:line="380" w:lineRule="exact"/>
              <w:jc w:val="center"/>
              <w:rPr>
                <w:rFonts w:ascii="宋体" w:hAnsi="宋体"/>
                <w:color w:val="auto"/>
                <w:sz w:val="24"/>
                <w:highlight w:val="none"/>
              </w:rPr>
            </w:pPr>
            <w:r>
              <w:rPr>
                <w:rFonts w:hint="eastAsia" w:ascii="宋体" w:hAnsi="宋体" w:eastAsia="宋体" w:cs="Times New Roman"/>
                <w:color w:val="auto"/>
                <w:sz w:val="24"/>
                <w:highlight w:val="none"/>
                <w:lang w:val="en-US" w:eastAsia="zh-CN"/>
              </w:rPr>
              <w:t>0-</w:t>
            </w:r>
            <w:r>
              <w:rPr>
                <w:rFonts w:hint="eastAsia" w:ascii="宋体" w:hAnsi="宋体" w:cs="Times New Roman"/>
                <w:color w:val="auto"/>
                <w:sz w:val="24"/>
                <w:highlight w:val="none"/>
                <w:lang w:val="en-US" w:eastAsia="zh-CN"/>
              </w:rPr>
              <w:t>6</w:t>
            </w:r>
            <w:r>
              <w:rPr>
                <w:rFonts w:hint="eastAsia" w:ascii="宋体" w:hAnsi="宋体" w:eastAsia="宋体" w:cs="Times New Roman"/>
                <w:color w:val="auto"/>
                <w:sz w:val="24"/>
                <w:highlight w:val="none"/>
                <w:lang w:val="en-US" w:eastAsia="zh-CN"/>
              </w:rPr>
              <w:t>分</w:t>
            </w:r>
          </w:p>
        </w:tc>
      </w:tr>
      <w:tr w14:paraId="7C752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0" w:type="auto"/>
            <w:noWrap w:val="0"/>
            <w:vAlign w:val="center"/>
          </w:tcPr>
          <w:p w14:paraId="0F7E663B">
            <w:pPr>
              <w:spacing w:before="120" w:beforeLines="50" w:after="120" w:afterLines="50" w:line="380" w:lineRule="exact"/>
              <w:jc w:val="center"/>
              <w:rPr>
                <w:rFonts w:hint="default" w:ascii="宋体" w:hAnsi="宋体"/>
                <w:color w:val="auto"/>
                <w:sz w:val="24"/>
                <w:highlight w:val="none"/>
                <w:lang w:val="en-US" w:eastAsia="zh-CN"/>
              </w:rPr>
            </w:pPr>
            <w:r>
              <w:rPr>
                <w:rFonts w:hint="eastAsia" w:ascii="宋体" w:hAnsi="宋体"/>
                <w:color w:val="auto"/>
                <w:sz w:val="24"/>
                <w:highlight w:val="none"/>
                <w:lang w:val="en-US" w:eastAsia="zh-CN"/>
              </w:rPr>
              <w:t>10</w:t>
            </w:r>
          </w:p>
        </w:tc>
        <w:tc>
          <w:tcPr>
            <w:tcW w:w="0" w:type="auto"/>
            <w:noWrap w:val="0"/>
            <w:vAlign w:val="center"/>
          </w:tcPr>
          <w:p w14:paraId="722DD035">
            <w:pPr>
              <w:spacing w:before="120" w:beforeLines="50" w:after="120" w:afterLines="50" w:line="380" w:lineRule="exact"/>
              <w:jc w:val="center"/>
              <w:rPr>
                <w:rFonts w:hint="default" w:ascii="宋体" w:hAnsi="宋体"/>
                <w:b/>
                <w:bCs/>
                <w:color w:val="auto"/>
                <w:sz w:val="24"/>
                <w:highlight w:val="none"/>
                <w:lang w:val="en-US" w:eastAsia="zh-CN"/>
              </w:rPr>
            </w:pPr>
            <w:r>
              <w:rPr>
                <w:rFonts w:hint="eastAsia" w:ascii="宋体" w:hAnsi="宋体"/>
                <w:b/>
                <w:bCs/>
                <w:color w:val="auto"/>
                <w:sz w:val="24"/>
                <w:highlight w:val="none"/>
                <w:lang w:val="en-US" w:eastAsia="zh-CN"/>
              </w:rPr>
              <w:t>企业实力</w:t>
            </w:r>
          </w:p>
        </w:tc>
        <w:tc>
          <w:tcPr>
            <w:tcW w:w="0" w:type="auto"/>
            <w:noWrap w:val="0"/>
            <w:vAlign w:val="center"/>
          </w:tcPr>
          <w:p w14:paraId="66732469">
            <w:pPr>
              <w:pStyle w:val="14"/>
              <w:ind w:firstLine="480"/>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lang w:val="en-US" w:eastAsia="zh-CN"/>
              </w:rPr>
              <w:t>1、供应商具有水利水电专业资信乙级的得2分，具有水利水电专业资信丙级的得1分；</w:t>
            </w:r>
          </w:p>
          <w:p w14:paraId="489B4811">
            <w:pPr>
              <w:pStyle w:val="14"/>
              <w:ind w:firstLine="480"/>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lang w:val="en-US" w:eastAsia="zh-CN"/>
              </w:rPr>
              <w:t>2、供应商具有水土保持方案编制3星及以上的得2分。</w:t>
            </w:r>
          </w:p>
          <w:p w14:paraId="75E08E8F">
            <w:pPr>
              <w:pStyle w:val="14"/>
              <w:ind w:firstLine="480"/>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lang w:val="en-US" w:eastAsia="zh-CN"/>
              </w:rPr>
              <w:t>3、2019年1月至今供应商曾获得省级及以上水土保持类或水利咨询类奖项的，每个得2分；市级及以上水土保持类或水利咨询类奖项的，每个得1分，最高得2分。</w:t>
            </w:r>
          </w:p>
          <w:p w14:paraId="31925225">
            <w:pPr>
              <w:pStyle w:val="3"/>
              <w:ind w:left="0" w:leftChars="0" w:firstLine="482" w:firstLineChars="200"/>
              <w:rPr>
                <w:rFonts w:hint="default"/>
                <w:color w:val="auto"/>
                <w:highlight w:val="none"/>
                <w:lang w:val="en-US" w:eastAsia="zh-CN"/>
              </w:rPr>
            </w:pPr>
            <w:r>
              <w:rPr>
                <w:rFonts w:hint="eastAsia" w:ascii="宋体" w:hAnsi="宋体" w:eastAsia="宋体" w:cs="Times New Roman"/>
                <w:b/>
                <w:bCs/>
                <w:color w:val="auto"/>
                <w:kern w:val="2"/>
                <w:sz w:val="24"/>
                <w:szCs w:val="24"/>
                <w:highlight w:val="none"/>
                <w:lang w:val="en-US" w:eastAsia="zh-CN" w:bidi="ar-SA"/>
              </w:rPr>
              <w:t>注：需提供证书复印件（或扫描件）并加盖单位公章。</w:t>
            </w:r>
          </w:p>
        </w:tc>
        <w:tc>
          <w:tcPr>
            <w:tcW w:w="0" w:type="auto"/>
            <w:noWrap w:val="0"/>
            <w:vAlign w:val="center"/>
          </w:tcPr>
          <w:p w14:paraId="61DB956F">
            <w:pPr>
              <w:spacing w:before="120" w:beforeLines="50" w:after="120" w:afterLines="50" w:line="380" w:lineRule="exact"/>
              <w:jc w:val="center"/>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0-</w:t>
            </w:r>
            <w:r>
              <w:rPr>
                <w:rFonts w:hint="eastAsia" w:ascii="宋体" w:hAnsi="宋体" w:cs="Times New Roman"/>
                <w:color w:val="auto"/>
                <w:sz w:val="24"/>
                <w:highlight w:val="none"/>
                <w:lang w:val="en-US" w:eastAsia="zh-CN"/>
              </w:rPr>
              <w:t>6</w:t>
            </w:r>
            <w:r>
              <w:rPr>
                <w:rFonts w:hint="eastAsia" w:ascii="宋体" w:hAnsi="宋体" w:eastAsia="宋体" w:cs="Times New Roman"/>
                <w:color w:val="auto"/>
                <w:sz w:val="24"/>
                <w:highlight w:val="none"/>
                <w:lang w:val="en-US" w:eastAsia="zh-CN"/>
              </w:rPr>
              <w:t>分</w:t>
            </w:r>
          </w:p>
        </w:tc>
      </w:tr>
    </w:tbl>
    <w:p w14:paraId="2C64F979">
      <w:pPr>
        <w:rPr>
          <w:rFonts w:ascii="宋体" w:hAnsi="宋体" w:cs="宋体"/>
          <w:b/>
          <w:bCs/>
          <w:color w:val="auto"/>
          <w:highlight w:val="none"/>
        </w:rPr>
      </w:pPr>
    </w:p>
    <w:p w14:paraId="1A7AB267">
      <w:pPr>
        <w:rPr>
          <w:rFonts w:ascii="宋体" w:hAnsi="宋体" w:cs="宋体"/>
          <w:color w:val="auto"/>
          <w:highlight w:val="none"/>
        </w:rPr>
      </w:pPr>
      <w:r>
        <w:rPr>
          <w:rFonts w:hint="eastAsia" w:ascii="宋体" w:hAnsi="宋体" w:cs="宋体"/>
          <w:b/>
          <w:bCs/>
          <w:color w:val="auto"/>
          <w:highlight w:val="none"/>
        </w:rPr>
        <w:t>注：以上证明文件复印件均须加盖公章，附在响应文件中，提供材料不真实、不完整或伪造证明材料的，后果自负</w:t>
      </w:r>
      <w:r>
        <w:rPr>
          <w:rFonts w:hint="eastAsia" w:ascii="宋体" w:hAnsi="宋体" w:cs="宋体"/>
          <w:color w:val="auto"/>
          <w:highlight w:val="none"/>
        </w:rPr>
        <w:t>。</w:t>
      </w:r>
    </w:p>
    <w:p w14:paraId="3148637B">
      <w:pPr>
        <w:spacing w:line="380" w:lineRule="exact"/>
        <w:rPr>
          <w:rFonts w:ascii="宋体" w:hAnsi="宋体" w:cs="宋体"/>
          <w:b/>
          <w:color w:val="auto"/>
          <w:highlight w:val="none"/>
        </w:rPr>
      </w:pPr>
      <w:r>
        <w:rPr>
          <w:rFonts w:hint="eastAsia" w:ascii="宋体" w:hAnsi="宋体" w:cs="宋体"/>
          <w:b/>
          <w:color w:val="auto"/>
          <w:highlight w:val="none"/>
        </w:rPr>
        <w:t xml:space="preserve">    3、技术、商务分的计算</w:t>
      </w:r>
    </w:p>
    <w:p w14:paraId="4E022BD7">
      <w:pPr>
        <w:spacing w:line="380" w:lineRule="exact"/>
        <w:rPr>
          <w:rFonts w:ascii="宋体" w:hAnsi="宋体" w:cs="宋体"/>
          <w:bCs/>
          <w:color w:val="auto"/>
          <w:highlight w:val="none"/>
        </w:rPr>
      </w:pPr>
      <w:r>
        <w:rPr>
          <w:rFonts w:hint="eastAsia" w:ascii="宋体" w:hAnsi="宋体" w:cs="宋体"/>
          <w:bCs/>
          <w:color w:val="auto"/>
          <w:highlight w:val="none"/>
        </w:rPr>
        <w:t xml:space="preserve">    技术、商务分按照磋商小组成员的独立评分结果汇总数算术平均分计算，计算公式为：</w:t>
      </w:r>
    </w:p>
    <w:p w14:paraId="29C6BB46">
      <w:pPr>
        <w:spacing w:line="380" w:lineRule="exact"/>
        <w:rPr>
          <w:rFonts w:ascii="宋体" w:hAnsi="宋体" w:cs="宋体"/>
          <w:bCs/>
          <w:color w:val="auto"/>
          <w:highlight w:val="none"/>
        </w:rPr>
      </w:pPr>
      <w:r>
        <w:rPr>
          <w:rFonts w:hint="eastAsia" w:ascii="宋体" w:hAnsi="宋体" w:cs="宋体"/>
          <w:bCs/>
          <w:color w:val="auto"/>
          <w:highlight w:val="none"/>
        </w:rPr>
        <w:t>技术、商务分=（磋商小组成员评分合计数）/（磋商小组组成人员数）</w:t>
      </w:r>
    </w:p>
    <w:p w14:paraId="51B20EF4">
      <w:pPr>
        <w:widowControl/>
        <w:autoSpaceDE w:val="0"/>
        <w:autoSpaceDN w:val="0"/>
        <w:snapToGrid w:val="0"/>
        <w:spacing w:line="380" w:lineRule="exact"/>
        <w:jc w:val="left"/>
        <w:rPr>
          <w:rFonts w:ascii="宋体" w:hAnsi="宋体" w:cs="宋体"/>
          <w:b/>
          <w:color w:val="auto"/>
          <w:highlight w:val="none"/>
        </w:rPr>
      </w:pPr>
      <w:r>
        <w:rPr>
          <w:rFonts w:hint="eastAsia" w:ascii="宋体" w:hAnsi="宋体" w:cs="宋体"/>
          <w:b/>
          <w:color w:val="auto"/>
          <w:highlight w:val="none"/>
        </w:rPr>
        <w:t xml:space="preserve">    4、评审方法</w:t>
      </w:r>
    </w:p>
    <w:p w14:paraId="2058E211">
      <w:pPr>
        <w:widowControl/>
        <w:autoSpaceDE w:val="0"/>
        <w:autoSpaceDN w:val="0"/>
        <w:snapToGrid w:val="0"/>
        <w:spacing w:line="380" w:lineRule="exact"/>
        <w:jc w:val="left"/>
        <w:rPr>
          <w:rFonts w:ascii="宋体" w:hAnsi="宋体" w:cs="宋体"/>
          <w:bCs/>
          <w:color w:val="auto"/>
          <w:highlight w:val="none"/>
        </w:rPr>
      </w:pPr>
      <w:r>
        <w:rPr>
          <w:rFonts w:hint="eastAsia" w:ascii="宋体" w:hAnsi="宋体" w:cs="宋体"/>
          <w:bCs/>
          <w:color w:val="auto"/>
          <w:highlight w:val="none"/>
        </w:rPr>
        <w:t xml:space="preserve">    磋商小组根据磋商情况及各供应商完工时间、服务条款响应情况、技术方案、提供服务的质量、付款方式、供应商综合实力、资信情况、承诺的售后服务等多方面进行评审。</w:t>
      </w:r>
    </w:p>
    <w:p w14:paraId="3F6F85D3">
      <w:pPr>
        <w:widowControl/>
        <w:autoSpaceDE w:val="0"/>
        <w:autoSpaceDN w:val="0"/>
        <w:snapToGrid w:val="0"/>
        <w:spacing w:line="380" w:lineRule="exact"/>
        <w:ind w:firstLine="480" w:firstLineChars="200"/>
        <w:jc w:val="left"/>
        <w:rPr>
          <w:rFonts w:ascii="宋体" w:hAnsi="宋体" w:cs="宋体"/>
          <w:bCs/>
          <w:color w:val="auto"/>
          <w:highlight w:val="none"/>
        </w:rPr>
      </w:pPr>
      <w:r>
        <w:rPr>
          <w:rFonts w:hint="eastAsia" w:ascii="宋体" w:hAnsi="宋体" w:cs="宋体"/>
          <w:bCs/>
          <w:color w:val="auto"/>
          <w:highlight w:val="none"/>
        </w:rPr>
        <w:t>确定进入最终报价的供应商名单。</w:t>
      </w:r>
    </w:p>
    <w:p w14:paraId="19691662">
      <w:pPr>
        <w:widowControl/>
        <w:autoSpaceDE w:val="0"/>
        <w:autoSpaceDN w:val="0"/>
        <w:snapToGrid w:val="0"/>
        <w:spacing w:line="380" w:lineRule="exact"/>
        <w:jc w:val="left"/>
        <w:rPr>
          <w:rFonts w:ascii="宋体" w:hAnsi="宋体" w:cs="宋体"/>
          <w:b/>
          <w:color w:val="auto"/>
          <w:highlight w:val="none"/>
        </w:rPr>
      </w:pPr>
      <w:r>
        <w:rPr>
          <w:rFonts w:hint="eastAsia" w:ascii="宋体" w:hAnsi="宋体" w:cs="宋体"/>
          <w:b/>
          <w:color w:val="auto"/>
          <w:highlight w:val="none"/>
        </w:rPr>
        <w:t xml:space="preserve">    5、推荐成交供应商</w:t>
      </w:r>
    </w:p>
    <w:p w14:paraId="07428529">
      <w:pPr>
        <w:widowControl/>
        <w:autoSpaceDE w:val="0"/>
        <w:autoSpaceDN w:val="0"/>
        <w:snapToGrid w:val="0"/>
        <w:spacing w:line="380" w:lineRule="exact"/>
        <w:jc w:val="left"/>
        <w:rPr>
          <w:rFonts w:ascii="宋体" w:hAnsi="宋体" w:cs="宋体"/>
          <w:bCs/>
          <w:color w:val="auto"/>
          <w:highlight w:val="none"/>
        </w:rPr>
      </w:pPr>
      <w:r>
        <w:rPr>
          <w:rFonts w:hint="eastAsia" w:ascii="宋体" w:hAnsi="宋体" w:cs="宋体"/>
          <w:bCs/>
          <w:color w:val="auto"/>
          <w:highlight w:val="none"/>
        </w:rPr>
        <w:t xml:space="preserve">    磋商小组推荐综合得分第一名的供应商为成交供应商，第二名的为候补成交供应商……依次类推。成交候选供应商资格按评标总分由高到低顺序排列，评标总分相同的，按照最后报价由低到高的顺序推荐。评审总分且最后报价相同的并列。并编写评审报告。</w:t>
      </w:r>
    </w:p>
    <w:p w14:paraId="03184973">
      <w:pPr>
        <w:pStyle w:val="6"/>
        <w:spacing w:before="0" w:after="0" w:line="380" w:lineRule="exact"/>
        <w:rPr>
          <w:rFonts w:ascii="宋体" w:hAnsi="宋体" w:eastAsia="宋体" w:cs="宋体"/>
          <w:color w:val="auto"/>
          <w:sz w:val="24"/>
          <w:szCs w:val="24"/>
          <w:highlight w:val="none"/>
        </w:rPr>
      </w:pPr>
      <w:bookmarkStart w:id="96" w:name="_Toc402872211"/>
      <w:bookmarkEnd w:id="96"/>
      <w:bookmarkStart w:id="97" w:name="_Toc14678"/>
      <w:bookmarkEnd w:id="97"/>
      <w:bookmarkStart w:id="98" w:name="_Toc11589"/>
      <w:bookmarkEnd w:id="98"/>
      <w:bookmarkStart w:id="99" w:name="_Toc29138"/>
      <w:bookmarkEnd w:id="99"/>
      <w:bookmarkStart w:id="100" w:name="_Toc282640736"/>
      <w:bookmarkEnd w:id="100"/>
      <w:r>
        <w:rPr>
          <w:rFonts w:hint="eastAsia" w:ascii="宋体" w:hAnsi="宋体" w:eastAsia="宋体" w:cs="宋体"/>
          <w:color w:val="auto"/>
          <w:sz w:val="24"/>
          <w:szCs w:val="24"/>
          <w:highlight w:val="none"/>
        </w:rPr>
        <w:t>八、资格审查</w:t>
      </w:r>
    </w:p>
    <w:p w14:paraId="46B2944B">
      <w:pPr>
        <w:widowControl/>
        <w:autoSpaceDE w:val="0"/>
        <w:autoSpaceDN w:val="0"/>
        <w:snapToGrid w:val="0"/>
        <w:spacing w:line="380" w:lineRule="exact"/>
        <w:jc w:val="left"/>
        <w:rPr>
          <w:rFonts w:ascii="宋体" w:hAnsi="宋体" w:cs="宋体"/>
          <w:bCs/>
          <w:color w:val="auto"/>
          <w:highlight w:val="none"/>
        </w:rPr>
      </w:pPr>
      <w:r>
        <w:rPr>
          <w:rFonts w:hint="eastAsia" w:ascii="宋体" w:hAnsi="宋体" w:cs="宋体"/>
          <w:bCs/>
          <w:color w:val="auto"/>
          <w:highlight w:val="none"/>
        </w:rPr>
        <w:t xml:space="preserve">    1、磋商小组将对所选择的成交候选人是否有资格或能力圆满地履行合同做出进一步确认。</w:t>
      </w:r>
    </w:p>
    <w:p w14:paraId="3755A6EE">
      <w:pPr>
        <w:widowControl/>
        <w:autoSpaceDE w:val="0"/>
        <w:autoSpaceDN w:val="0"/>
        <w:snapToGrid w:val="0"/>
        <w:spacing w:line="380" w:lineRule="exact"/>
        <w:jc w:val="left"/>
        <w:rPr>
          <w:rFonts w:ascii="宋体" w:hAnsi="宋体" w:cs="宋体"/>
          <w:bCs/>
          <w:color w:val="auto"/>
          <w:highlight w:val="none"/>
        </w:rPr>
      </w:pPr>
      <w:r>
        <w:rPr>
          <w:rFonts w:hint="eastAsia" w:ascii="宋体" w:hAnsi="宋体" w:cs="宋体"/>
          <w:bCs/>
          <w:color w:val="auto"/>
          <w:highlight w:val="none"/>
        </w:rPr>
        <w:t xml:space="preserve">    2、如果供应商被确定为不具备履行合同的能力，磋商小组有权拒绝签发成交通知书。在该情况下，磋商小组将考虑按同样的程序审查下一位成交候选人。</w:t>
      </w:r>
    </w:p>
    <w:p w14:paraId="4493E931">
      <w:pPr>
        <w:pStyle w:val="6"/>
        <w:spacing w:before="0" w:after="0" w:line="380" w:lineRule="exact"/>
        <w:rPr>
          <w:rFonts w:ascii="宋体" w:hAnsi="宋体" w:eastAsia="宋体" w:cs="宋体"/>
          <w:color w:val="auto"/>
          <w:sz w:val="24"/>
          <w:szCs w:val="24"/>
          <w:highlight w:val="none"/>
        </w:rPr>
      </w:pPr>
      <w:bookmarkStart w:id="101" w:name="_Toc29356"/>
      <w:bookmarkEnd w:id="101"/>
      <w:bookmarkStart w:id="102" w:name="_Toc5918"/>
      <w:bookmarkEnd w:id="102"/>
      <w:bookmarkStart w:id="103" w:name="_Toc402872212"/>
      <w:bookmarkEnd w:id="103"/>
      <w:bookmarkStart w:id="104" w:name="_Toc20293"/>
      <w:bookmarkEnd w:id="104"/>
      <w:r>
        <w:rPr>
          <w:rFonts w:hint="eastAsia" w:ascii="宋体" w:hAnsi="宋体" w:eastAsia="宋体" w:cs="宋体"/>
          <w:color w:val="auto"/>
          <w:sz w:val="24"/>
          <w:szCs w:val="24"/>
          <w:highlight w:val="none"/>
        </w:rPr>
        <w:t>九、 成交通知、授予合同</w:t>
      </w:r>
    </w:p>
    <w:p w14:paraId="05364181">
      <w:pPr>
        <w:widowControl/>
        <w:autoSpaceDE w:val="0"/>
        <w:autoSpaceDN w:val="0"/>
        <w:snapToGrid w:val="0"/>
        <w:spacing w:line="380" w:lineRule="exact"/>
        <w:jc w:val="left"/>
        <w:rPr>
          <w:rFonts w:ascii="宋体" w:hAnsi="宋体" w:cs="宋体"/>
          <w:bCs/>
          <w:color w:val="auto"/>
          <w:highlight w:val="none"/>
        </w:rPr>
      </w:pPr>
      <w:r>
        <w:rPr>
          <w:rFonts w:hint="eastAsia" w:ascii="宋体" w:hAnsi="宋体" w:cs="宋体"/>
          <w:bCs/>
          <w:color w:val="auto"/>
          <w:highlight w:val="none"/>
        </w:rPr>
        <w:t xml:space="preserve">    1、经磋商小组审查，确定成交候选人，发出成交通知书。</w:t>
      </w:r>
    </w:p>
    <w:p w14:paraId="4BC9C160">
      <w:pPr>
        <w:widowControl/>
        <w:autoSpaceDE w:val="0"/>
        <w:autoSpaceDN w:val="0"/>
        <w:snapToGrid w:val="0"/>
        <w:spacing w:line="380" w:lineRule="exact"/>
        <w:ind w:firstLine="480" w:firstLineChars="200"/>
        <w:jc w:val="left"/>
        <w:rPr>
          <w:rFonts w:ascii="宋体" w:hAnsi="宋体" w:cs="宋体"/>
          <w:bCs/>
          <w:color w:val="auto"/>
          <w:highlight w:val="none"/>
        </w:rPr>
      </w:pPr>
      <w:r>
        <w:rPr>
          <w:rFonts w:hint="eastAsia" w:ascii="宋体" w:hAnsi="宋体" w:cs="宋体"/>
          <w:bCs/>
          <w:color w:val="auto"/>
          <w:highlight w:val="none"/>
        </w:rPr>
        <w:t>2、成交供应商凭成交通知书在30天内签订合同，逾期取消成交资格。</w:t>
      </w:r>
    </w:p>
    <w:p w14:paraId="0E7F51EB">
      <w:pPr>
        <w:widowControl/>
        <w:autoSpaceDE w:val="0"/>
        <w:autoSpaceDN w:val="0"/>
        <w:snapToGrid w:val="0"/>
        <w:spacing w:line="380" w:lineRule="exact"/>
        <w:ind w:firstLine="480" w:firstLineChars="200"/>
        <w:jc w:val="left"/>
        <w:rPr>
          <w:rFonts w:ascii="宋体" w:hAnsi="宋体" w:cs="宋体"/>
          <w:bCs/>
          <w:color w:val="auto"/>
          <w:highlight w:val="none"/>
        </w:rPr>
      </w:pPr>
      <w:r>
        <w:rPr>
          <w:rFonts w:hint="eastAsia" w:ascii="宋体" w:hAnsi="宋体" w:cs="宋体"/>
          <w:bCs/>
          <w:color w:val="auto"/>
          <w:highlight w:val="none"/>
        </w:rPr>
        <w:t>3、成交供应商在规定的时间内不履行合同，按违约处理，并按有关规定承担违约责任。</w:t>
      </w:r>
    </w:p>
    <w:p w14:paraId="1993CCB3">
      <w:pPr>
        <w:jc w:val="center"/>
        <w:rPr>
          <w:rFonts w:ascii="宋体" w:hAnsi="宋体" w:cs="宋体"/>
          <w:b/>
          <w:color w:val="auto"/>
          <w:sz w:val="44"/>
          <w:szCs w:val="44"/>
          <w:highlight w:val="none"/>
        </w:rPr>
      </w:pPr>
      <w:bookmarkStart w:id="105" w:name="_Toc20893"/>
      <w:r>
        <w:rPr>
          <w:rFonts w:hint="eastAsia" w:ascii="宋体" w:hAnsi="宋体" w:cs="宋体"/>
          <w:color w:val="auto"/>
          <w:sz w:val="44"/>
          <w:szCs w:val="44"/>
          <w:highlight w:val="none"/>
        </w:rPr>
        <w:t>第五章  合同主要条款（仅供参考）</w:t>
      </w:r>
    </w:p>
    <w:p w14:paraId="5647C803">
      <w:pPr>
        <w:jc w:val="center"/>
        <w:rPr>
          <w:rFonts w:ascii="宋体" w:hAnsi="宋体" w:cs="宋体"/>
          <w:b/>
          <w:color w:val="auto"/>
          <w:sz w:val="28"/>
          <w:szCs w:val="28"/>
          <w:highlight w:val="none"/>
        </w:rPr>
      </w:pPr>
      <w:r>
        <w:rPr>
          <w:rFonts w:hint="eastAsia" w:ascii="宋体" w:hAnsi="宋体" w:cs="宋体"/>
          <w:b/>
          <w:color w:val="auto"/>
          <w:sz w:val="28"/>
          <w:szCs w:val="28"/>
          <w:highlight w:val="none"/>
        </w:rPr>
        <w:t>（服务类）</w:t>
      </w:r>
    </w:p>
    <w:p w14:paraId="0C7F4C96">
      <w:pPr>
        <w:pStyle w:val="14"/>
        <w:rPr>
          <w:bCs/>
          <w:color w:val="auto"/>
          <w:highlight w:val="none"/>
        </w:rPr>
      </w:pPr>
      <w:r>
        <w:rPr>
          <w:rFonts w:hint="eastAsia"/>
          <w:bCs/>
          <w:color w:val="auto"/>
          <w:highlight w:val="none"/>
        </w:rPr>
        <w:t xml:space="preserve">财政审批编号:                                        招标文件编号:  </w:t>
      </w:r>
    </w:p>
    <w:p w14:paraId="7FB313F9">
      <w:pPr>
        <w:pStyle w:val="14"/>
        <w:ind w:left="480" w:leftChars="200" w:firstLine="360" w:firstLineChars="150"/>
        <w:rPr>
          <w:bCs/>
          <w:color w:val="auto"/>
          <w:highlight w:val="none"/>
        </w:rPr>
      </w:pPr>
      <w:r>
        <w:rPr>
          <w:rFonts w:hint="eastAsia"/>
          <w:bCs/>
          <w:color w:val="auto"/>
          <w:highlight w:val="none"/>
        </w:rPr>
        <w:t>1.定义</w:t>
      </w:r>
    </w:p>
    <w:p w14:paraId="25AEBD3D">
      <w:pPr>
        <w:pStyle w:val="14"/>
        <w:ind w:left="480" w:leftChars="200" w:firstLine="360" w:firstLineChars="150"/>
        <w:rPr>
          <w:bCs/>
          <w:color w:val="auto"/>
          <w:highlight w:val="none"/>
        </w:rPr>
      </w:pPr>
      <w:r>
        <w:rPr>
          <w:rFonts w:hint="eastAsia"/>
          <w:bCs/>
          <w:color w:val="auto"/>
          <w:highlight w:val="none"/>
        </w:rPr>
        <w:t>本合同中的下列术语应解释为：</w:t>
      </w:r>
    </w:p>
    <w:p w14:paraId="6A074E61">
      <w:pPr>
        <w:pStyle w:val="14"/>
        <w:ind w:left="480" w:leftChars="200" w:firstLine="360" w:firstLineChars="150"/>
        <w:rPr>
          <w:bCs/>
          <w:color w:val="auto"/>
          <w:highlight w:val="none"/>
        </w:rPr>
      </w:pPr>
      <w:r>
        <w:rPr>
          <w:rFonts w:hint="eastAsia"/>
          <w:bCs/>
          <w:color w:val="auto"/>
          <w:highlight w:val="none"/>
        </w:rPr>
        <w:t>1.1“合同”系指供需双方签署的、合同格式中载明的供需双方所达成的协议，包括所有的附件、附录和构成合同的所有文件；</w:t>
      </w:r>
    </w:p>
    <w:p w14:paraId="095C5081">
      <w:pPr>
        <w:pStyle w:val="14"/>
        <w:ind w:left="480" w:leftChars="200" w:firstLine="360" w:firstLineChars="150"/>
        <w:rPr>
          <w:bCs/>
          <w:color w:val="auto"/>
          <w:highlight w:val="none"/>
        </w:rPr>
      </w:pPr>
      <w:r>
        <w:rPr>
          <w:rFonts w:hint="eastAsia"/>
          <w:bCs/>
          <w:color w:val="auto"/>
          <w:highlight w:val="none"/>
        </w:rPr>
        <w:t>1.2“合同价”系指根据合同规定，采购人在供应商完全履行合同义务后应付给的价格；</w:t>
      </w:r>
    </w:p>
    <w:p w14:paraId="75960FEC">
      <w:pPr>
        <w:pStyle w:val="14"/>
        <w:ind w:left="480" w:leftChars="200" w:firstLine="360" w:firstLineChars="150"/>
        <w:rPr>
          <w:bCs/>
          <w:color w:val="auto"/>
          <w:highlight w:val="none"/>
        </w:rPr>
      </w:pPr>
      <w:r>
        <w:rPr>
          <w:rFonts w:hint="eastAsia"/>
          <w:bCs/>
          <w:color w:val="auto"/>
          <w:highlight w:val="none"/>
        </w:rPr>
        <w:t>1.3“货物”系指供应商根据合同规定向采购人提供的一切货物、质量保证书和其他技术资料及技术参数；</w:t>
      </w:r>
    </w:p>
    <w:p w14:paraId="0A234658">
      <w:pPr>
        <w:pStyle w:val="14"/>
        <w:ind w:left="480" w:leftChars="200" w:firstLine="360" w:firstLineChars="150"/>
        <w:rPr>
          <w:bCs/>
          <w:color w:val="auto"/>
          <w:highlight w:val="none"/>
        </w:rPr>
      </w:pPr>
      <w:r>
        <w:rPr>
          <w:rFonts w:hint="eastAsia"/>
          <w:bCs/>
          <w:color w:val="auto"/>
          <w:highlight w:val="none"/>
        </w:rPr>
        <w:t>1.4“服务”系指根据合同规定供应商承担与供货有关的辅助服务，如运输、装卸、安装、保险以及其他的服务，例如安装、调试提供技术援助、培训和其他类似的义务；</w:t>
      </w:r>
    </w:p>
    <w:p w14:paraId="7F2F4216">
      <w:pPr>
        <w:pStyle w:val="14"/>
        <w:ind w:left="480" w:leftChars="200" w:firstLine="360" w:firstLineChars="150"/>
        <w:rPr>
          <w:bCs/>
          <w:color w:val="auto"/>
          <w:highlight w:val="none"/>
        </w:rPr>
      </w:pPr>
      <w:r>
        <w:rPr>
          <w:rFonts w:hint="eastAsia"/>
          <w:bCs/>
          <w:color w:val="auto"/>
          <w:highlight w:val="none"/>
        </w:rPr>
        <w:t>1.5“采购人”系指具体使用货物和接受服务的使用单位；</w:t>
      </w:r>
    </w:p>
    <w:p w14:paraId="74737CB4">
      <w:pPr>
        <w:pStyle w:val="14"/>
        <w:ind w:left="480" w:leftChars="200" w:firstLine="360" w:firstLineChars="150"/>
        <w:rPr>
          <w:bCs/>
          <w:color w:val="auto"/>
          <w:highlight w:val="none"/>
        </w:rPr>
      </w:pPr>
      <w:r>
        <w:rPr>
          <w:rFonts w:hint="eastAsia"/>
          <w:bCs/>
          <w:color w:val="auto"/>
          <w:highlight w:val="none"/>
        </w:rPr>
        <w:t>1.6“供应商”系指根据合同规定提供采购项目货物和服务的具有法人资格的公司、企业或实体；</w:t>
      </w:r>
    </w:p>
    <w:p w14:paraId="541CF139">
      <w:pPr>
        <w:pStyle w:val="14"/>
        <w:ind w:left="480" w:leftChars="200" w:firstLine="360" w:firstLineChars="150"/>
        <w:rPr>
          <w:bCs/>
          <w:color w:val="auto"/>
          <w:highlight w:val="none"/>
        </w:rPr>
      </w:pPr>
      <w:r>
        <w:rPr>
          <w:rFonts w:hint="eastAsia"/>
          <w:bCs/>
          <w:color w:val="auto"/>
          <w:highlight w:val="none"/>
        </w:rPr>
        <w:t>1.7“财政审批编号”系指市财政局审批编号。</w:t>
      </w:r>
    </w:p>
    <w:p w14:paraId="4E1FE631">
      <w:pPr>
        <w:pStyle w:val="14"/>
        <w:ind w:left="480" w:leftChars="200" w:firstLine="360" w:firstLineChars="150"/>
        <w:rPr>
          <w:bCs/>
          <w:color w:val="auto"/>
          <w:highlight w:val="none"/>
        </w:rPr>
      </w:pPr>
      <w:r>
        <w:rPr>
          <w:rFonts w:hint="eastAsia"/>
          <w:bCs/>
          <w:color w:val="auto"/>
          <w:highlight w:val="none"/>
        </w:rPr>
        <w:t>2.合同项目与内容：</w:t>
      </w:r>
    </w:p>
    <w:p w14:paraId="7BB3891F">
      <w:pPr>
        <w:pStyle w:val="14"/>
        <w:ind w:left="480" w:leftChars="200" w:firstLine="360" w:firstLineChars="150"/>
        <w:rPr>
          <w:bCs/>
          <w:color w:val="auto"/>
          <w:highlight w:val="none"/>
        </w:rPr>
      </w:pPr>
      <w:r>
        <w:rPr>
          <w:rFonts w:hint="eastAsia"/>
          <w:bCs/>
          <w:color w:val="auto"/>
          <w:highlight w:val="none"/>
        </w:rPr>
        <w:t>3.服务时间与服务地点</w:t>
      </w:r>
    </w:p>
    <w:p w14:paraId="29838F8F">
      <w:pPr>
        <w:pStyle w:val="14"/>
        <w:ind w:left="480" w:leftChars="200" w:firstLine="360" w:firstLineChars="150"/>
        <w:rPr>
          <w:bCs/>
          <w:color w:val="auto"/>
          <w:highlight w:val="none"/>
        </w:rPr>
      </w:pPr>
      <w:r>
        <w:rPr>
          <w:rFonts w:hint="eastAsia"/>
          <w:bCs/>
          <w:color w:val="auto"/>
          <w:highlight w:val="none"/>
        </w:rPr>
        <w:t>服务时间：详见招标文件要求；</w:t>
      </w:r>
    </w:p>
    <w:p w14:paraId="44789EF2">
      <w:pPr>
        <w:pStyle w:val="14"/>
        <w:ind w:left="480" w:leftChars="200" w:firstLine="360" w:firstLineChars="150"/>
        <w:rPr>
          <w:bCs/>
          <w:color w:val="auto"/>
          <w:highlight w:val="none"/>
        </w:rPr>
      </w:pPr>
      <w:r>
        <w:rPr>
          <w:rFonts w:hint="eastAsia"/>
          <w:bCs/>
          <w:color w:val="auto"/>
          <w:highlight w:val="none"/>
        </w:rPr>
        <w:t>服务地点：由采购单位指定。</w:t>
      </w:r>
    </w:p>
    <w:p w14:paraId="0A8BB3B9">
      <w:pPr>
        <w:pStyle w:val="14"/>
        <w:ind w:left="480" w:leftChars="200" w:firstLine="360" w:firstLineChars="150"/>
        <w:rPr>
          <w:bCs/>
          <w:color w:val="auto"/>
          <w:highlight w:val="none"/>
        </w:rPr>
      </w:pPr>
      <w:r>
        <w:rPr>
          <w:rFonts w:hint="eastAsia"/>
          <w:bCs/>
          <w:color w:val="auto"/>
          <w:highlight w:val="none"/>
        </w:rPr>
        <w:t>4.签署合同的要求</w:t>
      </w:r>
    </w:p>
    <w:p w14:paraId="1C508F8B">
      <w:pPr>
        <w:pStyle w:val="14"/>
        <w:ind w:left="480" w:leftChars="200" w:firstLine="360" w:firstLineChars="150"/>
        <w:rPr>
          <w:bCs/>
          <w:color w:val="auto"/>
          <w:highlight w:val="none"/>
        </w:rPr>
      </w:pPr>
      <w:r>
        <w:rPr>
          <w:rFonts w:hint="eastAsia"/>
          <w:bCs/>
          <w:color w:val="auto"/>
          <w:highlight w:val="none"/>
        </w:rPr>
        <w:t>4.1、供应商必须按照竞标文件和询标过程中承诺的条款以及中标通知书中规定的时间、地点与采购人签订合同；</w:t>
      </w:r>
    </w:p>
    <w:p w14:paraId="5A06FFDA">
      <w:pPr>
        <w:pStyle w:val="14"/>
        <w:ind w:left="480" w:leftChars="200" w:firstLine="360" w:firstLineChars="150"/>
        <w:rPr>
          <w:bCs/>
          <w:color w:val="auto"/>
          <w:highlight w:val="none"/>
        </w:rPr>
      </w:pPr>
      <w:r>
        <w:rPr>
          <w:rFonts w:hint="eastAsia"/>
          <w:bCs/>
          <w:color w:val="auto"/>
          <w:highlight w:val="none"/>
        </w:rPr>
        <w:t>4.2、所签订的合同内容不得对招标文件和供应商的投标文件作实质性修改；</w:t>
      </w:r>
    </w:p>
    <w:p w14:paraId="12D3B5A3">
      <w:pPr>
        <w:pStyle w:val="14"/>
        <w:ind w:left="480" w:leftChars="200" w:firstLine="360" w:firstLineChars="150"/>
        <w:rPr>
          <w:bCs/>
          <w:color w:val="auto"/>
          <w:highlight w:val="none"/>
        </w:rPr>
      </w:pPr>
      <w:r>
        <w:rPr>
          <w:rFonts w:hint="eastAsia"/>
          <w:bCs/>
          <w:color w:val="auto"/>
          <w:highlight w:val="none"/>
        </w:rPr>
        <w:t>4.3、采购人不得向供应商提出任何不合理的要求，作为签订合同的条件，不得与供应商私下订立背离合同实质性内容的协议；</w:t>
      </w:r>
    </w:p>
    <w:p w14:paraId="6EE24E3C">
      <w:pPr>
        <w:pStyle w:val="14"/>
        <w:ind w:left="480" w:leftChars="200" w:firstLine="360" w:firstLineChars="150"/>
        <w:rPr>
          <w:bCs/>
          <w:color w:val="auto"/>
          <w:highlight w:val="none"/>
        </w:rPr>
      </w:pPr>
      <w:r>
        <w:rPr>
          <w:rFonts w:hint="eastAsia"/>
          <w:bCs/>
          <w:color w:val="auto"/>
          <w:highlight w:val="none"/>
        </w:rPr>
        <w:t>5.技术规范</w:t>
      </w:r>
    </w:p>
    <w:p w14:paraId="6EDC89DB">
      <w:pPr>
        <w:pStyle w:val="14"/>
        <w:ind w:left="480" w:leftChars="200" w:firstLine="360" w:firstLineChars="150"/>
        <w:rPr>
          <w:bCs/>
          <w:color w:val="auto"/>
          <w:highlight w:val="none"/>
          <w:lang w:val="zh-CN"/>
        </w:rPr>
      </w:pPr>
      <w:r>
        <w:rPr>
          <w:rFonts w:hint="eastAsia"/>
          <w:bCs/>
          <w:color w:val="auto"/>
          <w:highlight w:val="none"/>
          <w:lang w:val="zh-CN"/>
        </w:rPr>
        <w:t>本合同执行国家及本省、市现行项目实施及验收规范及有关条例、实施办法等。</w:t>
      </w:r>
    </w:p>
    <w:p w14:paraId="1475DAAF">
      <w:pPr>
        <w:pStyle w:val="14"/>
        <w:ind w:left="480" w:leftChars="200" w:firstLine="360" w:firstLineChars="150"/>
        <w:rPr>
          <w:bCs/>
          <w:color w:val="auto"/>
          <w:highlight w:val="none"/>
        </w:rPr>
      </w:pPr>
      <w:r>
        <w:rPr>
          <w:rFonts w:hint="eastAsia"/>
          <w:bCs/>
          <w:color w:val="auto"/>
          <w:highlight w:val="none"/>
        </w:rPr>
        <w:t>提供和交付的服务技术规范应与招标文件规定的技术规范相一致。</w:t>
      </w:r>
    </w:p>
    <w:p w14:paraId="35C1FB56">
      <w:pPr>
        <w:pStyle w:val="14"/>
        <w:ind w:left="480" w:leftChars="200" w:firstLine="360" w:firstLineChars="150"/>
        <w:rPr>
          <w:bCs/>
          <w:color w:val="auto"/>
          <w:highlight w:val="none"/>
        </w:rPr>
      </w:pPr>
      <w:r>
        <w:rPr>
          <w:rFonts w:hint="eastAsia"/>
          <w:bCs/>
          <w:color w:val="auto"/>
          <w:highlight w:val="none"/>
        </w:rPr>
        <w:t>6.知识产权</w:t>
      </w:r>
    </w:p>
    <w:p w14:paraId="096C6341">
      <w:pPr>
        <w:pStyle w:val="14"/>
        <w:ind w:left="480" w:leftChars="200" w:firstLine="360" w:firstLineChars="150"/>
        <w:rPr>
          <w:bCs/>
          <w:color w:val="auto"/>
          <w:highlight w:val="none"/>
        </w:rPr>
      </w:pPr>
      <w:r>
        <w:rPr>
          <w:rFonts w:hint="eastAsia"/>
          <w:bCs/>
          <w:color w:val="auto"/>
          <w:highlight w:val="none"/>
        </w:rPr>
        <w:t>供应商保证所提供的服务及货物均不存在知识产权纠纷。供应商应保证采购人在使用时不受第三方提出侵犯其专利权、商标权等知识产权的诉讼。</w:t>
      </w:r>
    </w:p>
    <w:p w14:paraId="409F60AA">
      <w:pPr>
        <w:pStyle w:val="14"/>
        <w:ind w:left="480" w:leftChars="200" w:firstLine="360" w:firstLineChars="150"/>
        <w:rPr>
          <w:bCs/>
          <w:color w:val="auto"/>
          <w:highlight w:val="none"/>
        </w:rPr>
      </w:pPr>
      <w:r>
        <w:rPr>
          <w:rFonts w:hint="eastAsia"/>
          <w:bCs/>
          <w:color w:val="auto"/>
          <w:highlight w:val="none"/>
        </w:rPr>
        <w:t>7. 工作考核及付款方式</w:t>
      </w:r>
    </w:p>
    <w:p w14:paraId="445F2D25">
      <w:pPr>
        <w:pStyle w:val="14"/>
        <w:ind w:left="480" w:leftChars="200" w:firstLine="360" w:firstLineChars="150"/>
        <w:rPr>
          <w:bCs/>
          <w:color w:val="auto"/>
          <w:highlight w:val="none"/>
        </w:rPr>
      </w:pPr>
      <w:r>
        <w:rPr>
          <w:rFonts w:hint="eastAsia"/>
          <w:bCs/>
          <w:color w:val="auto"/>
          <w:highlight w:val="none"/>
        </w:rPr>
        <w:t>根据省财政厅《浙江省财政厅关于进一步发挥政府采购政策功能全力推动经济稳进提质的通知》（浙财采监【2022】3号）要求，</w:t>
      </w:r>
    </w:p>
    <w:p w14:paraId="218D2834">
      <w:pPr>
        <w:pStyle w:val="14"/>
        <w:ind w:left="480" w:leftChars="200" w:firstLine="360" w:firstLineChars="150"/>
        <w:rPr>
          <w:bCs/>
          <w:color w:val="auto"/>
          <w:highlight w:val="none"/>
        </w:rPr>
      </w:pPr>
      <w:r>
        <w:rPr>
          <w:rFonts w:hint="eastAsia"/>
          <w:bCs/>
          <w:color w:val="auto"/>
          <w:highlight w:val="none"/>
        </w:rPr>
        <w:t>付款方式：</w:t>
      </w:r>
    </w:p>
    <w:p w14:paraId="4E12488E">
      <w:pPr>
        <w:pStyle w:val="14"/>
        <w:ind w:left="480" w:leftChars="200" w:firstLine="360" w:firstLineChars="150"/>
        <w:rPr>
          <w:bCs/>
          <w:color w:val="auto"/>
          <w:highlight w:val="none"/>
        </w:rPr>
      </w:pPr>
      <w:r>
        <w:rPr>
          <w:rFonts w:hint="eastAsia"/>
          <w:bCs/>
          <w:color w:val="auto"/>
          <w:highlight w:val="none"/>
        </w:rPr>
        <w:t>（在签订合同时，供应商明确表示无需预付款或者主动要求降低预付款比例的，采购合同可不适用前述规定。）</w:t>
      </w:r>
    </w:p>
    <w:p w14:paraId="67404A64">
      <w:pPr>
        <w:pStyle w:val="14"/>
        <w:ind w:left="480" w:leftChars="200" w:firstLine="360" w:firstLineChars="150"/>
        <w:rPr>
          <w:bCs/>
          <w:color w:val="auto"/>
          <w:highlight w:val="none"/>
        </w:rPr>
      </w:pPr>
      <w:r>
        <w:rPr>
          <w:rFonts w:hint="eastAsia"/>
          <w:bCs/>
          <w:color w:val="auto"/>
          <w:highlight w:val="none"/>
        </w:rPr>
        <w:t>8.支付：支付应使用人民币；</w:t>
      </w:r>
    </w:p>
    <w:p w14:paraId="1902D216">
      <w:pPr>
        <w:pStyle w:val="14"/>
        <w:ind w:left="480" w:leftChars="200" w:firstLine="360" w:firstLineChars="150"/>
        <w:rPr>
          <w:bCs/>
          <w:color w:val="auto"/>
          <w:highlight w:val="none"/>
        </w:rPr>
      </w:pPr>
      <w:r>
        <w:rPr>
          <w:rFonts w:hint="eastAsia"/>
          <w:bCs/>
          <w:color w:val="auto"/>
          <w:highlight w:val="none"/>
        </w:rPr>
        <w:t>9.技术服务</w:t>
      </w:r>
    </w:p>
    <w:p w14:paraId="437E659A">
      <w:pPr>
        <w:pStyle w:val="14"/>
        <w:ind w:left="480" w:leftChars="200" w:firstLine="360" w:firstLineChars="150"/>
        <w:rPr>
          <w:bCs/>
          <w:color w:val="auto"/>
          <w:highlight w:val="none"/>
        </w:rPr>
      </w:pPr>
      <w:r>
        <w:rPr>
          <w:rFonts w:hint="eastAsia"/>
          <w:bCs/>
          <w:color w:val="auto"/>
          <w:highlight w:val="none"/>
        </w:rPr>
        <w:t>供应商应负责安排采购人相关人员进行操作、维修的培训。具体时间及培训内容在投标时由供应商提出建议；</w:t>
      </w:r>
    </w:p>
    <w:p w14:paraId="64A89998">
      <w:pPr>
        <w:pStyle w:val="14"/>
        <w:ind w:left="480" w:leftChars="200" w:firstLine="360" w:firstLineChars="150"/>
        <w:rPr>
          <w:bCs/>
          <w:color w:val="auto"/>
          <w:highlight w:val="none"/>
        </w:rPr>
      </w:pPr>
      <w:r>
        <w:rPr>
          <w:rFonts w:hint="eastAsia"/>
          <w:bCs/>
          <w:color w:val="auto"/>
          <w:highlight w:val="none"/>
        </w:rPr>
        <w:t>10.售后服务及承诺</w:t>
      </w:r>
    </w:p>
    <w:p w14:paraId="2DBFCE82">
      <w:pPr>
        <w:pStyle w:val="14"/>
        <w:ind w:left="480" w:leftChars="200" w:firstLine="360" w:firstLineChars="150"/>
        <w:rPr>
          <w:bCs/>
          <w:color w:val="auto"/>
          <w:highlight w:val="none"/>
        </w:rPr>
      </w:pPr>
      <w:r>
        <w:rPr>
          <w:rFonts w:hint="eastAsia"/>
          <w:bCs/>
          <w:color w:val="auto"/>
          <w:highlight w:val="none"/>
        </w:rPr>
        <w:t>10.1供应商应明确承诺售后服务各项内容和措施，提供详细的服务地点、联系人、电话等有关资料；</w:t>
      </w:r>
    </w:p>
    <w:p w14:paraId="2D832643">
      <w:pPr>
        <w:pStyle w:val="14"/>
        <w:ind w:left="480" w:leftChars="200" w:firstLine="360" w:firstLineChars="150"/>
        <w:rPr>
          <w:bCs/>
          <w:color w:val="auto"/>
          <w:highlight w:val="none"/>
        </w:rPr>
      </w:pPr>
      <w:r>
        <w:rPr>
          <w:rFonts w:hint="eastAsia"/>
          <w:bCs/>
          <w:color w:val="auto"/>
          <w:highlight w:val="none"/>
        </w:rPr>
        <w:t>10.2服务期：详见招标文件要求。在服务期内，因服务质量所发生的一切费用均由供应商承担；</w:t>
      </w:r>
    </w:p>
    <w:p w14:paraId="4CF8DC10">
      <w:pPr>
        <w:pStyle w:val="14"/>
        <w:ind w:left="480" w:leftChars="200" w:firstLine="360" w:firstLineChars="150"/>
        <w:rPr>
          <w:bCs/>
          <w:color w:val="auto"/>
          <w:highlight w:val="none"/>
        </w:rPr>
      </w:pPr>
      <w:r>
        <w:rPr>
          <w:rFonts w:hint="eastAsia"/>
          <w:bCs/>
          <w:color w:val="auto"/>
          <w:highlight w:val="none"/>
        </w:rPr>
        <w:t>11.履约保证及后续服务</w:t>
      </w:r>
    </w:p>
    <w:p w14:paraId="610D3C71">
      <w:pPr>
        <w:pStyle w:val="14"/>
        <w:ind w:left="480" w:leftChars="200" w:firstLine="360" w:firstLineChars="150"/>
        <w:rPr>
          <w:bCs/>
          <w:color w:val="auto"/>
          <w:highlight w:val="none"/>
        </w:rPr>
      </w:pPr>
      <w:r>
        <w:rPr>
          <w:rFonts w:hint="eastAsia"/>
          <w:bCs/>
          <w:color w:val="auto"/>
          <w:highlight w:val="none"/>
        </w:rPr>
        <w:t>11.1 供应商应在签订本合同之日起/日内提供履约保证金/元，提供由银行、保险公司出具保函形式提交履约保证金。</w:t>
      </w:r>
    </w:p>
    <w:p w14:paraId="2E92A2A0">
      <w:pPr>
        <w:pStyle w:val="14"/>
        <w:ind w:left="480" w:leftChars="200" w:firstLine="360" w:firstLineChars="150"/>
        <w:rPr>
          <w:bCs/>
          <w:color w:val="auto"/>
          <w:highlight w:val="none"/>
        </w:rPr>
      </w:pPr>
      <w:r>
        <w:rPr>
          <w:rFonts w:hint="eastAsia"/>
          <w:bCs/>
          <w:color w:val="auto"/>
          <w:highlight w:val="none"/>
        </w:rPr>
        <w:t>11.2 供应商应按招标文件规定的服务标准向采购人提供服务。</w:t>
      </w:r>
    </w:p>
    <w:p w14:paraId="1499D8B0">
      <w:pPr>
        <w:pStyle w:val="14"/>
        <w:ind w:left="480" w:leftChars="200" w:firstLine="360" w:firstLineChars="150"/>
        <w:rPr>
          <w:bCs/>
          <w:color w:val="auto"/>
          <w:highlight w:val="none"/>
        </w:rPr>
      </w:pPr>
      <w:r>
        <w:rPr>
          <w:rFonts w:hint="eastAsia"/>
          <w:bCs/>
          <w:color w:val="auto"/>
          <w:highlight w:val="none"/>
        </w:rPr>
        <w:t>11.3 如采购人检查发现供应商提供的服务服务不符合标准要求，供应商应立即进行整改，直到符合要求为止。采购人可根据考核标准中扣除供应商因检查不合格而应该扣罚的款项（扣罚款项在签订合同时明确）。</w:t>
      </w:r>
    </w:p>
    <w:p w14:paraId="0A2DD2ED">
      <w:pPr>
        <w:pStyle w:val="14"/>
        <w:ind w:left="480" w:leftChars="200" w:firstLine="360" w:firstLineChars="150"/>
        <w:rPr>
          <w:bCs/>
          <w:color w:val="auto"/>
          <w:highlight w:val="none"/>
        </w:rPr>
      </w:pPr>
      <w:r>
        <w:rPr>
          <w:rFonts w:hint="eastAsia"/>
          <w:bCs/>
          <w:color w:val="auto"/>
          <w:highlight w:val="none"/>
        </w:rPr>
        <w:t>11.4 供应商提供的服务人员不符合本合同约定的数额，供应商应当自接到采购人通知之日起2日内予以补足，采购人有权按照缺岗天数及缺岗人数扣除相应的履约保证金。</w:t>
      </w:r>
    </w:p>
    <w:p w14:paraId="429FDEB0">
      <w:pPr>
        <w:pStyle w:val="14"/>
        <w:ind w:left="480" w:leftChars="200" w:firstLine="360" w:firstLineChars="150"/>
        <w:rPr>
          <w:bCs/>
          <w:color w:val="auto"/>
          <w:highlight w:val="none"/>
        </w:rPr>
      </w:pPr>
      <w:r>
        <w:rPr>
          <w:rFonts w:hint="eastAsia"/>
          <w:bCs/>
          <w:color w:val="auto"/>
          <w:highlight w:val="none"/>
        </w:rPr>
        <w:t>11.5 由于供应商服务人员原因在服务工作中给采购人的设施、材料造成损失，供应商应负责赔偿。</w:t>
      </w:r>
    </w:p>
    <w:p w14:paraId="660D9475">
      <w:pPr>
        <w:pStyle w:val="14"/>
        <w:ind w:left="480" w:leftChars="200" w:firstLine="360" w:firstLineChars="150"/>
        <w:rPr>
          <w:bCs/>
          <w:color w:val="auto"/>
          <w:highlight w:val="none"/>
        </w:rPr>
      </w:pPr>
      <w:r>
        <w:rPr>
          <w:rFonts w:hint="eastAsia"/>
          <w:bCs/>
          <w:color w:val="auto"/>
          <w:highlight w:val="none"/>
        </w:rPr>
        <w:t>11.6 在使用过程中发生问题，供应商在接到采购人通知后在    小时内到达采购人现场。</w:t>
      </w:r>
    </w:p>
    <w:p w14:paraId="042AA0A5">
      <w:pPr>
        <w:pStyle w:val="14"/>
        <w:ind w:left="480" w:leftChars="200" w:firstLine="360" w:firstLineChars="150"/>
        <w:rPr>
          <w:bCs/>
          <w:color w:val="auto"/>
          <w:highlight w:val="none"/>
        </w:rPr>
      </w:pPr>
      <w:r>
        <w:rPr>
          <w:rFonts w:hint="eastAsia"/>
          <w:bCs/>
          <w:color w:val="auto"/>
          <w:highlight w:val="none"/>
        </w:rPr>
        <w:t>11.7 在服务质量保证期内，供应商应对出现的服务质量及安全问题负责处理解决并承担一切费用。</w:t>
      </w:r>
    </w:p>
    <w:p w14:paraId="36628612">
      <w:pPr>
        <w:pStyle w:val="14"/>
        <w:ind w:left="480" w:leftChars="200" w:firstLine="360" w:firstLineChars="150"/>
        <w:rPr>
          <w:bCs/>
          <w:color w:val="auto"/>
          <w:highlight w:val="none"/>
        </w:rPr>
      </w:pPr>
      <w:r>
        <w:rPr>
          <w:rFonts w:hint="eastAsia"/>
          <w:bCs/>
          <w:color w:val="auto"/>
          <w:highlight w:val="none"/>
        </w:rPr>
        <w:t>11.8 在本合同履行完毕后，采购人扣除供应商在履约过程中产生的本合同涉及的相关赔偿金额后，在/日内将剩余履约保证金退还至供应商。</w:t>
      </w:r>
    </w:p>
    <w:p w14:paraId="07931B2C">
      <w:pPr>
        <w:pStyle w:val="14"/>
        <w:ind w:left="480" w:leftChars="200" w:firstLine="360" w:firstLineChars="150"/>
        <w:rPr>
          <w:bCs/>
          <w:color w:val="auto"/>
          <w:highlight w:val="none"/>
        </w:rPr>
      </w:pPr>
      <w:r>
        <w:rPr>
          <w:rFonts w:hint="eastAsia"/>
          <w:bCs/>
          <w:color w:val="auto"/>
          <w:highlight w:val="none"/>
        </w:rPr>
        <w:t>12.违约责任</w:t>
      </w:r>
    </w:p>
    <w:p w14:paraId="154072B8">
      <w:pPr>
        <w:pStyle w:val="14"/>
        <w:ind w:left="480" w:leftChars="200" w:firstLine="360" w:firstLineChars="150"/>
        <w:rPr>
          <w:bCs/>
          <w:color w:val="auto"/>
          <w:highlight w:val="none"/>
        </w:rPr>
      </w:pPr>
      <w:r>
        <w:rPr>
          <w:rFonts w:hint="eastAsia"/>
          <w:bCs/>
          <w:color w:val="auto"/>
          <w:highlight w:val="none"/>
        </w:rPr>
        <w:t>12.1 采购人无正当理由拒收接受服务的，采购人向供应商偿付合同款项百分之五作为违约金。</w:t>
      </w:r>
    </w:p>
    <w:p w14:paraId="2C96AE2B">
      <w:pPr>
        <w:pStyle w:val="14"/>
        <w:ind w:left="480" w:leftChars="200" w:firstLine="360" w:firstLineChars="150"/>
        <w:rPr>
          <w:bCs/>
          <w:color w:val="auto"/>
          <w:highlight w:val="none"/>
        </w:rPr>
      </w:pPr>
      <w:r>
        <w:rPr>
          <w:rFonts w:hint="eastAsia"/>
          <w:bCs/>
          <w:color w:val="auto"/>
          <w:highlight w:val="none"/>
        </w:rPr>
        <w:t>12.2 采购人无故逾期验收和办理款项支付手续的,采购人应按逾期付款总额每日万分之五向供应商支付违约金。</w:t>
      </w:r>
    </w:p>
    <w:p w14:paraId="4991E819">
      <w:pPr>
        <w:pStyle w:val="14"/>
        <w:ind w:left="480" w:leftChars="200" w:firstLine="360" w:firstLineChars="150"/>
        <w:rPr>
          <w:bCs/>
          <w:color w:val="auto"/>
          <w:highlight w:val="none"/>
        </w:rPr>
      </w:pPr>
      <w:r>
        <w:rPr>
          <w:rFonts w:hint="eastAsia"/>
          <w:bCs/>
          <w:color w:val="auto"/>
          <w:highlight w:val="none"/>
        </w:rPr>
        <w:t>12.3 供应商不按约定提供服务的，每日向采购人支付千分之六违约金。逾期提供服务超过约定日期10个工作日的，采购人可解除本合同。供应商因逾期提供服务或因其他违约行为导致采购人解除合同的，供应商应向采购人支付合同总值5%的违约金，如造成采购人损失超过违约金的，超出部分由供应商继续承担赔偿责任。</w:t>
      </w:r>
    </w:p>
    <w:p w14:paraId="0E943E71">
      <w:pPr>
        <w:pStyle w:val="14"/>
        <w:ind w:left="480" w:leftChars="200" w:firstLine="360" w:firstLineChars="150"/>
        <w:rPr>
          <w:bCs/>
          <w:color w:val="auto"/>
          <w:highlight w:val="none"/>
        </w:rPr>
      </w:pPr>
      <w:r>
        <w:rPr>
          <w:rFonts w:hint="eastAsia"/>
          <w:bCs/>
          <w:color w:val="auto"/>
          <w:highlight w:val="none"/>
        </w:rPr>
        <w:t xml:space="preserve">12.4如供应商提供的服务或与服务相关的物品存在知识产权纠纷而导致本合同无法继续履行，在采购人发函要求解决相关知识产权问题后x日内仍未解决的，则采购人有权单方终止本合同的履行，并要求供应商承担相应赔偿责任。 </w:t>
      </w:r>
    </w:p>
    <w:p w14:paraId="39502BD2">
      <w:pPr>
        <w:pStyle w:val="14"/>
        <w:ind w:left="480" w:leftChars="200" w:firstLine="360" w:firstLineChars="150"/>
        <w:rPr>
          <w:bCs/>
          <w:color w:val="auto"/>
          <w:highlight w:val="none"/>
        </w:rPr>
      </w:pPr>
      <w:r>
        <w:rPr>
          <w:rFonts w:hint="eastAsia"/>
          <w:bCs/>
          <w:color w:val="auto"/>
          <w:highlight w:val="none"/>
        </w:rPr>
        <w:t>13.不可抗力事件处理</w:t>
      </w:r>
    </w:p>
    <w:p w14:paraId="10D4B7BE">
      <w:pPr>
        <w:pStyle w:val="14"/>
        <w:ind w:left="480" w:leftChars="200" w:firstLine="360" w:firstLineChars="150"/>
        <w:rPr>
          <w:bCs/>
          <w:color w:val="auto"/>
          <w:highlight w:val="none"/>
        </w:rPr>
      </w:pPr>
      <w:r>
        <w:rPr>
          <w:rFonts w:hint="eastAsia"/>
          <w:bCs/>
          <w:color w:val="auto"/>
          <w:highlight w:val="none"/>
        </w:rPr>
        <w:t>13.1 在合同有效期内，任何一方因不可抗力事件导致不能履行合同，则合同履行期可延长，其延长期与不可抗力影响期相同。</w:t>
      </w:r>
    </w:p>
    <w:p w14:paraId="76A237D3">
      <w:pPr>
        <w:pStyle w:val="14"/>
        <w:ind w:left="480" w:leftChars="200" w:firstLine="360" w:firstLineChars="150"/>
        <w:rPr>
          <w:bCs/>
          <w:color w:val="auto"/>
          <w:highlight w:val="none"/>
        </w:rPr>
      </w:pPr>
      <w:r>
        <w:rPr>
          <w:rFonts w:hint="eastAsia"/>
          <w:bCs/>
          <w:color w:val="auto"/>
          <w:highlight w:val="none"/>
        </w:rPr>
        <w:t>13.2 不可抗力事件发生后，应立即通知对方，并寄送有关权威机构出具的证明。</w:t>
      </w:r>
    </w:p>
    <w:p w14:paraId="19F8CDE0">
      <w:pPr>
        <w:pStyle w:val="14"/>
        <w:ind w:left="480" w:leftChars="200" w:firstLine="360" w:firstLineChars="150"/>
        <w:rPr>
          <w:bCs/>
          <w:color w:val="auto"/>
          <w:highlight w:val="none"/>
        </w:rPr>
      </w:pPr>
      <w:r>
        <w:rPr>
          <w:rFonts w:hint="eastAsia"/>
          <w:bCs/>
          <w:color w:val="auto"/>
          <w:highlight w:val="none"/>
        </w:rPr>
        <w:t>13.3 不可抗力事件延续120天以上，双方应通过友好协商，确定是否继续履行合同。</w:t>
      </w:r>
    </w:p>
    <w:p w14:paraId="65FF7A49">
      <w:pPr>
        <w:pStyle w:val="14"/>
        <w:ind w:left="480" w:leftChars="200" w:firstLine="360" w:firstLineChars="150"/>
        <w:rPr>
          <w:bCs/>
          <w:color w:val="auto"/>
          <w:highlight w:val="none"/>
        </w:rPr>
      </w:pPr>
      <w:r>
        <w:rPr>
          <w:rFonts w:hint="eastAsia"/>
          <w:bCs/>
          <w:color w:val="auto"/>
          <w:highlight w:val="none"/>
        </w:rPr>
        <w:t>14. 争议解决</w:t>
      </w:r>
    </w:p>
    <w:p w14:paraId="47FA258E">
      <w:pPr>
        <w:pStyle w:val="14"/>
        <w:ind w:left="480" w:leftChars="200" w:firstLine="360" w:firstLineChars="150"/>
        <w:rPr>
          <w:bCs/>
          <w:color w:val="auto"/>
          <w:highlight w:val="none"/>
        </w:rPr>
      </w:pPr>
      <w:r>
        <w:rPr>
          <w:rFonts w:hint="eastAsia"/>
          <w:bCs/>
          <w:color w:val="auto"/>
          <w:highlight w:val="none"/>
        </w:rPr>
        <w:t>14.1在执行本合同中所发生的或与本合同有关的一切争端，合同双方应通过友好协商解决，经过协商仍不能解决，双方选择通过下列第x种方式解决：</w:t>
      </w:r>
    </w:p>
    <w:p w14:paraId="74B7A6DE">
      <w:pPr>
        <w:pStyle w:val="14"/>
        <w:ind w:left="480" w:leftChars="200" w:firstLine="360" w:firstLineChars="150"/>
        <w:rPr>
          <w:bCs/>
          <w:color w:val="auto"/>
          <w:highlight w:val="none"/>
        </w:rPr>
      </w:pPr>
      <w:r>
        <w:rPr>
          <w:rFonts w:hint="eastAsia"/>
          <w:bCs/>
          <w:color w:val="auto"/>
          <w:highlight w:val="none"/>
        </w:rPr>
        <w:t>（1）将争端提交湖州仲裁委员会仲裁</w:t>
      </w:r>
    </w:p>
    <w:p w14:paraId="5C7D3CA0">
      <w:pPr>
        <w:pStyle w:val="14"/>
        <w:ind w:left="480" w:leftChars="200" w:firstLine="360" w:firstLineChars="150"/>
        <w:rPr>
          <w:bCs/>
          <w:color w:val="auto"/>
          <w:highlight w:val="none"/>
        </w:rPr>
      </w:pPr>
      <w:r>
        <w:rPr>
          <w:rFonts w:hint="eastAsia"/>
          <w:bCs/>
          <w:color w:val="auto"/>
          <w:highlight w:val="none"/>
        </w:rPr>
        <w:t>（2）直接向采购人所在地有管辖权的人民法院起诉。</w:t>
      </w:r>
    </w:p>
    <w:p w14:paraId="29939DBA">
      <w:pPr>
        <w:pStyle w:val="14"/>
        <w:ind w:left="480" w:leftChars="200" w:firstLine="360" w:firstLineChars="150"/>
        <w:rPr>
          <w:bCs/>
          <w:color w:val="auto"/>
          <w:highlight w:val="none"/>
        </w:rPr>
      </w:pPr>
      <w:r>
        <w:rPr>
          <w:rFonts w:hint="eastAsia"/>
          <w:bCs/>
          <w:color w:val="auto"/>
          <w:highlight w:val="none"/>
        </w:rPr>
        <w:t>14.2仲裁费用或诉讼费用应由败诉方负担。</w:t>
      </w:r>
    </w:p>
    <w:p w14:paraId="78D67547">
      <w:pPr>
        <w:pStyle w:val="14"/>
        <w:ind w:left="480" w:leftChars="200" w:firstLine="360" w:firstLineChars="150"/>
        <w:rPr>
          <w:bCs/>
          <w:color w:val="auto"/>
          <w:highlight w:val="none"/>
        </w:rPr>
      </w:pPr>
      <w:r>
        <w:rPr>
          <w:rFonts w:hint="eastAsia"/>
          <w:bCs/>
          <w:color w:val="auto"/>
          <w:highlight w:val="none"/>
        </w:rPr>
        <w:t>14.3在仲裁或诉讼期间，除进行仲裁或诉讼的部分外，本合同其它部分应继续执行。</w:t>
      </w:r>
    </w:p>
    <w:p w14:paraId="6D35A26A">
      <w:pPr>
        <w:pStyle w:val="14"/>
        <w:ind w:left="480" w:leftChars="200" w:firstLine="360" w:firstLineChars="150"/>
        <w:rPr>
          <w:bCs/>
          <w:color w:val="auto"/>
          <w:highlight w:val="none"/>
        </w:rPr>
      </w:pPr>
      <w:r>
        <w:rPr>
          <w:rFonts w:hint="eastAsia"/>
          <w:bCs/>
          <w:color w:val="auto"/>
          <w:highlight w:val="none"/>
        </w:rPr>
        <w:t>15.转让或分包</w:t>
      </w:r>
    </w:p>
    <w:p w14:paraId="21C084E9">
      <w:pPr>
        <w:pStyle w:val="14"/>
        <w:ind w:left="480" w:leftChars="200" w:firstLine="360" w:firstLineChars="150"/>
        <w:rPr>
          <w:bCs/>
          <w:color w:val="auto"/>
          <w:highlight w:val="none"/>
        </w:rPr>
      </w:pPr>
      <w:r>
        <w:rPr>
          <w:rFonts w:hint="eastAsia"/>
          <w:bCs/>
          <w:color w:val="auto"/>
          <w:highlight w:val="none"/>
        </w:rPr>
        <w:t>15.1本合同范围的服务，应由供应商提供，不得转让他人供应；</w:t>
      </w:r>
    </w:p>
    <w:p w14:paraId="7F177B23">
      <w:pPr>
        <w:pStyle w:val="14"/>
        <w:ind w:left="480" w:leftChars="200" w:firstLine="360" w:firstLineChars="150"/>
        <w:rPr>
          <w:bCs/>
          <w:color w:val="auto"/>
          <w:highlight w:val="none"/>
        </w:rPr>
      </w:pPr>
      <w:r>
        <w:rPr>
          <w:rFonts w:hint="eastAsia"/>
          <w:bCs/>
          <w:color w:val="auto"/>
          <w:highlight w:val="none"/>
        </w:rPr>
        <w:t>15.2除非得到采购人的书面同意后，供应商可以将其中部分依法分包给他人供应和实施。采购人有绝对权力阻止分包。虽然采购人之前未有阻止分包，采购人仍有权在任何时候拒绝任何分包人，有权要求任何分包人脱离本货物的供应和服务，并不承担任何赔偿责任。</w:t>
      </w:r>
    </w:p>
    <w:p w14:paraId="0D0C3FCC">
      <w:pPr>
        <w:pStyle w:val="14"/>
        <w:ind w:left="480" w:leftChars="200" w:firstLine="360" w:firstLineChars="150"/>
        <w:rPr>
          <w:bCs/>
          <w:color w:val="auto"/>
          <w:highlight w:val="none"/>
        </w:rPr>
      </w:pPr>
      <w:r>
        <w:rPr>
          <w:rFonts w:hint="eastAsia"/>
          <w:bCs/>
          <w:color w:val="auto"/>
          <w:highlight w:val="none"/>
        </w:rPr>
        <w:t>15.3本合同全部或部分的分包不能减轻供应商承担的责任，供应商仍须将分包人的任何行动、错误或疏忽当作是自己完成的并负全责；</w:t>
      </w:r>
    </w:p>
    <w:p w14:paraId="77DBA474">
      <w:pPr>
        <w:pStyle w:val="14"/>
        <w:ind w:left="480" w:leftChars="200" w:firstLine="360" w:firstLineChars="150"/>
        <w:rPr>
          <w:bCs/>
          <w:color w:val="auto"/>
          <w:highlight w:val="none"/>
        </w:rPr>
      </w:pPr>
      <w:r>
        <w:rPr>
          <w:rFonts w:hint="eastAsia"/>
          <w:bCs/>
          <w:color w:val="auto"/>
          <w:highlight w:val="none"/>
        </w:rPr>
        <w:t>15.4在任何分包合同中，须注明分包人按分包合同的范围履行，在供应商按本合同的履行终止时（不论任何原因），亦同时一并终止；</w:t>
      </w:r>
    </w:p>
    <w:p w14:paraId="7B756816">
      <w:pPr>
        <w:pStyle w:val="14"/>
        <w:ind w:left="480" w:leftChars="200" w:firstLine="360" w:firstLineChars="150"/>
        <w:rPr>
          <w:bCs/>
          <w:color w:val="auto"/>
          <w:highlight w:val="none"/>
        </w:rPr>
      </w:pPr>
      <w:r>
        <w:rPr>
          <w:rFonts w:hint="eastAsia"/>
          <w:bCs/>
          <w:color w:val="auto"/>
          <w:highlight w:val="none"/>
        </w:rPr>
        <w:t>15.5如有转让和未经采购人同意的分包行为，采购人有权给予终止合同。</w:t>
      </w:r>
    </w:p>
    <w:p w14:paraId="1DE7295E">
      <w:pPr>
        <w:pStyle w:val="14"/>
        <w:ind w:left="480" w:leftChars="200" w:firstLine="360" w:firstLineChars="150"/>
        <w:rPr>
          <w:bCs/>
          <w:color w:val="auto"/>
          <w:highlight w:val="none"/>
        </w:rPr>
      </w:pPr>
      <w:r>
        <w:rPr>
          <w:rFonts w:hint="eastAsia"/>
          <w:bCs/>
          <w:color w:val="auto"/>
          <w:highlight w:val="none"/>
        </w:rPr>
        <w:t>16.适用法律</w:t>
      </w:r>
    </w:p>
    <w:p w14:paraId="5BBB60AC">
      <w:pPr>
        <w:pStyle w:val="14"/>
        <w:ind w:left="480" w:leftChars="200" w:firstLine="360" w:firstLineChars="150"/>
        <w:rPr>
          <w:bCs/>
          <w:color w:val="auto"/>
          <w:highlight w:val="none"/>
        </w:rPr>
      </w:pPr>
      <w:r>
        <w:rPr>
          <w:rFonts w:hint="eastAsia"/>
          <w:bCs/>
          <w:color w:val="auto"/>
          <w:highlight w:val="none"/>
        </w:rPr>
        <w:t>合同适用法律有《中华人民共和国政府采购法》、《中华人民共和国民法典》、《中华人民共和国产品质量法》和浙江省有关条例等。</w:t>
      </w:r>
    </w:p>
    <w:p w14:paraId="682E3118">
      <w:pPr>
        <w:pStyle w:val="14"/>
        <w:ind w:left="480" w:leftChars="200" w:firstLine="360" w:firstLineChars="150"/>
        <w:rPr>
          <w:bCs/>
          <w:color w:val="auto"/>
          <w:highlight w:val="none"/>
        </w:rPr>
      </w:pPr>
      <w:r>
        <w:rPr>
          <w:rFonts w:hint="eastAsia"/>
          <w:bCs/>
          <w:color w:val="auto"/>
          <w:highlight w:val="none"/>
        </w:rPr>
        <w:t>17.合同生效及其他</w:t>
      </w:r>
    </w:p>
    <w:p w14:paraId="0AB99E98">
      <w:pPr>
        <w:pStyle w:val="14"/>
        <w:ind w:left="480" w:leftChars="200" w:firstLine="360" w:firstLineChars="150"/>
        <w:rPr>
          <w:bCs/>
          <w:color w:val="auto"/>
          <w:highlight w:val="none"/>
        </w:rPr>
      </w:pPr>
      <w:r>
        <w:rPr>
          <w:rFonts w:hint="eastAsia"/>
          <w:bCs/>
          <w:color w:val="auto"/>
          <w:highlight w:val="none"/>
        </w:rPr>
        <w:t>17.1本合同经双方法人及法定代表人签字盖章生效；</w:t>
      </w:r>
    </w:p>
    <w:p w14:paraId="5480D142">
      <w:pPr>
        <w:pStyle w:val="14"/>
        <w:ind w:left="480" w:leftChars="200" w:firstLine="360" w:firstLineChars="150"/>
        <w:rPr>
          <w:bCs/>
          <w:color w:val="auto"/>
          <w:highlight w:val="none"/>
        </w:rPr>
      </w:pPr>
      <w:r>
        <w:rPr>
          <w:rFonts w:hint="eastAsia"/>
          <w:bCs/>
          <w:color w:val="auto"/>
          <w:highlight w:val="none"/>
        </w:rPr>
        <w:t>17.2本合同一式十四份，供应商、采购人、街道、招标代理公司各执两份。</w:t>
      </w:r>
    </w:p>
    <w:p w14:paraId="689103A6">
      <w:pPr>
        <w:pStyle w:val="14"/>
        <w:ind w:left="480" w:leftChars="200" w:firstLine="360" w:firstLineChars="150"/>
        <w:rPr>
          <w:bCs/>
          <w:color w:val="auto"/>
          <w:highlight w:val="none"/>
        </w:rPr>
      </w:pPr>
    </w:p>
    <w:p w14:paraId="52B77756">
      <w:pPr>
        <w:pStyle w:val="14"/>
        <w:ind w:left="480" w:leftChars="200" w:firstLine="360" w:firstLineChars="150"/>
        <w:rPr>
          <w:bCs/>
          <w:color w:val="auto"/>
          <w:highlight w:val="none"/>
        </w:rPr>
      </w:pPr>
      <w:r>
        <w:rPr>
          <w:rFonts w:hint="eastAsia"/>
          <w:bCs/>
          <w:color w:val="auto"/>
          <w:highlight w:val="none"/>
        </w:rPr>
        <w:t xml:space="preserve">采购人：                                 供应商： </w:t>
      </w:r>
    </w:p>
    <w:p w14:paraId="1A217252">
      <w:pPr>
        <w:pStyle w:val="14"/>
        <w:ind w:left="480" w:leftChars="200" w:firstLine="360" w:firstLineChars="150"/>
        <w:rPr>
          <w:bCs/>
          <w:color w:val="auto"/>
          <w:highlight w:val="none"/>
        </w:rPr>
      </w:pPr>
      <w:r>
        <w:rPr>
          <w:rFonts w:hint="eastAsia"/>
          <w:bCs/>
          <w:color w:val="auto"/>
          <w:highlight w:val="none"/>
        </w:rPr>
        <w:t xml:space="preserve">地址：                                   地址： </w:t>
      </w:r>
    </w:p>
    <w:p w14:paraId="56F3C104">
      <w:pPr>
        <w:pStyle w:val="14"/>
        <w:ind w:left="480" w:leftChars="200" w:firstLine="360" w:firstLineChars="150"/>
        <w:rPr>
          <w:bCs/>
          <w:color w:val="auto"/>
          <w:highlight w:val="none"/>
        </w:rPr>
      </w:pPr>
      <w:r>
        <w:rPr>
          <w:rFonts w:hint="eastAsia"/>
          <w:bCs/>
          <w:color w:val="auto"/>
          <w:highlight w:val="none"/>
        </w:rPr>
        <w:t xml:space="preserve">法定（或授权）代表人：                    法定（或授权）代表人：    </w:t>
      </w:r>
    </w:p>
    <w:p w14:paraId="5A47C0AD">
      <w:pPr>
        <w:pStyle w:val="14"/>
        <w:ind w:left="480" w:leftChars="200" w:firstLine="360" w:firstLineChars="150"/>
        <w:rPr>
          <w:bCs/>
          <w:color w:val="auto"/>
          <w:highlight w:val="none"/>
        </w:rPr>
      </w:pPr>
      <w:r>
        <w:rPr>
          <w:rFonts w:hint="eastAsia"/>
          <w:bCs/>
          <w:color w:val="auto"/>
          <w:highlight w:val="none"/>
        </w:rPr>
        <w:t>签字日期：   年  月  日                    签字日期：   年  月  日</w:t>
      </w:r>
    </w:p>
    <w:p w14:paraId="4CDF20B3">
      <w:pPr>
        <w:rPr>
          <w:rFonts w:ascii="宋体" w:hAnsi="宋体" w:cs="宋体"/>
          <w:color w:val="auto"/>
          <w:highlight w:val="none"/>
        </w:rPr>
      </w:pPr>
    </w:p>
    <w:bookmarkEnd w:id="105"/>
    <w:p w14:paraId="543A63A6">
      <w:pPr>
        <w:pStyle w:val="5"/>
        <w:jc w:val="center"/>
        <w:rPr>
          <w:rFonts w:ascii="宋体" w:hAnsi="宋体" w:cs="宋体"/>
          <w:color w:val="auto"/>
          <w:szCs w:val="32"/>
          <w:highlight w:val="none"/>
        </w:rPr>
      </w:pPr>
      <w:r>
        <w:rPr>
          <w:rFonts w:hint="eastAsia" w:ascii="宋体" w:hAnsi="宋体" w:cs="宋体"/>
          <w:color w:val="auto"/>
          <w:szCs w:val="32"/>
          <w:highlight w:val="none"/>
        </w:rPr>
        <w:t>第六章  响应文件格式</w:t>
      </w:r>
    </w:p>
    <w:p w14:paraId="18AD19E4">
      <w:pPr>
        <w:widowControl/>
        <w:autoSpaceDE w:val="0"/>
        <w:autoSpaceDN w:val="0"/>
        <w:snapToGrid w:val="0"/>
        <w:spacing w:line="440" w:lineRule="exact"/>
        <w:ind w:firstLine="480" w:firstLineChars="200"/>
        <w:jc w:val="left"/>
        <w:rPr>
          <w:rFonts w:ascii="宋体" w:hAnsi="宋体" w:cs="宋体"/>
          <w:bCs/>
          <w:color w:val="auto"/>
          <w:highlight w:val="none"/>
        </w:rPr>
      </w:pPr>
      <w:r>
        <w:rPr>
          <w:rFonts w:hint="eastAsia" w:ascii="宋体" w:hAnsi="宋体" w:cs="宋体"/>
          <w:bCs/>
          <w:color w:val="auto"/>
          <w:highlight w:val="none"/>
        </w:rPr>
        <w:t>本章节内容提供部分响应文件格式，磋商文件中要求，但未提供格式的，须由供应商自行制作。</w:t>
      </w:r>
    </w:p>
    <w:p w14:paraId="7DFF3DF3">
      <w:pPr>
        <w:ind w:firstLine="360" w:firstLineChars="200"/>
        <w:jc w:val="center"/>
        <w:rPr>
          <w:rFonts w:ascii="宋体" w:hAnsi="宋体" w:cs="宋体"/>
          <w:b/>
          <w:color w:val="auto"/>
          <w:sz w:val="30"/>
          <w:szCs w:val="30"/>
          <w:highlight w:val="none"/>
        </w:rPr>
      </w:pPr>
      <w:r>
        <w:rPr>
          <w:rFonts w:hint="eastAsia" w:ascii="宋体" w:hAnsi="宋体" w:cs="宋体"/>
          <w:color w:val="auto"/>
          <w:sz w:val="18"/>
          <w:szCs w:val="18"/>
          <w:highlight w:val="none"/>
        </w:rPr>
        <w:t xml:space="preserve"> </w:t>
      </w:r>
      <w:r>
        <w:rPr>
          <w:rFonts w:hint="eastAsia" w:ascii="宋体" w:hAnsi="宋体" w:cs="宋体"/>
          <w:color w:val="auto"/>
          <w:sz w:val="32"/>
          <w:szCs w:val="32"/>
          <w:highlight w:val="none"/>
        </w:rPr>
        <w:t xml:space="preserve"> </w:t>
      </w:r>
      <w:r>
        <w:rPr>
          <w:rFonts w:hint="eastAsia" w:ascii="宋体" w:hAnsi="宋体" w:cs="宋体"/>
          <w:b/>
          <w:color w:val="auto"/>
          <w:sz w:val="30"/>
          <w:szCs w:val="30"/>
          <w:highlight w:val="none"/>
        </w:rPr>
        <w:t>一、响应文件外层包装封面格式</w:t>
      </w:r>
    </w:p>
    <w:p w14:paraId="4CC86992">
      <w:pPr>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1、所有响应文件的外包装封面格式：（可选用）</w:t>
      </w:r>
    </w:p>
    <w:p w14:paraId="04B627D2">
      <w:pPr>
        <w:ind w:firstLine="560" w:firstLineChars="200"/>
        <w:rPr>
          <w:rFonts w:ascii="宋体" w:hAnsi="宋体" w:cs="宋体"/>
          <w:color w:val="auto"/>
          <w:sz w:val="28"/>
          <w:szCs w:val="28"/>
          <w:highlight w:val="none"/>
        </w:rPr>
      </w:pPr>
    </w:p>
    <w:p w14:paraId="0E43D4EB">
      <w:pPr>
        <w:ind w:firstLine="560" w:firstLineChars="200"/>
        <w:rPr>
          <w:rFonts w:ascii="宋体" w:hAnsi="宋体" w:cs="宋体"/>
          <w:color w:val="auto"/>
          <w:sz w:val="28"/>
          <w:szCs w:val="28"/>
          <w:highlight w:val="none"/>
        </w:rPr>
      </w:pPr>
    </w:p>
    <w:p w14:paraId="7727DB06">
      <w:pPr>
        <w:ind w:firstLine="560" w:firstLineChars="200"/>
        <w:rPr>
          <w:rFonts w:ascii="宋体" w:hAnsi="宋体" w:cs="宋体"/>
          <w:color w:val="auto"/>
          <w:sz w:val="28"/>
          <w:szCs w:val="28"/>
          <w:highlight w:val="none"/>
        </w:rPr>
      </w:pPr>
    </w:p>
    <w:p w14:paraId="2B4F0351">
      <w:pPr>
        <w:ind w:firstLine="960" w:firstLineChars="200"/>
        <w:jc w:val="center"/>
        <w:rPr>
          <w:rFonts w:ascii="宋体" w:hAnsi="宋体" w:cs="宋体"/>
          <w:color w:val="auto"/>
          <w:sz w:val="48"/>
          <w:szCs w:val="48"/>
          <w:highlight w:val="none"/>
        </w:rPr>
      </w:pPr>
      <w:r>
        <w:rPr>
          <w:rFonts w:hint="eastAsia" w:ascii="宋体" w:hAnsi="宋体" w:cs="宋体"/>
          <w:color w:val="auto"/>
          <w:sz w:val="48"/>
          <w:szCs w:val="48"/>
          <w:highlight w:val="none"/>
        </w:rPr>
        <w:t>响 应 文 件</w:t>
      </w:r>
    </w:p>
    <w:p w14:paraId="1972DE05">
      <w:pPr>
        <w:ind w:firstLine="960" w:firstLineChars="200"/>
        <w:jc w:val="center"/>
        <w:rPr>
          <w:rFonts w:ascii="宋体" w:hAnsi="宋体" w:cs="宋体"/>
          <w:color w:val="auto"/>
          <w:sz w:val="48"/>
          <w:szCs w:val="48"/>
          <w:highlight w:val="none"/>
        </w:rPr>
      </w:pPr>
    </w:p>
    <w:p w14:paraId="4C052C4A">
      <w:pPr>
        <w:ind w:firstLine="960" w:firstLineChars="200"/>
        <w:jc w:val="center"/>
        <w:rPr>
          <w:rFonts w:ascii="宋体" w:hAnsi="宋体" w:cs="宋体"/>
          <w:color w:val="auto"/>
          <w:sz w:val="48"/>
          <w:szCs w:val="48"/>
          <w:highlight w:val="none"/>
        </w:rPr>
      </w:pPr>
    </w:p>
    <w:p w14:paraId="31C48357">
      <w:pPr>
        <w:ind w:firstLine="960" w:firstLineChars="200"/>
        <w:jc w:val="center"/>
        <w:rPr>
          <w:rFonts w:ascii="宋体" w:hAnsi="宋体" w:cs="宋体"/>
          <w:color w:val="auto"/>
          <w:sz w:val="48"/>
          <w:szCs w:val="48"/>
          <w:highlight w:val="none"/>
        </w:rPr>
      </w:pPr>
    </w:p>
    <w:p w14:paraId="42D7189A">
      <w:pPr>
        <w:ind w:firstLine="960" w:firstLineChars="200"/>
        <w:jc w:val="center"/>
        <w:rPr>
          <w:rFonts w:ascii="宋体" w:hAnsi="宋体" w:cs="宋体"/>
          <w:color w:val="auto"/>
          <w:sz w:val="48"/>
          <w:szCs w:val="48"/>
          <w:highlight w:val="none"/>
        </w:rPr>
      </w:pPr>
    </w:p>
    <w:p w14:paraId="52EF2C04">
      <w:pPr>
        <w:spacing w:line="800" w:lineRule="exact"/>
        <w:ind w:firstLine="480" w:firstLineChars="200"/>
        <w:rPr>
          <w:rFonts w:ascii="宋体" w:hAnsi="宋体" w:cs="宋体"/>
          <w:color w:val="auto"/>
          <w:highlight w:val="none"/>
        </w:rPr>
      </w:pPr>
      <w:r>
        <w:rPr>
          <w:rFonts w:hint="eastAsia" w:ascii="宋体" w:hAnsi="宋体" w:cs="宋体"/>
          <w:color w:val="auto"/>
          <w:highlight w:val="none"/>
        </w:rPr>
        <w:t>项目名称：</w:t>
      </w:r>
    </w:p>
    <w:p w14:paraId="4D10026A">
      <w:pPr>
        <w:spacing w:line="800" w:lineRule="exact"/>
        <w:ind w:firstLine="480" w:firstLineChars="200"/>
        <w:rPr>
          <w:rFonts w:ascii="宋体" w:hAnsi="宋体" w:cs="宋体"/>
          <w:color w:val="auto"/>
          <w:highlight w:val="none"/>
        </w:rPr>
      </w:pPr>
      <w:r>
        <w:rPr>
          <w:rFonts w:hint="eastAsia" w:ascii="宋体" w:hAnsi="宋体" w:cs="宋体"/>
          <w:color w:val="auto"/>
          <w:highlight w:val="none"/>
        </w:rPr>
        <w:t>项目编号：</w:t>
      </w:r>
    </w:p>
    <w:p w14:paraId="338D0FE2">
      <w:pPr>
        <w:spacing w:line="800" w:lineRule="exact"/>
        <w:rPr>
          <w:rFonts w:ascii="宋体" w:hAnsi="宋体" w:cs="宋体"/>
          <w:color w:val="auto"/>
          <w:highlight w:val="none"/>
        </w:rPr>
      </w:pPr>
      <w:r>
        <w:rPr>
          <w:rFonts w:hint="eastAsia" w:ascii="宋体" w:hAnsi="宋体" w:cs="宋体"/>
          <w:color w:val="auto"/>
          <w:highlight w:val="none"/>
        </w:rPr>
        <w:t xml:space="preserve">    供应商名称（盖章）：</w:t>
      </w:r>
    </w:p>
    <w:p w14:paraId="4C61AB2D">
      <w:pPr>
        <w:spacing w:line="800" w:lineRule="exact"/>
        <w:rPr>
          <w:rFonts w:ascii="宋体" w:hAnsi="宋体" w:cs="宋体"/>
          <w:color w:val="auto"/>
          <w:highlight w:val="none"/>
        </w:rPr>
      </w:pPr>
      <w:r>
        <w:rPr>
          <w:rFonts w:hint="eastAsia" w:ascii="宋体" w:hAnsi="宋体" w:cs="宋体"/>
          <w:color w:val="auto"/>
          <w:highlight w:val="none"/>
        </w:rPr>
        <w:t xml:space="preserve">    供应商地址：</w:t>
      </w:r>
    </w:p>
    <w:p w14:paraId="1FC7504E">
      <w:pPr>
        <w:spacing w:line="800" w:lineRule="exact"/>
        <w:rPr>
          <w:rFonts w:ascii="宋体" w:hAnsi="宋体" w:cs="宋体"/>
          <w:color w:val="auto"/>
          <w:highlight w:val="none"/>
        </w:rPr>
      </w:pPr>
      <w:r>
        <w:rPr>
          <w:rFonts w:hint="eastAsia" w:ascii="宋体" w:hAnsi="宋体" w:cs="宋体"/>
          <w:color w:val="auto"/>
          <w:highlight w:val="none"/>
        </w:rPr>
        <w:t xml:space="preserve">    授权代表签名:</w:t>
      </w:r>
    </w:p>
    <w:p w14:paraId="1F2C3717">
      <w:pPr>
        <w:spacing w:line="800" w:lineRule="exact"/>
        <w:rPr>
          <w:rFonts w:ascii="宋体" w:hAnsi="宋体" w:cs="宋体"/>
          <w:color w:val="auto"/>
          <w:highlight w:val="none"/>
        </w:rPr>
      </w:pPr>
      <w:r>
        <w:rPr>
          <w:rFonts w:hint="eastAsia" w:ascii="宋体" w:hAnsi="宋体" w:cs="宋体"/>
          <w:color w:val="auto"/>
          <w:highlight w:val="none"/>
        </w:rPr>
        <w:t xml:space="preserve">    在   年    月    日    时   分之前不得启封(磋商时间)</w:t>
      </w:r>
    </w:p>
    <w:p w14:paraId="3F17C275">
      <w:pPr>
        <w:spacing w:line="800" w:lineRule="exact"/>
        <w:ind w:firstLine="570"/>
        <w:jc w:val="right"/>
        <w:rPr>
          <w:rFonts w:ascii="宋体" w:hAnsi="宋体" w:cs="宋体"/>
          <w:color w:val="auto"/>
          <w:highlight w:val="none"/>
        </w:rPr>
      </w:pPr>
      <w:r>
        <w:rPr>
          <w:rFonts w:hint="eastAsia" w:ascii="宋体" w:hAnsi="宋体" w:cs="宋体"/>
          <w:color w:val="auto"/>
          <w:highlight w:val="none"/>
        </w:rPr>
        <w:t xml:space="preserve">                                          年  月   日 </w:t>
      </w:r>
    </w:p>
    <w:p w14:paraId="78D1D3D7">
      <w:pPr>
        <w:ind w:firstLine="570"/>
        <w:jc w:val="right"/>
        <w:rPr>
          <w:rFonts w:ascii="宋体" w:hAnsi="宋体" w:cs="宋体"/>
          <w:color w:val="auto"/>
          <w:highlight w:val="none"/>
        </w:rPr>
      </w:pPr>
    </w:p>
    <w:p w14:paraId="47B303DD">
      <w:pPr>
        <w:jc w:val="both"/>
        <w:rPr>
          <w:rFonts w:ascii="宋体" w:hAnsi="宋体" w:cs="宋体"/>
          <w:color w:val="auto"/>
          <w:highlight w:val="none"/>
        </w:rPr>
      </w:pPr>
    </w:p>
    <w:p w14:paraId="19306A80">
      <w:pPr>
        <w:rPr>
          <w:rFonts w:ascii="宋体" w:hAnsi="宋体" w:cs="宋体"/>
          <w:color w:val="auto"/>
          <w:sz w:val="32"/>
          <w:szCs w:val="32"/>
          <w:highlight w:val="none"/>
        </w:rPr>
      </w:pPr>
      <w:r>
        <w:rPr>
          <w:rFonts w:hint="eastAsia" w:ascii="宋体" w:hAnsi="宋体" w:cs="宋体"/>
          <w:b/>
          <w:color w:val="auto"/>
          <w:sz w:val="32"/>
          <w:szCs w:val="32"/>
          <w:highlight w:val="none"/>
        </w:rPr>
        <w:t>二、响应文件格式</w:t>
      </w:r>
    </w:p>
    <w:p w14:paraId="52ABAA01">
      <w:pPr>
        <w:ind w:firstLine="570"/>
        <w:rPr>
          <w:rFonts w:ascii="宋体" w:hAnsi="宋体" w:cs="宋体"/>
          <w:color w:val="auto"/>
          <w:sz w:val="28"/>
          <w:szCs w:val="28"/>
          <w:highlight w:val="none"/>
        </w:rPr>
      </w:pPr>
    </w:p>
    <w:p w14:paraId="4F723355">
      <w:pPr>
        <w:ind w:firstLine="570"/>
        <w:rPr>
          <w:rFonts w:ascii="宋体" w:hAnsi="宋体" w:cs="宋体"/>
          <w:color w:val="auto"/>
          <w:sz w:val="28"/>
          <w:szCs w:val="28"/>
          <w:highlight w:val="none"/>
        </w:rPr>
      </w:pPr>
      <w:r>
        <w:rPr>
          <w:rFonts w:hint="eastAsia" w:ascii="宋体" w:hAnsi="宋体" w:cs="宋体"/>
          <w:color w:val="auto"/>
          <w:sz w:val="28"/>
          <w:szCs w:val="28"/>
          <w:highlight w:val="none"/>
        </w:rPr>
        <w:t>1、响应文件的封面格式：</w:t>
      </w:r>
    </w:p>
    <w:p w14:paraId="232996E6">
      <w:pPr>
        <w:ind w:firstLine="570"/>
        <w:jc w:val="right"/>
        <w:rPr>
          <w:rFonts w:ascii="宋体" w:hAnsi="宋体" w:cs="宋体"/>
          <w:color w:val="auto"/>
          <w:sz w:val="44"/>
          <w:szCs w:val="44"/>
          <w:highlight w:val="none"/>
        </w:rPr>
      </w:pPr>
      <w:r>
        <w:rPr>
          <w:rFonts w:hint="eastAsia" w:ascii="宋体" w:hAnsi="宋体" w:cs="宋体"/>
          <w:color w:val="auto"/>
          <w:sz w:val="44"/>
          <w:szCs w:val="44"/>
          <w:highlight w:val="none"/>
        </w:rPr>
        <w:t>正本（或副本）</w:t>
      </w:r>
    </w:p>
    <w:p w14:paraId="59E889DD">
      <w:pPr>
        <w:ind w:firstLine="570"/>
        <w:jc w:val="center"/>
        <w:rPr>
          <w:rFonts w:ascii="宋体" w:hAnsi="宋体" w:cs="宋体"/>
          <w:b/>
          <w:color w:val="auto"/>
          <w:sz w:val="84"/>
          <w:szCs w:val="84"/>
          <w:highlight w:val="none"/>
        </w:rPr>
      </w:pPr>
    </w:p>
    <w:p w14:paraId="4073EC29">
      <w:pPr>
        <w:ind w:firstLine="570"/>
        <w:jc w:val="center"/>
        <w:rPr>
          <w:rFonts w:ascii="宋体" w:hAnsi="宋体" w:cs="宋体"/>
          <w:b/>
          <w:color w:val="auto"/>
          <w:sz w:val="84"/>
          <w:szCs w:val="84"/>
          <w:highlight w:val="none"/>
        </w:rPr>
      </w:pPr>
      <w:r>
        <w:rPr>
          <w:rFonts w:hint="eastAsia" w:ascii="宋体" w:hAnsi="宋体" w:cs="宋体"/>
          <w:b/>
          <w:color w:val="auto"/>
          <w:sz w:val="84"/>
          <w:szCs w:val="84"/>
          <w:highlight w:val="none"/>
        </w:rPr>
        <w:t>响应文件</w:t>
      </w:r>
    </w:p>
    <w:p w14:paraId="64F9357A">
      <w:pPr>
        <w:ind w:firstLine="570"/>
        <w:jc w:val="center"/>
        <w:rPr>
          <w:rFonts w:ascii="宋体" w:hAnsi="宋体" w:cs="宋体"/>
          <w:b/>
          <w:color w:val="auto"/>
          <w:sz w:val="84"/>
          <w:szCs w:val="84"/>
          <w:highlight w:val="none"/>
        </w:rPr>
      </w:pPr>
      <w:r>
        <w:rPr>
          <w:rFonts w:hint="eastAsia" w:ascii="宋体" w:hAnsi="宋体" w:cs="宋体"/>
          <w:b/>
          <w:color w:val="auto"/>
          <w:sz w:val="30"/>
          <w:szCs w:val="30"/>
          <w:highlight w:val="none"/>
        </w:rPr>
        <w:t>（资格证明文件/商务、技术文件）</w:t>
      </w:r>
    </w:p>
    <w:p w14:paraId="7B3CBDBA">
      <w:pPr>
        <w:ind w:firstLine="570"/>
        <w:jc w:val="center"/>
        <w:rPr>
          <w:rFonts w:ascii="宋体" w:hAnsi="宋体" w:cs="宋体"/>
          <w:b/>
          <w:color w:val="auto"/>
          <w:sz w:val="84"/>
          <w:szCs w:val="84"/>
          <w:highlight w:val="none"/>
        </w:rPr>
      </w:pPr>
    </w:p>
    <w:p w14:paraId="11AA0760">
      <w:pPr>
        <w:spacing w:line="800" w:lineRule="exact"/>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项目名称：</w:t>
      </w:r>
    </w:p>
    <w:p w14:paraId="66491811">
      <w:pPr>
        <w:spacing w:line="800" w:lineRule="exact"/>
        <w:ind w:firstLine="570"/>
        <w:rPr>
          <w:rFonts w:ascii="宋体" w:hAnsi="宋体" w:cs="宋体"/>
          <w:color w:val="auto"/>
          <w:sz w:val="28"/>
          <w:szCs w:val="28"/>
          <w:highlight w:val="none"/>
        </w:rPr>
      </w:pPr>
      <w:r>
        <w:rPr>
          <w:rFonts w:hint="eastAsia" w:ascii="宋体" w:hAnsi="宋体" w:cs="宋体"/>
          <w:color w:val="auto"/>
          <w:sz w:val="28"/>
          <w:szCs w:val="28"/>
          <w:highlight w:val="none"/>
        </w:rPr>
        <w:t>项目编号：</w:t>
      </w:r>
    </w:p>
    <w:p w14:paraId="167093E4">
      <w:pPr>
        <w:spacing w:line="800" w:lineRule="exact"/>
        <w:ind w:firstLine="570"/>
        <w:rPr>
          <w:rFonts w:ascii="宋体" w:hAnsi="宋体" w:cs="宋体"/>
          <w:color w:val="auto"/>
          <w:sz w:val="28"/>
          <w:szCs w:val="28"/>
          <w:highlight w:val="none"/>
        </w:rPr>
      </w:pPr>
      <w:r>
        <w:rPr>
          <w:rFonts w:hint="eastAsia" w:ascii="宋体" w:hAnsi="宋体" w:cs="宋体"/>
          <w:color w:val="auto"/>
          <w:sz w:val="28"/>
          <w:szCs w:val="28"/>
          <w:highlight w:val="none"/>
        </w:rPr>
        <w:t>供应商名称（盖章）：</w:t>
      </w:r>
    </w:p>
    <w:p w14:paraId="1BEC98CE">
      <w:pPr>
        <w:spacing w:line="800" w:lineRule="exact"/>
        <w:ind w:firstLine="570"/>
        <w:rPr>
          <w:rFonts w:ascii="宋体" w:hAnsi="宋体" w:cs="宋体"/>
          <w:color w:val="auto"/>
          <w:sz w:val="28"/>
          <w:szCs w:val="28"/>
          <w:highlight w:val="none"/>
        </w:rPr>
      </w:pPr>
      <w:r>
        <w:rPr>
          <w:rFonts w:hint="eastAsia" w:ascii="宋体" w:hAnsi="宋体" w:cs="宋体"/>
          <w:color w:val="auto"/>
          <w:sz w:val="28"/>
          <w:szCs w:val="28"/>
          <w:highlight w:val="none"/>
        </w:rPr>
        <w:t>供应商地址：</w:t>
      </w:r>
    </w:p>
    <w:p w14:paraId="03022C52">
      <w:pPr>
        <w:spacing w:line="800" w:lineRule="exact"/>
        <w:ind w:firstLine="570"/>
        <w:jc w:val="right"/>
        <w:rPr>
          <w:rFonts w:ascii="宋体" w:hAnsi="宋体" w:cs="宋体"/>
          <w:b/>
          <w:color w:val="auto"/>
          <w:highlight w:val="none"/>
        </w:rPr>
      </w:pPr>
      <w:r>
        <w:rPr>
          <w:rFonts w:hint="eastAsia" w:ascii="宋体" w:hAnsi="宋体" w:cs="宋体"/>
          <w:b/>
          <w:color w:val="auto"/>
          <w:highlight w:val="none"/>
        </w:rPr>
        <w:t xml:space="preserve">  年   月   日</w:t>
      </w:r>
    </w:p>
    <w:p w14:paraId="4805F945">
      <w:pPr>
        <w:rPr>
          <w:rFonts w:ascii="宋体" w:hAnsi="宋体" w:cs="宋体"/>
          <w:b/>
          <w:color w:val="auto"/>
          <w:sz w:val="32"/>
          <w:szCs w:val="32"/>
          <w:highlight w:val="none"/>
        </w:rPr>
      </w:pPr>
    </w:p>
    <w:p w14:paraId="414905B3">
      <w:pPr>
        <w:ind w:firstLine="570"/>
        <w:jc w:val="center"/>
        <w:rPr>
          <w:rFonts w:ascii="宋体" w:hAnsi="宋体" w:cs="宋体"/>
          <w:b/>
          <w:color w:val="auto"/>
          <w:sz w:val="32"/>
          <w:szCs w:val="32"/>
          <w:highlight w:val="none"/>
        </w:rPr>
      </w:pPr>
    </w:p>
    <w:p w14:paraId="08CECF03">
      <w:pPr>
        <w:ind w:firstLine="570"/>
        <w:jc w:val="center"/>
        <w:rPr>
          <w:rFonts w:ascii="宋体" w:hAnsi="宋体" w:cs="宋体"/>
          <w:b/>
          <w:color w:val="auto"/>
          <w:sz w:val="32"/>
          <w:szCs w:val="32"/>
          <w:highlight w:val="none"/>
        </w:rPr>
      </w:pPr>
    </w:p>
    <w:p w14:paraId="60BE4C1D">
      <w:pPr>
        <w:ind w:firstLine="570"/>
        <w:jc w:val="center"/>
        <w:rPr>
          <w:rFonts w:ascii="宋体" w:hAnsi="宋体" w:cs="宋体"/>
          <w:b/>
          <w:color w:val="auto"/>
          <w:sz w:val="32"/>
          <w:szCs w:val="32"/>
          <w:highlight w:val="none"/>
        </w:rPr>
      </w:pPr>
    </w:p>
    <w:p w14:paraId="5FE1D560">
      <w:pPr>
        <w:ind w:firstLine="570"/>
        <w:jc w:val="center"/>
        <w:rPr>
          <w:rFonts w:ascii="宋体" w:hAnsi="宋体" w:cs="宋体"/>
          <w:b/>
          <w:color w:val="auto"/>
          <w:sz w:val="32"/>
          <w:szCs w:val="32"/>
          <w:highlight w:val="none"/>
        </w:rPr>
      </w:pPr>
    </w:p>
    <w:p w14:paraId="4E35BEAC">
      <w:pPr>
        <w:rPr>
          <w:rFonts w:ascii="宋体" w:hAnsi="宋体" w:cs="宋体"/>
          <w:b/>
          <w:color w:val="auto"/>
          <w:sz w:val="32"/>
          <w:szCs w:val="32"/>
          <w:highlight w:val="none"/>
        </w:rPr>
      </w:pPr>
      <w:r>
        <w:rPr>
          <w:rFonts w:hint="eastAsia" w:ascii="宋体" w:hAnsi="宋体" w:cs="宋体"/>
          <w:b/>
          <w:color w:val="auto"/>
          <w:sz w:val="32"/>
          <w:szCs w:val="32"/>
          <w:highlight w:val="none"/>
        </w:rPr>
        <w:br w:type="page"/>
      </w:r>
    </w:p>
    <w:p w14:paraId="395996F3">
      <w:pPr>
        <w:ind w:firstLine="570"/>
        <w:jc w:val="center"/>
        <w:rPr>
          <w:rFonts w:ascii="宋体" w:hAnsi="宋体" w:cs="宋体"/>
          <w:b/>
          <w:color w:val="auto"/>
          <w:sz w:val="32"/>
          <w:szCs w:val="32"/>
          <w:highlight w:val="none"/>
        </w:rPr>
      </w:pPr>
      <w:r>
        <w:rPr>
          <w:rFonts w:hint="eastAsia" w:ascii="宋体" w:hAnsi="宋体" w:cs="宋体"/>
          <w:b/>
          <w:color w:val="auto"/>
          <w:sz w:val="32"/>
          <w:szCs w:val="32"/>
          <w:highlight w:val="none"/>
        </w:rPr>
        <w:t>目  录</w:t>
      </w:r>
    </w:p>
    <w:p w14:paraId="07ABFACD">
      <w:pPr>
        <w:autoSpaceDE w:val="0"/>
        <w:autoSpaceDN w:val="0"/>
        <w:adjustRightInd w:val="0"/>
        <w:snapToGrid w:val="0"/>
        <w:spacing w:line="400" w:lineRule="exact"/>
        <w:ind w:firstLine="487" w:firstLineChars="202"/>
        <w:rPr>
          <w:rFonts w:ascii="宋体" w:hAnsi="宋体" w:cs="宋体"/>
          <w:b/>
          <w:color w:val="auto"/>
          <w:highlight w:val="none"/>
        </w:rPr>
      </w:pPr>
      <w:r>
        <w:rPr>
          <w:rFonts w:hint="eastAsia" w:ascii="宋体" w:hAnsi="宋体" w:cs="宋体"/>
          <w:b/>
          <w:color w:val="auto"/>
          <w:highlight w:val="none"/>
        </w:rPr>
        <w:t>1、资格证明文件</w:t>
      </w:r>
    </w:p>
    <w:p w14:paraId="33ABBE98">
      <w:pPr>
        <w:numPr>
          <w:ilvl w:val="0"/>
          <w:numId w:val="7"/>
        </w:numPr>
        <w:spacing w:line="400" w:lineRule="exact"/>
        <w:rPr>
          <w:rFonts w:ascii="宋体" w:hAnsi="宋体" w:cs="宋体"/>
          <w:color w:val="auto"/>
          <w:highlight w:val="none"/>
        </w:rPr>
      </w:pPr>
      <w:r>
        <w:rPr>
          <w:rFonts w:hint="eastAsia" w:ascii="宋体" w:hAnsi="宋体" w:cs="宋体"/>
          <w:color w:val="auto"/>
          <w:highlight w:val="none"/>
        </w:rPr>
        <w:t>磋商声明书（格式见附件）；</w:t>
      </w:r>
    </w:p>
    <w:p w14:paraId="3120D1C0">
      <w:pPr>
        <w:numPr>
          <w:ilvl w:val="0"/>
          <w:numId w:val="7"/>
        </w:numPr>
        <w:spacing w:line="400" w:lineRule="exact"/>
        <w:rPr>
          <w:rFonts w:ascii="宋体" w:hAnsi="宋体" w:cs="宋体"/>
          <w:color w:val="auto"/>
          <w:highlight w:val="none"/>
        </w:rPr>
      </w:pPr>
      <w:r>
        <w:rPr>
          <w:rFonts w:hint="eastAsia" w:ascii="宋体" w:hAnsi="宋体" w:cs="宋体"/>
          <w:color w:val="auto"/>
          <w:highlight w:val="none"/>
        </w:rPr>
        <w:t>有效的企业营业执照、税务登记证（已办理“三证合一”或“五证合一”的企业无须提供税务登记证）</w:t>
      </w:r>
      <w:r>
        <w:rPr>
          <w:rFonts w:hint="eastAsia" w:ascii="宋体" w:hAnsi="宋体" w:cs="宋体"/>
          <w:color w:val="auto"/>
          <w:highlight w:val="none"/>
          <w:lang w:val="zh-CN"/>
        </w:rPr>
        <w:t>（原件、复印件加盖公章各一份）</w:t>
      </w:r>
      <w:r>
        <w:rPr>
          <w:rFonts w:hint="eastAsia" w:ascii="宋体" w:hAnsi="宋体" w:cs="宋体"/>
          <w:color w:val="auto"/>
          <w:highlight w:val="none"/>
        </w:rPr>
        <w:t>；</w:t>
      </w:r>
    </w:p>
    <w:p w14:paraId="5F7F4AA1">
      <w:pPr>
        <w:numPr>
          <w:ilvl w:val="0"/>
          <w:numId w:val="7"/>
        </w:numPr>
        <w:tabs>
          <w:tab w:val="left" w:pos="844"/>
          <w:tab w:val="clear" w:pos="846"/>
        </w:tabs>
        <w:autoSpaceDE w:val="0"/>
        <w:autoSpaceDN w:val="0"/>
        <w:snapToGrid w:val="0"/>
        <w:spacing w:line="400" w:lineRule="exact"/>
        <w:rPr>
          <w:rFonts w:ascii="宋体" w:hAnsi="宋体" w:cs="宋体"/>
          <w:bCs/>
          <w:color w:val="auto"/>
          <w:highlight w:val="none"/>
        </w:rPr>
      </w:pPr>
      <w:r>
        <w:rPr>
          <w:rFonts w:ascii="宋体" w:hAnsi="宋体" w:cs="宋体"/>
          <w:color w:val="auto"/>
          <w:highlight w:val="none"/>
        </w:rPr>
        <w:t>承诺符合参与政府采购活动的资格条件并且没有税收缴纳、社会保障等方面的失信记录</w:t>
      </w:r>
      <w:r>
        <w:rPr>
          <w:rFonts w:hint="eastAsia" w:ascii="宋体" w:hAnsi="宋体" w:cs="宋体"/>
          <w:bCs/>
          <w:color w:val="auto"/>
          <w:highlight w:val="none"/>
        </w:rPr>
        <w:t>；</w:t>
      </w:r>
    </w:p>
    <w:p w14:paraId="76BD2954">
      <w:pPr>
        <w:numPr>
          <w:ilvl w:val="0"/>
          <w:numId w:val="7"/>
        </w:numPr>
        <w:tabs>
          <w:tab w:val="left" w:pos="844"/>
          <w:tab w:val="clear" w:pos="846"/>
        </w:tabs>
        <w:autoSpaceDE w:val="0"/>
        <w:autoSpaceDN w:val="0"/>
        <w:snapToGrid w:val="0"/>
        <w:spacing w:line="400" w:lineRule="exact"/>
        <w:rPr>
          <w:rFonts w:ascii="宋体" w:hAnsi="宋体" w:cs="宋体"/>
          <w:bCs/>
          <w:color w:val="auto"/>
          <w:highlight w:val="none"/>
        </w:rPr>
      </w:pPr>
      <w:r>
        <w:rPr>
          <w:rFonts w:hint="eastAsia" w:ascii="宋体" w:hAnsi="宋体" w:cs="宋体"/>
          <w:bCs/>
          <w:color w:val="auto"/>
          <w:highlight w:val="none"/>
        </w:rPr>
        <w:t>法定代表人身份证明书（格式见附件）；</w:t>
      </w:r>
    </w:p>
    <w:p w14:paraId="43737646">
      <w:pPr>
        <w:numPr>
          <w:ilvl w:val="0"/>
          <w:numId w:val="7"/>
        </w:numPr>
        <w:tabs>
          <w:tab w:val="left" w:pos="844"/>
          <w:tab w:val="clear" w:pos="846"/>
        </w:tabs>
        <w:autoSpaceDE w:val="0"/>
        <w:autoSpaceDN w:val="0"/>
        <w:snapToGrid w:val="0"/>
        <w:spacing w:line="400" w:lineRule="exact"/>
        <w:rPr>
          <w:rFonts w:ascii="宋体" w:hAnsi="宋体" w:cs="宋体"/>
          <w:bCs/>
          <w:color w:val="auto"/>
          <w:highlight w:val="none"/>
        </w:rPr>
      </w:pPr>
      <w:r>
        <w:rPr>
          <w:rFonts w:hint="eastAsia" w:ascii="宋体" w:hAnsi="宋体" w:cs="宋体"/>
          <w:bCs/>
          <w:color w:val="auto"/>
          <w:highlight w:val="none"/>
        </w:rPr>
        <w:t>信用承诺书（格式见附件）；</w:t>
      </w:r>
    </w:p>
    <w:p w14:paraId="1D4F83FF">
      <w:pPr>
        <w:numPr>
          <w:ilvl w:val="0"/>
          <w:numId w:val="7"/>
        </w:numPr>
        <w:tabs>
          <w:tab w:val="left" w:pos="844"/>
          <w:tab w:val="clear" w:pos="846"/>
        </w:tabs>
        <w:autoSpaceDE w:val="0"/>
        <w:autoSpaceDN w:val="0"/>
        <w:snapToGrid w:val="0"/>
        <w:spacing w:line="400" w:lineRule="exact"/>
        <w:rPr>
          <w:rFonts w:ascii="宋体" w:hAnsi="宋体" w:cs="宋体"/>
          <w:bCs/>
          <w:color w:val="auto"/>
          <w:highlight w:val="none"/>
        </w:rPr>
      </w:pPr>
      <w:r>
        <w:rPr>
          <w:rFonts w:hint="eastAsia" w:ascii="宋体" w:hAnsi="宋体" w:cs="宋体"/>
          <w:bCs/>
          <w:color w:val="auto"/>
          <w:highlight w:val="none"/>
        </w:rPr>
        <w:t>法定代表人授权委托书及授权代理人有效身份证明（复印件）（格式见附件）；</w:t>
      </w:r>
    </w:p>
    <w:p w14:paraId="662B799E">
      <w:pPr>
        <w:numPr>
          <w:ilvl w:val="0"/>
          <w:numId w:val="7"/>
        </w:numPr>
        <w:tabs>
          <w:tab w:val="left" w:pos="844"/>
          <w:tab w:val="clear" w:pos="846"/>
        </w:tabs>
        <w:autoSpaceDE w:val="0"/>
        <w:autoSpaceDN w:val="0"/>
        <w:snapToGrid w:val="0"/>
        <w:spacing w:line="400" w:lineRule="exact"/>
        <w:rPr>
          <w:rFonts w:ascii="宋体" w:hAnsi="宋体" w:cs="宋体"/>
          <w:bCs/>
          <w:color w:val="auto"/>
          <w:highlight w:val="none"/>
        </w:rPr>
      </w:pPr>
      <w:r>
        <w:rPr>
          <w:rFonts w:hint="eastAsia" w:ascii="宋体" w:hAnsi="宋体" w:cs="宋体"/>
          <w:bCs/>
          <w:color w:val="auto"/>
          <w:highlight w:val="none"/>
        </w:rPr>
        <w:t>中小企业声明函（格式见附件）；</w:t>
      </w:r>
    </w:p>
    <w:p w14:paraId="7D1E989E">
      <w:pPr>
        <w:numPr>
          <w:ilvl w:val="0"/>
          <w:numId w:val="7"/>
        </w:numPr>
        <w:tabs>
          <w:tab w:val="left" w:pos="844"/>
          <w:tab w:val="clear" w:pos="846"/>
        </w:tabs>
        <w:autoSpaceDE w:val="0"/>
        <w:autoSpaceDN w:val="0"/>
        <w:snapToGrid w:val="0"/>
        <w:spacing w:line="400" w:lineRule="exact"/>
        <w:rPr>
          <w:rFonts w:ascii="宋体" w:hAnsi="宋体" w:cs="宋体"/>
          <w:bCs/>
          <w:color w:val="auto"/>
          <w:highlight w:val="none"/>
        </w:rPr>
      </w:pPr>
      <w:r>
        <w:rPr>
          <w:rFonts w:hint="eastAsia" w:ascii="宋体" w:hAnsi="宋体" w:cs="宋体"/>
          <w:bCs/>
          <w:color w:val="auto"/>
          <w:highlight w:val="none"/>
        </w:rPr>
        <w:t xml:space="preserve">供应商认为需要提供的其他资料和文件。 </w:t>
      </w:r>
    </w:p>
    <w:p w14:paraId="3A58E025">
      <w:pPr>
        <w:tabs>
          <w:tab w:val="left" w:pos="844"/>
        </w:tabs>
        <w:autoSpaceDE w:val="0"/>
        <w:autoSpaceDN w:val="0"/>
        <w:snapToGrid w:val="0"/>
        <w:spacing w:line="400" w:lineRule="exact"/>
        <w:ind w:left="426"/>
        <w:rPr>
          <w:rFonts w:ascii="宋体" w:hAnsi="宋体" w:cs="宋体"/>
          <w:bCs/>
          <w:color w:val="auto"/>
          <w:highlight w:val="none"/>
        </w:rPr>
      </w:pPr>
      <w:r>
        <w:rPr>
          <w:rFonts w:hint="eastAsia" w:ascii="宋体" w:hAnsi="宋体" w:cs="宋体"/>
          <w:bCs/>
          <w:color w:val="auto"/>
          <w:highlight w:val="none"/>
        </w:rPr>
        <w:t xml:space="preserve"> </w:t>
      </w:r>
    </w:p>
    <w:p w14:paraId="502F2849">
      <w:pPr>
        <w:tabs>
          <w:tab w:val="left" w:pos="844"/>
        </w:tabs>
        <w:autoSpaceDE w:val="0"/>
        <w:autoSpaceDN w:val="0"/>
        <w:snapToGrid w:val="0"/>
        <w:spacing w:line="400" w:lineRule="exact"/>
        <w:ind w:left="426"/>
        <w:rPr>
          <w:rFonts w:ascii="宋体" w:hAnsi="宋体" w:cs="宋体"/>
          <w:bCs/>
          <w:color w:val="auto"/>
          <w:highlight w:val="none"/>
        </w:rPr>
      </w:pPr>
    </w:p>
    <w:p w14:paraId="57630947">
      <w:pPr>
        <w:spacing w:line="280" w:lineRule="exact"/>
        <w:ind w:firstLine="470" w:firstLineChars="196"/>
        <w:rPr>
          <w:rFonts w:ascii="宋体" w:hAnsi="宋体" w:cs="宋体"/>
          <w:color w:val="auto"/>
          <w:highlight w:val="none"/>
        </w:rPr>
      </w:pPr>
      <w:r>
        <w:rPr>
          <w:rFonts w:hint="eastAsia" w:ascii="宋体" w:hAnsi="宋体" w:cs="宋体"/>
          <w:color w:val="auto"/>
          <w:highlight w:val="none"/>
        </w:rPr>
        <w:br w:type="page"/>
      </w:r>
    </w:p>
    <w:p w14:paraId="1D46ADB1">
      <w:pPr>
        <w:spacing w:line="400" w:lineRule="exact"/>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1、磋商声明书</w:t>
      </w:r>
    </w:p>
    <w:p w14:paraId="721032BD">
      <w:pPr>
        <w:spacing w:line="280" w:lineRule="exact"/>
        <w:ind w:firstLine="470" w:firstLineChars="196"/>
        <w:rPr>
          <w:rFonts w:ascii="宋体" w:hAnsi="宋体" w:cs="宋体"/>
          <w:color w:val="auto"/>
          <w:highlight w:val="none"/>
        </w:rPr>
      </w:pPr>
    </w:p>
    <w:p w14:paraId="21096317">
      <w:pPr>
        <w:spacing w:line="280" w:lineRule="exact"/>
        <w:ind w:firstLine="470" w:firstLineChars="196"/>
        <w:rPr>
          <w:rFonts w:ascii="宋体" w:hAnsi="宋体" w:cs="宋体"/>
          <w:color w:val="auto"/>
          <w:highlight w:val="none"/>
        </w:rPr>
      </w:pPr>
    </w:p>
    <w:p w14:paraId="0D1CDA98">
      <w:pPr>
        <w:spacing w:line="360" w:lineRule="auto"/>
        <w:jc w:val="center"/>
        <w:rPr>
          <w:rFonts w:ascii="宋体" w:hAnsi="宋体" w:cs="宋体"/>
          <w:b/>
          <w:color w:val="auto"/>
          <w:sz w:val="32"/>
          <w:szCs w:val="32"/>
          <w:highlight w:val="none"/>
        </w:rPr>
      </w:pPr>
      <w:bookmarkStart w:id="106" w:name="_Toc414960388"/>
      <w:bookmarkEnd w:id="106"/>
      <w:r>
        <w:rPr>
          <w:rFonts w:hint="eastAsia" w:ascii="宋体" w:hAnsi="宋体" w:cs="宋体"/>
          <w:b/>
          <w:color w:val="auto"/>
          <w:sz w:val="32"/>
          <w:szCs w:val="32"/>
          <w:highlight w:val="none"/>
        </w:rPr>
        <w:t>磋 商 声 明 书</w:t>
      </w:r>
    </w:p>
    <w:p w14:paraId="1A468D2F">
      <w:pPr>
        <w:pStyle w:val="17"/>
        <w:spacing w:line="460" w:lineRule="atLeast"/>
        <w:jc w:val="center"/>
        <w:rPr>
          <w:rFonts w:cs="宋体"/>
          <w:color w:val="auto"/>
          <w:highlight w:val="none"/>
        </w:rPr>
      </w:pPr>
    </w:p>
    <w:p w14:paraId="5BB85C2B">
      <w:pPr>
        <w:adjustRightInd w:val="0"/>
        <w:snapToGrid w:val="0"/>
        <w:spacing w:line="360" w:lineRule="auto"/>
        <w:rPr>
          <w:rFonts w:ascii="宋体" w:hAnsi="宋体" w:cs="宋体"/>
          <w:color w:val="auto"/>
          <w:highlight w:val="none"/>
        </w:rPr>
      </w:pPr>
      <w:r>
        <w:rPr>
          <w:rFonts w:hint="eastAsia" w:ascii="宋体" w:hAnsi="宋体" w:cs="宋体"/>
          <w:color w:val="auto"/>
          <w:highlight w:val="none"/>
        </w:rPr>
        <w:t>致：</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6EF6217A">
      <w:pPr>
        <w:tabs>
          <w:tab w:val="left" w:pos="1418"/>
        </w:tabs>
        <w:snapToGrid w:val="0"/>
        <w:spacing w:before="50" w:after="50" w:line="360" w:lineRule="auto"/>
        <w:ind w:firstLine="480" w:firstLineChars="200"/>
        <w:rPr>
          <w:rFonts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（供应商名称）系中华人民共和国合法企业，经营地址</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59FB9C9A">
      <w:pPr>
        <w:tabs>
          <w:tab w:val="left" w:pos="1418"/>
        </w:tabs>
        <w:snapToGrid w:val="0"/>
        <w:spacing w:before="50" w:after="50" w:line="360" w:lineRule="auto"/>
        <w:ind w:firstLine="480" w:firstLineChars="200"/>
        <w:rPr>
          <w:rFonts w:ascii="宋体" w:hAnsi="宋体" w:cs="宋体"/>
          <w:color w:val="auto"/>
          <w:highlight w:val="none"/>
        </w:rPr>
      </w:pPr>
      <w:r>
        <w:rPr>
          <w:rFonts w:hint="eastAsia" w:ascii="宋体" w:hAnsi="宋体" w:cs="宋体"/>
          <w:color w:val="auto"/>
          <w:highlight w:val="none"/>
        </w:rPr>
        <w:t>我</w:t>
      </w:r>
      <w:r>
        <w:rPr>
          <w:rFonts w:hint="eastAsia" w:ascii="宋体" w:hAnsi="宋体" w:cs="宋体"/>
          <w:color w:val="auto"/>
          <w:highlight w:val="none"/>
          <w:u w:val="single"/>
        </w:rPr>
        <w:t xml:space="preserve">           </w:t>
      </w:r>
      <w:r>
        <w:rPr>
          <w:rFonts w:hint="eastAsia" w:ascii="宋体" w:hAnsi="宋体" w:cs="宋体"/>
          <w:color w:val="auto"/>
          <w:highlight w:val="none"/>
        </w:rPr>
        <w:t>（姓名）系</w:t>
      </w:r>
      <w:r>
        <w:rPr>
          <w:rFonts w:hint="eastAsia" w:ascii="宋体" w:hAnsi="宋体" w:cs="宋体"/>
          <w:color w:val="auto"/>
          <w:highlight w:val="none"/>
          <w:u w:val="single"/>
        </w:rPr>
        <w:t xml:space="preserve">                  </w:t>
      </w:r>
      <w:r>
        <w:rPr>
          <w:rFonts w:hint="eastAsia" w:ascii="宋体" w:hAnsi="宋体" w:cs="宋体"/>
          <w:color w:val="auto"/>
          <w:highlight w:val="none"/>
        </w:rPr>
        <w:t>（供应商名称）的法定代表人，我方愿意参加贵方组织的</w:t>
      </w:r>
      <w:r>
        <w:rPr>
          <w:rFonts w:hint="eastAsia" w:ascii="宋体" w:hAnsi="宋体" w:cs="宋体"/>
          <w:color w:val="auto"/>
          <w:highlight w:val="none"/>
          <w:u w:val="single"/>
        </w:rPr>
        <w:t xml:space="preserve">             </w:t>
      </w:r>
      <w:r>
        <w:rPr>
          <w:rFonts w:hint="eastAsia" w:ascii="宋体" w:hAnsi="宋体" w:cs="宋体"/>
          <w:color w:val="auto"/>
          <w:highlight w:val="none"/>
        </w:rPr>
        <w:t>项目的磋商，为便于贵方公正、择优地确定成交供应商及其磋商项目的服务，我方就本次磋商有关事项郑重声明如下：</w:t>
      </w:r>
    </w:p>
    <w:p w14:paraId="129F21BB">
      <w:pPr>
        <w:adjustRightInd w:val="0"/>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1、我方向贵方提交的所有响应文件、资料都是准确的和真实的；</w:t>
      </w:r>
    </w:p>
    <w:p w14:paraId="1E280CF4">
      <w:pPr>
        <w:adjustRightInd w:val="0"/>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2、我方不是采购人的附属机构；在获知本项目采购信息后，与采购人聘请的为此项目提供咨询服务的公司及其附属机构没有任何联系。</w:t>
      </w:r>
    </w:p>
    <w:p w14:paraId="6664A3FB">
      <w:pPr>
        <w:adjustRightInd w:val="0"/>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3、我方此次向贵方提供的服务是</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110049AE">
      <w:pPr>
        <w:adjustRightInd w:val="0"/>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4、我方最近三年内的被公开披露或查处的违法违规行为有：</w:t>
      </w:r>
      <w:r>
        <w:rPr>
          <w:rFonts w:hint="eastAsia" w:ascii="宋体" w:hAnsi="宋体" w:cs="宋体"/>
          <w:color w:val="auto"/>
          <w:highlight w:val="none"/>
          <w:u w:val="single"/>
        </w:rPr>
        <w:t xml:space="preserve">　                </w:t>
      </w:r>
    </w:p>
    <w:p w14:paraId="666D0EBE">
      <w:pPr>
        <w:adjustRightInd w:val="0"/>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 xml:space="preserve">5、我方承诺：最近三年我方无行贿犯罪行为，若我方成交，愿意接受社会监督和检察院调查，若与我方承诺不符，可免除我方成交人资格。                                                  </w:t>
      </w:r>
    </w:p>
    <w:p w14:paraId="65E57B4E">
      <w:pPr>
        <w:adjustRightInd w:val="0"/>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6、以上事项如有虚假或隐瞒，我方愿意承担一切后果和责任。</w:t>
      </w:r>
    </w:p>
    <w:p w14:paraId="4E17FCA9">
      <w:pPr>
        <w:adjustRightInd w:val="0"/>
        <w:snapToGrid w:val="0"/>
        <w:spacing w:line="360" w:lineRule="auto"/>
        <w:ind w:firstLine="480" w:firstLineChars="200"/>
        <w:rPr>
          <w:rFonts w:ascii="宋体" w:hAnsi="宋体" w:cs="宋体"/>
          <w:color w:val="auto"/>
          <w:highlight w:val="none"/>
          <w:u w:val="single"/>
        </w:rPr>
      </w:pPr>
    </w:p>
    <w:p w14:paraId="1B3B0171">
      <w:pPr>
        <w:adjustRightInd w:val="0"/>
        <w:snapToGrid w:val="0"/>
        <w:spacing w:line="360" w:lineRule="auto"/>
        <w:ind w:firstLine="480" w:firstLineChars="200"/>
        <w:rPr>
          <w:rFonts w:ascii="宋体" w:hAnsi="宋体" w:cs="宋体"/>
          <w:color w:val="auto"/>
          <w:highlight w:val="none"/>
          <w:u w:val="single"/>
        </w:rPr>
      </w:pPr>
      <w:r>
        <w:rPr>
          <w:rFonts w:hint="eastAsia" w:ascii="宋体" w:hAnsi="宋体" w:cs="宋体"/>
          <w:color w:val="auto"/>
          <w:highlight w:val="none"/>
        </w:rPr>
        <w:t>法定代表人签字：</w:t>
      </w:r>
      <w:r>
        <w:rPr>
          <w:rFonts w:hint="eastAsia" w:ascii="宋体" w:hAnsi="宋体" w:cs="宋体"/>
          <w:color w:val="auto"/>
          <w:highlight w:val="none"/>
          <w:u w:val="single"/>
        </w:rPr>
        <w:t xml:space="preserve">             </w:t>
      </w:r>
    </w:p>
    <w:p w14:paraId="78A8B78A">
      <w:pPr>
        <w:adjustRightInd w:val="0"/>
        <w:snapToGrid w:val="0"/>
        <w:spacing w:line="360" w:lineRule="auto"/>
        <w:ind w:firstLine="480" w:firstLineChars="200"/>
        <w:rPr>
          <w:rFonts w:ascii="宋体" w:hAnsi="宋体" w:cs="宋体"/>
          <w:color w:val="auto"/>
          <w:highlight w:val="none"/>
          <w:u w:val="single"/>
        </w:rPr>
      </w:pPr>
      <w:r>
        <w:rPr>
          <w:rFonts w:hint="eastAsia" w:ascii="宋体" w:hAnsi="宋体" w:cs="宋体"/>
          <w:color w:val="auto"/>
          <w:highlight w:val="none"/>
        </w:rPr>
        <w:t>供应商盖章：</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14:paraId="00066C62">
      <w:pPr>
        <w:adjustRightInd w:val="0"/>
        <w:snapToGrid w:val="0"/>
        <w:spacing w:line="360" w:lineRule="auto"/>
        <w:ind w:firstLine="240" w:firstLineChars="100"/>
        <w:rPr>
          <w:rFonts w:ascii="宋体" w:hAnsi="宋体" w:cs="宋体"/>
          <w:color w:val="auto"/>
          <w:highlight w:val="none"/>
        </w:rPr>
      </w:pPr>
      <w:r>
        <w:rPr>
          <w:rFonts w:hint="eastAsia" w:ascii="宋体" w:hAnsi="宋体" w:cs="宋体"/>
          <w:color w:val="auto"/>
          <w:highlight w:val="none"/>
        </w:rPr>
        <w:t xml:space="preserve">  年    月    日</w:t>
      </w:r>
    </w:p>
    <w:p w14:paraId="1F042635">
      <w:pPr>
        <w:spacing w:line="280" w:lineRule="exact"/>
        <w:ind w:firstLine="470" w:firstLineChars="196"/>
        <w:rPr>
          <w:rFonts w:ascii="宋体" w:hAnsi="宋体" w:cs="宋体"/>
          <w:color w:val="auto"/>
          <w:highlight w:val="none"/>
        </w:rPr>
      </w:pPr>
    </w:p>
    <w:p w14:paraId="7EA4A0F0">
      <w:pPr>
        <w:spacing w:line="280" w:lineRule="exact"/>
        <w:ind w:firstLine="470" w:firstLineChars="196"/>
        <w:rPr>
          <w:rFonts w:ascii="宋体" w:hAnsi="宋体" w:cs="宋体"/>
          <w:color w:val="auto"/>
          <w:highlight w:val="none"/>
        </w:rPr>
      </w:pPr>
    </w:p>
    <w:p w14:paraId="0532A5EF">
      <w:pPr>
        <w:spacing w:line="280" w:lineRule="exact"/>
        <w:ind w:firstLine="470" w:firstLineChars="196"/>
        <w:rPr>
          <w:rFonts w:ascii="宋体" w:hAnsi="宋体" w:cs="宋体"/>
          <w:color w:val="auto"/>
          <w:highlight w:val="none"/>
        </w:rPr>
      </w:pPr>
    </w:p>
    <w:p w14:paraId="303C5C08">
      <w:pPr>
        <w:spacing w:line="280" w:lineRule="exact"/>
        <w:rPr>
          <w:rFonts w:ascii="宋体" w:hAnsi="宋体" w:cs="宋体"/>
          <w:color w:val="auto"/>
          <w:highlight w:val="none"/>
        </w:rPr>
      </w:pPr>
    </w:p>
    <w:p w14:paraId="5C334F81">
      <w:pPr>
        <w:spacing w:line="280" w:lineRule="exact"/>
        <w:rPr>
          <w:rFonts w:ascii="宋体" w:hAnsi="宋体" w:cs="宋体"/>
          <w:color w:val="auto"/>
          <w:highlight w:val="none"/>
        </w:rPr>
      </w:pPr>
    </w:p>
    <w:p w14:paraId="6F6FA70A">
      <w:pPr>
        <w:spacing w:line="400" w:lineRule="exact"/>
        <w:jc w:val="left"/>
        <w:rPr>
          <w:rFonts w:ascii="宋体" w:hAnsi="宋体" w:cs="宋体"/>
          <w:b/>
          <w:bCs/>
          <w:color w:val="auto"/>
          <w:sz w:val="28"/>
          <w:szCs w:val="28"/>
          <w:highlight w:val="none"/>
        </w:rPr>
      </w:pPr>
      <w:r>
        <w:rPr>
          <w:rFonts w:hint="eastAsia" w:ascii="宋体" w:hAnsi="宋体" w:cs="宋体"/>
          <w:color w:val="auto"/>
          <w:szCs w:val="21"/>
          <w:highlight w:val="none"/>
        </w:rPr>
        <w:br w:type="page"/>
      </w:r>
      <w:r>
        <w:rPr>
          <w:rFonts w:hint="eastAsia" w:ascii="宋体" w:hAnsi="宋体" w:cs="宋体"/>
          <w:b/>
          <w:bCs/>
          <w:color w:val="auto"/>
          <w:sz w:val="28"/>
          <w:szCs w:val="28"/>
          <w:highlight w:val="none"/>
        </w:rPr>
        <w:t>2、法定代表人身份证明书</w:t>
      </w:r>
    </w:p>
    <w:p w14:paraId="6B80F6EA">
      <w:pPr>
        <w:spacing w:before="156" w:beforeLines="50" w:after="156" w:afterLines="50" w:line="400" w:lineRule="exact"/>
        <w:jc w:val="center"/>
        <w:rPr>
          <w:rFonts w:ascii="宋体" w:hAnsi="宋体" w:cs="宋体"/>
          <w:bCs/>
          <w:color w:val="auto"/>
          <w:sz w:val="30"/>
          <w:highlight w:val="none"/>
        </w:rPr>
      </w:pPr>
    </w:p>
    <w:p w14:paraId="3285357F">
      <w:pPr>
        <w:spacing w:before="156" w:beforeLines="50" w:after="156" w:afterLines="50" w:line="40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法定代表人身份证明书</w:t>
      </w:r>
    </w:p>
    <w:p w14:paraId="2BBC2A8B">
      <w:pPr>
        <w:spacing w:line="360" w:lineRule="auto"/>
        <w:rPr>
          <w:rFonts w:ascii="宋体" w:hAnsi="宋体" w:cs="宋体"/>
          <w:color w:val="auto"/>
          <w:highlight w:val="none"/>
        </w:rPr>
      </w:pPr>
      <w:r>
        <w:rPr>
          <w:rFonts w:hint="eastAsia" w:ascii="宋体" w:hAnsi="宋体" w:cs="宋体"/>
          <w:color w:val="auto"/>
          <w:highlight w:val="none"/>
        </w:rPr>
        <w:t>致</w:t>
      </w:r>
      <w:r>
        <w:rPr>
          <w:rFonts w:hint="eastAsia" w:ascii="宋体" w:hAnsi="宋体" w:cs="宋体"/>
          <w:color w:val="auto"/>
          <w:highlight w:val="none"/>
          <w:u w:val="single"/>
        </w:rPr>
        <w:t xml:space="preserve">                  </w:t>
      </w:r>
      <w:r>
        <w:rPr>
          <w:rFonts w:hint="eastAsia" w:ascii="宋体" w:hAnsi="宋体" w:cs="宋体"/>
          <w:color w:val="auto"/>
          <w:highlight w:val="none"/>
          <w:lang w:val="zh-CN"/>
        </w:rPr>
        <w:t>：</w:t>
      </w:r>
    </w:p>
    <w:p w14:paraId="5B5DA736">
      <w:pPr>
        <w:spacing w:before="156" w:beforeLines="50" w:after="156" w:afterLines="50" w:line="400" w:lineRule="exact"/>
        <w:rPr>
          <w:rFonts w:ascii="宋体" w:hAnsi="宋体" w:cs="宋体"/>
          <w:color w:val="auto"/>
          <w:highlight w:val="none"/>
          <w:u w:val="single"/>
        </w:rPr>
      </w:pPr>
      <w:r>
        <w:rPr>
          <w:rFonts w:hint="eastAsia" w:ascii="宋体" w:hAnsi="宋体" w:cs="宋体"/>
          <w:bCs/>
          <w:color w:val="auto"/>
          <w:highlight w:val="none"/>
        </w:rPr>
        <w:t xml:space="preserve">    </w:t>
      </w:r>
      <w:r>
        <w:rPr>
          <w:rFonts w:hint="eastAsia" w:ascii="宋体" w:hAnsi="宋体" w:cs="宋体"/>
          <w:color w:val="auto"/>
          <w:highlight w:val="none"/>
          <w:u w:val="single"/>
        </w:rPr>
        <w:t xml:space="preserve">  （法定代表人姓名）   </w:t>
      </w:r>
      <w:r>
        <w:rPr>
          <w:rFonts w:hint="eastAsia" w:ascii="宋体" w:hAnsi="宋体" w:cs="宋体"/>
          <w:color w:val="auto"/>
          <w:highlight w:val="none"/>
        </w:rPr>
        <w:t>系</w:t>
      </w:r>
      <w:r>
        <w:rPr>
          <w:rFonts w:hint="eastAsia" w:ascii="宋体" w:hAnsi="宋体" w:cs="宋体"/>
          <w:color w:val="auto"/>
          <w:highlight w:val="none"/>
          <w:u w:val="single"/>
        </w:rPr>
        <w:t xml:space="preserve">   （供应商名称）  </w:t>
      </w:r>
      <w:r>
        <w:rPr>
          <w:rFonts w:hint="eastAsia" w:ascii="宋体" w:hAnsi="宋体" w:cs="宋体"/>
          <w:color w:val="auto"/>
          <w:highlight w:val="none"/>
        </w:rPr>
        <w:t>的法定代表人，性别</w:t>
      </w:r>
      <w:r>
        <w:rPr>
          <w:rFonts w:hint="eastAsia" w:ascii="宋体" w:hAnsi="宋体" w:cs="宋体"/>
          <w:color w:val="auto"/>
          <w:highlight w:val="none"/>
          <w:u w:val="single"/>
        </w:rPr>
        <w:t xml:space="preserve">      ，</w:t>
      </w:r>
      <w:r>
        <w:rPr>
          <w:rFonts w:hint="eastAsia" w:ascii="宋体" w:hAnsi="宋体" w:cs="宋体"/>
          <w:color w:val="auto"/>
          <w:highlight w:val="none"/>
        </w:rPr>
        <w:t>职务</w:t>
      </w:r>
      <w:r>
        <w:rPr>
          <w:rFonts w:hint="eastAsia" w:ascii="宋体" w:hAnsi="宋体" w:cs="宋体"/>
          <w:color w:val="auto"/>
          <w:highlight w:val="none"/>
          <w:u w:val="single"/>
        </w:rPr>
        <w:t xml:space="preserve">   </w:t>
      </w:r>
    </w:p>
    <w:p w14:paraId="610BEA58">
      <w:pPr>
        <w:spacing w:before="156" w:beforeLines="50" w:after="156" w:afterLines="50" w:line="400" w:lineRule="exact"/>
        <w:rPr>
          <w:rFonts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 xml:space="preserve">联系电话 </w:t>
      </w:r>
      <w:r>
        <w:rPr>
          <w:rFonts w:hint="eastAsia" w:ascii="宋体" w:hAnsi="宋体" w:cs="宋体"/>
          <w:color w:val="auto"/>
          <w:highlight w:val="none"/>
          <w:u w:val="single"/>
        </w:rPr>
        <w:t xml:space="preserve">         </w:t>
      </w:r>
      <w:r>
        <w:rPr>
          <w:rFonts w:hint="eastAsia" w:ascii="宋体" w:hAnsi="宋体" w:cs="宋体"/>
          <w:color w:val="auto"/>
          <w:highlight w:val="none"/>
        </w:rPr>
        <w:t>传真</w:t>
      </w:r>
      <w:r>
        <w:rPr>
          <w:rFonts w:hint="eastAsia" w:ascii="宋体" w:hAnsi="宋体" w:cs="宋体"/>
          <w:color w:val="auto"/>
          <w:highlight w:val="none"/>
          <w:u w:val="single"/>
        </w:rPr>
        <w:t xml:space="preserve">                </w:t>
      </w:r>
      <w:r>
        <w:rPr>
          <w:rFonts w:hint="eastAsia" w:ascii="宋体" w:hAnsi="宋体" w:cs="宋体"/>
          <w:color w:val="auto"/>
          <w:highlight w:val="none"/>
        </w:rPr>
        <w:t>,联系地址</w:t>
      </w:r>
      <w:r>
        <w:rPr>
          <w:rFonts w:hint="eastAsia" w:ascii="宋体" w:hAnsi="宋体" w:cs="宋体"/>
          <w:color w:val="auto"/>
          <w:highlight w:val="none"/>
          <w:u w:val="single"/>
        </w:rPr>
        <w:t xml:space="preserve">                 </w:t>
      </w:r>
      <w:r>
        <w:rPr>
          <w:rFonts w:hint="eastAsia" w:ascii="宋体" w:hAnsi="宋体" w:cs="宋体"/>
          <w:color w:val="auto"/>
          <w:highlight w:val="none"/>
        </w:rPr>
        <w:t xml:space="preserve">，邮编  </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          </w:t>
      </w:r>
    </w:p>
    <w:p w14:paraId="006E39B3">
      <w:pPr>
        <w:spacing w:before="156" w:beforeLines="50" w:after="156" w:afterLines="50" w:line="400" w:lineRule="exact"/>
        <w:rPr>
          <w:rFonts w:ascii="宋体" w:hAnsi="宋体" w:cs="宋体"/>
          <w:color w:val="auto"/>
          <w:highlight w:val="none"/>
        </w:rPr>
      </w:pPr>
    </w:p>
    <w:p w14:paraId="356F25F5">
      <w:pPr>
        <w:spacing w:before="156" w:beforeLines="50" w:after="156" w:afterLines="50" w:line="400" w:lineRule="exact"/>
        <w:jc w:val="center"/>
        <w:rPr>
          <w:rFonts w:ascii="宋体" w:hAnsi="宋体" w:cs="宋体"/>
          <w:color w:val="auto"/>
          <w:highlight w:val="none"/>
        </w:rPr>
      </w:pPr>
      <w:r>
        <w:rPr>
          <w:rFonts w:hint="eastAsia" w:ascii="宋体" w:hAnsi="宋体" w:cs="宋体"/>
          <w:color w:val="auto"/>
          <w:highlight w:val="none"/>
        </w:rPr>
        <w:t>特此证明</w:t>
      </w:r>
    </w:p>
    <w:p w14:paraId="4C535DF5">
      <w:pPr>
        <w:spacing w:before="156" w:beforeLines="50" w:after="156" w:afterLines="50" w:line="400" w:lineRule="exact"/>
        <w:jc w:val="right"/>
        <w:rPr>
          <w:rFonts w:ascii="宋体" w:hAnsi="宋体" w:cs="宋体"/>
          <w:color w:val="auto"/>
          <w:highlight w:val="none"/>
        </w:rPr>
      </w:pPr>
    </w:p>
    <w:p w14:paraId="2C980D0E">
      <w:pPr>
        <w:spacing w:before="156" w:beforeLines="50" w:after="156" w:afterLines="50" w:line="400" w:lineRule="exact"/>
        <w:jc w:val="right"/>
        <w:rPr>
          <w:rFonts w:ascii="宋体" w:hAnsi="宋体" w:cs="宋体"/>
          <w:color w:val="auto"/>
          <w:highlight w:val="none"/>
        </w:rPr>
      </w:pPr>
      <w:r>
        <w:rPr>
          <w:rFonts w:hint="eastAsia" w:ascii="宋体" w:hAnsi="宋体" w:cs="宋体"/>
          <w:color w:val="auto"/>
          <w:highlight w:val="none"/>
        </w:rPr>
        <w:t>供应商名称（公章）</w:t>
      </w:r>
    </w:p>
    <w:p w14:paraId="7A2CD551">
      <w:pPr>
        <w:wordWrap w:val="0"/>
        <w:spacing w:before="156" w:beforeLines="50" w:after="156" w:afterLines="50" w:line="400" w:lineRule="exact"/>
        <w:jc w:val="right"/>
        <w:rPr>
          <w:rFonts w:ascii="宋体" w:hAnsi="宋体" w:cs="宋体"/>
          <w:color w:val="auto"/>
          <w:highlight w:val="none"/>
        </w:rPr>
      </w:pPr>
      <w:r>
        <w:rPr>
          <w:rFonts w:hint="eastAsia" w:ascii="宋体" w:hAnsi="宋体" w:cs="宋体"/>
          <w:color w:val="auto"/>
          <w:highlight w:val="none"/>
        </w:rPr>
        <w:t>日期：  年   月  日</w:t>
      </w:r>
    </w:p>
    <w:p w14:paraId="679FE398">
      <w:pPr>
        <w:spacing w:before="156" w:beforeLines="50" w:after="156" w:afterLines="50" w:line="400" w:lineRule="exact"/>
        <w:rPr>
          <w:rFonts w:ascii="宋体" w:hAnsi="宋体" w:cs="宋体"/>
          <w:color w:val="auto"/>
          <w:highlight w:val="none"/>
        </w:rPr>
      </w:pPr>
      <w:r>
        <w:rPr>
          <w:rFonts w:hint="eastAsia" w:ascii="宋体" w:hAnsi="宋体" w:cs="宋体"/>
          <w:color w:val="auto"/>
          <w:highlight w:val="none"/>
        </w:rPr>
        <w:t>--------------------------------------------------------------------------------</w:t>
      </w:r>
    </w:p>
    <w:p w14:paraId="2A60181C">
      <w:pPr>
        <w:spacing w:before="156" w:beforeLines="50" w:after="156" w:afterLines="50" w:line="400" w:lineRule="exact"/>
        <w:jc w:val="center"/>
        <w:rPr>
          <w:rFonts w:ascii="宋体" w:hAnsi="宋体" w:cs="宋体"/>
          <w:color w:val="auto"/>
          <w:highlight w:val="none"/>
        </w:rPr>
      </w:pPr>
      <w:r>
        <w:rPr>
          <w:rFonts w:hint="eastAsia" w:ascii="宋体" w:hAnsi="宋体" w:cs="宋体"/>
          <w:color w:val="auto"/>
          <w:highlight w:val="none"/>
        </w:rPr>
        <w:t>附法定代表人身份证复印件</w:t>
      </w:r>
    </w:p>
    <w:p w14:paraId="04B0DC77">
      <w:pPr>
        <w:spacing w:before="156" w:beforeLines="50" w:after="156" w:afterLines="50" w:line="400" w:lineRule="exact"/>
        <w:rPr>
          <w:rFonts w:ascii="宋体" w:hAnsi="宋体" w:cs="宋体"/>
          <w:color w:val="auto"/>
          <w:highlight w:val="none"/>
        </w:rPr>
      </w:pPr>
      <w:r>
        <w:rPr>
          <w:rFonts w:hint="eastAsia" w:ascii="宋体" w:hAnsi="宋体" w:cs="宋体"/>
          <w:color w:val="auto"/>
          <w:highlight w:val="none"/>
        </w:rPr>
        <w:t xml:space="preserve">   </w:t>
      </w:r>
    </w:p>
    <w:p w14:paraId="3000E4A6">
      <w:pPr>
        <w:spacing w:before="156" w:beforeLines="50" w:after="156" w:afterLines="50" w:line="400" w:lineRule="exact"/>
        <w:rPr>
          <w:rFonts w:ascii="宋体" w:hAnsi="宋体" w:cs="宋体"/>
          <w:color w:val="auto"/>
          <w:szCs w:val="21"/>
          <w:highlight w:val="none"/>
        </w:rPr>
      </w:pPr>
    </w:p>
    <w:p w14:paraId="3FA57C7F">
      <w:pPr>
        <w:spacing w:before="156" w:beforeLines="50" w:after="156" w:afterLines="50" w:line="400" w:lineRule="exact"/>
        <w:rPr>
          <w:rFonts w:ascii="宋体" w:hAnsi="宋体" w:cs="宋体"/>
          <w:color w:val="auto"/>
          <w:szCs w:val="21"/>
          <w:highlight w:val="none"/>
        </w:rPr>
      </w:pPr>
    </w:p>
    <w:p w14:paraId="73777945">
      <w:pPr>
        <w:spacing w:line="400" w:lineRule="exact"/>
        <w:rPr>
          <w:rFonts w:ascii="宋体" w:hAnsi="宋体" w:cs="宋体"/>
          <w:color w:val="auto"/>
          <w:highlight w:val="none"/>
        </w:rPr>
      </w:pPr>
    </w:p>
    <w:p w14:paraId="0F7C8DBE">
      <w:pPr>
        <w:spacing w:line="400" w:lineRule="exact"/>
        <w:rPr>
          <w:rFonts w:ascii="宋体" w:hAnsi="宋体" w:cs="宋体"/>
          <w:color w:val="auto"/>
          <w:highlight w:val="none"/>
        </w:rPr>
      </w:pPr>
    </w:p>
    <w:p w14:paraId="2785A802">
      <w:pPr>
        <w:spacing w:line="400" w:lineRule="exact"/>
        <w:rPr>
          <w:rFonts w:ascii="宋体" w:hAnsi="宋体" w:cs="宋体"/>
          <w:color w:val="auto"/>
          <w:highlight w:val="none"/>
        </w:rPr>
      </w:pPr>
    </w:p>
    <w:p w14:paraId="5DE8AF2F">
      <w:pPr>
        <w:spacing w:line="400" w:lineRule="exact"/>
        <w:rPr>
          <w:rFonts w:ascii="宋体" w:hAnsi="宋体" w:cs="宋体"/>
          <w:color w:val="auto"/>
          <w:highlight w:val="none"/>
        </w:rPr>
      </w:pPr>
    </w:p>
    <w:p w14:paraId="654495BF">
      <w:pPr>
        <w:spacing w:line="400" w:lineRule="exact"/>
        <w:rPr>
          <w:rFonts w:ascii="宋体" w:hAnsi="宋体" w:cs="宋体"/>
          <w:color w:val="auto"/>
          <w:highlight w:val="none"/>
        </w:rPr>
      </w:pPr>
    </w:p>
    <w:p w14:paraId="6BF2870D">
      <w:pPr>
        <w:spacing w:line="400" w:lineRule="exact"/>
        <w:rPr>
          <w:rFonts w:ascii="宋体" w:hAnsi="宋体" w:cs="宋体"/>
          <w:color w:val="auto"/>
          <w:highlight w:val="none"/>
        </w:rPr>
      </w:pPr>
    </w:p>
    <w:p w14:paraId="717532B8">
      <w:pPr>
        <w:spacing w:line="400" w:lineRule="exact"/>
        <w:rPr>
          <w:rFonts w:ascii="宋体" w:hAnsi="宋体" w:cs="宋体"/>
          <w:color w:val="auto"/>
          <w:highlight w:val="none"/>
        </w:rPr>
      </w:pPr>
    </w:p>
    <w:p w14:paraId="78AC37E7">
      <w:pPr>
        <w:spacing w:line="400" w:lineRule="exact"/>
        <w:rPr>
          <w:rFonts w:ascii="宋体" w:hAnsi="宋体" w:cs="宋体"/>
          <w:color w:val="auto"/>
          <w:highlight w:val="none"/>
        </w:rPr>
      </w:pPr>
    </w:p>
    <w:p w14:paraId="2A862D7E">
      <w:pPr>
        <w:spacing w:line="400" w:lineRule="exact"/>
        <w:rPr>
          <w:rFonts w:ascii="宋体" w:hAnsi="宋体" w:cs="宋体"/>
          <w:color w:val="auto"/>
          <w:highlight w:val="none"/>
        </w:rPr>
      </w:pPr>
    </w:p>
    <w:p w14:paraId="4673A653">
      <w:pPr>
        <w:spacing w:line="400" w:lineRule="exact"/>
        <w:rPr>
          <w:rFonts w:ascii="宋体" w:hAnsi="宋体" w:cs="宋体"/>
          <w:color w:val="auto"/>
          <w:highlight w:val="none"/>
        </w:rPr>
      </w:pPr>
    </w:p>
    <w:p w14:paraId="65B03B0F">
      <w:pPr>
        <w:spacing w:line="400" w:lineRule="exact"/>
        <w:rPr>
          <w:rFonts w:ascii="宋体" w:hAnsi="宋体" w:cs="宋体"/>
          <w:color w:val="auto"/>
          <w:highlight w:val="none"/>
        </w:rPr>
      </w:pPr>
    </w:p>
    <w:p w14:paraId="0DBE3FFA">
      <w:pPr>
        <w:spacing w:line="400" w:lineRule="exact"/>
        <w:rPr>
          <w:rFonts w:ascii="宋体" w:hAnsi="宋体" w:cs="宋体"/>
          <w:color w:val="auto"/>
          <w:highlight w:val="none"/>
        </w:rPr>
      </w:pPr>
    </w:p>
    <w:p w14:paraId="60BCF165">
      <w:pPr>
        <w:spacing w:line="400" w:lineRule="exact"/>
        <w:rPr>
          <w:rFonts w:ascii="宋体" w:hAnsi="宋体" w:cs="宋体"/>
          <w:color w:val="auto"/>
          <w:highlight w:val="none"/>
        </w:rPr>
      </w:pPr>
    </w:p>
    <w:p w14:paraId="08735E64">
      <w:pPr>
        <w:spacing w:line="400" w:lineRule="exact"/>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3、法定代表人授权委托书格式</w:t>
      </w:r>
    </w:p>
    <w:p w14:paraId="543A4EF4">
      <w:pPr>
        <w:spacing w:before="156" w:beforeLines="50" w:after="156" w:afterLines="50" w:line="400" w:lineRule="exact"/>
        <w:jc w:val="center"/>
        <w:rPr>
          <w:rFonts w:ascii="宋体" w:hAnsi="宋体" w:cs="宋体"/>
          <w:bCs/>
          <w:color w:val="auto"/>
          <w:sz w:val="30"/>
          <w:highlight w:val="none"/>
        </w:rPr>
      </w:pPr>
    </w:p>
    <w:p w14:paraId="0BA45611">
      <w:pPr>
        <w:spacing w:before="156" w:beforeLines="50" w:after="156" w:afterLines="50" w:line="40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法定代表人授权委托书</w:t>
      </w:r>
    </w:p>
    <w:p w14:paraId="1ADA62F5">
      <w:pPr>
        <w:spacing w:line="360" w:lineRule="auto"/>
        <w:rPr>
          <w:rFonts w:ascii="宋体" w:hAnsi="宋体" w:cs="宋体"/>
          <w:color w:val="auto"/>
          <w:highlight w:val="none"/>
        </w:rPr>
      </w:pPr>
      <w:r>
        <w:rPr>
          <w:rFonts w:hint="eastAsia" w:ascii="宋体" w:hAnsi="宋体" w:cs="宋体"/>
          <w:color w:val="auto"/>
          <w:highlight w:val="none"/>
        </w:rPr>
        <w:t>致</w:t>
      </w:r>
      <w:r>
        <w:rPr>
          <w:rFonts w:hint="eastAsia" w:ascii="宋体" w:hAnsi="宋体" w:cs="宋体"/>
          <w:color w:val="auto"/>
          <w:highlight w:val="none"/>
          <w:u w:val="single"/>
        </w:rPr>
        <w:t xml:space="preserve">                   </w:t>
      </w:r>
      <w:r>
        <w:rPr>
          <w:rFonts w:hint="eastAsia" w:ascii="宋体" w:hAnsi="宋体" w:cs="宋体"/>
          <w:color w:val="auto"/>
          <w:highlight w:val="none"/>
          <w:lang w:val="zh-CN"/>
        </w:rPr>
        <w:t>：</w:t>
      </w:r>
    </w:p>
    <w:p w14:paraId="24F4BA30">
      <w:pPr>
        <w:spacing w:line="360" w:lineRule="auto"/>
        <w:ind w:firstLine="612"/>
        <w:rPr>
          <w:rFonts w:ascii="宋体" w:hAnsi="宋体" w:cs="宋体"/>
          <w:color w:val="auto"/>
          <w:highlight w:val="none"/>
        </w:rPr>
      </w:pPr>
      <w:r>
        <w:rPr>
          <w:rFonts w:hint="eastAsia" w:ascii="宋体" w:hAnsi="宋体" w:cs="宋体"/>
          <w:color w:val="auto"/>
          <w:highlight w:val="none"/>
        </w:rPr>
        <w:t>本授权委托书声明：我</w:t>
      </w:r>
      <w:r>
        <w:rPr>
          <w:rFonts w:hint="eastAsia" w:ascii="宋体" w:hAnsi="宋体" w:cs="宋体"/>
          <w:color w:val="auto"/>
          <w:highlight w:val="none"/>
          <w:u w:val="single"/>
        </w:rPr>
        <w:t xml:space="preserve">   （法定代表人姓名）   </w:t>
      </w:r>
      <w:r>
        <w:rPr>
          <w:rFonts w:hint="eastAsia" w:ascii="宋体" w:hAnsi="宋体" w:cs="宋体"/>
          <w:color w:val="auto"/>
          <w:highlight w:val="none"/>
        </w:rPr>
        <w:t>系</w:t>
      </w:r>
      <w:r>
        <w:rPr>
          <w:rFonts w:hint="eastAsia" w:ascii="宋体" w:hAnsi="宋体" w:cs="宋体"/>
          <w:color w:val="auto"/>
          <w:highlight w:val="none"/>
          <w:u w:val="single"/>
        </w:rPr>
        <w:t xml:space="preserve">   （供应商）  </w:t>
      </w:r>
      <w:r>
        <w:rPr>
          <w:rFonts w:hint="eastAsia" w:ascii="宋体" w:hAnsi="宋体" w:cs="宋体"/>
          <w:color w:val="auto"/>
          <w:highlight w:val="none"/>
        </w:rPr>
        <w:t>的法定代表人，现授权委托</w:t>
      </w:r>
      <w:r>
        <w:rPr>
          <w:rFonts w:hint="eastAsia" w:ascii="宋体" w:hAnsi="宋体" w:cs="宋体"/>
          <w:color w:val="auto"/>
          <w:highlight w:val="none"/>
          <w:u w:val="single"/>
        </w:rPr>
        <w:t xml:space="preserve">（授权代表姓名）  </w:t>
      </w:r>
      <w:r>
        <w:rPr>
          <w:rFonts w:hint="eastAsia" w:ascii="宋体" w:hAnsi="宋体" w:cs="宋体"/>
          <w:color w:val="auto"/>
          <w:highlight w:val="none"/>
        </w:rPr>
        <w:t xml:space="preserve">为我公司法定代表人授权代表，参加贵处组织的  </w:t>
      </w:r>
      <w:r>
        <w:rPr>
          <w:rFonts w:hint="eastAsia" w:ascii="宋体" w:hAnsi="宋体" w:cs="宋体"/>
          <w:color w:val="auto"/>
          <w:highlight w:val="none"/>
          <w:u w:val="single"/>
        </w:rPr>
        <w:t xml:space="preserve">项目名称， （项目编号）  </w:t>
      </w:r>
      <w:r>
        <w:rPr>
          <w:rFonts w:hint="eastAsia" w:ascii="宋体" w:hAnsi="宋体" w:cs="宋体"/>
          <w:color w:val="auto"/>
          <w:highlight w:val="none"/>
        </w:rPr>
        <w:t>项目谈判，全权处理本次谈判活动中的一切事宜，我承认授权代表全权代表我所签署的本项目的响应文件的内容。</w:t>
      </w:r>
    </w:p>
    <w:p w14:paraId="71B31A9B">
      <w:pPr>
        <w:spacing w:line="360" w:lineRule="auto"/>
        <w:jc w:val="center"/>
        <w:rPr>
          <w:rFonts w:ascii="宋体" w:hAnsi="宋体" w:cs="宋体"/>
          <w:color w:val="auto"/>
          <w:highlight w:val="none"/>
        </w:rPr>
      </w:pPr>
      <w:r>
        <w:rPr>
          <w:rFonts w:hint="eastAsia" w:ascii="宋体" w:hAnsi="宋体" w:cs="宋体"/>
          <w:color w:val="auto"/>
          <w:highlight w:val="none"/>
        </w:rPr>
        <w:t>授权代表无转授权，特此授权。</w:t>
      </w:r>
    </w:p>
    <w:p w14:paraId="0FEC4867">
      <w:pPr>
        <w:spacing w:line="360" w:lineRule="auto"/>
        <w:ind w:firstLine="480" w:firstLineChars="200"/>
        <w:rPr>
          <w:rFonts w:ascii="宋体" w:hAnsi="宋体" w:cs="宋体"/>
          <w:color w:val="auto"/>
          <w:highlight w:val="none"/>
        </w:rPr>
      </w:pPr>
    </w:p>
    <w:p w14:paraId="0F79C7C0">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授权代表：</w:t>
      </w:r>
      <w:r>
        <w:rPr>
          <w:rFonts w:hint="eastAsia" w:ascii="宋体" w:hAnsi="宋体" w:cs="宋体"/>
          <w:color w:val="auto"/>
          <w:highlight w:val="none"/>
          <w:u w:val="single"/>
        </w:rPr>
        <w:t xml:space="preserve">   （签字）  </w:t>
      </w:r>
      <w:r>
        <w:rPr>
          <w:rFonts w:hint="eastAsia" w:ascii="宋体" w:hAnsi="宋体" w:cs="宋体"/>
          <w:color w:val="auto"/>
          <w:highlight w:val="none"/>
        </w:rPr>
        <w:t xml:space="preserve"> 性别 ：</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年龄：</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职务：</w:t>
      </w:r>
      <w:r>
        <w:rPr>
          <w:rFonts w:hint="eastAsia" w:ascii="宋体" w:hAnsi="宋体" w:cs="宋体"/>
          <w:color w:val="auto"/>
          <w:highlight w:val="none"/>
          <w:u w:val="single"/>
        </w:rPr>
        <w:t xml:space="preserve">        </w:t>
      </w:r>
    </w:p>
    <w:p w14:paraId="0CFBE6B9">
      <w:pPr>
        <w:spacing w:line="360" w:lineRule="auto"/>
        <w:ind w:firstLine="480" w:firstLineChars="200"/>
        <w:rPr>
          <w:rFonts w:ascii="宋体" w:hAnsi="宋体" w:cs="宋体"/>
          <w:color w:val="auto"/>
          <w:highlight w:val="none"/>
          <w:u w:val="single"/>
        </w:rPr>
      </w:pPr>
      <w:r>
        <w:rPr>
          <w:rFonts w:hint="eastAsia" w:ascii="宋体" w:hAnsi="宋体" w:cs="宋体"/>
          <w:color w:val="auto"/>
          <w:highlight w:val="none"/>
        </w:rPr>
        <w:t>详细通讯地址：</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邮政编码：</w:t>
      </w:r>
      <w:r>
        <w:rPr>
          <w:rFonts w:hint="eastAsia" w:ascii="宋体" w:hAnsi="宋体" w:cs="宋体"/>
          <w:color w:val="auto"/>
          <w:highlight w:val="none"/>
          <w:u w:val="single"/>
        </w:rPr>
        <w:t xml:space="preserve">           </w:t>
      </w:r>
    </w:p>
    <w:p w14:paraId="0620251C">
      <w:pPr>
        <w:spacing w:line="360" w:lineRule="auto"/>
        <w:ind w:firstLine="480" w:firstLineChars="200"/>
        <w:rPr>
          <w:rFonts w:ascii="宋体" w:hAnsi="宋体" w:cs="宋体"/>
          <w:color w:val="auto"/>
          <w:highlight w:val="none"/>
          <w:u w:val="single"/>
        </w:rPr>
      </w:pPr>
      <w:r>
        <w:rPr>
          <w:rFonts w:hint="eastAsia" w:ascii="宋体" w:hAnsi="宋体" w:cs="宋体"/>
          <w:color w:val="auto"/>
          <w:highlight w:val="none"/>
        </w:rPr>
        <w:t>电话：</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传真：</w:t>
      </w:r>
      <w:r>
        <w:rPr>
          <w:rFonts w:hint="eastAsia" w:ascii="宋体" w:hAnsi="宋体" w:cs="宋体"/>
          <w:color w:val="auto"/>
          <w:highlight w:val="none"/>
          <w:u w:val="single"/>
        </w:rPr>
        <w:t xml:space="preserve">                      </w:t>
      </w:r>
    </w:p>
    <w:p w14:paraId="1849FB7F">
      <w:pPr>
        <w:ind w:left="1" w:firstLine="460" w:firstLineChars="192"/>
        <w:rPr>
          <w:rFonts w:ascii="宋体" w:hAnsi="宋体" w:cs="宋体"/>
          <w:color w:val="auto"/>
          <w:highlight w:val="none"/>
        </w:rPr>
      </w:pPr>
      <w:r>
        <w:rPr>
          <w:rFonts w:hint="eastAsia" w:ascii="宋体" w:hAnsi="宋体" w:cs="宋体"/>
          <w:color w:val="auto"/>
          <w:highlight w:val="none"/>
        </w:rPr>
        <w:t xml:space="preserve">   </w:t>
      </w:r>
    </w:p>
    <w:p w14:paraId="460268B2">
      <w:pPr>
        <w:spacing w:line="360" w:lineRule="auto"/>
        <w:ind w:left="424" w:right="420"/>
        <w:jc w:val="right"/>
        <w:rPr>
          <w:rFonts w:ascii="宋体" w:hAnsi="宋体" w:cs="宋体"/>
          <w:color w:val="auto"/>
          <w:highlight w:val="none"/>
        </w:rPr>
      </w:pPr>
      <w:r>
        <w:rPr>
          <w:rFonts w:hint="eastAsia" w:ascii="宋体" w:hAnsi="宋体" w:cs="宋体"/>
          <w:color w:val="auto"/>
          <w:highlight w:val="none"/>
        </w:rPr>
        <w:t>供应商名称：（盖章）</w:t>
      </w:r>
      <w:r>
        <w:rPr>
          <w:rFonts w:hint="eastAsia" w:ascii="宋体" w:hAnsi="宋体" w:cs="宋体"/>
          <w:color w:val="auto"/>
          <w:highlight w:val="none"/>
          <w:u w:val="single"/>
        </w:rPr>
        <w:t xml:space="preserve">                                   </w:t>
      </w:r>
    </w:p>
    <w:p w14:paraId="721A2351">
      <w:pPr>
        <w:spacing w:line="360" w:lineRule="auto"/>
        <w:ind w:left="424" w:right="420"/>
        <w:jc w:val="right"/>
        <w:rPr>
          <w:rFonts w:ascii="宋体" w:hAnsi="宋体" w:cs="宋体"/>
          <w:color w:val="auto"/>
          <w:highlight w:val="none"/>
        </w:rPr>
      </w:pPr>
      <w:r>
        <w:rPr>
          <w:rFonts w:hint="eastAsia" w:ascii="宋体" w:hAnsi="宋体" w:cs="宋体"/>
          <w:color w:val="auto"/>
          <w:highlight w:val="none"/>
        </w:rPr>
        <w:t>法定代表人（签字）：</w:t>
      </w:r>
    </w:p>
    <w:p w14:paraId="3E9C60D0">
      <w:pPr>
        <w:spacing w:line="360" w:lineRule="auto"/>
        <w:ind w:left="424" w:right="420"/>
        <w:jc w:val="right"/>
        <w:rPr>
          <w:rFonts w:ascii="宋体" w:hAnsi="宋体" w:cs="宋体"/>
          <w:color w:val="auto"/>
          <w:highlight w:val="none"/>
        </w:rPr>
      </w:pPr>
      <w:r>
        <w:rPr>
          <w:rFonts w:hint="eastAsia" w:ascii="宋体" w:hAnsi="宋体" w:cs="宋体"/>
          <w:color w:val="auto"/>
          <w:highlight w:val="none"/>
        </w:rPr>
        <w:t>日期：</w:t>
      </w:r>
      <w:r>
        <w:rPr>
          <w:rFonts w:hint="eastAsia" w:ascii="宋体" w:hAnsi="宋体" w:cs="宋体"/>
          <w:color w:val="auto"/>
          <w:highlight w:val="none"/>
          <w:u w:val="single"/>
        </w:rPr>
        <w:t xml:space="preserve">     </w:t>
      </w:r>
      <w:r>
        <w:rPr>
          <w:rFonts w:hint="eastAsia" w:ascii="宋体" w:hAnsi="宋体" w:cs="宋体"/>
          <w:color w:val="auto"/>
          <w:highlight w:val="none"/>
        </w:rPr>
        <w:t xml:space="preserve">年 </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p>
    <w:p w14:paraId="48EA25C8">
      <w:pPr>
        <w:spacing w:line="360" w:lineRule="auto"/>
        <w:rPr>
          <w:rFonts w:ascii="宋体" w:hAnsi="宋体" w:cs="宋体"/>
          <w:color w:val="auto"/>
          <w:highlight w:val="none"/>
        </w:rPr>
      </w:pPr>
      <w:r>
        <w:rPr>
          <w:rFonts w:hint="eastAsia" w:ascii="宋体" w:hAnsi="宋体" w:cs="宋体"/>
          <w:color w:val="auto"/>
          <w:highlight w:val="none"/>
        </w:rPr>
        <w:t>-----------------------------------------------------------------------------</w:t>
      </w:r>
    </w:p>
    <w:p w14:paraId="4505CA2D">
      <w:pPr>
        <w:pStyle w:val="20"/>
        <w:ind w:left="480" w:firstLine="420" w:firstLineChars="200"/>
        <w:rPr>
          <w:rFonts w:ascii="宋体" w:hAnsi="宋体" w:cs="宋体"/>
          <w:color w:val="auto"/>
          <w:highlight w:val="none"/>
        </w:rPr>
      </w:pPr>
      <w:r>
        <w:rPr>
          <w:rFonts w:hint="eastAsia" w:ascii="宋体" w:hAnsi="宋体" w:cs="宋体"/>
          <w:color w:val="auto"/>
          <w:highlight w:val="none"/>
        </w:rPr>
        <w:t>授权代表身份证复印件</w:t>
      </w:r>
    </w:p>
    <w:p w14:paraId="5CE661AE">
      <w:pPr>
        <w:pStyle w:val="20"/>
        <w:ind w:left="480" w:firstLine="420" w:firstLineChars="200"/>
        <w:rPr>
          <w:rFonts w:ascii="宋体" w:hAnsi="宋体" w:cs="宋体"/>
          <w:color w:val="auto"/>
          <w:highlight w:val="none"/>
        </w:rPr>
      </w:pPr>
    </w:p>
    <w:p w14:paraId="43F9B3AF">
      <w:pPr>
        <w:pStyle w:val="20"/>
        <w:ind w:left="480" w:firstLine="420" w:firstLineChars="200"/>
        <w:rPr>
          <w:rFonts w:ascii="宋体" w:hAnsi="宋体" w:cs="宋体"/>
          <w:color w:val="auto"/>
          <w:highlight w:val="none"/>
        </w:rPr>
      </w:pPr>
      <w:r>
        <w:rPr>
          <w:rFonts w:hint="eastAsia" w:ascii="宋体" w:hAnsi="宋体" w:cs="宋体"/>
          <w:color w:val="auto"/>
          <w:highlight w:val="none"/>
        </w:rPr>
        <w:t>注：本法定代表人授权书正本一式二份，商务文件正本中有一份，另一份在递交响应文件时，随授权代表身份证一起交验。</w:t>
      </w:r>
    </w:p>
    <w:p w14:paraId="2074DBDE">
      <w:pPr>
        <w:spacing w:line="400" w:lineRule="exact"/>
        <w:jc w:val="left"/>
        <w:rPr>
          <w:rFonts w:ascii="宋体" w:hAnsi="宋体" w:cs="宋体"/>
          <w:color w:val="auto"/>
          <w:szCs w:val="21"/>
          <w:highlight w:val="none"/>
        </w:rPr>
      </w:pPr>
    </w:p>
    <w:p w14:paraId="3BA98F08">
      <w:pPr>
        <w:spacing w:line="400" w:lineRule="exact"/>
        <w:jc w:val="left"/>
        <w:rPr>
          <w:rFonts w:ascii="宋体" w:hAnsi="宋体" w:cs="宋体"/>
          <w:color w:val="auto"/>
          <w:szCs w:val="21"/>
          <w:highlight w:val="none"/>
        </w:rPr>
      </w:pPr>
    </w:p>
    <w:p w14:paraId="4D42111B">
      <w:pPr>
        <w:spacing w:line="400" w:lineRule="exact"/>
        <w:jc w:val="left"/>
        <w:rPr>
          <w:rFonts w:ascii="宋体" w:hAnsi="宋体" w:cs="宋体"/>
          <w:color w:val="auto"/>
          <w:szCs w:val="21"/>
          <w:highlight w:val="none"/>
        </w:rPr>
      </w:pPr>
    </w:p>
    <w:p w14:paraId="305916EB">
      <w:pPr>
        <w:spacing w:line="400" w:lineRule="exact"/>
        <w:jc w:val="left"/>
        <w:rPr>
          <w:rFonts w:ascii="宋体" w:hAnsi="宋体" w:cs="宋体"/>
          <w:color w:val="auto"/>
          <w:szCs w:val="21"/>
          <w:highlight w:val="none"/>
        </w:rPr>
      </w:pPr>
    </w:p>
    <w:p w14:paraId="521B31C0">
      <w:pPr>
        <w:spacing w:line="400" w:lineRule="exact"/>
        <w:jc w:val="left"/>
        <w:rPr>
          <w:rFonts w:ascii="宋体" w:hAnsi="宋体" w:cs="宋体"/>
          <w:color w:val="auto"/>
          <w:szCs w:val="21"/>
          <w:highlight w:val="none"/>
        </w:rPr>
      </w:pPr>
    </w:p>
    <w:p w14:paraId="71A10BD8">
      <w:pPr>
        <w:spacing w:line="400" w:lineRule="exact"/>
        <w:jc w:val="left"/>
        <w:rPr>
          <w:rFonts w:ascii="宋体" w:hAnsi="宋体" w:cs="宋体"/>
          <w:color w:val="auto"/>
          <w:szCs w:val="21"/>
          <w:highlight w:val="none"/>
        </w:rPr>
      </w:pPr>
    </w:p>
    <w:p w14:paraId="3BE09870">
      <w:pPr>
        <w:spacing w:line="400" w:lineRule="exact"/>
        <w:jc w:val="left"/>
        <w:rPr>
          <w:rFonts w:ascii="宋体" w:hAnsi="宋体" w:cs="宋体"/>
          <w:color w:val="auto"/>
          <w:szCs w:val="21"/>
          <w:highlight w:val="none"/>
        </w:rPr>
      </w:pPr>
    </w:p>
    <w:p w14:paraId="6BB39579">
      <w:pPr>
        <w:adjustRightInd w:val="0"/>
        <w:snapToGrid w:val="0"/>
        <w:spacing w:before="156" w:beforeLines="50" w:after="156" w:afterLines="50" w:line="500" w:lineRule="exact"/>
        <w:rPr>
          <w:rFonts w:ascii="宋体" w:hAnsi="宋体" w:cs="宋体"/>
          <w:b/>
          <w:color w:val="auto"/>
          <w:sz w:val="28"/>
          <w:szCs w:val="28"/>
          <w:highlight w:val="none"/>
        </w:rPr>
      </w:pPr>
      <w:r>
        <w:rPr>
          <w:rFonts w:hint="eastAsia" w:ascii="宋体" w:hAnsi="宋体" w:cs="宋体"/>
          <w:b/>
          <w:color w:val="auto"/>
          <w:sz w:val="28"/>
          <w:szCs w:val="28"/>
          <w:highlight w:val="none"/>
        </w:rPr>
        <w:t>4、信用承诺书</w:t>
      </w:r>
    </w:p>
    <w:p w14:paraId="4D68DFD2">
      <w:pPr>
        <w:adjustRightInd w:val="0"/>
        <w:snapToGrid w:val="0"/>
        <w:spacing w:before="156" w:beforeLines="50" w:after="156" w:afterLines="50" w:line="500" w:lineRule="exact"/>
        <w:rPr>
          <w:rFonts w:ascii="宋体" w:hAnsi="宋体" w:cs="宋体"/>
          <w:b/>
          <w:color w:val="auto"/>
          <w:sz w:val="28"/>
          <w:szCs w:val="28"/>
          <w:highlight w:val="none"/>
        </w:rPr>
      </w:pPr>
    </w:p>
    <w:p w14:paraId="539558F3">
      <w:pPr>
        <w:adjustRightInd w:val="0"/>
        <w:snapToGrid w:val="0"/>
        <w:spacing w:before="156" w:beforeLines="50" w:after="156" w:afterLines="50" w:line="500" w:lineRule="exact"/>
        <w:jc w:val="center"/>
        <w:rPr>
          <w:rFonts w:ascii="宋体" w:hAnsi="宋体" w:cs="宋体"/>
          <w:b/>
          <w:color w:val="auto"/>
          <w:sz w:val="36"/>
          <w:szCs w:val="36"/>
          <w:highlight w:val="none"/>
        </w:rPr>
      </w:pPr>
      <w:r>
        <w:rPr>
          <w:rFonts w:hint="eastAsia" w:ascii="宋体" w:hAnsi="宋体" w:cs="宋体"/>
          <w:b/>
          <w:color w:val="auto"/>
          <w:sz w:val="36"/>
          <w:szCs w:val="36"/>
          <w:highlight w:val="none"/>
        </w:rPr>
        <w:t>信用承诺书</w:t>
      </w:r>
    </w:p>
    <w:p w14:paraId="644E9627">
      <w:pPr>
        <w:adjustRightInd w:val="0"/>
        <w:snapToGrid w:val="0"/>
        <w:spacing w:before="156" w:beforeLines="50" w:after="156" w:afterLines="50" w:line="500" w:lineRule="exact"/>
        <w:rPr>
          <w:rFonts w:ascii="宋体" w:hAnsi="宋体" w:cs="宋体"/>
          <w:b/>
          <w:color w:val="auto"/>
          <w:highlight w:val="none"/>
        </w:rPr>
      </w:pPr>
    </w:p>
    <w:p w14:paraId="40229191">
      <w:pPr>
        <w:tabs>
          <w:tab w:val="left" w:pos="1650"/>
        </w:tabs>
        <w:jc w:val="left"/>
        <w:rPr>
          <w:rFonts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（竞标单位）现参加</w:t>
      </w:r>
      <w:r>
        <w:rPr>
          <w:rFonts w:hint="eastAsia" w:ascii="宋体" w:hAnsi="宋体" w:cs="宋体"/>
          <w:color w:val="auto"/>
          <w:highlight w:val="none"/>
          <w:u w:val="single"/>
        </w:rPr>
        <w:t xml:space="preserve">               </w:t>
      </w:r>
      <w:r>
        <w:rPr>
          <w:rFonts w:hint="eastAsia" w:ascii="宋体" w:hAnsi="宋体" w:cs="宋体"/>
          <w:color w:val="auto"/>
          <w:highlight w:val="none"/>
        </w:rPr>
        <w:t>（采购项目）政府采购活动，郑重承诺如下：</w:t>
      </w:r>
    </w:p>
    <w:p w14:paraId="32E54F26">
      <w:pPr>
        <w:tabs>
          <w:tab w:val="left" w:pos="1650"/>
        </w:tabs>
        <w:spacing w:line="560" w:lineRule="exact"/>
        <w:ind w:firstLine="630"/>
        <w:rPr>
          <w:rFonts w:ascii="宋体" w:hAnsi="宋体" w:cs="宋体"/>
          <w:color w:val="auto"/>
          <w:highlight w:val="none"/>
        </w:rPr>
      </w:pPr>
      <w:r>
        <w:rPr>
          <w:rFonts w:hint="eastAsia" w:ascii="宋体" w:hAnsi="宋体" w:cs="宋体"/>
          <w:color w:val="auto"/>
          <w:highlight w:val="none"/>
        </w:rPr>
        <w:t>对所提供的资料合法性、真实性、准确性和有效性负责；</w:t>
      </w:r>
    </w:p>
    <w:p w14:paraId="44C4B1ED">
      <w:pPr>
        <w:tabs>
          <w:tab w:val="left" w:pos="1650"/>
        </w:tabs>
        <w:spacing w:line="560" w:lineRule="exact"/>
        <w:ind w:firstLine="630"/>
        <w:rPr>
          <w:rFonts w:ascii="宋体" w:hAnsi="宋体" w:cs="宋体"/>
          <w:color w:val="auto"/>
          <w:highlight w:val="none"/>
        </w:rPr>
      </w:pPr>
      <w:r>
        <w:rPr>
          <w:rFonts w:hint="eastAsia" w:ascii="宋体" w:hAnsi="宋体" w:cs="宋体"/>
          <w:color w:val="auto"/>
          <w:highlight w:val="none"/>
        </w:rPr>
        <w:t>严格按照国家法律、法规和规章，依法开展相关经济活动，全面履行应尽的责任和义务；</w:t>
      </w:r>
    </w:p>
    <w:p w14:paraId="02AA8E11">
      <w:pPr>
        <w:tabs>
          <w:tab w:val="left" w:pos="1650"/>
        </w:tabs>
        <w:spacing w:line="560" w:lineRule="exact"/>
        <w:ind w:firstLine="630"/>
        <w:rPr>
          <w:rFonts w:ascii="宋体" w:hAnsi="宋体" w:cs="宋体"/>
          <w:color w:val="auto"/>
          <w:highlight w:val="none"/>
        </w:rPr>
      </w:pPr>
      <w:r>
        <w:rPr>
          <w:rFonts w:hint="eastAsia" w:ascii="宋体" w:hAnsi="宋体" w:cs="宋体"/>
          <w:color w:val="auto"/>
          <w:highlight w:val="none"/>
        </w:rPr>
        <w:t>加强自我约束、自我规范、自我管理，不制假售假、不虚假宣传、不违约毁约、不恶意逃债、不偷税漏税，诚信依法经营；</w:t>
      </w:r>
    </w:p>
    <w:p w14:paraId="2F2E12E1">
      <w:pPr>
        <w:tabs>
          <w:tab w:val="left" w:pos="1650"/>
        </w:tabs>
        <w:spacing w:line="560" w:lineRule="exact"/>
        <w:ind w:firstLine="630"/>
        <w:rPr>
          <w:rFonts w:ascii="宋体" w:hAnsi="宋体" w:cs="宋体"/>
          <w:color w:val="auto"/>
          <w:highlight w:val="none"/>
        </w:rPr>
      </w:pPr>
      <w:r>
        <w:rPr>
          <w:rFonts w:hint="eastAsia" w:ascii="宋体" w:hAnsi="宋体" w:cs="宋体"/>
          <w:color w:val="auto"/>
          <w:highlight w:val="none"/>
        </w:rPr>
        <w:t>自愿接受行政主管部门的依法检查、违背承诺约定将自愿承担违约责任，并接受法律法规和相关部门规章制度的惩戒和约束；</w:t>
      </w:r>
    </w:p>
    <w:p w14:paraId="71E9D24B">
      <w:pPr>
        <w:tabs>
          <w:tab w:val="left" w:pos="1650"/>
        </w:tabs>
        <w:spacing w:line="560" w:lineRule="exact"/>
        <w:ind w:firstLine="630"/>
        <w:rPr>
          <w:rFonts w:ascii="宋体" w:hAnsi="宋体" w:cs="宋体"/>
          <w:color w:val="auto"/>
          <w:highlight w:val="none"/>
        </w:rPr>
      </w:pPr>
      <w:r>
        <w:rPr>
          <w:rFonts w:hint="eastAsia" w:ascii="宋体" w:hAnsi="宋体" w:cs="宋体"/>
          <w:color w:val="auto"/>
          <w:kern w:val="0"/>
          <w:highlight w:val="none"/>
        </w:rPr>
        <w:t>按照信用信息管理有关要求，本单位（个人）同意将以上承诺在信用湖州网站公示，若违背以上承诺，依据相关规定记入企业（个人）信用档案；性质严重的，承担相应法律后果和责任，并依法依规列入严重失信名单。</w:t>
      </w:r>
    </w:p>
    <w:p w14:paraId="0EF729D6">
      <w:pPr>
        <w:tabs>
          <w:tab w:val="left" w:pos="1650"/>
        </w:tabs>
        <w:spacing w:line="560" w:lineRule="exact"/>
        <w:rPr>
          <w:rFonts w:ascii="宋体" w:hAnsi="宋体" w:cs="宋体"/>
          <w:color w:val="auto"/>
          <w:highlight w:val="none"/>
          <w:u w:val="single"/>
        </w:rPr>
      </w:pPr>
    </w:p>
    <w:p w14:paraId="5F910135">
      <w:pPr>
        <w:tabs>
          <w:tab w:val="left" w:pos="1650"/>
        </w:tabs>
        <w:spacing w:line="560" w:lineRule="exact"/>
        <w:rPr>
          <w:rFonts w:ascii="宋体" w:hAnsi="宋体" w:cs="宋体"/>
          <w:color w:val="auto"/>
          <w:highlight w:val="none"/>
          <w:u w:val="single"/>
        </w:rPr>
      </w:pPr>
    </w:p>
    <w:p w14:paraId="3AFB70E9">
      <w:pPr>
        <w:pStyle w:val="65"/>
        <w:spacing w:before="0" w:beforeAutospacing="0" w:after="0" w:afterAutospacing="0" w:line="560" w:lineRule="exact"/>
        <w:ind w:firstLine="600" w:firstLineChars="250"/>
        <w:rPr>
          <w:color w:val="auto"/>
          <w:spacing w:val="-7"/>
          <w:highlight w:val="none"/>
        </w:rPr>
      </w:pPr>
      <w:r>
        <w:rPr>
          <w:rFonts w:hint="eastAsia"/>
          <w:color w:val="auto"/>
          <w:kern w:val="2"/>
          <w:highlight w:val="none"/>
        </w:rPr>
        <w:t>统一社会信用代码：</w:t>
      </w:r>
      <w:r>
        <w:rPr>
          <w:rFonts w:hint="eastAsia"/>
          <w:color w:val="auto"/>
          <w:spacing w:val="-7"/>
          <w:highlight w:val="none"/>
          <w:u w:val="single"/>
        </w:rPr>
        <w:t xml:space="preserve">                      </w:t>
      </w:r>
      <w:r>
        <w:rPr>
          <w:rFonts w:hint="eastAsia"/>
          <w:color w:val="auto"/>
          <w:spacing w:val="-7"/>
          <w:highlight w:val="none"/>
        </w:rPr>
        <w:t xml:space="preserve"> </w:t>
      </w:r>
    </w:p>
    <w:p w14:paraId="1B71E5F0">
      <w:pPr>
        <w:pStyle w:val="65"/>
        <w:spacing w:before="0" w:beforeAutospacing="0" w:after="0" w:afterAutospacing="0" w:line="560" w:lineRule="exact"/>
        <w:rPr>
          <w:color w:val="auto"/>
          <w:highlight w:val="none"/>
        </w:rPr>
      </w:pPr>
      <w:r>
        <w:rPr>
          <w:rFonts w:hint="eastAsia"/>
          <w:color w:val="auto"/>
          <w:highlight w:val="none"/>
        </w:rPr>
        <w:t xml:space="preserve">    </w:t>
      </w:r>
    </w:p>
    <w:p w14:paraId="2B42DF52">
      <w:pPr>
        <w:pStyle w:val="65"/>
        <w:spacing w:before="0" w:beforeAutospacing="0" w:after="0" w:afterAutospacing="0" w:line="560" w:lineRule="exact"/>
        <w:ind w:firstLine="3240" w:firstLineChars="1350"/>
        <w:jc w:val="right"/>
        <w:rPr>
          <w:color w:val="auto"/>
          <w:kern w:val="2"/>
          <w:highlight w:val="none"/>
        </w:rPr>
      </w:pPr>
      <w:r>
        <w:rPr>
          <w:rFonts w:hint="eastAsia"/>
          <w:color w:val="auto"/>
          <w:kern w:val="2"/>
          <w:highlight w:val="none"/>
        </w:rPr>
        <w:t>承诺单位/个人（盖章/签名）</w:t>
      </w:r>
    </w:p>
    <w:p w14:paraId="76B83548">
      <w:pPr>
        <w:spacing w:line="560" w:lineRule="exact"/>
        <w:jc w:val="right"/>
        <w:rPr>
          <w:rFonts w:ascii="宋体" w:hAnsi="宋体" w:cs="宋体"/>
          <w:color w:val="auto"/>
          <w:highlight w:val="none"/>
        </w:rPr>
      </w:pPr>
      <w:r>
        <w:rPr>
          <w:rFonts w:hint="eastAsia" w:ascii="宋体" w:hAnsi="宋体" w:cs="宋体"/>
          <w:color w:val="auto"/>
          <w:highlight w:val="none"/>
        </w:rPr>
        <w:t xml:space="preserve">                               时间：20**年*月*日</w:t>
      </w:r>
    </w:p>
    <w:p w14:paraId="30A1015E">
      <w:pPr>
        <w:pStyle w:val="17"/>
        <w:adjustRightInd w:val="0"/>
        <w:snapToGrid w:val="0"/>
        <w:spacing w:before="0" w:after="0" w:line="340" w:lineRule="exact"/>
        <w:jc w:val="both"/>
        <w:outlineLvl w:val="0"/>
        <w:rPr>
          <w:rFonts w:cs="宋体"/>
          <w:b/>
          <w:bCs/>
          <w:color w:val="auto"/>
          <w:highlight w:val="none"/>
        </w:rPr>
      </w:pPr>
    </w:p>
    <w:p w14:paraId="75CC7269">
      <w:pPr>
        <w:pStyle w:val="17"/>
        <w:adjustRightInd w:val="0"/>
        <w:snapToGrid w:val="0"/>
        <w:spacing w:before="0" w:after="0" w:line="340" w:lineRule="exact"/>
        <w:jc w:val="both"/>
        <w:outlineLvl w:val="0"/>
        <w:rPr>
          <w:rFonts w:cs="宋体"/>
          <w:b/>
          <w:bCs/>
          <w:color w:val="auto"/>
          <w:highlight w:val="none"/>
        </w:rPr>
      </w:pPr>
    </w:p>
    <w:p w14:paraId="3767923E">
      <w:pPr>
        <w:pStyle w:val="17"/>
        <w:adjustRightInd w:val="0"/>
        <w:snapToGrid w:val="0"/>
        <w:spacing w:before="0" w:after="0" w:line="340" w:lineRule="exact"/>
        <w:jc w:val="both"/>
        <w:outlineLvl w:val="0"/>
        <w:rPr>
          <w:rFonts w:cs="宋体"/>
          <w:b/>
          <w:bCs/>
          <w:color w:val="auto"/>
          <w:highlight w:val="none"/>
        </w:rPr>
      </w:pPr>
    </w:p>
    <w:p w14:paraId="7A8725B8">
      <w:pPr>
        <w:spacing w:line="400" w:lineRule="exact"/>
        <w:jc w:val="left"/>
        <w:rPr>
          <w:rFonts w:ascii="宋体" w:hAnsi="宋体" w:cs="宋体"/>
          <w:color w:val="auto"/>
          <w:szCs w:val="21"/>
          <w:highlight w:val="none"/>
        </w:rPr>
      </w:pPr>
    </w:p>
    <w:p w14:paraId="067E94A2">
      <w:pPr>
        <w:spacing w:line="400" w:lineRule="exact"/>
        <w:jc w:val="left"/>
        <w:rPr>
          <w:rFonts w:ascii="宋体" w:hAnsi="宋体" w:cs="宋体"/>
          <w:color w:val="auto"/>
          <w:szCs w:val="21"/>
          <w:highlight w:val="none"/>
        </w:rPr>
      </w:pPr>
    </w:p>
    <w:p w14:paraId="0776EB99">
      <w:pPr>
        <w:autoSpaceDE w:val="0"/>
        <w:autoSpaceDN w:val="0"/>
        <w:adjustRightInd w:val="0"/>
        <w:snapToGrid w:val="0"/>
        <w:spacing w:line="360" w:lineRule="auto"/>
        <w:ind w:firstLine="888" w:firstLineChars="201"/>
        <w:jc w:val="center"/>
        <w:rPr>
          <w:rFonts w:ascii="宋体" w:hAnsi="宋体" w:cs="宋体"/>
          <w:b/>
          <w:color w:val="auto"/>
          <w:sz w:val="44"/>
          <w:szCs w:val="44"/>
          <w:highlight w:val="none"/>
        </w:rPr>
      </w:pPr>
      <w:r>
        <w:rPr>
          <w:rFonts w:hint="eastAsia" w:ascii="宋体" w:hAnsi="宋体" w:cs="宋体"/>
          <w:b/>
          <w:color w:val="auto"/>
          <w:sz w:val="44"/>
          <w:szCs w:val="44"/>
          <w:highlight w:val="none"/>
        </w:rPr>
        <w:t>目  录</w:t>
      </w:r>
    </w:p>
    <w:p w14:paraId="78950EFF">
      <w:pPr>
        <w:autoSpaceDE w:val="0"/>
        <w:autoSpaceDN w:val="0"/>
        <w:adjustRightInd w:val="0"/>
        <w:snapToGrid w:val="0"/>
        <w:spacing w:line="400" w:lineRule="exact"/>
        <w:ind w:firstLine="487" w:firstLineChars="202"/>
        <w:rPr>
          <w:rFonts w:ascii="宋体" w:hAnsi="宋体" w:cs="宋体"/>
          <w:b/>
          <w:color w:val="auto"/>
          <w:highlight w:val="none"/>
          <w:u w:val="single"/>
        </w:rPr>
      </w:pPr>
      <w:r>
        <w:rPr>
          <w:rFonts w:hint="eastAsia" w:ascii="宋体" w:hAnsi="宋体" w:cs="宋体"/>
          <w:b/>
          <w:color w:val="auto"/>
          <w:highlight w:val="none"/>
          <w:u w:val="single"/>
        </w:rPr>
        <w:t>1、商务文件</w:t>
      </w:r>
    </w:p>
    <w:p w14:paraId="5C9BC344">
      <w:pPr>
        <w:numPr>
          <w:ilvl w:val="0"/>
          <w:numId w:val="8"/>
        </w:numPr>
        <w:autoSpaceDE w:val="0"/>
        <w:autoSpaceDN w:val="0"/>
        <w:adjustRightInd w:val="0"/>
        <w:spacing w:line="360" w:lineRule="auto"/>
        <w:ind w:left="0" w:firstLine="425"/>
        <w:rPr>
          <w:rFonts w:ascii="宋体" w:hAnsi="宋体" w:cs="宋体"/>
          <w:color w:val="auto"/>
          <w:highlight w:val="none"/>
          <w:lang w:val="zh-CN"/>
        </w:rPr>
      </w:pPr>
      <w:r>
        <w:rPr>
          <w:rFonts w:hint="eastAsia" w:ascii="宋体" w:hAnsi="宋体" w:cs="宋体"/>
          <w:color w:val="auto"/>
          <w:highlight w:val="none"/>
          <w:lang w:val="zh-CN"/>
        </w:rPr>
        <w:t>评分索引表；</w:t>
      </w:r>
    </w:p>
    <w:p w14:paraId="7B91EA67">
      <w:pPr>
        <w:numPr>
          <w:ilvl w:val="0"/>
          <w:numId w:val="8"/>
        </w:numPr>
        <w:autoSpaceDE w:val="0"/>
        <w:autoSpaceDN w:val="0"/>
        <w:adjustRightInd w:val="0"/>
        <w:spacing w:line="360" w:lineRule="auto"/>
        <w:ind w:left="0" w:firstLine="425"/>
        <w:rPr>
          <w:rFonts w:ascii="宋体" w:hAnsi="宋体" w:cs="宋体"/>
          <w:color w:val="auto"/>
          <w:highlight w:val="none"/>
          <w:lang w:val="zh-CN"/>
        </w:rPr>
      </w:pPr>
      <w:r>
        <w:rPr>
          <w:rFonts w:hint="eastAsia" w:ascii="宋体" w:hAnsi="宋体" w:cs="宋体"/>
          <w:color w:val="auto"/>
          <w:highlight w:val="none"/>
          <w:lang w:val="zh-CN"/>
        </w:rPr>
        <w:t>技术响应表；</w:t>
      </w:r>
    </w:p>
    <w:p w14:paraId="7D096FA6">
      <w:pPr>
        <w:numPr>
          <w:ilvl w:val="0"/>
          <w:numId w:val="8"/>
        </w:numPr>
        <w:autoSpaceDE w:val="0"/>
        <w:autoSpaceDN w:val="0"/>
        <w:adjustRightInd w:val="0"/>
        <w:spacing w:line="360" w:lineRule="auto"/>
        <w:ind w:left="0" w:firstLine="425"/>
        <w:rPr>
          <w:rFonts w:ascii="宋体" w:hAnsi="宋体" w:cs="宋体"/>
          <w:color w:val="auto"/>
          <w:highlight w:val="none"/>
          <w:lang w:val="zh-CN"/>
        </w:rPr>
      </w:pPr>
      <w:r>
        <w:rPr>
          <w:rFonts w:hint="eastAsia" w:ascii="宋体" w:hAnsi="宋体" w:cs="宋体"/>
          <w:color w:val="auto"/>
          <w:highlight w:val="none"/>
          <w:lang w:val="zh-CN" w:eastAsia="zh-CN"/>
        </w:rPr>
        <w:t>对本项目的理解</w:t>
      </w:r>
      <w:r>
        <w:rPr>
          <w:rFonts w:hint="eastAsia" w:ascii="宋体" w:hAnsi="宋体" w:cs="宋体"/>
          <w:color w:val="auto"/>
          <w:highlight w:val="none"/>
          <w:lang w:val="zh-CN"/>
        </w:rPr>
        <w:t>；</w:t>
      </w:r>
    </w:p>
    <w:p w14:paraId="70847EB3">
      <w:pPr>
        <w:numPr>
          <w:ilvl w:val="0"/>
          <w:numId w:val="8"/>
        </w:numPr>
        <w:autoSpaceDE w:val="0"/>
        <w:autoSpaceDN w:val="0"/>
        <w:adjustRightInd w:val="0"/>
        <w:spacing w:line="360" w:lineRule="auto"/>
        <w:ind w:left="0" w:firstLine="425"/>
        <w:rPr>
          <w:rFonts w:ascii="宋体" w:hAnsi="宋体" w:cs="宋体"/>
          <w:color w:val="auto"/>
          <w:highlight w:val="none"/>
          <w:lang w:val="zh-CN"/>
        </w:rPr>
      </w:pPr>
      <w:r>
        <w:rPr>
          <w:rFonts w:hint="eastAsia" w:ascii="宋体" w:hAnsi="宋体" w:cs="宋体"/>
          <w:color w:val="auto"/>
          <w:highlight w:val="none"/>
          <w:lang w:val="en-US" w:eastAsia="zh-CN"/>
        </w:rPr>
        <w:t>项目实施方案</w:t>
      </w:r>
      <w:r>
        <w:rPr>
          <w:rFonts w:hint="eastAsia" w:ascii="宋体" w:hAnsi="宋体" w:cs="宋体"/>
          <w:color w:val="auto"/>
          <w:highlight w:val="none"/>
          <w:lang w:val="zh-CN"/>
        </w:rPr>
        <w:t>；</w:t>
      </w:r>
    </w:p>
    <w:p w14:paraId="70146299">
      <w:pPr>
        <w:numPr>
          <w:ilvl w:val="0"/>
          <w:numId w:val="8"/>
        </w:numPr>
        <w:autoSpaceDE w:val="0"/>
        <w:autoSpaceDN w:val="0"/>
        <w:adjustRightInd w:val="0"/>
        <w:spacing w:line="360" w:lineRule="auto"/>
        <w:ind w:left="0" w:firstLine="425"/>
        <w:rPr>
          <w:rFonts w:ascii="宋体" w:hAnsi="宋体" w:cs="宋体"/>
          <w:color w:val="auto"/>
          <w:highlight w:val="none"/>
          <w:lang w:val="zh-CN"/>
        </w:rPr>
      </w:pPr>
      <w:r>
        <w:rPr>
          <w:rFonts w:hint="eastAsia" w:ascii="宋体" w:hAnsi="宋体" w:cs="宋体"/>
          <w:bCs/>
          <w:color w:val="auto"/>
          <w:highlight w:val="none"/>
        </w:rPr>
        <w:t>项目质量保证措施</w:t>
      </w:r>
      <w:r>
        <w:rPr>
          <w:rFonts w:hint="eastAsia" w:ascii="宋体" w:hAnsi="宋体" w:cs="宋体"/>
          <w:bCs/>
          <w:color w:val="auto"/>
          <w:highlight w:val="none"/>
          <w:lang w:eastAsia="zh-CN"/>
        </w:rPr>
        <w:t>；</w:t>
      </w:r>
    </w:p>
    <w:p w14:paraId="57B2E1BB">
      <w:pPr>
        <w:numPr>
          <w:ilvl w:val="0"/>
          <w:numId w:val="8"/>
        </w:numPr>
        <w:autoSpaceDE w:val="0"/>
        <w:autoSpaceDN w:val="0"/>
        <w:adjustRightInd w:val="0"/>
        <w:spacing w:line="360" w:lineRule="auto"/>
        <w:ind w:left="0" w:firstLine="425"/>
        <w:rPr>
          <w:rFonts w:ascii="宋体" w:hAnsi="宋体" w:cs="宋体"/>
          <w:color w:val="auto"/>
          <w:highlight w:val="none"/>
          <w:lang w:val="zh-CN"/>
        </w:rPr>
      </w:pPr>
      <w:r>
        <w:rPr>
          <w:rFonts w:hint="eastAsia" w:ascii="宋体" w:hAnsi="宋体" w:cs="宋体"/>
          <w:bCs/>
          <w:color w:val="auto"/>
          <w:highlight w:val="none"/>
          <w:lang w:eastAsia="zh-CN"/>
        </w:rPr>
        <w:t>项目进度安排；</w:t>
      </w:r>
    </w:p>
    <w:p w14:paraId="2A506EB8">
      <w:pPr>
        <w:numPr>
          <w:ilvl w:val="0"/>
          <w:numId w:val="8"/>
        </w:numPr>
        <w:autoSpaceDE w:val="0"/>
        <w:autoSpaceDN w:val="0"/>
        <w:adjustRightInd w:val="0"/>
        <w:spacing w:line="360" w:lineRule="auto"/>
        <w:ind w:left="0" w:firstLine="425"/>
        <w:rPr>
          <w:rFonts w:hint="eastAsia" w:ascii="宋体" w:hAnsi="宋体" w:eastAsia="宋体" w:cs="宋体"/>
          <w:bCs/>
          <w:color w:val="auto"/>
          <w:highlight w:val="none"/>
          <w:lang w:val="zh-CN"/>
        </w:rPr>
      </w:pPr>
      <w:r>
        <w:rPr>
          <w:rFonts w:hint="eastAsia" w:ascii="宋体" w:hAnsi="宋体" w:eastAsia="宋体" w:cs="宋体"/>
          <w:bCs/>
          <w:color w:val="auto"/>
          <w:highlight w:val="none"/>
          <w:lang w:val="zh-CN"/>
        </w:rPr>
        <w:t>项目实施人员</w:t>
      </w:r>
    </w:p>
    <w:p w14:paraId="09089981">
      <w:pPr>
        <w:numPr>
          <w:ilvl w:val="0"/>
          <w:numId w:val="8"/>
        </w:numPr>
        <w:autoSpaceDE w:val="0"/>
        <w:autoSpaceDN w:val="0"/>
        <w:adjustRightInd w:val="0"/>
        <w:spacing w:line="360" w:lineRule="auto"/>
        <w:ind w:left="0" w:firstLine="425"/>
        <w:rPr>
          <w:rFonts w:hint="eastAsia" w:ascii="宋体" w:hAnsi="宋体" w:eastAsia="宋体" w:cs="宋体"/>
          <w:color w:val="auto"/>
          <w:highlight w:val="none"/>
          <w:lang w:val="zh-CN"/>
        </w:rPr>
      </w:pPr>
      <w:r>
        <w:rPr>
          <w:rFonts w:hint="eastAsia" w:ascii="宋体" w:hAnsi="宋体" w:eastAsia="宋体" w:cs="宋体"/>
          <w:color w:val="auto"/>
          <w:highlight w:val="none"/>
          <w:lang w:val="zh-CN" w:eastAsia="zh-CN"/>
        </w:rPr>
        <w:t>合理化建议；</w:t>
      </w:r>
    </w:p>
    <w:p w14:paraId="14279311">
      <w:pPr>
        <w:numPr>
          <w:ilvl w:val="0"/>
          <w:numId w:val="8"/>
        </w:numPr>
        <w:autoSpaceDE w:val="0"/>
        <w:autoSpaceDN w:val="0"/>
        <w:adjustRightInd w:val="0"/>
        <w:spacing w:line="360" w:lineRule="auto"/>
        <w:ind w:left="0" w:firstLine="425"/>
        <w:rPr>
          <w:rFonts w:hint="eastAsia" w:ascii="宋体" w:hAnsi="宋体" w:eastAsia="宋体" w:cs="宋体"/>
          <w:bCs/>
          <w:color w:val="auto"/>
          <w:highlight w:val="none"/>
          <w:lang w:val="zh-CN" w:eastAsia="zh-CN"/>
        </w:rPr>
      </w:pPr>
      <w:r>
        <w:rPr>
          <w:rFonts w:hint="eastAsia" w:ascii="宋体" w:hAnsi="宋体" w:eastAsia="宋体" w:cs="宋体"/>
          <w:bCs/>
          <w:color w:val="auto"/>
          <w:highlight w:val="none"/>
          <w:lang w:val="zh-CN" w:eastAsia="zh-CN"/>
        </w:rPr>
        <w:t>服务承诺及优惠措施；</w:t>
      </w:r>
    </w:p>
    <w:p w14:paraId="2860366D">
      <w:pPr>
        <w:numPr>
          <w:ilvl w:val="0"/>
          <w:numId w:val="8"/>
        </w:numPr>
        <w:autoSpaceDE w:val="0"/>
        <w:autoSpaceDN w:val="0"/>
        <w:adjustRightInd w:val="0"/>
        <w:spacing w:line="360" w:lineRule="auto"/>
        <w:ind w:left="0" w:firstLine="425"/>
        <w:rPr>
          <w:rFonts w:hint="eastAsia" w:ascii="宋体" w:hAnsi="宋体" w:eastAsia="宋体" w:cs="宋体"/>
          <w:bCs/>
          <w:color w:val="auto"/>
          <w:highlight w:val="none"/>
          <w:lang w:val="zh-CN" w:eastAsia="zh-CN"/>
        </w:rPr>
      </w:pPr>
      <w:r>
        <w:rPr>
          <w:rFonts w:hint="eastAsia" w:ascii="宋体" w:hAnsi="宋体" w:eastAsia="宋体" w:cs="宋体"/>
          <w:bCs/>
          <w:color w:val="auto"/>
          <w:highlight w:val="none"/>
          <w:lang w:val="zh-CN" w:eastAsia="zh-CN"/>
        </w:rPr>
        <w:t>企业业绩；</w:t>
      </w:r>
    </w:p>
    <w:p w14:paraId="63D2F274">
      <w:pPr>
        <w:numPr>
          <w:ilvl w:val="0"/>
          <w:numId w:val="8"/>
        </w:numPr>
        <w:autoSpaceDE w:val="0"/>
        <w:autoSpaceDN w:val="0"/>
        <w:adjustRightInd w:val="0"/>
        <w:spacing w:line="360" w:lineRule="auto"/>
        <w:ind w:left="0" w:firstLine="425"/>
        <w:rPr>
          <w:rFonts w:hint="eastAsia" w:ascii="宋体" w:hAnsi="宋体" w:eastAsia="宋体" w:cs="宋体"/>
          <w:bCs/>
          <w:color w:val="auto"/>
          <w:highlight w:val="none"/>
          <w:lang w:val="zh-CN" w:eastAsia="zh-CN"/>
        </w:rPr>
      </w:pPr>
      <w:r>
        <w:rPr>
          <w:rFonts w:hint="eastAsia" w:ascii="宋体" w:hAnsi="宋体" w:eastAsia="宋体" w:cs="宋体"/>
          <w:bCs/>
          <w:color w:val="auto"/>
          <w:highlight w:val="none"/>
          <w:lang w:val="zh-CN" w:eastAsia="zh-CN"/>
        </w:rPr>
        <w:t>企业认证；</w:t>
      </w:r>
    </w:p>
    <w:p w14:paraId="2D19277B">
      <w:pPr>
        <w:numPr>
          <w:ilvl w:val="0"/>
          <w:numId w:val="8"/>
        </w:numPr>
        <w:autoSpaceDE w:val="0"/>
        <w:autoSpaceDN w:val="0"/>
        <w:adjustRightInd w:val="0"/>
        <w:spacing w:line="360" w:lineRule="auto"/>
        <w:ind w:left="0" w:firstLine="425"/>
        <w:rPr>
          <w:rFonts w:hint="eastAsia" w:ascii="宋体" w:hAnsi="宋体" w:eastAsia="宋体" w:cs="宋体"/>
          <w:bCs/>
          <w:color w:val="auto"/>
          <w:highlight w:val="none"/>
          <w:lang w:val="zh-CN" w:eastAsia="zh-CN"/>
        </w:rPr>
      </w:pPr>
      <w:r>
        <w:rPr>
          <w:rFonts w:hint="eastAsia" w:ascii="宋体" w:hAnsi="宋体" w:eastAsia="宋体" w:cs="宋体"/>
          <w:bCs/>
          <w:color w:val="auto"/>
          <w:highlight w:val="none"/>
          <w:lang w:val="zh-CN" w:eastAsia="zh-CN"/>
        </w:rPr>
        <w:t>企业实力；</w:t>
      </w:r>
    </w:p>
    <w:p w14:paraId="32619B47">
      <w:pPr>
        <w:numPr>
          <w:ilvl w:val="0"/>
          <w:numId w:val="8"/>
        </w:numPr>
        <w:autoSpaceDE w:val="0"/>
        <w:autoSpaceDN w:val="0"/>
        <w:adjustRightInd w:val="0"/>
        <w:spacing w:line="360" w:lineRule="auto"/>
        <w:ind w:left="0" w:firstLine="425"/>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供应商情况一览表</w:t>
      </w:r>
    </w:p>
    <w:p w14:paraId="7BB6D9A4">
      <w:pPr>
        <w:numPr>
          <w:ilvl w:val="0"/>
          <w:numId w:val="8"/>
        </w:numPr>
        <w:autoSpaceDE w:val="0"/>
        <w:autoSpaceDN w:val="0"/>
        <w:adjustRightInd w:val="0"/>
        <w:spacing w:line="360" w:lineRule="auto"/>
        <w:ind w:left="0" w:firstLine="425"/>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商务响应表（格式见附件）</w:t>
      </w:r>
    </w:p>
    <w:p w14:paraId="3BA84CFB">
      <w:pPr>
        <w:numPr>
          <w:ilvl w:val="0"/>
          <w:numId w:val="8"/>
        </w:numPr>
        <w:autoSpaceDE w:val="0"/>
        <w:autoSpaceDN w:val="0"/>
        <w:adjustRightInd w:val="0"/>
        <w:spacing w:line="360" w:lineRule="auto"/>
        <w:ind w:left="0" w:firstLine="425"/>
        <w:rPr>
          <w:rFonts w:hint="eastAsia" w:ascii="宋体" w:hAnsi="宋体" w:eastAsia="宋体" w:cs="宋体"/>
          <w:color w:val="auto"/>
          <w:highlight w:val="none"/>
          <w:lang w:val="zh-CN" w:eastAsia="zh-CN"/>
        </w:rPr>
      </w:pPr>
      <w:r>
        <w:rPr>
          <w:rFonts w:hint="eastAsia" w:ascii="宋体" w:hAnsi="宋体" w:cs="宋体"/>
          <w:color w:val="auto"/>
          <w:highlight w:val="none"/>
          <w:lang w:val="zh-CN"/>
        </w:rPr>
        <w:t>投标供应商针对技术需要说明的其他材料。</w:t>
      </w:r>
    </w:p>
    <w:p w14:paraId="07E243D5">
      <w:pPr>
        <w:pStyle w:val="2"/>
        <w:rPr>
          <w:rFonts w:hint="eastAsia"/>
          <w:color w:val="auto"/>
          <w:lang w:val="zh-CN" w:eastAsia="zh-CN"/>
        </w:rPr>
      </w:pPr>
    </w:p>
    <w:p w14:paraId="4A817E0E">
      <w:pPr>
        <w:autoSpaceDE w:val="0"/>
        <w:autoSpaceDN w:val="0"/>
        <w:snapToGrid w:val="0"/>
        <w:spacing w:line="400" w:lineRule="exact"/>
        <w:ind w:left="844"/>
        <w:rPr>
          <w:rFonts w:ascii="宋体" w:hAnsi="宋体" w:cs="宋体"/>
          <w:bCs/>
          <w:color w:val="auto"/>
          <w:highlight w:val="none"/>
        </w:rPr>
      </w:pPr>
    </w:p>
    <w:p w14:paraId="7F553418">
      <w:pPr>
        <w:spacing w:line="440" w:lineRule="exact"/>
        <w:ind w:left="424"/>
        <w:rPr>
          <w:rFonts w:ascii="宋体" w:hAnsi="宋体" w:cs="宋体"/>
          <w:b/>
          <w:color w:val="auto"/>
          <w:sz w:val="28"/>
          <w:szCs w:val="28"/>
          <w:highlight w:val="none"/>
        </w:rPr>
      </w:pPr>
      <w:r>
        <w:rPr>
          <w:rFonts w:hint="eastAsia" w:ascii="宋体" w:hAnsi="宋体" w:cs="宋体"/>
          <w:b/>
          <w:color w:val="auto"/>
          <w:sz w:val="28"/>
          <w:szCs w:val="28"/>
          <w:highlight w:val="none"/>
        </w:rPr>
        <w:t>以上磋商响应文件组成内容中的复印件均须加盖供应商公章。</w:t>
      </w:r>
    </w:p>
    <w:p w14:paraId="4650A9B0">
      <w:pPr>
        <w:spacing w:line="400" w:lineRule="exact"/>
        <w:jc w:val="left"/>
        <w:rPr>
          <w:rFonts w:ascii="宋体" w:hAnsi="宋体" w:cs="宋体"/>
          <w:color w:val="auto"/>
          <w:sz w:val="28"/>
          <w:szCs w:val="28"/>
          <w:highlight w:val="none"/>
        </w:rPr>
      </w:pPr>
    </w:p>
    <w:p w14:paraId="6301C8E7">
      <w:pPr>
        <w:spacing w:line="400" w:lineRule="exact"/>
        <w:jc w:val="left"/>
        <w:rPr>
          <w:rFonts w:ascii="宋体" w:hAnsi="宋体" w:cs="宋体"/>
          <w:color w:val="auto"/>
          <w:sz w:val="28"/>
          <w:szCs w:val="28"/>
          <w:highlight w:val="none"/>
        </w:rPr>
      </w:pPr>
    </w:p>
    <w:p w14:paraId="5F520B90">
      <w:pPr>
        <w:spacing w:line="400" w:lineRule="exact"/>
        <w:jc w:val="left"/>
        <w:rPr>
          <w:rFonts w:ascii="宋体" w:hAnsi="宋体" w:cs="宋体"/>
          <w:b/>
          <w:bCs/>
          <w:color w:val="auto"/>
          <w:sz w:val="28"/>
          <w:szCs w:val="28"/>
          <w:highlight w:val="none"/>
        </w:rPr>
      </w:pPr>
    </w:p>
    <w:p w14:paraId="0DD3C746">
      <w:pPr>
        <w:spacing w:line="400" w:lineRule="exact"/>
        <w:jc w:val="left"/>
        <w:rPr>
          <w:rFonts w:ascii="宋体" w:hAnsi="宋体" w:cs="宋体"/>
          <w:b/>
          <w:bCs/>
          <w:color w:val="auto"/>
          <w:sz w:val="28"/>
          <w:szCs w:val="28"/>
          <w:highlight w:val="none"/>
        </w:rPr>
      </w:pPr>
    </w:p>
    <w:p w14:paraId="6A714BC6">
      <w:pPr>
        <w:pStyle w:val="2"/>
        <w:rPr>
          <w:color w:val="auto"/>
          <w:highlight w:val="none"/>
        </w:rPr>
      </w:pPr>
    </w:p>
    <w:p w14:paraId="3402FEF9">
      <w:pPr>
        <w:pStyle w:val="18"/>
        <w:ind w:left="3360"/>
        <w:rPr>
          <w:color w:val="auto"/>
          <w:highlight w:val="none"/>
        </w:rPr>
      </w:pPr>
    </w:p>
    <w:p w14:paraId="371D6204">
      <w:pPr>
        <w:rPr>
          <w:color w:val="auto"/>
          <w:highlight w:val="none"/>
        </w:rPr>
      </w:pPr>
    </w:p>
    <w:p w14:paraId="71321140">
      <w:pPr>
        <w:pStyle w:val="2"/>
        <w:rPr>
          <w:color w:val="auto"/>
        </w:rPr>
      </w:pPr>
    </w:p>
    <w:p w14:paraId="7611C7ED">
      <w:pPr>
        <w:spacing w:line="400" w:lineRule="exact"/>
        <w:jc w:val="left"/>
        <w:rPr>
          <w:rFonts w:ascii="宋体" w:hAnsi="宋体" w:cs="宋体"/>
          <w:b/>
          <w:bCs/>
          <w:color w:val="auto"/>
          <w:sz w:val="28"/>
          <w:szCs w:val="28"/>
          <w:highlight w:val="none"/>
        </w:rPr>
      </w:pPr>
    </w:p>
    <w:p w14:paraId="51E06975">
      <w:pPr>
        <w:spacing w:line="400" w:lineRule="exact"/>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5、磋商申请函</w:t>
      </w:r>
    </w:p>
    <w:p w14:paraId="15DC6388">
      <w:pPr>
        <w:ind w:firstLine="360" w:firstLineChars="150"/>
        <w:rPr>
          <w:rFonts w:ascii="宋体" w:hAnsi="宋体" w:cs="宋体"/>
          <w:color w:val="auto"/>
          <w:highlight w:val="none"/>
        </w:rPr>
      </w:pPr>
    </w:p>
    <w:p w14:paraId="0ED0888A">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 xml:space="preserve">磋 商 申 请 函 </w:t>
      </w:r>
    </w:p>
    <w:p w14:paraId="34CEC931">
      <w:pPr>
        <w:spacing w:line="400" w:lineRule="exact"/>
        <w:rPr>
          <w:rFonts w:ascii="宋体" w:hAnsi="宋体" w:cs="宋体"/>
          <w:color w:val="auto"/>
          <w:highlight w:val="none"/>
          <w:u w:val="single"/>
        </w:rPr>
      </w:pPr>
      <w:r>
        <w:rPr>
          <w:rFonts w:hint="eastAsia" w:ascii="宋体" w:hAnsi="宋体" w:cs="宋体"/>
          <w:color w:val="auto"/>
          <w:highlight w:val="none"/>
          <w:u w:val="single"/>
        </w:rPr>
        <w:t>致                 ：</w:t>
      </w:r>
    </w:p>
    <w:p w14:paraId="54371189">
      <w:pPr>
        <w:spacing w:line="400" w:lineRule="exact"/>
        <w:ind w:firstLine="480" w:firstLineChars="200"/>
        <w:rPr>
          <w:rFonts w:ascii="宋体" w:hAnsi="宋体" w:cs="宋体"/>
          <w:color w:val="auto"/>
          <w:highlight w:val="none"/>
        </w:rPr>
      </w:pPr>
      <w:r>
        <w:rPr>
          <w:rFonts w:hint="eastAsia" w:ascii="宋体" w:hAnsi="宋体" w:cs="宋体"/>
          <w:color w:val="auto"/>
          <w:highlight w:val="none"/>
          <w:u w:val="single"/>
        </w:rPr>
        <w:t xml:space="preserve">  （供应商全称）  </w:t>
      </w:r>
      <w:r>
        <w:rPr>
          <w:rFonts w:hint="eastAsia" w:ascii="宋体" w:hAnsi="宋体" w:cs="宋体"/>
          <w:color w:val="auto"/>
          <w:highlight w:val="none"/>
        </w:rPr>
        <w:t xml:space="preserve"> 授权 </w:t>
      </w:r>
      <w:r>
        <w:rPr>
          <w:rFonts w:hint="eastAsia" w:ascii="宋体" w:hAnsi="宋体" w:cs="宋体"/>
          <w:color w:val="auto"/>
          <w:highlight w:val="none"/>
          <w:u w:val="single"/>
        </w:rPr>
        <w:t xml:space="preserve">   （授权代表名称、职务、职称）    </w:t>
      </w:r>
      <w:r>
        <w:rPr>
          <w:rFonts w:hint="eastAsia" w:ascii="宋体" w:hAnsi="宋体" w:cs="宋体"/>
          <w:color w:val="auto"/>
          <w:highlight w:val="none"/>
        </w:rPr>
        <w:t xml:space="preserve"> 为本公司授权代表，参加贵方组织的</w:t>
      </w:r>
      <w:r>
        <w:rPr>
          <w:rFonts w:hint="eastAsia" w:ascii="宋体" w:hAnsi="宋体" w:cs="宋体"/>
          <w:color w:val="auto"/>
          <w:highlight w:val="none"/>
          <w:u w:val="single"/>
        </w:rPr>
        <w:t xml:space="preserve">  项目名称（项目编号）  </w:t>
      </w:r>
      <w:r>
        <w:rPr>
          <w:rFonts w:hint="eastAsia" w:ascii="宋体" w:hAnsi="宋体" w:cs="宋体"/>
          <w:color w:val="auto"/>
          <w:highlight w:val="none"/>
        </w:rPr>
        <w:t xml:space="preserve"> 竞争性磋商有关活动，进行磋商。为此</w:t>
      </w:r>
      <w:r>
        <w:rPr>
          <w:rFonts w:hint="eastAsia" w:ascii="宋体" w:hAnsi="宋体" w:cs="宋体"/>
          <w:color w:val="auto"/>
          <w:highlight w:val="none"/>
          <w:lang w:val="zh-CN"/>
        </w:rPr>
        <w:t>承诺如下</w:t>
      </w:r>
      <w:r>
        <w:rPr>
          <w:rFonts w:hint="eastAsia" w:ascii="宋体" w:hAnsi="宋体" w:cs="宋体"/>
          <w:color w:val="auto"/>
          <w:highlight w:val="none"/>
        </w:rPr>
        <w:t xml:space="preserve">：  </w:t>
      </w:r>
    </w:p>
    <w:p w14:paraId="2C9F274C">
      <w:pPr>
        <w:spacing w:line="400" w:lineRule="exact"/>
        <w:rPr>
          <w:rFonts w:ascii="宋体" w:hAnsi="宋体" w:cs="宋体"/>
          <w:color w:val="auto"/>
          <w:highlight w:val="none"/>
          <w:u w:val="single"/>
        </w:rPr>
      </w:pPr>
      <w:r>
        <w:rPr>
          <w:rFonts w:hint="eastAsia" w:ascii="宋体" w:hAnsi="宋体" w:cs="宋体"/>
          <w:color w:val="auto"/>
          <w:highlight w:val="none"/>
        </w:rPr>
        <w:t xml:space="preserve">    1、 按照磋商文件要求制作并提交规定的资格证明文件正本一套，副本二套，响应文件正本一套，副本二套。</w:t>
      </w:r>
    </w:p>
    <w:p w14:paraId="64ED865F">
      <w:pPr>
        <w:spacing w:line="400" w:lineRule="exact"/>
        <w:ind w:firstLine="240" w:firstLineChars="100"/>
        <w:rPr>
          <w:rFonts w:ascii="宋体" w:hAnsi="宋体" w:cs="宋体"/>
          <w:color w:val="auto"/>
          <w:highlight w:val="none"/>
        </w:rPr>
      </w:pPr>
      <w:r>
        <w:rPr>
          <w:rFonts w:hint="eastAsia" w:ascii="宋体" w:hAnsi="宋体" w:cs="宋体"/>
          <w:color w:val="auto"/>
          <w:highlight w:val="none"/>
        </w:rPr>
        <w:t xml:space="preserve">  2、 本次磋商总报价为：人民币</w:t>
      </w:r>
      <w:r>
        <w:rPr>
          <w:rFonts w:hint="eastAsia" w:ascii="宋体" w:hAnsi="宋体" w:cs="宋体"/>
          <w:color w:val="auto"/>
          <w:highlight w:val="none"/>
          <w:u w:val="single"/>
        </w:rPr>
        <w:t xml:space="preserve">               </w:t>
      </w:r>
      <w:r>
        <w:rPr>
          <w:rFonts w:hint="eastAsia" w:ascii="宋体" w:hAnsi="宋体" w:cs="宋体"/>
          <w:color w:val="auto"/>
          <w:highlight w:val="none"/>
        </w:rPr>
        <w:t>元整（￥</w:t>
      </w:r>
      <w:r>
        <w:rPr>
          <w:rFonts w:hint="eastAsia" w:ascii="宋体" w:hAnsi="宋体" w:cs="宋体"/>
          <w:color w:val="auto"/>
          <w:highlight w:val="none"/>
          <w:u w:val="single"/>
        </w:rPr>
        <w:t xml:space="preserve">        </w:t>
      </w:r>
      <w:r>
        <w:rPr>
          <w:rFonts w:hint="eastAsia" w:ascii="宋体" w:hAnsi="宋体" w:cs="宋体"/>
          <w:color w:val="auto"/>
          <w:highlight w:val="none"/>
        </w:rPr>
        <w:t>元）。</w:t>
      </w:r>
    </w:p>
    <w:p w14:paraId="39D97984">
      <w:pPr>
        <w:spacing w:line="400" w:lineRule="exact"/>
        <w:rPr>
          <w:rFonts w:ascii="宋体" w:hAnsi="宋体" w:cs="宋体"/>
          <w:color w:val="auto"/>
          <w:highlight w:val="none"/>
        </w:rPr>
      </w:pPr>
      <w:r>
        <w:rPr>
          <w:rFonts w:hint="eastAsia" w:ascii="宋体" w:hAnsi="宋体" w:cs="宋体"/>
          <w:color w:val="auto"/>
          <w:highlight w:val="none"/>
        </w:rPr>
        <w:t xml:space="preserve">    3、本项目负责人：</w:t>
      </w:r>
      <w:r>
        <w:rPr>
          <w:rFonts w:hint="eastAsia" w:ascii="宋体" w:hAnsi="宋体" w:cs="宋体"/>
          <w:color w:val="auto"/>
          <w:highlight w:val="none"/>
          <w:u w:val="single"/>
        </w:rPr>
        <w:t xml:space="preserve">        </w:t>
      </w:r>
      <w:r>
        <w:rPr>
          <w:rFonts w:hint="eastAsia" w:ascii="宋体" w:hAnsi="宋体" w:cs="宋体"/>
          <w:color w:val="auto"/>
          <w:highlight w:val="none"/>
        </w:rPr>
        <w:t>；职务：</w:t>
      </w:r>
      <w:r>
        <w:rPr>
          <w:rFonts w:hint="eastAsia" w:ascii="宋体" w:hAnsi="宋体" w:cs="宋体"/>
          <w:color w:val="auto"/>
          <w:highlight w:val="none"/>
          <w:u w:val="single"/>
        </w:rPr>
        <w:t xml:space="preserve">        </w:t>
      </w:r>
      <w:r>
        <w:rPr>
          <w:rFonts w:hint="eastAsia" w:ascii="宋体" w:hAnsi="宋体" w:cs="宋体"/>
          <w:color w:val="auto"/>
          <w:highlight w:val="none"/>
        </w:rPr>
        <w:t>；职称：</w:t>
      </w:r>
      <w:r>
        <w:rPr>
          <w:rFonts w:hint="eastAsia" w:ascii="宋体" w:hAnsi="宋体" w:cs="宋体"/>
          <w:color w:val="auto"/>
          <w:highlight w:val="none"/>
          <w:u w:val="single"/>
        </w:rPr>
        <w:t xml:space="preserve">        </w:t>
      </w:r>
      <w:r>
        <w:rPr>
          <w:rFonts w:hint="eastAsia" w:ascii="宋体" w:hAnsi="宋体" w:cs="宋体"/>
          <w:color w:val="auto"/>
          <w:highlight w:val="none"/>
        </w:rPr>
        <w:t>；联系电话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448BE041">
      <w:pPr>
        <w:spacing w:line="400" w:lineRule="exact"/>
        <w:ind w:firstLine="240" w:firstLineChars="100"/>
        <w:rPr>
          <w:rFonts w:ascii="宋体" w:hAnsi="宋体" w:cs="宋体"/>
          <w:color w:val="auto"/>
          <w:highlight w:val="none"/>
        </w:rPr>
      </w:pPr>
      <w:r>
        <w:rPr>
          <w:rFonts w:hint="eastAsia" w:ascii="宋体" w:hAnsi="宋体" w:cs="宋体"/>
          <w:color w:val="auto"/>
          <w:highlight w:val="none"/>
        </w:rPr>
        <w:t xml:space="preserve">  4、保证遵守磋商文件中的有关规定和收费标准。</w:t>
      </w:r>
    </w:p>
    <w:p w14:paraId="5A601AF6">
      <w:pPr>
        <w:spacing w:line="400" w:lineRule="exact"/>
        <w:rPr>
          <w:rFonts w:ascii="宋体" w:hAnsi="宋体" w:cs="宋体"/>
          <w:color w:val="auto"/>
          <w:highlight w:val="none"/>
        </w:rPr>
      </w:pPr>
      <w:r>
        <w:rPr>
          <w:rFonts w:hint="eastAsia" w:ascii="宋体" w:hAnsi="宋体" w:cs="宋体"/>
          <w:color w:val="auto"/>
          <w:highlight w:val="none"/>
        </w:rPr>
        <w:t xml:space="preserve">    5、保证严格执行甲、乙双方所签的合同，并承担全部规定的责任义务。</w:t>
      </w:r>
    </w:p>
    <w:p w14:paraId="7E85170D">
      <w:pPr>
        <w:spacing w:line="400" w:lineRule="exact"/>
        <w:rPr>
          <w:rFonts w:ascii="宋体" w:hAnsi="宋体" w:cs="宋体"/>
          <w:color w:val="auto"/>
          <w:highlight w:val="none"/>
        </w:rPr>
      </w:pPr>
      <w:r>
        <w:rPr>
          <w:rFonts w:hint="eastAsia" w:ascii="宋体" w:hAnsi="宋体" w:cs="宋体"/>
          <w:color w:val="auto"/>
          <w:highlight w:val="none"/>
        </w:rPr>
        <w:t xml:space="preserve">    6、我们已详细审查全部磋商文件，包括磋商补充文件（如果有的话）。我们完全理解并同意放弃对这方面有不明及误解的权力。</w:t>
      </w:r>
    </w:p>
    <w:p w14:paraId="4B09F443">
      <w:pPr>
        <w:spacing w:line="460" w:lineRule="exact"/>
        <w:ind w:firstLine="240" w:firstLineChars="100"/>
        <w:rPr>
          <w:rFonts w:ascii="宋体" w:hAnsi="宋体" w:cs="宋体"/>
          <w:color w:val="auto"/>
          <w:highlight w:val="none"/>
        </w:rPr>
      </w:pPr>
      <w:r>
        <w:rPr>
          <w:rFonts w:hint="eastAsia" w:ascii="宋体" w:hAnsi="宋体" w:cs="宋体"/>
          <w:color w:val="auto"/>
          <w:highlight w:val="none"/>
        </w:rPr>
        <w:t xml:space="preserve">  7、我们已对项目现场进行实地踏勘，充分了解项目要求。</w:t>
      </w:r>
    </w:p>
    <w:p w14:paraId="5969017E">
      <w:pPr>
        <w:spacing w:line="460" w:lineRule="exact"/>
        <w:ind w:firstLine="240" w:firstLineChars="100"/>
        <w:rPr>
          <w:rFonts w:ascii="宋体" w:hAnsi="宋体" w:cs="宋体"/>
          <w:color w:val="auto"/>
          <w:highlight w:val="none"/>
        </w:rPr>
      </w:pPr>
      <w:r>
        <w:rPr>
          <w:rFonts w:hint="eastAsia" w:ascii="宋体" w:hAnsi="宋体" w:cs="宋体"/>
          <w:color w:val="auto"/>
          <w:highlight w:val="none"/>
        </w:rPr>
        <w:t xml:space="preserve">  8、愿意向贵方提供任何与该项木有关的数据、情况和技术资料，完全理解贵方不一定接受最低价成交的决定。</w:t>
      </w:r>
    </w:p>
    <w:p w14:paraId="3D90F093">
      <w:pPr>
        <w:spacing w:line="400" w:lineRule="exact"/>
        <w:ind w:firstLine="240" w:firstLineChars="100"/>
        <w:rPr>
          <w:rFonts w:ascii="宋体" w:hAnsi="宋体" w:cs="宋体"/>
          <w:color w:val="auto"/>
          <w:highlight w:val="none"/>
        </w:rPr>
      </w:pPr>
      <w:r>
        <w:rPr>
          <w:rFonts w:hint="eastAsia" w:ascii="宋体" w:hAnsi="宋体" w:cs="宋体"/>
          <w:color w:val="auto"/>
          <w:highlight w:val="none"/>
        </w:rPr>
        <w:t xml:space="preserve">  9、本文件自磋商之日起 </w:t>
      </w:r>
      <w:r>
        <w:rPr>
          <w:rFonts w:hint="eastAsia" w:ascii="宋体" w:hAnsi="宋体" w:cs="宋体"/>
          <w:color w:val="auto"/>
          <w:highlight w:val="none"/>
          <w:u w:val="single"/>
        </w:rPr>
        <w:t xml:space="preserve"> 90 </w:t>
      </w:r>
      <w:r>
        <w:rPr>
          <w:rFonts w:hint="eastAsia" w:ascii="宋体" w:hAnsi="宋体" w:cs="宋体"/>
          <w:color w:val="auto"/>
          <w:highlight w:val="none"/>
        </w:rPr>
        <w:t>天内有效。</w:t>
      </w:r>
    </w:p>
    <w:p w14:paraId="22B96D44">
      <w:pPr>
        <w:spacing w:line="400" w:lineRule="exact"/>
        <w:ind w:firstLine="240" w:firstLineChars="100"/>
        <w:rPr>
          <w:rFonts w:ascii="宋体" w:hAnsi="宋体" w:cs="宋体"/>
          <w:color w:val="auto"/>
          <w:highlight w:val="none"/>
        </w:rPr>
      </w:pPr>
      <w:r>
        <w:rPr>
          <w:rFonts w:hint="eastAsia" w:ascii="宋体" w:hAnsi="宋体" w:cs="宋体"/>
          <w:color w:val="auto"/>
          <w:highlight w:val="none"/>
        </w:rPr>
        <w:t xml:space="preserve">  10、与本项目有关的一切往来通讯请寄：</w:t>
      </w:r>
    </w:p>
    <w:p w14:paraId="26E4AEE5">
      <w:pPr>
        <w:spacing w:line="400" w:lineRule="exact"/>
        <w:ind w:firstLine="960" w:firstLineChars="400"/>
        <w:rPr>
          <w:rFonts w:ascii="宋体" w:hAnsi="宋体" w:cs="宋体"/>
          <w:color w:val="auto"/>
          <w:highlight w:val="none"/>
        </w:rPr>
      </w:pPr>
      <w:r>
        <w:rPr>
          <w:rFonts w:hint="eastAsia" w:ascii="宋体" w:hAnsi="宋体" w:cs="宋体"/>
          <w:color w:val="auto"/>
          <w:highlight w:val="none"/>
        </w:rPr>
        <w:t>地址：</w:t>
      </w:r>
      <w:r>
        <w:rPr>
          <w:rFonts w:hint="eastAsia" w:ascii="宋体" w:hAnsi="宋体" w:cs="宋体"/>
          <w:color w:val="auto"/>
          <w:highlight w:val="none"/>
          <w:u w:val="single"/>
        </w:rPr>
        <w:t xml:space="preserve">                               </w:t>
      </w:r>
    </w:p>
    <w:p w14:paraId="4BC72BF2">
      <w:pPr>
        <w:spacing w:line="400" w:lineRule="exact"/>
        <w:ind w:firstLine="960" w:firstLineChars="400"/>
        <w:rPr>
          <w:rFonts w:ascii="宋体" w:hAnsi="宋体" w:cs="宋体"/>
          <w:color w:val="auto"/>
          <w:highlight w:val="none"/>
          <w:u w:val="single"/>
        </w:rPr>
      </w:pPr>
      <w:r>
        <w:rPr>
          <w:rFonts w:hint="eastAsia" w:ascii="宋体" w:hAnsi="宋体" w:cs="宋体"/>
          <w:color w:val="auto"/>
          <w:highlight w:val="none"/>
        </w:rPr>
        <w:t>邮编：</w:t>
      </w:r>
      <w:r>
        <w:rPr>
          <w:rFonts w:hint="eastAsia" w:ascii="宋体" w:hAnsi="宋体" w:cs="宋体"/>
          <w:color w:val="auto"/>
          <w:highlight w:val="none"/>
          <w:u w:val="single"/>
        </w:rPr>
        <w:t xml:space="preserve">              </w:t>
      </w:r>
      <w:r>
        <w:rPr>
          <w:rFonts w:hint="eastAsia" w:ascii="宋体" w:hAnsi="宋体" w:cs="宋体"/>
          <w:color w:val="auto"/>
          <w:highlight w:val="none"/>
        </w:rPr>
        <w:t>电话：</w:t>
      </w:r>
      <w:r>
        <w:rPr>
          <w:rFonts w:hint="eastAsia" w:ascii="宋体" w:hAnsi="宋体" w:cs="宋体"/>
          <w:color w:val="auto"/>
          <w:highlight w:val="none"/>
          <w:u w:val="single"/>
        </w:rPr>
        <w:t xml:space="preserve">              </w:t>
      </w:r>
      <w:r>
        <w:rPr>
          <w:rFonts w:hint="eastAsia" w:ascii="宋体" w:hAnsi="宋体" w:cs="宋体"/>
          <w:color w:val="auto"/>
          <w:highlight w:val="none"/>
        </w:rPr>
        <w:t>传真：</w:t>
      </w:r>
      <w:r>
        <w:rPr>
          <w:rFonts w:hint="eastAsia" w:ascii="宋体" w:hAnsi="宋体" w:cs="宋体"/>
          <w:color w:val="auto"/>
          <w:highlight w:val="none"/>
          <w:u w:val="single"/>
        </w:rPr>
        <w:t xml:space="preserve">              </w:t>
      </w:r>
    </w:p>
    <w:p w14:paraId="13377925">
      <w:pPr>
        <w:spacing w:before="156" w:beforeLines="50" w:after="156" w:afterLines="50" w:line="400" w:lineRule="exact"/>
        <w:ind w:right="840"/>
        <w:rPr>
          <w:rFonts w:ascii="宋体" w:hAnsi="宋体" w:cs="宋体"/>
          <w:color w:val="auto"/>
          <w:highlight w:val="none"/>
        </w:rPr>
      </w:pPr>
    </w:p>
    <w:p w14:paraId="5061BFEB">
      <w:pPr>
        <w:spacing w:before="156" w:beforeLines="50" w:after="156" w:afterLines="50" w:line="400" w:lineRule="exact"/>
        <w:ind w:right="840"/>
        <w:rPr>
          <w:rFonts w:ascii="宋体" w:hAnsi="宋体" w:cs="宋体"/>
          <w:color w:val="auto"/>
          <w:highlight w:val="none"/>
        </w:rPr>
      </w:pPr>
    </w:p>
    <w:p w14:paraId="34E0769B">
      <w:pPr>
        <w:spacing w:before="156" w:beforeLines="50" w:after="156" w:afterLines="50" w:line="400" w:lineRule="exact"/>
        <w:ind w:right="840"/>
        <w:rPr>
          <w:rFonts w:ascii="宋体" w:hAnsi="宋体" w:cs="宋体"/>
          <w:color w:val="auto"/>
          <w:highlight w:val="none"/>
        </w:rPr>
      </w:pPr>
      <w:r>
        <w:rPr>
          <w:rFonts w:hint="eastAsia" w:ascii="宋体" w:hAnsi="宋体" w:cs="宋体"/>
          <w:color w:val="auto"/>
          <w:highlight w:val="none"/>
        </w:rPr>
        <w:t>供应商（盖章）：</w:t>
      </w:r>
    </w:p>
    <w:p w14:paraId="63DFA1E6">
      <w:pPr>
        <w:spacing w:before="156" w:beforeLines="50" w:after="156" w:afterLines="50" w:line="400" w:lineRule="exact"/>
        <w:ind w:right="840"/>
        <w:rPr>
          <w:rFonts w:ascii="宋体" w:hAnsi="宋体" w:cs="宋体"/>
          <w:color w:val="auto"/>
          <w:highlight w:val="none"/>
        </w:rPr>
      </w:pPr>
      <w:r>
        <w:rPr>
          <w:rFonts w:hint="eastAsia" w:ascii="宋体" w:hAnsi="宋体" w:cs="宋体"/>
          <w:color w:val="auto"/>
          <w:highlight w:val="none"/>
        </w:rPr>
        <w:t>授权代表（签字）：</w:t>
      </w:r>
    </w:p>
    <w:p w14:paraId="4454129F">
      <w:pPr>
        <w:pStyle w:val="17"/>
        <w:ind w:right="840"/>
        <w:rPr>
          <w:rFonts w:cs="宋体"/>
          <w:color w:val="auto"/>
          <w:highlight w:val="none"/>
        </w:rPr>
      </w:pPr>
      <w:r>
        <w:rPr>
          <w:rFonts w:hint="eastAsia" w:cs="宋体"/>
          <w:color w:val="auto"/>
          <w:highlight w:val="none"/>
        </w:rPr>
        <w:t xml:space="preserve">日期：     </w:t>
      </w:r>
    </w:p>
    <w:p w14:paraId="169B2069">
      <w:pPr>
        <w:spacing w:line="400" w:lineRule="exact"/>
        <w:jc w:val="left"/>
        <w:rPr>
          <w:rFonts w:ascii="宋体" w:hAnsi="宋体" w:cs="宋体"/>
          <w:color w:val="auto"/>
          <w:sz w:val="28"/>
          <w:szCs w:val="28"/>
          <w:highlight w:val="none"/>
        </w:rPr>
      </w:pPr>
    </w:p>
    <w:p w14:paraId="25371757">
      <w:pPr>
        <w:spacing w:line="400" w:lineRule="exact"/>
        <w:jc w:val="left"/>
        <w:rPr>
          <w:rFonts w:ascii="宋体" w:hAnsi="宋体" w:cs="宋体"/>
          <w:color w:val="auto"/>
          <w:sz w:val="28"/>
          <w:szCs w:val="28"/>
          <w:highlight w:val="none"/>
        </w:rPr>
      </w:pPr>
    </w:p>
    <w:p w14:paraId="7D6C1553">
      <w:pPr>
        <w:spacing w:line="400" w:lineRule="exact"/>
        <w:jc w:val="left"/>
        <w:rPr>
          <w:rFonts w:ascii="宋体" w:hAnsi="宋体" w:cs="宋体"/>
          <w:color w:val="auto"/>
          <w:sz w:val="28"/>
          <w:szCs w:val="28"/>
          <w:highlight w:val="none"/>
        </w:rPr>
      </w:pPr>
    </w:p>
    <w:p w14:paraId="371BB274">
      <w:pPr>
        <w:spacing w:line="400" w:lineRule="exact"/>
        <w:jc w:val="left"/>
        <w:rPr>
          <w:rFonts w:ascii="宋体" w:hAnsi="宋体" w:cs="宋体"/>
          <w:color w:val="auto"/>
          <w:sz w:val="28"/>
          <w:szCs w:val="28"/>
          <w:highlight w:val="none"/>
        </w:rPr>
      </w:pPr>
    </w:p>
    <w:p w14:paraId="3DD4DE2C">
      <w:pPr>
        <w:spacing w:line="400" w:lineRule="exact"/>
        <w:jc w:val="left"/>
        <w:rPr>
          <w:rFonts w:ascii="宋体" w:hAnsi="宋体" w:cs="宋体"/>
          <w:color w:val="auto"/>
          <w:sz w:val="28"/>
          <w:szCs w:val="28"/>
          <w:highlight w:val="none"/>
        </w:rPr>
      </w:pPr>
    </w:p>
    <w:p w14:paraId="19D5BFE6">
      <w:pPr>
        <w:spacing w:line="400" w:lineRule="exact"/>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6、初次报价表格式</w:t>
      </w:r>
    </w:p>
    <w:p w14:paraId="1C2B6C54">
      <w:pPr>
        <w:rPr>
          <w:rFonts w:ascii="宋体" w:hAnsi="宋体" w:cs="宋体"/>
          <w:color w:val="auto"/>
          <w:sz w:val="32"/>
          <w:highlight w:val="none"/>
        </w:rPr>
      </w:pPr>
    </w:p>
    <w:p w14:paraId="073F1263">
      <w:pPr>
        <w:spacing w:line="360" w:lineRule="auto"/>
        <w:jc w:val="center"/>
        <w:rPr>
          <w:rFonts w:ascii="宋体" w:hAnsi="宋体" w:cs="宋体"/>
          <w:b/>
          <w:bCs/>
          <w:color w:val="auto"/>
          <w:kern w:val="0"/>
          <w:sz w:val="32"/>
          <w:szCs w:val="32"/>
          <w:highlight w:val="none"/>
        </w:rPr>
      </w:pPr>
      <w:bookmarkStart w:id="107" w:name="_Toc414960387"/>
      <w:bookmarkEnd w:id="107"/>
      <w:r>
        <w:rPr>
          <w:rFonts w:hint="eastAsia" w:ascii="宋体" w:hAnsi="宋体" w:cs="宋体"/>
          <w:b/>
          <w:bCs/>
          <w:color w:val="auto"/>
          <w:kern w:val="0"/>
          <w:sz w:val="32"/>
          <w:szCs w:val="32"/>
          <w:highlight w:val="none"/>
        </w:rPr>
        <w:t>初 次 报 价 表</w:t>
      </w:r>
    </w:p>
    <w:p w14:paraId="625CDC13">
      <w:pPr>
        <w:pStyle w:val="10"/>
        <w:tabs>
          <w:tab w:val="left" w:pos="4477"/>
        </w:tabs>
        <w:spacing w:line="400" w:lineRule="exact"/>
        <w:rPr>
          <w:rFonts w:ascii="宋体" w:hAnsi="宋体" w:cs="宋体"/>
          <w:color w:val="auto"/>
          <w:szCs w:val="24"/>
          <w:highlight w:val="none"/>
        </w:rPr>
      </w:pPr>
    </w:p>
    <w:p w14:paraId="3DC3340C">
      <w:pPr>
        <w:spacing w:line="400" w:lineRule="exact"/>
        <w:ind w:firstLine="309"/>
        <w:rPr>
          <w:rFonts w:ascii="宋体" w:hAnsi="宋体" w:cs="宋体"/>
          <w:color w:val="auto"/>
          <w:highlight w:val="none"/>
        </w:rPr>
      </w:pPr>
      <w:r>
        <w:rPr>
          <w:rFonts w:hint="eastAsia" w:ascii="宋体" w:hAnsi="宋体" w:cs="宋体"/>
          <w:color w:val="auto"/>
          <w:highlight w:val="none"/>
        </w:rPr>
        <w:t xml:space="preserve">供应商全称（加盖公章）：   </w:t>
      </w:r>
    </w:p>
    <w:p w14:paraId="0C7E459C">
      <w:pPr>
        <w:spacing w:line="400" w:lineRule="exact"/>
        <w:ind w:firstLine="309"/>
        <w:rPr>
          <w:rFonts w:ascii="宋体" w:hAnsi="宋体" w:cs="宋体"/>
          <w:color w:val="auto"/>
          <w:highlight w:val="none"/>
        </w:rPr>
      </w:pPr>
      <w:r>
        <w:rPr>
          <w:rFonts w:hint="eastAsia" w:ascii="宋体" w:hAnsi="宋体" w:cs="宋体"/>
          <w:color w:val="auto"/>
          <w:highlight w:val="none"/>
        </w:rPr>
        <w:t xml:space="preserve">           </w:t>
      </w:r>
    </w:p>
    <w:p w14:paraId="59F514DF">
      <w:pPr>
        <w:spacing w:line="400" w:lineRule="exact"/>
        <w:ind w:firstLine="309"/>
        <w:rPr>
          <w:rFonts w:ascii="宋体" w:hAnsi="宋体" w:cs="宋体"/>
          <w:color w:val="auto"/>
          <w:highlight w:val="none"/>
        </w:rPr>
      </w:pPr>
      <w:r>
        <w:rPr>
          <w:rFonts w:hint="eastAsia" w:ascii="宋体" w:hAnsi="宋体" w:cs="宋体"/>
          <w:color w:val="auto"/>
          <w:highlight w:val="none"/>
        </w:rPr>
        <w:t xml:space="preserve">磋商文件编号：                                          </w:t>
      </w:r>
      <w:r>
        <w:rPr>
          <w:rFonts w:hint="eastAsia" w:ascii="宋体" w:hAnsi="宋体" w:cs="宋体"/>
          <w:color w:val="auto"/>
          <w:highlight w:val="none"/>
          <w:lang w:val="zh-CN"/>
        </w:rPr>
        <w:t>报价单位：人民币（元）</w:t>
      </w:r>
      <w:r>
        <w:rPr>
          <w:rFonts w:hint="eastAsia" w:ascii="宋体" w:hAnsi="宋体" w:cs="宋体"/>
          <w:color w:val="auto"/>
          <w:highlight w:val="none"/>
        </w:rPr>
        <w:t xml:space="preserve">     </w:t>
      </w:r>
    </w:p>
    <w:tbl>
      <w:tblPr>
        <w:tblStyle w:val="33"/>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1"/>
        <w:gridCol w:w="6429"/>
      </w:tblGrid>
      <w:tr w14:paraId="4CA81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3211" w:type="dxa"/>
          </w:tcPr>
          <w:p w14:paraId="0874E705">
            <w:pPr>
              <w:pStyle w:val="17"/>
              <w:spacing w:line="480" w:lineRule="exact"/>
              <w:jc w:val="center"/>
              <w:rPr>
                <w:rFonts w:cs="宋体"/>
                <w:b/>
                <w:color w:val="auto"/>
                <w:highlight w:val="none"/>
              </w:rPr>
            </w:pPr>
            <w:r>
              <w:rPr>
                <w:rFonts w:hint="eastAsia" w:cs="宋体"/>
                <w:b/>
                <w:color w:val="auto"/>
                <w:highlight w:val="none"/>
              </w:rPr>
              <w:t>项目名称</w:t>
            </w:r>
          </w:p>
        </w:tc>
        <w:tc>
          <w:tcPr>
            <w:tcW w:w="6429" w:type="dxa"/>
          </w:tcPr>
          <w:p w14:paraId="25F5C740">
            <w:pPr>
              <w:pStyle w:val="17"/>
              <w:spacing w:line="480" w:lineRule="exact"/>
              <w:jc w:val="center"/>
              <w:rPr>
                <w:rFonts w:cs="宋体"/>
                <w:b/>
                <w:color w:val="auto"/>
                <w:highlight w:val="none"/>
              </w:rPr>
            </w:pPr>
            <w:r>
              <w:rPr>
                <w:rFonts w:hint="eastAsia" w:cs="宋体"/>
                <w:b/>
                <w:color w:val="auto"/>
                <w:highlight w:val="none"/>
              </w:rPr>
              <w:t>磋商总报价（元）</w:t>
            </w:r>
          </w:p>
        </w:tc>
      </w:tr>
      <w:tr w14:paraId="548C2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3211" w:type="dxa"/>
            <w:vAlign w:val="center"/>
          </w:tcPr>
          <w:p w14:paraId="49100810">
            <w:pPr>
              <w:pStyle w:val="17"/>
              <w:spacing w:line="480" w:lineRule="exact"/>
              <w:rPr>
                <w:rFonts w:cs="宋体"/>
                <w:b/>
                <w:color w:val="auto"/>
                <w:highlight w:val="none"/>
              </w:rPr>
            </w:pPr>
          </w:p>
        </w:tc>
        <w:tc>
          <w:tcPr>
            <w:tcW w:w="6429" w:type="dxa"/>
          </w:tcPr>
          <w:p w14:paraId="0316CE2D">
            <w:pPr>
              <w:pStyle w:val="17"/>
              <w:spacing w:line="480" w:lineRule="exact"/>
              <w:jc w:val="center"/>
              <w:rPr>
                <w:rFonts w:cs="宋体"/>
                <w:b/>
                <w:color w:val="auto"/>
                <w:highlight w:val="none"/>
              </w:rPr>
            </w:pPr>
            <w:r>
              <w:rPr>
                <w:rFonts w:hint="eastAsia" w:cs="宋体"/>
                <w:b/>
                <w:color w:val="auto"/>
                <w:highlight w:val="none"/>
              </w:rPr>
              <w:t xml:space="preserve">          </w:t>
            </w:r>
          </w:p>
        </w:tc>
      </w:tr>
      <w:tr w14:paraId="3B9BF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9640" w:type="dxa"/>
            <w:gridSpan w:val="2"/>
            <w:vAlign w:val="center"/>
          </w:tcPr>
          <w:p w14:paraId="5C262590">
            <w:pPr>
              <w:pStyle w:val="17"/>
              <w:spacing w:line="480" w:lineRule="exact"/>
              <w:ind w:firstLine="241" w:firstLineChars="100"/>
              <w:rPr>
                <w:rFonts w:cs="宋体"/>
                <w:b/>
                <w:color w:val="auto"/>
                <w:highlight w:val="none"/>
              </w:rPr>
            </w:pPr>
            <w:r>
              <w:rPr>
                <w:rFonts w:hint="eastAsia" w:cs="宋体"/>
                <w:b/>
                <w:color w:val="auto"/>
                <w:highlight w:val="none"/>
              </w:rPr>
              <w:t>大写：                                     元 （￥：              元）</w:t>
            </w:r>
          </w:p>
        </w:tc>
      </w:tr>
    </w:tbl>
    <w:p w14:paraId="56981E8D">
      <w:pPr>
        <w:pStyle w:val="17"/>
        <w:spacing w:line="480" w:lineRule="exact"/>
        <w:rPr>
          <w:rFonts w:cs="宋体"/>
          <w:b/>
          <w:color w:val="auto"/>
          <w:highlight w:val="none"/>
        </w:rPr>
      </w:pPr>
      <w:r>
        <w:rPr>
          <w:rFonts w:hint="eastAsia" w:cs="宋体"/>
          <w:b/>
          <w:color w:val="auto"/>
          <w:highlight w:val="none"/>
        </w:rPr>
        <w:t>注：▲1、报价一经涂改，应在涂改处加盖单位公章或者由法定代表人或授权委托人签字或盖章，否则其投标作无效标处理。</w:t>
      </w:r>
    </w:p>
    <w:p w14:paraId="37991A86">
      <w:pPr>
        <w:pStyle w:val="17"/>
        <w:spacing w:line="480" w:lineRule="exact"/>
        <w:ind w:firstLine="482" w:firstLineChars="200"/>
        <w:rPr>
          <w:rFonts w:cs="宋体"/>
          <w:b/>
          <w:color w:val="auto"/>
          <w:highlight w:val="none"/>
        </w:rPr>
      </w:pPr>
      <w:r>
        <w:rPr>
          <w:rFonts w:hint="eastAsia" w:cs="宋体"/>
          <w:b/>
          <w:color w:val="auto"/>
          <w:highlight w:val="none"/>
        </w:rPr>
        <w:t>▲</w:t>
      </w:r>
      <w:r>
        <w:rPr>
          <w:rFonts w:hint="eastAsia" w:cs="宋体"/>
          <w:b/>
          <w:color w:val="auto"/>
          <w:highlight w:val="none"/>
          <w:lang w:val="en-US" w:eastAsia="zh-CN"/>
        </w:rPr>
        <w:t>2</w:t>
      </w:r>
      <w:r>
        <w:rPr>
          <w:rFonts w:hint="eastAsia" w:cs="宋体"/>
          <w:b/>
          <w:color w:val="auto"/>
          <w:highlight w:val="none"/>
        </w:rPr>
        <w:t>、不提供此表格的将视为没有实质性响应磋商文件。</w:t>
      </w:r>
    </w:p>
    <w:p w14:paraId="27A7793F">
      <w:pPr>
        <w:snapToGrid w:val="0"/>
        <w:spacing w:before="50" w:after="50" w:line="400" w:lineRule="exact"/>
        <w:rPr>
          <w:rFonts w:ascii="宋体" w:hAnsi="宋体" w:cs="宋体"/>
          <w:color w:val="auto"/>
          <w:highlight w:val="none"/>
        </w:rPr>
      </w:pPr>
    </w:p>
    <w:p w14:paraId="2116E664">
      <w:pPr>
        <w:widowControl/>
        <w:spacing w:line="460" w:lineRule="atLeast"/>
        <w:ind w:right="660"/>
        <w:jc w:val="left"/>
        <w:rPr>
          <w:rFonts w:ascii="宋体" w:hAnsi="宋体" w:cs="宋体"/>
          <w:color w:val="auto"/>
          <w:highlight w:val="none"/>
        </w:rPr>
      </w:pPr>
      <w:r>
        <w:rPr>
          <w:rFonts w:hint="eastAsia" w:ascii="宋体" w:hAnsi="宋体" w:cs="宋体"/>
          <w:color w:val="auto"/>
          <w:highlight w:val="none"/>
        </w:rPr>
        <w:t>供应商全称：（盖章）</w:t>
      </w:r>
    </w:p>
    <w:p w14:paraId="1BA710DB">
      <w:pPr>
        <w:widowControl/>
        <w:spacing w:line="460" w:lineRule="atLeast"/>
        <w:ind w:right="440"/>
        <w:jc w:val="left"/>
        <w:rPr>
          <w:rFonts w:ascii="宋体" w:hAnsi="宋体" w:cs="宋体"/>
          <w:color w:val="auto"/>
          <w:highlight w:val="none"/>
        </w:rPr>
      </w:pPr>
      <w:r>
        <w:rPr>
          <w:rFonts w:hint="eastAsia" w:ascii="宋体" w:hAnsi="宋体" w:cs="宋体"/>
          <w:color w:val="auto"/>
          <w:highlight w:val="none"/>
        </w:rPr>
        <w:t xml:space="preserve"> 授权代表：（签字）</w:t>
      </w:r>
    </w:p>
    <w:p w14:paraId="3386FF85">
      <w:pPr>
        <w:widowControl/>
        <w:spacing w:line="460" w:lineRule="atLeast"/>
        <w:ind w:right="440"/>
        <w:jc w:val="left"/>
        <w:rPr>
          <w:rFonts w:ascii="宋体" w:hAnsi="宋体" w:cs="宋体"/>
          <w:color w:val="auto"/>
          <w:highlight w:val="none"/>
        </w:rPr>
      </w:pPr>
      <w:r>
        <w:rPr>
          <w:rFonts w:hint="eastAsia" w:ascii="宋体" w:hAnsi="宋体" w:cs="宋体"/>
          <w:color w:val="auto"/>
          <w:highlight w:val="none"/>
        </w:rPr>
        <w:t xml:space="preserve"> 日期：   年   月   日</w:t>
      </w:r>
    </w:p>
    <w:p w14:paraId="31C166B9">
      <w:pPr>
        <w:rPr>
          <w:rFonts w:ascii="宋体" w:hAnsi="宋体" w:cs="宋体"/>
          <w:color w:val="auto"/>
          <w:highlight w:val="none"/>
        </w:rPr>
      </w:pPr>
    </w:p>
    <w:p w14:paraId="0680BE03">
      <w:pPr>
        <w:pStyle w:val="3"/>
        <w:ind w:firstLine="0" w:firstLineChars="0"/>
        <w:rPr>
          <w:rFonts w:ascii="宋体" w:hAnsi="宋体" w:cs="宋体"/>
          <w:color w:val="auto"/>
          <w:highlight w:val="none"/>
        </w:rPr>
      </w:pPr>
    </w:p>
    <w:p w14:paraId="5944374C">
      <w:pPr>
        <w:spacing w:line="400" w:lineRule="exact"/>
        <w:jc w:val="left"/>
        <w:rPr>
          <w:rFonts w:ascii="宋体" w:hAnsi="宋体" w:cs="宋体"/>
          <w:b/>
          <w:bCs/>
          <w:color w:val="auto"/>
          <w:sz w:val="28"/>
          <w:szCs w:val="28"/>
          <w:highlight w:val="none"/>
        </w:rPr>
      </w:pPr>
    </w:p>
    <w:p w14:paraId="3EFF8790">
      <w:pPr>
        <w:pStyle w:val="25"/>
        <w:overflowPunct w:val="0"/>
        <w:snapToGrid w:val="0"/>
        <w:spacing w:line="360" w:lineRule="auto"/>
        <w:ind w:left="0" w:firstLine="0" w:firstLineChars="0"/>
        <w:rPr>
          <w:rFonts w:ascii="宋体" w:hAnsi="宋体" w:cs="宋体"/>
          <w:b/>
          <w:color w:val="auto"/>
          <w:szCs w:val="20"/>
          <w:highlight w:val="none"/>
        </w:rPr>
      </w:pPr>
    </w:p>
    <w:p w14:paraId="1A9E1513">
      <w:pPr>
        <w:pStyle w:val="25"/>
        <w:overflowPunct w:val="0"/>
        <w:snapToGrid w:val="0"/>
        <w:spacing w:line="360" w:lineRule="auto"/>
        <w:ind w:left="0" w:firstLine="0" w:firstLineChars="0"/>
        <w:rPr>
          <w:rFonts w:hint="eastAsia" w:ascii="宋体" w:hAnsi="宋体" w:cs="宋体"/>
          <w:b/>
          <w:color w:val="auto"/>
          <w:sz w:val="28"/>
          <w:szCs w:val="28"/>
          <w:highlight w:val="none"/>
        </w:rPr>
      </w:pPr>
    </w:p>
    <w:p w14:paraId="0C323376">
      <w:pPr>
        <w:pStyle w:val="25"/>
        <w:overflowPunct w:val="0"/>
        <w:snapToGrid w:val="0"/>
        <w:spacing w:line="360" w:lineRule="auto"/>
        <w:ind w:left="0" w:firstLine="0" w:firstLineChars="0"/>
        <w:rPr>
          <w:rFonts w:hint="eastAsia" w:ascii="宋体" w:hAnsi="宋体" w:cs="宋体"/>
          <w:b/>
          <w:color w:val="auto"/>
          <w:sz w:val="28"/>
          <w:szCs w:val="28"/>
          <w:highlight w:val="none"/>
        </w:rPr>
      </w:pPr>
    </w:p>
    <w:p w14:paraId="1DB13D32">
      <w:pPr>
        <w:pStyle w:val="25"/>
        <w:overflowPunct w:val="0"/>
        <w:snapToGrid w:val="0"/>
        <w:spacing w:line="360" w:lineRule="auto"/>
        <w:ind w:left="0" w:firstLine="0" w:firstLineChars="0"/>
        <w:rPr>
          <w:rFonts w:hint="eastAsia" w:ascii="宋体" w:hAnsi="宋体" w:cs="宋体"/>
          <w:b/>
          <w:color w:val="auto"/>
          <w:sz w:val="28"/>
          <w:szCs w:val="28"/>
          <w:highlight w:val="none"/>
        </w:rPr>
      </w:pPr>
    </w:p>
    <w:p w14:paraId="079AB5B7">
      <w:pPr>
        <w:pStyle w:val="25"/>
        <w:overflowPunct w:val="0"/>
        <w:snapToGrid w:val="0"/>
        <w:spacing w:line="360" w:lineRule="auto"/>
        <w:ind w:left="0" w:firstLine="0" w:firstLineChars="0"/>
        <w:rPr>
          <w:rFonts w:ascii="宋体" w:hAnsi="宋体" w:cs="宋体"/>
          <w:b/>
          <w:color w:val="auto"/>
          <w:sz w:val="28"/>
          <w:szCs w:val="28"/>
          <w:highlight w:val="none"/>
        </w:rPr>
      </w:pPr>
      <w:r>
        <w:rPr>
          <w:rFonts w:hint="eastAsia" w:ascii="宋体" w:hAnsi="宋体" w:cs="宋体"/>
          <w:b/>
          <w:color w:val="auto"/>
          <w:sz w:val="28"/>
          <w:szCs w:val="28"/>
          <w:highlight w:val="none"/>
        </w:rPr>
        <w:t>7、企业业绩</w:t>
      </w:r>
    </w:p>
    <w:p w14:paraId="72D735D8">
      <w:pPr>
        <w:pStyle w:val="25"/>
        <w:overflowPunct w:val="0"/>
        <w:snapToGrid w:val="0"/>
        <w:spacing w:line="360" w:lineRule="auto"/>
        <w:ind w:left="0" w:firstLine="241" w:firstLineChars="100"/>
        <w:jc w:val="center"/>
        <w:rPr>
          <w:rFonts w:ascii="宋体" w:hAnsi="宋体" w:cs="宋体"/>
          <w:b/>
          <w:color w:val="auto"/>
          <w:szCs w:val="20"/>
          <w:highlight w:val="none"/>
        </w:rPr>
      </w:pPr>
    </w:p>
    <w:p w14:paraId="0212DCF9">
      <w:pPr>
        <w:pStyle w:val="25"/>
        <w:overflowPunct w:val="0"/>
        <w:snapToGrid w:val="0"/>
        <w:spacing w:line="360" w:lineRule="auto"/>
        <w:ind w:left="0" w:firstLine="321" w:firstLineChars="100"/>
        <w:jc w:val="center"/>
        <w:rPr>
          <w:rFonts w:ascii="宋体" w:hAnsi="宋体" w:cs="宋体"/>
          <w:color w:val="auto"/>
          <w:szCs w:val="24"/>
          <w:highlight w:val="none"/>
        </w:rPr>
      </w:pPr>
      <w:r>
        <w:rPr>
          <w:rFonts w:hint="eastAsia" w:ascii="宋体" w:hAnsi="宋体" w:cs="宋体"/>
          <w:b/>
          <w:color w:val="auto"/>
          <w:sz w:val="32"/>
          <w:szCs w:val="32"/>
          <w:highlight w:val="none"/>
        </w:rPr>
        <w:t>企业业绩</w:t>
      </w:r>
    </w:p>
    <w:p w14:paraId="09921888">
      <w:pPr>
        <w:pStyle w:val="25"/>
        <w:overflowPunct w:val="0"/>
        <w:snapToGrid w:val="0"/>
        <w:spacing w:line="360" w:lineRule="auto"/>
        <w:ind w:left="0" w:firstLine="240" w:firstLineChars="100"/>
        <w:rPr>
          <w:rFonts w:ascii="宋体" w:hAnsi="宋体" w:cs="宋体"/>
          <w:color w:val="auto"/>
          <w:szCs w:val="24"/>
          <w:highlight w:val="none"/>
        </w:rPr>
      </w:pPr>
      <w:r>
        <w:rPr>
          <w:rFonts w:hint="eastAsia" w:ascii="宋体" w:hAnsi="宋体" w:cs="宋体"/>
          <w:color w:val="auto"/>
          <w:szCs w:val="24"/>
          <w:highlight w:val="none"/>
        </w:rPr>
        <w:t>项目名称：</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项目编号：</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 xml:space="preserve"> </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11"/>
        <w:gridCol w:w="1440"/>
        <w:gridCol w:w="1440"/>
        <w:gridCol w:w="1971"/>
        <w:gridCol w:w="1418"/>
      </w:tblGrid>
      <w:tr w14:paraId="715B3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0FA18AE0">
            <w:pPr>
              <w:overflowPunct w:val="0"/>
              <w:spacing w:line="360" w:lineRule="auto"/>
              <w:jc w:val="center"/>
              <w:rPr>
                <w:rFonts w:ascii="宋体" w:hAnsi="宋体" w:cs="宋体"/>
                <w:bCs/>
                <w:color w:val="auto"/>
                <w:highlight w:val="none"/>
              </w:rPr>
            </w:pPr>
            <w:r>
              <w:rPr>
                <w:rFonts w:hint="eastAsia" w:ascii="宋体" w:hAnsi="宋体" w:cs="宋体"/>
                <w:bCs/>
                <w:color w:val="auto"/>
                <w:highlight w:val="none"/>
              </w:rPr>
              <w:t>序号</w:t>
            </w:r>
          </w:p>
        </w:tc>
        <w:tc>
          <w:tcPr>
            <w:tcW w:w="1811" w:type="dxa"/>
            <w:vAlign w:val="center"/>
          </w:tcPr>
          <w:p w14:paraId="7181FD47">
            <w:pPr>
              <w:overflowPunct w:val="0"/>
              <w:spacing w:line="360" w:lineRule="auto"/>
              <w:jc w:val="center"/>
              <w:rPr>
                <w:rFonts w:ascii="宋体" w:hAnsi="宋体" w:cs="宋体"/>
                <w:bCs/>
                <w:color w:val="auto"/>
                <w:highlight w:val="none"/>
              </w:rPr>
            </w:pPr>
            <w:r>
              <w:rPr>
                <w:rFonts w:hint="eastAsia" w:ascii="宋体" w:hAnsi="宋体" w:cs="宋体"/>
                <w:bCs/>
                <w:color w:val="auto"/>
                <w:highlight w:val="none"/>
              </w:rPr>
              <w:t>项目名称</w:t>
            </w:r>
          </w:p>
        </w:tc>
        <w:tc>
          <w:tcPr>
            <w:tcW w:w="1440" w:type="dxa"/>
            <w:vAlign w:val="center"/>
          </w:tcPr>
          <w:p w14:paraId="6E1CE925">
            <w:pPr>
              <w:overflowPunct w:val="0"/>
              <w:spacing w:line="360" w:lineRule="auto"/>
              <w:jc w:val="center"/>
              <w:rPr>
                <w:rFonts w:ascii="宋体" w:hAnsi="宋体" w:cs="宋体"/>
                <w:bCs/>
                <w:color w:val="auto"/>
                <w:highlight w:val="none"/>
              </w:rPr>
            </w:pPr>
            <w:r>
              <w:rPr>
                <w:rFonts w:hint="eastAsia" w:ascii="宋体" w:hAnsi="宋体" w:cs="宋体"/>
                <w:bCs/>
                <w:color w:val="auto"/>
                <w:highlight w:val="none"/>
              </w:rPr>
              <w:t>合同金额</w:t>
            </w:r>
          </w:p>
        </w:tc>
        <w:tc>
          <w:tcPr>
            <w:tcW w:w="1440" w:type="dxa"/>
            <w:vAlign w:val="center"/>
          </w:tcPr>
          <w:p w14:paraId="30C5CBE1">
            <w:pPr>
              <w:overflowPunct w:val="0"/>
              <w:spacing w:line="360" w:lineRule="auto"/>
              <w:jc w:val="center"/>
              <w:rPr>
                <w:rFonts w:ascii="宋体" w:hAnsi="宋体" w:cs="宋体"/>
                <w:bCs/>
                <w:color w:val="auto"/>
                <w:highlight w:val="none"/>
              </w:rPr>
            </w:pPr>
            <w:r>
              <w:rPr>
                <w:rFonts w:hint="eastAsia" w:ascii="宋体" w:hAnsi="宋体" w:cs="宋体"/>
                <w:bCs/>
                <w:color w:val="auto"/>
                <w:highlight w:val="none"/>
              </w:rPr>
              <w:t>签订时间</w:t>
            </w:r>
          </w:p>
        </w:tc>
        <w:tc>
          <w:tcPr>
            <w:tcW w:w="1971" w:type="dxa"/>
            <w:vAlign w:val="center"/>
          </w:tcPr>
          <w:p w14:paraId="764BA083">
            <w:pPr>
              <w:overflowPunct w:val="0"/>
              <w:spacing w:line="360" w:lineRule="auto"/>
              <w:jc w:val="center"/>
              <w:rPr>
                <w:rFonts w:ascii="宋体" w:hAnsi="宋体" w:cs="宋体"/>
                <w:bCs/>
                <w:color w:val="auto"/>
                <w:highlight w:val="none"/>
              </w:rPr>
            </w:pPr>
            <w:r>
              <w:rPr>
                <w:rFonts w:hint="eastAsia" w:ascii="宋体" w:hAnsi="宋体" w:cs="宋体"/>
                <w:bCs/>
                <w:color w:val="auto"/>
                <w:highlight w:val="none"/>
              </w:rPr>
              <w:t>业主</w:t>
            </w:r>
          </w:p>
        </w:tc>
        <w:tc>
          <w:tcPr>
            <w:tcW w:w="1418" w:type="dxa"/>
            <w:vAlign w:val="center"/>
          </w:tcPr>
          <w:p w14:paraId="3740F040">
            <w:pPr>
              <w:overflowPunct w:val="0"/>
              <w:spacing w:line="360" w:lineRule="auto"/>
              <w:jc w:val="center"/>
              <w:rPr>
                <w:rFonts w:ascii="宋体" w:hAnsi="宋体" w:cs="宋体"/>
                <w:bCs/>
                <w:color w:val="auto"/>
                <w:highlight w:val="none"/>
              </w:rPr>
            </w:pPr>
            <w:r>
              <w:rPr>
                <w:rFonts w:hint="eastAsia" w:ascii="宋体" w:hAnsi="宋体" w:cs="宋体"/>
                <w:bCs/>
                <w:color w:val="auto"/>
                <w:highlight w:val="none"/>
              </w:rPr>
              <w:t>联系方式</w:t>
            </w:r>
          </w:p>
        </w:tc>
      </w:tr>
      <w:tr w14:paraId="637CE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5CF58495">
            <w:pPr>
              <w:overflowPunct w:val="0"/>
              <w:spacing w:line="360" w:lineRule="auto"/>
              <w:rPr>
                <w:rFonts w:ascii="宋体" w:hAnsi="宋体" w:cs="宋体"/>
                <w:bCs/>
                <w:color w:val="auto"/>
                <w:highlight w:val="none"/>
              </w:rPr>
            </w:pPr>
          </w:p>
        </w:tc>
        <w:tc>
          <w:tcPr>
            <w:tcW w:w="1811" w:type="dxa"/>
          </w:tcPr>
          <w:p w14:paraId="62BF2BFB">
            <w:pPr>
              <w:overflowPunct w:val="0"/>
              <w:spacing w:line="360" w:lineRule="auto"/>
              <w:rPr>
                <w:rFonts w:ascii="宋体" w:hAnsi="宋体" w:cs="宋体"/>
                <w:bCs/>
                <w:color w:val="auto"/>
                <w:highlight w:val="none"/>
              </w:rPr>
            </w:pPr>
          </w:p>
        </w:tc>
        <w:tc>
          <w:tcPr>
            <w:tcW w:w="1440" w:type="dxa"/>
          </w:tcPr>
          <w:p w14:paraId="470B6B4C">
            <w:pPr>
              <w:overflowPunct w:val="0"/>
              <w:spacing w:line="360" w:lineRule="auto"/>
              <w:rPr>
                <w:rFonts w:ascii="宋体" w:hAnsi="宋体" w:cs="宋体"/>
                <w:bCs/>
                <w:color w:val="auto"/>
                <w:highlight w:val="none"/>
              </w:rPr>
            </w:pPr>
          </w:p>
        </w:tc>
        <w:tc>
          <w:tcPr>
            <w:tcW w:w="1440" w:type="dxa"/>
          </w:tcPr>
          <w:p w14:paraId="1408B83F">
            <w:pPr>
              <w:overflowPunct w:val="0"/>
              <w:spacing w:line="360" w:lineRule="auto"/>
              <w:rPr>
                <w:rFonts w:ascii="宋体" w:hAnsi="宋体" w:cs="宋体"/>
                <w:bCs/>
                <w:color w:val="auto"/>
                <w:highlight w:val="none"/>
              </w:rPr>
            </w:pPr>
          </w:p>
        </w:tc>
        <w:tc>
          <w:tcPr>
            <w:tcW w:w="1971" w:type="dxa"/>
          </w:tcPr>
          <w:p w14:paraId="0071678F">
            <w:pPr>
              <w:overflowPunct w:val="0"/>
              <w:spacing w:line="360" w:lineRule="auto"/>
              <w:rPr>
                <w:rFonts w:ascii="宋体" w:hAnsi="宋体" w:cs="宋体"/>
                <w:bCs/>
                <w:color w:val="auto"/>
                <w:highlight w:val="none"/>
              </w:rPr>
            </w:pPr>
          </w:p>
        </w:tc>
        <w:tc>
          <w:tcPr>
            <w:tcW w:w="1418" w:type="dxa"/>
          </w:tcPr>
          <w:p w14:paraId="5F6DCAE3">
            <w:pPr>
              <w:overflowPunct w:val="0"/>
              <w:spacing w:line="360" w:lineRule="auto"/>
              <w:rPr>
                <w:rFonts w:ascii="宋体" w:hAnsi="宋体" w:cs="宋体"/>
                <w:bCs/>
                <w:color w:val="auto"/>
                <w:highlight w:val="none"/>
              </w:rPr>
            </w:pPr>
          </w:p>
        </w:tc>
      </w:tr>
      <w:tr w14:paraId="63EF3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694DA3FE">
            <w:pPr>
              <w:overflowPunct w:val="0"/>
              <w:spacing w:line="360" w:lineRule="auto"/>
              <w:rPr>
                <w:rFonts w:ascii="宋体" w:hAnsi="宋体" w:cs="宋体"/>
                <w:bCs/>
                <w:color w:val="auto"/>
                <w:highlight w:val="none"/>
              </w:rPr>
            </w:pPr>
          </w:p>
        </w:tc>
        <w:tc>
          <w:tcPr>
            <w:tcW w:w="1811" w:type="dxa"/>
          </w:tcPr>
          <w:p w14:paraId="01879FDE">
            <w:pPr>
              <w:overflowPunct w:val="0"/>
              <w:spacing w:line="360" w:lineRule="auto"/>
              <w:rPr>
                <w:rFonts w:ascii="宋体" w:hAnsi="宋体" w:cs="宋体"/>
                <w:bCs/>
                <w:color w:val="auto"/>
                <w:highlight w:val="none"/>
              </w:rPr>
            </w:pPr>
          </w:p>
        </w:tc>
        <w:tc>
          <w:tcPr>
            <w:tcW w:w="1440" w:type="dxa"/>
          </w:tcPr>
          <w:p w14:paraId="03A5C1BA">
            <w:pPr>
              <w:overflowPunct w:val="0"/>
              <w:spacing w:line="360" w:lineRule="auto"/>
              <w:rPr>
                <w:rFonts w:ascii="宋体" w:hAnsi="宋体" w:cs="宋体"/>
                <w:bCs/>
                <w:color w:val="auto"/>
                <w:highlight w:val="none"/>
              </w:rPr>
            </w:pPr>
          </w:p>
        </w:tc>
        <w:tc>
          <w:tcPr>
            <w:tcW w:w="1440" w:type="dxa"/>
          </w:tcPr>
          <w:p w14:paraId="18649E3A">
            <w:pPr>
              <w:overflowPunct w:val="0"/>
              <w:spacing w:line="360" w:lineRule="auto"/>
              <w:rPr>
                <w:rFonts w:ascii="宋体" w:hAnsi="宋体" w:cs="宋体"/>
                <w:bCs/>
                <w:color w:val="auto"/>
                <w:highlight w:val="none"/>
              </w:rPr>
            </w:pPr>
          </w:p>
        </w:tc>
        <w:tc>
          <w:tcPr>
            <w:tcW w:w="1971" w:type="dxa"/>
          </w:tcPr>
          <w:p w14:paraId="3C67ED0E">
            <w:pPr>
              <w:overflowPunct w:val="0"/>
              <w:spacing w:line="360" w:lineRule="auto"/>
              <w:rPr>
                <w:rFonts w:ascii="宋体" w:hAnsi="宋体" w:cs="宋体"/>
                <w:bCs/>
                <w:color w:val="auto"/>
                <w:highlight w:val="none"/>
              </w:rPr>
            </w:pPr>
          </w:p>
        </w:tc>
        <w:tc>
          <w:tcPr>
            <w:tcW w:w="1418" w:type="dxa"/>
          </w:tcPr>
          <w:p w14:paraId="2FFA050F">
            <w:pPr>
              <w:overflowPunct w:val="0"/>
              <w:spacing w:line="360" w:lineRule="auto"/>
              <w:rPr>
                <w:rFonts w:ascii="宋体" w:hAnsi="宋体" w:cs="宋体"/>
                <w:bCs/>
                <w:color w:val="auto"/>
                <w:highlight w:val="none"/>
              </w:rPr>
            </w:pPr>
          </w:p>
        </w:tc>
      </w:tr>
      <w:tr w14:paraId="52A2C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66C6506F">
            <w:pPr>
              <w:overflowPunct w:val="0"/>
              <w:spacing w:line="360" w:lineRule="auto"/>
              <w:rPr>
                <w:rFonts w:ascii="宋体" w:hAnsi="宋体" w:cs="宋体"/>
                <w:bCs/>
                <w:color w:val="auto"/>
                <w:highlight w:val="none"/>
              </w:rPr>
            </w:pPr>
          </w:p>
        </w:tc>
        <w:tc>
          <w:tcPr>
            <w:tcW w:w="1811" w:type="dxa"/>
          </w:tcPr>
          <w:p w14:paraId="2178A43A">
            <w:pPr>
              <w:overflowPunct w:val="0"/>
              <w:spacing w:line="360" w:lineRule="auto"/>
              <w:rPr>
                <w:rFonts w:ascii="宋体" w:hAnsi="宋体" w:cs="宋体"/>
                <w:bCs/>
                <w:color w:val="auto"/>
                <w:highlight w:val="none"/>
              </w:rPr>
            </w:pPr>
          </w:p>
        </w:tc>
        <w:tc>
          <w:tcPr>
            <w:tcW w:w="1440" w:type="dxa"/>
          </w:tcPr>
          <w:p w14:paraId="4528E64C">
            <w:pPr>
              <w:overflowPunct w:val="0"/>
              <w:spacing w:line="360" w:lineRule="auto"/>
              <w:rPr>
                <w:rFonts w:ascii="宋体" w:hAnsi="宋体" w:cs="宋体"/>
                <w:bCs/>
                <w:color w:val="auto"/>
                <w:highlight w:val="none"/>
              </w:rPr>
            </w:pPr>
          </w:p>
        </w:tc>
        <w:tc>
          <w:tcPr>
            <w:tcW w:w="1440" w:type="dxa"/>
          </w:tcPr>
          <w:p w14:paraId="49AF071D">
            <w:pPr>
              <w:overflowPunct w:val="0"/>
              <w:spacing w:line="360" w:lineRule="auto"/>
              <w:rPr>
                <w:rFonts w:ascii="宋体" w:hAnsi="宋体" w:cs="宋体"/>
                <w:bCs/>
                <w:color w:val="auto"/>
                <w:highlight w:val="none"/>
              </w:rPr>
            </w:pPr>
          </w:p>
        </w:tc>
        <w:tc>
          <w:tcPr>
            <w:tcW w:w="1971" w:type="dxa"/>
          </w:tcPr>
          <w:p w14:paraId="39778AC2">
            <w:pPr>
              <w:overflowPunct w:val="0"/>
              <w:spacing w:line="360" w:lineRule="auto"/>
              <w:rPr>
                <w:rFonts w:ascii="宋体" w:hAnsi="宋体" w:cs="宋体"/>
                <w:bCs/>
                <w:color w:val="auto"/>
                <w:highlight w:val="none"/>
              </w:rPr>
            </w:pPr>
          </w:p>
        </w:tc>
        <w:tc>
          <w:tcPr>
            <w:tcW w:w="1418" w:type="dxa"/>
          </w:tcPr>
          <w:p w14:paraId="26B64314">
            <w:pPr>
              <w:overflowPunct w:val="0"/>
              <w:spacing w:line="360" w:lineRule="auto"/>
              <w:rPr>
                <w:rFonts w:ascii="宋体" w:hAnsi="宋体" w:cs="宋体"/>
                <w:bCs/>
                <w:color w:val="auto"/>
                <w:highlight w:val="none"/>
              </w:rPr>
            </w:pPr>
          </w:p>
        </w:tc>
      </w:tr>
      <w:tr w14:paraId="5D664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75D33E59">
            <w:pPr>
              <w:overflowPunct w:val="0"/>
              <w:spacing w:line="360" w:lineRule="auto"/>
              <w:rPr>
                <w:rFonts w:ascii="宋体" w:hAnsi="宋体" w:cs="宋体"/>
                <w:bCs/>
                <w:color w:val="auto"/>
                <w:highlight w:val="none"/>
              </w:rPr>
            </w:pPr>
          </w:p>
        </w:tc>
        <w:tc>
          <w:tcPr>
            <w:tcW w:w="1811" w:type="dxa"/>
          </w:tcPr>
          <w:p w14:paraId="35355E5A">
            <w:pPr>
              <w:overflowPunct w:val="0"/>
              <w:spacing w:line="360" w:lineRule="auto"/>
              <w:rPr>
                <w:rFonts w:ascii="宋体" w:hAnsi="宋体" w:cs="宋体"/>
                <w:bCs/>
                <w:color w:val="auto"/>
                <w:highlight w:val="none"/>
              </w:rPr>
            </w:pPr>
          </w:p>
        </w:tc>
        <w:tc>
          <w:tcPr>
            <w:tcW w:w="1440" w:type="dxa"/>
          </w:tcPr>
          <w:p w14:paraId="59DAAA16">
            <w:pPr>
              <w:overflowPunct w:val="0"/>
              <w:spacing w:line="360" w:lineRule="auto"/>
              <w:rPr>
                <w:rFonts w:ascii="宋体" w:hAnsi="宋体" w:cs="宋体"/>
                <w:bCs/>
                <w:color w:val="auto"/>
                <w:highlight w:val="none"/>
              </w:rPr>
            </w:pPr>
          </w:p>
        </w:tc>
        <w:tc>
          <w:tcPr>
            <w:tcW w:w="1440" w:type="dxa"/>
          </w:tcPr>
          <w:p w14:paraId="24215533">
            <w:pPr>
              <w:overflowPunct w:val="0"/>
              <w:spacing w:line="360" w:lineRule="auto"/>
              <w:rPr>
                <w:rFonts w:ascii="宋体" w:hAnsi="宋体" w:cs="宋体"/>
                <w:bCs/>
                <w:color w:val="auto"/>
                <w:highlight w:val="none"/>
              </w:rPr>
            </w:pPr>
          </w:p>
        </w:tc>
        <w:tc>
          <w:tcPr>
            <w:tcW w:w="1971" w:type="dxa"/>
          </w:tcPr>
          <w:p w14:paraId="68828EC9">
            <w:pPr>
              <w:overflowPunct w:val="0"/>
              <w:spacing w:line="360" w:lineRule="auto"/>
              <w:rPr>
                <w:rFonts w:ascii="宋体" w:hAnsi="宋体" w:cs="宋体"/>
                <w:bCs/>
                <w:color w:val="auto"/>
                <w:highlight w:val="none"/>
              </w:rPr>
            </w:pPr>
          </w:p>
        </w:tc>
        <w:tc>
          <w:tcPr>
            <w:tcW w:w="1418" w:type="dxa"/>
          </w:tcPr>
          <w:p w14:paraId="162BD2BE">
            <w:pPr>
              <w:overflowPunct w:val="0"/>
              <w:spacing w:line="360" w:lineRule="auto"/>
              <w:rPr>
                <w:rFonts w:ascii="宋体" w:hAnsi="宋体" w:cs="宋体"/>
                <w:bCs/>
                <w:color w:val="auto"/>
                <w:highlight w:val="none"/>
              </w:rPr>
            </w:pPr>
          </w:p>
        </w:tc>
      </w:tr>
      <w:tr w14:paraId="4C917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040D4410">
            <w:pPr>
              <w:overflowPunct w:val="0"/>
              <w:spacing w:line="360" w:lineRule="auto"/>
              <w:rPr>
                <w:rFonts w:ascii="宋体" w:hAnsi="宋体" w:cs="宋体"/>
                <w:bCs/>
                <w:color w:val="auto"/>
                <w:highlight w:val="none"/>
              </w:rPr>
            </w:pPr>
          </w:p>
        </w:tc>
        <w:tc>
          <w:tcPr>
            <w:tcW w:w="1811" w:type="dxa"/>
          </w:tcPr>
          <w:p w14:paraId="4D1880BC">
            <w:pPr>
              <w:overflowPunct w:val="0"/>
              <w:spacing w:line="360" w:lineRule="auto"/>
              <w:rPr>
                <w:rFonts w:ascii="宋体" w:hAnsi="宋体" w:cs="宋体"/>
                <w:bCs/>
                <w:color w:val="auto"/>
                <w:highlight w:val="none"/>
              </w:rPr>
            </w:pPr>
          </w:p>
        </w:tc>
        <w:tc>
          <w:tcPr>
            <w:tcW w:w="1440" w:type="dxa"/>
          </w:tcPr>
          <w:p w14:paraId="1A074532">
            <w:pPr>
              <w:overflowPunct w:val="0"/>
              <w:spacing w:line="360" w:lineRule="auto"/>
              <w:rPr>
                <w:rFonts w:ascii="宋体" w:hAnsi="宋体" w:cs="宋体"/>
                <w:bCs/>
                <w:color w:val="auto"/>
                <w:highlight w:val="none"/>
              </w:rPr>
            </w:pPr>
          </w:p>
        </w:tc>
        <w:tc>
          <w:tcPr>
            <w:tcW w:w="1440" w:type="dxa"/>
          </w:tcPr>
          <w:p w14:paraId="5FDBECED">
            <w:pPr>
              <w:overflowPunct w:val="0"/>
              <w:spacing w:line="360" w:lineRule="auto"/>
              <w:rPr>
                <w:rFonts w:ascii="宋体" w:hAnsi="宋体" w:cs="宋体"/>
                <w:bCs/>
                <w:color w:val="auto"/>
                <w:highlight w:val="none"/>
              </w:rPr>
            </w:pPr>
          </w:p>
        </w:tc>
        <w:tc>
          <w:tcPr>
            <w:tcW w:w="1971" w:type="dxa"/>
          </w:tcPr>
          <w:p w14:paraId="0C71E0DF">
            <w:pPr>
              <w:overflowPunct w:val="0"/>
              <w:spacing w:line="360" w:lineRule="auto"/>
              <w:rPr>
                <w:rFonts w:ascii="宋体" w:hAnsi="宋体" w:cs="宋体"/>
                <w:bCs/>
                <w:color w:val="auto"/>
                <w:highlight w:val="none"/>
              </w:rPr>
            </w:pPr>
          </w:p>
        </w:tc>
        <w:tc>
          <w:tcPr>
            <w:tcW w:w="1418" w:type="dxa"/>
          </w:tcPr>
          <w:p w14:paraId="711C1B4B">
            <w:pPr>
              <w:overflowPunct w:val="0"/>
              <w:spacing w:line="360" w:lineRule="auto"/>
              <w:rPr>
                <w:rFonts w:ascii="宋体" w:hAnsi="宋体" w:cs="宋体"/>
                <w:bCs/>
                <w:color w:val="auto"/>
                <w:highlight w:val="none"/>
              </w:rPr>
            </w:pPr>
          </w:p>
        </w:tc>
      </w:tr>
      <w:tr w14:paraId="30FB2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276A63E7">
            <w:pPr>
              <w:overflowPunct w:val="0"/>
              <w:spacing w:line="360" w:lineRule="auto"/>
              <w:rPr>
                <w:rFonts w:ascii="宋体" w:hAnsi="宋体" w:cs="宋体"/>
                <w:bCs/>
                <w:color w:val="auto"/>
                <w:highlight w:val="none"/>
              </w:rPr>
            </w:pPr>
          </w:p>
        </w:tc>
        <w:tc>
          <w:tcPr>
            <w:tcW w:w="1811" w:type="dxa"/>
          </w:tcPr>
          <w:p w14:paraId="70D3E885">
            <w:pPr>
              <w:overflowPunct w:val="0"/>
              <w:spacing w:line="360" w:lineRule="auto"/>
              <w:rPr>
                <w:rFonts w:ascii="宋体" w:hAnsi="宋体" w:cs="宋体"/>
                <w:bCs/>
                <w:color w:val="auto"/>
                <w:highlight w:val="none"/>
              </w:rPr>
            </w:pPr>
          </w:p>
        </w:tc>
        <w:tc>
          <w:tcPr>
            <w:tcW w:w="1440" w:type="dxa"/>
          </w:tcPr>
          <w:p w14:paraId="65E0D7DE">
            <w:pPr>
              <w:overflowPunct w:val="0"/>
              <w:spacing w:line="360" w:lineRule="auto"/>
              <w:rPr>
                <w:rFonts w:ascii="宋体" w:hAnsi="宋体" w:cs="宋体"/>
                <w:bCs/>
                <w:color w:val="auto"/>
                <w:highlight w:val="none"/>
              </w:rPr>
            </w:pPr>
          </w:p>
        </w:tc>
        <w:tc>
          <w:tcPr>
            <w:tcW w:w="1440" w:type="dxa"/>
          </w:tcPr>
          <w:p w14:paraId="1B693D0B">
            <w:pPr>
              <w:overflowPunct w:val="0"/>
              <w:spacing w:line="360" w:lineRule="auto"/>
              <w:rPr>
                <w:rFonts w:ascii="宋体" w:hAnsi="宋体" w:cs="宋体"/>
                <w:bCs/>
                <w:color w:val="auto"/>
                <w:highlight w:val="none"/>
              </w:rPr>
            </w:pPr>
          </w:p>
        </w:tc>
        <w:tc>
          <w:tcPr>
            <w:tcW w:w="1971" w:type="dxa"/>
          </w:tcPr>
          <w:p w14:paraId="05E74973">
            <w:pPr>
              <w:overflowPunct w:val="0"/>
              <w:spacing w:line="360" w:lineRule="auto"/>
              <w:rPr>
                <w:rFonts w:ascii="宋体" w:hAnsi="宋体" w:cs="宋体"/>
                <w:bCs/>
                <w:color w:val="auto"/>
                <w:highlight w:val="none"/>
              </w:rPr>
            </w:pPr>
          </w:p>
        </w:tc>
        <w:tc>
          <w:tcPr>
            <w:tcW w:w="1418" w:type="dxa"/>
          </w:tcPr>
          <w:p w14:paraId="5879691D">
            <w:pPr>
              <w:overflowPunct w:val="0"/>
              <w:spacing w:line="360" w:lineRule="auto"/>
              <w:rPr>
                <w:rFonts w:ascii="宋体" w:hAnsi="宋体" w:cs="宋体"/>
                <w:bCs/>
                <w:color w:val="auto"/>
                <w:highlight w:val="none"/>
              </w:rPr>
            </w:pPr>
          </w:p>
        </w:tc>
      </w:tr>
      <w:tr w14:paraId="3E129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388F1E2D">
            <w:pPr>
              <w:overflowPunct w:val="0"/>
              <w:spacing w:line="360" w:lineRule="auto"/>
              <w:rPr>
                <w:rFonts w:ascii="宋体" w:hAnsi="宋体" w:cs="宋体"/>
                <w:bCs/>
                <w:color w:val="auto"/>
                <w:highlight w:val="none"/>
              </w:rPr>
            </w:pPr>
          </w:p>
        </w:tc>
        <w:tc>
          <w:tcPr>
            <w:tcW w:w="1811" w:type="dxa"/>
          </w:tcPr>
          <w:p w14:paraId="7E8CE935">
            <w:pPr>
              <w:overflowPunct w:val="0"/>
              <w:spacing w:line="360" w:lineRule="auto"/>
              <w:rPr>
                <w:rFonts w:ascii="宋体" w:hAnsi="宋体" w:cs="宋体"/>
                <w:bCs/>
                <w:color w:val="auto"/>
                <w:highlight w:val="none"/>
              </w:rPr>
            </w:pPr>
          </w:p>
        </w:tc>
        <w:tc>
          <w:tcPr>
            <w:tcW w:w="1440" w:type="dxa"/>
          </w:tcPr>
          <w:p w14:paraId="7A70BEE2">
            <w:pPr>
              <w:overflowPunct w:val="0"/>
              <w:spacing w:line="360" w:lineRule="auto"/>
              <w:rPr>
                <w:rFonts w:ascii="宋体" w:hAnsi="宋体" w:cs="宋体"/>
                <w:bCs/>
                <w:color w:val="auto"/>
                <w:highlight w:val="none"/>
              </w:rPr>
            </w:pPr>
          </w:p>
        </w:tc>
        <w:tc>
          <w:tcPr>
            <w:tcW w:w="1440" w:type="dxa"/>
          </w:tcPr>
          <w:p w14:paraId="1E3BC675">
            <w:pPr>
              <w:overflowPunct w:val="0"/>
              <w:spacing w:line="360" w:lineRule="auto"/>
              <w:rPr>
                <w:rFonts w:ascii="宋体" w:hAnsi="宋体" w:cs="宋体"/>
                <w:bCs/>
                <w:color w:val="auto"/>
                <w:highlight w:val="none"/>
              </w:rPr>
            </w:pPr>
          </w:p>
        </w:tc>
        <w:tc>
          <w:tcPr>
            <w:tcW w:w="1971" w:type="dxa"/>
          </w:tcPr>
          <w:p w14:paraId="2A9E9916">
            <w:pPr>
              <w:overflowPunct w:val="0"/>
              <w:spacing w:line="360" w:lineRule="auto"/>
              <w:rPr>
                <w:rFonts w:ascii="宋体" w:hAnsi="宋体" w:cs="宋体"/>
                <w:bCs/>
                <w:color w:val="auto"/>
                <w:highlight w:val="none"/>
              </w:rPr>
            </w:pPr>
          </w:p>
        </w:tc>
        <w:tc>
          <w:tcPr>
            <w:tcW w:w="1418" w:type="dxa"/>
          </w:tcPr>
          <w:p w14:paraId="4F8C635C">
            <w:pPr>
              <w:overflowPunct w:val="0"/>
              <w:spacing w:line="360" w:lineRule="auto"/>
              <w:rPr>
                <w:rFonts w:ascii="宋体" w:hAnsi="宋体" w:cs="宋体"/>
                <w:bCs/>
                <w:color w:val="auto"/>
                <w:highlight w:val="none"/>
              </w:rPr>
            </w:pPr>
          </w:p>
        </w:tc>
      </w:tr>
      <w:tr w14:paraId="3CA4C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46835C9B">
            <w:pPr>
              <w:overflowPunct w:val="0"/>
              <w:spacing w:line="360" w:lineRule="auto"/>
              <w:rPr>
                <w:rFonts w:ascii="宋体" w:hAnsi="宋体" w:cs="宋体"/>
                <w:bCs/>
                <w:color w:val="auto"/>
                <w:highlight w:val="none"/>
              </w:rPr>
            </w:pPr>
          </w:p>
        </w:tc>
        <w:tc>
          <w:tcPr>
            <w:tcW w:w="1811" w:type="dxa"/>
          </w:tcPr>
          <w:p w14:paraId="64FFCC3F">
            <w:pPr>
              <w:overflowPunct w:val="0"/>
              <w:spacing w:line="360" w:lineRule="auto"/>
              <w:rPr>
                <w:rFonts w:ascii="宋体" w:hAnsi="宋体" w:cs="宋体"/>
                <w:bCs/>
                <w:color w:val="auto"/>
                <w:highlight w:val="none"/>
              </w:rPr>
            </w:pPr>
          </w:p>
        </w:tc>
        <w:tc>
          <w:tcPr>
            <w:tcW w:w="1440" w:type="dxa"/>
          </w:tcPr>
          <w:p w14:paraId="7FD7972D">
            <w:pPr>
              <w:overflowPunct w:val="0"/>
              <w:spacing w:line="360" w:lineRule="auto"/>
              <w:rPr>
                <w:rFonts w:ascii="宋体" w:hAnsi="宋体" w:cs="宋体"/>
                <w:bCs/>
                <w:color w:val="auto"/>
                <w:highlight w:val="none"/>
              </w:rPr>
            </w:pPr>
          </w:p>
        </w:tc>
        <w:tc>
          <w:tcPr>
            <w:tcW w:w="1440" w:type="dxa"/>
          </w:tcPr>
          <w:p w14:paraId="7D9E8814">
            <w:pPr>
              <w:overflowPunct w:val="0"/>
              <w:spacing w:line="360" w:lineRule="auto"/>
              <w:rPr>
                <w:rFonts w:ascii="宋体" w:hAnsi="宋体" w:cs="宋体"/>
                <w:bCs/>
                <w:color w:val="auto"/>
                <w:highlight w:val="none"/>
              </w:rPr>
            </w:pPr>
          </w:p>
        </w:tc>
        <w:tc>
          <w:tcPr>
            <w:tcW w:w="1971" w:type="dxa"/>
          </w:tcPr>
          <w:p w14:paraId="270A744C">
            <w:pPr>
              <w:overflowPunct w:val="0"/>
              <w:spacing w:line="360" w:lineRule="auto"/>
              <w:rPr>
                <w:rFonts w:ascii="宋体" w:hAnsi="宋体" w:cs="宋体"/>
                <w:bCs/>
                <w:color w:val="auto"/>
                <w:highlight w:val="none"/>
              </w:rPr>
            </w:pPr>
          </w:p>
        </w:tc>
        <w:tc>
          <w:tcPr>
            <w:tcW w:w="1418" w:type="dxa"/>
          </w:tcPr>
          <w:p w14:paraId="20970AE8">
            <w:pPr>
              <w:overflowPunct w:val="0"/>
              <w:spacing w:line="360" w:lineRule="auto"/>
              <w:rPr>
                <w:rFonts w:ascii="宋体" w:hAnsi="宋体" w:cs="宋体"/>
                <w:bCs/>
                <w:color w:val="auto"/>
                <w:highlight w:val="none"/>
              </w:rPr>
            </w:pPr>
          </w:p>
        </w:tc>
      </w:tr>
      <w:tr w14:paraId="37E3A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17E7E3F0">
            <w:pPr>
              <w:overflowPunct w:val="0"/>
              <w:spacing w:line="360" w:lineRule="auto"/>
              <w:rPr>
                <w:rFonts w:ascii="宋体" w:hAnsi="宋体" w:cs="宋体"/>
                <w:bCs/>
                <w:color w:val="auto"/>
                <w:highlight w:val="none"/>
              </w:rPr>
            </w:pPr>
          </w:p>
        </w:tc>
        <w:tc>
          <w:tcPr>
            <w:tcW w:w="1811" w:type="dxa"/>
          </w:tcPr>
          <w:p w14:paraId="33C302F9">
            <w:pPr>
              <w:overflowPunct w:val="0"/>
              <w:spacing w:line="360" w:lineRule="auto"/>
              <w:rPr>
                <w:rFonts w:ascii="宋体" w:hAnsi="宋体" w:cs="宋体"/>
                <w:bCs/>
                <w:color w:val="auto"/>
                <w:highlight w:val="none"/>
              </w:rPr>
            </w:pPr>
          </w:p>
        </w:tc>
        <w:tc>
          <w:tcPr>
            <w:tcW w:w="1440" w:type="dxa"/>
          </w:tcPr>
          <w:p w14:paraId="61A68BBF">
            <w:pPr>
              <w:overflowPunct w:val="0"/>
              <w:spacing w:line="360" w:lineRule="auto"/>
              <w:rPr>
                <w:rFonts w:ascii="宋体" w:hAnsi="宋体" w:cs="宋体"/>
                <w:bCs/>
                <w:color w:val="auto"/>
                <w:highlight w:val="none"/>
              </w:rPr>
            </w:pPr>
          </w:p>
        </w:tc>
        <w:tc>
          <w:tcPr>
            <w:tcW w:w="1440" w:type="dxa"/>
          </w:tcPr>
          <w:p w14:paraId="0D2B5E68">
            <w:pPr>
              <w:overflowPunct w:val="0"/>
              <w:spacing w:line="360" w:lineRule="auto"/>
              <w:rPr>
                <w:rFonts w:ascii="宋体" w:hAnsi="宋体" w:cs="宋体"/>
                <w:bCs/>
                <w:color w:val="auto"/>
                <w:highlight w:val="none"/>
              </w:rPr>
            </w:pPr>
          </w:p>
        </w:tc>
        <w:tc>
          <w:tcPr>
            <w:tcW w:w="1971" w:type="dxa"/>
          </w:tcPr>
          <w:p w14:paraId="3EC93712">
            <w:pPr>
              <w:overflowPunct w:val="0"/>
              <w:spacing w:line="360" w:lineRule="auto"/>
              <w:rPr>
                <w:rFonts w:ascii="宋体" w:hAnsi="宋体" w:cs="宋体"/>
                <w:bCs/>
                <w:color w:val="auto"/>
                <w:highlight w:val="none"/>
              </w:rPr>
            </w:pPr>
          </w:p>
        </w:tc>
        <w:tc>
          <w:tcPr>
            <w:tcW w:w="1418" w:type="dxa"/>
          </w:tcPr>
          <w:p w14:paraId="39925B2B">
            <w:pPr>
              <w:overflowPunct w:val="0"/>
              <w:spacing w:line="360" w:lineRule="auto"/>
              <w:rPr>
                <w:rFonts w:ascii="宋体" w:hAnsi="宋体" w:cs="宋体"/>
                <w:bCs/>
                <w:color w:val="auto"/>
                <w:highlight w:val="none"/>
              </w:rPr>
            </w:pPr>
          </w:p>
        </w:tc>
      </w:tr>
      <w:tr w14:paraId="24215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7CF1E232">
            <w:pPr>
              <w:overflowPunct w:val="0"/>
              <w:spacing w:line="360" w:lineRule="auto"/>
              <w:rPr>
                <w:rFonts w:ascii="宋体" w:hAnsi="宋体" w:cs="宋体"/>
                <w:bCs/>
                <w:color w:val="auto"/>
                <w:highlight w:val="none"/>
              </w:rPr>
            </w:pPr>
          </w:p>
        </w:tc>
        <w:tc>
          <w:tcPr>
            <w:tcW w:w="1811" w:type="dxa"/>
          </w:tcPr>
          <w:p w14:paraId="1923C3A6">
            <w:pPr>
              <w:overflowPunct w:val="0"/>
              <w:spacing w:line="360" w:lineRule="auto"/>
              <w:rPr>
                <w:rFonts w:ascii="宋体" w:hAnsi="宋体" w:cs="宋体"/>
                <w:bCs/>
                <w:color w:val="auto"/>
                <w:highlight w:val="none"/>
              </w:rPr>
            </w:pPr>
          </w:p>
        </w:tc>
        <w:tc>
          <w:tcPr>
            <w:tcW w:w="1440" w:type="dxa"/>
          </w:tcPr>
          <w:p w14:paraId="7E32B227">
            <w:pPr>
              <w:overflowPunct w:val="0"/>
              <w:spacing w:line="360" w:lineRule="auto"/>
              <w:rPr>
                <w:rFonts w:ascii="宋体" w:hAnsi="宋体" w:cs="宋体"/>
                <w:bCs/>
                <w:color w:val="auto"/>
                <w:highlight w:val="none"/>
              </w:rPr>
            </w:pPr>
          </w:p>
        </w:tc>
        <w:tc>
          <w:tcPr>
            <w:tcW w:w="1440" w:type="dxa"/>
          </w:tcPr>
          <w:p w14:paraId="4D8AD5DB">
            <w:pPr>
              <w:overflowPunct w:val="0"/>
              <w:spacing w:line="360" w:lineRule="auto"/>
              <w:rPr>
                <w:rFonts w:ascii="宋体" w:hAnsi="宋体" w:cs="宋体"/>
                <w:bCs/>
                <w:color w:val="auto"/>
                <w:highlight w:val="none"/>
              </w:rPr>
            </w:pPr>
          </w:p>
        </w:tc>
        <w:tc>
          <w:tcPr>
            <w:tcW w:w="1971" w:type="dxa"/>
          </w:tcPr>
          <w:p w14:paraId="4E004155">
            <w:pPr>
              <w:overflowPunct w:val="0"/>
              <w:spacing w:line="360" w:lineRule="auto"/>
              <w:rPr>
                <w:rFonts w:ascii="宋体" w:hAnsi="宋体" w:cs="宋体"/>
                <w:bCs/>
                <w:color w:val="auto"/>
                <w:highlight w:val="none"/>
              </w:rPr>
            </w:pPr>
          </w:p>
        </w:tc>
        <w:tc>
          <w:tcPr>
            <w:tcW w:w="1418" w:type="dxa"/>
          </w:tcPr>
          <w:p w14:paraId="3BEDF6D8">
            <w:pPr>
              <w:overflowPunct w:val="0"/>
              <w:spacing w:line="360" w:lineRule="auto"/>
              <w:rPr>
                <w:rFonts w:ascii="宋体" w:hAnsi="宋体" w:cs="宋体"/>
                <w:bCs/>
                <w:color w:val="auto"/>
                <w:highlight w:val="none"/>
              </w:rPr>
            </w:pPr>
          </w:p>
        </w:tc>
      </w:tr>
    </w:tbl>
    <w:p w14:paraId="6D938D61">
      <w:pPr>
        <w:spacing w:before="156" w:beforeLines="50" w:after="156" w:afterLines="50" w:line="300" w:lineRule="exact"/>
        <w:ind w:firstLine="482" w:firstLineChars="200"/>
        <w:rPr>
          <w:rFonts w:ascii="宋体" w:hAnsi="宋体" w:cs="宋体"/>
          <w:b/>
          <w:bCs/>
          <w:color w:val="auto"/>
          <w:highlight w:val="none"/>
          <w:u w:val="single"/>
        </w:rPr>
      </w:pPr>
      <w:r>
        <w:rPr>
          <w:rFonts w:hint="eastAsia" w:ascii="宋体" w:hAnsi="宋体" w:cs="宋体"/>
          <w:b/>
          <w:bCs/>
          <w:color w:val="auto"/>
          <w:highlight w:val="none"/>
          <w:u w:val="single"/>
        </w:rPr>
        <w:t>须提供合同复印等证明其真实性的文件并加盖单位公章。</w:t>
      </w:r>
    </w:p>
    <w:p w14:paraId="69661192">
      <w:pPr>
        <w:spacing w:before="156" w:beforeLines="50" w:after="156" w:afterLines="50" w:line="300" w:lineRule="exact"/>
        <w:ind w:firstLine="480" w:firstLineChars="200"/>
        <w:rPr>
          <w:rFonts w:ascii="宋体" w:hAnsi="宋体" w:cs="宋体"/>
          <w:color w:val="auto"/>
          <w:highlight w:val="none"/>
        </w:rPr>
      </w:pPr>
      <w:r>
        <w:rPr>
          <w:rFonts w:hint="eastAsia" w:ascii="宋体" w:hAnsi="宋体" w:cs="宋体"/>
          <w:color w:val="auto"/>
          <w:highlight w:val="none"/>
        </w:rPr>
        <w:t>供应商（盖章）：</w:t>
      </w:r>
    </w:p>
    <w:p w14:paraId="73E11A88">
      <w:pPr>
        <w:spacing w:before="156" w:beforeLines="50" w:after="156" w:afterLines="50" w:line="300" w:lineRule="exact"/>
        <w:ind w:firstLine="480" w:firstLineChars="200"/>
        <w:rPr>
          <w:rFonts w:ascii="宋体" w:hAnsi="宋体" w:cs="宋体"/>
          <w:color w:val="auto"/>
          <w:highlight w:val="none"/>
        </w:rPr>
      </w:pPr>
      <w:r>
        <w:rPr>
          <w:rFonts w:hint="eastAsia" w:ascii="宋体" w:hAnsi="宋体" w:cs="宋体"/>
          <w:color w:val="auto"/>
          <w:highlight w:val="none"/>
        </w:rPr>
        <w:t>授权代表（签字）：</w:t>
      </w:r>
    </w:p>
    <w:p w14:paraId="2E7D3F27">
      <w:pPr>
        <w:spacing w:line="400" w:lineRule="exact"/>
        <w:ind w:firstLine="480" w:firstLineChars="200"/>
        <w:jc w:val="left"/>
        <w:rPr>
          <w:rFonts w:ascii="宋体" w:hAnsi="宋体" w:cs="宋体"/>
          <w:color w:val="auto"/>
          <w:highlight w:val="none"/>
        </w:rPr>
      </w:pPr>
      <w:r>
        <w:rPr>
          <w:rFonts w:hint="eastAsia" w:ascii="宋体" w:hAnsi="宋体" w:cs="宋体"/>
          <w:color w:val="auto"/>
          <w:highlight w:val="none"/>
        </w:rPr>
        <w:t xml:space="preserve">日期： </w:t>
      </w:r>
    </w:p>
    <w:p w14:paraId="46055FFD">
      <w:pPr>
        <w:spacing w:line="400" w:lineRule="exact"/>
        <w:jc w:val="left"/>
        <w:rPr>
          <w:rFonts w:ascii="宋体" w:hAnsi="宋体" w:cs="宋体"/>
          <w:color w:val="auto"/>
          <w:sz w:val="28"/>
          <w:szCs w:val="28"/>
          <w:highlight w:val="none"/>
        </w:rPr>
      </w:pPr>
    </w:p>
    <w:p w14:paraId="61A3D314">
      <w:pPr>
        <w:spacing w:line="400" w:lineRule="exact"/>
        <w:jc w:val="left"/>
        <w:rPr>
          <w:rFonts w:ascii="宋体" w:hAnsi="宋体" w:cs="宋体"/>
          <w:color w:val="auto"/>
          <w:sz w:val="28"/>
          <w:szCs w:val="28"/>
          <w:highlight w:val="none"/>
        </w:rPr>
      </w:pPr>
    </w:p>
    <w:p w14:paraId="1FDF941C">
      <w:pPr>
        <w:spacing w:line="400" w:lineRule="exact"/>
        <w:jc w:val="left"/>
        <w:rPr>
          <w:rFonts w:ascii="宋体" w:hAnsi="宋体" w:cs="宋体"/>
          <w:color w:val="auto"/>
          <w:sz w:val="28"/>
          <w:szCs w:val="28"/>
          <w:highlight w:val="none"/>
        </w:rPr>
      </w:pPr>
    </w:p>
    <w:p w14:paraId="0AFE0021">
      <w:pPr>
        <w:spacing w:line="400" w:lineRule="exact"/>
        <w:jc w:val="left"/>
        <w:rPr>
          <w:rFonts w:ascii="宋体" w:hAnsi="宋体" w:cs="宋体"/>
          <w:color w:val="auto"/>
          <w:sz w:val="28"/>
          <w:szCs w:val="28"/>
          <w:highlight w:val="none"/>
        </w:rPr>
      </w:pPr>
    </w:p>
    <w:p w14:paraId="0B4928DB">
      <w:pPr>
        <w:spacing w:line="400" w:lineRule="exact"/>
        <w:jc w:val="left"/>
        <w:rPr>
          <w:rFonts w:ascii="宋体" w:hAnsi="宋体" w:cs="宋体"/>
          <w:color w:val="auto"/>
          <w:sz w:val="28"/>
          <w:szCs w:val="28"/>
          <w:highlight w:val="none"/>
        </w:rPr>
      </w:pPr>
    </w:p>
    <w:p w14:paraId="2F37A86F">
      <w:pPr>
        <w:spacing w:line="400" w:lineRule="exact"/>
        <w:jc w:val="left"/>
        <w:rPr>
          <w:rFonts w:ascii="宋体" w:hAnsi="宋体" w:cs="宋体"/>
          <w:color w:val="auto"/>
          <w:sz w:val="28"/>
          <w:szCs w:val="28"/>
          <w:highlight w:val="none"/>
        </w:rPr>
      </w:pPr>
    </w:p>
    <w:p w14:paraId="0C9069C3">
      <w:pPr>
        <w:spacing w:line="400" w:lineRule="exact"/>
        <w:jc w:val="left"/>
        <w:rPr>
          <w:rFonts w:ascii="宋体" w:hAnsi="宋体" w:cs="宋体"/>
          <w:color w:val="auto"/>
          <w:sz w:val="28"/>
          <w:szCs w:val="28"/>
          <w:highlight w:val="none"/>
        </w:rPr>
      </w:pPr>
    </w:p>
    <w:p w14:paraId="1EA9D66B">
      <w:pPr>
        <w:spacing w:line="400" w:lineRule="exact"/>
        <w:jc w:val="left"/>
        <w:rPr>
          <w:rFonts w:ascii="宋体" w:hAnsi="宋体" w:cs="宋体"/>
          <w:color w:val="auto"/>
          <w:sz w:val="28"/>
          <w:szCs w:val="28"/>
          <w:highlight w:val="none"/>
        </w:rPr>
      </w:pPr>
    </w:p>
    <w:p w14:paraId="6915432C">
      <w:pPr>
        <w:spacing w:line="400" w:lineRule="exact"/>
        <w:jc w:val="left"/>
        <w:rPr>
          <w:rFonts w:ascii="宋体" w:hAnsi="宋体" w:cs="宋体"/>
          <w:color w:val="auto"/>
          <w:sz w:val="28"/>
          <w:szCs w:val="28"/>
          <w:highlight w:val="none"/>
        </w:rPr>
      </w:pPr>
    </w:p>
    <w:p w14:paraId="33C02F5B">
      <w:pPr>
        <w:spacing w:line="400" w:lineRule="exact"/>
        <w:jc w:val="left"/>
        <w:rPr>
          <w:rFonts w:ascii="宋体" w:hAnsi="宋体" w:cs="宋体"/>
          <w:color w:val="auto"/>
          <w:sz w:val="28"/>
          <w:szCs w:val="28"/>
          <w:highlight w:val="none"/>
        </w:rPr>
      </w:pPr>
    </w:p>
    <w:p w14:paraId="3F20DE31">
      <w:pPr>
        <w:spacing w:line="400" w:lineRule="exact"/>
        <w:jc w:val="left"/>
        <w:rPr>
          <w:rFonts w:ascii="宋体" w:hAnsi="宋体" w:cs="宋体"/>
          <w:color w:val="auto"/>
          <w:sz w:val="28"/>
          <w:szCs w:val="28"/>
          <w:highlight w:val="none"/>
        </w:rPr>
      </w:pPr>
    </w:p>
    <w:p w14:paraId="7E4DE849">
      <w:pPr>
        <w:spacing w:line="400" w:lineRule="exact"/>
        <w:jc w:val="left"/>
        <w:rPr>
          <w:rFonts w:ascii="宋体" w:hAnsi="宋体" w:cs="宋体"/>
          <w:b/>
          <w:bCs/>
          <w:color w:val="auto"/>
          <w:sz w:val="28"/>
          <w:szCs w:val="28"/>
          <w:highlight w:val="none"/>
        </w:rPr>
      </w:pPr>
    </w:p>
    <w:p w14:paraId="476D7371">
      <w:pPr>
        <w:spacing w:line="400" w:lineRule="exact"/>
        <w:jc w:val="left"/>
        <w:rPr>
          <w:rFonts w:hint="eastAsia" w:ascii="宋体" w:hAnsi="宋体" w:cs="宋体"/>
          <w:b/>
          <w:bCs/>
          <w:color w:val="auto"/>
          <w:sz w:val="28"/>
          <w:szCs w:val="28"/>
          <w:highlight w:val="none"/>
        </w:rPr>
      </w:pPr>
    </w:p>
    <w:p w14:paraId="48B77A16">
      <w:pPr>
        <w:spacing w:line="400" w:lineRule="exact"/>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8、商务响应表</w:t>
      </w:r>
    </w:p>
    <w:p w14:paraId="01700AC0">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商 务 响 应 表</w:t>
      </w:r>
    </w:p>
    <w:p w14:paraId="4DAA4772">
      <w:pPr>
        <w:spacing w:line="360" w:lineRule="auto"/>
        <w:jc w:val="center"/>
        <w:rPr>
          <w:rFonts w:ascii="宋体" w:hAnsi="宋体" w:cs="宋体"/>
          <w:bCs/>
          <w:color w:val="auto"/>
          <w:highlight w:val="none"/>
        </w:rPr>
      </w:pPr>
    </w:p>
    <w:p w14:paraId="215DA927">
      <w:pPr>
        <w:spacing w:after="156" w:afterLines="50" w:line="400" w:lineRule="exact"/>
        <w:jc w:val="left"/>
        <w:rPr>
          <w:rFonts w:ascii="宋体" w:hAnsi="宋体" w:cs="宋体"/>
          <w:color w:val="auto"/>
          <w:highlight w:val="none"/>
        </w:rPr>
      </w:pPr>
      <w:r>
        <w:rPr>
          <w:rFonts w:hint="eastAsia" w:ascii="宋体" w:hAnsi="宋体" w:cs="宋体"/>
          <w:color w:val="auto"/>
          <w:highlight w:val="none"/>
        </w:rPr>
        <w:t xml:space="preserve">项目名称：                                       项目编号：             </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2008"/>
        <w:gridCol w:w="2583"/>
        <w:gridCol w:w="2384"/>
        <w:gridCol w:w="1077"/>
      </w:tblGrid>
      <w:tr w14:paraId="22B84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883" w:type="dxa"/>
            <w:tcBorders>
              <w:top w:val="single" w:color="auto" w:sz="4" w:space="0"/>
              <w:left w:val="single" w:color="auto" w:sz="4" w:space="0"/>
              <w:bottom w:val="single" w:color="auto" w:sz="4" w:space="0"/>
              <w:right w:val="single" w:color="auto" w:sz="4" w:space="0"/>
            </w:tcBorders>
            <w:vAlign w:val="center"/>
          </w:tcPr>
          <w:p w14:paraId="715D9B07">
            <w:pPr>
              <w:spacing w:line="360" w:lineRule="auto"/>
              <w:jc w:val="center"/>
              <w:rPr>
                <w:rFonts w:ascii="宋体" w:hAnsi="宋体" w:cs="宋体"/>
                <w:b/>
                <w:color w:val="auto"/>
                <w:highlight w:val="none"/>
              </w:rPr>
            </w:pPr>
            <w:r>
              <w:rPr>
                <w:rFonts w:hint="eastAsia" w:ascii="宋体" w:hAnsi="宋体" w:cs="宋体"/>
                <w:b/>
                <w:color w:val="auto"/>
                <w:highlight w:val="none"/>
              </w:rPr>
              <w:t>序 号</w:t>
            </w:r>
          </w:p>
        </w:tc>
        <w:tc>
          <w:tcPr>
            <w:tcW w:w="2008" w:type="dxa"/>
            <w:tcBorders>
              <w:top w:val="single" w:color="auto" w:sz="4" w:space="0"/>
              <w:left w:val="single" w:color="auto" w:sz="4" w:space="0"/>
              <w:bottom w:val="single" w:color="auto" w:sz="4" w:space="0"/>
              <w:right w:val="single" w:color="auto" w:sz="4" w:space="0"/>
            </w:tcBorders>
            <w:vAlign w:val="center"/>
          </w:tcPr>
          <w:p w14:paraId="0782060E">
            <w:pPr>
              <w:spacing w:line="360" w:lineRule="auto"/>
              <w:jc w:val="center"/>
              <w:rPr>
                <w:rFonts w:ascii="宋体" w:hAnsi="宋体" w:cs="宋体"/>
                <w:b/>
                <w:color w:val="auto"/>
                <w:highlight w:val="none"/>
              </w:rPr>
            </w:pPr>
            <w:r>
              <w:rPr>
                <w:rFonts w:hint="eastAsia" w:ascii="宋体" w:hAnsi="宋体" w:cs="宋体"/>
                <w:b/>
                <w:color w:val="auto"/>
                <w:highlight w:val="none"/>
              </w:rPr>
              <w:t>内容</w:t>
            </w:r>
          </w:p>
        </w:tc>
        <w:tc>
          <w:tcPr>
            <w:tcW w:w="2583" w:type="dxa"/>
            <w:tcBorders>
              <w:top w:val="single" w:color="auto" w:sz="4" w:space="0"/>
              <w:left w:val="single" w:color="auto" w:sz="4" w:space="0"/>
              <w:bottom w:val="single" w:color="auto" w:sz="4" w:space="0"/>
              <w:right w:val="single" w:color="auto" w:sz="4" w:space="0"/>
            </w:tcBorders>
            <w:vAlign w:val="center"/>
          </w:tcPr>
          <w:p w14:paraId="3729B947">
            <w:pPr>
              <w:jc w:val="center"/>
              <w:rPr>
                <w:rFonts w:ascii="宋体" w:hAnsi="宋体" w:cs="宋体"/>
                <w:b/>
                <w:color w:val="auto"/>
                <w:highlight w:val="none"/>
              </w:rPr>
            </w:pPr>
            <w:r>
              <w:rPr>
                <w:rFonts w:hint="eastAsia" w:ascii="宋体" w:hAnsi="宋体" w:cs="宋体"/>
                <w:b/>
                <w:color w:val="auto"/>
                <w:highlight w:val="none"/>
              </w:rPr>
              <w:t>磋商文件规范要求</w:t>
            </w:r>
          </w:p>
        </w:tc>
        <w:tc>
          <w:tcPr>
            <w:tcW w:w="2384" w:type="dxa"/>
            <w:tcBorders>
              <w:top w:val="single" w:color="auto" w:sz="4" w:space="0"/>
              <w:left w:val="single" w:color="auto" w:sz="4" w:space="0"/>
              <w:bottom w:val="single" w:color="auto" w:sz="4" w:space="0"/>
              <w:right w:val="single" w:color="auto" w:sz="4" w:space="0"/>
            </w:tcBorders>
            <w:vAlign w:val="center"/>
          </w:tcPr>
          <w:p w14:paraId="4C944082">
            <w:pPr>
              <w:jc w:val="center"/>
              <w:rPr>
                <w:rFonts w:ascii="宋体" w:hAnsi="宋体" w:cs="宋体"/>
                <w:b/>
                <w:color w:val="auto"/>
                <w:highlight w:val="none"/>
              </w:rPr>
            </w:pPr>
            <w:r>
              <w:rPr>
                <w:rFonts w:hint="eastAsia" w:ascii="宋体" w:hAnsi="宋体" w:cs="宋体"/>
                <w:b/>
                <w:color w:val="auto"/>
                <w:highlight w:val="none"/>
              </w:rPr>
              <w:t>响应文件对应规范</w:t>
            </w:r>
          </w:p>
        </w:tc>
        <w:tc>
          <w:tcPr>
            <w:tcW w:w="1077" w:type="dxa"/>
            <w:tcBorders>
              <w:top w:val="single" w:color="auto" w:sz="4" w:space="0"/>
              <w:left w:val="single" w:color="auto" w:sz="4" w:space="0"/>
              <w:bottom w:val="single" w:color="auto" w:sz="4" w:space="0"/>
              <w:right w:val="single" w:color="auto" w:sz="4" w:space="0"/>
            </w:tcBorders>
            <w:vAlign w:val="center"/>
          </w:tcPr>
          <w:p w14:paraId="1357AD15">
            <w:pPr>
              <w:spacing w:line="360" w:lineRule="auto"/>
              <w:rPr>
                <w:rFonts w:ascii="宋体" w:hAnsi="宋体" w:cs="宋体"/>
                <w:b/>
                <w:color w:val="auto"/>
                <w:highlight w:val="none"/>
              </w:rPr>
            </w:pPr>
            <w:r>
              <w:rPr>
                <w:rFonts w:hint="eastAsia" w:ascii="宋体" w:hAnsi="宋体" w:cs="宋体"/>
                <w:b/>
                <w:color w:val="auto"/>
                <w:highlight w:val="none"/>
              </w:rPr>
              <w:t>备 注</w:t>
            </w:r>
          </w:p>
        </w:tc>
      </w:tr>
      <w:tr w14:paraId="65019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3" w:type="dxa"/>
            <w:tcBorders>
              <w:top w:val="single" w:color="auto" w:sz="4" w:space="0"/>
              <w:left w:val="single" w:color="auto" w:sz="4" w:space="0"/>
              <w:bottom w:val="single" w:color="auto" w:sz="4" w:space="0"/>
              <w:right w:val="single" w:color="auto" w:sz="4" w:space="0"/>
            </w:tcBorders>
          </w:tcPr>
          <w:p w14:paraId="432DE1AD">
            <w:pPr>
              <w:spacing w:line="360" w:lineRule="auto"/>
              <w:jc w:val="center"/>
              <w:rPr>
                <w:rFonts w:ascii="宋体" w:hAnsi="宋体" w:cs="宋体"/>
                <w:color w:val="auto"/>
                <w:highlight w:val="none"/>
              </w:rPr>
            </w:pPr>
            <w:r>
              <w:rPr>
                <w:rFonts w:hint="eastAsia" w:ascii="宋体" w:hAnsi="宋体" w:cs="宋体"/>
                <w:color w:val="auto"/>
                <w:highlight w:val="none"/>
              </w:rPr>
              <w:t>1</w:t>
            </w:r>
          </w:p>
        </w:tc>
        <w:tc>
          <w:tcPr>
            <w:tcW w:w="2008" w:type="dxa"/>
            <w:tcBorders>
              <w:top w:val="single" w:color="auto" w:sz="4" w:space="0"/>
              <w:left w:val="single" w:color="auto" w:sz="4" w:space="0"/>
              <w:bottom w:val="single" w:color="auto" w:sz="4" w:space="0"/>
              <w:right w:val="single" w:color="auto" w:sz="4" w:space="0"/>
            </w:tcBorders>
            <w:vAlign w:val="center"/>
          </w:tcPr>
          <w:p w14:paraId="712DC543">
            <w:pPr>
              <w:spacing w:line="360" w:lineRule="auto"/>
              <w:jc w:val="left"/>
              <w:rPr>
                <w:rFonts w:ascii="宋体" w:hAnsi="宋体" w:cs="宋体"/>
                <w:bCs/>
                <w:color w:val="auto"/>
                <w:highlight w:val="none"/>
              </w:rPr>
            </w:pPr>
          </w:p>
        </w:tc>
        <w:tc>
          <w:tcPr>
            <w:tcW w:w="2583" w:type="dxa"/>
            <w:tcBorders>
              <w:top w:val="single" w:color="auto" w:sz="4" w:space="0"/>
              <w:left w:val="single" w:color="auto" w:sz="4" w:space="0"/>
              <w:bottom w:val="single" w:color="auto" w:sz="4" w:space="0"/>
              <w:right w:val="single" w:color="auto" w:sz="4" w:space="0"/>
            </w:tcBorders>
          </w:tcPr>
          <w:p w14:paraId="36DC61A9">
            <w:pPr>
              <w:spacing w:line="360" w:lineRule="auto"/>
              <w:ind w:firstLine="480" w:firstLineChars="200"/>
              <w:rPr>
                <w:rFonts w:ascii="宋体" w:hAnsi="宋体" w:cs="宋体"/>
                <w:color w:val="auto"/>
                <w:highlight w:val="none"/>
              </w:rPr>
            </w:pPr>
          </w:p>
        </w:tc>
        <w:tc>
          <w:tcPr>
            <w:tcW w:w="2384" w:type="dxa"/>
            <w:tcBorders>
              <w:top w:val="single" w:color="auto" w:sz="4" w:space="0"/>
              <w:left w:val="single" w:color="auto" w:sz="4" w:space="0"/>
              <w:bottom w:val="single" w:color="auto" w:sz="4" w:space="0"/>
              <w:right w:val="single" w:color="auto" w:sz="4" w:space="0"/>
            </w:tcBorders>
          </w:tcPr>
          <w:p w14:paraId="761B2BDB">
            <w:pPr>
              <w:spacing w:line="360" w:lineRule="auto"/>
              <w:ind w:firstLine="480" w:firstLineChars="200"/>
              <w:rPr>
                <w:rFonts w:ascii="宋体" w:hAnsi="宋体" w:cs="宋体"/>
                <w:color w:val="auto"/>
                <w:highlight w:val="none"/>
              </w:rPr>
            </w:pPr>
          </w:p>
        </w:tc>
        <w:tc>
          <w:tcPr>
            <w:tcW w:w="1077" w:type="dxa"/>
            <w:tcBorders>
              <w:top w:val="single" w:color="auto" w:sz="4" w:space="0"/>
              <w:left w:val="single" w:color="auto" w:sz="4" w:space="0"/>
              <w:bottom w:val="single" w:color="auto" w:sz="4" w:space="0"/>
              <w:right w:val="single" w:color="auto" w:sz="4" w:space="0"/>
            </w:tcBorders>
          </w:tcPr>
          <w:p w14:paraId="057FC5BD">
            <w:pPr>
              <w:spacing w:line="360" w:lineRule="auto"/>
              <w:ind w:firstLine="480" w:firstLineChars="200"/>
              <w:rPr>
                <w:rFonts w:ascii="宋体" w:hAnsi="宋体" w:cs="宋体"/>
                <w:color w:val="auto"/>
                <w:highlight w:val="none"/>
              </w:rPr>
            </w:pPr>
          </w:p>
        </w:tc>
      </w:tr>
      <w:tr w14:paraId="232D0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883" w:type="dxa"/>
            <w:tcBorders>
              <w:top w:val="single" w:color="auto" w:sz="4" w:space="0"/>
              <w:left w:val="single" w:color="auto" w:sz="4" w:space="0"/>
              <w:bottom w:val="single" w:color="auto" w:sz="4" w:space="0"/>
              <w:right w:val="single" w:color="auto" w:sz="4" w:space="0"/>
            </w:tcBorders>
          </w:tcPr>
          <w:p w14:paraId="65299745">
            <w:pPr>
              <w:spacing w:line="360" w:lineRule="auto"/>
              <w:jc w:val="center"/>
              <w:rPr>
                <w:rFonts w:ascii="宋体" w:hAnsi="宋体" w:cs="宋体"/>
                <w:color w:val="auto"/>
                <w:highlight w:val="none"/>
              </w:rPr>
            </w:pPr>
            <w:r>
              <w:rPr>
                <w:rFonts w:hint="eastAsia" w:ascii="宋体" w:hAnsi="宋体" w:cs="宋体"/>
                <w:color w:val="auto"/>
                <w:highlight w:val="none"/>
              </w:rPr>
              <w:t>2</w:t>
            </w:r>
          </w:p>
        </w:tc>
        <w:tc>
          <w:tcPr>
            <w:tcW w:w="2008" w:type="dxa"/>
            <w:tcBorders>
              <w:top w:val="single" w:color="auto" w:sz="4" w:space="0"/>
              <w:left w:val="single" w:color="auto" w:sz="4" w:space="0"/>
              <w:bottom w:val="single" w:color="auto" w:sz="4" w:space="0"/>
              <w:right w:val="single" w:color="auto" w:sz="4" w:space="0"/>
            </w:tcBorders>
            <w:vAlign w:val="center"/>
          </w:tcPr>
          <w:p w14:paraId="1067078F">
            <w:pPr>
              <w:spacing w:line="360" w:lineRule="auto"/>
              <w:jc w:val="left"/>
              <w:rPr>
                <w:rFonts w:ascii="宋体" w:hAnsi="宋体" w:cs="宋体"/>
                <w:bCs/>
                <w:color w:val="auto"/>
                <w:highlight w:val="none"/>
              </w:rPr>
            </w:pPr>
          </w:p>
        </w:tc>
        <w:tc>
          <w:tcPr>
            <w:tcW w:w="2583" w:type="dxa"/>
            <w:tcBorders>
              <w:top w:val="single" w:color="auto" w:sz="4" w:space="0"/>
              <w:left w:val="single" w:color="auto" w:sz="4" w:space="0"/>
              <w:bottom w:val="single" w:color="auto" w:sz="4" w:space="0"/>
              <w:right w:val="single" w:color="auto" w:sz="4" w:space="0"/>
            </w:tcBorders>
          </w:tcPr>
          <w:p w14:paraId="6A1C001A">
            <w:pPr>
              <w:spacing w:line="360" w:lineRule="auto"/>
              <w:ind w:firstLine="480" w:firstLineChars="200"/>
              <w:rPr>
                <w:rFonts w:ascii="宋体" w:hAnsi="宋体" w:cs="宋体"/>
                <w:color w:val="auto"/>
                <w:highlight w:val="none"/>
              </w:rPr>
            </w:pPr>
          </w:p>
        </w:tc>
        <w:tc>
          <w:tcPr>
            <w:tcW w:w="2384" w:type="dxa"/>
            <w:tcBorders>
              <w:top w:val="single" w:color="auto" w:sz="4" w:space="0"/>
              <w:left w:val="single" w:color="auto" w:sz="4" w:space="0"/>
              <w:bottom w:val="single" w:color="auto" w:sz="4" w:space="0"/>
              <w:right w:val="single" w:color="auto" w:sz="4" w:space="0"/>
            </w:tcBorders>
          </w:tcPr>
          <w:p w14:paraId="2110F0DE">
            <w:pPr>
              <w:spacing w:line="360" w:lineRule="auto"/>
              <w:ind w:firstLine="480" w:firstLineChars="200"/>
              <w:rPr>
                <w:rFonts w:ascii="宋体" w:hAnsi="宋体" w:cs="宋体"/>
                <w:color w:val="auto"/>
                <w:highlight w:val="none"/>
              </w:rPr>
            </w:pPr>
          </w:p>
        </w:tc>
        <w:tc>
          <w:tcPr>
            <w:tcW w:w="1077" w:type="dxa"/>
            <w:tcBorders>
              <w:top w:val="single" w:color="auto" w:sz="4" w:space="0"/>
              <w:left w:val="single" w:color="auto" w:sz="4" w:space="0"/>
              <w:bottom w:val="single" w:color="auto" w:sz="4" w:space="0"/>
              <w:right w:val="single" w:color="auto" w:sz="4" w:space="0"/>
            </w:tcBorders>
          </w:tcPr>
          <w:p w14:paraId="79D7D549">
            <w:pPr>
              <w:spacing w:line="360" w:lineRule="auto"/>
              <w:ind w:firstLine="480" w:firstLineChars="200"/>
              <w:rPr>
                <w:rFonts w:ascii="宋体" w:hAnsi="宋体" w:cs="宋体"/>
                <w:color w:val="auto"/>
                <w:highlight w:val="none"/>
              </w:rPr>
            </w:pPr>
          </w:p>
        </w:tc>
      </w:tr>
      <w:tr w14:paraId="5B078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883" w:type="dxa"/>
            <w:tcBorders>
              <w:top w:val="single" w:color="auto" w:sz="4" w:space="0"/>
              <w:left w:val="single" w:color="auto" w:sz="4" w:space="0"/>
              <w:bottom w:val="single" w:color="auto" w:sz="4" w:space="0"/>
              <w:right w:val="single" w:color="auto" w:sz="4" w:space="0"/>
            </w:tcBorders>
          </w:tcPr>
          <w:p w14:paraId="775B752A">
            <w:pPr>
              <w:spacing w:line="360" w:lineRule="auto"/>
              <w:jc w:val="center"/>
              <w:rPr>
                <w:rFonts w:ascii="宋体" w:hAnsi="宋体" w:cs="宋体"/>
                <w:color w:val="auto"/>
                <w:highlight w:val="none"/>
              </w:rPr>
            </w:pPr>
            <w:r>
              <w:rPr>
                <w:rFonts w:hint="eastAsia" w:ascii="宋体" w:hAnsi="宋体" w:cs="宋体"/>
                <w:color w:val="auto"/>
                <w:highlight w:val="none"/>
              </w:rPr>
              <w:t>3</w:t>
            </w:r>
          </w:p>
        </w:tc>
        <w:tc>
          <w:tcPr>
            <w:tcW w:w="2008" w:type="dxa"/>
            <w:tcBorders>
              <w:top w:val="single" w:color="auto" w:sz="4" w:space="0"/>
              <w:left w:val="single" w:color="auto" w:sz="4" w:space="0"/>
              <w:bottom w:val="single" w:color="auto" w:sz="4" w:space="0"/>
              <w:right w:val="single" w:color="auto" w:sz="4" w:space="0"/>
            </w:tcBorders>
            <w:vAlign w:val="center"/>
          </w:tcPr>
          <w:p w14:paraId="13357784">
            <w:pPr>
              <w:spacing w:line="360" w:lineRule="auto"/>
              <w:jc w:val="left"/>
              <w:rPr>
                <w:rFonts w:ascii="宋体" w:hAnsi="宋体" w:cs="宋体"/>
                <w:bCs/>
                <w:color w:val="auto"/>
                <w:highlight w:val="none"/>
              </w:rPr>
            </w:pPr>
          </w:p>
        </w:tc>
        <w:tc>
          <w:tcPr>
            <w:tcW w:w="2583" w:type="dxa"/>
            <w:tcBorders>
              <w:top w:val="single" w:color="auto" w:sz="4" w:space="0"/>
              <w:left w:val="single" w:color="auto" w:sz="4" w:space="0"/>
              <w:bottom w:val="single" w:color="auto" w:sz="4" w:space="0"/>
              <w:right w:val="single" w:color="auto" w:sz="4" w:space="0"/>
            </w:tcBorders>
          </w:tcPr>
          <w:p w14:paraId="04F2936D">
            <w:pPr>
              <w:spacing w:line="360" w:lineRule="auto"/>
              <w:ind w:firstLine="480" w:firstLineChars="200"/>
              <w:rPr>
                <w:rFonts w:ascii="宋体" w:hAnsi="宋体" w:cs="宋体"/>
                <w:color w:val="auto"/>
                <w:highlight w:val="none"/>
              </w:rPr>
            </w:pPr>
          </w:p>
        </w:tc>
        <w:tc>
          <w:tcPr>
            <w:tcW w:w="2384" w:type="dxa"/>
            <w:tcBorders>
              <w:top w:val="single" w:color="auto" w:sz="4" w:space="0"/>
              <w:left w:val="single" w:color="auto" w:sz="4" w:space="0"/>
              <w:bottom w:val="single" w:color="auto" w:sz="4" w:space="0"/>
              <w:right w:val="single" w:color="auto" w:sz="4" w:space="0"/>
            </w:tcBorders>
          </w:tcPr>
          <w:p w14:paraId="78208C80">
            <w:pPr>
              <w:spacing w:line="360" w:lineRule="auto"/>
              <w:ind w:firstLine="480" w:firstLineChars="200"/>
              <w:rPr>
                <w:rFonts w:ascii="宋体" w:hAnsi="宋体" w:cs="宋体"/>
                <w:color w:val="auto"/>
                <w:highlight w:val="none"/>
              </w:rPr>
            </w:pPr>
          </w:p>
        </w:tc>
        <w:tc>
          <w:tcPr>
            <w:tcW w:w="1077" w:type="dxa"/>
            <w:tcBorders>
              <w:top w:val="single" w:color="auto" w:sz="4" w:space="0"/>
              <w:left w:val="single" w:color="auto" w:sz="4" w:space="0"/>
              <w:bottom w:val="single" w:color="auto" w:sz="4" w:space="0"/>
              <w:right w:val="single" w:color="auto" w:sz="4" w:space="0"/>
            </w:tcBorders>
          </w:tcPr>
          <w:p w14:paraId="305E2EBC">
            <w:pPr>
              <w:spacing w:line="360" w:lineRule="auto"/>
              <w:ind w:firstLine="480" w:firstLineChars="200"/>
              <w:rPr>
                <w:rFonts w:ascii="宋体" w:hAnsi="宋体" w:cs="宋体"/>
                <w:color w:val="auto"/>
                <w:highlight w:val="none"/>
              </w:rPr>
            </w:pPr>
          </w:p>
        </w:tc>
      </w:tr>
      <w:tr w14:paraId="5E0E0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883" w:type="dxa"/>
            <w:tcBorders>
              <w:top w:val="single" w:color="auto" w:sz="4" w:space="0"/>
              <w:left w:val="single" w:color="auto" w:sz="4" w:space="0"/>
              <w:bottom w:val="single" w:color="auto" w:sz="4" w:space="0"/>
              <w:right w:val="single" w:color="auto" w:sz="4" w:space="0"/>
            </w:tcBorders>
          </w:tcPr>
          <w:p w14:paraId="67106A96">
            <w:pPr>
              <w:spacing w:line="360" w:lineRule="auto"/>
              <w:jc w:val="center"/>
              <w:rPr>
                <w:rFonts w:ascii="宋体" w:hAnsi="宋体" w:cs="宋体"/>
                <w:color w:val="auto"/>
                <w:highlight w:val="none"/>
              </w:rPr>
            </w:pPr>
            <w:r>
              <w:rPr>
                <w:rFonts w:hint="eastAsia" w:ascii="宋体" w:hAnsi="宋体" w:cs="宋体"/>
                <w:color w:val="auto"/>
                <w:highlight w:val="none"/>
              </w:rPr>
              <w:t>4</w:t>
            </w:r>
          </w:p>
        </w:tc>
        <w:tc>
          <w:tcPr>
            <w:tcW w:w="2008" w:type="dxa"/>
            <w:tcBorders>
              <w:top w:val="single" w:color="auto" w:sz="4" w:space="0"/>
              <w:left w:val="single" w:color="auto" w:sz="4" w:space="0"/>
              <w:bottom w:val="single" w:color="auto" w:sz="4" w:space="0"/>
              <w:right w:val="single" w:color="auto" w:sz="4" w:space="0"/>
            </w:tcBorders>
            <w:vAlign w:val="center"/>
          </w:tcPr>
          <w:p w14:paraId="6B63EE0B">
            <w:pPr>
              <w:spacing w:line="360" w:lineRule="auto"/>
              <w:jc w:val="left"/>
              <w:rPr>
                <w:rFonts w:ascii="宋体" w:hAnsi="宋体" w:cs="宋体"/>
                <w:bCs/>
                <w:color w:val="auto"/>
                <w:highlight w:val="none"/>
              </w:rPr>
            </w:pPr>
          </w:p>
        </w:tc>
        <w:tc>
          <w:tcPr>
            <w:tcW w:w="2583" w:type="dxa"/>
            <w:tcBorders>
              <w:top w:val="single" w:color="auto" w:sz="4" w:space="0"/>
              <w:left w:val="single" w:color="auto" w:sz="4" w:space="0"/>
              <w:bottom w:val="single" w:color="auto" w:sz="4" w:space="0"/>
              <w:right w:val="single" w:color="auto" w:sz="4" w:space="0"/>
            </w:tcBorders>
          </w:tcPr>
          <w:p w14:paraId="14881E6F">
            <w:pPr>
              <w:spacing w:line="360" w:lineRule="auto"/>
              <w:ind w:firstLine="480" w:firstLineChars="200"/>
              <w:rPr>
                <w:rFonts w:ascii="宋体" w:hAnsi="宋体" w:cs="宋体"/>
                <w:color w:val="auto"/>
                <w:highlight w:val="none"/>
              </w:rPr>
            </w:pPr>
          </w:p>
        </w:tc>
        <w:tc>
          <w:tcPr>
            <w:tcW w:w="2384" w:type="dxa"/>
            <w:tcBorders>
              <w:top w:val="single" w:color="auto" w:sz="4" w:space="0"/>
              <w:left w:val="single" w:color="auto" w:sz="4" w:space="0"/>
              <w:bottom w:val="single" w:color="auto" w:sz="4" w:space="0"/>
              <w:right w:val="single" w:color="auto" w:sz="4" w:space="0"/>
            </w:tcBorders>
          </w:tcPr>
          <w:p w14:paraId="0FA3A443">
            <w:pPr>
              <w:spacing w:line="360" w:lineRule="auto"/>
              <w:ind w:firstLine="480" w:firstLineChars="200"/>
              <w:rPr>
                <w:rFonts w:ascii="宋体" w:hAnsi="宋体" w:cs="宋体"/>
                <w:color w:val="auto"/>
                <w:highlight w:val="none"/>
              </w:rPr>
            </w:pPr>
          </w:p>
        </w:tc>
        <w:tc>
          <w:tcPr>
            <w:tcW w:w="1077" w:type="dxa"/>
            <w:tcBorders>
              <w:top w:val="single" w:color="auto" w:sz="4" w:space="0"/>
              <w:left w:val="single" w:color="auto" w:sz="4" w:space="0"/>
              <w:bottom w:val="single" w:color="auto" w:sz="4" w:space="0"/>
              <w:right w:val="single" w:color="auto" w:sz="4" w:space="0"/>
            </w:tcBorders>
          </w:tcPr>
          <w:p w14:paraId="4413FD23">
            <w:pPr>
              <w:spacing w:line="360" w:lineRule="auto"/>
              <w:ind w:firstLine="480" w:firstLineChars="200"/>
              <w:rPr>
                <w:rFonts w:ascii="宋体" w:hAnsi="宋体" w:cs="宋体"/>
                <w:color w:val="auto"/>
                <w:highlight w:val="none"/>
              </w:rPr>
            </w:pPr>
          </w:p>
        </w:tc>
      </w:tr>
      <w:tr w14:paraId="39621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3" w:type="dxa"/>
            <w:tcBorders>
              <w:top w:val="single" w:color="auto" w:sz="4" w:space="0"/>
              <w:left w:val="single" w:color="auto" w:sz="4" w:space="0"/>
              <w:bottom w:val="single" w:color="auto" w:sz="4" w:space="0"/>
              <w:right w:val="single" w:color="auto" w:sz="4" w:space="0"/>
            </w:tcBorders>
          </w:tcPr>
          <w:p w14:paraId="1B6DCAFF">
            <w:pPr>
              <w:spacing w:line="360" w:lineRule="auto"/>
              <w:ind w:firstLine="480" w:firstLineChars="200"/>
              <w:rPr>
                <w:rFonts w:ascii="宋体" w:hAnsi="宋体" w:cs="宋体"/>
                <w:color w:val="auto"/>
                <w:highlight w:val="none"/>
              </w:rPr>
            </w:pPr>
          </w:p>
        </w:tc>
        <w:tc>
          <w:tcPr>
            <w:tcW w:w="2008" w:type="dxa"/>
            <w:tcBorders>
              <w:top w:val="single" w:color="auto" w:sz="4" w:space="0"/>
              <w:left w:val="single" w:color="auto" w:sz="4" w:space="0"/>
              <w:bottom w:val="single" w:color="auto" w:sz="4" w:space="0"/>
              <w:right w:val="single" w:color="auto" w:sz="4" w:space="0"/>
            </w:tcBorders>
          </w:tcPr>
          <w:p w14:paraId="27B23513">
            <w:pPr>
              <w:spacing w:line="360" w:lineRule="auto"/>
              <w:ind w:firstLine="480" w:firstLineChars="200"/>
              <w:rPr>
                <w:rFonts w:ascii="宋体" w:hAnsi="宋体" w:cs="宋体"/>
                <w:color w:val="auto"/>
                <w:highlight w:val="none"/>
              </w:rPr>
            </w:pPr>
          </w:p>
        </w:tc>
        <w:tc>
          <w:tcPr>
            <w:tcW w:w="2583" w:type="dxa"/>
            <w:tcBorders>
              <w:top w:val="single" w:color="auto" w:sz="4" w:space="0"/>
              <w:left w:val="single" w:color="auto" w:sz="4" w:space="0"/>
              <w:bottom w:val="single" w:color="auto" w:sz="4" w:space="0"/>
              <w:right w:val="single" w:color="auto" w:sz="4" w:space="0"/>
            </w:tcBorders>
          </w:tcPr>
          <w:p w14:paraId="1B65E869">
            <w:pPr>
              <w:spacing w:line="360" w:lineRule="auto"/>
              <w:ind w:firstLine="480" w:firstLineChars="200"/>
              <w:rPr>
                <w:rFonts w:ascii="宋体" w:hAnsi="宋体" w:cs="宋体"/>
                <w:color w:val="auto"/>
                <w:highlight w:val="none"/>
              </w:rPr>
            </w:pPr>
          </w:p>
        </w:tc>
        <w:tc>
          <w:tcPr>
            <w:tcW w:w="2384" w:type="dxa"/>
            <w:tcBorders>
              <w:top w:val="single" w:color="auto" w:sz="4" w:space="0"/>
              <w:left w:val="single" w:color="auto" w:sz="4" w:space="0"/>
              <w:bottom w:val="single" w:color="auto" w:sz="4" w:space="0"/>
              <w:right w:val="single" w:color="auto" w:sz="4" w:space="0"/>
            </w:tcBorders>
          </w:tcPr>
          <w:p w14:paraId="5B46171C">
            <w:pPr>
              <w:spacing w:line="360" w:lineRule="auto"/>
              <w:ind w:firstLine="480" w:firstLineChars="200"/>
              <w:rPr>
                <w:rFonts w:ascii="宋体" w:hAnsi="宋体" w:cs="宋体"/>
                <w:color w:val="auto"/>
                <w:highlight w:val="none"/>
              </w:rPr>
            </w:pPr>
          </w:p>
        </w:tc>
        <w:tc>
          <w:tcPr>
            <w:tcW w:w="1077" w:type="dxa"/>
            <w:tcBorders>
              <w:top w:val="single" w:color="auto" w:sz="4" w:space="0"/>
              <w:left w:val="single" w:color="auto" w:sz="4" w:space="0"/>
              <w:bottom w:val="single" w:color="auto" w:sz="4" w:space="0"/>
              <w:right w:val="single" w:color="auto" w:sz="4" w:space="0"/>
            </w:tcBorders>
          </w:tcPr>
          <w:p w14:paraId="55B0891C">
            <w:pPr>
              <w:spacing w:line="360" w:lineRule="auto"/>
              <w:ind w:firstLine="480" w:firstLineChars="200"/>
              <w:rPr>
                <w:rFonts w:ascii="宋体" w:hAnsi="宋体" w:cs="宋体"/>
                <w:color w:val="auto"/>
                <w:highlight w:val="none"/>
              </w:rPr>
            </w:pPr>
          </w:p>
        </w:tc>
      </w:tr>
    </w:tbl>
    <w:p w14:paraId="6AC26F96">
      <w:pPr>
        <w:spacing w:line="340" w:lineRule="exact"/>
        <w:ind w:firstLine="480" w:firstLineChars="200"/>
        <w:rPr>
          <w:rFonts w:ascii="宋体" w:hAnsi="宋体" w:cs="宋体"/>
          <w:color w:val="auto"/>
          <w:highlight w:val="none"/>
        </w:rPr>
      </w:pPr>
      <w:r>
        <w:rPr>
          <w:rFonts w:hint="eastAsia" w:ascii="宋体" w:hAnsi="宋体" w:cs="宋体"/>
          <w:color w:val="auto"/>
          <w:highlight w:val="none"/>
        </w:rPr>
        <w:t xml:space="preserve"> </w:t>
      </w:r>
    </w:p>
    <w:p w14:paraId="6DD00D83">
      <w:pPr>
        <w:spacing w:before="156" w:beforeLines="50" w:after="156" w:afterLines="50" w:line="300" w:lineRule="exact"/>
        <w:ind w:firstLine="480" w:firstLineChars="200"/>
        <w:rPr>
          <w:rFonts w:ascii="宋体" w:hAnsi="宋体" w:cs="宋体"/>
          <w:color w:val="auto"/>
          <w:highlight w:val="none"/>
        </w:rPr>
      </w:pPr>
      <w:r>
        <w:rPr>
          <w:rFonts w:hint="eastAsia" w:ascii="宋体" w:hAnsi="宋体" w:cs="宋体"/>
          <w:color w:val="auto"/>
          <w:highlight w:val="none"/>
        </w:rPr>
        <w:t>供应商（盖章）：</w:t>
      </w:r>
    </w:p>
    <w:p w14:paraId="36FE787A">
      <w:pPr>
        <w:spacing w:before="156" w:beforeLines="50" w:after="156" w:afterLines="50" w:line="300" w:lineRule="exact"/>
        <w:ind w:firstLine="480" w:firstLineChars="200"/>
        <w:rPr>
          <w:rFonts w:ascii="宋体" w:hAnsi="宋体" w:cs="宋体"/>
          <w:color w:val="auto"/>
          <w:highlight w:val="none"/>
        </w:rPr>
      </w:pPr>
      <w:r>
        <w:rPr>
          <w:rFonts w:hint="eastAsia" w:ascii="宋体" w:hAnsi="宋体" w:cs="宋体"/>
          <w:color w:val="auto"/>
          <w:highlight w:val="none"/>
        </w:rPr>
        <w:t>授权代表（签字）：</w:t>
      </w:r>
    </w:p>
    <w:p w14:paraId="46DC09C9">
      <w:pPr>
        <w:pStyle w:val="17"/>
        <w:spacing w:line="300" w:lineRule="exact"/>
        <w:ind w:firstLine="480" w:firstLineChars="200"/>
        <w:rPr>
          <w:rFonts w:cs="宋体"/>
          <w:color w:val="auto"/>
          <w:highlight w:val="none"/>
        </w:rPr>
      </w:pPr>
      <w:r>
        <w:rPr>
          <w:rFonts w:hint="eastAsia" w:cs="宋体"/>
          <w:color w:val="auto"/>
          <w:kern w:val="2"/>
          <w:highlight w:val="none"/>
        </w:rPr>
        <w:t xml:space="preserve">日期：  </w:t>
      </w:r>
      <w:r>
        <w:rPr>
          <w:rFonts w:hint="eastAsia" w:cs="宋体"/>
          <w:color w:val="auto"/>
          <w:highlight w:val="none"/>
        </w:rPr>
        <w:t xml:space="preserve">   </w:t>
      </w:r>
    </w:p>
    <w:p w14:paraId="521A1390">
      <w:pPr>
        <w:rPr>
          <w:rFonts w:ascii="宋体" w:hAnsi="宋体" w:cs="宋体"/>
          <w:color w:val="auto"/>
          <w:highlight w:val="none"/>
        </w:rPr>
      </w:pPr>
    </w:p>
    <w:p w14:paraId="52AF4623">
      <w:pPr>
        <w:spacing w:line="340" w:lineRule="exact"/>
        <w:ind w:firstLine="480" w:firstLineChars="200"/>
        <w:rPr>
          <w:rFonts w:ascii="宋体" w:hAnsi="宋体" w:cs="宋体"/>
          <w:color w:val="auto"/>
          <w:highlight w:val="none"/>
        </w:rPr>
      </w:pPr>
      <w:r>
        <w:rPr>
          <w:rFonts w:hint="eastAsia" w:ascii="宋体" w:hAnsi="宋体" w:cs="宋体"/>
          <w:color w:val="auto"/>
          <w:highlight w:val="none"/>
        </w:rPr>
        <w:t>注：1、本表格为</w:t>
      </w:r>
      <w:r>
        <w:rPr>
          <w:rFonts w:hint="eastAsia" w:ascii="宋体" w:hAnsi="宋体" w:cs="宋体"/>
          <w:bCs/>
          <w:color w:val="auto"/>
          <w:highlight w:val="none"/>
        </w:rPr>
        <w:t>商务要求中除报价以外的其他要求，不填写视同完全响应磋商文件要求。</w:t>
      </w:r>
      <w:r>
        <w:rPr>
          <w:rFonts w:hint="eastAsia" w:ascii="宋体" w:hAnsi="宋体" w:cs="宋体"/>
          <w:color w:val="auto"/>
          <w:highlight w:val="none"/>
        </w:rPr>
        <w:t>此表可在不改变格式的情况下可自行制作。</w:t>
      </w:r>
    </w:p>
    <w:p w14:paraId="0771F552">
      <w:pPr>
        <w:spacing w:line="340" w:lineRule="exact"/>
        <w:ind w:firstLine="720" w:firstLineChars="300"/>
        <w:rPr>
          <w:rFonts w:ascii="宋体" w:hAnsi="宋体" w:cs="宋体"/>
          <w:color w:val="auto"/>
          <w:highlight w:val="none"/>
        </w:rPr>
      </w:pPr>
      <w:r>
        <w:rPr>
          <w:rFonts w:hint="eastAsia" w:ascii="宋体" w:hAnsi="宋体" w:cs="宋体"/>
          <w:color w:val="auto"/>
          <w:highlight w:val="none"/>
        </w:rPr>
        <w:t>2、备注栏填正偏离、负偏离或无偏离。</w:t>
      </w:r>
    </w:p>
    <w:p w14:paraId="72D1CF88">
      <w:pPr>
        <w:autoSpaceDE w:val="0"/>
        <w:autoSpaceDN w:val="0"/>
        <w:snapToGrid w:val="0"/>
        <w:spacing w:line="420" w:lineRule="exact"/>
        <w:rPr>
          <w:rFonts w:ascii="宋体" w:hAnsi="宋体" w:cs="宋体"/>
          <w:color w:val="auto"/>
          <w:highlight w:val="none"/>
        </w:rPr>
      </w:pPr>
    </w:p>
    <w:p w14:paraId="3079CEC3">
      <w:pPr>
        <w:autoSpaceDE w:val="0"/>
        <w:autoSpaceDN w:val="0"/>
        <w:snapToGrid w:val="0"/>
        <w:spacing w:line="420" w:lineRule="exact"/>
        <w:rPr>
          <w:rFonts w:ascii="宋体" w:hAnsi="宋体" w:cs="宋体"/>
          <w:color w:val="auto"/>
          <w:szCs w:val="21"/>
          <w:highlight w:val="none"/>
        </w:rPr>
      </w:pPr>
    </w:p>
    <w:p w14:paraId="1ECF4B23">
      <w:pPr>
        <w:autoSpaceDE w:val="0"/>
        <w:autoSpaceDN w:val="0"/>
        <w:snapToGrid w:val="0"/>
        <w:spacing w:line="420" w:lineRule="exact"/>
        <w:rPr>
          <w:rFonts w:ascii="宋体" w:hAnsi="宋体" w:cs="宋体"/>
          <w:color w:val="auto"/>
          <w:szCs w:val="21"/>
          <w:highlight w:val="none"/>
        </w:rPr>
      </w:pPr>
    </w:p>
    <w:p w14:paraId="6AB824AB">
      <w:pPr>
        <w:autoSpaceDE w:val="0"/>
        <w:autoSpaceDN w:val="0"/>
        <w:snapToGrid w:val="0"/>
        <w:spacing w:line="420" w:lineRule="exact"/>
        <w:rPr>
          <w:rFonts w:ascii="宋体" w:hAnsi="宋体" w:cs="宋体"/>
          <w:color w:val="auto"/>
          <w:szCs w:val="21"/>
          <w:highlight w:val="none"/>
        </w:rPr>
      </w:pPr>
    </w:p>
    <w:p w14:paraId="3E4AE7CC">
      <w:pPr>
        <w:autoSpaceDE w:val="0"/>
        <w:autoSpaceDN w:val="0"/>
        <w:snapToGrid w:val="0"/>
        <w:spacing w:line="420" w:lineRule="exact"/>
        <w:rPr>
          <w:rFonts w:ascii="宋体" w:hAnsi="宋体" w:cs="宋体"/>
          <w:color w:val="auto"/>
          <w:szCs w:val="21"/>
          <w:highlight w:val="none"/>
        </w:rPr>
      </w:pPr>
    </w:p>
    <w:p w14:paraId="7CB82F3C">
      <w:pPr>
        <w:autoSpaceDE w:val="0"/>
        <w:autoSpaceDN w:val="0"/>
        <w:snapToGrid w:val="0"/>
        <w:spacing w:line="420" w:lineRule="exact"/>
        <w:rPr>
          <w:rFonts w:ascii="宋体" w:hAnsi="宋体" w:cs="宋体"/>
          <w:color w:val="auto"/>
          <w:szCs w:val="21"/>
          <w:highlight w:val="none"/>
        </w:rPr>
      </w:pPr>
    </w:p>
    <w:p w14:paraId="07052684">
      <w:pPr>
        <w:autoSpaceDE w:val="0"/>
        <w:autoSpaceDN w:val="0"/>
        <w:snapToGrid w:val="0"/>
        <w:spacing w:line="420" w:lineRule="exact"/>
        <w:rPr>
          <w:rFonts w:ascii="宋体" w:hAnsi="宋体" w:cs="宋体"/>
          <w:color w:val="auto"/>
          <w:szCs w:val="21"/>
          <w:highlight w:val="none"/>
        </w:rPr>
      </w:pPr>
    </w:p>
    <w:p w14:paraId="0422B933">
      <w:pPr>
        <w:autoSpaceDE w:val="0"/>
        <w:autoSpaceDN w:val="0"/>
        <w:snapToGrid w:val="0"/>
        <w:spacing w:line="420" w:lineRule="exact"/>
        <w:rPr>
          <w:rFonts w:ascii="宋体" w:hAnsi="宋体" w:cs="宋体"/>
          <w:color w:val="auto"/>
          <w:szCs w:val="21"/>
          <w:highlight w:val="none"/>
        </w:rPr>
      </w:pPr>
    </w:p>
    <w:p w14:paraId="75DC3A64">
      <w:pPr>
        <w:autoSpaceDE w:val="0"/>
        <w:autoSpaceDN w:val="0"/>
        <w:snapToGrid w:val="0"/>
        <w:spacing w:line="420" w:lineRule="exact"/>
        <w:rPr>
          <w:rFonts w:ascii="宋体" w:hAnsi="宋体" w:cs="宋体"/>
          <w:color w:val="auto"/>
          <w:szCs w:val="21"/>
          <w:highlight w:val="none"/>
        </w:rPr>
      </w:pPr>
    </w:p>
    <w:p w14:paraId="2A5501FB">
      <w:pPr>
        <w:spacing w:line="400" w:lineRule="exact"/>
        <w:jc w:val="left"/>
        <w:rPr>
          <w:rFonts w:ascii="宋体" w:hAnsi="宋体" w:cs="宋体"/>
          <w:b/>
          <w:bCs/>
          <w:color w:val="auto"/>
          <w:sz w:val="28"/>
          <w:szCs w:val="28"/>
          <w:highlight w:val="none"/>
        </w:rPr>
      </w:pPr>
    </w:p>
    <w:p w14:paraId="46A61021">
      <w:pPr>
        <w:pStyle w:val="32"/>
        <w:ind w:firstLine="560"/>
        <w:rPr>
          <w:color w:val="auto"/>
          <w:highlight w:val="none"/>
        </w:rPr>
      </w:pPr>
    </w:p>
    <w:p w14:paraId="6290FAEC">
      <w:pPr>
        <w:spacing w:line="400" w:lineRule="exact"/>
        <w:jc w:val="left"/>
        <w:rPr>
          <w:rFonts w:hint="eastAsia" w:ascii="宋体" w:hAnsi="宋体" w:cs="宋体"/>
          <w:b/>
          <w:bCs/>
          <w:color w:val="auto"/>
          <w:sz w:val="28"/>
          <w:szCs w:val="28"/>
          <w:highlight w:val="none"/>
        </w:rPr>
      </w:pPr>
    </w:p>
    <w:p w14:paraId="012986C7">
      <w:pPr>
        <w:spacing w:line="400" w:lineRule="exact"/>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9、小微企业声明函及残疾人福利性单位声明函</w:t>
      </w:r>
    </w:p>
    <w:p w14:paraId="04E5AE76">
      <w:pPr>
        <w:snapToGrid w:val="0"/>
        <w:spacing w:before="50" w:after="50" w:line="400" w:lineRule="exact"/>
        <w:jc w:val="center"/>
        <w:rPr>
          <w:rFonts w:ascii="宋体" w:hAnsi="宋体" w:cs="宋体"/>
          <w:b/>
          <w:color w:val="auto"/>
          <w:sz w:val="32"/>
          <w:szCs w:val="32"/>
          <w:highlight w:val="none"/>
        </w:rPr>
      </w:pPr>
    </w:p>
    <w:p w14:paraId="3DB49BD0">
      <w:pPr>
        <w:snapToGrid w:val="0"/>
        <w:spacing w:before="50" w:after="50" w:line="400" w:lineRule="exact"/>
        <w:jc w:val="center"/>
        <w:rPr>
          <w:rFonts w:ascii="宋体" w:hAnsi="宋体" w:cs="宋体"/>
          <w:b/>
          <w:color w:val="auto"/>
          <w:sz w:val="32"/>
          <w:szCs w:val="32"/>
          <w:highlight w:val="none"/>
        </w:rPr>
      </w:pPr>
    </w:p>
    <w:p w14:paraId="578153C5">
      <w:pPr>
        <w:spacing w:before="55"/>
        <w:ind w:left="594" w:right="-20"/>
        <w:jc w:val="center"/>
        <w:rPr>
          <w:rFonts w:ascii="宋体" w:hAnsi="宋体" w:cs="宋体"/>
          <w:b/>
          <w:bCs/>
          <w:color w:val="auto"/>
          <w:highlight w:val="none"/>
        </w:rPr>
      </w:pPr>
      <w:r>
        <w:rPr>
          <w:rFonts w:hint="eastAsia" w:ascii="宋体" w:hAnsi="宋体" w:cs="宋体"/>
          <w:b/>
          <w:bCs/>
          <w:color w:val="auto"/>
          <w:highlight w:val="none"/>
        </w:rPr>
        <w:t>中小企业声明函</w:t>
      </w:r>
    </w:p>
    <w:p w14:paraId="56E0360C">
      <w:pPr>
        <w:spacing w:before="55"/>
        <w:ind w:left="595" w:right="-23" w:firstLine="480" w:firstLineChars="200"/>
        <w:rPr>
          <w:rFonts w:ascii="宋体" w:hAnsi="宋体" w:cs="宋体"/>
          <w:color w:val="auto"/>
          <w:highlight w:val="none"/>
        </w:rPr>
      </w:pPr>
      <w:r>
        <w:rPr>
          <w:rFonts w:hint="eastAsia" w:ascii="宋体" w:hAnsi="宋体" w:cs="宋体"/>
          <w:color w:val="auto"/>
          <w:highlight w:val="none"/>
        </w:rPr>
        <w:t>本公司（联合体）郑重声明，根据《政府采购促进中小企业发展管理办法》（财库﹝2020﹞46 号）的规定，本公司 （联合体）参加（单位名称）的（项目名称）采购活动，工 程的施工单位全部为符合政策要求的中小企业（或者：服务 全部由符合政策要求的中小企业承接）。相关企业（含联合 体中的中小企业、签订分包意向协议的中小企业）的具体情 况如下：</w:t>
      </w:r>
    </w:p>
    <w:p w14:paraId="19E8C4AF">
      <w:pPr>
        <w:spacing w:before="55"/>
        <w:ind w:left="595" w:right="-23" w:firstLine="480" w:firstLineChars="200"/>
        <w:rPr>
          <w:rFonts w:ascii="宋体" w:hAnsi="宋体" w:cs="宋体"/>
          <w:color w:val="auto"/>
          <w:highlight w:val="none"/>
        </w:rPr>
      </w:pPr>
      <w:r>
        <w:rPr>
          <w:rFonts w:hint="eastAsia" w:ascii="宋体" w:hAnsi="宋体" w:cs="宋体"/>
          <w:color w:val="auto"/>
          <w:highlight w:val="none"/>
        </w:rPr>
        <w:t>1. （标的名称） ，属于（采购文件中明确的所属行业）； 承建（承接）企业为</w:t>
      </w:r>
      <w:r>
        <w:rPr>
          <w:rFonts w:hint="eastAsia" w:ascii="宋体" w:hAnsi="宋体" w:cs="宋体"/>
          <w:color w:val="auto"/>
          <w:highlight w:val="none"/>
          <w:u w:val="single"/>
        </w:rPr>
        <w:t xml:space="preserve">                </w:t>
      </w:r>
      <w:r>
        <w:rPr>
          <w:rFonts w:hint="eastAsia" w:ascii="宋体" w:hAnsi="宋体" w:cs="宋体"/>
          <w:color w:val="auto"/>
          <w:highlight w:val="none"/>
        </w:rPr>
        <w:t>，从业人员</w:t>
      </w:r>
      <w:r>
        <w:rPr>
          <w:rFonts w:hint="eastAsia" w:ascii="宋体" w:hAnsi="宋体" w:cs="宋体"/>
          <w:color w:val="auto"/>
          <w:highlight w:val="none"/>
          <w:u w:val="single"/>
        </w:rPr>
        <w:t xml:space="preserve">     </w:t>
      </w:r>
      <w:r>
        <w:rPr>
          <w:rFonts w:hint="eastAsia" w:ascii="宋体" w:hAnsi="宋体" w:cs="宋体"/>
          <w:color w:val="auto"/>
          <w:highlight w:val="none"/>
        </w:rPr>
        <w:t>人，营业 收入为</w:t>
      </w:r>
      <w:r>
        <w:rPr>
          <w:rFonts w:hint="eastAsia" w:ascii="宋体" w:hAnsi="宋体" w:cs="宋体"/>
          <w:color w:val="auto"/>
          <w:highlight w:val="none"/>
          <w:u w:val="single"/>
        </w:rPr>
        <w:t xml:space="preserve">      </w:t>
      </w:r>
      <w:r>
        <w:rPr>
          <w:rFonts w:hint="eastAsia" w:ascii="宋体" w:hAnsi="宋体" w:cs="宋体"/>
          <w:color w:val="auto"/>
          <w:highlight w:val="none"/>
        </w:rPr>
        <w:t xml:space="preserve">万元，资产总额为 </w:t>
      </w:r>
      <w:r>
        <w:rPr>
          <w:rFonts w:hint="eastAsia" w:ascii="宋体" w:hAnsi="宋体" w:cs="宋体"/>
          <w:color w:val="auto"/>
          <w:highlight w:val="none"/>
          <w:u w:val="single"/>
        </w:rPr>
        <w:t xml:space="preserve">        </w:t>
      </w:r>
      <w:r>
        <w:rPr>
          <w:rFonts w:hint="eastAsia" w:ascii="宋体" w:hAnsi="宋体" w:cs="宋体"/>
          <w:color w:val="auto"/>
          <w:highlight w:val="none"/>
        </w:rPr>
        <w:t xml:space="preserve">万元，属于（中型企业、 小型企业、微型企业）； </w:t>
      </w:r>
    </w:p>
    <w:p w14:paraId="15DB187F">
      <w:pPr>
        <w:spacing w:before="55"/>
        <w:ind w:left="595" w:right="-23" w:firstLine="480" w:firstLineChars="200"/>
        <w:rPr>
          <w:rFonts w:ascii="宋体" w:hAnsi="宋体" w:cs="宋体"/>
          <w:color w:val="auto"/>
          <w:highlight w:val="none"/>
        </w:rPr>
      </w:pPr>
      <w:r>
        <w:rPr>
          <w:rFonts w:hint="eastAsia" w:ascii="宋体" w:hAnsi="宋体" w:cs="宋体"/>
          <w:color w:val="auto"/>
          <w:highlight w:val="none"/>
        </w:rPr>
        <w:t>以上企业，不属于大企业的分支机构，不存在控股股东为大企业的情形，也不存在与大企业的负责人为同一人的情形。</w:t>
      </w:r>
    </w:p>
    <w:p w14:paraId="337288EE">
      <w:pPr>
        <w:spacing w:before="55"/>
        <w:ind w:left="595" w:right="-23" w:firstLine="480" w:firstLineChars="200"/>
        <w:rPr>
          <w:rFonts w:ascii="宋体" w:hAnsi="宋体" w:cs="宋体"/>
          <w:color w:val="auto"/>
          <w:highlight w:val="none"/>
        </w:rPr>
      </w:pPr>
    </w:p>
    <w:p w14:paraId="48C6C623">
      <w:pPr>
        <w:spacing w:before="55"/>
        <w:ind w:left="595" w:right="-23" w:firstLine="480" w:firstLineChars="200"/>
        <w:rPr>
          <w:rFonts w:ascii="宋体" w:hAnsi="宋体" w:cs="宋体"/>
          <w:color w:val="auto"/>
          <w:highlight w:val="none"/>
        </w:rPr>
      </w:pPr>
      <w:r>
        <w:rPr>
          <w:rFonts w:hint="eastAsia" w:ascii="宋体" w:hAnsi="宋体" w:cs="宋体"/>
          <w:color w:val="auto"/>
          <w:highlight w:val="none"/>
        </w:rPr>
        <w:t xml:space="preserve">本企业对上述声明内容的真实性负责。如有虚假，将依法承担相应责任。 </w:t>
      </w:r>
    </w:p>
    <w:p w14:paraId="545AFDF4">
      <w:pPr>
        <w:spacing w:before="55"/>
        <w:ind w:left="594" w:right="-20"/>
        <w:jc w:val="right"/>
        <w:rPr>
          <w:rFonts w:ascii="宋体" w:hAnsi="宋体" w:cs="宋体"/>
          <w:color w:val="auto"/>
          <w:highlight w:val="none"/>
        </w:rPr>
      </w:pPr>
    </w:p>
    <w:p w14:paraId="6A3E0988">
      <w:pPr>
        <w:spacing w:before="55"/>
        <w:ind w:left="594" w:right="-20"/>
        <w:jc w:val="right"/>
        <w:rPr>
          <w:rFonts w:ascii="宋体" w:hAnsi="宋体" w:cs="宋体"/>
          <w:color w:val="auto"/>
          <w:highlight w:val="none"/>
        </w:rPr>
      </w:pPr>
    </w:p>
    <w:p w14:paraId="672F9653">
      <w:pPr>
        <w:spacing w:before="55"/>
        <w:ind w:left="594" w:right="-20"/>
        <w:jc w:val="right"/>
        <w:rPr>
          <w:rFonts w:ascii="宋体" w:hAnsi="宋体" w:cs="宋体"/>
          <w:color w:val="auto"/>
          <w:highlight w:val="none"/>
        </w:rPr>
      </w:pPr>
      <w:r>
        <w:rPr>
          <w:rFonts w:hint="eastAsia" w:ascii="宋体" w:hAnsi="宋体" w:cs="宋体"/>
          <w:color w:val="auto"/>
          <w:highlight w:val="none"/>
        </w:rPr>
        <w:t xml:space="preserve">企业名称（盖章）： </w:t>
      </w:r>
    </w:p>
    <w:p w14:paraId="00B414FF">
      <w:pPr>
        <w:spacing w:before="55"/>
        <w:ind w:left="594" w:right="-20"/>
        <w:jc w:val="right"/>
        <w:rPr>
          <w:rFonts w:ascii="宋体" w:hAnsi="宋体" w:cs="宋体"/>
          <w:color w:val="auto"/>
          <w:highlight w:val="none"/>
        </w:rPr>
      </w:pPr>
      <w:r>
        <w:rPr>
          <w:rFonts w:hint="eastAsia" w:ascii="宋体" w:hAnsi="宋体" w:cs="宋体"/>
          <w:color w:val="auto"/>
          <w:highlight w:val="none"/>
        </w:rPr>
        <w:t xml:space="preserve">日 期：  </w:t>
      </w:r>
    </w:p>
    <w:p w14:paraId="171585B7">
      <w:pPr>
        <w:spacing w:before="55"/>
        <w:ind w:left="594" w:right="-20"/>
        <w:rPr>
          <w:rFonts w:ascii="宋体" w:hAnsi="宋体" w:cs="宋体"/>
          <w:color w:val="auto"/>
          <w:highlight w:val="none"/>
        </w:rPr>
      </w:pPr>
      <w:r>
        <w:rPr>
          <w:rFonts w:hint="eastAsia" w:ascii="宋体" w:hAnsi="宋体" w:cs="宋体"/>
          <w:color w:val="auto"/>
          <w:highlight w:val="none"/>
        </w:rPr>
        <w:t>从业人员、营业收入、资产总额填报上一年度数据，无上一年度数据的新成立企业可不填报。</w:t>
      </w:r>
    </w:p>
    <w:p w14:paraId="0B9A77B9">
      <w:pPr>
        <w:spacing w:before="55"/>
        <w:ind w:left="594" w:right="-20"/>
        <w:rPr>
          <w:rFonts w:ascii="宋体" w:hAnsi="宋体" w:cs="宋体"/>
          <w:color w:val="auto"/>
          <w:highlight w:val="none"/>
        </w:rPr>
      </w:pPr>
    </w:p>
    <w:p w14:paraId="74B854B4">
      <w:pPr>
        <w:spacing w:before="55"/>
        <w:ind w:left="594" w:right="-20"/>
        <w:rPr>
          <w:rFonts w:ascii="宋体" w:hAnsi="宋体" w:cs="宋体"/>
          <w:color w:val="auto"/>
          <w:highlight w:val="none"/>
        </w:rPr>
      </w:pPr>
    </w:p>
    <w:p w14:paraId="14FB6649">
      <w:pPr>
        <w:spacing w:before="55"/>
        <w:ind w:left="594" w:right="-20"/>
        <w:rPr>
          <w:rFonts w:ascii="宋体" w:hAnsi="宋体" w:cs="宋体"/>
          <w:color w:val="auto"/>
          <w:highlight w:val="none"/>
        </w:rPr>
      </w:pPr>
      <w:r>
        <w:rPr>
          <w:rFonts w:hint="eastAsia" w:ascii="宋体" w:hAnsi="宋体" w:cs="宋体"/>
          <w:color w:val="auto"/>
          <w:highlight w:val="none"/>
        </w:rPr>
        <mc:AlternateContent>
          <mc:Choice Requires="wpg">
            <w:drawing>
              <wp:anchor distT="0" distB="0" distL="114300" distR="114300" simplePos="0" relativeHeight="251661312" behindDoc="1" locked="0" layoutInCell="1" allowOverlap="1">
                <wp:simplePos x="0" y="0"/>
                <wp:positionH relativeFrom="page">
                  <wp:posOffset>935990</wp:posOffset>
                </wp:positionH>
                <wp:positionV relativeFrom="paragraph">
                  <wp:posOffset>-286385</wp:posOffset>
                </wp:positionV>
                <wp:extent cx="5688330" cy="1270"/>
                <wp:effectExtent l="0" t="0" r="0" b="0"/>
                <wp:wrapNone/>
                <wp:docPr id="3" name="组合 6"/>
                <wp:cNvGraphicFramePr/>
                <a:graphic xmlns:a="http://schemas.openxmlformats.org/drawingml/2006/main">
                  <a:graphicData uri="http://schemas.microsoft.com/office/word/2010/wordprocessingGroup">
                    <wpg:wgp>
                      <wpg:cNvGrpSpPr/>
                      <wpg:grpSpPr>
                        <a:xfrm>
                          <a:off x="0" y="0"/>
                          <a:ext cx="5688330" cy="1270"/>
                          <a:chOff x="1474" y="-451"/>
                          <a:chExt cx="8958" cy="2"/>
                        </a:xfrm>
                      </wpg:grpSpPr>
                      <wps:wsp>
                        <wps:cNvPr id="5" name="任意多边形 7"/>
                        <wps:cNvSpPr/>
                        <wps:spPr>
                          <a:xfrm>
                            <a:off x="1474" y="-451"/>
                            <a:ext cx="8958" cy="2"/>
                          </a:xfrm>
                          <a:custGeom>
                            <a:avLst/>
                            <a:gdLst/>
                            <a:ahLst/>
                            <a:cxnLst/>
                            <a:rect l="0" t="0" r="0" b="0"/>
                            <a:pathLst>
                              <a:path w="8958">
                                <a:moveTo>
                                  <a:pt x="0" y="0"/>
                                </a:moveTo>
                                <a:lnTo>
                                  <a:pt x="8958" y="0"/>
                                </a:lnTo>
                              </a:path>
                            </a:pathLst>
                          </a:custGeom>
                          <a:noFill/>
                          <a:ln w="10414" cap="flat" cmpd="sng">
                            <a:solidFill>
                              <a:srgbClr val="000000"/>
                            </a:solidFill>
                            <a:prstDash val="solid"/>
                            <a:headEnd type="none" w="med" len="med"/>
                            <a:tailEnd type="none" w="med" len="med"/>
                          </a:ln>
                        </wps:spPr>
                        <wps:bodyPr rot="0" vert="horz" wrap="square" lIns="91440" tIns="45720" rIns="91440" bIns="45720" anchor="t" anchorCtr="0"/>
                      </wps:wsp>
                    </wpg:wgp>
                  </a:graphicData>
                </a:graphic>
              </wp:anchor>
            </w:drawing>
          </mc:Choice>
          <mc:Fallback>
            <w:pict>
              <v:group id="组合 6" o:spid="_x0000_s1026" o:spt="203" style="position:absolute;left:0pt;margin-left:73.7pt;margin-top:-22.55pt;height:0.1pt;width:447.9pt;mso-position-horizontal-relative:page;z-index:-251655168;mso-width-relative:page;mso-height-relative:page;" coordorigin="1474,-451" coordsize="8958,2" o:gfxdata="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">
                <o:lock v:ext="edit" aspectratio="f"/>
                <v:shape id="任意多边形 7" o:spid="_x0000_s1026" o:spt="100" style="position:absolute;left:1474;top:-451;height:2;width:8958;" filled="f" stroked="t" coordsize="8958,1" o:gfxdata="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WOV7r4A&#10;AADaAAAADwAAAAAAAAABACAAAAAiAAAAZHJzL2Rvd25yZXYueG1sUEsBAhQAFAAAAAgAh07iQDMv&#10;BZ47AAAAOQAAABAAAAAAAAAAAQAgAAAADQEAAGRycy9zaGFwZXhtbC54bWxQSwUGAAAAAAYABgBb&#10;AQAAtwMAAAAA&#10;" path="m0,0l8958,0e">
                  <v:fill on="f" focussize="0,0"/>
                  <v:stroke weight="0.82pt" color="#000000" joinstyle="round"/>
                  <v:imagedata o:title=""/>
                  <o:lock v:ext="edit" aspectratio="f"/>
                </v:shape>
              </v:group>
            </w:pict>
          </mc:Fallback>
        </mc:AlternateContent>
      </w:r>
      <w:r>
        <w:rPr>
          <w:rFonts w:hint="eastAsia" w:ascii="宋体" w:hAnsi="宋体" w:cs="宋体"/>
          <w:color w:val="auto"/>
          <w:highlight w:val="none"/>
        </w:rPr>
        <w:t>填写说明：</w:t>
      </w:r>
    </w:p>
    <w:p w14:paraId="505DDC13">
      <w:pPr>
        <w:spacing w:before="55"/>
        <w:ind w:left="594" w:right="-20"/>
        <w:rPr>
          <w:rFonts w:ascii="宋体" w:hAnsi="宋体" w:cs="宋体"/>
          <w:color w:val="auto"/>
          <w:highlight w:val="none"/>
        </w:rPr>
      </w:pPr>
      <w:r>
        <w:rPr>
          <w:rFonts w:hint="eastAsia" w:ascii="宋体" w:hAnsi="宋体" w:cs="宋体"/>
          <w:color w:val="auto"/>
          <w:highlight w:val="none"/>
        </w:rPr>
        <w:t>1）投标供应商为中型、小型、微型企业的提供此函；</w:t>
      </w:r>
    </w:p>
    <w:p w14:paraId="50E87BF0">
      <w:pPr>
        <w:spacing w:before="53" w:line="272" w:lineRule="auto"/>
        <w:ind w:left="114" w:right="31"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spacing w:val="-14"/>
          <w:highlight w:val="none"/>
        </w:rPr>
        <w:t>）</w:t>
      </w:r>
      <w:r>
        <w:rPr>
          <w:rFonts w:hint="eastAsia" w:ascii="宋体" w:hAnsi="宋体" w:cs="宋体"/>
          <w:color w:val="auto"/>
          <w:highlight w:val="none"/>
        </w:rPr>
        <w:t>中型企业不享受价格扣除</w:t>
      </w:r>
      <w:r>
        <w:rPr>
          <w:rFonts w:hint="eastAsia" w:ascii="宋体" w:hAnsi="宋体" w:cs="宋体"/>
          <w:color w:val="auto"/>
          <w:spacing w:val="-14"/>
          <w:highlight w:val="none"/>
        </w:rPr>
        <w:t>，</w:t>
      </w:r>
      <w:r>
        <w:rPr>
          <w:rFonts w:hint="eastAsia" w:ascii="宋体" w:hAnsi="宋体" w:cs="宋体"/>
          <w:color w:val="auto"/>
          <w:highlight w:val="none"/>
        </w:rPr>
        <w:t>小型</w:t>
      </w:r>
      <w:r>
        <w:rPr>
          <w:rFonts w:hint="eastAsia" w:ascii="宋体" w:hAnsi="宋体" w:cs="宋体"/>
          <w:color w:val="auto"/>
          <w:spacing w:val="-12"/>
          <w:highlight w:val="none"/>
        </w:rPr>
        <w:t>、</w:t>
      </w:r>
      <w:r>
        <w:rPr>
          <w:rFonts w:hint="eastAsia" w:ascii="宋体" w:hAnsi="宋体" w:cs="宋体"/>
          <w:color w:val="auto"/>
          <w:highlight w:val="none"/>
        </w:rPr>
        <w:t>微型企业的行业类别由评审专家结合投标供应商 出具的证明材料认定；经认定不符合小型、微型企业标准的，不享受价格扣除；</w:t>
      </w:r>
    </w:p>
    <w:p w14:paraId="355DB9B7">
      <w:pPr>
        <w:spacing w:before="10" w:line="272" w:lineRule="auto"/>
        <w:ind w:left="114" w:right="31" w:firstLine="48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spacing w:val="-14"/>
          <w:highlight w:val="none"/>
        </w:rPr>
        <w:t>）</w:t>
      </w:r>
      <w:r>
        <w:rPr>
          <w:rFonts w:hint="eastAsia" w:ascii="宋体" w:hAnsi="宋体" w:cs="宋体"/>
          <w:color w:val="auto"/>
          <w:highlight w:val="none"/>
        </w:rPr>
        <w:t>所投标项内的产品如由多个企业制造的</w:t>
      </w:r>
      <w:r>
        <w:rPr>
          <w:rFonts w:hint="eastAsia" w:ascii="宋体" w:hAnsi="宋体" w:cs="宋体"/>
          <w:color w:val="auto"/>
          <w:spacing w:val="-14"/>
          <w:highlight w:val="none"/>
        </w:rPr>
        <w:t>，</w:t>
      </w:r>
      <w:r>
        <w:rPr>
          <w:rFonts w:hint="eastAsia" w:ascii="宋体" w:hAnsi="宋体" w:cs="宋体"/>
          <w:color w:val="auto"/>
          <w:highlight w:val="none"/>
        </w:rPr>
        <w:t>在填写企业类型时</w:t>
      </w:r>
      <w:r>
        <w:rPr>
          <w:rFonts w:hint="eastAsia" w:ascii="宋体" w:hAnsi="宋体" w:cs="宋体"/>
          <w:color w:val="auto"/>
          <w:spacing w:val="-12"/>
          <w:highlight w:val="none"/>
        </w:rPr>
        <w:t>，</w:t>
      </w:r>
      <w:r>
        <w:rPr>
          <w:rFonts w:hint="eastAsia" w:ascii="宋体" w:hAnsi="宋体" w:cs="宋体"/>
          <w:color w:val="auto"/>
          <w:highlight w:val="none"/>
        </w:rPr>
        <w:t>按产品生产企业 中规模最大的企业类型填写；</w:t>
      </w:r>
    </w:p>
    <w:p w14:paraId="5AFB882B">
      <w:pPr>
        <w:spacing w:before="10" w:line="271" w:lineRule="auto"/>
        <w:ind w:left="114" w:right="31" w:firstLine="480"/>
        <w:rPr>
          <w:rFonts w:ascii="宋体" w:hAnsi="宋体" w:cs="宋体"/>
          <w:color w:val="auto"/>
          <w:highlight w:val="none"/>
        </w:rPr>
      </w:pPr>
      <w:r>
        <w:rPr>
          <w:rFonts w:hint="eastAsia" w:ascii="宋体" w:hAnsi="宋体" w:cs="宋体"/>
          <w:color w:val="auto"/>
          <w:highlight w:val="none"/>
        </w:rPr>
        <w:t>4</w:t>
      </w:r>
      <w:r>
        <w:rPr>
          <w:rFonts w:hint="eastAsia" w:ascii="宋体" w:hAnsi="宋体" w:cs="宋体"/>
          <w:color w:val="auto"/>
          <w:spacing w:val="-10"/>
          <w:highlight w:val="none"/>
        </w:rPr>
        <w:t>）</w:t>
      </w:r>
      <w:r>
        <w:rPr>
          <w:rFonts w:hint="eastAsia" w:ascii="宋体" w:hAnsi="宋体" w:cs="宋体"/>
          <w:color w:val="auto"/>
          <w:highlight w:val="none"/>
        </w:rPr>
        <w:t>投标产品制造商投标</w:t>
      </w:r>
      <w:r>
        <w:rPr>
          <w:rFonts w:hint="eastAsia" w:ascii="宋体" w:hAnsi="宋体" w:cs="宋体"/>
          <w:color w:val="auto"/>
          <w:spacing w:val="-12"/>
          <w:highlight w:val="none"/>
        </w:rPr>
        <w:t>，</w:t>
      </w:r>
      <w:r>
        <w:rPr>
          <w:rFonts w:hint="eastAsia" w:ascii="宋体" w:hAnsi="宋体" w:cs="宋体"/>
          <w:color w:val="auto"/>
          <w:highlight w:val="none"/>
        </w:rPr>
        <w:t>提供投标供应商出具</w:t>
      </w:r>
      <w:r>
        <w:rPr>
          <w:rFonts w:hint="eastAsia" w:ascii="宋体" w:hAnsi="宋体" w:cs="宋体"/>
          <w:color w:val="auto"/>
          <w:spacing w:val="-10"/>
          <w:highlight w:val="none"/>
        </w:rPr>
        <w:t>的</w:t>
      </w:r>
      <w:r>
        <w:rPr>
          <w:rFonts w:hint="eastAsia" w:ascii="宋体" w:hAnsi="宋体" w:cs="宋体"/>
          <w:color w:val="auto"/>
          <w:highlight w:val="none"/>
        </w:rPr>
        <w:t>《中小企业声明函</w:t>
      </w:r>
      <w:r>
        <w:rPr>
          <w:rFonts w:hint="eastAsia" w:ascii="宋体" w:hAnsi="宋体" w:cs="宋体"/>
          <w:color w:val="auto"/>
          <w:spacing w:val="-10"/>
          <w:highlight w:val="none"/>
        </w:rPr>
        <w:t>》</w:t>
      </w:r>
      <w:r>
        <w:rPr>
          <w:rFonts w:hint="eastAsia" w:ascii="宋体" w:hAnsi="宋体" w:cs="宋体"/>
          <w:color w:val="auto"/>
          <w:highlight w:val="none"/>
        </w:rPr>
        <w:t>及其相关的充分 的证明材料；代理商投标，提供投标供应商及主要产品制造商出具的《中小企业声明函》及其相关的充分的证明材料；</w:t>
      </w:r>
    </w:p>
    <w:p w14:paraId="4ACF9182">
      <w:pPr>
        <w:spacing w:before="10" w:line="271" w:lineRule="auto"/>
        <w:ind w:left="114" w:right="31" w:firstLine="480"/>
        <w:rPr>
          <w:rFonts w:ascii="宋体" w:hAnsi="宋体" w:cs="宋体"/>
          <w:color w:val="auto"/>
          <w:highlight w:val="none"/>
        </w:rPr>
      </w:pPr>
      <w:r>
        <w:rPr>
          <w:rFonts w:hint="eastAsia" w:ascii="宋体" w:hAnsi="宋体" w:cs="宋体"/>
          <w:color w:val="auto"/>
          <w:highlight w:val="none"/>
        </w:rPr>
        <w:t>▲投标供应商提供的中小企业声明函与实际情况不符的，视为投标供应商提供虚假材料投标的，投标无效。</w:t>
      </w:r>
    </w:p>
    <w:p w14:paraId="442EE182">
      <w:pPr>
        <w:spacing w:line="400" w:lineRule="exact"/>
        <w:jc w:val="center"/>
        <w:rPr>
          <w:rFonts w:ascii="宋体" w:hAnsi="宋体" w:cs="宋体"/>
          <w:b/>
          <w:color w:val="auto"/>
          <w:spacing w:val="6"/>
          <w:sz w:val="32"/>
          <w:szCs w:val="32"/>
          <w:highlight w:val="none"/>
        </w:rPr>
      </w:pPr>
    </w:p>
    <w:p w14:paraId="0DFD383C">
      <w:pPr>
        <w:pStyle w:val="32"/>
        <w:ind w:firstLine="560"/>
        <w:rPr>
          <w:color w:val="auto"/>
          <w:highlight w:val="none"/>
        </w:rPr>
      </w:pPr>
    </w:p>
    <w:p w14:paraId="0C4F3E50">
      <w:pPr>
        <w:pStyle w:val="32"/>
        <w:ind w:firstLine="560"/>
        <w:rPr>
          <w:color w:val="auto"/>
          <w:highlight w:val="none"/>
        </w:rPr>
      </w:pPr>
    </w:p>
    <w:p w14:paraId="37559727">
      <w:pPr>
        <w:spacing w:line="400" w:lineRule="exact"/>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残疾人福利性单位声明函</w:t>
      </w:r>
    </w:p>
    <w:p w14:paraId="1D215ECB">
      <w:pPr>
        <w:spacing w:line="400" w:lineRule="exact"/>
        <w:rPr>
          <w:rFonts w:ascii="宋体" w:hAnsi="宋体" w:cs="宋体"/>
          <w:b/>
          <w:color w:val="auto"/>
          <w:spacing w:val="6"/>
          <w:sz w:val="30"/>
          <w:szCs w:val="30"/>
          <w:highlight w:val="none"/>
        </w:rPr>
      </w:pPr>
    </w:p>
    <w:p w14:paraId="31084C8E">
      <w:pPr>
        <w:snapToGrid w:val="0"/>
        <w:spacing w:line="400" w:lineRule="exact"/>
        <w:ind w:firstLine="480" w:firstLineChars="200"/>
        <w:rPr>
          <w:rFonts w:ascii="宋体" w:hAnsi="宋体" w:cs="宋体"/>
          <w:color w:val="auto"/>
          <w:highlight w:val="none"/>
        </w:rPr>
      </w:pPr>
      <w:r>
        <w:rPr>
          <w:rFonts w:hint="eastAsia" w:ascii="宋体" w:hAnsi="宋体" w:cs="宋体"/>
          <w:color w:val="auto"/>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1E7B89E">
      <w:pPr>
        <w:snapToGrid w:val="0"/>
        <w:spacing w:line="400" w:lineRule="exact"/>
        <w:ind w:firstLine="480" w:firstLineChars="200"/>
        <w:rPr>
          <w:rFonts w:ascii="宋体" w:hAnsi="宋体" w:cs="宋体"/>
          <w:color w:val="auto"/>
          <w:highlight w:val="none"/>
        </w:rPr>
      </w:pPr>
      <w:r>
        <w:rPr>
          <w:rFonts w:hint="eastAsia" w:ascii="宋体" w:hAnsi="宋体" w:cs="宋体"/>
          <w:color w:val="auto"/>
          <w:highlight w:val="none"/>
        </w:rPr>
        <w:t>本单位对上述声明的真实性负责。如有虚假，将依法承担相应责任。</w:t>
      </w:r>
    </w:p>
    <w:p w14:paraId="7101FEB7">
      <w:pPr>
        <w:snapToGrid w:val="0"/>
        <w:spacing w:line="400" w:lineRule="exact"/>
        <w:ind w:firstLine="480" w:firstLineChars="200"/>
        <w:rPr>
          <w:rFonts w:ascii="宋体" w:hAnsi="宋体" w:cs="宋体"/>
          <w:color w:val="auto"/>
          <w:highlight w:val="none"/>
        </w:rPr>
      </w:pPr>
    </w:p>
    <w:p w14:paraId="044586E6">
      <w:pPr>
        <w:spacing w:line="400" w:lineRule="exact"/>
        <w:ind w:firstLine="504" w:firstLineChars="200"/>
        <w:rPr>
          <w:rFonts w:ascii="宋体" w:hAnsi="宋体" w:cs="宋体"/>
          <w:color w:val="auto"/>
          <w:spacing w:val="6"/>
          <w:highlight w:val="none"/>
        </w:rPr>
      </w:pPr>
    </w:p>
    <w:p w14:paraId="16DCC195">
      <w:pPr>
        <w:snapToGrid w:val="0"/>
        <w:spacing w:line="400" w:lineRule="exact"/>
        <w:ind w:firstLine="504" w:firstLineChars="200"/>
        <w:jc w:val="right"/>
        <w:rPr>
          <w:rFonts w:ascii="宋体" w:hAnsi="宋体" w:cs="宋体"/>
          <w:color w:val="auto"/>
          <w:highlight w:val="none"/>
        </w:rPr>
      </w:pPr>
      <w:r>
        <w:rPr>
          <w:rFonts w:hint="eastAsia" w:ascii="宋体" w:hAnsi="宋体" w:cs="宋体"/>
          <w:color w:val="auto"/>
          <w:spacing w:val="6"/>
          <w:highlight w:val="none"/>
        </w:rPr>
        <w:t xml:space="preserve">         </w:t>
      </w:r>
      <w:r>
        <w:rPr>
          <w:rFonts w:hint="eastAsia" w:ascii="宋体" w:hAnsi="宋体" w:cs="宋体"/>
          <w:color w:val="auto"/>
          <w:highlight w:val="none"/>
        </w:rPr>
        <w:t xml:space="preserve">      单位名称（盖章）：</w:t>
      </w:r>
    </w:p>
    <w:p w14:paraId="3AC9019E">
      <w:pPr>
        <w:snapToGrid w:val="0"/>
        <w:spacing w:line="400" w:lineRule="exact"/>
        <w:ind w:firstLine="480" w:firstLineChars="200"/>
        <w:jc w:val="right"/>
        <w:rPr>
          <w:rFonts w:ascii="宋体" w:hAnsi="宋体" w:cs="宋体"/>
          <w:color w:val="auto"/>
          <w:highlight w:val="none"/>
        </w:rPr>
      </w:pPr>
      <w:r>
        <w:rPr>
          <w:rFonts w:hint="eastAsia" w:ascii="宋体" w:hAnsi="宋体" w:cs="宋体"/>
          <w:color w:val="auto"/>
          <w:highlight w:val="none"/>
        </w:rPr>
        <w:t xml:space="preserve">       日  期：</w:t>
      </w:r>
    </w:p>
    <w:p w14:paraId="198D7488">
      <w:pPr>
        <w:spacing w:line="400" w:lineRule="exact"/>
        <w:jc w:val="left"/>
        <w:rPr>
          <w:rFonts w:ascii="宋体" w:hAnsi="宋体" w:cs="宋体"/>
          <w:b/>
          <w:bCs/>
          <w:color w:val="auto"/>
          <w:sz w:val="28"/>
          <w:szCs w:val="28"/>
          <w:highlight w:val="none"/>
        </w:rPr>
      </w:pPr>
    </w:p>
    <w:p w14:paraId="217A8E53">
      <w:pPr>
        <w:spacing w:line="400" w:lineRule="exact"/>
        <w:jc w:val="left"/>
        <w:rPr>
          <w:rFonts w:ascii="宋体" w:hAnsi="宋体" w:cs="宋体"/>
          <w:b/>
          <w:bCs/>
          <w:color w:val="auto"/>
          <w:sz w:val="28"/>
          <w:szCs w:val="28"/>
          <w:highlight w:val="none"/>
        </w:rPr>
      </w:pPr>
    </w:p>
    <w:p w14:paraId="4FE74F46">
      <w:pPr>
        <w:spacing w:line="400" w:lineRule="exact"/>
        <w:jc w:val="left"/>
        <w:rPr>
          <w:rFonts w:ascii="宋体" w:hAnsi="宋体" w:cs="宋体"/>
          <w:b/>
          <w:bCs/>
          <w:color w:val="auto"/>
          <w:sz w:val="28"/>
          <w:szCs w:val="28"/>
          <w:highlight w:val="none"/>
        </w:rPr>
      </w:pPr>
    </w:p>
    <w:p w14:paraId="74F699AE">
      <w:pPr>
        <w:spacing w:line="400" w:lineRule="exact"/>
        <w:jc w:val="left"/>
        <w:rPr>
          <w:rFonts w:ascii="宋体" w:hAnsi="宋体" w:cs="宋体"/>
          <w:b/>
          <w:bCs/>
          <w:color w:val="auto"/>
          <w:sz w:val="28"/>
          <w:szCs w:val="28"/>
          <w:highlight w:val="none"/>
        </w:rPr>
      </w:pPr>
    </w:p>
    <w:p w14:paraId="48995D2B">
      <w:pPr>
        <w:spacing w:line="400" w:lineRule="exact"/>
        <w:jc w:val="left"/>
        <w:rPr>
          <w:rFonts w:ascii="宋体" w:hAnsi="宋体" w:cs="宋体"/>
          <w:b/>
          <w:bCs/>
          <w:color w:val="auto"/>
          <w:sz w:val="28"/>
          <w:szCs w:val="28"/>
          <w:highlight w:val="none"/>
        </w:rPr>
      </w:pPr>
    </w:p>
    <w:p w14:paraId="6CC3BB65">
      <w:pPr>
        <w:spacing w:line="400" w:lineRule="exact"/>
        <w:jc w:val="left"/>
        <w:rPr>
          <w:rFonts w:ascii="宋体" w:hAnsi="宋体" w:cs="宋体"/>
          <w:b/>
          <w:bCs/>
          <w:color w:val="auto"/>
          <w:sz w:val="28"/>
          <w:szCs w:val="28"/>
          <w:highlight w:val="none"/>
        </w:rPr>
      </w:pPr>
    </w:p>
    <w:p w14:paraId="1042CDED">
      <w:pPr>
        <w:spacing w:line="400" w:lineRule="exact"/>
        <w:jc w:val="left"/>
        <w:rPr>
          <w:rFonts w:ascii="宋体" w:hAnsi="宋体" w:cs="宋体"/>
          <w:b/>
          <w:bCs/>
          <w:color w:val="auto"/>
          <w:sz w:val="28"/>
          <w:szCs w:val="28"/>
          <w:highlight w:val="none"/>
        </w:rPr>
      </w:pPr>
    </w:p>
    <w:p w14:paraId="01D26D4B">
      <w:pPr>
        <w:spacing w:line="400" w:lineRule="exact"/>
        <w:jc w:val="left"/>
        <w:rPr>
          <w:rFonts w:ascii="宋体" w:hAnsi="宋体" w:cs="宋体"/>
          <w:b/>
          <w:bCs/>
          <w:color w:val="auto"/>
          <w:sz w:val="28"/>
          <w:szCs w:val="28"/>
          <w:highlight w:val="none"/>
        </w:rPr>
      </w:pPr>
    </w:p>
    <w:p w14:paraId="0953F7BA">
      <w:pPr>
        <w:spacing w:line="400" w:lineRule="exact"/>
        <w:jc w:val="left"/>
        <w:rPr>
          <w:rFonts w:ascii="宋体" w:hAnsi="宋体" w:cs="宋体"/>
          <w:b/>
          <w:bCs/>
          <w:color w:val="auto"/>
          <w:sz w:val="28"/>
          <w:szCs w:val="28"/>
          <w:highlight w:val="none"/>
        </w:rPr>
      </w:pPr>
    </w:p>
    <w:p w14:paraId="246044BC">
      <w:pPr>
        <w:spacing w:line="400" w:lineRule="exact"/>
        <w:jc w:val="left"/>
        <w:rPr>
          <w:rFonts w:ascii="宋体" w:hAnsi="宋体" w:cs="宋体"/>
          <w:b/>
          <w:bCs/>
          <w:color w:val="auto"/>
          <w:sz w:val="28"/>
          <w:szCs w:val="28"/>
          <w:highlight w:val="none"/>
        </w:rPr>
      </w:pPr>
    </w:p>
    <w:p w14:paraId="2BBDD1BE">
      <w:pPr>
        <w:spacing w:line="400" w:lineRule="exact"/>
        <w:jc w:val="left"/>
        <w:rPr>
          <w:rFonts w:ascii="宋体" w:hAnsi="宋体" w:cs="宋体"/>
          <w:b/>
          <w:bCs/>
          <w:color w:val="auto"/>
          <w:sz w:val="28"/>
          <w:szCs w:val="28"/>
          <w:highlight w:val="none"/>
        </w:rPr>
      </w:pPr>
    </w:p>
    <w:p w14:paraId="41CA4676">
      <w:pPr>
        <w:spacing w:line="400" w:lineRule="exact"/>
        <w:jc w:val="left"/>
        <w:rPr>
          <w:rFonts w:ascii="宋体" w:hAnsi="宋体" w:cs="宋体"/>
          <w:b/>
          <w:bCs/>
          <w:color w:val="auto"/>
          <w:sz w:val="28"/>
          <w:szCs w:val="28"/>
          <w:highlight w:val="none"/>
        </w:rPr>
      </w:pPr>
    </w:p>
    <w:p w14:paraId="56EFDC9B">
      <w:pPr>
        <w:spacing w:line="400" w:lineRule="exact"/>
        <w:jc w:val="left"/>
        <w:rPr>
          <w:rFonts w:ascii="宋体" w:hAnsi="宋体" w:cs="宋体"/>
          <w:b/>
          <w:bCs/>
          <w:color w:val="auto"/>
          <w:sz w:val="28"/>
          <w:szCs w:val="28"/>
          <w:highlight w:val="none"/>
        </w:rPr>
      </w:pPr>
    </w:p>
    <w:p w14:paraId="224F1E66">
      <w:pPr>
        <w:spacing w:line="400" w:lineRule="exact"/>
        <w:jc w:val="left"/>
        <w:rPr>
          <w:rFonts w:ascii="宋体" w:hAnsi="宋体" w:cs="宋体"/>
          <w:b/>
          <w:bCs/>
          <w:color w:val="auto"/>
          <w:sz w:val="28"/>
          <w:szCs w:val="28"/>
          <w:highlight w:val="none"/>
        </w:rPr>
      </w:pPr>
    </w:p>
    <w:p w14:paraId="7AEA8D71">
      <w:pPr>
        <w:spacing w:line="400" w:lineRule="exact"/>
        <w:jc w:val="left"/>
        <w:rPr>
          <w:rFonts w:ascii="宋体" w:hAnsi="宋体" w:cs="宋体"/>
          <w:b/>
          <w:bCs/>
          <w:color w:val="auto"/>
          <w:sz w:val="28"/>
          <w:szCs w:val="28"/>
          <w:highlight w:val="none"/>
        </w:rPr>
      </w:pPr>
    </w:p>
    <w:p w14:paraId="67EFC7D6">
      <w:pPr>
        <w:spacing w:line="400" w:lineRule="exact"/>
        <w:jc w:val="left"/>
        <w:rPr>
          <w:rFonts w:ascii="宋体" w:hAnsi="宋体" w:cs="宋体"/>
          <w:b/>
          <w:bCs/>
          <w:color w:val="auto"/>
          <w:sz w:val="28"/>
          <w:szCs w:val="28"/>
          <w:highlight w:val="none"/>
        </w:rPr>
      </w:pPr>
    </w:p>
    <w:p w14:paraId="6C51FC5A">
      <w:pPr>
        <w:spacing w:line="400" w:lineRule="exact"/>
        <w:jc w:val="left"/>
        <w:rPr>
          <w:rFonts w:ascii="宋体" w:hAnsi="宋体" w:cs="宋体"/>
          <w:b/>
          <w:bCs/>
          <w:color w:val="auto"/>
          <w:sz w:val="28"/>
          <w:szCs w:val="28"/>
          <w:highlight w:val="none"/>
        </w:rPr>
      </w:pPr>
    </w:p>
    <w:p w14:paraId="60B9778F">
      <w:pPr>
        <w:spacing w:line="400" w:lineRule="exact"/>
        <w:jc w:val="left"/>
        <w:rPr>
          <w:rFonts w:ascii="宋体" w:hAnsi="宋体" w:cs="宋体"/>
          <w:b/>
          <w:bCs/>
          <w:color w:val="auto"/>
          <w:sz w:val="28"/>
          <w:szCs w:val="28"/>
          <w:highlight w:val="none"/>
        </w:rPr>
      </w:pPr>
    </w:p>
    <w:p w14:paraId="2B33F67F">
      <w:pPr>
        <w:spacing w:line="400" w:lineRule="exact"/>
        <w:jc w:val="left"/>
        <w:rPr>
          <w:rFonts w:ascii="宋体" w:hAnsi="宋体" w:cs="宋体"/>
          <w:b/>
          <w:bCs/>
          <w:color w:val="auto"/>
          <w:sz w:val="28"/>
          <w:szCs w:val="28"/>
          <w:highlight w:val="none"/>
        </w:rPr>
      </w:pPr>
    </w:p>
    <w:p w14:paraId="7C20ACDA">
      <w:pPr>
        <w:spacing w:line="400" w:lineRule="exact"/>
        <w:jc w:val="left"/>
        <w:rPr>
          <w:rFonts w:hint="eastAsia" w:ascii="宋体" w:hAnsi="宋体" w:cs="宋体"/>
          <w:b/>
          <w:bCs/>
          <w:color w:val="auto"/>
          <w:sz w:val="28"/>
          <w:szCs w:val="28"/>
          <w:highlight w:val="none"/>
        </w:rPr>
      </w:pPr>
    </w:p>
    <w:p w14:paraId="68B40E55">
      <w:pPr>
        <w:spacing w:line="400" w:lineRule="exact"/>
        <w:jc w:val="left"/>
        <w:rPr>
          <w:rFonts w:hint="eastAsia" w:ascii="宋体" w:hAnsi="宋体" w:cs="宋体"/>
          <w:b/>
          <w:bCs/>
          <w:color w:val="auto"/>
          <w:sz w:val="28"/>
          <w:szCs w:val="28"/>
          <w:highlight w:val="none"/>
        </w:rPr>
      </w:pPr>
    </w:p>
    <w:p w14:paraId="4FD2FD16">
      <w:pPr>
        <w:spacing w:line="400" w:lineRule="exact"/>
        <w:jc w:val="left"/>
        <w:rPr>
          <w:rFonts w:hint="eastAsia" w:ascii="宋体" w:hAnsi="宋体" w:cs="宋体"/>
          <w:b/>
          <w:bCs/>
          <w:color w:val="auto"/>
          <w:sz w:val="28"/>
          <w:szCs w:val="28"/>
          <w:highlight w:val="none"/>
        </w:rPr>
      </w:pPr>
    </w:p>
    <w:p w14:paraId="4C84C2BB">
      <w:pPr>
        <w:spacing w:line="400" w:lineRule="exact"/>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10、技术响应表</w:t>
      </w:r>
    </w:p>
    <w:p w14:paraId="1B7F70D2">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技术响应表</w:t>
      </w:r>
    </w:p>
    <w:p w14:paraId="77C265F6">
      <w:pPr>
        <w:adjustRightInd w:val="0"/>
        <w:snapToGrid w:val="0"/>
        <w:spacing w:line="440" w:lineRule="exact"/>
        <w:ind w:firstLine="360" w:firstLineChars="150"/>
        <w:rPr>
          <w:rFonts w:ascii="宋体" w:hAnsi="宋体" w:cs="宋体"/>
          <w:color w:val="auto"/>
          <w:highlight w:val="none"/>
        </w:rPr>
      </w:pPr>
      <w:r>
        <w:rPr>
          <w:rFonts w:hint="eastAsia" w:ascii="宋体" w:hAnsi="宋体" w:cs="宋体"/>
          <w:color w:val="auto"/>
          <w:highlight w:val="none"/>
        </w:rPr>
        <w:t>项目名称：                              项目编号：</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6"/>
        <w:gridCol w:w="2565"/>
        <w:gridCol w:w="2772"/>
        <w:gridCol w:w="1592"/>
      </w:tblGrid>
      <w:tr w14:paraId="13AF5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jc w:val="center"/>
        </w:trPr>
        <w:tc>
          <w:tcPr>
            <w:tcW w:w="2026" w:type="dxa"/>
            <w:vAlign w:val="center"/>
          </w:tcPr>
          <w:p w14:paraId="2829F72A">
            <w:pPr>
              <w:spacing w:line="360" w:lineRule="exact"/>
              <w:jc w:val="center"/>
              <w:rPr>
                <w:rFonts w:ascii="宋体" w:hAnsi="宋体" w:cs="宋体"/>
                <w:color w:val="auto"/>
                <w:highlight w:val="none"/>
              </w:rPr>
            </w:pPr>
            <w:r>
              <w:rPr>
                <w:rFonts w:hint="eastAsia" w:ascii="宋体" w:hAnsi="宋体" w:cs="宋体"/>
                <w:color w:val="auto"/>
                <w:highlight w:val="none"/>
              </w:rPr>
              <w:t>项目</w:t>
            </w:r>
          </w:p>
        </w:tc>
        <w:tc>
          <w:tcPr>
            <w:tcW w:w="2565" w:type="dxa"/>
            <w:vAlign w:val="center"/>
          </w:tcPr>
          <w:p w14:paraId="0D1015D4">
            <w:pPr>
              <w:spacing w:line="360" w:lineRule="exact"/>
              <w:jc w:val="center"/>
              <w:rPr>
                <w:rFonts w:ascii="宋体" w:hAnsi="宋体" w:cs="宋体"/>
                <w:color w:val="auto"/>
                <w:highlight w:val="none"/>
              </w:rPr>
            </w:pPr>
            <w:r>
              <w:rPr>
                <w:rFonts w:hint="eastAsia" w:ascii="宋体" w:hAnsi="宋体" w:cs="宋体"/>
                <w:color w:val="auto"/>
                <w:highlight w:val="none"/>
              </w:rPr>
              <w:t>招标文件要求</w:t>
            </w:r>
          </w:p>
        </w:tc>
        <w:tc>
          <w:tcPr>
            <w:tcW w:w="2772" w:type="dxa"/>
            <w:vAlign w:val="center"/>
          </w:tcPr>
          <w:p w14:paraId="25E85C4B">
            <w:pPr>
              <w:spacing w:line="360" w:lineRule="exact"/>
              <w:jc w:val="center"/>
              <w:rPr>
                <w:rFonts w:ascii="宋体" w:hAnsi="宋体" w:cs="宋体"/>
                <w:color w:val="auto"/>
                <w:highlight w:val="none"/>
              </w:rPr>
            </w:pPr>
            <w:r>
              <w:rPr>
                <w:rFonts w:hint="eastAsia" w:ascii="宋体" w:hAnsi="宋体" w:cs="宋体"/>
                <w:color w:val="auto"/>
                <w:highlight w:val="none"/>
              </w:rPr>
              <w:t>是否响应</w:t>
            </w:r>
          </w:p>
        </w:tc>
        <w:tc>
          <w:tcPr>
            <w:tcW w:w="1592" w:type="dxa"/>
            <w:vAlign w:val="center"/>
          </w:tcPr>
          <w:p w14:paraId="4456FAA5">
            <w:pPr>
              <w:spacing w:line="360" w:lineRule="exact"/>
              <w:jc w:val="center"/>
              <w:rPr>
                <w:rFonts w:ascii="宋体" w:hAnsi="宋体" w:cs="宋体"/>
                <w:color w:val="auto"/>
                <w:highlight w:val="none"/>
              </w:rPr>
            </w:pPr>
            <w:r>
              <w:rPr>
                <w:rFonts w:hint="eastAsia" w:ascii="宋体" w:hAnsi="宋体" w:cs="宋体"/>
                <w:color w:val="auto"/>
                <w:highlight w:val="none"/>
              </w:rPr>
              <w:t>偏离原因</w:t>
            </w:r>
          </w:p>
        </w:tc>
      </w:tr>
      <w:tr w14:paraId="68E15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026" w:type="dxa"/>
            <w:vAlign w:val="center"/>
          </w:tcPr>
          <w:p w14:paraId="1BD3EC6F">
            <w:pPr>
              <w:spacing w:line="360" w:lineRule="exact"/>
              <w:rPr>
                <w:rFonts w:ascii="宋体" w:hAnsi="宋体" w:cs="宋体"/>
                <w:color w:val="auto"/>
                <w:highlight w:val="none"/>
              </w:rPr>
            </w:pPr>
          </w:p>
        </w:tc>
        <w:tc>
          <w:tcPr>
            <w:tcW w:w="2565" w:type="dxa"/>
            <w:vAlign w:val="center"/>
          </w:tcPr>
          <w:p w14:paraId="75A9CA80">
            <w:pPr>
              <w:spacing w:line="360" w:lineRule="exact"/>
              <w:rPr>
                <w:rFonts w:ascii="宋体" w:hAnsi="宋体" w:cs="宋体"/>
                <w:color w:val="auto"/>
                <w:highlight w:val="none"/>
              </w:rPr>
            </w:pPr>
          </w:p>
        </w:tc>
        <w:tc>
          <w:tcPr>
            <w:tcW w:w="2772" w:type="dxa"/>
            <w:vAlign w:val="center"/>
          </w:tcPr>
          <w:p w14:paraId="387712A2">
            <w:pPr>
              <w:spacing w:line="360" w:lineRule="exact"/>
              <w:rPr>
                <w:rFonts w:ascii="宋体" w:hAnsi="宋体" w:cs="宋体"/>
                <w:color w:val="auto"/>
                <w:highlight w:val="none"/>
              </w:rPr>
            </w:pPr>
          </w:p>
        </w:tc>
        <w:tc>
          <w:tcPr>
            <w:tcW w:w="1592" w:type="dxa"/>
            <w:vAlign w:val="center"/>
          </w:tcPr>
          <w:p w14:paraId="282F48F8">
            <w:pPr>
              <w:spacing w:line="360" w:lineRule="exact"/>
              <w:rPr>
                <w:rFonts w:ascii="宋体" w:hAnsi="宋体" w:cs="宋体"/>
                <w:color w:val="auto"/>
                <w:highlight w:val="none"/>
              </w:rPr>
            </w:pPr>
          </w:p>
        </w:tc>
      </w:tr>
      <w:tr w14:paraId="7FA24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026" w:type="dxa"/>
            <w:vAlign w:val="center"/>
          </w:tcPr>
          <w:p w14:paraId="7353CD31">
            <w:pPr>
              <w:spacing w:line="360" w:lineRule="exact"/>
              <w:rPr>
                <w:rFonts w:ascii="宋体" w:hAnsi="宋体" w:cs="宋体"/>
                <w:color w:val="auto"/>
                <w:highlight w:val="none"/>
              </w:rPr>
            </w:pPr>
          </w:p>
        </w:tc>
        <w:tc>
          <w:tcPr>
            <w:tcW w:w="2565" w:type="dxa"/>
            <w:vAlign w:val="center"/>
          </w:tcPr>
          <w:p w14:paraId="7AD2349D">
            <w:pPr>
              <w:spacing w:line="360" w:lineRule="exact"/>
              <w:rPr>
                <w:rFonts w:ascii="宋体" w:hAnsi="宋体" w:cs="宋体"/>
                <w:color w:val="auto"/>
                <w:highlight w:val="none"/>
              </w:rPr>
            </w:pPr>
          </w:p>
        </w:tc>
        <w:tc>
          <w:tcPr>
            <w:tcW w:w="2772" w:type="dxa"/>
            <w:vAlign w:val="center"/>
          </w:tcPr>
          <w:p w14:paraId="7A2F968D">
            <w:pPr>
              <w:spacing w:line="360" w:lineRule="exact"/>
              <w:rPr>
                <w:rFonts w:ascii="宋体" w:hAnsi="宋体" w:cs="宋体"/>
                <w:color w:val="auto"/>
                <w:highlight w:val="none"/>
              </w:rPr>
            </w:pPr>
          </w:p>
        </w:tc>
        <w:tc>
          <w:tcPr>
            <w:tcW w:w="1592" w:type="dxa"/>
            <w:vAlign w:val="center"/>
          </w:tcPr>
          <w:p w14:paraId="739518AF">
            <w:pPr>
              <w:spacing w:line="360" w:lineRule="exact"/>
              <w:rPr>
                <w:rFonts w:ascii="宋体" w:hAnsi="宋体" w:cs="宋体"/>
                <w:color w:val="auto"/>
                <w:highlight w:val="none"/>
              </w:rPr>
            </w:pPr>
          </w:p>
        </w:tc>
      </w:tr>
      <w:tr w14:paraId="779FB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026" w:type="dxa"/>
            <w:vAlign w:val="center"/>
          </w:tcPr>
          <w:p w14:paraId="6091631B">
            <w:pPr>
              <w:spacing w:line="360" w:lineRule="exact"/>
              <w:rPr>
                <w:rFonts w:ascii="宋体" w:hAnsi="宋体" w:cs="宋体"/>
                <w:color w:val="auto"/>
                <w:highlight w:val="none"/>
              </w:rPr>
            </w:pPr>
          </w:p>
        </w:tc>
        <w:tc>
          <w:tcPr>
            <w:tcW w:w="2565" w:type="dxa"/>
            <w:vAlign w:val="center"/>
          </w:tcPr>
          <w:p w14:paraId="708ACCBF">
            <w:pPr>
              <w:spacing w:line="360" w:lineRule="exact"/>
              <w:rPr>
                <w:rFonts w:ascii="宋体" w:hAnsi="宋体" w:cs="宋体"/>
                <w:color w:val="auto"/>
                <w:highlight w:val="none"/>
              </w:rPr>
            </w:pPr>
          </w:p>
        </w:tc>
        <w:tc>
          <w:tcPr>
            <w:tcW w:w="2772" w:type="dxa"/>
            <w:vAlign w:val="center"/>
          </w:tcPr>
          <w:p w14:paraId="3158547E">
            <w:pPr>
              <w:spacing w:line="360" w:lineRule="exact"/>
              <w:rPr>
                <w:rFonts w:ascii="宋体" w:hAnsi="宋体" w:cs="宋体"/>
                <w:color w:val="auto"/>
                <w:highlight w:val="none"/>
              </w:rPr>
            </w:pPr>
          </w:p>
        </w:tc>
        <w:tc>
          <w:tcPr>
            <w:tcW w:w="1592" w:type="dxa"/>
            <w:vAlign w:val="center"/>
          </w:tcPr>
          <w:p w14:paraId="55E0C148">
            <w:pPr>
              <w:spacing w:line="360" w:lineRule="exact"/>
              <w:rPr>
                <w:rFonts w:ascii="宋体" w:hAnsi="宋体" w:cs="宋体"/>
                <w:color w:val="auto"/>
                <w:highlight w:val="none"/>
              </w:rPr>
            </w:pPr>
          </w:p>
        </w:tc>
      </w:tr>
      <w:tr w14:paraId="64E04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026" w:type="dxa"/>
            <w:vAlign w:val="center"/>
          </w:tcPr>
          <w:p w14:paraId="73E899E2">
            <w:pPr>
              <w:spacing w:line="360" w:lineRule="exact"/>
              <w:rPr>
                <w:rFonts w:ascii="宋体" w:hAnsi="宋体" w:cs="宋体"/>
                <w:color w:val="auto"/>
                <w:highlight w:val="none"/>
              </w:rPr>
            </w:pPr>
          </w:p>
        </w:tc>
        <w:tc>
          <w:tcPr>
            <w:tcW w:w="2565" w:type="dxa"/>
            <w:vAlign w:val="center"/>
          </w:tcPr>
          <w:p w14:paraId="328C5919">
            <w:pPr>
              <w:spacing w:line="360" w:lineRule="exact"/>
              <w:rPr>
                <w:rFonts w:ascii="宋体" w:hAnsi="宋体" w:cs="宋体"/>
                <w:color w:val="auto"/>
                <w:highlight w:val="none"/>
              </w:rPr>
            </w:pPr>
          </w:p>
        </w:tc>
        <w:tc>
          <w:tcPr>
            <w:tcW w:w="2772" w:type="dxa"/>
            <w:vAlign w:val="center"/>
          </w:tcPr>
          <w:p w14:paraId="191B97FE">
            <w:pPr>
              <w:spacing w:line="360" w:lineRule="exact"/>
              <w:rPr>
                <w:rFonts w:ascii="宋体" w:hAnsi="宋体" w:cs="宋体"/>
                <w:color w:val="auto"/>
                <w:highlight w:val="none"/>
              </w:rPr>
            </w:pPr>
          </w:p>
        </w:tc>
        <w:tc>
          <w:tcPr>
            <w:tcW w:w="1592" w:type="dxa"/>
            <w:vAlign w:val="center"/>
          </w:tcPr>
          <w:p w14:paraId="6049C448">
            <w:pPr>
              <w:spacing w:line="360" w:lineRule="exact"/>
              <w:rPr>
                <w:rFonts w:ascii="宋体" w:hAnsi="宋体" w:cs="宋体"/>
                <w:color w:val="auto"/>
                <w:highlight w:val="none"/>
              </w:rPr>
            </w:pPr>
          </w:p>
        </w:tc>
      </w:tr>
      <w:tr w14:paraId="7E55B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026" w:type="dxa"/>
            <w:vAlign w:val="center"/>
          </w:tcPr>
          <w:p w14:paraId="20049329">
            <w:pPr>
              <w:spacing w:line="360" w:lineRule="exact"/>
              <w:rPr>
                <w:rFonts w:ascii="宋体" w:hAnsi="宋体" w:cs="宋体"/>
                <w:color w:val="auto"/>
                <w:highlight w:val="none"/>
              </w:rPr>
            </w:pPr>
          </w:p>
        </w:tc>
        <w:tc>
          <w:tcPr>
            <w:tcW w:w="2565" w:type="dxa"/>
            <w:vAlign w:val="center"/>
          </w:tcPr>
          <w:p w14:paraId="65334590">
            <w:pPr>
              <w:spacing w:line="360" w:lineRule="exact"/>
              <w:rPr>
                <w:rFonts w:ascii="宋体" w:hAnsi="宋体" w:cs="宋体"/>
                <w:color w:val="auto"/>
                <w:highlight w:val="none"/>
              </w:rPr>
            </w:pPr>
          </w:p>
        </w:tc>
        <w:tc>
          <w:tcPr>
            <w:tcW w:w="2772" w:type="dxa"/>
            <w:vAlign w:val="center"/>
          </w:tcPr>
          <w:p w14:paraId="6B6886A0">
            <w:pPr>
              <w:spacing w:line="360" w:lineRule="exact"/>
              <w:rPr>
                <w:rFonts w:ascii="宋体" w:hAnsi="宋体" w:cs="宋体"/>
                <w:color w:val="auto"/>
                <w:highlight w:val="none"/>
              </w:rPr>
            </w:pPr>
          </w:p>
        </w:tc>
        <w:tc>
          <w:tcPr>
            <w:tcW w:w="1592" w:type="dxa"/>
            <w:vAlign w:val="center"/>
          </w:tcPr>
          <w:p w14:paraId="031D3575">
            <w:pPr>
              <w:spacing w:line="360" w:lineRule="exact"/>
              <w:rPr>
                <w:rFonts w:ascii="宋体" w:hAnsi="宋体" w:cs="宋体"/>
                <w:color w:val="auto"/>
                <w:highlight w:val="none"/>
              </w:rPr>
            </w:pPr>
          </w:p>
        </w:tc>
      </w:tr>
      <w:tr w14:paraId="6D675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026" w:type="dxa"/>
            <w:vAlign w:val="center"/>
          </w:tcPr>
          <w:p w14:paraId="2226042B">
            <w:pPr>
              <w:spacing w:line="360" w:lineRule="exact"/>
              <w:rPr>
                <w:rFonts w:ascii="宋体" w:hAnsi="宋体" w:cs="宋体"/>
                <w:color w:val="auto"/>
                <w:highlight w:val="none"/>
              </w:rPr>
            </w:pPr>
          </w:p>
        </w:tc>
        <w:tc>
          <w:tcPr>
            <w:tcW w:w="2565" w:type="dxa"/>
            <w:vAlign w:val="center"/>
          </w:tcPr>
          <w:p w14:paraId="704037EE">
            <w:pPr>
              <w:spacing w:line="360" w:lineRule="exact"/>
              <w:rPr>
                <w:rFonts w:ascii="宋体" w:hAnsi="宋体" w:cs="宋体"/>
                <w:color w:val="auto"/>
                <w:highlight w:val="none"/>
              </w:rPr>
            </w:pPr>
          </w:p>
        </w:tc>
        <w:tc>
          <w:tcPr>
            <w:tcW w:w="2772" w:type="dxa"/>
            <w:vAlign w:val="center"/>
          </w:tcPr>
          <w:p w14:paraId="7757A496">
            <w:pPr>
              <w:spacing w:line="360" w:lineRule="exact"/>
              <w:rPr>
                <w:rFonts w:ascii="宋体" w:hAnsi="宋体" w:cs="宋体"/>
                <w:color w:val="auto"/>
                <w:highlight w:val="none"/>
              </w:rPr>
            </w:pPr>
          </w:p>
        </w:tc>
        <w:tc>
          <w:tcPr>
            <w:tcW w:w="1592" w:type="dxa"/>
            <w:vAlign w:val="center"/>
          </w:tcPr>
          <w:p w14:paraId="36F8940E">
            <w:pPr>
              <w:spacing w:line="360" w:lineRule="exact"/>
              <w:rPr>
                <w:rFonts w:ascii="宋体" w:hAnsi="宋体" w:cs="宋体"/>
                <w:color w:val="auto"/>
                <w:highlight w:val="none"/>
              </w:rPr>
            </w:pPr>
          </w:p>
        </w:tc>
      </w:tr>
    </w:tbl>
    <w:p w14:paraId="5CB2858E">
      <w:pPr>
        <w:snapToGrid w:val="0"/>
        <w:spacing w:line="440" w:lineRule="exact"/>
        <w:rPr>
          <w:rFonts w:ascii="宋体" w:hAnsi="宋体" w:cs="宋体"/>
          <w:color w:val="auto"/>
          <w:highlight w:val="none"/>
        </w:rPr>
      </w:pPr>
    </w:p>
    <w:p w14:paraId="14A3DD4E">
      <w:pPr>
        <w:snapToGrid w:val="0"/>
        <w:spacing w:line="440" w:lineRule="exact"/>
        <w:ind w:firstLine="480" w:firstLineChars="200"/>
        <w:rPr>
          <w:rFonts w:ascii="宋体" w:hAnsi="宋体" w:cs="宋体"/>
          <w:color w:val="auto"/>
          <w:highlight w:val="none"/>
        </w:rPr>
      </w:pPr>
      <w:r>
        <w:rPr>
          <w:rFonts w:hint="eastAsia" w:ascii="宋体" w:hAnsi="宋体" w:cs="宋体"/>
          <w:color w:val="auto"/>
          <w:highlight w:val="none"/>
        </w:rPr>
        <w:t>注：本表不填写或未填写的内容，视作完全响应磋商文件的要求。</w:t>
      </w:r>
    </w:p>
    <w:p w14:paraId="2BBA82C1">
      <w:pPr>
        <w:spacing w:before="156" w:beforeLines="50" w:after="156" w:afterLines="50" w:line="300" w:lineRule="exact"/>
        <w:ind w:firstLine="480" w:firstLineChars="200"/>
        <w:rPr>
          <w:rFonts w:ascii="宋体" w:hAnsi="宋体" w:cs="宋体"/>
          <w:color w:val="auto"/>
          <w:highlight w:val="none"/>
        </w:rPr>
      </w:pPr>
      <w:r>
        <w:rPr>
          <w:rFonts w:hint="eastAsia" w:ascii="宋体" w:hAnsi="宋体" w:cs="宋体"/>
          <w:color w:val="auto"/>
          <w:highlight w:val="none"/>
        </w:rPr>
        <w:t>供应商（盖章）：</w:t>
      </w:r>
    </w:p>
    <w:p w14:paraId="1C3E11C7">
      <w:pPr>
        <w:spacing w:before="156" w:beforeLines="50" w:after="156" w:afterLines="50" w:line="300" w:lineRule="exact"/>
        <w:ind w:firstLine="480" w:firstLineChars="200"/>
        <w:rPr>
          <w:rFonts w:ascii="宋体" w:hAnsi="宋体" w:cs="宋体"/>
          <w:color w:val="auto"/>
          <w:highlight w:val="none"/>
        </w:rPr>
      </w:pPr>
      <w:r>
        <w:rPr>
          <w:rFonts w:hint="eastAsia" w:ascii="宋体" w:hAnsi="宋体" w:cs="宋体"/>
          <w:color w:val="auto"/>
          <w:highlight w:val="none"/>
        </w:rPr>
        <w:t>授权代表（签字）：</w:t>
      </w:r>
    </w:p>
    <w:p w14:paraId="6093DD44">
      <w:pPr>
        <w:snapToGrid w:val="0"/>
        <w:spacing w:line="440" w:lineRule="exact"/>
        <w:ind w:firstLine="480" w:firstLineChars="200"/>
        <w:rPr>
          <w:rFonts w:ascii="宋体" w:hAnsi="宋体" w:cs="宋体"/>
          <w:color w:val="auto"/>
          <w:highlight w:val="none"/>
        </w:rPr>
      </w:pPr>
      <w:r>
        <w:rPr>
          <w:rFonts w:hint="eastAsia" w:ascii="宋体" w:hAnsi="宋体" w:cs="宋体"/>
          <w:color w:val="auto"/>
          <w:highlight w:val="none"/>
        </w:rPr>
        <w:t xml:space="preserve">日期：    </w:t>
      </w:r>
    </w:p>
    <w:p w14:paraId="321180F5">
      <w:pPr>
        <w:adjustRightInd w:val="0"/>
        <w:snapToGrid w:val="0"/>
        <w:spacing w:line="480" w:lineRule="auto"/>
        <w:rPr>
          <w:rFonts w:ascii="宋体" w:hAnsi="宋体" w:cs="宋体"/>
          <w:color w:val="auto"/>
          <w:highlight w:val="none"/>
        </w:rPr>
      </w:pPr>
    </w:p>
    <w:p w14:paraId="658DFE85">
      <w:pPr>
        <w:ind w:firstLine="360" w:firstLineChars="150"/>
        <w:rPr>
          <w:rFonts w:ascii="宋体" w:hAnsi="宋体" w:cs="宋体"/>
          <w:color w:val="auto"/>
          <w:highlight w:val="none"/>
        </w:rPr>
      </w:pPr>
    </w:p>
    <w:p w14:paraId="42EEFB5F">
      <w:pPr>
        <w:ind w:firstLine="360" w:firstLineChars="150"/>
        <w:rPr>
          <w:rFonts w:ascii="宋体" w:hAnsi="宋体" w:cs="宋体"/>
          <w:color w:val="auto"/>
          <w:highlight w:val="none"/>
        </w:rPr>
      </w:pPr>
    </w:p>
    <w:p w14:paraId="73AE918D">
      <w:pPr>
        <w:ind w:firstLine="360" w:firstLineChars="150"/>
        <w:rPr>
          <w:rFonts w:ascii="宋体" w:hAnsi="宋体" w:cs="宋体"/>
          <w:color w:val="auto"/>
          <w:highlight w:val="none"/>
        </w:rPr>
      </w:pPr>
    </w:p>
    <w:p w14:paraId="743A263F">
      <w:pPr>
        <w:ind w:firstLine="360" w:firstLineChars="150"/>
        <w:rPr>
          <w:rFonts w:ascii="宋体" w:hAnsi="宋体" w:cs="宋体"/>
          <w:color w:val="auto"/>
          <w:highlight w:val="none"/>
        </w:rPr>
      </w:pPr>
    </w:p>
    <w:p w14:paraId="13C0735D">
      <w:pPr>
        <w:ind w:firstLine="360" w:firstLineChars="150"/>
        <w:rPr>
          <w:rFonts w:ascii="宋体" w:hAnsi="宋体" w:cs="宋体"/>
          <w:color w:val="auto"/>
          <w:highlight w:val="none"/>
        </w:rPr>
      </w:pPr>
    </w:p>
    <w:p w14:paraId="1678CDD5">
      <w:pPr>
        <w:ind w:firstLine="360" w:firstLineChars="150"/>
        <w:rPr>
          <w:rFonts w:ascii="宋体" w:hAnsi="宋体" w:cs="宋体"/>
          <w:color w:val="auto"/>
          <w:highlight w:val="none"/>
        </w:rPr>
      </w:pPr>
    </w:p>
    <w:p w14:paraId="0B9443D8">
      <w:pPr>
        <w:ind w:firstLine="360" w:firstLineChars="150"/>
        <w:rPr>
          <w:rFonts w:ascii="宋体" w:hAnsi="宋体" w:cs="宋体"/>
          <w:color w:val="auto"/>
          <w:highlight w:val="none"/>
        </w:rPr>
      </w:pPr>
    </w:p>
    <w:p w14:paraId="78890FF4">
      <w:pPr>
        <w:ind w:firstLine="360" w:firstLineChars="150"/>
        <w:rPr>
          <w:rFonts w:ascii="宋体" w:hAnsi="宋体" w:cs="宋体"/>
          <w:color w:val="auto"/>
          <w:highlight w:val="none"/>
        </w:rPr>
      </w:pPr>
    </w:p>
    <w:p w14:paraId="36DDC1EE">
      <w:pPr>
        <w:ind w:firstLine="360" w:firstLineChars="150"/>
        <w:rPr>
          <w:rFonts w:ascii="宋体" w:hAnsi="宋体" w:cs="宋体"/>
          <w:color w:val="auto"/>
          <w:highlight w:val="none"/>
        </w:rPr>
      </w:pPr>
    </w:p>
    <w:p w14:paraId="7F6B1FA7">
      <w:pPr>
        <w:ind w:firstLine="360" w:firstLineChars="150"/>
        <w:rPr>
          <w:rFonts w:ascii="宋体" w:hAnsi="宋体" w:cs="宋体"/>
          <w:color w:val="auto"/>
          <w:highlight w:val="none"/>
        </w:rPr>
      </w:pPr>
    </w:p>
    <w:p w14:paraId="625C1363">
      <w:pPr>
        <w:ind w:firstLine="360" w:firstLineChars="150"/>
        <w:rPr>
          <w:rFonts w:ascii="宋体" w:hAnsi="宋体" w:cs="宋体"/>
          <w:color w:val="auto"/>
          <w:highlight w:val="none"/>
        </w:rPr>
      </w:pPr>
    </w:p>
    <w:p w14:paraId="7267D482">
      <w:pPr>
        <w:ind w:firstLine="360" w:firstLineChars="150"/>
        <w:rPr>
          <w:rFonts w:ascii="宋体" w:hAnsi="宋体" w:cs="宋体"/>
          <w:color w:val="auto"/>
          <w:highlight w:val="none"/>
        </w:rPr>
      </w:pPr>
    </w:p>
    <w:p w14:paraId="54D06909">
      <w:pPr>
        <w:ind w:firstLine="360" w:firstLineChars="150"/>
        <w:rPr>
          <w:rFonts w:ascii="宋体" w:hAnsi="宋体" w:cs="宋体"/>
          <w:color w:val="auto"/>
          <w:highlight w:val="none"/>
        </w:rPr>
      </w:pPr>
    </w:p>
    <w:p w14:paraId="16490C2B">
      <w:pPr>
        <w:ind w:firstLine="360" w:firstLineChars="150"/>
        <w:rPr>
          <w:rFonts w:ascii="宋体" w:hAnsi="宋体" w:cs="宋体"/>
          <w:color w:val="auto"/>
          <w:highlight w:val="none"/>
        </w:rPr>
      </w:pPr>
    </w:p>
    <w:p w14:paraId="672C6D63">
      <w:pPr>
        <w:ind w:firstLine="360" w:firstLineChars="150"/>
        <w:rPr>
          <w:rFonts w:ascii="宋体" w:hAnsi="宋体" w:cs="宋体"/>
          <w:color w:val="auto"/>
          <w:highlight w:val="none"/>
        </w:rPr>
      </w:pPr>
    </w:p>
    <w:p w14:paraId="24C93D5B">
      <w:pPr>
        <w:ind w:firstLine="360" w:firstLineChars="150"/>
        <w:rPr>
          <w:rFonts w:ascii="宋体" w:hAnsi="宋体" w:cs="宋体"/>
          <w:color w:val="auto"/>
          <w:highlight w:val="none"/>
        </w:rPr>
      </w:pPr>
    </w:p>
    <w:p w14:paraId="77BEC044">
      <w:pPr>
        <w:ind w:firstLine="360" w:firstLineChars="150"/>
        <w:rPr>
          <w:rFonts w:ascii="宋体" w:hAnsi="宋体" w:cs="宋体"/>
          <w:color w:val="auto"/>
          <w:highlight w:val="none"/>
        </w:rPr>
      </w:pPr>
    </w:p>
    <w:p w14:paraId="532ED021">
      <w:pPr>
        <w:rPr>
          <w:rFonts w:ascii="宋体" w:hAnsi="宋体" w:cs="宋体"/>
          <w:color w:val="auto"/>
          <w:highlight w:val="none"/>
        </w:rPr>
      </w:pPr>
    </w:p>
    <w:p w14:paraId="7F19DD73">
      <w:pPr>
        <w:spacing w:line="400" w:lineRule="exact"/>
        <w:jc w:val="left"/>
        <w:rPr>
          <w:rFonts w:ascii="宋体" w:hAnsi="宋体" w:cs="宋体"/>
          <w:bCs/>
          <w:color w:val="auto"/>
          <w:sz w:val="30"/>
          <w:szCs w:val="30"/>
          <w:highlight w:val="none"/>
        </w:rPr>
      </w:pPr>
      <w:r>
        <w:rPr>
          <w:rFonts w:hint="eastAsia" w:ascii="宋体" w:hAnsi="宋体" w:cs="宋体"/>
          <w:b/>
          <w:bCs/>
          <w:color w:val="auto"/>
          <w:sz w:val="28"/>
          <w:szCs w:val="28"/>
          <w:highlight w:val="none"/>
        </w:rPr>
        <w:t>11、项目实施人员一览表格式</w:t>
      </w:r>
    </w:p>
    <w:p w14:paraId="3EC6BEA8">
      <w:pPr>
        <w:spacing w:line="360" w:lineRule="auto"/>
        <w:jc w:val="center"/>
        <w:rPr>
          <w:rFonts w:ascii="宋体" w:hAnsi="宋体" w:cs="宋体"/>
          <w:bCs/>
          <w:color w:val="auto"/>
          <w:sz w:val="30"/>
          <w:szCs w:val="30"/>
          <w:highlight w:val="none"/>
        </w:rPr>
      </w:pPr>
    </w:p>
    <w:p w14:paraId="57692DAE">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项目实施人员一览表</w:t>
      </w:r>
    </w:p>
    <w:p w14:paraId="23274571">
      <w:pPr>
        <w:spacing w:line="360" w:lineRule="auto"/>
        <w:rPr>
          <w:rFonts w:ascii="宋体" w:hAnsi="宋体" w:cs="宋体"/>
          <w:bCs/>
          <w:color w:val="auto"/>
          <w:sz w:val="30"/>
          <w:szCs w:val="30"/>
          <w:highlight w:val="none"/>
        </w:rPr>
      </w:pP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944"/>
        <w:gridCol w:w="1715"/>
        <w:gridCol w:w="1282"/>
        <w:gridCol w:w="2113"/>
        <w:gridCol w:w="1723"/>
      </w:tblGrid>
      <w:tr w14:paraId="3D2D9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jc w:val="center"/>
        </w:trPr>
        <w:tc>
          <w:tcPr>
            <w:tcW w:w="943" w:type="dxa"/>
            <w:vAlign w:val="center"/>
          </w:tcPr>
          <w:p w14:paraId="6E59BCBD">
            <w:pPr>
              <w:spacing w:line="360" w:lineRule="exact"/>
              <w:jc w:val="center"/>
              <w:rPr>
                <w:rFonts w:ascii="宋体" w:hAnsi="宋体" w:cs="宋体"/>
                <w:color w:val="auto"/>
                <w:highlight w:val="none"/>
              </w:rPr>
            </w:pPr>
            <w:r>
              <w:rPr>
                <w:rFonts w:hint="eastAsia" w:ascii="宋体" w:hAnsi="宋体" w:cs="宋体"/>
                <w:color w:val="auto"/>
                <w:highlight w:val="none"/>
              </w:rPr>
              <w:t>姓名</w:t>
            </w:r>
          </w:p>
        </w:tc>
        <w:tc>
          <w:tcPr>
            <w:tcW w:w="944" w:type="dxa"/>
            <w:vAlign w:val="center"/>
          </w:tcPr>
          <w:p w14:paraId="3BEF1A11">
            <w:pPr>
              <w:spacing w:line="360" w:lineRule="exact"/>
              <w:jc w:val="center"/>
              <w:rPr>
                <w:rFonts w:ascii="宋体" w:hAnsi="宋体" w:cs="宋体"/>
                <w:color w:val="auto"/>
                <w:highlight w:val="none"/>
              </w:rPr>
            </w:pPr>
            <w:r>
              <w:rPr>
                <w:rFonts w:hint="eastAsia" w:ascii="宋体" w:hAnsi="宋体" w:cs="宋体"/>
                <w:color w:val="auto"/>
                <w:highlight w:val="none"/>
              </w:rPr>
              <w:t>职务</w:t>
            </w:r>
          </w:p>
        </w:tc>
        <w:tc>
          <w:tcPr>
            <w:tcW w:w="1715" w:type="dxa"/>
            <w:vAlign w:val="center"/>
          </w:tcPr>
          <w:p w14:paraId="3A250E22">
            <w:pPr>
              <w:spacing w:line="360" w:lineRule="exact"/>
              <w:jc w:val="center"/>
              <w:rPr>
                <w:rFonts w:ascii="宋体" w:hAnsi="宋体" w:cs="宋体"/>
                <w:color w:val="auto"/>
                <w:highlight w:val="none"/>
              </w:rPr>
            </w:pPr>
            <w:r>
              <w:rPr>
                <w:rFonts w:hint="eastAsia" w:ascii="宋体" w:hAnsi="宋体" w:cs="宋体"/>
                <w:color w:val="auto"/>
                <w:highlight w:val="none"/>
              </w:rPr>
              <w:t>专业技术资格</w:t>
            </w:r>
          </w:p>
        </w:tc>
        <w:tc>
          <w:tcPr>
            <w:tcW w:w="1282" w:type="dxa"/>
            <w:vAlign w:val="center"/>
          </w:tcPr>
          <w:p w14:paraId="492E1B97">
            <w:pPr>
              <w:spacing w:line="360" w:lineRule="exact"/>
              <w:jc w:val="center"/>
              <w:rPr>
                <w:rFonts w:ascii="宋体" w:hAnsi="宋体" w:cs="宋体"/>
                <w:color w:val="auto"/>
                <w:highlight w:val="none"/>
              </w:rPr>
            </w:pPr>
            <w:r>
              <w:rPr>
                <w:rFonts w:hint="eastAsia" w:ascii="宋体" w:hAnsi="宋体" w:cs="宋体"/>
                <w:color w:val="auto"/>
                <w:highlight w:val="none"/>
              </w:rPr>
              <w:t>证书编号</w:t>
            </w:r>
          </w:p>
        </w:tc>
        <w:tc>
          <w:tcPr>
            <w:tcW w:w="2113" w:type="dxa"/>
            <w:vAlign w:val="center"/>
          </w:tcPr>
          <w:p w14:paraId="32C193FA">
            <w:pPr>
              <w:spacing w:line="360" w:lineRule="exact"/>
              <w:jc w:val="center"/>
              <w:rPr>
                <w:rFonts w:ascii="宋体" w:hAnsi="宋体" w:cs="宋体"/>
                <w:color w:val="auto"/>
                <w:highlight w:val="none"/>
              </w:rPr>
            </w:pPr>
            <w:r>
              <w:rPr>
                <w:rFonts w:hint="eastAsia" w:ascii="宋体" w:hAnsi="宋体" w:cs="宋体"/>
                <w:color w:val="auto"/>
                <w:highlight w:val="none"/>
              </w:rPr>
              <w:t>参加本单位工作时间</w:t>
            </w:r>
          </w:p>
        </w:tc>
        <w:tc>
          <w:tcPr>
            <w:tcW w:w="1723" w:type="dxa"/>
            <w:vAlign w:val="center"/>
          </w:tcPr>
          <w:p w14:paraId="63A26F26">
            <w:pPr>
              <w:spacing w:line="360" w:lineRule="exact"/>
              <w:jc w:val="center"/>
              <w:rPr>
                <w:rFonts w:ascii="宋体" w:hAnsi="宋体" w:cs="宋体"/>
                <w:color w:val="auto"/>
                <w:highlight w:val="none"/>
              </w:rPr>
            </w:pPr>
            <w:r>
              <w:rPr>
                <w:rFonts w:hint="eastAsia" w:ascii="宋体" w:hAnsi="宋体" w:cs="宋体"/>
                <w:color w:val="auto"/>
                <w:highlight w:val="none"/>
              </w:rPr>
              <w:t>备注</w:t>
            </w:r>
          </w:p>
        </w:tc>
      </w:tr>
      <w:tr w14:paraId="66356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14:paraId="0FE237D5">
            <w:pPr>
              <w:spacing w:line="360" w:lineRule="exact"/>
              <w:jc w:val="center"/>
              <w:rPr>
                <w:rFonts w:ascii="宋体" w:hAnsi="宋体" w:cs="宋体"/>
                <w:color w:val="auto"/>
                <w:highlight w:val="none"/>
              </w:rPr>
            </w:pPr>
          </w:p>
        </w:tc>
        <w:tc>
          <w:tcPr>
            <w:tcW w:w="944" w:type="dxa"/>
            <w:vAlign w:val="center"/>
          </w:tcPr>
          <w:p w14:paraId="56E28C43">
            <w:pPr>
              <w:spacing w:line="360" w:lineRule="exact"/>
              <w:jc w:val="center"/>
              <w:rPr>
                <w:rFonts w:ascii="宋体" w:hAnsi="宋体" w:cs="宋体"/>
                <w:color w:val="auto"/>
                <w:highlight w:val="none"/>
              </w:rPr>
            </w:pPr>
          </w:p>
        </w:tc>
        <w:tc>
          <w:tcPr>
            <w:tcW w:w="1715" w:type="dxa"/>
            <w:vAlign w:val="center"/>
          </w:tcPr>
          <w:p w14:paraId="5FA3FEA7">
            <w:pPr>
              <w:spacing w:line="360" w:lineRule="exact"/>
              <w:jc w:val="center"/>
              <w:rPr>
                <w:rFonts w:ascii="宋体" w:hAnsi="宋体" w:cs="宋体"/>
                <w:color w:val="auto"/>
                <w:highlight w:val="none"/>
              </w:rPr>
            </w:pPr>
          </w:p>
        </w:tc>
        <w:tc>
          <w:tcPr>
            <w:tcW w:w="1282" w:type="dxa"/>
            <w:vAlign w:val="center"/>
          </w:tcPr>
          <w:p w14:paraId="648EF5B8">
            <w:pPr>
              <w:spacing w:line="360" w:lineRule="exact"/>
              <w:jc w:val="center"/>
              <w:rPr>
                <w:rFonts w:ascii="宋体" w:hAnsi="宋体" w:cs="宋体"/>
                <w:color w:val="auto"/>
                <w:highlight w:val="none"/>
              </w:rPr>
            </w:pPr>
          </w:p>
        </w:tc>
        <w:tc>
          <w:tcPr>
            <w:tcW w:w="2113" w:type="dxa"/>
            <w:vAlign w:val="center"/>
          </w:tcPr>
          <w:p w14:paraId="5E952C98">
            <w:pPr>
              <w:spacing w:line="360" w:lineRule="exact"/>
              <w:jc w:val="center"/>
              <w:rPr>
                <w:rFonts w:ascii="宋体" w:hAnsi="宋体" w:cs="宋体"/>
                <w:color w:val="auto"/>
                <w:highlight w:val="none"/>
              </w:rPr>
            </w:pPr>
          </w:p>
        </w:tc>
        <w:tc>
          <w:tcPr>
            <w:tcW w:w="1723" w:type="dxa"/>
            <w:vAlign w:val="center"/>
          </w:tcPr>
          <w:p w14:paraId="32EF148F">
            <w:pPr>
              <w:spacing w:line="360" w:lineRule="exact"/>
              <w:jc w:val="center"/>
              <w:rPr>
                <w:rFonts w:ascii="宋体" w:hAnsi="宋体" w:cs="宋体"/>
                <w:color w:val="auto"/>
                <w:highlight w:val="none"/>
              </w:rPr>
            </w:pPr>
          </w:p>
        </w:tc>
      </w:tr>
      <w:tr w14:paraId="15EA1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14:paraId="36898959">
            <w:pPr>
              <w:spacing w:line="360" w:lineRule="exact"/>
              <w:jc w:val="center"/>
              <w:rPr>
                <w:rFonts w:ascii="宋体" w:hAnsi="宋体" w:cs="宋体"/>
                <w:color w:val="auto"/>
                <w:highlight w:val="none"/>
              </w:rPr>
            </w:pPr>
          </w:p>
        </w:tc>
        <w:tc>
          <w:tcPr>
            <w:tcW w:w="944" w:type="dxa"/>
            <w:vAlign w:val="center"/>
          </w:tcPr>
          <w:p w14:paraId="2DD43F68">
            <w:pPr>
              <w:spacing w:line="360" w:lineRule="exact"/>
              <w:jc w:val="center"/>
              <w:rPr>
                <w:rFonts w:ascii="宋体" w:hAnsi="宋体" w:cs="宋体"/>
                <w:color w:val="auto"/>
                <w:highlight w:val="none"/>
              </w:rPr>
            </w:pPr>
          </w:p>
        </w:tc>
        <w:tc>
          <w:tcPr>
            <w:tcW w:w="1715" w:type="dxa"/>
            <w:vAlign w:val="center"/>
          </w:tcPr>
          <w:p w14:paraId="2AE372D4">
            <w:pPr>
              <w:spacing w:line="360" w:lineRule="exact"/>
              <w:jc w:val="center"/>
              <w:rPr>
                <w:rFonts w:ascii="宋体" w:hAnsi="宋体" w:cs="宋体"/>
                <w:color w:val="auto"/>
                <w:highlight w:val="none"/>
              </w:rPr>
            </w:pPr>
          </w:p>
        </w:tc>
        <w:tc>
          <w:tcPr>
            <w:tcW w:w="1282" w:type="dxa"/>
            <w:vAlign w:val="center"/>
          </w:tcPr>
          <w:p w14:paraId="200F280D">
            <w:pPr>
              <w:spacing w:line="360" w:lineRule="exact"/>
              <w:jc w:val="center"/>
              <w:rPr>
                <w:rFonts w:ascii="宋体" w:hAnsi="宋体" w:cs="宋体"/>
                <w:color w:val="auto"/>
                <w:highlight w:val="none"/>
              </w:rPr>
            </w:pPr>
          </w:p>
        </w:tc>
        <w:tc>
          <w:tcPr>
            <w:tcW w:w="2113" w:type="dxa"/>
            <w:vAlign w:val="center"/>
          </w:tcPr>
          <w:p w14:paraId="21499AD3">
            <w:pPr>
              <w:spacing w:line="360" w:lineRule="exact"/>
              <w:jc w:val="center"/>
              <w:rPr>
                <w:rFonts w:ascii="宋体" w:hAnsi="宋体" w:cs="宋体"/>
                <w:color w:val="auto"/>
                <w:highlight w:val="none"/>
              </w:rPr>
            </w:pPr>
          </w:p>
        </w:tc>
        <w:tc>
          <w:tcPr>
            <w:tcW w:w="1723" w:type="dxa"/>
            <w:vAlign w:val="center"/>
          </w:tcPr>
          <w:p w14:paraId="179F4EEC">
            <w:pPr>
              <w:spacing w:line="360" w:lineRule="exact"/>
              <w:jc w:val="center"/>
              <w:rPr>
                <w:rFonts w:ascii="宋体" w:hAnsi="宋体" w:cs="宋体"/>
                <w:color w:val="auto"/>
                <w:highlight w:val="none"/>
              </w:rPr>
            </w:pPr>
          </w:p>
        </w:tc>
      </w:tr>
      <w:tr w14:paraId="6A311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14:paraId="52D9A225">
            <w:pPr>
              <w:spacing w:line="360" w:lineRule="exact"/>
              <w:jc w:val="center"/>
              <w:rPr>
                <w:rFonts w:ascii="宋体" w:hAnsi="宋体" w:cs="宋体"/>
                <w:color w:val="auto"/>
                <w:highlight w:val="none"/>
              </w:rPr>
            </w:pPr>
          </w:p>
        </w:tc>
        <w:tc>
          <w:tcPr>
            <w:tcW w:w="944" w:type="dxa"/>
            <w:vAlign w:val="center"/>
          </w:tcPr>
          <w:p w14:paraId="3B324559">
            <w:pPr>
              <w:spacing w:line="360" w:lineRule="exact"/>
              <w:jc w:val="center"/>
              <w:rPr>
                <w:rFonts w:ascii="宋体" w:hAnsi="宋体" w:cs="宋体"/>
                <w:color w:val="auto"/>
                <w:highlight w:val="none"/>
              </w:rPr>
            </w:pPr>
          </w:p>
        </w:tc>
        <w:tc>
          <w:tcPr>
            <w:tcW w:w="1715" w:type="dxa"/>
            <w:vAlign w:val="center"/>
          </w:tcPr>
          <w:p w14:paraId="44C2B8C1">
            <w:pPr>
              <w:spacing w:line="360" w:lineRule="exact"/>
              <w:jc w:val="center"/>
              <w:rPr>
                <w:rFonts w:ascii="宋体" w:hAnsi="宋体" w:cs="宋体"/>
                <w:color w:val="auto"/>
                <w:highlight w:val="none"/>
              </w:rPr>
            </w:pPr>
          </w:p>
        </w:tc>
        <w:tc>
          <w:tcPr>
            <w:tcW w:w="1282" w:type="dxa"/>
            <w:vAlign w:val="center"/>
          </w:tcPr>
          <w:p w14:paraId="26A597E9">
            <w:pPr>
              <w:spacing w:line="360" w:lineRule="exact"/>
              <w:jc w:val="center"/>
              <w:rPr>
                <w:rFonts w:ascii="宋体" w:hAnsi="宋体" w:cs="宋体"/>
                <w:color w:val="auto"/>
                <w:highlight w:val="none"/>
              </w:rPr>
            </w:pPr>
          </w:p>
        </w:tc>
        <w:tc>
          <w:tcPr>
            <w:tcW w:w="2113" w:type="dxa"/>
            <w:vAlign w:val="center"/>
          </w:tcPr>
          <w:p w14:paraId="25812312">
            <w:pPr>
              <w:spacing w:line="360" w:lineRule="exact"/>
              <w:jc w:val="center"/>
              <w:rPr>
                <w:rFonts w:ascii="宋体" w:hAnsi="宋体" w:cs="宋体"/>
                <w:color w:val="auto"/>
                <w:highlight w:val="none"/>
              </w:rPr>
            </w:pPr>
          </w:p>
        </w:tc>
        <w:tc>
          <w:tcPr>
            <w:tcW w:w="1723" w:type="dxa"/>
            <w:vAlign w:val="center"/>
          </w:tcPr>
          <w:p w14:paraId="2330CCDB">
            <w:pPr>
              <w:spacing w:line="360" w:lineRule="exact"/>
              <w:jc w:val="center"/>
              <w:rPr>
                <w:rFonts w:ascii="宋体" w:hAnsi="宋体" w:cs="宋体"/>
                <w:color w:val="auto"/>
                <w:highlight w:val="none"/>
              </w:rPr>
            </w:pPr>
          </w:p>
        </w:tc>
      </w:tr>
      <w:tr w14:paraId="4A8DF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14:paraId="5A77D51A">
            <w:pPr>
              <w:spacing w:line="360" w:lineRule="exact"/>
              <w:jc w:val="center"/>
              <w:rPr>
                <w:rFonts w:ascii="宋体" w:hAnsi="宋体" w:cs="宋体"/>
                <w:color w:val="auto"/>
                <w:highlight w:val="none"/>
              </w:rPr>
            </w:pPr>
          </w:p>
        </w:tc>
        <w:tc>
          <w:tcPr>
            <w:tcW w:w="944" w:type="dxa"/>
            <w:vAlign w:val="center"/>
          </w:tcPr>
          <w:p w14:paraId="45460AEB">
            <w:pPr>
              <w:spacing w:line="360" w:lineRule="exact"/>
              <w:jc w:val="center"/>
              <w:rPr>
                <w:rFonts w:ascii="宋体" w:hAnsi="宋体" w:cs="宋体"/>
                <w:color w:val="auto"/>
                <w:highlight w:val="none"/>
              </w:rPr>
            </w:pPr>
          </w:p>
        </w:tc>
        <w:tc>
          <w:tcPr>
            <w:tcW w:w="1715" w:type="dxa"/>
            <w:vAlign w:val="center"/>
          </w:tcPr>
          <w:p w14:paraId="2EEA6FBF">
            <w:pPr>
              <w:spacing w:line="360" w:lineRule="exact"/>
              <w:jc w:val="center"/>
              <w:rPr>
                <w:rFonts w:ascii="宋体" w:hAnsi="宋体" w:cs="宋体"/>
                <w:color w:val="auto"/>
                <w:highlight w:val="none"/>
              </w:rPr>
            </w:pPr>
          </w:p>
        </w:tc>
        <w:tc>
          <w:tcPr>
            <w:tcW w:w="1282" w:type="dxa"/>
            <w:vAlign w:val="center"/>
          </w:tcPr>
          <w:p w14:paraId="3160EBE3">
            <w:pPr>
              <w:spacing w:line="360" w:lineRule="exact"/>
              <w:jc w:val="center"/>
              <w:rPr>
                <w:rFonts w:ascii="宋体" w:hAnsi="宋体" w:cs="宋体"/>
                <w:color w:val="auto"/>
                <w:highlight w:val="none"/>
              </w:rPr>
            </w:pPr>
          </w:p>
        </w:tc>
        <w:tc>
          <w:tcPr>
            <w:tcW w:w="2113" w:type="dxa"/>
            <w:vAlign w:val="center"/>
          </w:tcPr>
          <w:p w14:paraId="630E9B5B">
            <w:pPr>
              <w:spacing w:line="360" w:lineRule="exact"/>
              <w:jc w:val="center"/>
              <w:rPr>
                <w:rFonts w:ascii="宋体" w:hAnsi="宋体" w:cs="宋体"/>
                <w:color w:val="auto"/>
                <w:highlight w:val="none"/>
              </w:rPr>
            </w:pPr>
          </w:p>
        </w:tc>
        <w:tc>
          <w:tcPr>
            <w:tcW w:w="1723" w:type="dxa"/>
            <w:vAlign w:val="center"/>
          </w:tcPr>
          <w:p w14:paraId="6C58F73F">
            <w:pPr>
              <w:spacing w:line="360" w:lineRule="exact"/>
              <w:jc w:val="center"/>
              <w:rPr>
                <w:rFonts w:ascii="宋体" w:hAnsi="宋体" w:cs="宋体"/>
                <w:color w:val="auto"/>
                <w:highlight w:val="none"/>
              </w:rPr>
            </w:pPr>
          </w:p>
        </w:tc>
      </w:tr>
      <w:tr w14:paraId="21E38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14:paraId="5518B87B">
            <w:pPr>
              <w:spacing w:line="360" w:lineRule="exact"/>
              <w:jc w:val="center"/>
              <w:rPr>
                <w:rFonts w:ascii="宋体" w:hAnsi="宋体" w:cs="宋体"/>
                <w:color w:val="auto"/>
                <w:highlight w:val="none"/>
              </w:rPr>
            </w:pPr>
          </w:p>
        </w:tc>
        <w:tc>
          <w:tcPr>
            <w:tcW w:w="944" w:type="dxa"/>
            <w:vAlign w:val="center"/>
          </w:tcPr>
          <w:p w14:paraId="234BA8D0">
            <w:pPr>
              <w:spacing w:line="360" w:lineRule="exact"/>
              <w:jc w:val="center"/>
              <w:rPr>
                <w:rFonts w:ascii="宋体" w:hAnsi="宋体" w:cs="宋体"/>
                <w:color w:val="auto"/>
                <w:highlight w:val="none"/>
              </w:rPr>
            </w:pPr>
          </w:p>
        </w:tc>
        <w:tc>
          <w:tcPr>
            <w:tcW w:w="1715" w:type="dxa"/>
            <w:vAlign w:val="center"/>
          </w:tcPr>
          <w:p w14:paraId="35FEDD50">
            <w:pPr>
              <w:spacing w:line="360" w:lineRule="exact"/>
              <w:jc w:val="center"/>
              <w:rPr>
                <w:rFonts w:ascii="宋体" w:hAnsi="宋体" w:cs="宋体"/>
                <w:color w:val="auto"/>
                <w:highlight w:val="none"/>
              </w:rPr>
            </w:pPr>
          </w:p>
        </w:tc>
        <w:tc>
          <w:tcPr>
            <w:tcW w:w="1282" w:type="dxa"/>
            <w:vAlign w:val="center"/>
          </w:tcPr>
          <w:p w14:paraId="0E9268C8">
            <w:pPr>
              <w:spacing w:line="360" w:lineRule="exact"/>
              <w:jc w:val="center"/>
              <w:rPr>
                <w:rFonts w:ascii="宋体" w:hAnsi="宋体" w:cs="宋体"/>
                <w:color w:val="auto"/>
                <w:highlight w:val="none"/>
              </w:rPr>
            </w:pPr>
          </w:p>
        </w:tc>
        <w:tc>
          <w:tcPr>
            <w:tcW w:w="2113" w:type="dxa"/>
            <w:vAlign w:val="center"/>
          </w:tcPr>
          <w:p w14:paraId="313EBA31">
            <w:pPr>
              <w:spacing w:line="360" w:lineRule="exact"/>
              <w:jc w:val="center"/>
              <w:rPr>
                <w:rFonts w:ascii="宋体" w:hAnsi="宋体" w:cs="宋体"/>
                <w:color w:val="auto"/>
                <w:highlight w:val="none"/>
              </w:rPr>
            </w:pPr>
          </w:p>
        </w:tc>
        <w:tc>
          <w:tcPr>
            <w:tcW w:w="1723" w:type="dxa"/>
            <w:vAlign w:val="center"/>
          </w:tcPr>
          <w:p w14:paraId="3672664C">
            <w:pPr>
              <w:spacing w:line="360" w:lineRule="exact"/>
              <w:jc w:val="center"/>
              <w:rPr>
                <w:rFonts w:ascii="宋体" w:hAnsi="宋体" w:cs="宋体"/>
                <w:color w:val="auto"/>
                <w:highlight w:val="none"/>
              </w:rPr>
            </w:pPr>
          </w:p>
        </w:tc>
      </w:tr>
      <w:tr w14:paraId="0F148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14:paraId="0D302CDD">
            <w:pPr>
              <w:spacing w:line="360" w:lineRule="exact"/>
              <w:jc w:val="center"/>
              <w:rPr>
                <w:rFonts w:ascii="宋体" w:hAnsi="宋体" w:cs="宋体"/>
                <w:color w:val="auto"/>
                <w:highlight w:val="none"/>
              </w:rPr>
            </w:pPr>
          </w:p>
        </w:tc>
        <w:tc>
          <w:tcPr>
            <w:tcW w:w="944" w:type="dxa"/>
            <w:vAlign w:val="center"/>
          </w:tcPr>
          <w:p w14:paraId="50B8AFA9">
            <w:pPr>
              <w:spacing w:line="360" w:lineRule="exact"/>
              <w:jc w:val="center"/>
              <w:rPr>
                <w:rFonts w:ascii="宋体" w:hAnsi="宋体" w:cs="宋体"/>
                <w:color w:val="auto"/>
                <w:highlight w:val="none"/>
              </w:rPr>
            </w:pPr>
          </w:p>
        </w:tc>
        <w:tc>
          <w:tcPr>
            <w:tcW w:w="1715" w:type="dxa"/>
            <w:vAlign w:val="center"/>
          </w:tcPr>
          <w:p w14:paraId="0071AC95">
            <w:pPr>
              <w:spacing w:line="360" w:lineRule="exact"/>
              <w:jc w:val="center"/>
              <w:rPr>
                <w:rFonts w:ascii="宋体" w:hAnsi="宋体" w:cs="宋体"/>
                <w:color w:val="auto"/>
                <w:highlight w:val="none"/>
              </w:rPr>
            </w:pPr>
          </w:p>
        </w:tc>
        <w:tc>
          <w:tcPr>
            <w:tcW w:w="1282" w:type="dxa"/>
            <w:vAlign w:val="center"/>
          </w:tcPr>
          <w:p w14:paraId="2A0172AB">
            <w:pPr>
              <w:spacing w:line="360" w:lineRule="exact"/>
              <w:jc w:val="center"/>
              <w:rPr>
                <w:rFonts w:ascii="宋体" w:hAnsi="宋体" w:cs="宋体"/>
                <w:color w:val="auto"/>
                <w:highlight w:val="none"/>
              </w:rPr>
            </w:pPr>
          </w:p>
        </w:tc>
        <w:tc>
          <w:tcPr>
            <w:tcW w:w="2113" w:type="dxa"/>
            <w:vAlign w:val="center"/>
          </w:tcPr>
          <w:p w14:paraId="730A6A10">
            <w:pPr>
              <w:spacing w:line="360" w:lineRule="exact"/>
              <w:jc w:val="center"/>
              <w:rPr>
                <w:rFonts w:ascii="宋体" w:hAnsi="宋体" w:cs="宋体"/>
                <w:color w:val="auto"/>
                <w:highlight w:val="none"/>
              </w:rPr>
            </w:pPr>
          </w:p>
        </w:tc>
        <w:tc>
          <w:tcPr>
            <w:tcW w:w="1723" w:type="dxa"/>
            <w:vAlign w:val="center"/>
          </w:tcPr>
          <w:p w14:paraId="34D887DA">
            <w:pPr>
              <w:spacing w:line="360" w:lineRule="exact"/>
              <w:jc w:val="center"/>
              <w:rPr>
                <w:rFonts w:ascii="宋体" w:hAnsi="宋体" w:cs="宋体"/>
                <w:color w:val="auto"/>
                <w:highlight w:val="none"/>
              </w:rPr>
            </w:pPr>
          </w:p>
        </w:tc>
      </w:tr>
      <w:tr w14:paraId="55020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14:paraId="3E944AAF">
            <w:pPr>
              <w:spacing w:line="360" w:lineRule="exact"/>
              <w:jc w:val="center"/>
              <w:rPr>
                <w:rFonts w:ascii="宋体" w:hAnsi="宋体" w:cs="宋体"/>
                <w:color w:val="auto"/>
                <w:highlight w:val="none"/>
              </w:rPr>
            </w:pPr>
          </w:p>
        </w:tc>
        <w:tc>
          <w:tcPr>
            <w:tcW w:w="944" w:type="dxa"/>
            <w:vAlign w:val="center"/>
          </w:tcPr>
          <w:p w14:paraId="1D69CC22">
            <w:pPr>
              <w:spacing w:line="360" w:lineRule="exact"/>
              <w:jc w:val="center"/>
              <w:rPr>
                <w:rFonts w:ascii="宋体" w:hAnsi="宋体" w:cs="宋体"/>
                <w:color w:val="auto"/>
                <w:highlight w:val="none"/>
              </w:rPr>
            </w:pPr>
          </w:p>
        </w:tc>
        <w:tc>
          <w:tcPr>
            <w:tcW w:w="1715" w:type="dxa"/>
            <w:vAlign w:val="center"/>
          </w:tcPr>
          <w:p w14:paraId="43171CDB">
            <w:pPr>
              <w:spacing w:line="360" w:lineRule="exact"/>
              <w:jc w:val="center"/>
              <w:rPr>
                <w:rFonts w:ascii="宋体" w:hAnsi="宋体" w:cs="宋体"/>
                <w:color w:val="auto"/>
                <w:highlight w:val="none"/>
              </w:rPr>
            </w:pPr>
          </w:p>
        </w:tc>
        <w:tc>
          <w:tcPr>
            <w:tcW w:w="1282" w:type="dxa"/>
            <w:vAlign w:val="center"/>
          </w:tcPr>
          <w:p w14:paraId="0021EC62">
            <w:pPr>
              <w:spacing w:line="360" w:lineRule="exact"/>
              <w:jc w:val="center"/>
              <w:rPr>
                <w:rFonts w:ascii="宋体" w:hAnsi="宋体" w:cs="宋体"/>
                <w:color w:val="auto"/>
                <w:highlight w:val="none"/>
              </w:rPr>
            </w:pPr>
          </w:p>
        </w:tc>
        <w:tc>
          <w:tcPr>
            <w:tcW w:w="2113" w:type="dxa"/>
            <w:vAlign w:val="center"/>
          </w:tcPr>
          <w:p w14:paraId="3EC5E199">
            <w:pPr>
              <w:spacing w:line="360" w:lineRule="exact"/>
              <w:jc w:val="center"/>
              <w:rPr>
                <w:rFonts w:ascii="宋体" w:hAnsi="宋体" w:cs="宋体"/>
                <w:color w:val="auto"/>
                <w:highlight w:val="none"/>
              </w:rPr>
            </w:pPr>
          </w:p>
        </w:tc>
        <w:tc>
          <w:tcPr>
            <w:tcW w:w="1723" w:type="dxa"/>
            <w:vAlign w:val="center"/>
          </w:tcPr>
          <w:p w14:paraId="77E45E7B">
            <w:pPr>
              <w:spacing w:line="360" w:lineRule="exact"/>
              <w:jc w:val="center"/>
              <w:rPr>
                <w:rFonts w:ascii="宋体" w:hAnsi="宋体" w:cs="宋体"/>
                <w:color w:val="auto"/>
                <w:highlight w:val="none"/>
              </w:rPr>
            </w:pPr>
          </w:p>
        </w:tc>
      </w:tr>
      <w:tr w14:paraId="7AAEB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14:paraId="5D46CDAA">
            <w:pPr>
              <w:spacing w:line="360" w:lineRule="exact"/>
              <w:jc w:val="center"/>
              <w:rPr>
                <w:rFonts w:ascii="宋体" w:hAnsi="宋体" w:cs="宋体"/>
                <w:color w:val="auto"/>
                <w:highlight w:val="none"/>
              </w:rPr>
            </w:pPr>
          </w:p>
        </w:tc>
        <w:tc>
          <w:tcPr>
            <w:tcW w:w="944" w:type="dxa"/>
            <w:vAlign w:val="center"/>
          </w:tcPr>
          <w:p w14:paraId="4E9AE620">
            <w:pPr>
              <w:spacing w:line="360" w:lineRule="exact"/>
              <w:jc w:val="center"/>
              <w:rPr>
                <w:rFonts w:ascii="宋体" w:hAnsi="宋体" w:cs="宋体"/>
                <w:color w:val="auto"/>
                <w:highlight w:val="none"/>
              </w:rPr>
            </w:pPr>
          </w:p>
        </w:tc>
        <w:tc>
          <w:tcPr>
            <w:tcW w:w="1715" w:type="dxa"/>
            <w:vAlign w:val="center"/>
          </w:tcPr>
          <w:p w14:paraId="3B7A5C62">
            <w:pPr>
              <w:spacing w:line="360" w:lineRule="exact"/>
              <w:jc w:val="center"/>
              <w:rPr>
                <w:rFonts w:ascii="宋体" w:hAnsi="宋体" w:cs="宋体"/>
                <w:color w:val="auto"/>
                <w:highlight w:val="none"/>
              </w:rPr>
            </w:pPr>
          </w:p>
        </w:tc>
        <w:tc>
          <w:tcPr>
            <w:tcW w:w="1282" w:type="dxa"/>
            <w:vAlign w:val="center"/>
          </w:tcPr>
          <w:p w14:paraId="7BD6CC56">
            <w:pPr>
              <w:spacing w:line="360" w:lineRule="exact"/>
              <w:jc w:val="center"/>
              <w:rPr>
                <w:rFonts w:ascii="宋体" w:hAnsi="宋体" w:cs="宋体"/>
                <w:color w:val="auto"/>
                <w:highlight w:val="none"/>
              </w:rPr>
            </w:pPr>
          </w:p>
        </w:tc>
        <w:tc>
          <w:tcPr>
            <w:tcW w:w="2113" w:type="dxa"/>
            <w:vAlign w:val="center"/>
          </w:tcPr>
          <w:p w14:paraId="7AD9F2C1">
            <w:pPr>
              <w:spacing w:line="360" w:lineRule="exact"/>
              <w:jc w:val="center"/>
              <w:rPr>
                <w:rFonts w:ascii="宋体" w:hAnsi="宋体" w:cs="宋体"/>
                <w:color w:val="auto"/>
                <w:highlight w:val="none"/>
              </w:rPr>
            </w:pPr>
          </w:p>
        </w:tc>
        <w:tc>
          <w:tcPr>
            <w:tcW w:w="1723" w:type="dxa"/>
            <w:vAlign w:val="center"/>
          </w:tcPr>
          <w:p w14:paraId="5A77B4CA">
            <w:pPr>
              <w:spacing w:line="360" w:lineRule="exact"/>
              <w:jc w:val="center"/>
              <w:rPr>
                <w:rFonts w:ascii="宋体" w:hAnsi="宋体" w:cs="宋体"/>
                <w:color w:val="auto"/>
                <w:highlight w:val="none"/>
              </w:rPr>
            </w:pPr>
          </w:p>
        </w:tc>
      </w:tr>
      <w:tr w14:paraId="63400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14:paraId="289893CC">
            <w:pPr>
              <w:spacing w:line="360" w:lineRule="exact"/>
              <w:jc w:val="center"/>
              <w:rPr>
                <w:rFonts w:ascii="宋体" w:hAnsi="宋体" w:cs="宋体"/>
                <w:color w:val="auto"/>
                <w:highlight w:val="none"/>
              </w:rPr>
            </w:pPr>
          </w:p>
        </w:tc>
        <w:tc>
          <w:tcPr>
            <w:tcW w:w="944" w:type="dxa"/>
            <w:vAlign w:val="center"/>
          </w:tcPr>
          <w:p w14:paraId="1CD588BD">
            <w:pPr>
              <w:spacing w:line="360" w:lineRule="exact"/>
              <w:jc w:val="center"/>
              <w:rPr>
                <w:rFonts w:ascii="宋体" w:hAnsi="宋体" w:cs="宋体"/>
                <w:color w:val="auto"/>
                <w:highlight w:val="none"/>
              </w:rPr>
            </w:pPr>
          </w:p>
        </w:tc>
        <w:tc>
          <w:tcPr>
            <w:tcW w:w="1715" w:type="dxa"/>
            <w:vAlign w:val="center"/>
          </w:tcPr>
          <w:p w14:paraId="49B51694">
            <w:pPr>
              <w:spacing w:line="360" w:lineRule="exact"/>
              <w:jc w:val="center"/>
              <w:rPr>
                <w:rFonts w:ascii="宋体" w:hAnsi="宋体" w:cs="宋体"/>
                <w:color w:val="auto"/>
                <w:highlight w:val="none"/>
              </w:rPr>
            </w:pPr>
          </w:p>
        </w:tc>
        <w:tc>
          <w:tcPr>
            <w:tcW w:w="1282" w:type="dxa"/>
            <w:vAlign w:val="center"/>
          </w:tcPr>
          <w:p w14:paraId="10A322F8">
            <w:pPr>
              <w:spacing w:line="360" w:lineRule="exact"/>
              <w:jc w:val="center"/>
              <w:rPr>
                <w:rFonts w:ascii="宋体" w:hAnsi="宋体" w:cs="宋体"/>
                <w:color w:val="auto"/>
                <w:highlight w:val="none"/>
              </w:rPr>
            </w:pPr>
          </w:p>
        </w:tc>
        <w:tc>
          <w:tcPr>
            <w:tcW w:w="2113" w:type="dxa"/>
            <w:vAlign w:val="center"/>
          </w:tcPr>
          <w:p w14:paraId="296DB820">
            <w:pPr>
              <w:spacing w:line="360" w:lineRule="exact"/>
              <w:jc w:val="center"/>
              <w:rPr>
                <w:rFonts w:ascii="宋体" w:hAnsi="宋体" w:cs="宋体"/>
                <w:color w:val="auto"/>
                <w:highlight w:val="none"/>
              </w:rPr>
            </w:pPr>
          </w:p>
        </w:tc>
        <w:tc>
          <w:tcPr>
            <w:tcW w:w="1723" w:type="dxa"/>
            <w:vAlign w:val="center"/>
          </w:tcPr>
          <w:p w14:paraId="4B7D3AFC">
            <w:pPr>
              <w:spacing w:line="360" w:lineRule="exact"/>
              <w:jc w:val="center"/>
              <w:rPr>
                <w:rFonts w:ascii="宋体" w:hAnsi="宋体" w:cs="宋体"/>
                <w:color w:val="auto"/>
                <w:highlight w:val="none"/>
              </w:rPr>
            </w:pPr>
          </w:p>
        </w:tc>
      </w:tr>
      <w:tr w14:paraId="3C91C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14:paraId="6DB377BE">
            <w:pPr>
              <w:spacing w:line="360" w:lineRule="exact"/>
              <w:jc w:val="center"/>
              <w:rPr>
                <w:rFonts w:ascii="宋体" w:hAnsi="宋体" w:cs="宋体"/>
                <w:color w:val="auto"/>
                <w:highlight w:val="none"/>
              </w:rPr>
            </w:pPr>
          </w:p>
        </w:tc>
        <w:tc>
          <w:tcPr>
            <w:tcW w:w="944" w:type="dxa"/>
            <w:vAlign w:val="center"/>
          </w:tcPr>
          <w:p w14:paraId="6C49424A">
            <w:pPr>
              <w:spacing w:line="360" w:lineRule="exact"/>
              <w:jc w:val="center"/>
              <w:rPr>
                <w:rFonts w:ascii="宋体" w:hAnsi="宋体" w:cs="宋体"/>
                <w:color w:val="auto"/>
                <w:highlight w:val="none"/>
              </w:rPr>
            </w:pPr>
          </w:p>
        </w:tc>
        <w:tc>
          <w:tcPr>
            <w:tcW w:w="1715" w:type="dxa"/>
            <w:vAlign w:val="center"/>
          </w:tcPr>
          <w:p w14:paraId="6E3F0E8F">
            <w:pPr>
              <w:spacing w:line="360" w:lineRule="exact"/>
              <w:jc w:val="center"/>
              <w:rPr>
                <w:rFonts w:ascii="宋体" w:hAnsi="宋体" w:cs="宋体"/>
                <w:color w:val="auto"/>
                <w:highlight w:val="none"/>
              </w:rPr>
            </w:pPr>
          </w:p>
        </w:tc>
        <w:tc>
          <w:tcPr>
            <w:tcW w:w="1282" w:type="dxa"/>
            <w:vAlign w:val="center"/>
          </w:tcPr>
          <w:p w14:paraId="718130FF">
            <w:pPr>
              <w:spacing w:line="360" w:lineRule="exact"/>
              <w:jc w:val="center"/>
              <w:rPr>
                <w:rFonts w:ascii="宋体" w:hAnsi="宋体" w:cs="宋体"/>
                <w:color w:val="auto"/>
                <w:highlight w:val="none"/>
              </w:rPr>
            </w:pPr>
          </w:p>
        </w:tc>
        <w:tc>
          <w:tcPr>
            <w:tcW w:w="2113" w:type="dxa"/>
            <w:vAlign w:val="center"/>
          </w:tcPr>
          <w:p w14:paraId="690E29CE">
            <w:pPr>
              <w:spacing w:line="360" w:lineRule="exact"/>
              <w:jc w:val="center"/>
              <w:rPr>
                <w:rFonts w:ascii="宋体" w:hAnsi="宋体" w:cs="宋体"/>
                <w:color w:val="auto"/>
                <w:highlight w:val="none"/>
              </w:rPr>
            </w:pPr>
          </w:p>
        </w:tc>
        <w:tc>
          <w:tcPr>
            <w:tcW w:w="1723" w:type="dxa"/>
            <w:vAlign w:val="center"/>
          </w:tcPr>
          <w:p w14:paraId="1F60A6BF">
            <w:pPr>
              <w:spacing w:line="360" w:lineRule="exact"/>
              <w:jc w:val="center"/>
              <w:rPr>
                <w:rFonts w:ascii="宋体" w:hAnsi="宋体" w:cs="宋体"/>
                <w:color w:val="auto"/>
                <w:highlight w:val="none"/>
              </w:rPr>
            </w:pPr>
          </w:p>
        </w:tc>
      </w:tr>
      <w:tr w14:paraId="10D58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14:paraId="732E411C">
            <w:pPr>
              <w:spacing w:line="360" w:lineRule="exact"/>
              <w:jc w:val="center"/>
              <w:rPr>
                <w:rFonts w:ascii="宋体" w:hAnsi="宋体" w:cs="宋体"/>
                <w:color w:val="auto"/>
                <w:highlight w:val="none"/>
              </w:rPr>
            </w:pPr>
          </w:p>
        </w:tc>
        <w:tc>
          <w:tcPr>
            <w:tcW w:w="944" w:type="dxa"/>
            <w:vAlign w:val="center"/>
          </w:tcPr>
          <w:p w14:paraId="04A99557">
            <w:pPr>
              <w:spacing w:line="360" w:lineRule="exact"/>
              <w:jc w:val="center"/>
              <w:rPr>
                <w:rFonts w:ascii="宋体" w:hAnsi="宋体" w:cs="宋体"/>
                <w:color w:val="auto"/>
                <w:highlight w:val="none"/>
              </w:rPr>
            </w:pPr>
          </w:p>
        </w:tc>
        <w:tc>
          <w:tcPr>
            <w:tcW w:w="1715" w:type="dxa"/>
            <w:vAlign w:val="center"/>
          </w:tcPr>
          <w:p w14:paraId="092B66DA">
            <w:pPr>
              <w:spacing w:line="360" w:lineRule="exact"/>
              <w:jc w:val="center"/>
              <w:rPr>
                <w:rFonts w:ascii="宋体" w:hAnsi="宋体" w:cs="宋体"/>
                <w:color w:val="auto"/>
                <w:highlight w:val="none"/>
              </w:rPr>
            </w:pPr>
          </w:p>
        </w:tc>
        <w:tc>
          <w:tcPr>
            <w:tcW w:w="1282" w:type="dxa"/>
            <w:vAlign w:val="center"/>
          </w:tcPr>
          <w:p w14:paraId="5F0A0D89">
            <w:pPr>
              <w:spacing w:line="360" w:lineRule="exact"/>
              <w:jc w:val="center"/>
              <w:rPr>
                <w:rFonts w:ascii="宋体" w:hAnsi="宋体" w:cs="宋体"/>
                <w:color w:val="auto"/>
                <w:highlight w:val="none"/>
              </w:rPr>
            </w:pPr>
          </w:p>
        </w:tc>
        <w:tc>
          <w:tcPr>
            <w:tcW w:w="2113" w:type="dxa"/>
            <w:vAlign w:val="center"/>
          </w:tcPr>
          <w:p w14:paraId="0645EA64">
            <w:pPr>
              <w:spacing w:line="360" w:lineRule="exact"/>
              <w:jc w:val="center"/>
              <w:rPr>
                <w:rFonts w:ascii="宋体" w:hAnsi="宋体" w:cs="宋体"/>
                <w:color w:val="auto"/>
                <w:highlight w:val="none"/>
              </w:rPr>
            </w:pPr>
          </w:p>
        </w:tc>
        <w:tc>
          <w:tcPr>
            <w:tcW w:w="1723" w:type="dxa"/>
            <w:vAlign w:val="center"/>
          </w:tcPr>
          <w:p w14:paraId="6D24194C">
            <w:pPr>
              <w:spacing w:line="360" w:lineRule="exact"/>
              <w:jc w:val="center"/>
              <w:rPr>
                <w:rFonts w:ascii="宋体" w:hAnsi="宋体" w:cs="宋体"/>
                <w:color w:val="auto"/>
                <w:highlight w:val="none"/>
              </w:rPr>
            </w:pPr>
          </w:p>
        </w:tc>
      </w:tr>
      <w:tr w14:paraId="55D93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14:paraId="794CB2E4">
            <w:pPr>
              <w:spacing w:line="360" w:lineRule="exact"/>
              <w:jc w:val="center"/>
              <w:rPr>
                <w:rFonts w:ascii="宋体" w:hAnsi="宋体" w:cs="宋体"/>
                <w:color w:val="auto"/>
                <w:highlight w:val="none"/>
              </w:rPr>
            </w:pPr>
          </w:p>
        </w:tc>
        <w:tc>
          <w:tcPr>
            <w:tcW w:w="944" w:type="dxa"/>
            <w:vAlign w:val="center"/>
          </w:tcPr>
          <w:p w14:paraId="27E044CC">
            <w:pPr>
              <w:spacing w:line="360" w:lineRule="exact"/>
              <w:jc w:val="center"/>
              <w:rPr>
                <w:rFonts w:ascii="宋体" w:hAnsi="宋体" w:cs="宋体"/>
                <w:color w:val="auto"/>
                <w:highlight w:val="none"/>
              </w:rPr>
            </w:pPr>
          </w:p>
        </w:tc>
        <w:tc>
          <w:tcPr>
            <w:tcW w:w="1715" w:type="dxa"/>
            <w:vAlign w:val="center"/>
          </w:tcPr>
          <w:p w14:paraId="41DB8AF1">
            <w:pPr>
              <w:spacing w:line="360" w:lineRule="exact"/>
              <w:jc w:val="center"/>
              <w:rPr>
                <w:rFonts w:ascii="宋体" w:hAnsi="宋体" w:cs="宋体"/>
                <w:color w:val="auto"/>
                <w:highlight w:val="none"/>
              </w:rPr>
            </w:pPr>
          </w:p>
        </w:tc>
        <w:tc>
          <w:tcPr>
            <w:tcW w:w="1282" w:type="dxa"/>
            <w:vAlign w:val="center"/>
          </w:tcPr>
          <w:p w14:paraId="5A4E49FA">
            <w:pPr>
              <w:spacing w:line="360" w:lineRule="exact"/>
              <w:jc w:val="center"/>
              <w:rPr>
                <w:rFonts w:ascii="宋体" w:hAnsi="宋体" w:cs="宋体"/>
                <w:color w:val="auto"/>
                <w:highlight w:val="none"/>
              </w:rPr>
            </w:pPr>
          </w:p>
        </w:tc>
        <w:tc>
          <w:tcPr>
            <w:tcW w:w="2113" w:type="dxa"/>
            <w:vAlign w:val="center"/>
          </w:tcPr>
          <w:p w14:paraId="75B365DF">
            <w:pPr>
              <w:spacing w:line="360" w:lineRule="exact"/>
              <w:jc w:val="center"/>
              <w:rPr>
                <w:rFonts w:ascii="宋体" w:hAnsi="宋体" w:cs="宋体"/>
                <w:color w:val="auto"/>
                <w:highlight w:val="none"/>
              </w:rPr>
            </w:pPr>
          </w:p>
        </w:tc>
        <w:tc>
          <w:tcPr>
            <w:tcW w:w="1723" w:type="dxa"/>
            <w:vAlign w:val="center"/>
          </w:tcPr>
          <w:p w14:paraId="323C1E94">
            <w:pPr>
              <w:spacing w:line="360" w:lineRule="exact"/>
              <w:jc w:val="center"/>
              <w:rPr>
                <w:rFonts w:ascii="宋体" w:hAnsi="宋体" w:cs="宋体"/>
                <w:color w:val="auto"/>
                <w:highlight w:val="none"/>
              </w:rPr>
            </w:pPr>
          </w:p>
        </w:tc>
      </w:tr>
    </w:tbl>
    <w:p w14:paraId="04B21C1D">
      <w:pPr>
        <w:snapToGrid w:val="0"/>
        <w:spacing w:before="50" w:after="156" w:afterLines="50" w:line="360" w:lineRule="auto"/>
        <w:jc w:val="left"/>
        <w:rPr>
          <w:rFonts w:ascii="宋体" w:hAnsi="宋体" w:cs="宋体"/>
          <w:color w:val="auto"/>
          <w:highlight w:val="none"/>
        </w:rPr>
      </w:pPr>
      <w:r>
        <w:rPr>
          <w:rFonts w:hint="eastAsia" w:ascii="宋体" w:hAnsi="宋体" w:cs="宋体"/>
          <w:color w:val="auto"/>
          <w:highlight w:val="none"/>
        </w:rPr>
        <w:t xml:space="preserve">    注：在填写时，如本表格不适合竞标单位的实际情况，可根据本表格式自行划表填写。</w:t>
      </w:r>
    </w:p>
    <w:p w14:paraId="147F2D27">
      <w:pPr>
        <w:snapToGrid w:val="0"/>
        <w:spacing w:before="50" w:after="156" w:afterLines="50" w:line="360" w:lineRule="auto"/>
        <w:jc w:val="left"/>
        <w:rPr>
          <w:rFonts w:ascii="宋体" w:hAnsi="宋体" w:cs="宋体"/>
          <w:color w:val="auto"/>
          <w:highlight w:val="none"/>
        </w:rPr>
      </w:pPr>
    </w:p>
    <w:p w14:paraId="5A3FCA99">
      <w:pPr>
        <w:spacing w:before="156" w:beforeLines="50" w:after="156" w:afterLines="50" w:line="400" w:lineRule="exact"/>
        <w:rPr>
          <w:rFonts w:ascii="宋体" w:hAnsi="宋体" w:cs="宋体"/>
          <w:color w:val="auto"/>
          <w:highlight w:val="none"/>
        </w:rPr>
      </w:pPr>
      <w:r>
        <w:rPr>
          <w:rFonts w:hint="eastAsia" w:ascii="宋体" w:hAnsi="宋体" w:cs="宋体"/>
          <w:color w:val="auto"/>
          <w:highlight w:val="none"/>
        </w:rPr>
        <w:t>供应商（盖章）：</w:t>
      </w:r>
    </w:p>
    <w:p w14:paraId="7BDFB8E5">
      <w:pPr>
        <w:spacing w:before="156" w:beforeLines="50" w:after="156" w:afterLines="50" w:line="400" w:lineRule="exact"/>
        <w:rPr>
          <w:rFonts w:ascii="宋体" w:hAnsi="宋体" w:cs="宋体"/>
          <w:color w:val="auto"/>
          <w:highlight w:val="none"/>
        </w:rPr>
      </w:pPr>
      <w:r>
        <w:rPr>
          <w:rFonts w:hint="eastAsia" w:ascii="宋体" w:hAnsi="宋体" w:cs="宋体"/>
          <w:color w:val="auto"/>
          <w:highlight w:val="none"/>
        </w:rPr>
        <w:t>授权代表（签字）：</w:t>
      </w:r>
    </w:p>
    <w:p w14:paraId="64D96F6B">
      <w:pPr>
        <w:adjustRightInd w:val="0"/>
        <w:snapToGrid w:val="0"/>
        <w:spacing w:line="440" w:lineRule="exact"/>
        <w:rPr>
          <w:rFonts w:ascii="宋体" w:hAnsi="宋体" w:cs="宋体"/>
          <w:bCs/>
          <w:color w:val="auto"/>
          <w:highlight w:val="none"/>
        </w:rPr>
      </w:pPr>
      <w:r>
        <w:rPr>
          <w:rFonts w:hint="eastAsia" w:ascii="宋体" w:hAnsi="宋体" w:cs="宋体"/>
          <w:color w:val="auto"/>
          <w:highlight w:val="none"/>
        </w:rPr>
        <w:t>日期：</w:t>
      </w:r>
    </w:p>
    <w:p w14:paraId="66FDAB7E">
      <w:pPr>
        <w:adjustRightInd w:val="0"/>
        <w:snapToGrid w:val="0"/>
        <w:spacing w:before="156" w:beforeLines="50" w:after="156" w:afterLines="50" w:line="500" w:lineRule="exact"/>
        <w:rPr>
          <w:rFonts w:ascii="宋体" w:hAnsi="宋体" w:cs="宋体"/>
          <w:bCs/>
          <w:color w:val="auto"/>
          <w:highlight w:val="none"/>
        </w:rPr>
      </w:pPr>
    </w:p>
    <w:p w14:paraId="12980F13">
      <w:pPr>
        <w:spacing w:line="400" w:lineRule="exact"/>
        <w:jc w:val="center"/>
        <w:rPr>
          <w:rFonts w:ascii="宋体" w:hAnsi="宋体" w:cs="宋体"/>
          <w:b/>
          <w:color w:val="auto"/>
          <w:highlight w:val="none"/>
        </w:rPr>
      </w:pPr>
    </w:p>
    <w:p w14:paraId="27D82D11">
      <w:pPr>
        <w:spacing w:line="360" w:lineRule="auto"/>
        <w:rPr>
          <w:rFonts w:ascii="宋体" w:hAnsi="宋体" w:cs="宋体"/>
          <w:b/>
          <w:color w:val="auto"/>
          <w:highlight w:val="none"/>
        </w:rPr>
      </w:pPr>
    </w:p>
    <w:p w14:paraId="140B3D9C">
      <w:pPr>
        <w:snapToGrid w:val="0"/>
        <w:spacing w:before="50" w:after="156" w:afterLines="50" w:line="600" w:lineRule="exact"/>
        <w:jc w:val="center"/>
        <w:rPr>
          <w:rFonts w:ascii="宋体" w:hAnsi="宋体" w:cs="宋体"/>
          <w:b/>
          <w:bCs/>
          <w:color w:val="auto"/>
          <w:sz w:val="28"/>
          <w:szCs w:val="40"/>
          <w:highlight w:val="none"/>
        </w:rPr>
      </w:pPr>
      <w:r>
        <w:rPr>
          <w:rFonts w:hint="eastAsia" w:ascii="宋体" w:hAnsi="宋体" w:cs="宋体"/>
          <w:b/>
          <w:bCs/>
          <w:color w:val="auto"/>
          <w:sz w:val="28"/>
          <w:szCs w:val="40"/>
          <w:highlight w:val="none"/>
        </w:rPr>
        <w:t>招标代理服务费承诺函</w:t>
      </w:r>
    </w:p>
    <w:p w14:paraId="0180F21A">
      <w:pPr>
        <w:pStyle w:val="10"/>
        <w:spacing w:line="640" w:lineRule="exact"/>
        <w:ind w:firstLine="0"/>
        <w:jc w:val="left"/>
        <w:rPr>
          <w:rFonts w:ascii="宋体" w:hAnsi="宋体" w:cs="宋体"/>
          <w:color w:val="auto"/>
          <w:sz w:val="24"/>
          <w:szCs w:val="24"/>
          <w:highlight w:val="none"/>
        </w:rPr>
      </w:pPr>
      <w:r>
        <w:rPr>
          <w:rFonts w:hint="eastAsia" w:ascii="宋体" w:hAnsi="宋体" w:cs="宋体"/>
          <w:color w:val="auto"/>
          <w:sz w:val="24"/>
          <w:szCs w:val="24"/>
          <w:highlight w:val="none"/>
          <w:lang w:eastAsia="zh-CN"/>
        </w:rPr>
        <w:t>德威工程管理咨询有限公司</w:t>
      </w:r>
      <w:r>
        <w:rPr>
          <w:rFonts w:hint="eastAsia" w:ascii="宋体" w:hAnsi="宋体" w:cs="宋体"/>
          <w:color w:val="auto"/>
          <w:sz w:val="24"/>
          <w:szCs w:val="24"/>
          <w:highlight w:val="none"/>
        </w:rPr>
        <w:t>：</w:t>
      </w:r>
    </w:p>
    <w:p w14:paraId="503DBB16">
      <w:pPr>
        <w:pStyle w:val="10"/>
        <w:spacing w:line="6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根据招标文件的规定，一旦我公司中标，我公司同意按招标文件要求向贵公司交纳中标项目的招标代理服务费，在确定中标供应商后，领取中标通知书前的当天一次性结清。</w:t>
      </w:r>
    </w:p>
    <w:p w14:paraId="1DEF4F75">
      <w:pPr>
        <w:pStyle w:val="10"/>
        <w:spacing w:line="6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本承诺函自开标之日起至本次采购期满有效。</w:t>
      </w:r>
    </w:p>
    <w:p w14:paraId="614061B5">
      <w:pPr>
        <w:pStyle w:val="10"/>
        <w:spacing w:line="640" w:lineRule="exact"/>
        <w:ind w:firstLine="0"/>
        <w:jc w:val="left"/>
        <w:rPr>
          <w:rFonts w:ascii="宋体" w:hAnsi="宋体" w:cs="宋体"/>
          <w:color w:val="auto"/>
          <w:highlight w:val="none"/>
        </w:rPr>
      </w:pPr>
    </w:p>
    <w:p w14:paraId="6A5BEF23">
      <w:pPr>
        <w:pStyle w:val="10"/>
        <w:spacing w:line="640" w:lineRule="exact"/>
        <w:ind w:firstLine="0"/>
        <w:jc w:val="left"/>
        <w:rPr>
          <w:rFonts w:ascii="宋体" w:hAnsi="宋体" w:cs="宋体"/>
          <w:color w:val="auto"/>
          <w:sz w:val="24"/>
          <w:szCs w:val="24"/>
          <w:highlight w:val="none"/>
        </w:rPr>
      </w:pPr>
      <w:r>
        <w:rPr>
          <w:rFonts w:hint="eastAsia" w:ascii="宋体" w:hAnsi="宋体" w:cs="宋体"/>
          <w:color w:val="auto"/>
          <w:sz w:val="24"/>
          <w:szCs w:val="24"/>
          <w:highlight w:val="none"/>
        </w:rPr>
        <w:t>法定代表人或授权代表签字：</w:t>
      </w:r>
    </w:p>
    <w:p w14:paraId="7393CF92">
      <w:pPr>
        <w:pStyle w:val="10"/>
        <w:spacing w:line="640" w:lineRule="exact"/>
        <w:ind w:firstLine="0"/>
        <w:jc w:val="left"/>
        <w:rPr>
          <w:rFonts w:ascii="宋体" w:hAnsi="宋体" w:cs="宋体"/>
          <w:color w:val="auto"/>
          <w:sz w:val="24"/>
          <w:szCs w:val="24"/>
          <w:highlight w:val="none"/>
        </w:rPr>
      </w:pPr>
      <w:r>
        <w:rPr>
          <w:rFonts w:hint="eastAsia" w:ascii="宋体" w:hAnsi="宋体" w:cs="宋体"/>
          <w:color w:val="auto"/>
          <w:sz w:val="24"/>
          <w:szCs w:val="24"/>
          <w:highlight w:val="none"/>
        </w:rPr>
        <w:t>供应商公章：</w:t>
      </w:r>
    </w:p>
    <w:p w14:paraId="6FB1528F">
      <w:pPr>
        <w:pStyle w:val="10"/>
        <w:spacing w:line="640" w:lineRule="exact"/>
        <w:ind w:firstLine="0"/>
        <w:jc w:val="left"/>
        <w:rPr>
          <w:rFonts w:ascii="宋体" w:hAnsi="宋体" w:cs="宋体"/>
          <w:color w:val="auto"/>
          <w:sz w:val="24"/>
          <w:szCs w:val="24"/>
          <w:highlight w:val="none"/>
        </w:rPr>
      </w:pPr>
      <w:r>
        <w:rPr>
          <w:rFonts w:hint="eastAsia" w:ascii="宋体" w:hAnsi="宋体" w:cs="宋体"/>
          <w:color w:val="auto"/>
          <w:sz w:val="24"/>
          <w:szCs w:val="24"/>
          <w:highlight w:val="none"/>
        </w:rPr>
        <w:t>日期：</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年  月  日</w:t>
      </w:r>
    </w:p>
    <w:p w14:paraId="06CC50B8">
      <w:pPr>
        <w:pBdr>
          <w:bottom w:val="single" w:color="auto" w:sz="6" w:space="1"/>
        </w:pBdr>
        <w:spacing w:line="540" w:lineRule="exact"/>
        <w:rPr>
          <w:rFonts w:ascii="宋体" w:hAnsi="宋体" w:cs="宋体"/>
          <w:color w:val="auto"/>
          <w:highlight w:val="none"/>
        </w:rPr>
      </w:pPr>
    </w:p>
    <w:p w14:paraId="671B2E4C">
      <w:pPr>
        <w:spacing w:line="600" w:lineRule="exact"/>
        <w:rPr>
          <w:rFonts w:ascii="宋体" w:hAnsi="宋体" w:cs="宋体"/>
          <w:color w:val="auto"/>
          <w:highlight w:val="none"/>
        </w:rPr>
      </w:pPr>
    </w:p>
    <w:p w14:paraId="50F6E11E">
      <w:pPr>
        <w:spacing w:line="600" w:lineRule="exact"/>
        <w:rPr>
          <w:rFonts w:ascii="宋体" w:hAnsi="宋体" w:cs="宋体"/>
          <w:color w:val="auto"/>
          <w:highlight w:val="none"/>
        </w:rPr>
      </w:pPr>
    </w:p>
    <w:p w14:paraId="40DABB4D">
      <w:pPr>
        <w:widowControl/>
        <w:jc w:val="left"/>
        <w:rPr>
          <w:rFonts w:ascii="宋体" w:hAnsi="宋体" w:cs="宋体"/>
          <w:color w:val="auto"/>
          <w:highlight w:val="none"/>
        </w:rPr>
      </w:pPr>
      <w:r>
        <w:rPr>
          <w:rFonts w:hint="eastAsia" w:ascii="宋体" w:hAnsi="宋体" w:cs="宋体"/>
          <w:b/>
          <w:color w:val="auto"/>
          <w:kern w:val="0"/>
          <w:highlight w:val="none"/>
          <w:u w:val="single"/>
        </w:rPr>
        <w:t>代理费汇款账号：</w:t>
      </w:r>
      <w:r>
        <w:rPr>
          <w:rFonts w:hint="eastAsia" w:ascii="宋体" w:hAnsi="宋体" w:cs="宋体"/>
          <w:b/>
          <w:color w:val="auto"/>
          <w:kern w:val="0"/>
          <w:highlight w:val="none"/>
        </w:rPr>
        <w:t xml:space="preserve"> </w:t>
      </w:r>
    </w:p>
    <w:p w14:paraId="5F607D4E">
      <w:pPr>
        <w:tabs>
          <w:tab w:val="left" w:pos="3870"/>
          <w:tab w:val="left" w:pos="4085"/>
        </w:tabs>
        <w:snapToGrid w:val="0"/>
        <w:spacing w:line="360" w:lineRule="exact"/>
        <w:ind w:firstLine="480" w:firstLineChars="200"/>
        <w:jc w:val="left"/>
        <w:rPr>
          <w:rFonts w:ascii="宋体" w:hAnsi="宋体" w:cs="宋体"/>
          <w:b w:val="0"/>
          <w:bCs/>
          <w:color w:val="auto"/>
          <w:highlight w:val="none"/>
        </w:rPr>
      </w:pPr>
      <w:r>
        <w:rPr>
          <w:rFonts w:hint="eastAsia" w:ascii="宋体" w:hAnsi="宋体" w:cs="宋体"/>
          <w:b w:val="0"/>
          <w:bCs/>
          <w:color w:val="auto"/>
          <w:highlight w:val="none"/>
        </w:rPr>
        <w:t>单位名称：德威工程管理咨询有限公司湖州分公司</w:t>
      </w:r>
    </w:p>
    <w:p w14:paraId="06F6DCE4">
      <w:pPr>
        <w:tabs>
          <w:tab w:val="left" w:pos="3870"/>
          <w:tab w:val="left" w:pos="4085"/>
        </w:tabs>
        <w:snapToGrid w:val="0"/>
        <w:spacing w:line="360" w:lineRule="exact"/>
        <w:ind w:firstLine="480" w:firstLineChars="200"/>
        <w:jc w:val="left"/>
        <w:rPr>
          <w:rFonts w:hint="eastAsia" w:ascii="宋体" w:hAnsi="宋体" w:cs="宋体"/>
          <w:b w:val="0"/>
          <w:bCs/>
          <w:color w:val="auto"/>
          <w:highlight w:val="none"/>
        </w:rPr>
      </w:pPr>
      <w:r>
        <w:rPr>
          <w:rFonts w:hint="eastAsia" w:ascii="宋体" w:hAnsi="宋体" w:cs="宋体"/>
          <w:b w:val="0"/>
          <w:bCs/>
          <w:color w:val="auto"/>
          <w:highlight w:val="none"/>
        </w:rPr>
        <w:t>账户号码：33050164935500000449</w:t>
      </w:r>
    </w:p>
    <w:p w14:paraId="5251F1D3">
      <w:pPr>
        <w:tabs>
          <w:tab w:val="left" w:pos="3870"/>
          <w:tab w:val="left" w:pos="4085"/>
        </w:tabs>
        <w:snapToGrid w:val="0"/>
        <w:spacing w:line="360" w:lineRule="exact"/>
        <w:ind w:firstLine="480" w:firstLineChars="200"/>
        <w:jc w:val="left"/>
        <w:rPr>
          <w:rFonts w:ascii="宋体" w:hAnsi="宋体" w:cs="宋体"/>
          <w:b w:val="0"/>
          <w:bCs/>
          <w:color w:val="auto"/>
          <w:highlight w:val="none"/>
        </w:rPr>
      </w:pPr>
      <w:r>
        <w:rPr>
          <w:rFonts w:hint="eastAsia" w:ascii="宋体" w:hAnsi="宋体" w:cs="宋体"/>
          <w:b w:val="0"/>
          <w:bCs/>
          <w:color w:val="auto"/>
          <w:highlight w:val="none"/>
        </w:rPr>
        <w:t>开户行：中国建设银行湖州市民中心支行</w:t>
      </w:r>
    </w:p>
    <w:p w14:paraId="67CC55DE">
      <w:pPr>
        <w:pStyle w:val="39"/>
        <w:rPr>
          <w:rFonts w:cs="宋体"/>
          <w:color w:val="auto"/>
          <w:highlight w:val="none"/>
        </w:rPr>
      </w:pPr>
    </w:p>
    <w:sectPr>
      <w:footerReference r:id="rId8" w:type="first"/>
      <w:footerReference r:id="rId7" w:type="default"/>
      <w:pgSz w:w="11906" w:h="16838"/>
      <w:pgMar w:top="1134" w:right="1134" w:bottom="1134" w:left="1134" w:header="567" w:footer="567"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 new roman">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长城粗隶书">
    <w:altName w:val="宋体"/>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FAAA1">
    <w:pPr>
      <w:pStyle w:val="2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7" name="文本框 102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14:paraId="2316DD38">
                          <w:pPr>
                            <w:pStyle w:val="22"/>
                            <w:jc w:val="center"/>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txbxContent>
                    </wps:txbx>
                    <wps:bodyPr rot="0" vert="horz" wrap="none" lIns="0" tIns="0" rIns="0" bIns="0" anchor="t" anchorCtr="0">
                      <a:spAutoFit/>
                    </wps:bodyPr>
                  </wps:wsp>
                </a:graphicData>
              </a:graphic>
            </wp:anchor>
          </w:drawing>
        </mc:Choice>
        <mc:Fallback>
          <w:pict>
            <v:shape id="文本框 1029"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AMx4DU&#10;AAAAAwEAAA8AAAAAAAAAAQAgAAAAIgAAAGRycy9kb3ducmV2LnhtbFBLAQIUABQAAAAIAIdO4kB/&#10;ZEMJ6wEAAMUDAAAOAAAAAAAAAAEAIAAAACMBAABkcnMvZTJvRG9jLnhtbFBLBQYAAAAABgAGAFkB&#10;AACABQAAAAA=&#10;">
              <v:fill on="f" focussize="0,0"/>
              <v:stroke on="f" weight="1.25pt"/>
              <v:imagedata o:title=""/>
              <o:lock v:ext="edit" aspectratio="f"/>
              <v:textbox inset="0mm,0mm,0mm,0mm" style="mso-fit-shape-to-text:t;">
                <w:txbxContent>
                  <w:p w14:paraId="2316DD38">
                    <w:pPr>
                      <w:pStyle w:val="22"/>
                      <w:jc w:val="center"/>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75317">
    <w:pPr>
      <w:pStyle w:val="22"/>
      <w:jc w:val="center"/>
      <w:rPr>
        <w:u w:val="single"/>
      </w:rPr>
    </w:pPr>
    <w:r>
      <w:rPr>
        <w:u w:val="single"/>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1030"/>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14:paraId="3B8A7C02">
                          <w:pPr>
                            <w:pStyle w:val="2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0">
                      <a:spAutoFit/>
                    </wps:bodyPr>
                  </wps:wsp>
                </a:graphicData>
              </a:graphic>
            </wp:anchor>
          </w:drawing>
        </mc:Choice>
        <mc:Fallback>
          <w:pict>
            <v:shape id="文本框 1030"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AMx4DU&#10;AAAAAwEAAA8AAAAAAAAAAQAgAAAAIgAAAGRycy9kb3ducmV2LnhtbFBLAQIUABQAAAAIAIdO4kDh&#10;fChB6wEAAMUDAAAOAAAAAAAAAAEAIAAAACMBAABkcnMvZTJvRG9jLnhtbFBLBQYAAAAABgAGAFkB&#10;AACABQAAAAA=&#10;">
              <v:fill on="f" focussize="0,0"/>
              <v:stroke on="f" weight="1.25pt"/>
              <v:imagedata o:title=""/>
              <o:lock v:ext="edit" aspectratio="f"/>
              <v:textbox inset="0mm,0mm,0mm,0mm" style="mso-fit-shape-to-text:t;">
                <w:txbxContent>
                  <w:p w14:paraId="3B8A7C02">
                    <w:pPr>
                      <w:pStyle w:val="2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u w:val="single"/>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8BDF0">
    <w:pPr>
      <w:pStyle w:val="23"/>
      <w:pBdr>
        <w:bottom w:val="none" w:color="auto" w:sz="0" w:space="0"/>
      </w:pBdr>
      <w:jc w:val="both"/>
      <w:rPr>
        <w:rFonts w:ascii="仿宋" w:hAnsi="仿宋" w:eastAsia="仿宋" w:cs="仿宋"/>
      </w:rPr>
    </w:pPr>
  </w:p>
  <w:p w14:paraId="7643918F">
    <w:pPr>
      <w:pStyle w:val="23"/>
      <w:pBdr>
        <w:bottom w:val="thinThickSmallGap" w:color="auto" w:sz="12" w:space="0"/>
      </w:pBdr>
      <w:jc w:val="left"/>
      <w:rPr>
        <w:rFonts w:eastAsia="仿宋"/>
        <w:u w:val="single"/>
      </w:rPr>
    </w:pPr>
    <w:r>
      <w:rPr>
        <w:rFonts w:hint="eastAsia" w:ascii="仿宋" w:hAnsi="仿宋" w:eastAsia="仿宋" w:cs="仿宋"/>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33985" cy="153035"/>
              <wp:effectExtent l="0" t="0" r="0" b="0"/>
              <wp:wrapNone/>
              <wp:docPr id="4" name="文本框 1026"/>
              <wp:cNvGraphicFramePr/>
              <a:graphic xmlns:a="http://schemas.openxmlformats.org/drawingml/2006/main">
                <a:graphicData uri="http://schemas.microsoft.com/office/word/2010/wordprocessingShape">
                  <wps:wsp>
                    <wps:cNvSpPr txBox="1"/>
                    <wps:spPr>
                      <a:xfrm>
                        <a:off x="0" y="0"/>
                        <a:ext cx="133985" cy="153035"/>
                      </a:xfrm>
                      <a:prstGeom prst="rect">
                        <a:avLst/>
                      </a:prstGeom>
                      <a:noFill/>
                      <a:ln w="15875">
                        <a:noFill/>
                      </a:ln>
                    </wps:spPr>
                    <wps:txbx>
                      <w:txbxContent>
                        <w:p w14:paraId="534DCAF8"/>
                      </w:txbxContent>
                    </wps:txbx>
                    <wps:bodyPr rot="0" vert="horz" wrap="none" lIns="0" tIns="0" rIns="0" bIns="0" anchor="t" anchorCtr="0">
                      <a:spAutoFit/>
                    </wps:bodyPr>
                  </wps:wsp>
                </a:graphicData>
              </a:graphic>
            </wp:anchor>
          </w:drawing>
        </mc:Choice>
        <mc:Fallback>
          <w:pict>
            <v:shape id="文本框 1026" o:spid="_x0000_s1026" o:spt="202" type="#_x0000_t202" style="position:absolute;left:0pt;margin-top:0pt;height:12.05pt;width:10.55pt;mso-position-horizontal:right;mso-position-horizontal-relative:margin;mso-wrap-style:none;z-index:251659264;mso-width-relative:page;mso-height-relative:page;" filled="f" stroked="f" coordsize="21600,21600" o:gfxdata="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k5Lk+tMA&#10;AAADAQAADwAAAAAAAAABACAAAAAiAAAAZHJzL2Rvd25yZXYueG1sUEsBAhQAFAAAAAgAh07iQMvy&#10;gy3rAQAAxQMAAA4AAAAAAAAAAQAgAAAAIgEAAGRycy9lMm9Eb2MueG1sUEsFBgAAAAAGAAYAWQEA&#10;AH8FAAAAAA==&#10;">
              <v:fill on="f" focussize="0,0"/>
              <v:stroke on="f" weight="1.25pt"/>
              <v:imagedata o:title=""/>
              <o:lock v:ext="edit" aspectratio="f"/>
              <v:textbox inset="0mm,0mm,0mm,0mm" style="mso-fit-shape-to-text:t;">
                <w:txbxContent>
                  <w:p w14:paraId="534DCAF8"/>
                </w:txbxContent>
              </v:textbox>
            </v:shape>
          </w:pict>
        </mc:Fallback>
      </mc:AlternateContent>
    </w:r>
    <w:r>
      <w:rPr>
        <w:rFonts w:hint="eastAsia" w:ascii="仿宋" w:hAnsi="仿宋" w:eastAsia="仿宋" w:cs="仿宋"/>
        <w:lang w:eastAsia="zh-CN"/>
      </w:rPr>
      <w:t>吴兴区2025年水土保持技术支撑服务项目</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4D081">
    <w:pPr>
      <w:pStyle w:val="23"/>
      <w:pBdr>
        <w:bottom w:val="thinThickSmallGap" w:color="auto" w:sz="12" w:space="1"/>
      </w:pBdr>
      <w:tabs>
        <w:tab w:val="left" w:pos="8485"/>
        <w:tab w:val="clear" w:pos="8306"/>
      </w:tabs>
      <w:jc w:val="left"/>
      <w:rPr>
        <w:rFonts w:ascii="仿宋" w:hAnsi="仿宋" w:eastAsia="仿宋" w:cs="仿宋"/>
      </w:rPr>
    </w:pPr>
  </w:p>
  <w:p w14:paraId="3ADE3318">
    <w:pPr>
      <w:pStyle w:val="23"/>
      <w:pBdr>
        <w:bottom w:val="thinThickSmallGap" w:color="auto" w:sz="12" w:space="1"/>
      </w:pBdr>
      <w:tabs>
        <w:tab w:val="left" w:pos="8485"/>
        <w:tab w:val="clear" w:pos="8306"/>
      </w:tabs>
      <w:jc w:val="left"/>
      <w:rPr>
        <w:rFonts w:eastAsia="仿宋"/>
      </w:rPr>
    </w:pPr>
    <w:r>
      <w:rPr>
        <w:rFonts w:hint="eastAsia" w:ascii="仿宋" w:hAnsi="仿宋" w:eastAsia="仿宋" w:cs="仿宋"/>
        <w:lang w:eastAsia="zh-CN"/>
      </w:rPr>
      <w:t>吴兴区2025年水土保持技术支撑服务项目</w:t>
    </w:r>
    <w:r>
      <w:rPr>
        <w:rFonts w:hint="eastAsia" w:ascii="仿宋" w:hAnsi="仿宋" w:eastAsia="仿宋" w:cs="仿宋"/>
      </w:rPr>
      <w:t xml:space="preserve">                                                               竞争性磋商文件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EFB668"/>
    <w:multiLevelType w:val="singleLevel"/>
    <w:tmpl w:val="88EFB668"/>
    <w:lvl w:ilvl="0" w:tentative="0">
      <w:start w:val="1"/>
      <w:numFmt w:val="decimal"/>
      <w:lvlText w:val="(%1)"/>
      <w:lvlJc w:val="left"/>
      <w:pPr>
        <w:ind w:left="425" w:hanging="425"/>
      </w:pPr>
      <w:rPr>
        <w:rFonts w:hint="default"/>
      </w:rPr>
    </w:lvl>
  </w:abstractNum>
  <w:abstractNum w:abstractNumId="1">
    <w:nsid w:val="BB144AE4"/>
    <w:multiLevelType w:val="multilevel"/>
    <w:tmpl w:val="BB144AE4"/>
    <w:lvl w:ilvl="0" w:tentative="0">
      <w:start w:val="1"/>
      <w:numFmt w:val="decimal"/>
      <w:lvlText w:val="%1)"/>
      <w:lvlJc w:val="left"/>
      <w:pPr>
        <w:tabs>
          <w:tab w:val="left" w:pos="846"/>
        </w:tabs>
        <w:ind w:left="846" w:hanging="420"/>
      </w:pPr>
    </w:lvl>
    <w:lvl w:ilvl="1" w:tentative="0">
      <w:start w:val="1"/>
      <w:numFmt w:val="lowerLetter"/>
      <w:lvlText w:val="%2)"/>
      <w:lvlJc w:val="left"/>
      <w:pPr>
        <w:tabs>
          <w:tab w:val="left" w:pos="1264"/>
        </w:tabs>
        <w:ind w:left="1264" w:hanging="420"/>
      </w:pPr>
    </w:lvl>
    <w:lvl w:ilvl="2" w:tentative="0">
      <w:start w:val="1"/>
      <w:numFmt w:val="lowerRoman"/>
      <w:lvlText w:val="%3."/>
      <w:lvlJc w:val="right"/>
      <w:pPr>
        <w:tabs>
          <w:tab w:val="left" w:pos="1684"/>
        </w:tabs>
        <w:ind w:left="1684" w:hanging="420"/>
      </w:pPr>
    </w:lvl>
    <w:lvl w:ilvl="3" w:tentative="0">
      <w:start w:val="1"/>
      <w:numFmt w:val="decimal"/>
      <w:lvlText w:val="%4."/>
      <w:lvlJc w:val="left"/>
      <w:pPr>
        <w:tabs>
          <w:tab w:val="left" w:pos="2104"/>
        </w:tabs>
        <w:ind w:left="2104" w:hanging="420"/>
      </w:pPr>
    </w:lvl>
    <w:lvl w:ilvl="4" w:tentative="0">
      <w:start w:val="1"/>
      <w:numFmt w:val="lowerLetter"/>
      <w:lvlText w:val="%5)"/>
      <w:lvlJc w:val="left"/>
      <w:pPr>
        <w:tabs>
          <w:tab w:val="left" w:pos="2524"/>
        </w:tabs>
        <w:ind w:left="2524" w:hanging="420"/>
      </w:pPr>
    </w:lvl>
    <w:lvl w:ilvl="5" w:tentative="0">
      <w:start w:val="1"/>
      <w:numFmt w:val="lowerRoman"/>
      <w:lvlText w:val="%6."/>
      <w:lvlJc w:val="right"/>
      <w:pPr>
        <w:tabs>
          <w:tab w:val="left" w:pos="2944"/>
        </w:tabs>
        <w:ind w:left="2944" w:hanging="420"/>
      </w:pPr>
    </w:lvl>
    <w:lvl w:ilvl="6" w:tentative="0">
      <w:start w:val="1"/>
      <w:numFmt w:val="decimal"/>
      <w:lvlText w:val="%7."/>
      <w:lvlJc w:val="left"/>
      <w:pPr>
        <w:tabs>
          <w:tab w:val="left" w:pos="3364"/>
        </w:tabs>
        <w:ind w:left="3364" w:hanging="420"/>
      </w:pPr>
    </w:lvl>
    <w:lvl w:ilvl="7" w:tentative="0">
      <w:start w:val="1"/>
      <w:numFmt w:val="lowerLetter"/>
      <w:lvlText w:val="%8)"/>
      <w:lvlJc w:val="left"/>
      <w:pPr>
        <w:tabs>
          <w:tab w:val="left" w:pos="3784"/>
        </w:tabs>
        <w:ind w:left="3784" w:hanging="420"/>
      </w:pPr>
    </w:lvl>
    <w:lvl w:ilvl="8" w:tentative="0">
      <w:start w:val="1"/>
      <w:numFmt w:val="lowerRoman"/>
      <w:lvlText w:val="%9."/>
      <w:lvlJc w:val="right"/>
      <w:pPr>
        <w:tabs>
          <w:tab w:val="left" w:pos="4204"/>
        </w:tabs>
        <w:ind w:left="4204" w:hanging="420"/>
      </w:pPr>
    </w:lvl>
  </w:abstractNum>
  <w:abstractNum w:abstractNumId="2">
    <w:nsid w:val="FA3D2C7F"/>
    <w:multiLevelType w:val="multilevel"/>
    <w:tmpl w:val="FA3D2C7F"/>
    <w:lvl w:ilvl="0" w:tentative="0">
      <w:start w:val="1"/>
      <w:numFmt w:val="decimal"/>
      <w:lvlText w:val="%1)"/>
      <w:lvlJc w:val="left"/>
      <w:pPr>
        <w:tabs>
          <w:tab w:val="left" w:pos="846"/>
        </w:tabs>
        <w:ind w:left="846" w:hanging="420"/>
      </w:pPr>
    </w:lvl>
    <w:lvl w:ilvl="1" w:tentative="0">
      <w:start w:val="1"/>
      <w:numFmt w:val="lowerLetter"/>
      <w:lvlText w:val="%2)"/>
      <w:lvlJc w:val="left"/>
      <w:pPr>
        <w:tabs>
          <w:tab w:val="left" w:pos="1264"/>
        </w:tabs>
        <w:ind w:left="1264" w:hanging="420"/>
      </w:pPr>
    </w:lvl>
    <w:lvl w:ilvl="2" w:tentative="0">
      <w:start w:val="1"/>
      <w:numFmt w:val="lowerRoman"/>
      <w:lvlText w:val="%3."/>
      <w:lvlJc w:val="right"/>
      <w:pPr>
        <w:tabs>
          <w:tab w:val="left" w:pos="1684"/>
        </w:tabs>
        <w:ind w:left="1684" w:hanging="420"/>
      </w:pPr>
    </w:lvl>
    <w:lvl w:ilvl="3" w:tentative="0">
      <w:start w:val="1"/>
      <w:numFmt w:val="decimal"/>
      <w:lvlText w:val="%4."/>
      <w:lvlJc w:val="left"/>
      <w:pPr>
        <w:tabs>
          <w:tab w:val="left" w:pos="2104"/>
        </w:tabs>
        <w:ind w:left="2104" w:hanging="420"/>
      </w:pPr>
    </w:lvl>
    <w:lvl w:ilvl="4" w:tentative="0">
      <w:start w:val="1"/>
      <w:numFmt w:val="lowerLetter"/>
      <w:lvlText w:val="%5)"/>
      <w:lvlJc w:val="left"/>
      <w:pPr>
        <w:tabs>
          <w:tab w:val="left" w:pos="2524"/>
        </w:tabs>
        <w:ind w:left="2524" w:hanging="420"/>
      </w:pPr>
    </w:lvl>
    <w:lvl w:ilvl="5" w:tentative="0">
      <w:start w:val="1"/>
      <w:numFmt w:val="lowerRoman"/>
      <w:lvlText w:val="%6."/>
      <w:lvlJc w:val="right"/>
      <w:pPr>
        <w:tabs>
          <w:tab w:val="left" w:pos="2944"/>
        </w:tabs>
        <w:ind w:left="2944" w:hanging="420"/>
      </w:pPr>
    </w:lvl>
    <w:lvl w:ilvl="6" w:tentative="0">
      <w:start w:val="1"/>
      <w:numFmt w:val="decimal"/>
      <w:lvlText w:val="%7."/>
      <w:lvlJc w:val="left"/>
      <w:pPr>
        <w:tabs>
          <w:tab w:val="left" w:pos="3364"/>
        </w:tabs>
        <w:ind w:left="3364" w:hanging="420"/>
      </w:pPr>
    </w:lvl>
    <w:lvl w:ilvl="7" w:tentative="0">
      <w:start w:val="1"/>
      <w:numFmt w:val="lowerLetter"/>
      <w:lvlText w:val="%8)"/>
      <w:lvlJc w:val="left"/>
      <w:pPr>
        <w:tabs>
          <w:tab w:val="left" w:pos="3784"/>
        </w:tabs>
        <w:ind w:left="3784" w:hanging="420"/>
      </w:pPr>
    </w:lvl>
    <w:lvl w:ilvl="8" w:tentative="0">
      <w:start w:val="1"/>
      <w:numFmt w:val="lowerRoman"/>
      <w:lvlText w:val="%9."/>
      <w:lvlJc w:val="right"/>
      <w:pPr>
        <w:tabs>
          <w:tab w:val="left" w:pos="4204"/>
        </w:tabs>
        <w:ind w:left="4204" w:hanging="420"/>
      </w:pPr>
    </w:lvl>
  </w:abstractNum>
  <w:abstractNum w:abstractNumId="3">
    <w:nsid w:val="FFFFFF7E"/>
    <w:multiLevelType w:val="singleLevel"/>
    <w:tmpl w:val="FFFFFF7E"/>
    <w:lvl w:ilvl="0" w:tentative="0">
      <w:start w:val="1"/>
      <w:numFmt w:val="decimal"/>
      <w:pStyle w:val="15"/>
      <w:lvlText w:val="%1."/>
      <w:lvlJc w:val="left"/>
      <w:pPr>
        <w:tabs>
          <w:tab w:val="left" w:pos="1200"/>
        </w:tabs>
        <w:ind w:left="1200" w:hanging="360"/>
      </w:pPr>
    </w:lvl>
  </w:abstractNum>
  <w:abstractNum w:abstractNumId="4">
    <w:nsid w:val="07BA4390"/>
    <w:multiLevelType w:val="singleLevel"/>
    <w:tmpl w:val="07BA4390"/>
    <w:lvl w:ilvl="0" w:tentative="0">
      <w:start w:val="1"/>
      <w:numFmt w:val="decimal"/>
      <w:suff w:val="nothing"/>
      <w:lvlText w:val="%1．"/>
      <w:lvlJc w:val="left"/>
      <w:pPr>
        <w:ind w:left="0" w:firstLine="400"/>
      </w:pPr>
      <w:rPr>
        <w:rFonts w:hint="default"/>
      </w:rPr>
    </w:lvl>
  </w:abstractNum>
  <w:abstractNum w:abstractNumId="5">
    <w:nsid w:val="3514D1D1"/>
    <w:multiLevelType w:val="singleLevel"/>
    <w:tmpl w:val="3514D1D1"/>
    <w:lvl w:ilvl="0" w:tentative="0">
      <w:start w:val="1"/>
      <w:numFmt w:val="decimal"/>
      <w:lvlText w:val="(%1)"/>
      <w:lvlJc w:val="left"/>
      <w:pPr>
        <w:ind w:left="425" w:hanging="425"/>
      </w:pPr>
      <w:rPr>
        <w:rFonts w:hint="default"/>
      </w:rPr>
    </w:lvl>
  </w:abstractNum>
  <w:abstractNum w:abstractNumId="6">
    <w:nsid w:val="57E78534"/>
    <w:multiLevelType w:val="singleLevel"/>
    <w:tmpl w:val="57E78534"/>
    <w:lvl w:ilvl="0" w:tentative="0">
      <w:start w:val="5"/>
      <w:numFmt w:val="decimal"/>
      <w:suff w:val="nothing"/>
      <w:lvlText w:val="%1）"/>
      <w:lvlJc w:val="left"/>
    </w:lvl>
  </w:abstractNum>
  <w:abstractNum w:abstractNumId="7">
    <w:nsid w:val="662F0047"/>
    <w:multiLevelType w:val="singleLevel"/>
    <w:tmpl w:val="662F0047"/>
    <w:lvl w:ilvl="0" w:tentative="0">
      <w:start w:val="3"/>
      <w:numFmt w:val="chineseCounting"/>
      <w:suff w:val="space"/>
      <w:lvlText w:val="第%1章"/>
      <w:lvlJc w:val="left"/>
      <w:rPr>
        <w:rFonts w:hint="eastAsia"/>
      </w:rPr>
    </w:lvl>
  </w:abstractNum>
  <w:num w:numId="1">
    <w:abstractNumId w:val="3"/>
  </w:num>
  <w:num w:numId="2">
    <w:abstractNumId w:val="1"/>
  </w:num>
  <w:num w:numId="3">
    <w:abstractNumId w:val="0"/>
  </w:num>
  <w:num w:numId="4">
    <w:abstractNumId w:val="6"/>
  </w:num>
  <w:num w:numId="5">
    <w:abstractNumId w:val="7"/>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xNDI2MTdkZGVjMzNlMDdlODAyM2FlNDUyZWEyNTAifQ=="/>
  </w:docVars>
  <w:rsids>
    <w:rsidRoot w:val="00AA54CE"/>
    <w:rsid w:val="000015B1"/>
    <w:rsid w:val="000029F2"/>
    <w:rsid w:val="00002A20"/>
    <w:rsid w:val="00002F4E"/>
    <w:rsid w:val="00003CEB"/>
    <w:rsid w:val="00003DB3"/>
    <w:rsid w:val="0000720F"/>
    <w:rsid w:val="000103C3"/>
    <w:rsid w:val="000125E1"/>
    <w:rsid w:val="00013B67"/>
    <w:rsid w:val="000155B1"/>
    <w:rsid w:val="00015C38"/>
    <w:rsid w:val="0001673C"/>
    <w:rsid w:val="00016D16"/>
    <w:rsid w:val="000203E6"/>
    <w:rsid w:val="00022834"/>
    <w:rsid w:val="00023C4C"/>
    <w:rsid w:val="000263C6"/>
    <w:rsid w:val="00026C9E"/>
    <w:rsid w:val="00030916"/>
    <w:rsid w:val="00031C8F"/>
    <w:rsid w:val="000352C0"/>
    <w:rsid w:val="00037869"/>
    <w:rsid w:val="00040750"/>
    <w:rsid w:val="000430C1"/>
    <w:rsid w:val="000446AB"/>
    <w:rsid w:val="00044981"/>
    <w:rsid w:val="00044A7D"/>
    <w:rsid w:val="00045302"/>
    <w:rsid w:val="0005129F"/>
    <w:rsid w:val="00053EB0"/>
    <w:rsid w:val="00055A42"/>
    <w:rsid w:val="00057F17"/>
    <w:rsid w:val="000603EF"/>
    <w:rsid w:val="00060724"/>
    <w:rsid w:val="000634EA"/>
    <w:rsid w:val="0006689E"/>
    <w:rsid w:val="00066B3B"/>
    <w:rsid w:val="000678A0"/>
    <w:rsid w:val="00070CB2"/>
    <w:rsid w:val="0007165E"/>
    <w:rsid w:val="00071EE2"/>
    <w:rsid w:val="0007214B"/>
    <w:rsid w:val="00072284"/>
    <w:rsid w:val="0008056D"/>
    <w:rsid w:val="00083EEF"/>
    <w:rsid w:val="00086B28"/>
    <w:rsid w:val="0009178E"/>
    <w:rsid w:val="000918A1"/>
    <w:rsid w:val="00092F55"/>
    <w:rsid w:val="0009661D"/>
    <w:rsid w:val="00096D39"/>
    <w:rsid w:val="000A140A"/>
    <w:rsid w:val="000A3461"/>
    <w:rsid w:val="000B0060"/>
    <w:rsid w:val="000B1259"/>
    <w:rsid w:val="000B1C3F"/>
    <w:rsid w:val="000B20D3"/>
    <w:rsid w:val="000B5D02"/>
    <w:rsid w:val="000C0545"/>
    <w:rsid w:val="000C51F3"/>
    <w:rsid w:val="000C6416"/>
    <w:rsid w:val="000C666E"/>
    <w:rsid w:val="000C70D1"/>
    <w:rsid w:val="000D1ACB"/>
    <w:rsid w:val="000D224E"/>
    <w:rsid w:val="000D2E32"/>
    <w:rsid w:val="000E1F65"/>
    <w:rsid w:val="000E2EAD"/>
    <w:rsid w:val="000E3B08"/>
    <w:rsid w:val="000E3E6A"/>
    <w:rsid w:val="000E43F4"/>
    <w:rsid w:val="000E7414"/>
    <w:rsid w:val="000F10D3"/>
    <w:rsid w:val="000F3412"/>
    <w:rsid w:val="000F601A"/>
    <w:rsid w:val="000F6217"/>
    <w:rsid w:val="001036DE"/>
    <w:rsid w:val="00105B85"/>
    <w:rsid w:val="0010600F"/>
    <w:rsid w:val="0010677F"/>
    <w:rsid w:val="001073E0"/>
    <w:rsid w:val="00110E1A"/>
    <w:rsid w:val="0011159D"/>
    <w:rsid w:val="001121D9"/>
    <w:rsid w:val="001137E5"/>
    <w:rsid w:val="001140D1"/>
    <w:rsid w:val="0011471D"/>
    <w:rsid w:val="00115377"/>
    <w:rsid w:val="001172B0"/>
    <w:rsid w:val="00117E99"/>
    <w:rsid w:val="001201F3"/>
    <w:rsid w:val="00121224"/>
    <w:rsid w:val="00121F64"/>
    <w:rsid w:val="00124952"/>
    <w:rsid w:val="00127B96"/>
    <w:rsid w:val="001336C1"/>
    <w:rsid w:val="001346E8"/>
    <w:rsid w:val="001352F3"/>
    <w:rsid w:val="00135BA9"/>
    <w:rsid w:val="00137D9D"/>
    <w:rsid w:val="00140A64"/>
    <w:rsid w:val="00141C8E"/>
    <w:rsid w:val="00142646"/>
    <w:rsid w:val="00142D03"/>
    <w:rsid w:val="00151A9F"/>
    <w:rsid w:val="00152697"/>
    <w:rsid w:val="00152F68"/>
    <w:rsid w:val="00155185"/>
    <w:rsid w:val="001564D0"/>
    <w:rsid w:val="0016015F"/>
    <w:rsid w:val="00160841"/>
    <w:rsid w:val="00161EEE"/>
    <w:rsid w:val="00162189"/>
    <w:rsid w:val="001621EA"/>
    <w:rsid w:val="00163A6D"/>
    <w:rsid w:val="0016518C"/>
    <w:rsid w:val="00170AE7"/>
    <w:rsid w:val="00171E1F"/>
    <w:rsid w:val="001723A0"/>
    <w:rsid w:val="00174BD5"/>
    <w:rsid w:val="00175E3E"/>
    <w:rsid w:val="0017689A"/>
    <w:rsid w:val="00182078"/>
    <w:rsid w:val="00183629"/>
    <w:rsid w:val="00185762"/>
    <w:rsid w:val="00190968"/>
    <w:rsid w:val="00190CEA"/>
    <w:rsid w:val="00191359"/>
    <w:rsid w:val="00193B08"/>
    <w:rsid w:val="00193D58"/>
    <w:rsid w:val="00194108"/>
    <w:rsid w:val="00196C69"/>
    <w:rsid w:val="001A120D"/>
    <w:rsid w:val="001A16A6"/>
    <w:rsid w:val="001A632F"/>
    <w:rsid w:val="001A7226"/>
    <w:rsid w:val="001B0F0B"/>
    <w:rsid w:val="001B3420"/>
    <w:rsid w:val="001B7314"/>
    <w:rsid w:val="001B7AF2"/>
    <w:rsid w:val="001B7E33"/>
    <w:rsid w:val="001C14A6"/>
    <w:rsid w:val="001C16C9"/>
    <w:rsid w:val="001C42B7"/>
    <w:rsid w:val="001D5C43"/>
    <w:rsid w:val="001D6104"/>
    <w:rsid w:val="001E0026"/>
    <w:rsid w:val="001E2308"/>
    <w:rsid w:val="001E41A6"/>
    <w:rsid w:val="001E426F"/>
    <w:rsid w:val="001E52B2"/>
    <w:rsid w:val="001E56C7"/>
    <w:rsid w:val="001F0ADD"/>
    <w:rsid w:val="001F0D58"/>
    <w:rsid w:val="001F247E"/>
    <w:rsid w:val="001F2A43"/>
    <w:rsid w:val="001F3A4E"/>
    <w:rsid w:val="001F5141"/>
    <w:rsid w:val="00202902"/>
    <w:rsid w:val="002102AE"/>
    <w:rsid w:val="0021084D"/>
    <w:rsid w:val="0021112D"/>
    <w:rsid w:val="002114B4"/>
    <w:rsid w:val="002147A3"/>
    <w:rsid w:val="0021678E"/>
    <w:rsid w:val="0021718C"/>
    <w:rsid w:val="00220831"/>
    <w:rsid w:val="002212F1"/>
    <w:rsid w:val="00221842"/>
    <w:rsid w:val="0022252B"/>
    <w:rsid w:val="00230930"/>
    <w:rsid w:val="00233B60"/>
    <w:rsid w:val="0023546C"/>
    <w:rsid w:val="00237C91"/>
    <w:rsid w:val="00237E5D"/>
    <w:rsid w:val="00240476"/>
    <w:rsid w:val="0024158E"/>
    <w:rsid w:val="00241FE6"/>
    <w:rsid w:val="002425C3"/>
    <w:rsid w:val="002426E8"/>
    <w:rsid w:val="00242727"/>
    <w:rsid w:val="00242F06"/>
    <w:rsid w:val="00246D75"/>
    <w:rsid w:val="002477DB"/>
    <w:rsid w:val="00250A1F"/>
    <w:rsid w:val="00250FCF"/>
    <w:rsid w:val="00252F20"/>
    <w:rsid w:val="002566DB"/>
    <w:rsid w:val="00257688"/>
    <w:rsid w:val="00257780"/>
    <w:rsid w:val="00263D6B"/>
    <w:rsid w:val="00266494"/>
    <w:rsid w:val="002668B0"/>
    <w:rsid w:val="00267599"/>
    <w:rsid w:val="00267E5D"/>
    <w:rsid w:val="0027008C"/>
    <w:rsid w:val="0027613F"/>
    <w:rsid w:val="00281B54"/>
    <w:rsid w:val="00283054"/>
    <w:rsid w:val="00283CC9"/>
    <w:rsid w:val="00286FCD"/>
    <w:rsid w:val="00290DA2"/>
    <w:rsid w:val="00296D97"/>
    <w:rsid w:val="002A4780"/>
    <w:rsid w:val="002B00A2"/>
    <w:rsid w:val="002B06A4"/>
    <w:rsid w:val="002B1CCA"/>
    <w:rsid w:val="002B27C0"/>
    <w:rsid w:val="002B34C5"/>
    <w:rsid w:val="002B4298"/>
    <w:rsid w:val="002B4D55"/>
    <w:rsid w:val="002B6797"/>
    <w:rsid w:val="002B7F94"/>
    <w:rsid w:val="002C2A8D"/>
    <w:rsid w:val="002C4ED1"/>
    <w:rsid w:val="002C6453"/>
    <w:rsid w:val="002C6CBA"/>
    <w:rsid w:val="002D0FCC"/>
    <w:rsid w:val="002D3FAD"/>
    <w:rsid w:val="002D4410"/>
    <w:rsid w:val="002D764D"/>
    <w:rsid w:val="002E4A1C"/>
    <w:rsid w:val="002E4C8C"/>
    <w:rsid w:val="002E5BAA"/>
    <w:rsid w:val="002E6379"/>
    <w:rsid w:val="002F0C66"/>
    <w:rsid w:val="002F1BF8"/>
    <w:rsid w:val="002F24D2"/>
    <w:rsid w:val="002F275D"/>
    <w:rsid w:val="002F28C5"/>
    <w:rsid w:val="00301761"/>
    <w:rsid w:val="00301B69"/>
    <w:rsid w:val="00303029"/>
    <w:rsid w:val="003041B2"/>
    <w:rsid w:val="00305FD0"/>
    <w:rsid w:val="0030762C"/>
    <w:rsid w:val="00311BB8"/>
    <w:rsid w:val="003125CB"/>
    <w:rsid w:val="00315CBB"/>
    <w:rsid w:val="003164B6"/>
    <w:rsid w:val="0032052F"/>
    <w:rsid w:val="003238DB"/>
    <w:rsid w:val="00324FF3"/>
    <w:rsid w:val="00325742"/>
    <w:rsid w:val="003273ED"/>
    <w:rsid w:val="00331C5C"/>
    <w:rsid w:val="00334FB3"/>
    <w:rsid w:val="003365A2"/>
    <w:rsid w:val="00336ABA"/>
    <w:rsid w:val="00336C75"/>
    <w:rsid w:val="00337D86"/>
    <w:rsid w:val="00341E07"/>
    <w:rsid w:val="003428D5"/>
    <w:rsid w:val="00346EA7"/>
    <w:rsid w:val="003500A6"/>
    <w:rsid w:val="00350C22"/>
    <w:rsid w:val="0035105C"/>
    <w:rsid w:val="003516FF"/>
    <w:rsid w:val="0035311E"/>
    <w:rsid w:val="0035448C"/>
    <w:rsid w:val="003544B2"/>
    <w:rsid w:val="00354BED"/>
    <w:rsid w:val="00357744"/>
    <w:rsid w:val="0036047F"/>
    <w:rsid w:val="00361E5E"/>
    <w:rsid w:val="003636BC"/>
    <w:rsid w:val="00364250"/>
    <w:rsid w:val="003648EA"/>
    <w:rsid w:val="00364EEF"/>
    <w:rsid w:val="003661AF"/>
    <w:rsid w:val="0036769D"/>
    <w:rsid w:val="00371354"/>
    <w:rsid w:val="00377D4F"/>
    <w:rsid w:val="00383688"/>
    <w:rsid w:val="00383974"/>
    <w:rsid w:val="00385CD5"/>
    <w:rsid w:val="00385E22"/>
    <w:rsid w:val="00391231"/>
    <w:rsid w:val="00392D05"/>
    <w:rsid w:val="00395B28"/>
    <w:rsid w:val="003A2917"/>
    <w:rsid w:val="003A4FF0"/>
    <w:rsid w:val="003A74B5"/>
    <w:rsid w:val="003B185A"/>
    <w:rsid w:val="003B21E1"/>
    <w:rsid w:val="003B2678"/>
    <w:rsid w:val="003B4062"/>
    <w:rsid w:val="003B4BF1"/>
    <w:rsid w:val="003B5278"/>
    <w:rsid w:val="003B67C3"/>
    <w:rsid w:val="003B7995"/>
    <w:rsid w:val="003C223C"/>
    <w:rsid w:val="003C3AB1"/>
    <w:rsid w:val="003C3CB7"/>
    <w:rsid w:val="003C58F4"/>
    <w:rsid w:val="003C68EE"/>
    <w:rsid w:val="003D1637"/>
    <w:rsid w:val="003D26C7"/>
    <w:rsid w:val="003E210B"/>
    <w:rsid w:val="003E2AD2"/>
    <w:rsid w:val="003E34A2"/>
    <w:rsid w:val="003E386D"/>
    <w:rsid w:val="003E4682"/>
    <w:rsid w:val="003E485C"/>
    <w:rsid w:val="003E6DAC"/>
    <w:rsid w:val="003F1202"/>
    <w:rsid w:val="003F3622"/>
    <w:rsid w:val="003F364D"/>
    <w:rsid w:val="003F3A25"/>
    <w:rsid w:val="003F44B7"/>
    <w:rsid w:val="003F5A1B"/>
    <w:rsid w:val="003F6396"/>
    <w:rsid w:val="00400053"/>
    <w:rsid w:val="00400D32"/>
    <w:rsid w:val="004017B7"/>
    <w:rsid w:val="00406766"/>
    <w:rsid w:val="00407BBF"/>
    <w:rsid w:val="004115DB"/>
    <w:rsid w:val="004152CB"/>
    <w:rsid w:val="00417139"/>
    <w:rsid w:val="00417282"/>
    <w:rsid w:val="004204D5"/>
    <w:rsid w:val="0042151A"/>
    <w:rsid w:val="00422EC8"/>
    <w:rsid w:val="00423A34"/>
    <w:rsid w:val="00426915"/>
    <w:rsid w:val="00426D29"/>
    <w:rsid w:val="0043390D"/>
    <w:rsid w:val="00434F3C"/>
    <w:rsid w:val="00435FA3"/>
    <w:rsid w:val="00436E9E"/>
    <w:rsid w:val="00441752"/>
    <w:rsid w:val="004417EB"/>
    <w:rsid w:val="00441DE7"/>
    <w:rsid w:val="00442E9E"/>
    <w:rsid w:val="004430E9"/>
    <w:rsid w:val="00443FAB"/>
    <w:rsid w:val="00444638"/>
    <w:rsid w:val="00445930"/>
    <w:rsid w:val="00452F11"/>
    <w:rsid w:val="00453EE0"/>
    <w:rsid w:val="00456262"/>
    <w:rsid w:val="004563CD"/>
    <w:rsid w:val="00456454"/>
    <w:rsid w:val="00457E27"/>
    <w:rsid w:val="0046029F"/>
    <w:rsid w:val="00464E27"/>
    <w:rsid w:val="00470854"/>
    <w:rsid w:val="00475695"/>
    <w:rsid w:val="00477662"/>
    <w:rsid w:val="004805C7"/>
    <w:rsid w:val="00482DC5"/>
    <w:rsid w:val="0048689A"/>
    <w:rsid w:val="00490014"/>
    <w:rsid w:val="004901EC"/>
    <w:rsid w:val="00490AF8"/>
    <w:rsid w:val="00491388"/>
    <w:rsid w:val="00492775"/>
    <w:rsid w:val="00493D5F"/>
    <w:rsid w:val="004952A3"/>
    <w:rsid w:val="004956AC"/>
    <w:rsid w:val="004957F8"/>
    <w:rsid w:val="0049587E"/>
    <w:rsid w:val="00496355"/>
    <w:rsid w:val="004A0996"/>
    <w:rsid w:val="004A1D26"/>
    <w:rsid w:val="004A21D2"/>
    <w:rsid w:val="004A3BCA"/>
    <w:rsid w:val="004A3F5B"/>
    <w:rsid w:val="004A7105"/>
    <w:rsid w:val="004B26F4"/>
    <w:rsid w:val="004B2A65"/>
    <w:rsid w:val="004B3130"/>
    <w:rsid w:val="004B4920"/>
    <w:rsid w:val="004B6B09"/>
    <w:rsid w:val="004B6EC5"/>
    <w:rsid w:val="004B7448"/>
    <w:rsid w:val="004B7C8B"/>
    <w:rsid w:val="004C0B20"/>
    <w:rsid w:val="004C10B7"/>
    <w:rsid w:val="004C157E"/>
    <w:rsid w:val="004C4B3A"/>
    <w:rsid w:val="004C675F"/>
    <w:rsid w:val="004D0C91"/>
    <w:rsid w:val="004D2B1A"/>
    <w:rsid w:val="004D7756"/>
    <w:rsid w:val="004E103A"/>
    <w:rsid w:val="004E32ED"/>
    <w:rsid w:val="004E511F"/>
    <w:rsid w:val="004E6F8A"/>
    <w:rsid w:val="004F3DC3"/>
    <w:rsid w:val="004F494D"/>
    <w:rsid w:val="004F4FA7"/>
    <w:rsid w:val="004F6F57"/>
    <w:rsid w:val="004F7D2B"/>
    <w:rsid w:val="005030A3"/>
    <w:rsid w:val="0050349B"/>
    <w:rsid w:val="005042B3"/>
    <w:rsid w:val="00504D39"/>
    <w:rsid w:val="00506984"/>
    <w:rsid w:val="00506BA9"/>
    <w:rsid w:val="00510C42"/>
    <w:rsid w:val="005118D2"/>
    <w:rsid w:val="00515618"/>
    <w:rsid w:val="00515B95"/>
    <w:rsid w:val="005172A0"/>
    <w:rsid w:val="00517DD9"/>
    <w:rsid w:val="00525F6C"/>
    <w:rsid w:val="005261E7"/>
    <w:rsid w:val="00526689"/>
    <w:rsid w:val="00527E9F"/>
    <w:rsid w:val="005320A2"/>
    <w:rsid w:val="00534FE0"/>
    <w:rsid w:val="005379B4"/>
    <w:rsid w:val="00541206"/>
    <w:rsid w:val="00551C42"/>
    <w:rsid w:val="00554FBD"/>
    <w:rsid w:val="00556487"/>
    <w:rsid w:val="00560A9E"/>
    <w:rsid w:val="005629FF"/>
    <w:rsid w:val="00572033"/>
    <w:rsid w:val="00574712"/>
    <w:rsid w:val="00575126"/>
    <w:rsid w:val="00576E9A"/>
    <w:rsid w:val="00577324"/>
    <w:rsid w:val="00580752"/>
    <w:rsid w:val="00580792"/>
    <w:rsid w:val="00582305"/>
    <w:rsid w:val="00582391"/>
    <w:rsid w:val="00583B23"/>
    <w:rsid w:val="00585EB4"/>
    <w:rsid w:val="005867EC"/>
    <w:rsid w:val="00587AAF"/>
    <w:rsid w:val="00590E6C"/>
    <w:rsid w:val="0059367C"/>
    <w:rsid w:val="005944A5"/>
    <w:rsid w:val="00594837"/>
    <w:rsid w:val="00596383"/>
    <w:rsid w:val="0059757E"/>
    <w:rsid w:val="005A0953"/>
    <w:rsid w:val="005A202B"/>
    <w:rsid w:val="005A3BCD"/>
    <w:rsid w:val="005A3E02"/>
    <w:rsid w:val="005A4852"/>
    <w:rsid w:val="005A4890"/>
    <w:rsid w:val="005A5B45"/>
    <w:rsid w:val="005A66F6"/>
    <w:rsid w:val="005A6D0C"/>
    <w:rsid w:val="005A73EF"/>
    <w:rsid w:val="005B048A"/>
    <w:rsid w:val="005B0F93"/>
    <w:rsid w:val="005B1079"/>
    <w:rsid w:val="005B1850"/>
    <w:rsid w:val="005B3439"/>
    <w:rsid w:val="005B3A1D"/>
    <w:rsid w:val="005B6023"/>
    <w:rsid w:val="005C4BD7"/>
    <w:rsid w:val="005C4D2E"/>
    <w:rsid w:val="005C4E24"/>
    <w:rsid w:val="005C5604"/>
    <w:rsid w:val="005C6CF3"/>
    <w:rsid w:val="005D09CE"/>
    <w:rsid w:val="005D0B2C"/>
    <w:rsid w:val="005D3840"/>
    <w:rsid w:val="005D7CE7"/>
    <w:rsid w:val="005E0B4C"/>
    <w:rsid w:val="005E15EA"/>
    <w:rsid w:val="005E2ADE"/>
    <w:rsid w:val="005E3587"/>
    <w:rsid w:val="005E6525"/>
    <w:rsid w:val="005F099B"/>
    <w:rsid w:val="005F2C37"/>
    <w:rsid w:val="005F3D6B"/>
    <w:rsid w:val="005F5E34"/>
    <w:rsid w:val="00600A46"/>
    <w:rsid w:val="006028D5"/>
    <w:rsid w:val="00610A0A"/>
    <w:rsid w:val="00612DE7"/>
    <w:rsid w:val="0061381F"/>
    <w:rsid w:val="00613EA3"/>
    <w:rsid w:val="0061611B"/>
    <w:rsid w:val="0061633E"/>
    <w:rsid w:val="0061678C"/>
    <w:rsid w:val="00621B9E"/>
    <w:rsid w:val="00622793"/>
    <w:rsid w:val="00622AD1"/>
    <w:rsid w:val="00625C8E"/>
    <w:rsid w:val="00630766"/>
    <w:rsid w:val="0063116F"/>
    <w:rsid w:val="00632CCF"/>
    <w:rsid w:val="006344E2"/>
    <w:rsid w:val="0063655F"/>
    <w:rsid w:val="00636AC1"/>
    <w:rsid w:val="00636C6B"/>
    <w:rsid w:val="006370DA"/>
    <w:rsid w:val="00640492"/>
    <w:rsid w:val="006426B9"/>
    <w:rsid w:val="006452B8"/>
    <w:rsid w:val="00645B1D"/>
    <w:rsid w:val="006460F8"/>
    <w:rsid w:val="00650BE0"/>
    <w:rsid w:val="006526F1"/>
    <w:rsid w:val="00654734"/>
    <w:rsid w:val="00656F93"/>
    <w:rsid w:val="00657387"/>
    <w:rsid w:val="006602FC"/>
    <w:rsid w:val="00660662"/>
    <w:rsid w:val="00661031"/>
    <w:rsid w:val="00664F52"/>
    <w:rsid w:val="00665484"/>
    <w:rsid w:val="0066548B"/>
    <w:rsid w:val="0066666B"/>
    <w:rsid w:val="0066698A"/>
    <w:rsid w:val="0067048E"/>
    <w:rsid w:val="00671728"/>
    <w:rsid w:val="00671913"/>
    <w:rsid w:val="00674505"/>
    <w:rsid w:val="006754D4"/>
    <w:rsid w:val="00675E62"/>
    <w:rsid w:val="006767E5"/>
    <w:rsid w:val="00676A84"/>
    <w:rsid w:val="00681063"/>
    <w:rsid w:val="00681C36"/>
    <w:rsid w:val="00683E5C"/>
    <w:rsid w:val="00690B4C"/>
    <w:rsid w:val="006910B6"/>
    <w:rsid w:val="006920B0"/>
    <w:rsid w:val="006943FB"/>
    <w:rsid w:val="0069558E"/>
    <w:rsid w:val="00697030"/>
    <w:rsid w:val="006A1CCE"/>
    <w:rsid w:val="006A280E"/>
    <w:rsid w:val="006A36E7"/>
    <w:rsid w:val="006A3AAD"/>
    <w:rsid w:val="006A5138"/>
    <w:rsid w:val="006A5AD2"/>
    <w:rsid w:val="006A5DF1"/>
    <w:rsid w:val="006A6FE5"/>
    <w:rsid w:val="006A7F7A"/>
    <w:rsid w:val="006B0667"/>
    <w:rsid w:val="006B0E59"/>
    <w:rsid w:val="006B1125"/>
    <w:rsid w:val="006B112C"/>
    <w:rsid w:val="006B46C1"/>
    <w:rsid w:val="006B65FC"/>
    <w:rsid w:val="006B6B61"/>
    <w:rsid w:val="006B7768"/>
    <w:rsid w:val="006C15E4"/>
    <w:rsid w:val="006C45EB"/>
    <w:rsid w:val="006C4736"/>
    <w:rsid w:val="006C4788"/>
    <w:rsid w:val="006C4FA9"/>
    <w:rsid w:val="006D26D8"/>
    <w:rsid w:val="006D38DA"/>
    <w:rsid w:val="006D61AF"/>
    <w:rsid w:val="006D7950"/>
    <w:rsid w:val="006E0713"/>
    <w:rsid w:val="006E2AF2"/>
    <w:rsid w:val="006E3409"/>
    <w:rsid w:val="006E3DDA"/>
    <w:rsid w:val="006E6B0C"/>
    <w:rsid w:val="006E7270"/>
    <w:rsid w:val="006F3FF9"/>
    <w:rsid w:val="006F57D8"/>
    <w:rsid w:val="006F5A9F"/>
    <w:rsid w:val="006F72FD"/>
    <w:rsid w:val="00700B4B"/>
    <w:rsid w:val="00701473"/>
    <w:rsid w:val="0070580B"/>
    <w:rsid w:val="0070661F"/>
    <w:rsid w:val="00706B0B"/>
    <w:rsid w:val="007077A2"/>
    <w:rsid w:val="00707D9E"/>
    <w:rsid w:val="00711017"/>
    <w:rsid w:val="00714646"/>
    <w:rsid w:val="0071538E"/>
    <w:rsid w:val="0071705A"/>
    <w:rsid w:val="00717619"/>
    <w:rsid w:val="00721ABA"/>
    <w:rsid w:val="00722DE4"/>
    <w:rsid w:val="0072465A"/>
    <w:rsid w:val="00725414"/>
    <w:rsid w:val="00733F15"/>
    <w:rsid w:val="00736A40"/>
    <w:rsid w:val="00744535"/>
    <w:rsid w:val="00744591"/>
    <w:rsid w:val="007450FB"/>
    <w:rsid w:val="0074540E"/>
    <w:rsid w:val="00746DCE"/>
    <w:rsid w:val="00747BF8"/>
    <w:rsid w:val="00747EDD"/>
    <w:rsid w:val="00750C31"/>
    <w:rsid w:val="007516CB"/>
    <w:rsid w:val="00751D64"/>
    <w:rsid w:val="00751E2C"/>
    <w:rsid w:val="00755A0E"/>
    <w:rsid w:val="0075611C"/>
    <w:rsid w:val="00756BAD"/>
    <w:rsid w:val="00760F7D"/>
    <w:rsid w:val="00766C9E"/>
    <w:rsid w:val="007716DB"/>
    <w:rsid w:val="00775766"/>
    <w:rsid w:val="007760EF"/>
    <w:rsid w:val="00776E29"/>
    <w:rsid w:val="00782A9E"/>
    <w:rsid w:val="00785338"/>
    <w:rsid w:val="00785C94"/>
    <w:rsid w:val="007869A4"/>
    <w:rsid w:val="00787A6E"/>
    <w:rsid w:val="00790CD6"/>
    <w:rsid w:val="00790EFD"/>
    <w:rsid w:val="00792BD6"/>
    <w:rsid w:val="0079490D"/>
    <w:rsid w:val="0079656C"/>
    <w:rsid w:val="007A45B9"/>
    <w:rsid w:val="007A6D46"/>
    <w:rsid w:val="007B0031"/>
    <w:rsid w:val="007B72E8"/>
    <w:rsid w:val="007C2601"/>
    <w:rsid w:val="007C2BA0"/>
    <w:rsid w:val="007C2E91"/>
    <w:rsid w:val="007C4A5C"/>
    <w:rsid w:val="007C74BB"/>
    <w:rsid w:val="007C75D0"/>
    <w:rsid w:val="007D1B74"/>
    <w:rsid w:val="007D5803"/>
    <w:rsid w:val="007E15F7"/>
    <w:rsid w:val="007E23D6"/>
    <w:rsid w:val="007E26BB"/>
    <w:rsid w:val="007E30A3"/>
    <w:rsid w:val="007F0BEB"/>
    <w:rsid w:val="007F756D"/>
    <w:rsid w:val="008023DE"/>
    <w:rsid w:val="008031D5"/>
    <w:rsid w:val="00805B3B"/>
    <w:rsid w:val="00806E0A"/>
    <w:rsid w:val="00810FFF"/>
    <w:rsid w:val="00812F6B"/>
    <w:rsid w:val="00813BF0"/>
    <w:rsid w:val="008143C3"/>
    <w:rsid w:val="00816A05"/>
    <w:rsid w:val="00816FFB"/>
    <w:rsid w:val="008175EB"/>
    <w:rsid w:val="0082155A"/>
    <w:rsid w:val="00821618"/>
    <w:rsid w:val="00821A9D"/>
    <w:rsid w:val="00822693"/>
    <w:rsid w:val="00824BD6"/>
    <w:rsid w:val="00824D95"/>
    <w:rsid w:val="00827DA5"/>
    <w:rsid w:val="008329F5"/>
    <w:rsid w:val="00832E1A"/>
    <w:rsid w:val="00835D16"/>
    <w:rsid w:val="0084092B"/>
    <w:rsid w:val="00841572"/>
    <w:rsid w:val="00842877"/>
    <w:rsid w:val="00843EE9"/>
    <w:rsid w:val="00844243"/>
    <w:rsid w:val="008454DC"/>
    <w:rsid w:val="008455EC"/>
    <w:rsid w:val="00850693"/>
    <w:rsid w:val="008530A8"/>
    <w:rsid w:val="008541D0"/>
    <w:rsid w:val="0085464F"/>
    <w:rsid w:val="008547D5"/>
    <w:rsid w:val="008552B5"/>
    <w:rsid w:val="0085537B"/>
    <w:rsid w:val="00855769"/>
    <w:rsid w:val="00860B5A"/>
    <w:rsid w:val="0086235E"/>
    <w:rsid w:val="00863113"/>
    <w:rsid w:val="00865AAA"/>
    <w:rsid w:val="0086614C"/>
    <w:rsid w:val="00870AD4"/>
    <w:rsid w:val="00871802"/>
    <w:rsid w:val="00872225"/>
    <w:rsid w:val="0088178F"/>
    <w:rsid w:val="00882EC8"/>
    <w:rsid w:val="00886AF3"/>
    <w:rsid w:val="00886D68"/>
    <w:rsid w:val="00887A11"/>
    <w:rsid w:val="0089040B"/>
    <w:rsid w:val="00891C14"/>
    <w:rsid w:val="008954DE"/>
    <w:rsid w:val="0089624D"/>
    <w:rsid w:val="008A45EE"/>
    <w:rsid w:val="008A5A78"/>
    <w:rsid w:val="008B1273"/>
    <w:rsid w:val="008B2744"/>
    <w:rsid w:val="008B3C6C"/>
    <w:rsid w:val="008B6491"/>
    <w:rsid w:val="008B73F8"/>
    <w:rsid w:val="008C7BE4"/>
    <w:rsid w:val="008D21BB"/>
    <w:rsid w:val="008D21F8"/>
    <w:rsid w:val="008D304C"/>
    <w:rsid w:val="008D34B7"/>
    <w:rsid w:val="008D67DC"/>
    <w:rsid w:val="008E1815"/>
    <w:rsid w:val="008E2F5A"/>
    <w:rsid w:val="008E32EE"/>
    <w:rsid w:val="008E3B63"/>
    <w:rsid w:val="008E55BC"/>
    <w:rsid w:val="008E6D03"/>
    <w:rsid w:val="008E7179"/>
    <w:rsid w:val="008F094C"/>
    <w:rsid w:val="008F255A"/>
    <w:rsid w:val="008F2B5D"/>
    <w:rsid w:val="008F548F"/>
    <w:rsid w:val="008F5FDA"/>
    <w:rsid w:val="008F7F5A"/>
    <w:rsid w:val="00904AEA"/>
    <w:rsid w:val="00905448"/>
    <w:rsid w:val="0090601F"/>
    <w:rsid w:val="009123A0"/>
    <w:rsid w:val="00912AEA"/>
    <w:rsid w:val="0091414E"/>
    <w:rsid w:val="00914B1E"/>
    <w:rsid w:val="00915593"/>
    <w:rsid w:val="009157C7"/>
    <w:rsid w:val="00921492"/>
    <w:rsid w:val="00931790"/>
    <w:rsid w:val="00932D1A"/>
    <w:rsid w:val="00932D2B"/>
    <w:rsid w:val="009375CD"/>
    <w:rsid w:val="00940037"/>
    <w:rsid w:val="00943333"/>
    <w:rsid w:val="009444C8"/>
    <w:rsid w:val="00945657"/>
    <w:rsid w:val="00946518"/>
    <w:rsid w:val="00952222"/>
    <w:rsid w:val="009576A7"/>
    <w:rsid w:val="009602C1"/>
    <w:rsid w:val="00961653"/>
    <w:rsid w:val="00961840"/>
    <w:rsid w:val="0096576B"/>
    <w:rsid w:val="00966601"/>
    <w:rsid w:val="0096733A"/>
    <w:rsid w:val="00967D1A"/>
    <w:rsid w:val="00971EA0"/>
    <w:rsid w:val="0097433D"/>
    <w:rsid w:val="009745F7"/>
    <w:rsid w:val="00975A0A"/>
    <w:rsid w:val="00980E74"/>
    <w:rsid w:val="00981191"/>
    <w:rsid w:val="0098327C"/>
    <w:rsid w:val="009837ED"/>
    <w:rsid w:val="0098605B"/>
    <w:rsid w:val="009877CA"/>
    <w:rsid w:val="00992AAE"/>
    <w:rsid w:val="0099610C"/>
    <w:rsid w:val="009A0015"/>
    <w:rsid w:val="009A29A4"/>
    <w:rsid w:val="009A2AB9"/>
    <w:rsid w:val="009A2FEF"/>
    <w:rsid w:val="009A395C"/>
    <w:rsid w:val="009A6009"/>
    <w:rsid w:val="009B1682"/>
    <w:rsid w:val="009B2CF5"/>
    <w:rsid w:val="009B36F4"/>
    <w:rsid w:val="009B5FC5"/>
    <w:rsid w:val="009B7AA7"/>
    <w:rsid w:val="009C18AC"/>
    <w:rsid w:val="009C2D8F"/>
    <w:rsid w:val="009C4B58"/>
    <w:rsid w:val="009C5213"/>
    <w:rsid w:val="009C52DA"/>
    <w:rsid w:val="009C5964"/>
    <w:rsid w:val="009C5B1E"/>
    <w:rsid w:val="009C6A84"/>
    <w:rsid w:val="009D162B"/>
    <w:rsid w:val="009D2944"/>
    <w:rsid w:val="009D3D58"/>
    <w:rsid w:val="009D4351"/>
    <w:rsid w:val="009D6198"/>
    <w:rsid w:val="009D6B94"/>
    <w:rsid w:val="009D6F8B"/>
    <w:rsid w:val="009D7775"/>
    <w:rsid w:val="009E0A8F"/>
    <w:rsid w:val="009E4B97"/>
    <w:rsid w:val="009F0E74"/>
    <w:rsid w:val="009F1C81"/>
    <w:rsid w:val="009F1E28"/>
    <w:rsid w:val="009F315C"/>
    <w:rsid w:val="009F3499"/>
    <w:rsid w:val="009F6F7E"/>
    <w:rsid w:val="00A01495"/>
    <w:rsid w:val="00A0189A"/>
    <w:rsid w:val="00A01D02"/>
    <w:rsid w:val="00A0734C"/>
    <w:rsid w:val="00A11EEF"/>
    <w:rsid w:val="00A125BD"/>
    <w:rsid w:val="00A1360B"/>
    <w:rsid w:val="00A1407A"/>
    <w:rsid w:val="00A14594"/>
    <w:rsid w:val="00A145A8"/>
    <w:rsid w:val="00A15453"/>
    <w:rsid w:val="00A1692A"/>
    <w:rsid w:val="00A17388"/>
    <w:rsid w:val="00A2019F"/>
    <w:rsid w:val="00A2569D"/>
    <w:rsid w:val="00A276DE"/>
    <w:rsid w:val="00A30DB6"/>
    <w:rsid w:val="00A362B6"/>
    <w:rsid w:val="00A36D70"/>
    <w:rsid w:val="00A4094A"/>
    <w:rsid w:val="00A420FC"/>
    <w:rsid w:val="00A453C4"/>
    <w:rsid w:val="00A465C7"/>
    <w:rsid w:val="00A465E0"/>
    <w:rsid w:val="00A468A4"/>
    <w:rsid w:val="00A55B9A"/>
    <w:rsid w:val="00A565A4"/>
    <w:rsid w:val="00A566D5"/>
    <w:rsid w:val="00A572CA"/>
    <w:rsid w:val="00A61A0E"/>
    <w:rsid w:val="00A64156"/>
    <w:rsid w:val="00A66EA0"/>
    <w:rsid w:val="00A6705F"/>
    <w:rsid w:val="00A71272"/>
    <w:rsid w:val="00A71490"/>
    <w:rsid w:val="00A7305D"/>
    <w:rsid w:val="00A7478D"/>
    <w:rsid w:val="00A764E7"/>
    <w:rsid w:val="00A76959"/>
    <w:rsid w:val="00A77931"/>
    <w:rsid w:val="00A807B4"/>
    <w:rsid w:val="00A81ECD"/>
    <w:rsid w:val="00A841FC"/>
    <w:rsid w:val="00A8424C"/>
    <w:rsid w:val="00A8564F"/>
    <w:rsid w:val="00A85D52"/>
    <w:rsid w:val="00A86D62"/>
    <w:rsid w:val="00A873E4"/>
    <w:rsid w:val="00A9450F"/>
    <w:rsid w:val="00A94712"/>
    <w:rsid w:val="00A95A9A"/>
    <w:rsid w:val="00A96D0D"/>
    <w:rsid w:val="00A970C0"/>
    <w:rsid w:val="00AA0D56"/>
    <w:rsid w:val="00AA0E09"/>
    <w:rsid w:val="00AA3CFE"/>
    <w:rsid w:val="00AA54CE"/>
    <w:rsid w:val="00AB0767"/>
    <w:rsid w:val="00AB11DE"/>
    <w:rsid w:val="00AB1BF4"/>
    <w:rsid w:val="00AB295D"/>
    <w:rsid w:val="00AB2F1E"/>
    <w:rsid w:val="00AB5021"/>
    <w:rsid w:val="00AB5136"/>
    <w:rsid w:val="00AC0E61"/>
    <w:rsid w:val="00AC24F7"/>
    <w:rsid w:val="00AC49D7"/>
    <w:rsid w:val="00AC564A"/>
    <w:rsid w:val="00AC7D28"/>
    <w:rsid w:val="00AD2281"/>
    <w:rsid w:val="00AD24E9"/>
    <w:rsid w:val="00AE0312"/>
    <w:rsid w:val="00AE0F01"/>
    <w:rsid w:val="00AE2B95"/>
    <w:rsid w:val="00AE4405"/>
    <w:rsid w:val="00AF01C9"/>
    <w:rsid w:val="00AF171F"/>
    <w:rsid w:val="00AF2B43"/>
    <w:rsid w:val="00AF517C"/>
    <w:rsid w:val="00AF5A32"/>
    <w:rsid w:val="00AF5C41"/>
    <w:rsid w:val="00AF6348"/>
    <w:rsid w:val="00AF6F81"/>
    <w:rsid w:val="00B02FEA"/>
    <w:rsid w:val="00B04261"/>
    <w:rsid w:val="00B107AF"/>
    <w:rsid w:val="00B1092E"/>
    <w:rsid w:val="00B10AC4"/>
    <w:rsid w:val="00B1118E"/>
    <w:rsid w:val="00B14C48"/>
    <w:rsid w:val="00B1542A"/>
    <w:rsid w:val="00B20D87"/>
    <w:rsid w:val="00B211F5"/>
    <w:rsid w:val="00B2248E"/>
    <w:rsid w:val="00B2378D"/>
    <w:rsid w:val="00B257C8"/>
    <w:rsid w:val="00B258C7"/>
    <w:rsid w:val="00B25B59"/>
    <w:rsid w:val="00B25DE0"/>
    <w:rsid w:val="00B316BD"/>
    <w:rsid w:val="00B33DC8"/>
    <w:rsid w:val="00B34A55"/>
    <w:rsid w:val="00B35DF6"/>
    <w:rsid w:val="00B367D1"/>
    <w:rsid w:val="00B3713F"/>
    <w:rsid w:val="00B406C6"/>
    <w:rsid w:val="00B41510"/>
    <w:rsid w:val="00B43CF4"/>
    <w:rsid w:val="00B453B7"/>
    <w:rsid w:val="00B457AC"/>
    <w:rsid w:val="00B475BC"/>
    <w:rsid w:val="00B51DE2"/>
    <w:rsid w:val="00B53BC1"/>
    <w:rsid w:val="00B55065"/>
    <w:rsid w:val="00B5527F"/>
    <w:rsid w:val="00B56023"/>
    <w:rsid w:val="00B5658B"/>
    <w:rsid w:val="00B56F4C"/>
    <w:rsid w:val="00B571E9"/>
    <w:rsid w:val="00B62028"/>
    <w:rsid w:val="00B62C2D"/>
    <w:rsid w:val="00B67F4D"/>
    <w:rsid w:val="00B70F17"/>
    <w:rsid w:val="00B72701"/>
    <w:rsid w:val="00B73DA3"/>
    <w:rsid w:val="00B764CC"/>
    <w:rsid w:val="00B80C53"/>
    <w:rsid w:val="00B82775"/>
    <w:rsid w:val="00B82E84"/>
    <w:rsid w:val="00B831AE"/>
    <w:rsid w:val="00B85E24"/>
    <w:rsid w:val="00B85EE9"/>
    <w:rsid w:val="00B868D9"/>
    <w:rsid w:val="00B9042B"/>
    <w:rsid w:val="00B91F76"/>
    <w:rsid w:val="00B92824"/>
    <w:rsid w:val="00B93196"/>
    <w:rsid w:val="00B93887"/>
    <w:rsid w:val="00B94122"/>
    <w:rsid w:val="00B975F1"/>
    <w:rsid w:val="00B9776D"/>
    <w:rsid w:val="00BA050A"/>
    <w:rsid w:val="00BA072E"/>
    <w:rsid w:val="00BA0FD4"/>
    <w:rsid w:val="00BA14C9"/>
    <w:rsid w:val="00BA2CB7"/>
    <w:rsid w:val="00BA3573"/>
    <w:rsid w:val="00BA4FB6"/>
    <w:rsid w:val="00BA5839"/>
    <w:rsid w:val="00BA5FFA"/>
    <w:rsid w:val="00BA793F"/>
    <w:rsid w:val="00BB04EF"/>
    <w:rsid w:val="00BB0AED"/>
    <w:rsid w:val="00BB23B4"/>
    <w:rsid w:val="00BB2C6B"/>
    <w:rsid w:val="00BB43B5"/>
    <w:rsid w:val="00BB590F"/>
    <w:rsid w:val="00BC6594"/>
    <w:rsid w:val="00BC79CC"/>
    <w:rsid w:val="00BC7EB5"/>
    <w:rsid w:val="00BD2807"/>
    <w:rsid w:val="00BD2809"/>
    <w:rsid w:val="00BD2A2A"/>
    <w:rsid w:val="00BD3468"/>
    <w:rsid w:val="00BD36C7"/>
    <w:rsid w:val="00BD3E20"/>
    <w:rsid w:val="00BD3E28"/>
    <w:rsid w:val="00BD524E"/>
    <w:rsid w:val="00BE345F"/>
    <w:rsid w:val="00BE39F3"/>
    <w:rsid w:val="00BE42E4"/>
    <w:rsid w:val="00BE7B30"/>
    <w:rsid w:val="00BF1F1C"/>
    <w:rsid w:val="00BF70B7"/>
    <w:rsid w:val="00C008F7"/>
    <w:rsid w:val="00C03893"/>
    <w:rsid w:val="00C03A13"/>
    <w:rsid w:val="00C1046C"/>
    <w:rsid w:val="00C129BA"/>
    <w:rsid w:val="00C148CC"/>
    <w:rsid w:val="00C15B12"/>
    <w:rsid w:val="00C24ED5"/>
    <w:rsid w:val="00C2678D"/>
    <w:rsid w:val="00C33FA8"/>
    <w:rsid w:val="00C34C38"/>
    <w:rsid w:val="00C35DB1"/>
    <w:rsid w:val="00C3618C"/>
    <w:rsid w:val="00C36C92"/>
    <w:rsid w:val="00C37AD1"/>
    <w:rsid w:val="00C413CF"/>
    <w:rsid w:val="00C4222A"/>
    <w:rsid w:val="00C430DF"/>
    <w:rsid w:val="00C4376D"/>
    <w:rsid w:val="00C44570"/>
    <w:rsid w:val="00C45871"/>
    <w:rsid w:val="00C47F21"/>
    <w:rsid w:val="00C53F36"/>
    <w:rsid w:val="00C56C78"/>
    <w:rsid w:val="00C56E4E"/>
    <w:rsid w:val="00C576C7"/>
    <w:rsid w:val="00C60BB7"/>
    <w:rsid w:val="00C61A88"/>
    <w:rsid w:val="00C63366"/>
    <w:rsid w:val="00C634D3"/>
    <w:rsid w:val="00C63EBD"/>
    <w:rsid w:val="00C64533"/>
    <w:rsid w:val="00C65134"/>
    <w:rsid w:val="00C71B71"/>
    <w:rsid w:val="00C73778"/>
    <w:rsid w:val="00C73C6A"/>
    <w:rsid w:val="00C747F9"/>
    <w:rsid w:val="00C75946"/>
    <w:rsid w:val="00C76B6D"/>
    <w:rsid w:val="00C80C0F"/>
    <w:rsid w:val="00C811D1"/>
    <w:rsid w:val="00C82D64"/>
    <w:rsid w:val="00C91119"/>
    <w:rsid w:val="00C92447"/>
    <w:rsid w:val="00C930E2"/>
    <w:rsid w:val="00C94FF0"/>
    <w:rsid w:val="00CA507C"/>
    <w:rsid w:val="00CA7036"/>
    <w:rsid w:val="00CB068D"/>
    <w:rsid w:val="00CB1FDF"/>
    <w:rsid w:val="00CB2EE5"/>
    <w:rsid w:val="00CB4415"/>
    <w:rsid w:val="00CB4BA0"/>
    <w:rsid w:val="00CB4DBC"/>
    <w:rsid w:val="00CB5D8A"/>
    <w:rsid w:val="00CB5F1D"/>
    <w:rsid w:val="00CB6882"/>
    <w:rsid w:val="00CB75C3"/>
    <w:rsid w:val="00CB776C"/>
    <w:rsid w:val="00CB7BA9"/>
    <w:rsid w:val="00CC23C5"/>
    <w:rsid w:val="00CC3841"/>
    <w:rsid w:val="00CC6005"/>
    <w:rsid w:val="00CD0C33"/>
    <w:rsid w:val="00CD1603"/>
    <w:rsid w:val="00CD2A30"/>
    <w:rsid w:val="00CD681E"/>
    <w:rsid w:val="00CD71C2"/>
    <w:rsid w:val="00CD7978"/>
    <w:rsid w:val="00CE057E"/>
    <w:rsid w:val="00CE1F6B"/>
    <w:rsid w:val="00CE26EC"/>
    <w:rsid w:val="00CE36DE"/>
    <w:rsid w:val="00CE6E11"/>
    <w:rsid w:val="00CF0249"/>
    <w:rsid w:val="00CF13DB"/>
    <w:rsid w:val="00CF228A"/>
    <w:rsid w:val="00CF5C50"/>
    <w:rsid w:val="00CF64F5"/>
    <w:rsid w:val="00CF7208"/>
    <w:rsid w:val="00D01923"/>
    <w:rsid w:val="00D03E8B"/>
    <w:rsid w:val="00D10413"/>
    <w:rsid w:val="00D12D17"/>
    <w:rsid w:val="00D15EE6"/>
    <w:rsid w:val="00D16978"/>
    <w:rsid w:val="00D17C46"/>
    <w:rsid w:val="00D20684"/>
    <w:rsid w:val="00D21ABC"/>
    <w:rsid w:val="00D22025"/>
    <w:rsid w:val="00D22F8F"/>
    <w:rsid w:val="00D24532"/>
    <w:rsid w:val="00D2624F"/>
    <w:rsid w:val="00D3076F"/>
    <w:rsid w:val="00D30CCC"/>
    <w:rsid w:val="00D30DA6"/>
    <w:rsid w:val="00D42DB9"/>
    <w:rsid w:val="00D442AB"/>
    <w:rsid w:val="00D47A7E"/>
    <w:rsid w:val="00D5054C"/>
    <w:rsid w:val="00D5063D"/>
    <w:rsid w:val="00D53DB1"/>
    <w:rsid w:val="00D54122"/>
    <w:rsid w:val="00D60DE0"/>
    <w:rsid w:val="00D614DB"/>
    <w:rsid w:val="00D61A27"/>
    <w:rsid w:val="00D62DC9"/>
    <w:rsid w:val="00D62F06"/>
    <w:rsid w:val="00D73C16"/>
    <w:rsid w:val="00D745EB"/>
    <w:rsid w:val="00D7581D"/>
    <w:rsid w:val="00D76D8E"/>
    <w:rsid w:val="00D810FA"/>
    <w:rsid w:val="00D81748"/>
    <w:rsid w:val="00D860BC"/>
    <w:rsid w:val="00D90E4C"/>
    <w:rsid w:val="00D92A85"/>
    <w:rsid w:val="00D948E4"/>
    <w:rsid w:val="00D951E8"/>
    <w:rsid w:val="00D969BB"/>
    <w:rsid w:val="00D97B29"/>
    <w:rsid w:val="00DA02BA"/>
    <w:rsid w:val="00DA26B6"/>
    <w:rsid w:val="00DA4E0A"/>
    <w:rsid w:val="00DB0D1D"/>
    <w:rsid w:val="00DB143B"/>
    <w:rsid w:val="00DB42F4"/>
    <w:rsid w:val="00DB61E3"/>
    <w:rsid w:val="00DB6D6F"/>
    <w:rsid w:val="00DC2172"/>
    <w:rsid w:val="00DC5452"/>
    <w:rsid w:val="00DC6897"/>
    <w:rsid w:val="00DD23F2"/>
    <w:rsid w:val="00DD3BE6"/>
    <w:rsid w:val="00DD3CA9"/>
    <w:rsid w:val="00DD40E7"/>
    <w:rsid w:val="00DD42D0"/>
    <w:rsid w:val="00DD44AA"/>
    <w:rsid w:val="00DD4AF1"/>
    <w:rsid w:val="00DD6DB2"/>
    <w:rsid w:val="00DE0EB5"/>
    <w:rsid w:val="00DE1E76"/>
    <w:rsid w:val="00DE4CA5"/>
    <w:rsid w:val="00DE4E42"/>
    <w:rsid w:val="00DE61FE"/>
    <w:rsid w:val="00DE64A4"/>
    <w:rsid w:val="00DF004B"/>
    <w:rsid w:val="00DF0A71"/>
    <w:rsid w:val="00DF61DE"/>
    <w:rsid w:val="00DF746E"/>
    <w:rsid w:val="00E0006A"/>
    <w:rsid w:val="00E00EE1"/>
    <w:rsid w:val="00E03832"/>
    <w:rsid w:val="00E03C54"/>
    <w:rsid w:val="00E06C53"/>
    <w:rsid w:val="00E06F0D"/>
    <w:rsid w:val="00E07959"/>
    <w:rsid w:val="00E1113B"/>
    <w:rsid w:val="00E11B79"/>
    <w:rsid w:val="00E127B8"/>
    <w:rsid w:val="00E14722"/>
    <w:rsid w:val="00E150F3"/>
    <w:rsid w:val="00E23751"/>
    <w:rsid w:val="00E246B0"/>
    <w:rsid w:val="00E2539D"/>
    <w:rsid w:val="00E25AC4"/>
    <w:rsid w:val="00E30C85"/>
    <w:rsid w:val="00E31C39"/>
    <w:rsid w:val="00E32158"/>
    <w:rsid w:val="00E33CCD"/>
    <w:rsid w:val="00E37E31"/>
    <w:rsid w:val="00E430A1"/>
    <w:rsid w:val="00E478BD"/>
    <w:rsid w:val="00E5060B"/>
    <w:rsid w:val="00E50D87"/>
    <w:rsid w:val="00E543C2"/>
    <w:rsid w:val="00E55AFB"/>
    <w:rsid w:val="00E55B35"/>
    <w:rsid w:val="00E55F27"/>
    <w:rsid w:val="00E56702"/>
    <w:rsid w:val="00E5738A"/>
    <w:rsid w:val="00E57BAD"/>
    <w:rsid w:val="00E60336"/>
    <w:rsid w:val="00E606E4"/>
    <w:rsid w:val="00E66F59"/>
    <w:rsid w:val="00E711A6"/>
    <w:rsid w:val="00E7171C"/>
    <w:rsid w:val="00E73ED1"/>
    <w:rsid w:val="00E740A9"/>
    <w:rsid w:val="00E75C3F"/>
    <w:rsid w:val="00E75F1A"/>
    <w:rsid w:val="00E7625D"/>
    <w:rsid w:val="00E807BA"/>
    <w:rsid w:val="00E80F25"/>
    <w:rsid w:val="00E82CEE"/>
    <w:rsid w:val="00E83BAA"/>
    <w:rsid w:val="00E84343"/>
    <w:rsid w:val="00E86369"/>
    <w:rsid w:val="00E86EFF"/>
    <w:rsid w:val="00E876AC"/>
    <w:rsid w:val="00E90137"/>
    <w:rsid w:val="00E95465"/>
    <w:rsid w:val="00E959D0"/>
    <w:rsid w:val="00E95EFA"/>
    <w:rsid w:val="00E96997"/>
    <w:rsid w:val="00E96C7C"/>
    <w:rsid w:val="00E97F23"/>
    <w:rsid w:val="00EA4A0B"/>
    <w:rsid w:val="00EA4A99"/>
    <w:rsid w:val="00EA60DC"/>
    <w:rsid w:val="00EB49CF"/>
    <w:rsid w:val="00EB6ABB"/>
    <w:rsid w:val="00EC19E0"/>
    <w:rsid w:val="00EC2727"/>
    <w:rsid w:val="00EC7909"/>
    <w:rsid w:val="00EC7EF1"/>
    <w:rsid w:val="00ED0C4F"/>
    <w:rsid w:val="00ED7411"/>
    <w:rsid w:val="00EE048F"/>
    <w:rsid w:val="00EE712A"/>
    <w:rsid w:val="00EF2A2C"/>
    <w:rsid w:val="00EF2FC8"/>
    <w:rsid w:val="00EF43DF"/>
    <w:rsid w:val="00EF49DE"/>
    <w:rsid w:val="00EF565B"/>
    <w:rsid w:val="00EF56FA"/>
    <w:rsid w:val="00EF6986"/>
    <w:rsid w:val="00EF76A1"/>
    <w:rsid w:val="00F00570"/>
    <w:rsid w:val="00F0064B"/>
    <w:rsid w:val="00F0302F"/>
    <w:rsid w:val="00F07987"/>
    <w:rsid w:val="00F101E9"/>
    <w:rsid w:val="00F11C78"/>
    <w:rsid w:val="00F134E2"/>
    <w:rsid w:val="00F1427F"/>
    <w:rsid w:val="00F14712"/>
    <w:rsid w:val="00F147BD"/>
    <w:rsid w:val="00F15CB2"/>
    <w:rsid w:val="00F174FB"/>
    <w:rsid w:val="00F17B70"/>
    <w:rsid w:val="00F20123"/>
    <w:rsid w:val="00F3056F"/>
    <w:rsid w:val="00F31513"/>
    <w:rsid w:val="00F3154F"/>
    <w:rsid w:val="00F3425C"/>
    <w:rsid w:val="00F3743A"/>
    <w:rsid w:val="00F377C6"/>
    <w:rsid w:val="00F37A83"/>
    <w:rsid w:val="00F40F2B"/>
    <w:rsid w:val="00F4246B"/>
    <w:rsid w:val="00F448C0"/>
    <w:rsid w:val="00F468C6"/>
    <w:rsid w:val="00F468D2"/>
    <w:rsid w:val="00F507FC"/>
    <w:rsid w:val="00F511CE"/>
    <w:rsid w:val="00F52F5E"/>
    <w:rsid w:val="00F54F05"/>
    <w:rsid w:val="00F60D96"/>
    <w:rsid w:val="00F63D03"/>
    <w:rsid w:val="00F6430A"/>
    <w:rsid w:val="00F6438F"/>
    <w:rsid w:val="00F64E27"/>
    <w:rsid w:val="00F67572"/>
    <w:rsid w:val="00F712B5"/>
    <w:rsid w:val="00F74B52"/>
    <w:rsid w:val="00F74B67"/>
    <w:rsid w:val="00F75390"/>
    <w:rsid w:val="00F76BD9"/>
    <w:rsid w:val="00F7707A"/>
    <w:rsid w:val="00F8065C"/>
    <w:rsid w:val="00F80EE8"/>
    <w:rsid w:val="00F817A7"/>
    <w:rsid w:val="00F829CF"/>
    <w:rsid w:val="00F9086E"/>
    <w:rsid w:val="00F91CC4"/>
    <w:rsid w:val="00F9550F"/>
    <w:rsid w:val="00F97D86"/>
    <w:rsid w:val="00FA2CA7"/>
    <w:rsid w:val="00FA47AB"/>
    <w:rsid w:val="00FB2A0D"/>
    <w:rsid w:val="00FB2D04"/>
    <w:rsid w:val="00FB4EC9"/>
    <w:rsid w:val="00FB546E"/>
    <w:rsid w:val="00FB6BE6"/>
    <w:rsid w:val="00FC1346"/>
    <w:rsid w:val="00FC1F17"/>
    <w:rsid w:val="00FC33CE"/>
    <w:rsid w:val="00FC3582"/>
    <w:rsid w:val="00FC36D9"/>
    <w:rsid w:val="00FC5462"/>
    <w:rsid w:val="00FD0547"/>
    <w:rsid w:val="00FD121D"/>
    <w:rsid w:val="00FD1CC3"/>
    <w:rsid w:val="00FD1F1E"/>
    <w:rsid w:val="00FD7138"/>
    <w:rsid w:val="00FD770B"/>
    <w:rsid w:val="00FD7B44"/>
    <w:rsid w:val="00FD7D31"/>
    <w:rsid w:val="00FE4FC3"/>
    <w:rsid w:val="00FE57A2"/>
    <w:rsid w:val="00FE73FE"/>
    <w:rsid w:val="00FE7F3D"/>
    <w:rsid w:val="00FF32ED"/>
    <w:rsid w:val="00FF4A2E"/>
    <w:rsid w:val="00FF502C"/>
    <w:rsid w:val="00FF5A28"/>
    <w:rsid w:val="00FF5B4F"/>
    <w:rsid w:val="00FF6187"/>
    <w:rsid w:val="00FF6DB6"/>
    <w:rsid w:val="00FF76F5"/>
    <w:rsid w:val="010077E9"/>
    <w:rsid w:val="01061813"/>
    <w:rsid w:val="013E08EB"/>
    <w:rsid w:val="014A7F49"/>
    <w:rsid w:val="01540E7C"/>
    <w:rsid w:val="015627C2"/>
    <w:rsid w:val="01656F24"/>
    <w:rsid w:val="016B6C2E"/>
    <w:rsid w:val="01BB1DF0"/>
    <w:rsid w:val="01C0309B"/>
    <w:rsid w:val="01C87F9D"/>
    <w:rsid w:val="01C90C4A"/>
    <w:rsid w:val="01D0522F"/>
    <w:rsid w:val="01ED1DFE"/>
    <w:rsid w:val="01F863FC"/>
    <w:rsid w:val="022962B0"/>
    <w:rsid w:val="023D7796"/>
    <w:rsid w:val="02573B41"/>
    <w:rsid w:val="025D08EA"/>
    <w:rsid w:val="028E26C7"/>
    <w:rsid w:val="02AF56F1"/>
    <w:rsid w:val="02B80216"/>
    <w:rsid w:val="02D73638"/>
    <w:rsid w:val="02F254D6"/>
    <w:rsid w:val="02FE031F"/>
    <w:rsid w:val="030233D9"/>
    <w:rsid w:val="030C2128"/>
    <w:rsid w:val="030E2069"/>
    <w:rsid w:val="03150001"/>
    <w:rsid w:val="03375649"/>
    <w:rsid w:val="033A7662"/>
    <w:rsid w:val="033E4633"/>
    <w:rsid w:val="03400058"/>
    <w:rsid w:val="03417CB3"/>
    <w:rsid w:val="039028C7"/>
    <w:rsid w:val="03921629"/>
    <w:rsid w:val="039D4486"/>
    <w:rsid w:val="03DB2A68"/>
    <w:rsid w:val="03E17D78"/>
    <w:rsid w:val="03E60075"/>
    <w:rsid w:val="03F2782E"/>
    <w:rsid w:val="04147D26"/>
    <w:rsid w:val="041651F4"/>
    <w:rsid w:val="041720E0"/>
    <w:rsid w:val="044A3F7D"/>
    <w:rsid w:val="044D0777"/>
    <w:rsid w:val="044F7FBF"/>
    <w:rsid w:val="04510922"/>
    <w:rsid w:val="046A30BD"/>
    <w:rsid w:val="046A3DDB"/>
    <w:rsid w:val="04842254"/>
    <w:rsid w:val="04926F01"/>
    <w:rsid w:val="04956A61"/>
    <w:rsid w:val="049A6504"/>
    <w:rsid w:val="04AF4681"/>
    <w:rsid w:val="04BB20DB"/>
    <w:rsid w:val="04EF43C3"/>
    <w:rsid w:val="04F741F5"/>
    <w:rsid w:val="04FA4B16"/>
    <w:rsid w:val="05054A79"/>
    <w:rsid w:val="050B2B33"/>
    <w:rsid w:val="050F05C1"/>
    <w:rsid w:val="05257DE5"/>
    <w:rsid w:val="05322C2F"/>
    <w:rsid w:val="05464073"/>
    <w:rsid w:val="056C082A"/>
    <w:rsid w:val="058E71C4"/>
    <w:rsid w:val="05AE72E3"/>
    <w:rsid w:val="05B74940"/>
    <w:rsid w:val="05BF4EF4"/>
    <w:rsid w:val="05D62E8D"/>
    <w:rsid w:val="05E5378E"/>
    <w:rsid w:val="05EF3721"/>
    <w:rsid w:val="060E37AA"/>
    <w:rsid w:val="06147E59"/>
    <w:rsid w:val="06237E1C"/>
    <w:rsid w:val="064F7570"/>
    <w:rsid w:val="065C6493"/>
    <w:rsid w:val="067651CC"/>
    <w:rsid w:val="06B92DB2"/>
    <w:rsid w:val="06C361DB"/>
    <w:rsid w:val="06F832D7"/>
    <w:rsid w:val="06FF7C87"/>
    <w:rsid w:val="07143072"/>
    <w:rsid w:val="07155C37"/>
    <w:rsid w:val="07191661"/>
    <w:rsid w:val="071D3867"/>
    <w:rsid w:val="072B61B7"/>
    <w:rsid w:val="07481B68"/>
    <w:rsid w:val="0753215C"/>
    <w:rsid w:val="077A2B76"/>
    <w:rsid w:val="077F1657"/>
    <w:rsid w:val="079C3E95"/>
    <w:rsid w:val="07A36A96"/>
    <w:rsid w:val="07B14AA4"/>
    <w:rsid w:val="07C66F31"/>
    <w:rsid w:val="07E75BAE"/>
    <w:rsid w:val="07EC6DCD"/>
    <w:rsid w:val="07F372F2"/>
    <w:rsid w:val="07F95346"/>
    <w:rsid w:val="081C6F58"/>
    <w:rsid w:val="082500FC"/>
    <w:rsid w:val="08791798"/>
    <w:rsid w:val="087921F6"/>
    <w:rsid w:val="087B1D08"/>
    <w:rsid w:val="087B41C0"/>
    <w:rsid w:val="08A113FE"/>
    <w:rsid w:val="08B1373D"/>
    <w:rsid w:val="08B66FA6"/>
    <w:rsid w:val="08C944BC"/>
    <w:rsid w:val="08D858C5"/>
    <w:rsid w:val="08D97FF4"/>
    <w:rsid w:val="08DD6EF9"/>
    <w:rsid w:val="08E12F9E"/>
    <w:rsid w:val="08E71D63"/>
    <w:rsid w:val="08EC29C7"/>
    <w:rsid w:val="08FA1588"/>
    <w:rsid w:val="090A20FB"/>
    <w:rsid w:val="09245B2D"/>
    <w:rsid w:val="0948358F"/>
    <w:rsid w:val="09541C27"/>
    <w:rsid w:val="096A3E13"/>
    <w:rsid w:val="098140A4"/>
    <w:rsid w:val="098C68A3"/>
    <w:rsid w:val="09B65C34"/>
    <w:rsid w:val="09BE6112"/>
    <w:rsid w:val="09C2345C"/>
    <w:rsid w:val="09DE233C"/>
    <w:rsid w:val="09DE67B4"/>
    <w:rsid w:val="09EF276F"/>
    <w:rsid w:val="09FA38EC"/>
    <w:rsid w:val="09FC4E8C"/>
    <w:rsid w:val="0A1242C0"/>
    <w:rsid w:val="0A314B36"/>
    <w:rsid w:val="0A341367"/>
    <w:rsid w:val="0A3D7005"/>
    <w:rsid w:val="0A553DED"/>
    <w:rsid w:val="0A717628"/>
    <w:rsid w:val="0A9A3D5E"/>
    <w:rsid w:val="0A9B0C4C"/>
    <w:rsid w:val="0ABA5FBC"/>
    <w:rsid w:val="0ABD286D"/>
    <w:rsid w:val="0ADD06EB"/>
    <w:rsid w:val="0ADF27E4"/>
    <w:rsid w:val="0AED6753"/>
    <w:rsid w:val="0B0815FA"/>
    <w:rsid w:val="0B092976"/>
    <w:rsid w:val="0B1A3E8D"/>
    <w:rsid w:val="0B1B07ED"/>
    <w:rsid w:val="0B3A1CE6"/>
    <w:rsid w:val="0B404839"/>
    <w:rsid w:val="0B470389"/>
    <w:rsid w:val="0B6A0A38"/>
    <w:rsid w:val="0B6F2BF3"/>
    <w:rsid w:val="0B785BD2"/>
    <w:rsid w:val="0BAE17DA"/>
    <w:rsid w:val="0BC929F4"/>
    <w:rsid w:val="0BE87CEE"/>
    <w:rsid w:val="0BF6462C"/>
    <w:rsid w:val="0C116F30"/>
    <w:rsid w:val="0C360B29"/>
    <w:rsid w:val="0C52005B"/>
    <w:rsid w:val="0C5C337B"/>
    <w:rsid w:val="0C6A1755"/>
    <w:rsid w:val="0C7620CF"/>
    <w:rsid w:val="0C831895"/>
    <w:rsid w:val="0C8A2C23"/>
    <w:rsid w:val="0CB832EC"/>
    <w:rsid w:val="0CCA0420"/>
    <w:rsid w:val="0CE50733"/>
    <w:rsid w:val="0D243C48"/>
    <w:rsid w:val="0D411534"/>
    <w:rsid w:val="0D63265E"/>
    <w:rsid w:val="0D634C1F"/>
    <w:rsid w:val="0D757524"/>
    <w:rsid w:val="0D8B4C55"/>
    <w:rsid w:val="0D9C676A"/>
    <w:rsid w:val="0DAF2E5A"/>
    <w:rsid w:val="0DB22725"/>
    <w:rsid w:val="0DC21759"/>
    <w:rsid w:val="0DD16876"/>
    <w:rsid w:val="0DD43FF0"/>
    <w:rsid w:val="0DE76366"/>
    <w:rsid w:val="0E005EC4"/>
    <w:rsid w:val="0E0632CF"/>
    <w:rsid w:val="0E124213"/>
    <w:rsid w:val="0E1C0117"/>
    <w:rsid w:val="0E1D7F43"/>
    <w:rsid w:val="0E2A4679"/>
    <w:rsid w:val="0E4F46B1"/>
    <w:rsid w:val="0E5D5AD1"/>
    <w:rsid w:val="0E6354DA"/>
    <w:rsid w:val="0E6F4178"/>
    <w:rsid w:val="0E85641E"/>
    <w:rsid w:val="0E990919"/>
    <w:rsid w:val="0EA16002"/>
    <w:rsid w:val="0ECC7523"/>
    <w:rsid w:val="0EDE16DA"/>
    <w:rsid w:val="0EE859DF"/>
    <w:rsid w:val="0EF25B95"/>
    <w:rsid w:val="0F432AF7"/>
    <w:rsid w:val="0F462044"/>
    <w:rsid w:val="0F501F02"/>
    <w:rsid w:val="0F6E1256"/>
    <w:rsid w:val="0FA83AEC"/>
    <w:rsid w:val="0FB40147"/>
    <w:rsid w:val="0FB75ADD"/>
    <w:rsid w:val="0FCB41D9"/>
    <w:rsid w:val="0FE268D2"/>
    <w:rsid w:val="0FF50230"/>
    <w:rsid w:val="101051ED"/>
    <w:rsid w:val="101125F2"/>
    <w:rsid w:val="102D1FDA"/>
    <w:rsid w:val="10352EA6"/>
    <w:rsid w:val="10392996"/>
    <w:rsid w:val="10615A49"/>
    <w:rsid w:val="10702F80"/>
    <w:rsid w:val="10757746"/>
    <w:rsid w:val="107C3B75"/>
    <w:rsid w:val="10A342B4"/>
    <w:rsid w:val="10AD26B2"/>
    <w:rsid w:val="10B328E8"/>
    <w:rsid w:val="10B70117"/>
    <w:rsid w:val="10C3137D"/>
    <w:rsid w:val="10F34432"/>
    <w:rsid w:val="10F52B46"/>
    <w:rsid w:val="110B59E2"/>
    <w:rsid w:val="112F2761"/>
    <w:rsid w:val="114F7F97"/>
    <w:rsid w:val="115A59FC"/>
    <w:rsid w:val="118D576A"/>
    <w:rsid w:val="11901CCB"/>
    <w:rsid w:val="11916704"/>
    <w:rsid w:val="11982E60"/>
    <w:rsid w:val="11AE2F10"/>
    <w:rsid w:val="11E31E30"/>
    <w:rsid w:val="11FF19BD"/>
    <w:rsid w:val="120B2110"/>
    <w:rsid w:val="124302B5"/>
    <w:rsid w:val="124F1A0A"/>
    <w:rsid w:val="12545BAE"/>
    <w:rsid w:val="12617F82"/>
    <w:rsid w:val="126B1E26"/>
    <w:rsid w:val="126C5581"/>
    <w:rsid w:val="127408E4"/>
    <w:rsid w:val="12743C1C"/>
    <w:rsid w:val="127C12B5"/>
    <w:rsid w:val="1299596E"/>
    <w:rsid w:val="129A630F"/>
    <w:rsid w:val="129C0FBA"/>
    <w:rsid w:val="129D7C9E"/>
    <w:rsid w:val="12A20185"/>
    <w:rsid w:val="12A85BB1"/>
    <w:rsid w:val="12D544CC"/>
    <w:rsid w:val="12E130BD"/>
    <w:rsid w:val="12E14D1C"/>
    <w:rsid w:val="12FE3A23"/>
    <w:rsid w:val="131107A6"/>
    <w:rsid w:val="131C1BCB"/>
    <w:rsid w:val="1340403C"/>
    <w:rsid w:val="13594190"/>
    <w:rsid w:val="135B70FC"/>
    <w:rsid w:val="136A3EE9"/>
    <w:rsid w:val="137D2B9A"/>
    <w:rsid w:val="137F41EC"/>
    <w:rsid w:val="139C1B62"/>
    <w:rsid w:val="13BE537E"/>
    <w:rsid w:val="13CF1D2C"/>
    <w:rsid w:val="13D428C4"/>
    <w:rsid w:val="13D44784"/>
    <w:rsid w:val="13D84BEA"/>
    <w:rsid w:val="13DB6468"/>
    <w:rsid w:val="140C2785"/>
    <w:rsid w:val="142B6A9A"/>
    <w:rsid w:val="14340BE8"/>
    <w:rsid w:val="14706BA3"/>
    <w:rsid w:val="14934E0A"/>
    <w:rsid w:val="149C34F4"/>
    <w:rsid w:val="14E3723D"/>
    <w:rsid w:val="14FF6183"/>
    <w:rsid w:val="150A4901"/>
    <w:rsid w:val="15217613"/>
    <w:rsid w:val="153076C5"/>
    <w:rsid w:val="15310F01"/>
    <w:rsid w:val="153E337E"/>
    <w:rsid w:val="15806CFE"/>
    <w:rsid w:val="15A31AB0"/>
    <w:rsid w:val="15B53F3E"/>
    <w:rsid w:val="15C61FB8"/>
    <w:rsid w:val="16057EB2"/>
    <w:rsid w:val="16461969"/>
    <w:rsid w:val="164F2AE1"/>
    <w:rsid w:val="1657501D"/>
    <w:rsid w:val="16623A9A"/>
    <w:rsid w:val="167A7865"/>
    <w:rsid w:val="16811B6C"/>
    <w:rsid w:val="168A049F"/>
    <w:rsid w:val="16940BAF"/>
    <w:rsid w:val="16992086"/>
    <w:rsid w:val="16C5279C"/>
    <w:rsid w:val="16C94348"/>
    <w:rsid w:val="16D231FD"/>
    <w:rsid w:val="16F2389F"/>
    <w:rsid w:val="16FC2B50"/>
    <w:rsid w:val="1700410A"/>
    <w:rsid w:val="17096B36"/>
    <w:rsid w:val="171E49CA"/>
    <w:rsid w:val="17210EA8"/>
    <w:rsid w:val="17343EB7"/>
    <w:rsid w:val="1737017E"/>
    <w:rsid w:val="174B6C8A"/>
    <w:rsid w:val="17795761"/>
    <w:rsid w:val="178736C4"/>
    <w:rsid w:val="17AC3DF0"/>
    <w:rsid w:val="17B80619"/>
    <w:rsid w:val="17BD3615"/>
    <w:rsid w:val="17BF5E77"/>
    <w:rsid w:val="17C71FE4"/>
    <w:rsid w:val="17E214B3"/>
    <w:rsid w:val="17F432CD"/>
    <w:rsid w:val="1804388A"/>
    <w:rsid w:val="184150D6"/>
    <w:rsid w:val="184821F8"/>
    <w:rsid w:val="188D46EA"/>
    <w:rsid w:val="189015C1"/>
    <w:rsid w:val="18917717"/>
    <w:rsid w:val="18A2602C"/>
    <w:rsid w:val="18A44487"/>
    <w:rsid w:val="18A81DA2"/>
    <w:rsid w:val="18B8128F"/>
    <w:rsid w:val="18BD1C8B"/>
    <w:rsid w:val="18F12673"/>
    <w:rsid w:val="18FA0730"/>
    <w:rsid w:val="190E51D6"/>
    <w:rsid w:val="191E4C96"/>
    <w:rsid w:val="192E34A3"/>
    <w:rsid w:val="193E2DCB"/>
    <w:rsid w:val="194932C7"/>
    <w:rsid w:val="19527869"/>
    <w:rsid w:val="195412B5"/>
    <w:rsid w:val="197F30A5"/>
    <w:rsid w:val="19841D44"/>
    <w:rsid w:val="19A92786"/>
    <w:rsid w:val="19B91255"/>
    <w:rsid w:val="19B968B4"/>
    <w:rsid w:val="19F824A9"/>
    <w:rsid w:val="19FF42C0"/>
    <w:rsid w:val="1A457D82"/>
    <w:rsid w:val="1A5C5FE4"/>
    <w:rsid w:val="1A7E530B"/>
    <w:rsid w:val="1A99651C"/>
    <w:rsid w:val="1AB0041E"/>
    <w:rsid w:val="1AB863F0"/>
    <w:rsid w:val="1ABA0AB0"/>
    <w:rsid w:val="1AC8286A"/>
    <w:rsid w:val="1AED1401"/>
    <w:rsid w:val="1B155424"/>
    <w:rsid w:val="1B240BFE"/>
    <w:rsid w:val="1B2D3907"/>
    <w:rsid w:val="1B3C77DE"/>
    <w:rsid w:val="1B465D19"/>
    <w:rsid w:val="1B682381"/>
    <w:rsid w:val="1B756CE5"/>
    <w:rsid w:val="1B7C7BDB"/>
    <w:rsid w:val="1B9356F5"/>
    <w:rsid w:val="1BA403D6"/>
    <w:rsid w:val="1BAA47B3"/>
    <w:rsid w:val="1BFE2D3F"/>
    <w:rsid w:val="1C265C92"/>
    <w:rsid w:val="1C333D37"/>
    <w:rsid w:val="1C45364B"/>
    <w:rsid w:val="1C525891"/>
    <w:rsid w:val="1C5727E7"/>
    <w:rsid w:val="1C61385D"/>
    <w:rsid w:val="1C621078"/>
    <w:rsid w:val="1C634003"/>
    <w:rsid w:val="1C811CD0"/>
    <w:rsid w:val="1C906729"/>
    <w:rsid w:val="1CAC45EB"/>
    <w:rsid w:val="1CBE5B40"/>
    <w:rsid w:val="1CE356A9"/>
    <w:rsid w:val="1CEB3176"/>
    <w:rsid w:val="1D0E5CCA"/>
    <w:rsid w:val="1D282323"/>
    <w:rsid w:val="1D285894"/>
    <w:rsid w:val="1D5B3A1B"/>
    <w:rsid w:val="1D5C4168"/>
    <w:rsid w:val="1D5C7CC4"/>
    <w:rsid w:val="1D691375"/>
    <w:rsid w:val="1D6A02B9"/>
    <w:rsid w:val="1D885188"/>
    <w:rsid w:val="1DB06B8C"/>
    <w:rsid w:val="1DCF0CC9"/>
    <w:rsid w:val="1DD8579E"/>
    <w:rsid w:val="1E012EC6"/>
    <w:rsid w:val="1E0135DF"/>
    <w:rsid w:val="1E05729A"/>
    <w:rsid w:val="1E233E4A"/>
    <w:rsid w:val="1E4B5802"/>
    <w:rsid w:val="1E4E036C"/>
    <w:rsid w:val="1E8D7AD7"/>
    <w:rsid w:val="1EC320E5"/>
    <w:rsid w:val="1EF70EBC"/>
    <w:rsid w:val="1EF73293"/>
    <w:rsid w:val="1F1C5231"/>
    <w:rsid w:val="1F262338"/>
    <w:rsid w:val="1F274F5A"/>
    <w:rsid w:val="1F33496C"/>
    <w:rsid w:val="1F3B7C82"/>
    <w:rsid w:val="1F4C3872"/>
    <w:rsid w:val="1F5840FF"/>
    <w:rsid w:val="1F595B6B"/>
    <w:rsid w:val="1F6A0F95"/>
    <w:rsid w:val="1F70545E"/>
    <w:rsid w:val="1F9319B3"/>
    <w:rsid w:val="1FBC2C9C"/>
    <w:rsid w:val="1FC955EE"/>
    <w:rsid w:val="1FFF7A95"/>
    <w:rsid w:val="2000527E"/>
    <w:rsid w:val="201F5249"/>
    <w:rsid w:val="202F7830"/>
    <w:rsid w:val="20322F5E"/>
    <w:rsid w:val="20357351"/>
    <w:rsid w:val="20522BB1"/>
    <w:rsid w:val="20541EC6"/>
    <w:rsid w:val="20735A50"/>
    <w:rsid w:val="20914ECC"/>
    <w:rsid w:val="209439DE"/>
    <w:rsid w:val="209634ED"/>
    <w:rsid w:val="20A35C0A"/>
    <w:rsid w:val="20B44D9E"/>
    <w:rsid w:val="20CA7045"/>
    <w:rsid w:val="20DD111C"/>
    <w:rsid w:val="20E24984"/>
    <w:rsid w:val="20FD38FB"/>
    <w:rsid w:val="2100650C"/>
    <w:rsid w:val="21061AE7"/>
    <w:rsid w:val="21096CEA"/>
    <w:rsid w:val="21161DC5"/>
    <w:rsid w:val="213D605E"/>
    <w:rsid w:val="214F36AD"/>
    <w:rsid w:val="215516B1"/>
    <w:rsid w:val="21685047"/>
    <w:rsid w:val="218F4F05"/>
    <w:rsid w:val="219B6840"/>
    <w:rsid w:val="21BB5357"/>
    <w:rsid w:val="2211244F"/>
    <w:rsid w:val="2214007A"/>
    <w:rsid w:val="22491A77"/>
    <w:rsid w:val="22576CAC"/>
    <w:rsid w:val="225E5953"/>
    <w:rsid w:val="226F6EF2"/>
    <w:rsid w:val="22833F45"/>
    <w:rsid w:val="229E0D7F"/>
    <w:rsid w:val="22A23DB7"/>
    <w:rsid w:val="22B41F9D"/>
    <w:rsid w:val="22B92924"/>
    <w:rsid w:val="22E569AE"/>
    <w:rsid w:val="23051D69"/>
    <w:rsid w:val="23D45BF3"/>
    <w:rsid w:val="23E73575"/>
    <w:rsid w:val="23F51185"/>
    <w:rsid w:val="241C1F5B"/>
    <w:rsid w:val="24234E13"/>
    <w:rsid w:val="245C7F95"/>
    <w:rsid w:val="24727D09"/>
    <w:rsid w:val="2476229D"/>
    <w:rsid w:val="2480698E"/>
    <w:rsid w:val="248900D1"/>
    <w:rsid w:val="249441E7"/>
    <w:rsid w:val="24B11981"/>
    <w:rsid w:val="24B9204A"/>
    <w:rsid w:val="24E65A75"/>
    <w:rsid w:val="24EC5DD1"/>
    <w:rsid w:val="24FA6EF4"/>
    <w:rsid w:val="250A1958"/>
    <w:rsid w:val="2522532D"/>
    <w:rsid w:val="25245F91"/>
    <w:rsid w:val="254A3258"/>
    <w:rsid w:val="254C6870"/>
    <w:rsid w:val="255F4A4B"/>
    <w:rsid w:val="25693799"/>
    <w:rsid w:val="25897AC4"/>
    <w:rsid w:val="25932ED8"/>
    <w:rsid w:val="259C77F7"/>
    <w:rsid w:val="25A4789E"/>
    <w:rsid w:val="25BC4C83"/>
    <w:rsid w:val="25CA6A26"/>
    <w:rsid w:val="25E00E9A"/>
    <w:rsid w:val="25E410CE"/>
    <w:rsid w:val="25EB0814"/>
    <w:rsid w:val="25F7163A"/>
    <w:rsid w:val="25F936E8"/>
    <w:rsid w:val="26030BE4"/>
    <w:rsid w:val="261C3A96"/>
    <w:rsid w:val="263452C0"/>
    <w:rsid w:val="263A0DBE"/>
    <w:rsid w:val="26526315"/>
    <w:rsid w:val="2657508D"/>
    <w:rsid w:val="266613DF"/>
    <w:rsid w:val="268D3A24"/>
    <w:rsid w:val="26BC6432"/>
    <w:rsid w:val="26C12755"/>
    <w:rsid w:val="26D22DA5"/>
    <w:rsid w:val="26E34FB2"/>
    <w:rsid w:val="26F05EFD"/>
    <w:rsid w:val="27070CA1"/>
    <w:rsid w:val="2712724D"/>
    <w:rsid w:val="272649D3"/>
    <w:rsid w:val="273F5723"/>
    <w:rsid w:val="2749171A"/>
    <w:rsid w:val="27800A53"/>
    <w:rsid w:val="2790675F"/>
    <w:rsid w:val="27B71B94"/>
    <w:rsid w:val="27C4303F"/>
    <w:rsid w:val="27C50F08"/>
    <w:rsid w:val="27C653AD"/>
    <w:rsid w:val="27CB6172"/>
    <w:rsid w:val="27DD6DBE"/>
    <w:rsid w:val="27EE4C80"/>
    <w:rsid w:val="27F3132F"/>
    <w:rsid w:val="27FF370D"/>
    <w:rsid w:val="28033B5E"/>
    <w:rsid w:val="28135FC7"/>
    <w:rsid w:val="281771FE"/>
    <w:rsid w:val="284375D8"/>
    <w:rsid w:val="284F609A"/>
    <w:rsid w:val="28590F0E"/>
    <w:rsid w:val="28640B8A"/>
    <w:rsid w:val="287557F7"/>
    <w:rsid w:val="287E0FC1"/>
    <w:rsid w:val="288655D8"/>
    <w:rsid w:val="28B20DCC"/>
    <w:rsid w:val="28B430AA"/>
    <w:rsid w:val="28E37C83"/>
    <w:rsid w:val="29080D00"/>
    <w:rsid w:val="2920604A"/>
    <w:rsid w:val="292204E8"/>
    <w:rsid w:val="2928485E"/>
    <w:rsid w:val="29306DBA"/>
    <w:rsid w:val="2933074C"/>
    <w:rsid w:val="29581C87"/>
    <w:rsid w:val="297C411E"/>
    <w:rsid w:val="29947266"/>
    <w:rsid w:val="29CA1E3B"/>
    <w:rsid w:val="29E259F5"/>
    <w:rsid w:val="29F86458"/>
    <w:rsid w:val="2A084163"/>
    <w:rsid w:val="2A2543E7"/>
    <w:rsid w:val="2A4E7CF6"/>
    <w:rsid w:val="2A754B36"/>
    <w:rsid w:val="2A9A62D0"/>
    <w:rsid w:val="2AA646BC"/>
    <w:rsid w:val="2B3B716B"/>
    <w:rsid w:val="2B623E4B"/>
    <w:rsid w:val="2B732ECE"/>
    <w:rsid w:val="2B7373F0"/>
    <w:rsid w:val="2BA6719E"/>
    <w:rsid w:val="2BC32223"/>
    <w:rsid w:val="2BC4147F"/>
    <w:rsid w:val="2BC5737C"/>
    <w:rsid w:val="2BD76178"/>
    <w:rsid w:val="2BE945FC"/>
    <w:rsid w:val="2BEF0A25"/>
    <w:rsid w:val="2C533439"/>
    <w:rsid w:val="2C604929"/>
    <w:rsid w:val="2C63688F"/>
    <w:rsid w:val="2C6B26AC"/>
    <w:rsid w:val="2C9C1F16"/>
    <w:rsid w:val="2CA91138"/>
    <w:rsid w:val="2CB45C8D"/>
    <w:rsid w:val="2CC612C5"/>
    <w:rsid w:val="2CC8569B"/>
    <w:rsid w:val="2CE33F5E"/>
    <w:rsid w:val="2CEB2E12"/>
    <w:rsid w:val="2CF63C91"/>
    <w:rsid w:val="2D002A2C"/>
    <w:rsid w:val="2D0521A9"/>
    <w:rsid w:val="2D236108"/>
    <w:rsid w:val="2D2A0FAE"/>
    <w:rsid w:val="2D2B320F"/>
    <w:rsid w:val="2D2F2CFF"/>
    <w:rsid w:val="2D665813"/>
    <w:rsid w:val="2D766B80"/>
    <w:rsid w:val="2D7C3E5B"/>
    <w:rsid w:val="2D7E127D"/>
    <w:rsid w:val="2D855015"/>
    <w:rsid w:val="2D88240F"/>
    <w:rsid w:val="2DF116F5"/>
    <w:rsid w:val="2E06749A"/>
    <w:rsid w:val="2E3F6F72"/>
    <w:rsid w:val="2E6E7857"/>
    <w:rsid w:val="2E7E5611"/>
    <w:rsid w:val="2E8C3E95"/>
    <w:rsid w:val="2EC62798"/>
    <w:rsid w:val="2EE1627B"/>
    <w:rsid w:val="2EEE77F3"/>
    <w:rsid w:val="2EFB5F06"/>
    <w:rsid w:val="2F045B51"/>
    <w:rsid w:val="2F05374A"/>
    <w:rsid w:val="2F354433"/>
    <w:rsid w:val="2F581930"/>
    <w:rsid w:val="2F5E78CC"/>
    <w:rsid w:val="2F63356A"/>
    <w:rsid w:val="2F6E45FD"/>
    <w:rsid w:val="2F785794"/>
    <w:rsid w:val="2F8824AD"/>
    <w:rsid w:val="2F9D7AE1"/>
    <w:rsid w:val="2FAA2B11"/>
    <w:rsid w:val="2FB53C5B"/>
    <w:rsid w:val="2FC87704"/>
    <w:rsid w:val="2FD4296E"/>
    <w:rsid w:val="2FDA1F54"/>
    <w:rsid w:val="2FDC1300"/>
    <w:rsid w:val="2FE77813"/>
    <w:rsid w:val="2FF47B01"/>
    <w:rsid w:val="2FFF1822"/>
    <w:rsid w:val="30376E05"/>
    <w:rsid w:val="306639C0"/>
    <w:rsid w:val="306A7555"/>
    <w:rsid w:val="308E1ADB"/>
    <w:rsid w:val="30955A8B"/>
    <w:rsid w:val="30B30637"/>
    <w:rsid w:val="30C145B6"/>
    <w:rsid w:val="30DC4F4C"/>
    <w:rsid w:val="30E20088"/>
    <w:rsid w:val="312E7A34"/>
    <w:rsid w:val="312F7772"/>
    <w:rsid w:val="313C4FF8"/>
    <w:rsid w:val="313D4AF3"/>
    <w:rsid w:val="3165176C"/>
    <w:rsid w:val="31745ACE"/>
    <w:rsid w:val="31750EFD"/>
    <w:rsid w:val="317D78BE"/>
    <w:rsid w:val="31AD5DB1"/>
    <w:rsid w:val="31AF8FC4"/>
    <w:rsid w:val="31B929A1"/>
    <w:rsid w:val="31DC1E75"/>
    <w:rsid w:val="31EF0CAF"/>
    <w:rsid w:val="32436761"/>
    <w:rsid w:val="327411B4"/>
    <w:rsid w:val="32786D65"/>
    <w:rsid w:val="327B69E7"/>
    <w:rsid w:val="327D0070"/>
    <w:rsid w:val="328B4273"/>
    <w:rsid w:val="328C67A7"/>
    <w:rsid w:val="328E671A"/>
    <w:rsid w:val="32AF4F03"/>
    <w:rsid w:val="32D12C6A"/>
    <w:rsid w:val="32D229B4"/>
    <w:rsid w:val="32D90296"/>
    <w:rsid w:val="32DB6DF5"/>
    <w:rsid w:val="32F742BF"/>
    <w:rsid w:val="330D7DE8"/>
    <w:rsid w:val="3328091C"/>
    <w:rsid w:val="333B526F"/>
    <w:rsid w:val="33596D28"/>
    <w:rsid w:val="335A65FC"/>
    <w:rsid w:val="336478E3"/>
    <w:rsid w:val="336F2AB5"/>
    <w:rsid w:val="33704AE7"/>
    <w:rsid w:val="337C2A16"/>
    <w:rsid w:val="339D05D5"/>
    <w:rsid w:val="33B70ED4"/>
    <w:rsid w:val="33C06DA7"/>
    <w:rsid w:val="33D25C33"/>
    <w:rsid w:val="33D7548A"/>
    <w:rsid w:val="33E51425"/>
    <w:rsid w:val="33EC742B"/>
    <w:rsid w:val="3438483D"/>
    <w:rsid w:val="345E3ECA"/>
    <w:rsid w:val="347E631A"/>
    <w:rsid w:val="347F6FC8"/>
    <w:rsid w:val="34853589"/>
    <w:rsid w:val="348543AA"/>
    <w:rsid w:val="3487066E"/>
    <w:rsid w:val="34EF596A"/>
    <w:rsid w:val="3510025F"/>
    <w:rsid w:val="351C0A93"/>
    <w:rsid w:val="352E7E11"/>
    <w:rsid w:val="35394A00"/>
    <w:rsid w:val="353F23D8"/>
    <w:rsid w:val="35470E02"/>
    <w:rsid w:val="35587BBB"/>
    <w:rsid w:val="3564546E"/>
    <w:rsid w:val="35A1483D"/>
    <w:rsid w:val="35A4463B"/>
    <w:rsid w:val="35B75F88"/>
    <w:rsid w:val="35CB5F7A"/>
    <w:rsid w:val="35CD4C21"/>
    <w:rsid w:val="35D46778"/>
    <w:rsid w:val="35DF4FC8"/>
    <w:rsid w:val="35E2081F"/>
    <w:rsid w:val="35E64B3E"/>
    <w:rsid w:val="35E908D5"/>
    <w:rsid w:val="35EB0AA2"/>
    <w:rsid w:val="35F27F3F"/>
    <w:rsid w:val="35F4625F"/>
    <w:rsid w:val="35F5260C"/>
    <w:rsid w:val="360867E3"/>
    <w:rsid w:val="36260A17"/>
    <w:rsid w:val="36362840"/>
    <w:rsid w:val="36374761"/>
    <w:rsid w:val="363974F5"/>
    <w:rsid w:val="364B0FC7"/>
    <w:rsid w:val="364D2448"/>
    <w:rsid w:val="364F295F"/>
    <w:rsid w:val="365D228E"/>
    <w:rsid w:val="3678368B"/>
    <w:rsid w:val="368F307D"/>
    <w:rsid w:val="36C22E36"/>
    <w:rsid w:val="36DA7901"/>
    <w:rsid w:val="36DD6502"/>
    <w:rsid w:val="36E37CAA"/>
    <w:rsid w:val="36E7289C"/>
    <w:rsid w:val="371200CE"/>
    <w:rsid w:val="371328BA"/>
    <w:rsid w:val="371E4473"/>
    <w:rsid w:val="373B3762"/>
    <w:rsid w:val="373E7A32"/>
    <w:rsid w:val="374B2E2B"/>
    <w:rsid w:val="376120B5"/>
    <w:rsid w:val="378473D5"/>
    <w:rsid w:val="37933FE8"/>
    <w:rsid w:val="37A662B4"/>
    <w:rsid w:val="37C40CCB"/>
    <w:rsid w:val="37CB7AC8"/>
    <w:rsid w:val="37CF5979"/>
    <w:rsid w:val="37E44F1B"/>
    <w:rsid w:val="381C0324"/>
    <w:rsid w:val="383010BE"/>
    <w:rsid w:val="383C28F5"/>
    <w:rsid w:val="38533B32"/>
    <w:rsid w:val="385E4125"/>
    <w:rsid w:val="389333A4"/>
    <w:rsid w:val="38A639DC"/>
    <w:rsid w:val="38B72192"/>
    <w:rsid w:val="38BB7B3D"/>
    <w:rsid w:val="38CA394E"/>
    <w:rsid w:val="390A0A90"/>
    <w:rsid w:val="390C498C"/>
    <w:rsid w:val="39105ADF"/>
    <w:rsid w:val="39130728"/>
    <w:rsid w:val="391C1D28"/>
    <w:rsid w:val="393048AB"/>
    <w:rsid w:val="3933219F"/>
    <w:rsid w:val="3947612C"/>
    <w:rsid w:val="39886074"/>
    <w:rsid w:val="399144C8"/>
    <w:rsid w:val="39A452D7"/>
    <w:rsid w:val="39B421E4"/>
    <w:rsid w:val="39CB6CB2"/>
    <w:rsid w:val="39ED0932"/>
    <w:rsid w:val="3A020619"/>
    <w:rsid w:val="3A1F71B2"/>
    <w:rsid w:val="3A292DA0"/>
    <w:rsid w:val="3A2D2830"/>
    <w:rsid w:val="3A452DD8"/>
    <w:rsid w:val="3A4577E7"/>
    <w:rsid w:val="3A4B3142"/>
    <w:rsid w:val="3A63048C"/>
    <w:rsid w:val="3A697741"/>
    <w:rsid w:val="3A944AE9"/>
    <w:rsid w:val="3A96547D"/>
    <w:rsid w:val="3A9C0648"/>
    <w:rsid w:val="3AA834A2"/>
    <w:rsid w:val="3AB701AE"/>
    <w:rsid w:val="3AC729BB"/>
    <w:rsid w:val="3ACC6CD8"/>
    <w:rsid w:val="3AD3318D"/>
    <w:rsid w:val="3AE04FC9"/>
    <w:rsid w:val="3AE35129"/>
    <w:rsid w:val="3AED005D"/>
    <w:rsid w:val="3B0D4023"/>
    <w:rsid w:val="3B217C89"/>
    <w:rsid w:val="3B37435C"/>
    <w:rsid w:val="3B3E796D"/>
    <w:rsid w:val="3B3F19D1"/>
    <w:rsid w:val="3B3F22C6"/>
    <w:rsid w:val="3B434AA0"/>
    <w:rsid w:val="3B4E6A46"/>
    <w:rsid w:val="3B64735D"/>
    <w:rsid w:val="3B691DFF"/>
    <w:rsid w:val="3B7B545B"/>
    <w:rsid w:val="3B7E3082"/>
    <w:rsid w:val="3B7E49B5"/>
    <w:rsid w:val="3B7F4030"/>
    <w:rsid w:val="3B853362"/>
    <w:rsid w:val="3B911029"/>
    <w:rsid w:val="3B997D5E"/>
    <w:rsid w:val="3BA630FE"/>
    <w:rsid w:val="3BAF7138"/>
    <w:rsid w:val="3BBD4D3D"/>
    <w:rsid w:val="3BF03FA1"/>
    <w:rsid w:val="3BFB14C0"/>
    <w:rsid w:val="3C176F35"/>
    <w:rsid w:val="3C1E0957"/>
    <w:rsid w:val="3C222A5F"/>
    <w:rsid w:val="3C320116"/>
    <w:rsid w:val="3C460065"/>
    <w:rsid w:val="3C503419"/>
    <w:rsid w:val="3C522566"/>
    <w:rsid w:val="3C5366EB"/>
    <w:rsid w:val="3C84369E"/>
    <w:rsid w:val="3C9A6493"/>
    <w:rsid w:val="3CA27BD1"/>
    <w:rsid w:val="3CA54D8C"/>
    <w:rsid w:val="3CB671E3"/>
    <w:rsid w:val="3CB925E5"/>
    <w:rsid w:val="3CBF7C06"/>
    <w:rsid w:val="3CC1258A"/>
    <w:rsid w:val="3CDC4526"/>
    <w:rsid w:val="3CE159C8"/>
    <w:rsid w:val="3CE8111C"/>
    <w:rsid w:val="3CF165CE"/>
    <w:rsid w:val="3CF703D8"/>
    <w:rsid w:val="3D0B5459"/>
    <w:rsid w:val="3D185F53"/>
    <w:rsid w:val="3D1E68EC"/>
    <w:rsid w:val="3D2A52E6"/>
    <w:rsid w:val="3D312E77"/>
    <w:rsid w:val="3D344362"/>
    <w:rsid w:val="3D7E0344"/>
    <w:rsid w:val="3D873A3C"/>
    <w:rsid w:val="3D9A2417"/>
    <w:rsid w:val="3DA52B6A"/>
    <w:rsid w:val="3DAE3D36"/>
    <w:rsid w:val="3DB5362C"/>
    <w:rsid w:val="3DD2669E"/>
    <w:rsid w:val="3DE6116E"/>
    <w:rsid w:val="3E323DAE"/>
    <w:rsid w:val="3E4660FB"/>
    <w:rsid w:val="3E4D3A37"/>
    <w:rsid w:val="3E5006D8"/>
    <w:rsid w:val="3E59377A"/>
    <w:rsid w:val="3E6952D0"/>
    <w:rsid w:val="3E701C5A"/>
    <w:rsid w:val="3E9404EF"/>
    <w:rsid w:val="3E9D2570"/>
    <w:rsid w:val="3EA421D5"/>
    <w:rsid w:val="3EA47FD5"/>
    <w:rsid w:val="3EA838D0"/>
    <w:rsid w:val="3EBD4A7B"/>
    <w:rsid w:val="3EC040FF"/>
    <w:rsid w:val="3EC23F90"/>
    <w:rsid w:val="3ED422A9"/>
    <w:rsid w:val="3EFB73C4"/>
    <w:rsid w:val="3F1678EE"/>
    <w:rsid w:val="3F327FDB"/>
    <w:rsid w:val="3F397A3E"/>
    <w:rsid w:val="3F6E6344"/>
    <w:rsid w:val="3F7B1776"/>
    <w:rsid w:val="3F801255"/>
    <w:rsid w:val="3F937828"/>
    <w:rsid w:val="3F9B4224"/>
    <w:rsid w:val="3FDA0057"/>
    <w:rsid w:val="3FF971CD"/>
    <w:rsid w:val="401C35B7"/>
    <w:rsid w:val="401D5C5A"/>
    <w:rsid w:val="404F314F"/>
    <w:rsid w:val="40627EA0"/>
    <w:rsid w:val="40A0023C"/>
    <w:rsid w:val="40CD45C2"/>
    <w:rsid w:val="40D74D4E"/>
    <w:rsid w:val="40E340D5"/>
    <w:rsid w:val="41282227"/>
    <w:rsid w:val="415E19FF"/>
    <w:rsid w:val="418863B7"/>
    <w:rsid w:val="418A3BDA"/>
    <w:rsid w:val="41941AF7"/>
    <w:rsid w:val="41A2712F"/>
    <w:rsid w:val="41A55263"/>
    <w:rsid w:val="41C34535"/>
    <w:rsid w:val="41C704C5"/>
    <w:rsid w:val="41C96481"/>
    <w:rsid w:val="41F212BF"/>
    <w:rsid w:val="41F43D8A"/>
    <w:rsid w:val="41F917FC"/>
    <w:rsid w:val="420B38E3"/>
    <w:rsid w:val="421107CE"/>
    <w:rsid w:val="42227D59"/>
    <w:rsid w:val="423B3A71"/>
    <w:rsid w:val="425527F2"/>
    <w:rsid w:val="427A45C5"/>
    <w:rsid w:val="42981012"/>
    <w:rsid w:val="42A2632D"/>
    <w:rsid w:val="42A44576"/>
    <w:rsid w:val="42B0499A"/>
    <w:rsid w:val="42DA32B5"/>
    <w:rsid w:val="42F245C7"/>
    <w:rsid w:val="42F75C15"/>
    <w:rsid w:val="42F86090"/>
    <w:rsid w:val="43056584"/>
    <w:rsid w:val="430F3C57"/>
    <w:rsid w:val="43457DA1"/>
    <w:rsid w:val="436D395A"/>
    <w:rsid w:val="437A7046"/>
    <w:rsid w:val="437F2CCD"/>
    <w:rsid w:val="43860137"/>
    <w:rsid w:val="43B32021"/>
    <w:rsid w:val="43BE25A5"/>
    <w:rsid w:val="43D01231"/>
    <w:rsid w:val="43D076AF"/>
    <w:rsid w:val="43D234C2"/>
    <w:rsid w:val="43E02B4D"/>
    <w:rsid w:val="43FC2E2A"/>
    <w:rsid w:val="44120E71"/>
    <w:rsid w:val="44150A49"/>
    <w:rsid w:val="44191BBB"/>
    <w:rsid w:val="441B1DD7"/>
    <w:rsid w:val="442C60E8"/>
    <w:rsid w:val="44352E99"/>
    <w:rsid w:val="446942CE"/>
    <w:rsid w:val="44750793"/>
    <w:rsid w:val="44880C4A"/>
    <w:rsid w:val="448C6831"/>
    <w:rsid w:val="448E6105"/>
    <w:rsid w:val="44AE0556"/>
    <w:rsid w:val="44D42911"/>
    <w:rsid w:val="450D1680"/>
    <w:rsid w:val="45237196"/>
    <w:rsid w:val="453C621F"/>
    <w:rsid w:val="455A2497"/>
    <w:rsid w:val="457430DA"/>
    <w:rsid w:val="458E3082"/>
    <w:rsid w:val="45AF4585"/>
    <w:rsid w:val="461A46B9"/>
    <w:rsid w:val="463D7DE3"/>
    <w:rsid w:val="46496788"/>
    <w:rsid w:val="4659102E"/>
    <w:rsid w:val="467848DB"/>
    <w:rsid w:val="46817F04"/>
    <w:rsid w:val="468772B0"/>
    <w:rsid w:val="47051099"/>
    <w:rsid w:val="470F3C79"/>
    <w:rsid w:val="470F779C"/>
    <w:rsid w:val="47153338"/>
    <w:rsid w:val="477B2F78"/>
    <w:rsid w:val="47876D4D"/>
    <w:rsid w:val="47A520E4"/>
    <w:rsid w:val="47AF2F63"/>
    <w:rsid w:val="47C6635A"/>
    <w:rsid w:val="47C83F0B"/>
    <w:rsid w:val="47D872A8"/>
    <w:rsid w:val="47E3364E"/>
    <w:rsid w:val="47EF67FD"/>
    <w:rsid w:val="481C672D"/>
    <w:rsid w:val="482F5E51"/>
    <w:rsid w:val="48382A1A"/>
    <w:rsid w:val="483C3E86"/>
    <w:rsid w:val="486652A7"/>
    <w:rsid w:val="48902C91"/>
    <w:rsid w:val="4895577C"/>
    <w:rsid w:val="48AC047D"/>
    <w:rsid w:val="48B33EB3"/>
    <w:rsid w:val="48C04CFB"/>
    <w:rsid w:val="48C83BB4"/>
    <w:rsid w:val="48D52555"/>
    <w:rsid w:val="48DB15DE"/>
    <w:rsid w:val="48DB19C5"/>
    <w:rsid w:val="48E577AE"/>
    <w:rsid w:val="4950019D"/>
    <w:rsid w:val="4953791E"/>
    <w:rsid w:val="49940662"/>
    <w:rsid w:val="49951CE4"/>
    <w:rsid w:val="49AF0FF8"/>
    <w:rsid w:val="49E52C6C"/>
    <w:rsid w:val="4A0550BC"/>
    <w:rsid w:val="4A081E0A"/>
    <w:rsid w:val="4A1A3B0F"/>
    <w:rsid w:val="4A4D4937"/>
    <w:rsid w:val="4A4E34DD"/>
    <w:rsid w:val="4A5137F1"/>
    <w:rsid w:val="4A6F1E15"/>
    <w:rsid w:val="4A757E64"/>
    <w:rsid w:val="4A823874"/>
    <w:rsid w:val="4A86206C"/>
    <w:rsid w:val="4A881878"/>
    <w:rsid w:val="4A8B20A0"/>
    <w:rsid w:val="4A9B157C"/>
    <w:rsid w:val="4A9D70A2"/>
    <w:rsid w:val="4A9F3C46"/>
    <w:rsid w:val="4AAD2B26"/>
    <w:rsid w:val="4ACA3C0F"/>
    <w:rsid w:val="4AD0630A"/>
    <w:rsid w:val="4AD53EDD"/>
    <w:rsid w:val="4AE110B0"/>
    <w:rsid w:val="4AFC0623"/>
    <w:rsid w:val="4B051C5F"/>
    <w:rsid w:val="4B1A2B87"/>
    <w:rsid w:val="4B244615"/>
    <w:rsid w:val="4B263FD8"/>
    <w:rsid w:val="4B322D5A"/>
    <w:rsid w:val="4B485DD4"/>
    <w:rsid w:val="4B7E6C22"/>
    <w:rsid w:val="4BA601D9"/>
    <w:rsid w:val="4BB32038"/>
    <w:rsid w:val="4BB8025A"/>
    <w:rsid w:val="4BE86A43"/>
    <w:rsid w:val="4BF631ED"/>
    <w:rsid w:val="4C1759FF"/>
    <w:rsid w:val="4C480DF1"/>
    <w:rsid w:val="4C4B0D80"/>
    <w:rsid w:val="4C63431C"/>
    <w:rsid w:val="4C793B3F"/>
    <w:rsid w:val="4C7B2D4A"/>
    <w:rsid w:val="4C7B6F8A"/>
    <w:rsid w:val="4CA938A5"/>
    <w:rsid w:val="4CA96F8C"/>
    <w:rsid w:val="4CB86415"/>
    <w:rsid w:val="4D3A32CE"/>
    <w:rsid w:val="4D3D6536"/>
    <w:rsid w:val="4D454989"/>
    <w:rsid w:val="4D4E06C1"/>
    <w:rsid w:val="4D523CAE"/>
    <w:rsid w:val="4D5257F8"/>
    <w:rsid w:val="4D706CF0"/>
    <w:rsid w:val="4D7E2909"/>
    <w:rsid w:val="4D8D2146"/>
    <w:rsid w:val="4D902A25"/>
    <w:rsid w:val="4D98533A"/>
    <w:rsid w:val="4DC96400"/>
    <w:rsid w:val="4DD70B1D"/>
    <w:rsid w:val="4DDD2C71"/>
    <w:rsid w:val="4DE726BA"/>
    <w:rsid w:val="4DF45259"/>
    <w:rsid w:val="4E0666BE"/>
    <w:rsid w:val="4E3872EE"/>
    <w:rsid w:val="4E610B46"/>
    <w:rsid w:val="4E6D3230"/>
    <w:rsid w:val="4E7740AE"/>
    <w:rsid w:val="4EA408F5"/>
    <w:rsid w:val="4EAB6AC5"/>
    <w:rsid w:val="4EC731AC"/>
    <w:rsid w:val="4ED6178C"/>
    <w:rsid w:val="4ED92673"/>
    <w:rsid w:val="4F0C3F61"/>
    <w:rsid w:val="4F2A0839"/>
    <w:rsid w:val="4F2D2D90"/>
    <w:rsid w:val="4F377115"/>
    <w:rsid w:val="4F571A08"/>
    <w:rsid w:val="4F5B752C"/>
    <w:rsid w:val="4F662A3F"/>
    <w:rsid w:val="4F6A5095"/>
    <w:rsid w:val="4F922963"/>
    <w:rsid w:val="4F942E56"/>
    <w:rsid w:val="4FB758F2"/>
    <w:rsid w:val="4FDD0724"/>
    <w:rsid w:val="4FEE7B91"/>
    <w:rsid w:val="500313EB"/>
    <w:rsid w:val="500C5B46"/>
    <w:rsid w:val="50546671"/>
    <w:rsid w:val="50546CF5"/>
    <w:rsid w:val="506828C8"/>
    <w:rsid w:val="506B379F"/>
    <w:rsid w:val="50727A8E"/>
    <w:rsid w:val="508A6805"/>
    <w:rsid w:val="509B7D12"/>
    <w:rsid w:val="50A6515E"/>
    <w:rsid w:val="50BA786B"/>
    <w:rsid w:val="50DD19BA"/>
    <w:rsid w:val="50E06453"/>
    <w:rsid w:val="50EC79B1"/>
    <w:rsid w:val="50EF617E"/>
    <w:rsid w:val="51364DD1"/>
    <w:rsid w:val="515D2C73"/>
    <w:rsid w:val="51791EEB"/>
    <w:rsid w:val="517D2473"/>
    <w:rsid w:val="5190030D"/>
    <w:rsid w:val="51A11700"/>
    <w:rsid w:val="51B318A1"/>
    <w:rsid w:val="51C770FB"/>
    <w:rsid w:val="51D6320C"/>
    <w:rsid w:val="51E468C5"/>
    <w:rsid w:val="51E55ACB"/>
    <w:rsid w:val="520C67D5"/>
    <w:rsid w:val="521A36CE"/>
    <w:rsid w:val="524F1A68"/>
    <w:rsid w:val="52666EC0"/>
    <w:rsid w:val="527E3C5D"/>
    <w:rsid w:val="529B480F"/>
    <w:rsid w:val="52B729E6"/>
    <w:rsid w:val="52C378C2"/>
    <w:rsid w:val="52CD45AB"/>
    <w:rsid w:val="52D40BE5"/>
    <w:rsid w:val="52F85DDD"/>
    <w:rsid w:val="5318164F"/>
    <w:rsid w:val="532E151B"/>
    <w:rsid w:val="53322765"/>
    <w:rsid w:val="533D204C"/>
    <w:rsid w:val="53530C46"/>
    <w:rsid w:val="5362012A"/>
    <w:rsid w:val="536F35A6"/>
    <w:rsid w:val="539F00CF"/>
    <w:rsid w:val="53A836B8"/>
    <w:rsid w:val="53AD1B99"/>
    <w:rsid w:val="53AD7A7E"/>
    <w:rsid w:val="53C5028D"/>
    <w:rsid w:val="53D552F9"/>
    <w:rsid w:val="53E67D0C"/>
    <w:rsid w:val="54105E10"/>
    <w:rsid w:val="54220010"/>
    <w:rsid w:val="54462AAE"/>
    <w:rsid w:val="546926EB"/>
    <w:rsid w:val="547E7F44"/>
    <w:rsid w:val="54AB4AB2"/>
    <w:rsid w:val="54AE08D9"/>
    <w:rsid w:val="54B167BB"/>
    <w:rsid w:val="54F44FD8"/>
    <w:rsid w:val="5505576D"/>
    <w:rsid w:val="551C62C9"/>
    <w:rsid w:val="55331DA1"/>
    <w:rsid w:val="553A5CEC"/>
    <w:rsid w:val="554329FC"/>
    <w:rsid w:val="556270B4"/>
    <w:rsid w:val="556D2524"/>
    <w:rsid w:val="556D7A73"/>
    <w:rsid w:val="557459D2"/>
    <w:rsid w:val="55847FD9"/>
    <w:rsid w:val="558834D0"/>
    <w:rsid w:val="558D0F48"/>
    <w:rsid w:val="55915A56"/>
    <w:rsid w:val="55AB6A08"/>
    <w:rsid w:val="55B17EA6"/>
    <w:rsid w:val="55C7591B"/>
    <w:rsid w:val="55D5620E"/>
    <w:rsid w:val="55E04755"/>
    <w:rsid w:val="55E31B55"/>
    <w:rsid w:val="560E354A"/>
    <w:rsid w:val="56111549"/>
    <w:rsid w:val="561E7F5E"/>
    <w:rsid w:val="563B0804"/>
    <w:rsid w:val="563D5BDD"/>
    <w:rsid w:val="56507B13"/>
    <w:rsid w:val="567B1C1A"/>
    <w:rsid w:val="56951D81"/>
    <w:rsid w:val="56962274"/>
    <w:rsid w:val="56DA2E2C"/>
    <w:rsid w:val="56F0784C"/>
    <w:rsid w:val="56F16923"/>
    <w:rsid w:val="56F83A6D"/>
    <w:rsid w:val="57127CB4"/>
    <w:rsid w:val="571E76EB"/>
    <w:rsid w:val="57264738"/>
    <w:rsid w:val="574D2660"/>
    <w:rsid w:val="575B3007"/>
    <w:rsid w:val="5775155A"/>
    <w:rsid w:val="577801EC"/>
    <w:rsid w:val="57867F62"/>
    <w:rsid w:val="57A557E8"/>
    <w:rsid w:val="57A75A04"/>
    <w:rsid w:val="57BA0BB2"/>
    <w:rsid w:val="57EC1A7A"/>
    <w:rsid w:val="57ED0A3C"/>
    <w:rsid w:val="58112409"/>
    <w:rsid w:val="58117210"/>
    <w:rsid w:val="58451DE3"/>
    <w:rsid w:val="588E6412"/>
    <w:rsid w:val="58985FF8"/>
    <w:rsid w:val="589F65E6"/>
    <w:rsid w:val="58AE691E"/>
    <w:rsid w:val="58DC348C"/>
    <w:rsid w:val="590D482E"/>
    <w:rsid w:val="590D5D3B"/>
    <w:rsid w:val="592F2358"/>
    <w:rsid w:val="59556142"/>
    <w:rsid w:val="596803E8"/>
    <w:rsid w:val="5975743C"/>
    <w:rsid w:val="59973856"/>
    <w:rsid w:val="59B018BC"/>
    <w:rsid w:val="59C06909"/>
    <w:rsid w:val="59C81C62"/>
    <w:rsid w:val="59CD2653"/>
    <w:rsid w:val="59F323E0"/>
    <w:rsid w:val="5A116AB2"/>
    <w:rsid w:val="5A42686F"/>
    <w:rsid w:val="5A4B1269"/>
    <w:rsid w:val="5A564FC1"/>
    <w:rsid w:val="5A623E64"/>
    <w:rsid w:val="5A6B2009"/>
    <w:rsid w:val="5A701E3E"/>
    <w:rsid w:val="5A7D2FC5"/>
    <w:rsid w:val="5AC73EAB"/>
    <w:rsid w:val="5AD36847"/>
    <w:rsid w:val="5B12188D"/>
    <w:rsid w:val="5B2829B8"/>
    <w:rsid w:val="5B2A6F8D"/>
    <w:rsid w:val="5B33722F"/>
    <w:rsid w:val="5B43241F"/>
    <w:rsid w:val="5B4E733D"/>
    <w:rsid w:val="5B9242D5"/>
    <w:rsid w:val="5B9D063F"/>
    <w:rsid w:val="5BC12B3F"/>
    <w:rsid w:val="5BE53848"/>
    <w:rsid w:val="5BED6F48"/>
    <w:rsid w:val="5C0450B8"/>
    <w:rsid w:val="5C046A5C"/>
    <w:rsid w:val="5C052729"/>
    <w:rsid w:val="5C0F5926"/>
    <w:rsid w:val="5C206FF9"/>
    <w:rsid w:val="5C4A2849"/>
    <w:rsid w:val="5C6B085B"/>
    <w:rsid w:val="5C841E70"/>
    <w:rsid w:val="5C9E57B1"/>
    <w:rsid w:val="5CD027FB"/>
    <w:rsid w:val="5CEF7A1E"/>
    <w:rsid w:val="5D124E10"/>
    <w:rsid w:val="5D38775F"/>
    <w:rsid w:val="5D4E51CB"/>
    <w:rsid w:val="5D5D0423"/>
    <w:rsid w:val="5D846A3C"/>
    <w:rsid w:val="5D8A4706"/>
    <w:rsid w:val="5D99118C"/>
    <w:rsid w:val="5DCE3486"/>
    <w:rsid w:val="5DE6523B"/>
    <w:rsid w:val="5DE92490"/>
    <w:rsid w:val="5DFA71D3"/>
    <w:rsid w:val="5DFD29BF"/>
    <w:rsid w:val="5E27164D"/>
    <w:rsid w:val="5E2B69BB"/>
    <w:rsid w:val="5E323B7B"/>
    <w:rsid w:val="5E396ADC"/>
    <w:rsid w:val="5E4C472D"/>
    <w:rsid w:val="5E4C5752"/>
    <w:rsid w:val="5E4D0988"/>
    <w:rsid w:val="5E652175"/>
    <w:rsid w:val="5E657ECB"/>
    <w:rsid w:val="5E7423B8"/>
    <w:rsid w:val="5E7F1328"/>
    <w:rsid w:val="5E863397"/>
    <w:rsid w:val="5E883208"/>
    <w:rsid w:val="5E8C325E"/>
    <w:rsid w:val="5EA12317"/>
    <w:rsid w:val="5EB14D4B"/>
    <w:rsid w:val="5EB823C2"/>
    <w:rsid w:val="5EC42CAF"/>
    <w:rsid w:val="5EC77186"/>
    <w:rsid w:val="5EC926C7"/>
    <w:rsid w:val="5F1119B5"/>
    <w:rsid w:val="5F25422C"/>
    <w:rsid w:val="5F2931A3"/>
    <w:rsid w:val="5F2D4A41"/>
    <w:rsid w:val="5F334021"/>
    <w:rsid w:val="5F604DF4"/>
    <w:rsid w:val="5FE04C23"/>
    <w:rsid w:val="5FEC63EE"/>
    <w:rsid w:val="601F241E"/>
    <w:rsid w:val="603946FB"/>
    <w:rsid w:val="60567B55"/>
    <w:rsid w:val="60681AA9"/>
    <w:rsid w:val="606E6168"/>
    <w:rsid w:val="606F712A"/>
    <w:rsid w:val="608B6DA8"/>
    <w:rsid w:val="608D13D7"/>
    <w:rsid w:val="608F2E5A"/>
    <w:rsid w:val="60933C1B"/>
    <w:rsid w:val="609F196E"/>
    <w:rsid w:val="60B205B3"/>
    <w:rsid w:val="60C7091C"/>
    <w:rsid w:val="60D65EB9"/>
    <w:rsid w:val="60ED1EF7"/>
    <w:rsid w:val="60F11CA3"/>
    <w:rsid w:val="60FB4ACC"/>
    <w:rsid w:val="61251748"/>
    <w:rsid w:val="612647BB"/>
    <w:rsid w:val="614D2FD1"/>
    <w:rsid w:val="61603634"/>
    <w:rsid w:val="61630BEE"/>
    <w:rsid w:val="61664963"/>
    <w:rsid w:val="616A129B"/>
    <w:rsid w:val="61750921"/>
    <w:rsid w:val="61901233"/>
    <w:rsid w:val="61963016"/>
    <w:rsid w:val="619D7E0D"/>
    <w:rsid w:val="61B719C0"/>
    <w:rsid w:val="61C9162C"/>
    <w:rsid w:val="61C94589"/>
    <w:rsid w:val="61CB776C"/>
    <w:rsid w:val="61E4734A"/>
    <w:rsid w:val="62045801"/>
    <w:rsid w:val="62084699"/>
    <w:rsid w:val="620B7DAA"/>
    <w:rsid w:val="620D46B6"/>
    <w:rsid w:val="620E2F87"/>
    <w:rsid w:val="621724EE"/>
    <w:rsid w:val="626C5880"/>
    <w:rsid w:val="62A3326C"/>
    <w:rsid w:val="62B76740"/>
    <w:rsid w:val="62BE3C02"/>
    <w:rsid w:val="62C92CD3"/>
    <w:rsid w:val="62DC0988"/>
    <w:rsid w:val="631A396D"/>
    <w:rsid w:val="631E0515"/>
    <w:rsid w:val="63256FBD"/>
    <w:rsid w:val="634743E8"/>
    <w:rsid w:val="6351429C"/>
    <w:rsid w:val="63643A86"/>
    <w:rsid w:val="636A23F4"/>
    <w:rsid w:val="637727DD"/>
    <w:rsid w:val="63777B39"/>
    <w:rsid w:val="63790729"/>
    <w:rsid w:val="637A3FCD"/>
    <w:rsid w:val="63D27AE1"/>
    <w:rsid w:val="63D47B81"/>
    <w:rsid w:val="63D70354"/>
    <w:rsid w:val="63D75D6B"/>
    <w:rsid w:val="63DA6AFC"/>
    <w:rsid w:val="63DD455C"/>
    <w:rsid w:val="640A35A3"/>
    <w:rsid w:val="64273A63"/>
    <w:rsid w:val="64336CAA"/>
    <w:rsid w:val="6451010F"/>
    <w:rsid w:val="64910F10"/>
    <w:rsid w:val="649A61AE"/>
    <w:rsid w:val="64AE04B2"/>
    <w:rsid w:val="64AF414A"/>
    <w:rsid w:val="64C1638C"/>
    <w:rsid w:val="64C906B3"/>
    <w:rsid w:val="64CA1DDA"/>
    <w:rsid w:val="64D20092"/>
    <w:rsid w:val="64D92A92"/>
    <w:rsid w:val="64F92BBC"/>
    <w:rsid w:val="64FB5149"/>
    <w:rsid w:val="652F3EC7"/>
    <w:rsid w:val="65622F6B"/>
    <w:rsid w:val="657A02B4"/>
    <w:rsid w:val="65967D35"/>
    <w:rsid w:val="65B6666E"/>
    <w:rsid w:val="65D33E68"/>
    <w:rsid w:val="65DC4ACB"/>
    <w:rsid w:val="65DC6BD1"/>
    <w:rsid w:val="65E1359C"/>
    <w:rsid w:val="65E7441A"/>
    <w:rsid w:val="65F7082A"/>
    <w:rsid w:val="65FF3823"/>
    <w:rsid w:val="662A0896"/>
    <w:rsid w:val="66663562"/>
    <w:rsid w:val="666714C0"/>
    <w:rsid w:val="66744AA5"/>
    <w:rsid w:val="668C4743"/>
    <w:rsid w:val="66A01E20"/>
    <w:rsid w:val="66BD1D87"/>
    <w:rsid w:val="67112E9A"/>
    <w:rsid w:val="67177D85"/>
    <w:rsid w:val="6726458C"/>
    <w:rsid w:val="673962FA"/>
    <w:rsid w:val="673B3D13"/>
    <w:rsid w:val="673D0765"/>
    <w:rsid w:val="676236F6"/>
    <w:rsid w:val="67731BC3"/>
    <w:rsid w:val="679542C8"/>
    <w:rsid w:val="679F4F83"/>
    <w:rsid w:val="67B23953"/>
    <w:rsid w:val="67FB3A94"/>
    <w:rsid w:val="6808604B"/>
    <w:rsid w:val="6811654F"/>
    <w:rsid w:val="681542C4"/>
    <w:rsid w:val="6824093F"/>
    <w:rsid w:val="68246A1D"/>
    <w:rsid w:val="68270821"/>
    <w:rsid w:val="684042DB"/>
    <w:rsid w:val="68413108"/>
    <w:rsid w:val="68686AEA"/>
    <w:rsid w:val="686B6F42"/>
    <w:rsid w:val="686E3734"/>
    <w:rsid w:val="68770CB7"/>
    <w:rsid w:val="68792F69"/>
    <w:rsid w:val="68843A54"/>
    <w:rsid w:val="688A2A63"/>
    <w:rsid w:val="68A613C0"/>
    <w:rsid w:val="68AB3F38"/>
    <w:rsid w:val="68B56363"/>
    <w:rsid w:val="68EA010D"/>
    <w:rsid w:val="68EA07AB"/>
    <w:rsid w:val="68EB4CEB"/>
    <w:rsid w:val="68EB5AF0"/>
    <w:rsid w:val="68F36242"/>
    <w:rsid w:val="68F656F3"/>
    <w:rsid w:val="69131F05"/>
    <w:rsid w:val="692844CB"/>
    <w:rsid w:val="69466383"/>
    <w:rsid w:val="69495948"/>
    <w:rsid w:val="694C640B"/>
    <w:rsid w:val="69633AD8"/>
    <w:rsid w:val="69872FA0"/>
    <w:rsid w:val="698B36BB"/>
    <w:rsid w:val="698D0C2C"/>
    <w:rsid w:val="69916828"/>
    <w:rsid w:val="69A066A9"/>
    <w:rsid w:val="69C54DBD"/>
    <w:rsid w:val="69C56A18"/>
    <w:rsid w:val="6A065370"/>
    <w:rsid w:val="6A072BC1"/>
    <w:rsid w:val="6A3F7D1E"/>
    <w:rsid w:val="6A49522F"/>
    <w:rsid w:val="6A532F12"/>
    <w:rsid w:val="6A5F5901"/>
    <w:rsid w:val="6A815C41"/>
    <w:rsid w:val="6A887328"/>
    <w:rsid w:val="6AA70645"/>
    <w:rsid w:val="6AB764A6"/>
    <w:rsid w:val="6AC3180F"/>
    <w:rsid w:val="6AC350C9"/>
    <w:rsid w:val="6AC70E68"/>
    <w:rsid w:val="6ACB2C54"/>
    <w:rsid w:val="6AD212C2"/>
    <w:rsid w:val="6AE34B4E"/>
    <w:rsid w:val="6B0C096F"/>
    <w:rsid w:val="6B1016FD"/>
    <w:rsid w:val="6B1674B2"/>
    <w:rsid w:val="6B1D3BCB"/>
    <w:rsid w:val="6B234B42"/>
    <w:rsid w:val="6B6354B3"/>
    <w:rsid w:val="6B6712DB"/>
    <w:rsid w:val="6B713F84"/>
    <w:rsid w:val="6BA35411"/>
    <w:rsid w:val="6BD40B94"/>
    <w:rsid w:val="6BDA39C6"/>
    <w:rsid w:val="6BE75835"/>
    <w:rsid w:val="6BF344BE"/>
    <w:rsid w:val="6C1D7BEB"/>
    <w:rsid w:val="6C201B81"/>
    <w:rsid w:val="6C223454"/>
    <w:rsid w:val="6C2B055A"/>
    <w:rsid w:val="6C362D48"/>
    <w:rsid w:val="6C380305"/>
    <w:rsid w:val="6C3B22AF"/>
    <w:rsid w:val="6C3E5445"/>
    <w:rsid w:val="6C405B0D"/>
    <w:rsid w:val="6C5A1FF7"/>
    <w:rsid w:val="6C6139E5"/>
    <w:rsid w:val="6C6475C8"/>
    <w:rsid w:val="6C6D6F91"/>
    <w:rsid w:val="6C88625E"/>
    <w:rsid w:val="6C8B40D0"/>
    <w:rsid w:val="6CB8670C"/>
    <w:rsid w:val="6CBC5B9B"/>
    <w:rsid w:val="6CDA5ADC"/>
    <w:rsid w:val="6CF005A3"/>
    <w:rsid w:val="6CFD07B9"/>
    <w:rsid w:val="6D014981"/>
    <w:rsid w:val="6D056A4C"/>
    <w:rsid w:val="6D06746E"/>
    <w:rsid w:val="6D155F77"/>
    <w:rsid w:val="6D1C4347"/>
    <w:rsid w:val="6D230417"/>
    <w:rsid w:val="6D323B6A"/>
    <w:rsid w:val="6D3C0545"/>
    <w:rsid w:val="6D724881"/>
    <w:rsid w:val="6D767A1E"/>
    <w:rsid w:val="6DB14A8F"/>
    <w:rsid w:val="6E0D7A7D"/>
    <w:rsid w:val="6E3A4A84"/>
    <w:rsid w:val="6E4E6FA3"/>
    <w:rsid w:val="6E58511B"/>
    <w:rsid w:val="6E5A16F6"/>
    <w:rsid w:val="6E697118"/>
    <w:rsid w:val="6E6A26C1"/>
    <w:rsid w:val="6E7F06E9"/>
    <w:rsid w:val="6EA128F8"/>
    <w:rsid w:val="6EBE56B6"/>
    <w:rsid w:val="6ECE59E3"/>
    <w:rsid w:val="6EF64194"/>
    <w:rsid w:val="6F080338"/>
    <w:rsid w:val="6F144D83"/>
    <w:rsid w:val="6F272801"/>
    <w:rsid w:val="6F5629B9"/>
    <w:rsid w:val="6F5E7511"/>
    <w:rsid w:val="6FA30CF9"/>
    <w:rsid w:val="6FB27CEA"/>
    <w:rsid w:val="6FBB5014"/>
    <w:rsid w:val="6FDC1B6B"/>
    <w:rsid w:val="6FE15CBC"/>
    <w:rsid w:val="6FF45107"/>
    <w:rsid w:val="6FFD19C5"/>
    <w:rsid w:val="70251B03"/>
    <w:rsid w:val="703D085C"/>
    <w:rsid w:val="703E338B"/>
    <w:rsid w:val="70401E37"/>
    <w:rsid w:val="70496A63"/>
    <w:rsid w:val="70502844"/>
    <w:rsid w:val="70823148"/>
    <w:rsid w:val="708242DD"/>
    <w:rsid w:val="70AA7FD1"/>
    <w:rsid w:val="70BD7BEF"/>
    <w:rsid w:val="70C1148D"/>
    <w:rsid w:val="70CB112E"/>
    <w:rsid w:val="70CF1880"/>
    <w:rsid w:val="70D94AC3"/>
    <w:rsid w:val="70F058CE"/>
    <w:rsid w:val="70F33611"/>
    <w:rsid w:val="70F46ED7"/>
    <w:rsid w:val="70F84783"/>
    <w:rsid w:val="70FD261E"/>
    <w:rsid w:val="71002203"/>
    <w:rsid w:val="710B6746"/>
    <w:rsid w:val="712E4649"/>
    <w:rsid w:val="713734FD"/>
    <w:rsid w:val="71542C06"/>
    <w:rsid w:val="718E6B39"/>
    <w:rsid w:val="718F50E7"/>
    <w:rsid w:val="719321A3"/>
    <w:rsid w:val="71A05A32"/>
    <w:rsid w:val="71A1306D"/>
    <w:rsid w:val="71C07997"/>
    <w:rsid w:val="71EF24BB"/>
    <w:rsid w:val="71F108D3"/>
    <w:rsid w:val="71FC7B32"/>
    <w:rsid w:val="720F514E"/>
    <w:rsid w:val="72254227"/>
    <w:rsid w:val="722C6DDA"/>
    <w:rsid w:val="723D0FE7"/>
    <w:rsid w:val="72451C4A"/>
    <w:rsid w:val="726218A5"/>
    <w:rsid w:val="72853095"/>
    <w:rsid w:val="72A34FCB"/>
    <w:rsid w:val="72D108E2"/>
    <w:rsid w:val="72D111A5"/>
    <w:rsid w:val="72D52F11"/>
    <w:rsid w:val="72DA194E"/>
    <w:rsid w:val="72E1796D"/>
    <w:rsid w:val="72F37AC4"/>
    <w:rsid w:val="72FF03B9"/>
    <w:rsid w:val="730613D9"/>
    <w:rsid w:val="73207BF9"/>
    <w:rsid w:val="73232648"/>
    <w:rsid w:val="7324744F"/>
    <w:rsid w:val="733D6846"/>
    <w:rsid w:val="733E57D1"/>
    <w:rsid w:val="73541F08"/>
    <w:rsid w:val="736907A1"/>
    <w:rsid w:val="736C175E"/>
    <w:rsid w:val="736E0137"/>
    <w:rsid w:val="73735A94"/>
    <w:rsid w:val="739E27B8"/>
    <w:rsid w:val="73A155A6"/>
    <w:rsid w:val="73AE6316"/>
    <w:rsid w:val="73C36C71"/>
    <w:rsid w:val="73C738C9"/>
    <w:rsid w:val="73EC541A"/>
    <w:rsid w:val="73EF6214"/>
    <w:rsid w:val="73F90F3E"/>
    <w:rsid w:val="73FE7F01"/>
    <w:rsid w:val="740B755E"/>
    <w:rsid w:val="74106863"/>
    <w:rsid w:val="741E2752"/>
    <w:rsid w:val="742C30C1"/>
    <w:rsid w:val="742E6CD1"/>
    <w:rsid w:val="743A0D6D"/>
    <w:rsid w:val="743B50B2"/>
    <w:rsid w:val="744321B9"/>
    <w:rsid w:val="745A5E80"/>
    <w:rsid w:val="747147A6"/>
    <w:rsid w:val="748D7E04"/>
    <w:rsid w:val="749D7796"/>
    <w:rsid w:val="74B0081B"/>
    <w:rsid w:val="74DC1E43"/>
    <w:rsid w:val="74F84DA1"/>
    <w:rsid w:val="751714BA"/>
    <w:rsid w:val="75176881"/>
    <w:rsid w:val="757C3BD5"/>
    <w:rsid w:val="7591478C"/>
    <w:rsid w:val="759929D8"/>
    <w:rsid w:val="75B159C4"/>
    <w:rsid w:val="75B20134"/>
    <w:rsid w:val="75C2326C"/>
    <w:rsid w:val="75D92277"/>
    <w:rsid w:val="76054E3F"/>
    <w:rsid w:val="76337DDA"/>
    <w:rsid w:val="763D03DE"/>
    <w:rsid w:val="764A4782"/>
    <w:rsid w:val="764C17F9"/>
    <w:rsid w:val="765D3300"/>
    <w:rsid w:val="768D094A"/>
    <w:rsid w:val="76B93325"/>
    <w:rsid w:val="76C3652E"/>
    <w:rsid w:val="76C45304"/>
    <w:rsid w:val="76D4241C"/>
    <w:rsid w:val="76E41FD6"/>
    <w:rsid w:val="76F144E1"/>
    <w:rsid w:val="7745575F"/>
    <w:rsid w:val="774C293D"/>
    <w:rsid w:val="77543E64"/>
    <w:rsid w:val="77707613"/>
    <w:rsid w:val="77824CF2"/>
    <w:rsid w:val="779331A2"/>
    <w:rsid w:val="7798281C"/>
    <w:rsid w:val="779919FD"/>
    <w:rsid w:val="779D079B"/>
    <w:rsid w:val="779D37F4"/>
    <w:rsid w:val="77A94A29"/>
    <w:rsid w:val="77CD0717"/>
    <w:rsid w:val="77D86B3F"/>
    <w:rsid w:val="77E068D1"/>
    <w:rsid w:val="77F263D0"/>
    <w:rsid w:val="77F71B1A"/>
    <w:rsid w:val="77F9150C"/>
    <w:rsid w:val="78052734"/>
    <w:rsid w:val="781172A5"/>
    <w:rsid w:val="781741F4"/>
    <w:rsid w:val="78340355"/>
    <w:rsid w:val="7845344B"/>
    <w:rsid w:val="787123C6"/>
    <w:rsid w:val="78831703"/>
    <w:rsid w:val="789D641F"/>
    <w:rsid w:val="78A47DD7"/>
    <w:rsid w:val="78C37D6C"/>
    <w:rsid w:val="78EA5C27"/>
    <w:rsid w:val="7904460D"/>
    <w:rsid w:val="7917065B"/>
    <w:rsid w:val="791D2ACC"/>
    <w:rsid w:val="79292630"/>
    <w:rsid w:val="792F641A"/>
    <w:rsid w:val="793547C6"/>
    <w:rsid w:val="793839F8"/>
    <w:rsid w:val="793A0470"/>
    <w:rsid w:val="794E3ADA"/>
    <w:rsid w:val="794F0C6E"/>
    <w:rsid w:val="796B7C36"/>
    <w:rsid w:val="79823784"/>
    <w:rsid w:val="799E363A"/>
    <w:rsid w:val="79AB2CDA"/>
    <w:rsid w:val="79B7167F"/>
    <w:rsid w:val="79E9735F"/>
    <w:rsid w:val="79FD2E0A"/>
    <w:rsid w:val="7A053C48"/>
    <w:rsid w:val="7A0B3181"/>
    <w:rsid w:val="7A2D36EF"/>
    <w:rsid w:val="7A3915CB"/>
    <w:rsid w:val="7A4033C7"/>
    <w:rsid w:val="7A4E4531"/>
    <w:rsid w:val="7A721C65"/>
    <w:rsid w:val="7A734F79"/>
    <w:rsid w:val="7A8263C0"/>
    <w:rsid w:val="7A9A18F0"/>
    <w:rsid w:val="7A9E3F7B"/>
    <w:rsid w:val="7AA313FC"/>
    <w:rsid w:val="7AE31134"/>
    <w:rsid w:val="7B066942"/>
    <w:rsid w:val="7B10602F"/>
    <w:rsid w:val="7B1E33F3"/>
    <w:rsid w:val="7B2A4083"/>
    <w:rsid w:val="7B3960C4"/>
    <w:rsid w:val="7B486307"/>
    <w:rsid w:val="7B8560E6"/>
    <w:rsid w:val="7B980403"/>
    <w:rsid w:val="7BA5150E"/>
    <w:rsid w:val="7BAC63E8"/>
    <w:rsid w:val="7BD2617E"/>
    <w:rsid w:val="7BEB5709"/>
    <w:rsid w:val="7C013085"/>
    <w:rsid w:val="7C181AFA"/>
    <w:rsid w:val="7C1E2717"/>
    <w:rsid w:val="7C1E5277"/>
    <w:rsid w:val="7C273BD8"/>
    <w:rsid w:val="7C2A06F6"/>
    <w:rsid w:val="7C444468"/>
    <w:rsid w:val="7C4D548C"/>
    <w:rsid w:val="7C6C1CC8"/>
    <w:rsid w:val="7C764E2D"/>
    <w:rsid w:val="7C793A46"/>
    <w:rsid w:val="7C8C23E7"/>
    <w:rsid w:val="7C8E0A1C"/>
    <w:rsid w:val="7C911815"/>
    <w:rsid w:val="7C99105E"/>
    <w:rsid w:val="7CA77030"/>
    <w:rsid w:val="7CC46975"/>
    <w:rsid w:val="7CD24305"/>
    <w:rsid w:val="7CD4766C"/>
    <w:rsid w:val="7CEA1D6C"/>
    <w:rsid w:val="7D037E48"/>
    <w:rsid w:val="7D0C7D05"/>
    <w:rsid w:val="7D102DE3"/>
    <w:rsid w:val="7D1E32B0"/>
    <w:rsid w:val="7D650B9A"/>
    <w:rsid w:val="7D686757"/>
    <w:rsid w:val="7D7F6751"/>
    <w:rsid w:val="7D870A88"/>
    <w:rsid w:val="7D9F66B2"/>
    <w:rsid w:val="7DA07D14"/>
    <w:rsid w:val="7DAE20A0"/>
    <w:rsid w:val="7DD01ED4"/>
    <w:rsid w:val="7DD37276"/>
    <w:rsid w:val="7DED1B13"/>
    <w:rsid w:val="7E066BDD"/>
    <w:rsid w:val="7E1F1540"/>
    <w:rsid w:val="7E232311"/>
    <w:rsid w:val="7E237E8B"/>
    <w:rsid w:val="7E3475D6"/>
    <w:rsid w:val="7EA62F43"/>
    <w:rsid w:val="7EA873A0"/>
    <w:rsid w:val="7EAA17B2"/>
    <w:rsid w:val="7EB906C0"/>
    <w:rsid w:val="7EBB576E"/>
    <w:rsid w:val="7EC83511"/>
    <w:rsid w:val="7ECA5427"/>
    <w:rsid w:val="7EEA0189"/>
    <w:rsid w:val="7EEC78D7"/>
    <w:rsid w:val="7F1231D0"/>
    <w:rsid w:val="7F184142"/>
    <w:rsid w:val="7F3F0755"/>
    <w:rsid w:val="7F480AC6"/>
    <w:rsid w:val="7F5820E3"/>
    <w:rsid w:val="7F596D35"/>
    <w:rsid w:val="7F6F5399"/>
    <w:rsid w:val="7F871AF4"/>
    <w:rsid w:val="7FA0721B"/>
    <w:rsid w:val="7FAB75A8"/>
    <w:rsid w:val="7FAE0E2E"/>
    <w:rsid w:val="7FFD66B4"/>
    <w:rsid w:val="AF792B57"/>
    <w:rsid w:val="BFE6E944"/>
    <w:rsid w:val="BFFF021E"/>
    <w:rsid w:val="E7FEF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5">
    <w:name w:val="heading 1"/>
    <w:basedOn w:val="1"/>
    <w:next w:val="1"/>
    <w:link w:val="42"/>
    <w:autoRedefine/>
    <w:qFormat/>
    <w:uiPriority w:val="0"/>
    <w:pPr>
      <w:keepNext/>
      <w:keepLines/>
      <w:spacing w:before="340" w:after="330" w:line="578" w:lineRule="auto"/>
      <w:outlineLvl w:val="0"/>
    </w:pPr>
    <w:rPr>
      <w:b/>
      <w:bCs/>
      <w:kern w:val="44"/>
      <w:sz w:val="32"/>
      <w:szCs w:val="44"/>
    </w:rPr>
  </w:style>
  <w:style w:type="paragraph" w:styleId="6">
    <w:name w:val="heading 2"/>
    <w:basedOn w:val="1"/>
    <w:next w:val="1"/>
    <w:link w:val="40"/>
    <w:autoRedefine/>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autoRedefine/>
    <w:qFormat/>
    <w:uiPriority w:val="0"/>
    <w:pPr>
      <w:keepNext/>
      <w:keepLines/>
      <w:spacing w:before="260" w:after="260" w:line="416" w:lineRule="auto"/>
      <w:outlineLvl w:val="2"/>
    </w:pPr>
    <w:rPr>
      <w:b/>
      <w:bCs/>
      <w:sz w:val="32"/>
      <w:szCs w:val="32"/>
    </w:rPr>
  </w:style>
  <w:style w:type="paragraph" w:styleId="8">
    <w:name w:val="heading 4"/>
    <w:basedOn w:val="1"/>
    <w:next w:val="1"/>
    <w:autoRedefine/>
    <w:qFormat/>
    <w:uiPriority w:val="9"/>
    <w:pPr>
      <w:keepNext/>
      <w:keepLines/>
      <w:spacing w:before="280" w:after="290" w:line="372" w:lineRule="auto"/>
      <w:outlineLvl w:val="3"/>
    </w:pPr>
    <w:rPr>
      <w:rFonts w:ascii="Arial" w:hAnsi="Arial" w:eastAsia="黑体"/>
      <w:b/>
      <w:bCs/>
      <w:sz w:val="28"/>
      <w:szCs w:val="28"/>
    </w:rPr>
  </w:style>
  <w:style w:type="character" w:default="1" w:styleId="35">
    <w:name w:val="Default Paragraph Font"/>
    <w:autoRedefine/>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spacing w:after="120"/>
    </w:pPr>
    <w:rPr>
      <w:sz w:val="28"/>
    </w:rPr>
  </w:style>
  <w:style w:type="paragraph" w:styleId="3">
    <w:name w:val="Body Text First Indent"/>
    <w:basedOn w:val="2"/>
    <w:next w:val="4"/>
    <w:autoRedefine/>
    <w:qFormat/>
    <w:uiPriority w:val="0"/>
    <w:pPr>
      <w:ind w:firstLine="420" w:firstLineChars="100"/>
    </w:pPr>
  </w:style>
  <w:style w:type="paragraph" w:styleId="4">
    <w:name w:val="toc 6"/>
    <w:basedOn w:val="1"/>
    <w:next w:val="1"/>
    <w:qFormat/>
    <w:uiPriority w:val="0"/>
    <w:pPr>
      <w:ind w:left="2100" w:leftChars="1000"/>
    </w:pPr>
    <w:rPr>
      <w:rFonts w:ascii="Times New Roman" w:hAnsi="Times New Roman"/>
    </w:rPr>
  </w:style>
  <w:style w:type="paragraph" w:styleId="9">
    <w:name w:val="Note Heading"/>
    <w:basedOn w:val="1"/>
    <w:next w:val="1"/>
    <w:autoRedefine/>
    <w:qFormat/>
    <w:uiPriority w:val="0"/>
    <w:pPr>
      <w:spacing w:before="20" w:beforeLines="20" w:after="20" w:afterLines="20"/>
      <w:ind w:firstLine="0" w:firstLineChars="0"/>
      <w:jc w:val="center"/>
    </w:pPr>
    <w:rPr>
      <w:rFonts w:eastAsia="黑体" w:cs="Times New Roman"/>
      <w:sz w:val="24"/>
      <w:szCs w:val="22"/>
    </w:rPr>
  </w:style>
  <w:style w:type="paragraph" w:styleId="10">
    <w:name w:val="Normal Indent"/>
    <w:basedOn w:val="1"/>
    <w:link w:val="43"/>
    <w:autoRedefine/>
    <w:qFormat/>
    <w:uiPriority w:val="0"/>
    <w:pPr>
      <w:ind w:firstLine="420"/>
    </w:pPr>
    <w:rPr>
      <w:sz w:val="21"/>
      <w:szCs w:val="20"/>
    </w:rPr>
  </w:style>
  <w:style w:type="paragraph" w:styleId="11">
    <w:name w:val="caption"/>
    <w:basedOn w:val="1"/>
    <w:next w:val="1"/>
    <w:autoRedefine/>
    <w:qFormat/>
    <w:uiPriority w:val="0"/>
    <w:pPr>
      <w:widowControl/>
      <w:spacing w:after="200" w:line="276" w:lineRule="auto"/>
      <w:jc w:val="left"/>
    </w:pPr>
    <w:rPr>
      <w:rFonts w:ascii="Calibri" w:hAnsi="Calibri"/>
      <w:b/>
      <w:bCs/>
      <w:caps/>
      <w:kern w:val="0"/>
      <w:sz w:val="16"/>
      <w:szCs w:val="18"/>
      <w:lang w:eastAsia="en-US" w:bidi="en-US"/>
    </w:rPr>
  </w:style>
  <w:style w:type="paragraph" w:styleId="12">
    <w:name w:val="toa heading"/>
    <w:basedOn w:val="1"/>
    <w:next w:val="1"/>
    <w:autoRedefine/>
    <w:qFormat/>
    <w:uiPriority w:val="0"/>
    <w:pPr>
      <w:spacing w:before="120"/>
    </w:pPr>
    <w:rPr>
      <w:rFonts w:ascii="Arial" w:hAnsi="Arial"/>
    </w:rPr>
  </w:style>
  <w:style w:type="paragraph" w:styleId="13">
    <w:name w:val="annotation text"/>
    <w:basedOn w:val="1"/>
    <w:link w:val="44"/>
    <w:autoRedefine/>
    <w:qFormat/>
    <w:uiPriority w:val="0"/>
    <w:pPr>
      <w:jc w:val="left"/>
    </w:pPr>
    <w:rPr>
      <w:sz w:val="21"/>
    </w:rPr>
  </w:style>
  <w:style w:type="paragraph" w:styleId="14">
    <w:name w:val="Body Text Indent"/>
    <w:basedOn w:val="1"/>
    <w:autoRedefine/>
    <w:qFormat/>
    <w:uiPriority w:val="0"/>
    <w:pPr>
      <w:widowControl/>
      <w:spacing w:before="100" w:beforeAutospacing="1" w:after="100" w:afterAutospacing="1"/>
      <w:jc w:val="left"/>
    </w:pPr>
    <w:rPr>
      <w:rFonts w:ascii="宋体" w:hAnsi="宋体" w:cs="宋体"/>
      <w:kern w:val="0"/>
    </w:rPr>
  </w:style>
  <w:style w:type="paragraph" w:styleId="15">
    <w:name w:val="List Number 3"/>
    <w:basedOn w:val="1"/>
    <w:autoRedefine/>
    <w:qFormat/>
    <w:uiPriority w:val="0"/>
    <w:pPr>
      <w:numPr>
        <w:ilvl w:val="0"/>
        <w:numId w:val="1"/>
      </w:numPr>
    </w:pPr>
  </w:style>
  <w:style w:type="paragraph" w:styleId="16">
    <w:name w:val="Block Text"/>
    <w:basedOn w:val="1"/>
    <w:autoRedefine/>
    <w:qFormat/>
    <w:uiPriority w:val="0"/>
    <w:pPr>
      <w:spacing w:after="120"/>
      <w:ind w:left="1440" w:leftChars="700" w:right="1440" w:rightChars="700"/>
    </w:pPr>
    <w:rPr>
      <w:rFonts w:ascii="time new roman" w:hAnsi="time new roman" w:eastAsia="长城粗隶书" w:cs="Courier New"/>
    </w:rPr>
  </w:style>
  <w:style w:type="paragraph" w:styleId="17">
    <w:name w:val="Plain Text"/>
    <w:basedOn w:val="1"/>
    <w:link w:val="45"/>
    <w:autoRedefine/>
    <w:qFormat/>
    <w:uiPriority w:val="0"/>
    <w:pPr>
      <w:widowControl/>
      <w:spacing w:before="100" w:beforeAutospacing="1" w:after="100" w:afterAutospacing="1"/>
      <w:jc w:val="left"/>
    </w:pPr>
    <w:rPr>
      <w:rFonts w:ascii="宋体" w:hAnsi="宋体"/>
      <w:kern w:val="0"/>
    </w:rPr>
  </w:style>
  <w:style w:type="paragraph" w:styleId="18">
    <w:name w:val="toc 8"/>
    <w:basedOn w:val="1"/>
    <w:next w:val="1"/>
    <w:autoRedefine/>
    <w:qFormat/>
    <w:uiPriority w:val="0"/>
    <w:pPr>
      <w:ind w:left="1400" w:leftChars="1400"/>
    </w:pPr>
  </w:style>
  <w:style w:type="paragraph" w:styleId="19">
    <w:name w:val="Date"/>
    <w:basedOn w:val="1"/>
    <w:next w:val="1"/>
    <w:link w:val="46"/>
    <w:autoRedefine/>
    <w:qFormat/>
    <w:uiPriority w:val="0"/>
    <w:pPr>
      <w:widowControl/>
      <w:spacing w:before="100" w:beforeAutospacing="1" w:after="100" w:afterAutospacing="1"/>
      <w:jc w:val="left"/>
    </w:pPr>
    <w:rPr>
      <w:rFonts w:ascii="宋体" w:hAnsi="宋体"/>
      <w:kern w:val="0"/>
    </w:rPr>
  </w:style>
  <w:style w:type="paragraph" w:styleId="20">
    <w:name w:val="Body Text Indent 2"/>
    <w:basedOn w:val="1"/>
    <w:link w:val="47"/>
    <w:autoRedefine/>
    <w:qFormat/>
    <w:uiPriority w:val="0"/>
    <w:pPr>
      <w:spacing w:after="120" w:line="480" w:lineRule="auto"/>
      <w:ind w:left="420" w:leftChars="200"/>
    </w:pPr>
    <w:rPr>
      <w:sz w:val="21"/>
    </w:rPr>
  </w:style>
  <w:style w:type="paragraph" w:styleId="21">
    <w:name w:val="Balloon Text"/>
    <w:basedOn w:val="1"/>
    <w:autoRedefine/>
    <w:semiHidden/>
    <w:qFormat/>
    <w:uiPriority w:val="0"/>
    <w:rPr>
      <w:sz w:val="18"/>
      <w:szCs w:val="18"/>
    </w:rPr>
  </w:style>
  <w:style w:type="paragraph" w:styleId="22">
    <w:name w:val="footer"/>
    <w:basedOn w:val="1"/>
    <w:link w:val="48"/>
    <w:autoRedefine/>
    <w:qFormat/>
    <w:uiPriority w:val="99"/>
    <w:pPr>
      <w:tabs>
        <w:tab w:val="center" w:pos="4153"/>
        <w:tab w:val="right" w:pos="8306"/>
      </w:tabs>
      <w:snapToGrid w:val="0"/>
      <w:jc w:val="left"/>
    </w:pPr>
    <w:rPr>
      <w:sz w:val="18"/>
      <w:szCs w:val="18"/>
    </w:rPr>
  </w:style>
  <w:style w:type="paragraph" w:styleId="23">
    <w:name w:val="header"/>
    <w:basedOn w:val="1"/>
    <w:link w:val="49"/>
    <w:autoRedefine/>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qFormat/>
    <w:uiPriority w:val="0"/>
    <w:pPr>
      <w:tabs>
        <w:tab w:val="right" w:leader="dot" w:pos="8494"/>
      </w:tabs>
    </w:pPr>
    <w:rPr>
      <w:rFonts w:ascii="宋体" w:hAnsi="宋体"/>
      <w:sz w:val="32"/>
    </w:rPr>
  </w:style>
  <w:style w:type="paragraph" w:styleId="25">
    <w:name w:val="List"/>
    <w:basedOn w:val="1"/>
    <w:autoRedefine/>
    <w:qFormat/>
    <w:uiPriority w:val="0"/>
    <w:pPr>
      <w:ind w:left="200" w:hanging="200" w:hangingChars="200"/>
    </w:pPr>
    <w:rPr>
      <w:rFonts w:ascii="Calibri" w:hAnsi="Calibri"/>
      <w:szCs w:val="22"/>
    </w:rPr>
  </w:style>
  <w:style w:type="paragraph" w:styleId="26">
    <w:name w:val="footnote text"/>
    <w:basedOn w:val="1"/>
    <w:autoRedefine/>
    <w:qFormat/>
    <w:uiPriority w:val="99"/>
    <w:pPr>
      <w:snapToGrid w:val="0"/>
      <w:jc w:val="left"/>
    </w:pPr>
    <w:rPr>
      <w:sz w:val="18"/>
    </w:rPr>
  </w:style>
  <w:style w:type="paragraph" w:styleId="27">
    <w:name w:val="Body Text Indent 3"/>
    <w:basedOn w:val="1"/>
    <w:link w:val="50"/>
    <w:autoRedefine/>
    <w:qFormat/>
    <w:uiPriority w:val="0"/>
    <w:pPr>
      <w:spacing w:after="120"/>
      <w:ind w:left="420" w:leftChars="200"/>
    </w:pPr>
    <w:rPr>
      <w:kern w:val="0"/>
      <w:sz w:val="16"/>
      <w:szCs w:val="16"/>
    </w:rPr>
  </w:style>
  <w:style w:type="paragraph" w:styleId="28">
    <w:name w:val="toc 2"/>
    <w:basedOn w:val="1"/>
    <w:next w:val="1"/>
    <w:autoRedefine/>
    <w:qFormat/>
    <w:uiPriority w:val="0"/>
    <w:pPr>
      <w:tabs>
        <w:tab w:val="right" w:leader="dot" w:pos="8494"/>
      </w:tabs>
    </w:pPr>
    <w:rPr>
      <w:sz w:val="30"/>
    </w:rPr>
  </w:style>
  <w:style w:type="paragraph" w:styleId="29">
    <w:name w:val="Normal (Web)"/>
    <w:basedOn w:val="1"/>
    <w:autoRedefine/>
    <w:qFormat/>
    <w:uiPriority w:val="0"/>
    <w:pPr>
      <w:spacing w:before="100" w:beforeAutospacing="1" w:after="100" w:afterAutospacing="1"/>
    </w:pPr>
    <w:rPr>
      <w:rFonts w:ascii="Arial Unicode MS" w:hAnsi="Arial Unicode MS" w:eastAsia="Times New Roman"/>
      <w:color w:val="000000"/>
    </w:rPr>
  </w:style>
  <w:style w:type="paragraph" w:styleId="30">
    <w:name w:val="Title"/>
    <w:basedOn w:val="1"/>
    <w:next w:val="1"/>
    <w:autoRedefine/>
    <w:qFormat/>
    <w:uiPriority w:val="0"/>
    <w:pPr>
      <w:pBdr>
        <w:top w:val="single" w:color="A7BFDE" w:sz="8" w:space="10"/>
        <w:bottom w:val="single" w:color="9BBB59" w:sz="24" w:space="15"/>
      </w:pBdr>
      <w:jc w:val="center"/>
    </w:pPr>
    <w:rPr>
      <w:rFonts w:ascii="宋体" w:hAnsi="Courier New" w:cs="Courier New"/>
      <w:szCs w:val="21"/>
    </w:rPr>
  </w:style>
  <w:style w:type="paragraph" w:styleId="31">
    <w:name w:val="annotation subject"/>
    <w:basedOn w:val="13"/>
    <w:next w:val="13"/>
    <w:link w:val="51"/>
    <w:autoRedefine/>
    <w:qFormat/>
    <w:uiPriority w:val="0"/>
    <w:rPr>
      <w:b/>
      <w:bCs/>
    </w:rPr>
  </w:style>
  <w:style w:type="paragraph" w:styleId="32">
    <w:name w:val="Body Text First Indent 2"/>
    <w:basedOn w:val="14"/>
    <w:autoRedefine/>
    <w:qFormat/>
    <w:uiPriority w:val="0"/>
    <w:pPr>
      <w:ind w:firstLine="420" w:firstLineChars="200"/>
    </w:pPr>
    <w:rPr>
      <w:sz w:val="28"/>
    </w:rPr>
  </w:style>
  <w:style w:type="table" w:styleId="34">
    <w:name w:val="Table Grid"/>
    <w:basedOn w:val="3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autoRedefine/>
    <w:qFormat/>
    <w:uiPriority w:val="0"/>
    <w:rPr>
      <w:b/>
      <w:bCs/>
    </w:rPr>
  </w:style>
  <w:style w:type="character" w:styleId="37">
    <w:name w:val="Hyperlink"/>
    <w:autoRedefine/>
    <w:qFormat/>
    <w:uiPriority w:val="0"/>
    <w:rPr>
      <w:color w:val="0000FF"/>
      <w:u w:val="single"/>
    </w:rPr>
  </w:style>
  <w:style w:type="character" w:styleId="38">
    <w:name w:val="annotation reference"/>
    <w:autoRedefine/>
    <w:qFormat/>
    <w:uiPriority w:val="0"/>
    <w:rPr>
      <w:sz w:val="21"/>
      <w:szCs w:val="21"/>
    </w:rPr>
  </w:style>
  <w:style w:type="paragraph" w:customStyle="1" w:styleId="39">
    <w:name w:val="表格文字"/>
    <w:basedOn w:val="17"/>
    <w:next w:val="2"/>
    <w:autoRedefine/>
    <w:qFormat/>
    <w:uiPriority w:val="0"/>
    <w:pPr>
      <w:adjustRightInd w:val="0"/>
      <w:spacing w:line="420" w:lineRule="atLeast"/>
    </w:pPr>
  </w:style>
  <w:style w:type="character" w:customStyle="1" w:styleId="40">
    <w:name w:val="标题 2 字符"/>
    <w:link w:val="6"/>
    <w:autoRedefine/>
    <w:qFormat/>
    <w:uiPriority w:val="0"/>
    <w:rPr>
      <w:rFonts w:ascii="Arial" w:hAnsi="Arial" w:eastAsia="黑体"/>
      <w:b/>
      <w:bCs/>
      <w:kern w:val="2"/>
      <w:sz w:val="32"/>
      <w:szCs w:val="32"/>
    </w:rPr>
  </w:style>
  <w:style w:type="paragraph" w:customStyle="1" w:styleId="41">
    <w:name w:val="密级编号"/>
    <w:basedOn w:val="1"/>
    <w:autoRedefine/>
    <w:qFormat/>
    <w:uiPriority w:val="0"/>
    <w:pPr>
      <w:jc w:val="center"/>
    </w:pPr>
    <w:rPr>
      <w:rFonts w:ascii="仿宋_GB2312" w:eastAsia="仿宋_GB2312"/>
    </w:rPr>
  </w:style>
  <w:style w:type="character" w:customStyle="1" w:styleId="42">
    <w:name w:val="标题 1 字符"/>
    <w:link w:val="5"/>
    <w:autoRedefine/>
    <w:qFormat/>
    <w:uiPriority w:val="0"/>
    <w:rPr>
      <w:rFonts w:ascii="Times New Roman" w:hAnsi="Times New Roman" w:eastAsia="宋体"/>
      <w:b/>
      <w:bCs/>
      <w:kern w:val="44"/>
      <w:sz w:val="32"/>
      <w:szCs w:val="44"/>
    </w:rPr>
  </w:style>
  <w:style w:type="character" w:customStyle="1" w:styleId="43">
    <w:name w:val="正文缩进 字符"/>
    <w:link w:val="10"/>
    <w:autoRedefine/>
    <w:qFormat/>
    <w:uiPriority w:val="0"/>
    <w:rPr>
      <w:kern w:val="2"/>
      <w:sz w:val="21"/>
    </w:rPr>
  </w:style>
  <w:style w:type="character" w:customStyle="1" w:styleId="44">
    <w:name w:val="批注文字 字符"/>
    <w:link w:val="13"/>
    <w:autoRedefine/>
    <w:qFormat/>
    <w:uiPriority w:val="0"/>
    <w:rPr>
      <w:kern w:val="2"/>
      <w:sz w:val="21"/>
      <w:szCs w:val="24"/>
    </w:rPr>
  </w:style>
  <w:style w:type="character" w:customStyle="1" w:styleId="45">
    <w:name w:val="纯文本 字符"/>
    <w:link w:val="17"/>
    <w:autoRedefine/>
    <w:qFormat/>
    <w:uiPriority w:val="0"/>
    <w:rPr>
      <w:rFonts w:ascii="宋体" w:hAnsi="宋体" w:cs="宋体"/>
      <w:sz w:val="24"/>
      <w:szCs w:val="24"/>
    </w:rPr>
  </w:style>
  <w:style w:type="character" w:customStyle="1" w:styleId="46">
    <w:name w:val="日期 字符"/>
    <w:link w:val="19"/>
    <w:autoRedefine/>
    <w:qFormat/>
    <w:uiPriority w:val="0"/>
    <w:rPr>
      <w:rFonts w:ascii="宋体" w:hAnsi="宋体" w:cs="宋体"/>
      <w:sz w:val="24"/>
      <w:szCs w:val="24"/>
    </w:rPr>
  </w:style>
  <w:style w:type="character" w:customStyle="1" w:styleId="47">
    <w:name w:val="正文文本缩进 2 字符"/>
    <w:link w:val="20"/>
    <w:autoRedefine/>
    <w:qFormat/>
    <w:uiPriority w:val="0"/>
    <w:rPr>
      <w:kern w:val="2"/>
      <w:sz w:val="21"/>
      <w:szCs w:val="24"/>
    </w:rPr>
  </w:style>
  <w:style w:type="character" w:customStyle="1" w:styleId="48">
    <w:name w:val="页脚 字符"/>
    <w:link w:val="22"/>
    <w:autoRedefine/>
    <w:qFormat/>
    <w:uiPriority w:val="99"/>
    <w:rPr>
      <w:kern w:val="2"/>
      <w:sz w:val="18"/>
      <w:szCs w:val="18"/>
    </w:rPr>
  </w:style>
  <w:style w:type="character" w:customStyle="1" w:styleId="49">
    <w:name w:val="页眉 字符"/>
    <w:link w:val="23"/>
    <w:autoRedefine/>
    <w:qFormat/>
    <w:uiPriority w:val="99"/>
    <w:rPr>
      <w:kern w:val="2"/>
      <w:sz w:val="18"/>
      <w:szCs w:val="18"/>
    </w:rPr>
  </w:style>
  <w:style w:type="character" w:customStyle="1" w:styleId="50">
    <w:name w:val="正文文本缩进 3 字符"/>
    <w:link w:val="27"/>
    <w:autoRedefine/>
    <w:qFormat/>
    <w:uiPriority w:val="0"/>
    <w:rPr>
      <w:sz w:val="16"/>
      <w:szCs w:val="16"/>
    </w:rPr>
  </w:style>
  <w:style w:type="character" w:customStyle="1" w:styleId="51">
    <w:name w:val="批注主题 字符"/>
    <w:link w:val="31"/>
    <w:autoRedefine/>
    <w:qFormat/>
    <w:uiPriority w:val="0"/>
    <w:rPr>
      <w:b/>
      <w:bCs/>
      <w:kern w:val="2"/>
      <w:sz w:val="21"/>
      <w:szCs w:val="24"/>
    </w:rPr>
  </w:style>
  <w:style w:type="paragraph" w:customStyle="1" w:styleId="52">
    <w:name w:val="章正文"/>
    <w:basedOn w:val="1"/>
    <w:autoRedefine/>
    <w:qFormat/>
    <w:uiPriority w:val="0"/>
    <w:pPr>
      <w:spacing w:beforeLines="50" w:after="120" w:line="300" w:lineRule="auto"/>
      <w:ind w:firstLine="480"/>
    </w:pPr>
    <w:rPr>
      <w:rFonts w:ascii="Helvetica" w:hAnsi="Helvetica"/>
      <w:kern w:val="0"/>
    </w:rPr>
  </w:style>
  <w:style w:type="character" w:customStyle="1" w:styleId="53">
    <w:name w:val="无间隔 字符"/>
    <w:link w:val="54"/>
    <w:autoRedefine/>
    <w:qFormat/>
    <w:uiPriority w:val="1"/>
    <w:rPr>
      <w:sz w:val="22"/>
      <w:szCs w:val="22"/>
      <w:lang w:val="en-US" w:eastAsia="zh-CN" w:bidi="ar-SA"/>
    </w:rPr>
  </w:style>
  <w:style w:type="paragraph" w:styleId="54">
    <w:name w:val="No Spacing"/>
    <w:link w:val="53"/>
    <w:autoRedefine/>
    <w:qFormat/>
    <w:uiPriority w:val="1"/>
    <w:rPr>
      <w:rFonts w:ascii="Times New Roman" w:hAnsi="Times New Roman" w:eastAsia="宋体" w:cs="Times New Roman"/>
      <w:sz w:val="22"/>
      <w:szCs w:val="22"/>
      <w:lang w:val="en-US" w:eastAsia="zh-CN" w:bidi="ar-SA"/>
    </w:rPr>
  </w:style>
  <w:style w:type="character" w:customStyle="1" w:styleId="55">
    <w:name w:val="标题1 Char"/>
    <w:link w:val="56"/>
    <w:autoRedefine/>
    <w:qFormat/>
    <w:uiPriority w:val="0"/>
    <w:rPr>
      <w:rFonts w:ascii="宋体" w:hAnsi="Courier New"/>
      <w:b/>
      <w:sz w:val="30"/>
      <w:szCs w:val="21"/>
    </w:rPr>
  </w:style>
  <w:style w:type="paragraph" w:customStyle="1" w:styleId="56">
    <w:name w:val="标题1"/>
    <w:basedOn w:val="1"/>
    <w:link w:val="55"/>
    <w:autoRedefine/>
    <w:qFormat/>
    <w:uiPriority w:val="0"/>
    <w:pPr>
      <w:spacing w:line="360" w:lineRule="auto"/>
    </w:pPr>
    <w:rPr>
      <w:rFonts w:ascii="宋体" w:hAnsi="Courier New"/>
      <w:b/>
      <w:kern w:val="0"/>
      <w:sz w:val="30"/>
      <w:szCs w:val="21"/>
    </w:rPr>
  </w:style>
  <w:style w:type="character" w:customStyle="1" w:styleId="57">
    <w:name w:val="纯文本 Char1"/>
    <w:autoRedefine/>
    <w:qFormat/>
    <w:uiPriority w:val="0"/>
    <w:rPr>
      <w:rFonts w:ascii="宋体" w:hAnsi="Courier New" w:eastAsia="宋体"/>
      <w:kern w:val="2"/>
      <w:sz w:val="24"/>
      <w:szCs w:val="24"/>
      <w:lang w:val="en-US" w:eastAsia="zh-CN" w:bidi="ar-SA"/>
    </w:rPr>
  </w:style>
  <w:style w:type="character" w:customStyle="1" w:styleId="58">
    <w:name w:val="正文文本缩进 3 Char1"/>
    <w:autoRedefine/>
    <w:qFormat/>
    <w:uiPriority w:val="0"/>
    <w:rPr>
      <w:kern w:val="2"/>
      <w:sz w:val="16"/>
      <w:szCs w:val="16"/>
    </w:rPr>
  </w:style>
  <w:style w:type="paragraph" w:customStyle="1" w:styleId="59">
    <w:name w:val="List Paragraph1"/>
    <w:basedOn w:val="1"/>
    <w:autoRedefine/>
    <w:qFormat/>
    <w:uiPriority w:val="0"/>
    <w:pPr>
      <w:widowControl/>
      <w:spacing w:after="200" w:line="276" w:lineRule="auto"/>
      <w:ind w:firstLine="420" w:firstLineChars="200"/>
      <w:jc w:val="left"/>
    </w:pPr>
    <w:rPr>
      <w:kern w:val="0"/>
      <w:sz w:val="22"/>
      <w:szCs w:val="22"/>
      <w:lang w:eastAsia="en-US" w:bidi="en-US"/>
    </w:rPr>
  </w:style>
  <w:style w:type="paragraph" w:customStyle="1" w:styleId="60">
    <w:name w:val="Char Char Char"/>
    <w:basedOn w:val="1"/>
    <w:autoRedefine/>
    <w:qFormat/>
    <w:uiPriority w:val="0"/>
    <w:rPr>
      <w:rFonts w:ascii="Tahoma" w:hAnsi="Tahoma"/>
      <w:szCs w:val="20"/>
    </w:rPr>
  </w:style>
  <w:style w:type="paragraph" w:customStyle="1" w:styleId="61">
    <w:name w:val="首行缩进"/>
    <w:basedOn w:val="1"/>
    <w:autoRedefine/>
    <w:qFormat/>
    <w:uiPriority w:val="0"/>
    <w:pPr>
      <w:spacing w:line="360" w:lineRule="auto"/>
      <w:ind w:firstLine="480" w:firstLineChars="200"/>
    </w:pPr>
    <w:rPr>
      <w:lang w:val="zh-CN"/>
    </w:rPr>
  </w:style>
  <w:style w:type="paragraph" w:customStyle="1" w:styleId="62">
    <w:name w:val="纯文本1"/>
    <w:basedOn w:val="1"/>
    <w:autoRedefine/>
    <w:qFormat/>
    <w:uiPriority w:val="0"/>
    <w:pPr>
      <w:widowControl/>
      <w:adjustRightInd w:val="0"/>
      <w:jc w:val="left"/>
    </w:pPr>
    <w:rPr>
      <w:rFonts w:ascii="宋体" w:hAnsi="Courier New" w:eastAsia="楷体_GB2312"/>
      <w:kern w:val="0"/>
      <w:sz w:val="26"/>
      <w:szCs w:val="20"/>
    </w:rPr>
  </w:style>
  <w:style w:type="paragraph" w:customStyle="1" w:styleId="63">
    <w:name w:val="Normal Indent1"/>
    <w:basedOn w:val="1"/>
    <w:autoRedefine/>
    <w:qFormat/>
    <w:uiPriority w:val="0"/>
    <w:pPr>
      <w:ind w:firstLine="420" w:firstLineChars="200"/>
    </w:pPr>
  </w:style>
  <w:style w:type="paragraph" w:customStyle="1" w:styleId="64">
    <w:name w:val="段"/>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65">
    <w:name w:val="reader-word-layer"/>
    <w:basedOn w:val="1"/>
    <w:autoRedefine/>
    <w:qFormat/>
    <w:uiPriority w:val="0"/>
    <w:pPr>
      <w:widowControl/>
      <w:spacing w:before="100" w:beforeAutospacing="1" w:after="100" w:afterAutospacing="1"/>
      <w:jc w:val="left"/>
    </w:pPr>
    <w:rPr>
      <w:rFonts w:ascii="宋体" w:hAnsi="宋体" w:cs="宋体"/>
      <w:kern w:val="0"/>
    </w:rPr>
  </w:style>
  <w:style w:type="paragraph" w:styleId="66">
    <w:name w:val="List Paragraph"/>
    <w:basedOn w:val="1"/>
    <w:autoRedefine/>
    <w:qFormat/>
    <w:uiPriority w:val="34"/>
    <w:pPr>
      <w:ind w:firstLine="420" w:firstLineChars="200"/>
    </w:pPr>
  </w:style>
  <w:style w:type="paragraph" w:customStyle="1" w:styleId="67">
    <w:name w:val="_Style 1"/>
    <w:autoRedefine/>
    <w:qFormat/>
    <w:uiPriority w:val="0"/>
    <w:rPr>
      <w:rFonts w:ascii="Times New Roman" w:hAnsi="Times New Roman" w:eastAsia="宋体" w:cs="Times New Roman"/>
      <w:kern w:val="2"/>
      <w:sz w:val="28"/>
      <w:szCs w:val="22"/>
      <w:lang w:val="en-US" w:eastAsia="zh-CN" w:bidi="ar-SA"/>
    </w:rPr>
  </w:style>
  <w:style w:type="paragraph" w:customStyle="1" w:styleId="68">
    <w:name w:val="p0"/>
    <w:basedOn w:val="1"/>
    <w:autoRedefine/>
    <w:qFormat/>
    <w:uiPriority w:val="99"/>
    <w:pPr>
      <w:widowControl/>
    </w:pPr>
    <w:rPr>
      <w:kern w:val="0"/>
      <w:sz w:val="28"/>
      <w:szCs w:val="28"/>
    </w:rPr>
  </w:style>
  <w:style w:type="paragraph" w:customStyle="1" w:styleId="69">
    <w:name w:val="中等深浅网格 1 - 强调文字颜色 21"/>
    <w:basedOn w:val="1"/>
    <w:autoRedefine/>
    <w:qFormat/>
    <w:uiPriority w:val="0"/>
    <w:pPr>
      <w:spacing w:line="360" w:lineRule="auto"/>
      <w:ind w:firstLine="420" w:firstLineChars="200"/>
    </w:pPr>
    <w:rPr>
      <w:kern w:val="0"/>
      <w:sz w:val="34"/>
      <w:szCs w:val="20"/>
    </w:rPr>
  </w:style>
  <w:style w:type="paragraph" w:customStyle="1" w:styleId="70">
    <w:name w:val="正文 A"/>
    <w:autoRedefine/>
    <w:qFormat/>
    <w:uiPriority w:val="0"/>
    <w:pPr>
      <w:widowControl w:val="0"/>
      <w:jc w:val="both"/>
    </w:pPr>
    <w:rPr>
      <w:rFonts w:ascii="宋体" w:hAnsi="宋体" w:eastAsia="宋体" w:cs="宋体"/>
      <w:color w:val="000000"/>
      <w:kern w:val="2"/>
      <w:sz w:val="21"/>
      <w:szCs w:val="21"/>
      <w:u w:color="000000"/>
      <w:lang w:val="en-US" w:eastAsia="zh-CN" w:bidi="ar-SA"/>
    </w:rPr>
  </w:style>
  <w:style w:type="character" w:customStyle="1" w:styleId="71">
    <w:name w:val="Hyperlink.3"/>
    <w:autoRedefine/>
    <w:qFormat/>
    <w:uiPriority w:val="0"/>
    <w:rPr>
      <w:rFonts w:ascii="Times New Roman" w:hAnsi="Times New Roman" w:eastAsia="宋体" w:cs="Times New Roman"/>
      <w:lang w:val="zh-TW" w:eastAsia="zh-TW"/>
    </w:rPr>
  </w:style>
  <w:style w:type="character" w:customStyle="1" w:styleId="72">
    <w:name w:val="无"/>
    <w:autoRedefine/>
    <w:qFormat/>
    <w:uiPriority w:val="0"/>
    <w:rPr>
      <w:rFonts w:ascii="Times New Roman" w:hAnsi="Times New Roman" w:eastAsia="宋体" w:cs="Times New Roman"/>
    </w:rPr>
  </w:style>
  <w:style w:type="paragraph" w:customStyle="1" w:styleId="73">
    <w:name w:val="_Style 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4">
    <w:name w:val="reader-word-layer reader-word-s1-16"/>
    <w:basedOn w:val="1"/>
    <w:autoRedefine/>
    <w:qFormat/>
    <w:uiPriority w:val="0"/>
    <w:pPr>
      <w:widowControl/>
      <w:autoSpaceDE w:val="0"/>
      <w:autoSpaceDN w:val="0"/>
      <w:adjustRightInd w:val="0"/>
      <w:spacing w:before="100" w:beforeAutospacing="1" w:after="100" w:afterAutospacing="1"/>
      <w:jc w:val="left"/>
    </w:pPr>
    <w:rPr>
      <w:rFonts w:ascii="宋体" w:hAnsi="宋体" w:eastAsia="等线" w:cs="宋体"/>
      <w:color w:val="000000"/>
      <w:kern w:val="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39</Pages>
  <Words>10594</Words>
  <Characters>10934</Characters>
  <Lines>259</Lines>
  <Paragraphs>73</Paragraphs>
  <TotalTime>4</TotalTime>
  <ScaleCrop>false</ScaleCrop>
  <LinksUpToDate>false</LinksUpToDate>
  <CharactersWithSpaces>11527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2023-08-11T03:47:00Z</dcterms:created>
  <dc:creator>庞诗文</dc:creator>
  <cp:lastModifiedBy>歆</cp:lastModifiedBy>
  <dcterms:modified xsi:type="dcterms:W3CDTF">2025-06-18T01:50:44Z</dcterms:modified>
  <dc:title>南宁市政府集中采购中心政府采购项目委托办理须知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152ECCF9C26D428597F2426A931B2B2D_13</vt:lpwstr>
  </property>
  <property fmtid="{D5CDD505-2E9C-101B-9397-08002B2CF9AE}" pid="4" name="KSOTemplateDocerSaveRecord">
    <vt:lpwstr>eyJoZGlkIjoiNGMyYzQ1NzdmYzViNjc2MjliZjRiMDFiODMwODc5YzYiLCJ1c2VySWQiOiI0NTgzMTczODMifQ==</vt:lpwstr>
  </property>
</Properties>
</file>