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ED0E2">
      <w:pPr>
        <w:jc w:val="center"/>
        <w:rPr>
          <w:rFonts w:ascii="宋体" w:hAnsi="宋体"/>
          <w:color w:val="auto"/>
          <w:sz w:val="84"/>
          <w:szCs w:val="84"/>
          <w:highlight w:val="none"/>
        </w:rPr>
      </w:pPr>
      <w:bookmarkStart w:id="0" w:name="_Toc97372564"/>
      <w:r>
        <w:rPr>
          <w:rFonts w:hint="eastAsia" w:ascii="宋体" w:hAnsi="宋体"/>
          <w:color w:val="auto"/>
          <w:sz w:val="84"/>
          <w:szCs w:val="84"/>
          <w:highlight w:val="none"/>
        </w:rPr>
        <w:t>国内采购文件</w:t>
      </w:r>
    </w:p>
    <w:p w14:paraId="5BC5150B">
      <w:pPr>
        <w:rPr>
          <w:rFonts w:ascii="宋体" w:hAnsi="宋体"/>
          <w:color w:val="auto"/>
          <w:highlight w:val="none"/>
        </w:rPr>
      </w:pPr>
    </w:p>
    <w:p w14:paraId="5000A7E2">
      <w:pPr>
        <w:rPr>
          <w:rFonts w:ascii="宋体" w:hAnsi="宋体"/>
          <w:color w:val="auto"/>
          <w:highlight w:val="none"/>
        </w:rPr>
      </w:pPr>
    </w:p>
    <w:p w14:paraId="30CCCE16">
      <w:pPr>
        <w:rPr>
          <w:rFonts w:ascii="宋体" w:hAnsi="宋体"/>
          <w:color w:val="auto"/>
          <w:highlight w:val="none"/>
        </w:rPr>
      </w:pPr>
    </w:p>
    <w:p w14:paraId="2798930B">
      <w:pPr>
        <w:rPr>
          <w:rFonts w:ascii="宋体" w:hAnsi="宋体"/>
          <w:color w:val="auto"/>
          <w:highlight w:val="none"/>
        </w:rPr>
      </w:pPr>
    </w:p>
    <w:p w14:paraId="06B429B0">
      <w:pPr>
        <w:rPr>
          <w:rFonts w:ascii="宋体" w:hAnsi="宋体"/>
          <w:color w:val="auto"/>
          <w:highlight w:val="none"/>
        </w:rPr>
      </w:pPr>
    </w:p>
    <w:p w14:paraId="36DD2BCA">
      <w:pPr>
        <w:rPr>
          <w:rFonts w:ascii="宋体" w:hAnsi="宋体"/>
          <w:color w:val="auto"/>
          <w:highlight w:val="none"/>
        </w:rPr>
      </w:pPr>
    </w:p>
    <w:p w14:paraId="778FFAC1">
      <w:pPr>
        <w:rPr>
          <w:rFonts w:ascii="宋体" w:hAnsi="宋体"/>
          <w:color w:val="auto"/>
          <w:highlight w:val="none"/>
        </w:rPr>
      </w:pPr>
    </w:p>
    <w:p w14:paraId="63F16077">
      <w:pPr>
        <w:rPr>
          <w:rFonts w:ascii="宋体" w:hAnsi="宋体"/>
          <w:color w:val="auto"/>
          <w:highlight w:val="none"/>
        </w:rPr>
      </w:pPr>
    </w:p>
    <w:p w14:paraId="0DE56BE9">
      <w:pPr>
        <w:jc w:val="center"/>
        <w:rPr>
          <w:rFonts w:hint="eastAsia" w:ascii="宋体" w:hAnsi="宋体" w:eastAsia="宋体" w:cs="宋体"/>
          <w:bCs/>
          <w:color w:val="auto"/>
          <w:spacing w:val="-20"/>
          <w:position w:val="-6"/>
          <w:sz w:val="48"/>
          <w:szCs w:val="48"/>
          <w:highlight w:val="none"/>
          <w:lang w:eastAsia="zh-CN"/>
        </w:rPr>
      </w:pPr>
      <w:r>
        <w:rPr>
          <w:rFonts w:hint="eastAsia" w:ascii="宋体" w:hAnsi="宋体" w:cs="宋体"/>
          <w:bCs/>
          <w:color w:val="auto"/>
          <w:spacing w:val="-20"/>
          <w:position w:val="-6"/>
          <w:sz w:val="48"/>
          <w:szCs w:val="48"/>
          <w:highlight w:val="none"/>
          <w:lang w:eastAsia="zh-CN"/>
        </w:rPr>
        <w:t>2025年度宁海县下洋涂区域联农共富项目（三号、八号地块）</w:t>
      </w:r>
    </w:p>
    <w:p w14:paraId="2BAE4014">
      <w:pPr>
        <w:rPr>
          <w:rFonts w:ascii="方正小标宋简体" w:eastAsia="方正小标宋简体"/>
          <w:color w:val="auto"/>
          <w:sz w:val="44"/>
          <w:szCs w:val="44"/>
          <w:highlight w:val="none"/>
        </w:rPr>
      </w:pPr>
    </w:p>
    <w:p w14:paraId="44F6FF50">
      <w:pPr>
        <w:jc w:val="center"/>
        <w:rPr>
          <w:rFonts w:ascii="宋体" w:hAnsi="宋体"/>
          <w:color w:val="auto"/>
          <w:sz w:val="32"/>
          <w:szCs w:val="32"/>
          <w:highlight w:val="none"/>
        </w:rPr>
      </w:pPr>
    </w:p>
    <w:p w14:paraId="795570BB">
      <w:pPr>
        <w:jc w:val="center"/>
        <w:rPr>
          <w:rFonts w:hint="eastAsia" w:ascii="宋体" w:hAnsi="宋体" w:eastAsia="宋体" w:cs="宋体"/>
          <w:color w:val="auto"/>
          <w:sz w:val="32"/>
          <w:highlight w:val="none"/>
          <w:lang w:eastAsia="zh-CN"/>
        </w:rPr>
      </w:pPr>
      <w:r>
        <w:rPr>
          <w:rFonts w:hint="eastAsia" w:ascii="宋体" w:hAnsi="宋体" w:cs="宋体"/>
          <w:color w:val="auto"/>
          <w:sz w:val="32"/>
          <w:highlight w:val="none"/>
          <w:lang w:eastAsia="zh-CN"/>
        </w:rPr>
        <w:t>ZGZB-NHCG2025055</w:t>
      </w:r>
    </w:p>
    <w:p w14:paraId="0DEAFD93">
      <w:pPr>
        <w:rPr>
          <w:rFonts w:ascii="方正小标宋简体" w:eastAsia="方正小标宋简体"/>
          <w:color w:val="auto"/>
          <w:sz w:val="24"/>
          <w:highlight w:val="none"/>
        </w:rPr>
      </w:pPr>
    </w:p>
    <w:p w14:paraId="44716027">
      <w:pPr>
        <w:rPr>
          <w:rFonts w:ascii="方正小标宋简体" w:eastAsia="方正小标宋简体"/>
          <w:color w:val="auto"/>
          <w:sz w:val="24"/>
          <w:highlight w:val="none"/>
        </w:rPr>
      </w:pPr>
    </w:p>
    <w:p w14:paraId="78267894">
      <w:pPr>
        <w:rPr>
          <w:rFonts w:ascii="方正小标宋简体" w:eastAsia="方正小标宋简体"/>
          <w:color w:val="auto"/>
          <w:sz w:val="24"/>
          <w:highlight w:val="none"/>
        </w:rPr>
      </w:pPr>
    </w:p>
    <w:p w14:paraId="1131269F">
      <w:pPr>
        <w:rPr>
          <w:rFonts w:ascii="方正小标宋简体" w:eastAsia="方正小标宋简体"/>
          <w:color w:val="auto"/>
          <w:sz w:val="24"/>
          <w:highlight w:val="none"/>
        </w:rPr>
      </w:pPr>
    </w:p>
    <w:p w14:paraId="714BF6C6">
      <w:pPr>
        <w:spacing w:line="480" w:lineRule="auto"/>
        <w:rPr>
          <w:rFonts w:ascii="方正小标宋简体" w:eastAsia="方正小标宋简体"/>
          <w:color w:val="auto"/>
          <w:sz w:val="24"/>
          <w:highlight w:val="none"/>
        </w:rPr>
      </w:pPr>
    </w:p>
    <w:p w14:paraId="7AB3EA98">
      <w:pPr>
        <w:spacing w:line="480" w:lineRule="auto"/>
        <w:rPr>
          <w:rFonts w:ascii="方正小标宋简体" w:eastAsia="方正小标宋简体"/>
          <w:color w:val="auto"/>
          <w:sz w:val="24"/>
          <w:highlight w:val="none"/>
        </w:rPr>
      </w:pPr>
    </w:p>
    <w:p w14:paraId="7A66584E">
      <w:pPr>
        <w:spacing w:line="480" w:lineRule="auto"/>
        <w:rPr>
          <w:rFonts w:ascii="方正小标宋简体" w:eastAsia="方正小标宋简体"/>
          <w:color w:val="auto"/>
          <w:sz w:val="24"/>
          <w:highlight w:val="none"/>
        </w:rPr>
      </w:pPr>
    </w:p>
    <w:p w14:paraId="43962E34">
      <w:pPr>
        <w:spacing w:line="480" w:lineRule="auto"/>
        <w:ind w:firstLine="480" w:firstLineChars="150"/>
        <w:rPr>
          <w:rFonts w:hint="eastAsia" w:ascii="宋体" w:hAnsi="宋体" w:eastAsia="宋体" w:cs="宋体"/>
          <w:color w:val="auto"/>
          <w:sz w:val="32"/>
          <w:highlight w:val="none"/>
          <w:lang w:eastAsia="zh-CN"/>
        </w:rPr>
      </w:pPr>
      <w:r>
        <w:rPr>
          <w:rFonts w:hint="eastAsia" w:ascii="宋体" w:hAnsi="宋体"/>
          <w:color w:val="auto"/>
          <w:sz w:val="32"/>
          <w:highlight w:val="none"/>
        </w:rPr>
        <w:t>招  标  人：</w:t>
      </w:r>
      <w:r>
        <w:rPr>
          <w:rFonts w:hint="eastAsia" w:ascii="宋体" w:hAnsi="宋体" w:cs="宋体"/>
          <w:color w:val="auto"/>
          <w:sz w:val="32"/>
          <w:highlight w:val="none"/>
          <w:lang w:eastAsia="zh-CN"/>
        </w:rPr>
        <w:t>宁海县裕拓农业经营有限公司</w:t>
      </w:r>
    </w:p>
    <w:p w14:paraId="7120A102">
      <w:pPr>
        <w:spacing w:line="480" w:lineRule="auto"/>
        <w:ind w:firstLine="480" w:firstLineChars="150"/>
        <w:rPr>
          <w:rFonts w:ascii="宋体" w:hAnsi="宋体"/>
          <w:color w:val="auto"/>
          <w:sz w:val="32"/>
          <w:highlight w:val="none"/>
        </w:rPr>
      </w:pPr>
      <w:r>
        <w:rPr>
          <w:rFonts w:hint="eastAsia" w:ascii="宋体" w:hAnsi="宋体"/>
          <w:color w:val="auto"/>
          <w:sz w:val="32"/>
          <w:highlight w:val="none"/>
        </w:rPr>
        <w:t xml:space="preserve">招标代理人: </w:t>
      </w:r>
      <w:r>
        <w:rPr>
          <w:rFonts w:hint="eastAsia" w:ascii="宋体" w:hAnsi="宋体" w:cs="宋体"/>
          <w:color w:val="auto"/>
          <w:sz w:val="32"/>
          <w:highlight w:val="none"/>
        </w:rPr>
        <w:t>中冠工程管理咨询有限公司</w:t>
      </w:r>
    </w:p>
    <w:p w14:paraId="71B82DB0">
      <w:pPr>
        <w:pStyle w:val="23"/>
        <w:snapToGrid w:val="0"/>
        <w:spacing w:line="360" w:lineRule="auto"/>
        <w:ind w:firstLine="480" w:firstLineChars="150"/>
        <w:contextualSpacing/>
        <w:rPr>
          <w:b/>
          <w:color w:val="auto"/>
          <w:sz w:val="48"/>
          <w:highlight w:val="none"/>
        </w:rPr>
      </w:pPr>
      <w:r>
        <w:rPr>
          <w:rFonts w:hint="eastAsia" w:hAnsi="宋体" w:cs="宋体"/>
          <w:color w:val="auto"/>
          <w:sz w:val="32"/>
          <w:highlight w:val="none"/>
        </w:rPr>
        <w:t>时      间：二○二</w:t>
      </w:r>
      <w:r>
        <w:rPr>
          <w:rFonts w:hint="eastAsia" w:hAnsi="宋体" w:cs="宋体"/>
          <w:color w:val="auto"/>
          <w:sz w:val="32"/>
          <w:highlight w:val="none"/>
          <w:lang w:val="en-US" w:eastAsia="zh-CN"/>
        </w:rPr>
        <w:t>五</w:t>
      </w:r>
      <w:r>
        <w:rPr>
          <w:rFonts w:hint="eastAsia" w:hAnsi="宋体" w:cs="宋体"/>
          <w:color w:val="auto"/>
          <w:sz w:val="32"/>
          <w:highlight w:val="none"/>
        </w:rPr>
        <w:t>年</w:t>
      </w:r>
      <w:r>
        <w:rPr>
          <w:rFonts w:hint="eastAsia" w:hAnsi="宋体" w:cs="宋体"/>
          <w:color w:val="auto"/>
          <w:sz w:val="32"/>
          <w:highlight w:val="none"/>
          <w:lang w:val="en-US" w:eastAsia="zh-CN"/>
        </w:rPr>
        <w:t>六</w:t>
      </w:r>
      <w:r>
        <w:rPr>
          <w:rFonts w:hint="eastAsia" w:hAnsi="宋体" w:cs="宋体"/>
          <w:color w:val="auto"/>
          <w:sz w:val="32"/>
          <w:highlight w:val="none"/>
        </w:rPr>
        <w:t>月</w:t>
      </w:r>
    </w:p>
    <w:p w14:paraId="4744A8C3">
      <w:pPr>
        <w:spacing w:line="360" w:lineRule="auto"/>
        <w:ind w:right="-57"/>
        <w:contextualSpacing/>
        <w:rPr>
          <w:color w:val="auto"/>
          <w:w w:val="80"/>
          <w:sz w:val="32"/>
          <w:szCs w:val="32"/>
          <w:highlight w:val="none"/>
        </w:rPr>
        <w:sectPr>
          <w:headerReference r:id="rId5" w:type="first"/>
          <w:headerReference r:id="rId3" w:type="default"/>
          <w:footerReference r:id="rId6" w:type="default"/>
          <w:headerReference r:id="rId4" w:type="even"/>
          <w:footerReference r:id="rId7" w:type="even"/>
          <w:pgSz w:w="11907" w:h="16840"/>
          <w:pgMar w:top="1247" w:right="1559" w:bottom="1304" w:left="1560" w:header="720" w:footer="720" w:gutter="0"/>
          <w:pgNumType w:start="1"/>
          <w:cols w:space="720" w:num="1"/>
          <w:titlePg/>
          <w:docGrid w:linePitch="285" w:charSpace="0"/>
        </w:sectPr>
      </w:pPr>
    </w:p>
    <w:p w14:paraId="02193DD7">
      <w:pPr>
        <w:jc w:val="center"/>
        <w:outlineLvl w:val="0"/>
        <w:rPr>
          <w:color w:val="auto"/>
          <w:sz w:val="44"/>
          <w:szCs w:val="44"/>
          <w:highlight w:val="none"/>
        </w:rPr>
      </w:pPr>
      <w:r>
        <w:rPr>
          <w:rFonts w:hint="eastAsia"/>
          <w:color w:val="auto"/>
          <w:sz w:val="44"/>
          <w:szCs w:val="44"/>
          <w:highlight w:val="none"/>
        </w:rPr>
        <w:t>目录</w:t>
      </w:r>
    </w:p>
    <w:p w14:paraId="20197428">
      <w:pPr>
        <w:jc w:val="center"/>
        <w:outlineLvl w:val="0"/>
        <w:rPr>
          <w:color w:val="auto"/>
          <w:sz w:val="44"/>
          <w:szCs w:val="44"/>
          <w:highlight w:val="none"/>
        </w:rPr>
      </w:pPr>
    </w:p>
    <w:p w14:paraId="5F573B3F">
      <w:pPr>
        <w:pStyle w:val="30"/>
        <w:rPr>
          <w:rFonts w:ascii="Calibri" w:hAnsi="Calibri"/>
          <w:color w:val="auto"/>
          <w:sz w:val="21"/>
          <w:szCs w:val="22"/>
          <w:highlight w:val="none"/>
        </w:rPr>
      </w:pPr>
      <w:r>
        <w:rPr>
          <w:color w:val="auto"/>
          <w:w w:val="80"/>
          <w:szCs w:val="24"/>
          <w:highlight w:val="none"/>
        </w:rPr>
        <w:fldChar w:fldCharType="begin"/>
      </w:r>
      <w:r>
        <w:rPr>
          <w:color w:val="auto"/>
          <w:w w:val="80"/>
          <w:szCs w:val="24"/>
          <w:highlight w:val="none"/>
        </w:rPr>
        <w:instrText xml:space="preserve"> TOC \h \z \u \t "标题 1,2,目次、标准名称标题,1,章标题,2,标题,1"</w:instrText>
      </w:r>
      <w:r>
        <w:rPr>
          <w:color w:val="auto"/>
          <w:w w:val="80"/>
          <w:szCs w:val="24"/>
          <w:highlight w:val="none"/>
        </w:rPr>
        <w:fldChar w:fldCharType="separate"/>
      </w:r>
      <w:r>
        <w:rPr>
          <w:color w:val="auto"/>
          <w:highlight w:val="none"/>
        </w:rPr>
        <w:fldChar w:fldCharType="begin"/>
      </w:r>
      <w:r>
        <w:rPr>
          <w:color w:val="auto"/>
          <w:highlight w:val="none"/>
        </w:rPr>
        <w:instrText xml:space="preserve"> HYPERLINK \l "_Toc435088062" </w:instrText>
      </w:r>
      <w:r>
        <w:rPr>
          <w:color w:val="auto"/>
          <w:highlight w:val="none"/>
        </w:rPr>
        <w:fldChar w:fldCharType="separate"/>
      </w:r>
      <w:r>
        <w:rPr>
          <w:rStyle w:val="50"/>
          <w:rFonts w:hint="eastAsia"/>
          <w:color w:val="auto"/>
          <w:kern w:val="44"/>
          <w:highlight w:val="none"/>
        </w:rPr>
        <w:t>第一部分采购公告</w:t>
      </w:r>
      <w:r>
        <w:rPr>
          <w:color w:val="auto"/>
          <w:highlight w:val="none"/>
        </w:rPr>
        <w:tab/>
      </w:r>
      <w:r>
        <w:rPr>
          <w:rFonts w:hint="eastAsia"/>
          <w:color w:val="auto"/>
          <w:highlight w:val="none"/>
          <w:lang w:val="en-US" w:eastAsia="zh-CN"/>
        </w:rPr>
        <w:t>3</w:t>
      </w:r>
      <w:r>
        <w:rPr>
          <w:rFonts w:hint="eastAsia"/>
          <w:color w:val="auto"/>
          <w:highlight w:val="none"/>
        </w:rPr>
        <w:fldChar w:fldCharType="end"/>
      </w:r>
    </w:p>
    <w:p w14:paraId="470825CC">
      <w:pPr>
        <w:pStyle w:val="30"/>
        <w:rPr>
          <w:rFonts w:hint="eastAsia" w:ascii="Calibri" w:hAnsi="Calibri" w:eastAsia="宋体"/>
          <w:color w:val="auto"/>
          <w:sz w:val="21"/>
          <w:szCs w:val="22"/>
          <w:highlight w:val="none"/>
          <w:lang w:eastAsia="zh-CN"/>
        </w:rPr>
      </w:pPr>
      <w:r>
        <w:rPr>
          <w:color w:val="auto"/>
          <w:highlight w:val="none"/>
        </w:rPr>
        <w:fldChar w:fldCharType="begin"/>
      </w:r>
      <w:r>
        <w:rPr>
          <w:color w:val="auto"/>
          <w:highlight w:val="none"/>
        </w:rPr>
        <w:instrText xml:space="preserve"> HYPERLINK \l "_Toc435088063" </w:instrText>
      </w:r>
      <w:r>
        <w:rPr>
          <w:color w:val="auto"/>
          <w:highlight w:val="none"/>
        </w:rPr>
        <w:fldChar w:fldCharType="separate"/>
      </w:r>
      <w:r>
        <w:rPr>
          <w:rStyle w:val="50"/>
          <w:rFonts w:hint="eastAsia"/>
          <w:color w:val="auto"/>
          <w:kern w:val="44"/>
          <w:highlight w:val="none"/>
        </w:rPr>
        <w:t>第二部分投标资料表</w:t>
      </w:r>
      <w:r>
        <w:rPr>
          <w:color w:val="auto"/>
          <w:highlight w:val="none"/>
        </w:rPr>
        <w:tab/>
      </w:r>
      <w:r>
        <w:rPr>
          <w:color w:val="auto"/>
          <w:highlight w:val="none"/>
        </w:rPr>
        <w:fldChar w:fldCharType="end"/>
      </w:r>
      <w:r>
        <w:rPr>
          <w:rFonts w:hint="eastAsia"/>
          <w:color w:val="auto"/>
          <w:highlight w:val="none"/>
          <w:lang w:val="en-US" w:eastAsia="zh-CN"/>
        </w:rPr>
        <w:t>9</w:t>
      </w:r>
    </w:p>
    <w:p w14:paraId="051CDD3C">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"_Toc435088064" </w:instrText>
      </w:r>
      <w:r>
        <w:rPr>
          <w:color w:val="auto"/>
          <w:highlight w:val="none"/>
        </w:rPr>
        <w:fldChar w:fldCharType="separate"/>
      </w:r>
      <w:r>
        <w:rPr>
          <w:rStyle w:val="50"/>
          <w:rFonts w:hint="eastAsia"/>
          <w:color w:val="auto"/>
          <w:kern w:val="44"/>
          <w:highlight w:val="none"/>
        </w:rPr>
        <w:t>第三部分投标人须知</w:t>
      </w:r>
      <w:r>
        <w:rPr>
          <w:color w:val="auto"/>
          <w:highlight w:val="none"/>
        </w:rPr>
        <w:tab/>
      </w:r>
      <w:r>
        <w:rPr>
          <w:color w:val="auto"/>
          <w:highlight w:val="none"/>
        </w:rPr>
        <w:fldChar w:fldCharType="end"/>
      </w:r>
      <w:r>
        <w:rPr>
          <w:rFonts w:hint="eastAsia"/>
          <w:color w:val="auto"/>
          <w:highlight w:val="none"/>
          <w:lang w:val="en-US" w:eastAsia="zh-CN"/>
        </w:rPr>
        <w:t>13</w:t>
      </w:r>
    </w:p>
    <w:p w14:paraId="4A3758B8">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"_Toc435088076" </w:instrText>
      </w:r>
      <w:r>
        <w:rPr>
          <w:color w:val="auto"/>
          <w:highlight w:val="none"/>
        </w:rPr>
        <w:fldChar w:fldCharType="separate"/>
      </w:r>
      <w:r>
        <w:rPr>
          <w:rStyle w:val="50"/>
          <w:rFonts w:hint="eastAsia"/>
          <w:color w:val="auto"/>
          <w:kern w:val="44"/>
          <w:highlight w:val="none"/>
        </w:rPr>
        <w:t>第四部分评标办法及标准</w:t>
      </w:r>
      <w:r>
        <w:rPr>
          <w:color w:val="auto"/>
          <w:highlight w:val="none"/>
        </w:rPr>
        <w:tab/>
      </w:r>
      <w:r>
        <w:rPr>
          <w:color w:val="auto"/>
          <w:highlight w:val="none"/>
        </w:rPr>
        <w:fldChar w:fldCharType="end"/>
      </w:r>
      <w:r>
        <w:rPr>
          <w:rFonts w:hint="eastAsia"/>
          <w:color w:val="auto"/>
          <w:highlight w:val="none"/>
          <w:lang w:val="en-US" w:eastAsia="zh-CN"/>
        </w:rPr>
        <w:t>23</w:t>
      </w:r>
    </w:p>
    <w:p w14:paraId="4580DF01">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"_Toc435088077" </w:instrText>
      </w:r>
      <w:r>
        <w:rPr>
          <w:color w:val="auto"/>
          <w:highlight w:val="none"/>
        </w:rPr>
        <w:fldChar w:fldCharType="separate"/>
      </w:r>
      <w:r>
        <w:rPr>
          <w:rStyle w:val="50"/>
          <w:rFonts w:hint="eastAsia"/>
          <w:color w:val="auto"/>
          <w:kern w:val="44"/>
          <w:highlight w:val="none"/>
        </w:rPr>
        <w:t>第五部分采购内容及要求</w:t>
      </w:r>
      <w:r>
        <w:rPr>
          <w:color w:val="auto"/>
          <w:highlight w:val="none"/>
        </w:rPr>
        <w:tab/>
      </w:r>
      <w:r>
        <w:rPr>
          <w:color w:val="auto"/>
          <w:highlight w:val="none"/>
        </w:rPr>
        <w:fldChar w:fldCharType="end"/>
      </w:r>
      <w:r>
        <w:rPr>
          <w:rFonts w:hint="eastAsia"/>
          <w:color w:val="auto"/>
          <w:highlight w:val="none"/>
          <w:lang w:val="en-US" w:eastAsia="zh-CN"/>
        </w:rPr>
        <w:t>25</w:t>
      </w:r>
    </w:p>
    <w:p w14:paraId="385B2C65">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"_Toc435088080" </w:instrText>
      </w:r>
      <w:r>
        <w:rPr>
          <w:color w:val="auto"/>
          <w:highlight w:val="none"/>
        </w:rPr>
        <w:fldChar w:fldCharType="separate"/>
      </w:r>
      <w:r>
        <w:rPr>
          <w:rStyle w:val="50"/>
          <w:rFonts w:hint="eastAsia"/>
          <w:color w:val="auto"/>
          <w:kern w:val="44"/>
          <w:highlight w:val="none"/>
        </w:rPr>
        <w:t>第六部分拟签订的合同</w:t>
      </w:r>
      <w:r>
        <w:rPr>
          <w:color w:val="auto"/>
          <w:highlight w:val="none"/>
        </w:rPr>
        <w:tab/>
      </w:r>
      <w:r>
        <w:rPr>
          <w:color w:val="auto"/>
          <w:highlight w:val="none"/>
        </w:rPr>
        <w:fldChar w:fldCharType="end"/>
      </w:r>
      <w:r>
        <w:rPr>
          <w:rFonts w:hint="eastAsia"/>
          <w:color w:val="auto"/>
          <w:highlight w:val="none"/>
          <w:lang w:val="en-US" w:eastAsia="zh-CN"/>
        </w:rPr>
        <w:t>27</w:t>
      </w:r>
    </w:p>
    <w:p w14:paraId="4ABEA316">
      <w:pPr>
        <w:pStyle w:val="30"/>
        <w:rPr>
          <w:rFonts w:hint="eastAsia" w:eastAsia="宋体"/>
          <w:color w:val="auto"/>
          <w:w w:val="80"/>
          <w:sz w:val="32"/>
          <w:highlight w:val="none"/>
          <w:lang w:val="en-US" w:eastAsia="zh-CN"/>
        </w:rPr>
      </w:pPr>
      <w:r>
        <w:rPr>
          <w:color w:val="auto"/>
          <w:highlight w:val="none"/>
        </w:rPr>
        <w:fldChar w:fldCharType="begin"/>
      </w:r>
      <w:r>
        <w:rPr>
          <w:color w:val="auto"/>
          <w:highlight w:val="none"/>
        </w:rPr>
        <w:instrText xml:space="preserve"> HYPERLINK \l "_Toc435088081" </w:instrText>
      </w:r>
      <w:r>
        <w:rPr>
          <w:color w:val="auto"/>
          <w:highlight w:val="none"/>
        </w:rPr>
        <w:fldChar w:fldCharType="separate"/>
      </w:r>
      <w:r>
        <w:rPr>
          <w:rStyle w:val="50"/>
          <w:rFonts w:hint="eastAsia"/>
          <w:color w:val="auto"/>
          <w:kern w:val="44"/>
          <w:highlight w:val="none"/>
        </w:rPr>
        <w:t>第七部分格式与表格</w:t>
      </w:r>
      <w:r>
        <w:rPr>
          <w:color w:val="auto"/>
          <w:highlight w:val="none"/>
        </w:rPr>
        <w:tab/>
      </w:r>
      <w:r>
        <w:rPr>
          <w:color w:val="auto"/>
          <w:highlight w:val="none"/>
        </w:rPr>
        <w:fldChar w:fldCharType="end"/>
      </w:r>
      <w:r>
        <w:rPr>
          <w:rFonts w:hint="eastAsia"/>
          <w:color w:val="auto"/>
          <w:highlight w:val="none"/>
          <w:lang w:val="en-US" w:eastAsia="zh-CN"/>
        </w:rPr>
        <w:t>3</w:t>
      </w:r>
      <w:r>
        <w:rPr>
          <w:color w:val="auto"/>
          <w:w w:val="80"/>
          <w:szCs w:val="24"/>
          <w:highlight w:val="none"/>
        </w:rPr>
        <w:fldChar w:fldCharType="end"/>
      </w:r>
      <w:r>
        <w:rPr>
          <w:rFonts w:hint="eastAsia"/>
          <w:color w:val="auto"/>
          <w:w w:val="80"/>
          <w:szCs w:val="24"/>
          <w:highlight w:val="none"/>
          <w:lang w:val="en-US" w:eastAsia="zh-CN"/>
        </w:rPr>
        <w:t>1</w:t>
      </w:r>
    </w:p>
    <w:p w14:paraId="14731B01">
      <w:pPr>
        <w:rPr>
          <w:color w:val="auto"/>
          <w:highlight w:val="none"/>
        </w:rPr>
      </w:pPr>
    </w:p>
    <w:p w14:paraId="147C393A">
      <w:pPr>
        <w:rPr>
          <w:color w:val="auto"/>
          <w:highlight w:val="none"/>
        </w:rPr>
      </w:pPr>
    </w:p>
    <w:p w14:paraId="4E882B02">
      <w:pPr>
        <w:rPr>
          <w:color w:val="auto"/>
          <w:highlight w:val="none"/>
        </w:rPr>
      </w:pPr>
    </w:p>
    <w:p w14:paraId="5C537C29">
      <w:pPr>
        <w:rPr>
          <w:color w:val="auto"/>
          <w:highlight w:val="none"/>
        </w:rPr>
      </w:pPr>
    </w:p>
    <w:p w14:paraId="1CC36AEF">
      <w:pPr>
        <w:rPr>
          <w:color w:val="auto"/>
          <w:highlight w:val="none"/>
        </w:rPr>
      </w:pPr>
    </w:p>
    <w:p w14:paraId="11CC770A">
      <w:pPr>
        <w:rPr>
          <w:color w:val="auto"/>
          <w:highlight w:val="none"/>
        </w:rPr>
      </w:pPr>
    </w:p>
    <w:p w14:paraId="4BD920F6">
      <w:pPr>
        <w:rPr>
          <w:color w:val="auto"/>
          <w:highlight w:val="none"/>
        </w:rPr>
      </w:pPr>
    </w:p>
    <w:p w14:paraId="52BE5B1D">
      <w:pPr>
        <w:rPr>
          <w:color w:val="auto"/>
          <w:highlight w:val="none"/>
        </w:rPr>
      </w:pPr>
    </w:p>
    <w:p w14:paraId="3E69B5ED">
      <w:pPr>
        <w:rPr>
          <w:color w:val="auto"/>
          <w:highlight w:val="none"/>
        </w:rPr>
      </w:pPr>
    </w:p>
    <w:p w14:paraId="61713738">
      <w:pPr>
        <w:rPr>
          <w:color w:val="auto"/>
          <w:highlight w:val="none"/>
        </w:rPr>
      </w:pPr>
    </w:p>
    <w:p w14:paraId="1959FA69">
      <w:pPr>
        <w:rPr>
          <w:color w:val="auto"/>
          <w:highlight w:val="none"/>
        </w:rPr>
      </w:pPr>
    </w:p>
    <w:p w14:paraId="13C177C3">
      <w:pPr>
        <w:rPr>
          <w:color w:val="auto"/>
          <w:highlight w:val="none"/>
        </w:rPr>
      </w:pPr>
    </w:p>
    <w:p w14:paraId="52D7078E">
      <w:pPr>
        <w:rPr>
          <w:color w:val="auto"/>
          <w:highlight w:val="none"/>
        </w:rPr>
      </w:pPr>
    </w:p>
    <w:p w14:paraId="71064E4B">
      <w:pPr>
        <w:rPr>
          <w:color w:val="auto"/>
          <w:highlight w:val="none"/>
        </w:rPr>
      </w:pPr>
    </w:p>
    <w:p w14:paraId="4AC3A410">
      <w:pPr>
        <w:rPr>
          <w:color w:val="auto"/>
          <w:highlight w:val="none"/>
        </w:rPr>
      </w:pPr>
    </w:p>
    <w:p w14:paraId="4C39DDDF">
      <w:pPr>
        <w:rPr>
          <w:color w:val="auto"/>
          <w:highlight w:val="none"/>
        </w:rPr>
      </w:pPr>
    </w:p>
    <w:p w14:paraId="27116780">
      <w:pPr>
        <w:rPr>
          <w:color w:val="auto"/>
          <w:highlight w:val="none"/>
        </w:rPr>
      </w:pPr>
    </w:p>
    <w:p w14:paraId="1A0A0F5F">
      <w:pPr>
        <w:rPr>
          <w:color w:val="auto"/>
          <w:highlight w:val="none"/>
        </w:rPr>
      </w:pPr>
    </w:p>
    <w:p w14:paraId="0CB48DDF">
      <w:pPr>
        <w:rPr>
          <w:color w:val="auto"/>
          <w:highlight w:val="none"/>
        </w:rPr>
      </w:pPr>
    </w:p>
    <w:p w14:paraId="2411201A">
      <w:pPr>
        <w:rPr>
          <w:color w:val="auto"/>
          <w:highlight w:val="none"/>
        </w:rPr>
      </w:pPr>
    </w:p>
    <w:p w14:paraId="1D2A2805">
      <w:pPr>
        <w:rPr>
          <w:color w:val="auto"/>
          <w:highlight w:val="none"/>
        </w:rPr>
      </w:pPr>
    </w:p>
    <w:p w14:paraId="4216751C">
      <w:pPr>
        <w:rPr>
          <w:color w:val="auto"/>
          <w:highlight w:val="none"/>
        </w:rPr>
      </w:pPr>
    </w:p>
    <w:p w14:paraId="07B7A697">
      <w:pPr>
        <w:rPr>
          <w:color w:val="auto"/>
          <w:highlight w:val="none"/>
        </w:rPr>
      </w:pPr>
    </w:p>
    <w:p w14:paraId="4124D559">
      <w:pPr>
        <w:rPr>
          <w:color w:val="auto"/>
          <w:highlight w:val="none"/>
        </w:rPr>
      </w:pPr>
    </w:p>
    <w:p w14:paraId="17B37C7D">
      <w:pPr>
        <w:rPr>
          <w:color w:val="auto"/>
          <w:highlight w:val="none"/>
        </w:rPr>
      </w:pPr>
    </w:p>
    <w:p w14:paraId="72535882">
      <w:pPr>
        <w:rPr>
          <w:color w:val="auto"/>
          <w:highlight w:val="none"/>
        </w:rPr>
      </w:pPr>
    </w:p>
    <w:p w14:paraId="7B3FAA0D">
      <w:pPr>
        <w:rPr>
          <w:color w:val="auto"/>
          <w:highlight w:val="none"/>
        </w:rPr>
      </w:pPr>
    </w:p>
    <w:p w14:paraId="40602A12">
      <w:pPr>
        <w:rPr>
          <w:color w:val="auto"/>
          <w:highlight w:val="none"/>
        </w:rPr>
      </w:pPr>
    </w:p>
    <w:p w14:paraId="353EAC16">
      <w:pPr>
        <w:rPr>
          <w:color w:val="auto"/>
          <w:highlight w:val="none"/>
        </w:rPr>
      </w:pPr>
    </w:p>
    <w:p w14:paraId="260592D9">
      <w:pPr>
        <w:rPr>
          <w:color w:val="auto"/>
          <w:highlight w:val="none"/>
        </w:rPr>
      </w:pPr>
    </w:p>
    <w:p w14:paraId="3702E7D3">
      <w:pPr>
        <w:rPr>
          <w:color w:val="auto"/>
          <w:highlight w:val="none"/>
        </w:rPr>
      </w:pPr>
    </w:p>
    <w:p w14:paraId="1D96494C">
      <w:pPr>
        <w:rPr>
          <w:color w:val="auto"/>
          <w:highlight w:val="none"/>
        </w:rPr>
      </w:pPr>
    </w:p>
    <w:p w14:paraId="669841C3">
      <w:pPr>
        <w:rPr>
          <w:color w:val="auto"/>
          <w:highlight w:val="none"/>
        </w:rPr>
      </w:pPr>
    </w:p>
    <w:p w14:paraId="03932947">
      <w:pPr>
        <w:rPr>
          <w:color w:val="auto"/>
          <w:highlight w:val="none"/>
        </w:rPr>
      </w:pPr>
    </w:p>
    <w:p w14:paraId="0F603457">
      <w:pPr>
        <w:rPr>
          <w:color w:val="auto"/>
          <w:highlight w:val="none"/>
        </w:rPr>
      </w:pPr>
    </w:p>
    <w:p w14:paraId="512B907E">
      <w:pPr>
        <w:rPr>
          <w:color w:val="auto"/>
          <w:highlight w:val="none"/>
        </w:rPr>
      </w:pPr>
    </w:p>
    <w:p w14:paraId="4DC53DE5">
      <w:pPr>
        <w:rPr>
          <w:color w:val="auto"/>
          <w:highlight w:val="none"/>
        </w:rPr>
      </w:pPr>
    </w:p>
    <w:p w14:paraId="555F04C3">
      <w:pPr>
        <w:rPr>
          <w:color w:val="auto"/>
          <w:highlight w:val="none"/>
        </w:rPr>
      </w:pPr>
    </w:p>
    <w:p w14:paraId="37491EC4">
      <w:pPr>
        <w:rPr>
          <w:color w:val="auto"/>
          <w:highlight w:val="none"/>
        </w:rPr>
      </w:pPr>
    </w:p>
    <w:p w14:paraId="448E17D5">
      <w:pPr>
        <w:pStyle w:val="41"/>
        <w:rPr>
          <w:rFonts w:ascii="Times New Roman" w:hAnsi="Times New Roman"/>
          <w:color w:val="auto"/>
          <w:kern w:val="44"/>
          <w:highlight w:val="none"/>
        </w:rPr>
      </w:pPr>
      <w:bookmarkStart w:id="1" w:name="_Toc262312595"/>
      <w:bookmarkStart w:id="2" w:name="_Toc263083249"/>
      <w:bookmarkStart w:id="3" w:name="_Toc435088062"/>
      <w:r>
        <w:rPr>
          <w:rFonts w:hint="eastAsia" w:ascii="Times New Roman" w:hAnsi="Times New Roman"/>
          <w:color w:val="auto"/>
          <w:kern w:val="44"/>
          <w:highlight w:val="none"/>
        </w:rPr>
        <w:t>第一部分</w:t>
      </w:r>
      <w:bookmarkEnd w:id="1"/>
      <w:bookmarkEnd w:id="2"/>
      <w:r>
        <w:rPr>
          <w:rFonts w:hint="eastAsia" w:ascii="Times New Roman" w:hAnsi="Times New Roman"/>
          <w:color w:val="auto"/>
          <w:kern w:val="44"/>
          <w:highlight w:val="none"/>
        </w:rPr>
        <w:t>采购公告</w:t>
      </w:r>
      <w:bookmarkEnd w:id="3"/>
    </w:p>
    <w:p w14:paraId="21E6888C">
      <w:pPr>
        <w:widowControl/>
        <w:pBdr>
          <w:top w:val="single" w:color="auto" w:sz="4" w:space="1"/>
          <w:left w:val="single" w:color="auto" w:sz="4" w:space="4"/>
          <w:bottom w:val="single" w:color="auto" w:sz="4" w:space="1"/>
          <w:right w:val="single" w:color="auto" w:sz="4" w:space="4"/>
        </w:pBdr>
        <w:wordWrap w:val="0"/>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u w:val="single"/>
          <w:lang w:eastAsia="zh-CN"/>
        </w:rPr>
        <w:t>2025年度宁海县下洋涂区域联农共富项目（三号、八号地块）</w:t>
      </w:r>
      <w:r>
        <w:rPr>
          <w:rFonts w:hint="eastAsia" w:ascii="宋体" w:hAnsi="宋体" w:cs="Arial"/>
          <w:color w:val="auto"/>
          <w:kern w:val="0"/>
          <w:szCs w:val="21"/>
          <w:highlight w:val="none"/>
        </w:rPr>
        <w:t>的潜在投标人</w:t>
      </w:r>
      <w:r>
        <w:rPr>
          <w:rFonts w:ascii="宋体" w:hAnsi="宋体" w:cs="Arial"/>
          <w:color w:val="auto"/>
          <w:kern w:val="0"/>
          <w:szCs w:val="21"/>
          <w:highlight w:val="none"/>
        </w:rPr>
        <w:t>应在</w:t>
      </w:r>
      <w:r>
        <w:rPr>
          <w:rFonts w:hint="eastAsia" w:ascii="宋体" w:hAnsi="宋体" w:cs="Arial"/>
          <w:color w:val="auto"/>
          <w:kern w:val="0"/>
          <w:szCs w:val="21"/>
          <w:highlight w:val="none"/>
        </w:rPr>
        <w:t>乐采云平台</w:t>
      </w:r>
      <w:r>
        <w:rPr>
          <w:rFonts w:ascii="宋体" w:hAnsi="宋体" w:cs="Arial"/>
          <w:color w:val="auto"/>
          <w:kern w:val="0"/>
          <w:szCs w:val="21"/>
          <w:highlight w:val="none"/>
        </w:rPr>
        <w:t>获取招标文件，并于</w:t>
      </w:r>
      <w:r>
        <w:rPr>
          <w:rFonts w:hint="eastAsia" w:ascii="宋体" w:hAnsi="宋体" w:cs="Arial"/>
          <w:color w:val="auto"/>
          <w:kern w:val="0"/>
          <w:szCs w:val="21"/>
          <w:highlight w:val="none"/>
          <w:u w:val="single"/>
          <w:lang w:eastAsia="zh-CN"/>
        </w:rPr>
        <w:t>2025年</w:t>
      </w:r>
      <w:r>
        <w:rPr>
          <w:rFonts w:hint="eastAsia" w:ascii="宋体" w:hAnsi="宋体" w:cs="Arial"/>
          <w:color w:val="FF0000"/>
          <w:kern w:val="0"/>
          <w:szCs w:val="21"/>
          <w:highlight w:val="none"/>
          <w:u w:val="single"/>
          <w:lang w:val="en-US" w:eastAsia="zh-CN"/>
        </w:rPr>
        <w:t>07月21日</w:t>
      </w:r>
      <w:r>
        <w:rPr>
          <w:rFonts w:hint="eastAsia" w:ascii="宋体" w:hAnsi="宋体" w:cs="Arial"/>
          <w:color w:val="auto"/>
          <w:kern w:val="0"/>
          <w:szCs w:val="21"/>
          <w:highlight w:val="none"/>
          <w:u w:val="single"/>
          <w:lang w:val="en-US" w:eastAsia="zh-CN"/>
        </w:rPr>
        <w:t>10</w:t>
      </w:r>
      <w:r>
        <w:rPr>
          <w:rFonts w:hint="eastAsia" w:ascii="宋体" w:hAnsi="宋体" w:cs="Arial"/>
          <w:color w:val="auto"/>
          <w:kern w:val="0"/>
          <w:szCs w:val="21"/>
          <w:highlight w:val="none"/>
          <w:u w:val="single"/>
        </w:rPr>
        <w:t>点00分</w:t>
      </w:r>
      <w:r>
        <w:rPr>
          <w:rFonts w:hint="eastAsia" w:ascii="宋体" w:hAnsi="宋体" w:cs="Arial"/>
          <w:color w:val="auto"/>
          <w:kern w:val="0"/>
          <w:szCs w:val="21"/>
          <w:highlight w:val="none"/>
        </w:rPr>
        <w:t>（北京时间）前递交投标文件。</w:t>
      </w:r>
    </w:p>
    <w:p w14:paraId="6694286E">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一、项目基本情况</w:t>
      </w:r>
    </w:p>
    <w:p w14:paraId="6B1CB336">
      <w:pPr>
        <w:widowControl/>
        <w:spacing w:before="100" w:beforeAutospacing="1" w:after="100" w:afterAutospacing="1" w:line="405" w:lineRule="atLeast"/>
        <w:ind w:firstLine="420"/>
        <w:jc w:val="left"/>
        <w:rPr>
          <w:rFonts w:hint="eastAsia" w:ascii="Arial" w:hAnsi="Arial" w:eastAsia="宋体" w:cs="Arial"/>
          <w:color w:val="auto"/>
          <w:kern w:val="0"/>
          <w:szCs w:val="21"/>
          <w:highlight w:val="none"/>
          <w:lang w:eastAsia="zh-CN"/>
        </w:rPr>
      </w:pPr>
      <w:r>
        <w:rPr>
          <w:rFonts w:hint="eastAsia" w:ascii="宋体" w:hAnsi="宋体" w:cs="Arial"/>
          <w:color w:val="auto"/>
          <w:kern w:val="0"/>
          <w:szCs w:val="21"/>
          <w:highlight w:val="none"/>
        </w:rPr>
        <w:t>项目编号：</w:t>
      </w:r>
      <w:r>
        <w:rPr>
          <w:rFonts w:hint="eastAsia" w:ascii="宋体" w:hAnsi="宋体" w:cs="Arial"/>
          <w:color w:val="auto"/>
          <w:kern w:val="0"/>
          <w:szCs w:val="21"/>
          <w:highlight w:val="none"/>
          <w:lang w:eastAsia="zh-CN"/>
        </w:rPr>
        <w:t>ZGZB-NHCG2025055</w:t>
      </w:r>
    </w:p>
    <w:p w14:paraId="0509B06B">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项目名称：</w:t>
      </w:r>
      <w:r>
        <w:rPr>
          <w:rFonts w:hint="eastAsia" w:ascii="宋体" w:hAnsi="宋体" w:cs="Arial"/>
          <w:color w:val="auto"/>
          <w:kern w:val="0"/>
          <w:szCs w:val="21"/>
          <w:highlight w:val="none"/>
          <w:lang w:eastAsia="zh-CN"/>
        </w:rPr>
        <w:t>2025年度宁海县下洋涂区域联农共富项目（三号、八号地块）</w:t>
      </w:r>
    </w:p>
    <w:p w14:paraId="58DD4C2D">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采购预算：</w:t>
      </w:r>
    </w:p>
    <w:p w14:paraId="0528CAC2">
      <w:pPr>
        <w:widowControl/>
        <w:spacing w:before="100" w:beforeAutospacing="1" w:after="100" w:afterAutospacing="1" w:line="405" w:lineRule="atLeast"/>
        <w:ind w:firstLine="420"/>
        <w:jc w:val="lef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服务费采购预算：19760730元</w:t>
      </w:r>
    </w:p>
    <w:p w14:paraId="5B75111A">
      <w:pPr>
        <w:widowControl/>
        <w:spacing w:before="100" w:beforeAutospacing="1" w:after="100" w:afterAutospacing="1" w:line="405" w:lineRule="atLeast"/>
        <w:ind w:firstLine="420"/>
        <w:jc w:val="lef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保底收益预算价：</w:t>
      </w:r>
      <w:r>
        <w:rPr>
          <w:rFonts w:hint="eastAsia" w:ascii="宋体" w:hAnsi="宋体" w:cs="Arial"/>
          <w:color w:val="auto"/>
          <w:kern w:val="0"/>
          <w:szCs w:val="21"/>
          <w:highlight w:val="yellow"/>
          <w:lang w:val="en-US" w:eastAsia="zh-CN"/>
        </w:rPr>
        <w:t>23718530元</w:t>
      </w:r>
    </w:p>
    <w:p w14:paraId="102D70B2">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采购需求：</w:t>
      </w:r>
    </w:p>
    <w:p w14:paraId="2FC8E42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简要规格描述或项目基本概况介绍、用途：</w:t>
      </w:r>
      <w:r>
        <w:rPr>
          <w:rFonts w:hint="eastAsia" w:ascii="宋体" w:hAnsi="宋体" w:cs="Arial"/>
          <w:color w:val="auto"/>
          <w:kern w:val="0"/>
          <w:szCs w:val="21"/>
          <w:highlight w:val="none"/>
          <w:lang w:val="en-US" w:eastAsia="zh-CN"/>
        </w:rPr>
        <w:t>西兰花种植服务，共计5654亩，</w:t>
      </w:r>
      <w:r>
        <w:rPr>
          <w:rFonts w:hint="eastAsia" w:ascii="宋体" w:hAnsi="宋体" w:eastAsia="宋体" w:cs="Arial"/>
          <w:color w:val="auto"/>
          <w:kern w:val="0"/>
          <w:szCs w:val="21"/>
          <w:highlight w:val="none"/>
          <w:lang w:val="en-US" w:eastAsia="zh-CN"/>
        </w:rPr>
        <w:t>服务内容包括</w:t>
      </w:r>
      <w:r>
        <w:rPr>
          <w:rFonts w:hint="eastAsia" w:ascii="宋体" w:hAnsi="宋体" w:eastAsia="宋体" w:cs="Arial"/>
          <w:color w:val="auto"/>
          <w:kern w:val="0"/>
          <w:szCs w:val="21"/>
          <w:highlight w:val="none"/>
        </w:rPr>
        <w:t>前作物秸秆残留清除及土地翻耕</w:t>
      </w:r>
      <w:r>
        <w:rPr>
          <w:rFonts w:hint="eastAsia" w:ascii="宋体" w:hAnsi="宋体" w:eastAsia="宋体" w:cs="Arial"/>
          <w:color w:val="auto"/>
          <w:kern w:val="0"/>
          <w:szCs w:val="21"/>
          <w:highlight w:val="none"/>
          <w:lang w:eastAsia="zh-CN"/>
        </w:rPr>
        <w:t>、</w:t>
      </w:r>
      <w:r>
        <w:rPr>
          <w:rFonts w:hint="eastAsia" w:ascii="宋体" w:hAnsi="宋体" w:cs="Arial"/>
          <w:color w:val="auto"/>
          <w:kern w:val="0"/>
          <w:szCs w:val="21"/>
          <w:highlight w:val="none"/>
          <w:lang w:val="en-US" w:eastAsia="zh-CN"/>
        </w:rPr>
        <w:t>购种、育秧、移栽</w:t>
      </w:r>
      <w:r>
        <w:rPr>
          <w:rFonts w:hint="eastAsia" w:ascii="宋体" w:hAnsi="宋体" w:eastAsia="宋体" w:cs="Arial"/>
          <w:color w:val="auto"/>
          <w:kern w:val="0"/>
          <w:szCs w:val="21"/>
          <w:highlight w:val="none"/>
          <w:lang w:val="en-US" w:eastAsia="zh-CN"/>
        </w:rPr>
        <w:t>、施肥</w:t>
      </w:r>
      <w:r>
        <w:rPr>
          <w:rFonts w:hint="eastAsia" w:ascii="宋体" w:hAnsi="宋体" w:cs="Arial"/>
          <w:color w:val="auto"/>
          <w:kern w:val="0"/>
          <w:szCs w:val="21"/>
          <w:highlight w:val="none"/>
          <w:lang w:val="en-US" w:eastAsia="zh-CN"/>
        </w:rPr>
        <w:t>（含化肥）</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除草</w:t>
      </w:r>
      <w:r>
        <w:rPr>
          <w:rFonts w:hint="eastAsia" w:ascii="宋体" w:hAnsi="宋体" w:cs="Arial"/>
          <w:color w:val="auto"/>
          <w:kern w:val="0"/>
          <w:szCs w:val="21"/>
          <w:highlight w:val="none"/>
          <w:lang w:val="en-US" w:eastAsia="zh-CN"/>
        </w:rPr>
        <w:t>、</w:t>
      </w:r>
      <w:r>
        <w:rPr>
          <w:rFonts w:hint="eastAsia" w:ascii="宋体" w:hAnsi="宋体" w:eastAsia="宋体" w:cs="Arial"/>
          <w:color w:val="auto"/>
          <w:kern w:val="0"/>
          <w:szCs w:val="21"/>
          <w:highlight w:val="none"/>
          <w:lang w:val="en-US" w:eastAsia="zh-CN"/>
        </w:rPr>
        <w:t>病虫</w:t>
      </w:r>
      <w:r>
        <w:rPr>
          <w:rFonts w:hint="eastAsia" w:ascii="宋体" w:hAnsi="宋体" w:cs="Arial"/>
          <w:color w:val="auto"/>
          <w:kern w:val="0"/>
          <w:szCs w:val="21"/>
          <w:highlight w:val="none"/>
          <w:lang w:val="en-US" w:eastAsia="zh-CN"/>
        </w:rPr>
        <w:t>害</w:t>
      </w:r>
      <w:r>
        <w:rPr>
          <w:rFonts w:hint="eastAsia" w:ascii="宋体" w:hAnsi="宋体" w:eastAsia="宋体" w:cs="Arial"/>
          <w:color w:val="auto"/>
          <w:kern w:val="0"/>
          <w:szCs w:val="21"/>
          <w:highlight w:val="none"/>
          <w:lang w:val="en-US" w:eastAsia="zh-CN"/>
        </w:rPr>
        <w:t>防治</w:t>
      </w:r>
      <w:r>
        <w:rPr>
          <w:rFonts w:hint="eastAsia" w:ascii="宋体" w:hAnsi="宋体" w:eastAsia="宋体" w:cs="Arial"/>
          <w:color w:val="auto"/>
          <w:kern w:val="0"/>
          <w:szCs w:val="21"/>
          <w:highlight w:val="none"/>
          <w:lang w:eastAsia="zh-CN"/>
        </w:rPr>
        <w:t>、田间管理、收割、</w:t>
      </w:r>
      <w:r>
        <w:rPr>
          <w:rFonts w:hint="eastAsia" w:ascii="宋体" w:hAnsi="宋体" w:cs="Arial"/>
          <w:color w:val="auto"/>
          <w:kern w:val="0"/>
          <w:szCs w:val="21"/>
          <w:highlight w:val="none"/>
          <w:lang w:val="en-US" w:eastAsia="zh-CN"/>
        </w:rPr>
        <w:t>包装（含包装材料）</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销售</w:t>
      </w:r>
      <w:r>
        <w:rPr>
          <w:rFonts w:hint="eastAsia" w:ascii="宋体" w:hAnsi="宋体" w:eastAsia="宋体" w:cs="Arial"/>
          <w:color w:val="auto"/>
          <w:kern w:val="0"/>
          <w:szCs w:val="21"/>
          <w:highlight w:val="none"/>
        </w:rPr>
        <w:t>等</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详见采购文件第五</w:t>
      </w:r>
      <w:r>
        <w:rPr>
          <w:rFonts w:hint="eastAsia" w:ascii="宋体" w:hAnsi="宋体" w:cs="Arial"/>
          <w:color w:val="auto"/>
          <w:kern w:val="0"/>
          <w:szCs w:val="21"/>
          <w:highlight w:val="none"/>
          <w:lang w:val="en-US" w:eastAsia="zh-CN"/>
        </w:rPr>
        <w:t>部分</w:t>
      </w:r>
      <w:r>
        <w:rPr>
          <w:rFonts w:hint="eastAsia" w:ascii="宋体" w:hAnsi="宋体" w:cs="Arial"/>
          <w:color w:val="auto"/>
          <w:kern w:val="0"/>
          <w:szCs w:val="21"/>
          <w:highlight w:val="none"/>
        </w:rPr>
        <w:t>“采购内容与要求”。</w:t>
      </w:r>
    </w:p>
    <w:p w14:paraId="4D918B5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合同履行期限：</w:t>
      </w: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p w14:paraId="6F738E4E">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本项目不接受联合体投标。</w:t>
      </w:r>
    </w:p>
    <w:p w14:paraId="0076561D">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二、申请人的资格要求：</w:t>
      </w:r>
    </w:p>
    <w:p w14:paraId="2C1AFC99">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1.本项目的基本资格条件要求：</w:t>
      </w:r>
      <w:r>
        <w:rPr>
          <w:rFonts w:ascii="宋体" w:hAnsi="宋体" w:cs="Arial"/>
          <w:color w:val="auto"/>
          <w:kern w:val="0"/>
          <w:szCs w:val="21"/>
          <w:highlight w:val="none"/>
        </w:rPr>
        <w:t>1</w:t>
      </w:r>
      <w:r>
        <w:rPr>
          <w:rFonts w:hint="eastAsia" w:ascii="宋体" w:hAnsi="宋体" w:cs="Arial"/>
          <w:color w:val="auto"/>
          <w:kern w:val="0"/>
          <w:szCs w:val="21"/>
          <w:highlight w:val="none"/>
        </w:rPr>
        <w:t>）具有独立承担民事责任的能力；2）具有良好的商业信誉和健全的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财务会计制度</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；3）具有履行合同所必需的设备和专业技术能力；</w:t>
      </w:r>
      <w:r>
        <w:rPr>
          <w:rFonts w:ascii="宋体" w:hAnsi="宋体" w:cs="Arial"/>
          <w:color w:val="auto"/>
          <w:kern w:val="0"/>
          <w:szCs w:val="21"/>
          <w:highlight w:val="none"/>
        </w:rPr>
        <w:t>4</w:t>
      </w:r>
      <w:r>
        <w:rPr>
          <w:rFonts w:hint="eastAsia" w:ascii="宋体" w:hAnsi="宋体" w:cs="Arial"/>
          <w:color w:val="auto"/>
          <w:kern w:val="0"/>
          <w:szCs w:val="21"/>
          <w:highlight w:val="none"/>
        </w:rPr>
        <w:t>）有依法缴纳税收和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社会保障资金</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的良好记录；</w:t>
      </w:r>
      <w:r>
        <w:rPr>
          <w:rFonts w:ascii="宋体" w:hAnsi="宋体" w:cs="Arial"/>
          <w:color w:val="auto"/>
          <w:kern w:val="0"/>
          <w:szCs w:val="21"/>
          <w:highlight w:val="none"/>
        </w:rPr>
        <w:t>5</w:t>
      </w:r>
      <w:r>
        <w:rPr>
          <w:rFonts w:hint="eastAsia" w:ascii="宋体" w:hAnsi="宋体" w:cs="Arial"/>
          <w:color w:val="auto"/>
          <w:kern w:val="0"/>
          <w:szCs w:val="21"/>
          <w:highlight w:val="none"/>
        </w:rPr>
        <w:t>）参加采购活动前三年内，在经营活动中没有重大违法记录；</w:t>
      </w:r>
      <w:r>
        <w:rPr>
          <w:rFonts w:ascii="宋体" w:hAnsi="宋体" w:cs="Arial"/>
          <w:color w:val="auto"/>
          <w:kern w:val="0"/>
          <w:szCs w:val="21"/>
          <w:highlight w:val="none"/>
        </w:rPr>
        <w:t>6</w:t>
      </w:r>
      <w:r>
        <w:rPr>
          <w:rFonts w:hint="eastAsia" w:ascii="宋体" w:hAnsi="宋体" w:cs="Arial"/>
          <w:color w:val="auto"/>
          <w:kern w:val="0"/>
          <w:szCs w:val="21"/>
          <w:highlight w:val="none"/>
        </w:rPr>
        <w:t>）法律、行政法规规定的其他条件。</w:t>
      </w:r>
    </w:p>
    <w:p w14:paraId="601AB3A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2.本项目的特定资格要求：</w:t>
      </w:r>
      <w:r>
        <w:rPr>
          <w:rFonts w:hint="eastAsia" w:ascii="宋体" w:hAnsi="宋体" w:eastAsia="宋体" w:cs="Arial"/>
          <w:color w:val="auto"/>
          <w:kern w:val="0"/>
          <w:szCs w:val="21"/>
          <w:highlight w:val="none"/>
          <w:lang w:val="en-US" w:eastAsia="zh-CN"/>
        </w:rPr>
        <w:t>具有有效的营业执照并具备独立法人资格</w:t>
      </w:r>
      <w:r>
        <w:rPr>
          <w:rFonts w:hint="eastAsia" w:ascii="宋体" w:hAnsi="宋体" w:eastAsia="宋体" w:cs="Arial"/>
          <w:color w:val="auto"/>
          <w:kern w:val="0"/>
          <w:szCs w:val="21"/>
          <w:highlight w:val="none"/>
        </w:rPr>
        <w:t>；</w:t>
      </w:r>
    </w:p>
    <w:p w14:paraId="072D1068">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3.单位负责人为同一人或者存在直接控股、管理关系的不同供应商，不得参加本采购活动；</w:t>
      </w:r>
    </w:p>
    <w:p w14:paraId="59656B4F">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4.投标人和投标人的法定代表人（或负责人）/负责人未被列入失信被执行人、重大税收违法案件当事人名单、政府采购严重违法失信行为记录名单等。</w:t>
      </w:r>
    </w:p>
    <w:p w14:paraId="37C8AA61">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三、获取招标文件</w:t>
      </w:r>
    </w:p>
    <w:p w14:paraId="62BA6A8A">
      <w:pPr>
        <w:widowControl/>
        <w:spacing w:before="100" w:beforeAutospacing="1" w:after="100" w:afterAutospacing="1" w:line="405" w:lineRule="atLeast"/>
        <w:ind w:firstLine="420"/>
        <w:rPr>
          <w:bCs/>
          <w:color w:val="auto"/>
          <w:szCs w:val="24"/>
          <w:highlight w:val="none"/>
        </w:rPr>
      </w:pPr>
      <w:r>
        <w:rPr>
          <w:rFonts w:hint="eastAsia" w:cs="宋体"/>
          <w:color w:val="auto"/>
          <w:szCs w:val="21"/>
          <w:highlight w:val="none"/>
        </w:rPr>
        <w:t>时间：</w:t>
      </w:r>
      <w:r>
        <w:rPr>
          <w:rFonts w:hint="eastAsia" w:cs="宋体"/>
          <w:color w:val="auto"/>
          <w:szCs w:val="21"/>
          <w:highlight w:val="yellow"/>
        </w:rPr>
        <w:t>提交投标文件截止时间前</w:t>
      </w:r>
      <w:r>
        <w:rPr>
          <w:rFonts w:hint="eastAsia"/>
          <w:bCs/>
          <w:color w:val="auto"/>
          <w:szCs w:val="24"/>
          <w:highlight w:val="none"/>
        </w:rPr>
        <w:t>。</w:t>
      </w:r>
    </w:p>
    <w:p w14:paraId="6B82A6BB">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地点：</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w:t>
      </w:r>
      <w:r>
        <w:rPr>
          <w:rFonts w:hint="eastAsia" w:ascii="宋体" w:hAnsi="宋体" w:cs="Arial"/>
          <w:color w:val="auto"/>
          <w:kern w:val="0"/>
          <w:szCs w:val="21"/>
          <w:highlight w:val="none"/>
        </w:rPr>
        <w:t>。</w:t>
      </w:r>
    </w:p>
    <w:p w14:paraId="6A178DD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方式：通过</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）下载</w:t>
      </w:r>
      <w:r>
        <w:rPr>
          <w:rFonts w:hint="eastAsia" w:ascii="宋体" w:hAnsi="宋体" w:cs="Arial"/>
          <w:color w:val="auto"/>
          <w:kern w:val="0"/>
          <w:szCs w:val="21"/>
          <w:highlight w:val="none"/>
        </w:rPr>
        <w:t>。</w:t>
      </w:r>
    </w:p>
    <w:p w14:paraId="7DDFC8B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售价：500/份，</w:t>
      </w:r>
      <w:r>
        <w:rPr>
          <w:rFonts w:hint="eastAsia"/>
          <w:bCs/>
          <w:color w:val="auto"/>
          <w:szCs w:val="24"/>
          <w:highlight w:val="none"/>
        </w:rPr>
        <w:t>采购文件售后不退。</w:t>
      </w:r>
    </w:p>
    <w:p w14:paraId="6239C068">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供应商需按照《浙江省政府采购供应商注册及诚信管理暂行办法》的规定在“浙江政府采购网(http://zfcg.czt.zj.gov.cn)”注册登记，成为浙江省政府采购网上注册入库的正式供应商。尚未正式注册入库的供应商，请注意注册所需时间。</w:t>
      </w:r>
    </w:p>
    <w:p w14:paraId="45779CE2">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本招标公告附件中的招标文件仅供阅览使用，供应商应在规定的招标文件获取期限内在乐采云平台登录供应商注册的账号后获取招标文件，未按上述方式获取招标文件的，不得对招标文件提起质疑。</w:t>
      </w:r>
    </w:p>
    <w:p w14:paraId="5A279EC9">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四、提交投标文件截止时间、开标时间和地点</w:t>
      </w:r>
    </w:p>
    <w:p w14:paraId="773D438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1.供应商</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lang w:val="en-US" w:eastAsia="zh-CN"/>
        </w:rPr>
        <w:t>10</w:t>
      </w:r>
      <w:r>
        <w:rPr>
          <w:rFonts w:hint="eastAsia" w:ascii="宋体" w:hAnsi="宋体" w:cs="Arial"/>
          <w:color w:val="auto"/>
          <w:kern w:val="0"/>
          <w:szCs w:val="21"/>
          <w:highlight w:val="none"/>
        </w:rPr>
        <w:t>点00分（北京时间）前将电子投标文件上传到国企采购乐彩云平台（https://nbsc.lecaiyun.com/），未上传电子投标文件的，视为供应商放弃投标。</w:t>
      </w:r>
    </w:p>
    <w:p w14:paraId="4E4BF3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2.供应商如提供备份投标文件的，应于</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lang w:val="en-US" w:eastAsia="zh-CN"/>
        </w:rPr>
        <w:t>10</w:t>
      </w:r>
      <w:r>
        <w:rPr>
          <w:rFonts w:hint="eastAsia" w:ascii="宋体" w:hAnsi="宋体" w:cs="Arial"/>
          <w:color w:val="auto"/>
          <w:kern w:val="0"/>
          <w:szCs w:val="21"/>
          <w:highlight w:val="none"/>
        </w:rPr>
        <w:t>点00分（北京时间）前，将以U盘存储的电子备份投标文件和纸质备份投标文件分别密封，安排相关人员（原则上不超过一名）将投标文件（电子备份投标文件和纸质备份投标文件）递交至宁海县公共资源交易中心（宁海县桃源街道金水东路5号五楼，详见五楼大厅公告），逾期送达或未密封将予以拒收。供应商仅提供备份投标文件（包括以U盘存储的电子备份投标文件或纸质备份投标）的，投标无效。</w:t>
      </w:r>
    </w:p>
    <w:p w14:paraId="254335C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3.如因系统或部分电子投标文件无法解密，而采用纸质备份投标文件线下评审程序时，供应商在投标截止时间前未提交纸质备份投标文件的，视为供应商放弃投标。</w:t>
      </w:r>
    </w:p>
    <w:p w14:paraId="6B02B3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4.开标时间：</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lang w:val="en-US" w:eastAsia="zh-CN"/>
        </w:rPr>
        <w:t>10</w:t>
      </w:r>
      <w:r>
        <w:rPr>
          <w:rFonts w:hint="eastAsia" w:ascii="宋体" w:hAnsi="宋体" w:cs="Arial"/>
          <w:color w:val="auto"/>
          <w:kern w:val="0"/>
          <w:szCs w:val="21"/>
          <w:highlight w:val="none"/>
        </w:rPr>
        <w:t>点00分（北京时间）。</w:t>
      </w:r>
    </w:p>
    <w:p w14:paraId="7544F22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5.开标地点：宁海县公共资源交易中心（宁海县桃源街道金水东路5号五楼，详见五楼大厅公告）。本项目通过“国企采购乐彩云平台（https://nbsc.lecaiyun.com/）”实行在线制作并提交投标文件（电子投标）。</w:t>
      </w:r>
    </w:p>
    <w:p w14:paraId="367A4E86">
      <w:pPr>
        <w:widowControl/>
        <w:spacing w:before="100" w:beforeAutospacing="1" w:after="100" w:afterAutospacing="1" w:line="405" w:lineRule="atLeast"/>
        <w:ind w:firstLine="420"/>
        <w:jc w:val="left"/>
        <w:rPr>
          <w:rFonts w:cs="宋体"/>
          <w:color w:val="auto"/>
          <w:szCs w:val="21"/>
          <w:highlight w:val="none"/>
        </w:rPr>
      </w:pPr>
      <w:r>
        <w:rPr>
          <w:rFonts w:hint="eastAsia" w:ascii="宋体" w:hAnsi="宋体" w:cs="Arial"/>
          <w:color w:val="auto"/>
          <w:kern w:val="0"/>
          <w:szCs w:val="21"/>
          <w:highlight w:val="none"/>
        </w:rPr>
        <w:t>6.采购代理机构在招标文件规定的时间通过政府乐采云平台组织开标、开启投标文件，所有供应商均应准时在线参加。开标时间后30分钟内（</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lang w:val="en-US" w:eastAsia="zh-CN"/>
        </w:rPr>
        <w:t>10</w:t>
      </w:r>
      <w:r>
        <w:rPr>
          <w:rFonts w:hint="eastAsia" w:ascii="宋体" w:hAnsi="宋体" w:cs="Arial"/>
          <w:color w:val="auto"/>
          <w:kern w:val="0"/>
          <w:szCs w:val="21"/>
          <w:highlight w:val="none"/>
        </w:rPr>
        <w:t>点30分前）供应商可以登录政府乐采云平台，用“项目采购-开标评标”功能解密投标文件。若供应商在规定时间内（</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lang w:val="en-US" w:eastAsia="zh-CN"/>
        </w:rPr>
        <w:t>10</w:t>
      </w:r>
      <w:r>
        <w:rPr>
          <w:rFonts w:hint="eastAsia" w:ascii="宋体" w:hAnsi="宋体" w:cs="Arial"/>
          <w:color w:val="auto"/>
          <w:kern w:val="0"/>
          <w:szCs w:val="21"/>
          <w:highlight w:val="none"/>
        </w:rPr>
        <w:t>点30分</w:t>
      </w:r>
      <w:r>
        <w:rPr>
          <w:rFonts w:hint="eastAsia" w:ascii="宋体" w:hAnsi="宋体" w:cs="Arial"/>
          <w:color w:val="auto"/>
          <w:kern w:val="0"/>
          <w:szCs w:val="21"/>
          <w:highlight w:val="none"/>
          <w:shd w:val="clear" w:color="auto" w:fill="FFFFFF"/>
        </w:rPr>
        <w:t>前</w:t>
      </w:r>
      <w:r>
        <w:rPr>
          <w:rFonts w:hint="eastAsia" w:ascii="宋体" w:hAnsi="宋体" w:cs="Arial"/>
          <w:color w:val="auto"/>
          <w:kern w:val="0"/>
          <w:szCs w:val="21"/>
          <w:highlight w:val="none"/>
        </w:rPr>
        <w:t>）无法解密或解密失败，可使用电子备份投标文件进行或使用纸质备份投标文件进行线下评标。</w:t>
      </w:r>
    </w:p>
    <w:p w14:paraId="07C31B22">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五、公告期限</w:t>
      </w:r>
    </w:p>
    <w:p w14:paraId="364AE70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自本公告发布之日起5个工作日。</w:t>
      </w:r>
    </w:p>
    <w:p w14:paraId="06FF1A37">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六、</w:t>
      </w:r>
      <w:r>
        <w:rPr>
          <w:rFonts w:hint="eastAsia" w:ascii="Arial" w:hAnsi="Arial" w:eastAsia="微软雅黑" w:cs="Arial"/>
          <w:color w:val="auto"/>
          <w:kern w:val="0"/>
          <w:szCs w:val="21"/>
          <w:highlight w:val="none"/>
        </w:rPr>
        <w:t>其他补充事宜</w:t>
      </w:r>
    </w:p>
    <w:p w14:paraId="5153C5D0">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424707A2">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2.投标与开标注意事项：</w:t>
      </w:r>
    </w:p>
    <w:p w14:paraId="2061785A">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2.1本项目实行网上投标，采用电子响应文件。若供应商参与投标，自行承担投标一切费用。</w:t>
      </w:r>
    </w:p>
    <w:p w14:paraId="7B4E9E9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2.2标前准备：各供应商应在开标前确保成为浙江政府采购网正式注册入库供应商，并完成CA数字证书办理。同时供应商须保证在政府乐采云平台注册的手机号码通讯畅通，能够及时收到评标过程中发送的询标通知。因未注册入库、未办理CA数字证书、手机通讯不畅等原因造成无法投标、投标失败或响应不及时等后果由供应商自行承担。</w:t>
      </w:r>
    </w:p>
    <w:p w14:paraId="68B8439D">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2.3响应文件制作：</w:t>
      </w:r>
    </w:p>
    <w:p w14:paraId="17004B7E">
      <w:pPr>
        <w:widowControl/>
        <w:spacing w:before="100" w:beforeAutospacing="1" w:line="405" w:lineRule="atLeast"/>
        <w:ind w:firstLine="420"/>
        <w:jc w:val="left"/>
        <w:outlineLvl w:val="1"/>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rPr>
        <w:t>2.3.1应按照本项目采购文件和政府乐采云平台的要求编制、加密并递交响应文件。供应商在使用系统进行投标的过程中遇到涉及平台使用的任何问题，可致电政府乐采云平台技术支持热线咨询，联系方式：</w:t>
      </w:r>
      <w:r>
        <w:rPr>
          <w:rFonts w:hint="eastAsia" w:ascii="宋体" w:hAnsi="宋体" w:eastAsia="宋体" w:cs="Arial"/>
          <w:color w:val="auto"/>
          <w:kern w:val="0"/>
          <w:szCs w:val="21"/>
          <w:highlight w:val="none"/>
          <w:lang w:val="en-US" w:eastAsia="zh-CN"/>
        </w:rPr>
        <w:t>9</w:t>
      </w:r>
      <w:r>
        <w:rPr>
          <w:rFonts w:hint="eastAsia" w:ascii="宋体" w:hAnsi="宋体" w:eastAsia="宋体" w:cs="Arial"/>
          <w:color w:val="auto"/>
          <w:kern w:val="0"/>
          <w:szCs w:val="21"/>
          <w:highlight w:val="none"/>
        </w:rPr>
        <w:t>576</w:t>
      </w:r>
      <w:r>
        <w:rPr>
          <w:rFonts w:hint="eastAsia" w:ascii="宋体" w:hAnsi="宋体" w:eastAsia="宋体" w:cs="Arial"/>
          <w:color w:val="auto"/>
          <w:kern w:val="0"/>
          <w:szCs w:val="21"/>
          <w:highlight w:val="none"/>
          <w:lang w:val="en-US" w:eastAsia="zh-CN"/>
        </w:rPr>
        <w:t>3</w:t>
      </w:r>
    </w:p>
    <w:p w14:paraId="2D28B98F">
      <w:pPr>
        <w:widowControl/>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2.3.2供应商通过政府乐采云平台电子投标工具制作响应文件，电子投标工具请供应商自行前往浙江政府采购网下载并安装，响应文件制作具体流程详见政府乐采云平台。</w:t>
      </w:r>
    </w:p>
    <w:p w14:paraId="459C3487">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eastAsia="宋体" w:cs="Arial"/>
          <w:color w:val="auto"/>
          <w:kern w:val="0"/>
          <w:szCs w:val="21"/>
          <w:highlight w:val="none"/>
        </w:rPr>
        <w:t>2.3.3以U盘存储的电子备份响应文件1份，按政府乐采云平台要求制作的</w:t>
      </w:r>
      <w:r>
        <w:rPr>
          <w:rFonts w:hint="eastAsia" w:ascii="宋体" w:hAnsi="宋体" w:cs="Arial"/>
          <w:color w:val="auto"/>
          <w:kern w:val="0"/>
          <w:szCs w:val="21"/>
          <w:highlight w:val="none"/>
        </w:rPr>
        <w:t>电子备份响应文件，以用于异常情况处理。</w:t>
      </w:r>
    </w:p>
    <w:p w14:paraId="77DF7217">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2.3.4本项目供应商仍应准备纸质响应文件。当电子开评标无法正常进行时，即转为线下评标。若在此种情况下，由于供应商未提交纸质响应文件而导致该供应商放弃投标，由供应商自行承担。</w:t>
      </w:r>
    </w:p>
    <w:p w14:paraId="09DE996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2.4本采购公告附件中的采购文件仅供阅览使用，供应商应在规定的采购文件获取期限内在企采云平台登录供应商注册的账号后获取采购文件，未按上述方式获取采购文件的，不得对采购文件提起质疑投诉。</w:t>
      </w:r>
    </w:p>
    <w:p w14:paraId="47D85D92">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2.5供应商应于提交响应文件截止时间前将电子响应文件上传到政府乐采云平台www.zcygov.cn，未上传电子响应文件，视为供应商放弃投标。</w:t>
      </w:r>
    </w:p>
    <w:p w14:paraId="4F579933">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2.6供应商电子备份响应文件和纸质响应文件的投标方式：供应商可采用邮寄（含快递）方式或现场方式递交。</w:t>
      </w:r>
    </w:p>
    <w:p w14:paraId="6A324A51">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2.6.1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采用邮寄方式递交的必须在提交投标文件截止时间</w:t>
      </w:r>
      <w:r>
        <w:rPr>
          <w:rFonts w:hint="eastAsia" w:ascii="宋体" w:hAnsi="宋体" w:cs="Arial"/>
          <w:color w:val="auto"/>
          <w:kern w:val="0"/>
          <w:szCs w:val="21"/>
          <w:highlight w:val="none"/>
          <w:lang w:val="en-US" w:eastAsia="zh-CN"/>
        </w:rPr>
        <w:t>前一天的</w:t>
      </w:r>
      <w:r>
        <w:rPr>
          <w:rFonts w:hint="eastAsia" w:ascii="宋体" w:hAnsi="宋体" w:cs="Arial"/>
          <w:color w:val="auto"/>
          <w:kern w:val="0"/>
          <w:szCs w:val="21"/>
          <w:highlight w:val="none"/>
        </w:rPr>
        <w:t>16:00前到件，邮寄地址为：宁波市宁海县兴工二路29号三楼，收件人：周工 联系方式：15257871020。供应商自行安排好邮寄事宜，招标代理机构不对邮寄过程中的任何事情负责。</w:t>
      </w:r>
    </w:p>
    <w:p w14:paraId="03BD98C4">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请各供应商确保密封</w:t>
      </w:r>
      <w:r>
        <w:rPr>
          <w:rFonts w:hint="eastAsia" w:ascii="宋体" w:hAnsi="宋体" w:cs="Arial"/>
          <w:color w:val="auto"/>
          <w:kern w:val="0"/>
          <w:szCs w:val="21"/>
          <w:highlight w:val="none"/>
          <w:lang w:eastAsia="zh-CN"/>
        </w:rPr>
        <w:t>包装（含包装材料）</w:t>
      </w:r>
      <w:r>
        <w:rPr>
          <w:rFonts w:hint="eastAsia" w:ascii="宋体" w:hAnsi="宋体" w:cs="Arial"/>
          <w:color w:val="auto"/>
          <w:kern w:val="0"/>
          <w:szCs w:val="21"/>
          <w:highlight w:val="none"/>
        </w:rPr>
        <w:t>在邮寄过程密封</w:t>
      </w:r>
      <w:r>
        <w:rPr>
          <w:rFonts w:hint="eastAsia" w:ascii="宋体" w:hAnsi="宋体" w:cs="Arial"/>
          <w:color w:val="auto"/>
          <w:kern w:val="0"/>
          <w:szCs w:val="21"/>
          <w:highlight w:val="none"/>
          <w:lang w:eastAsia="zh-CN"/>
        </w:rPr>
        <w:t>包装（含包装材料）</w:t>
      </w:r>
      <w:r>
        <w:rPr>
          <w:rFonts w:hint="eastAsia" w:ascii="宋体" w:hAnsi="宋体" w:cs="Arial"/>
          <w:color w:val="auto"/>
          <w:kern w:val="0"/>
          <w:szCs w:val="21"/>
          <w:highlight w:val="none"/>
        </w:rPr>
        <w:t>完好，因邮寄过程的密封破损造成不符合开标要求的，本采购代理及采购人概不负责。</w:t>
      </w:r>
    </w:p>
    <w:p w14:paraId="17262753">
      <w:pPr>
        <w:widowControl/>
        <w:wordWrap w:val="0"/>
        <w:spacing w:before="100" w:beforeAutospacing="1" w:line="405" w:lineRule="atLeast"/>
        <w:ind w:firstLine="420"/>
        <w:jc w:val="left"/>
        <w:outlineLvl w:val="1"/>
        <w:rPr>
          <w:rFonts w:hint="eastAsia" w:ascii="宋体" w:hAnsi="宋体" w:cs="Arial"/>
          <w:color w:val="auto"/>
          <w:kern w:val="0"/>
          <w:szCs w:val="21"/>
          <w:highlight w:val="none"/>
        </w:rPr>
      </w:pPr>
      <w:r>
        <w:rPr>
          <w:rFonts w:hint="eastAsia" w:ascii="宋体" w:hAnsi="宋体" w:cs="Arial"/>
          <w:color w:val="auto"/>
          <w:kern w:val="0"/>
          <w:szCs w:val="21"/>
          <w:highlight w:val="none"/>
        </w:rPr>
        <w:t>2.6.2采用现场方式送达的，需按以下要求递交：所有供应商相关人员在投标截止时间前将备份响应文件送至投标地点。响应文件递交时需同时递交供应商的法定代表人（或其委托代理人）联系方式，并保证开标期间联系方式的畅通。</w:t>
      </w:r>
    </w:p>
    <w:p w14:paraId="4D3D3E1F">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hint="eastAsia" w:ascii="Arial" w:hAnsi="Arial" w:eastAsia="微软雅黑" w:cs="Arial"/>
          <w:color w:val="auto"/>
          <w:kern w:val="0"/>
          <w:szCs w:val="21"/>
          <w:highlight w:val="none"/>
        </w:rPr>
        <w:t>七</w:t>
      </w:r>
      <w:r>
        <w:rPr>
          <w:rFonts w:ascii="Arial" w:hAnsi="Arial" w:eastAsia="微软雅黑" w:cs="Arial"/>
          <w:color w:val="auto"/>
          <w:kern w:val="0"/>
          <w:szCs w:val="21"/>
          <w:highlight w:val="none"/>
        </w:rPr>
        <w:t>、</w:t>
      </w:r>
      <w:r>
        <w:rPr>
          <w:rFonts w:hint="eastAsia" w:ascii="Arial" w:hAnsi="Arial" w:eastAsia="微软雅黑" w:cs="Arial"/>
          <w:color w:val="auto"/>
          <w:kern w:val="0"/>
          <w:szCs w:val="21"/>
          <w:highlight w:val="none"/>
        </w:rPr>
        <w:t>投标</w:t>
      </w:r>
      <w:r>
        <w:rPr>
          <w:rFonts w:ascii="Arial" w:hAnsi="Arial" w:eastAsia="微软雅黑" w:cs="Arial"/>
          <w:color w:val="auto"/>
          <w:kern w:val="0"/>
          <w:szCs w:val="21"/>
          <w:highlight w:val="none"/>
        </w:rPr>
        <w:t>保证金</w:t>
      </w:r>
    </w:p>
    <w:p w14:paraId="12FB9B3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 投标保证金：人民币</w:t>
      </w:r>
      <w:r>
        <w:rPr>
          <w:rFonts w:hint="eastAsia" w:ascii="宋体" w:hAnsi="宋体" w:cs="Arial"/>
          <w:color w:val="auto"/>
          <w:kern w:val="0"/>
          <w:szCs w:val="21"/>
          <w:highlight w:val="none"/>
          <w:lang w:val="en-US" w:eastAsia="zh-CN"/>
        </w:rPr>
        <w:t>叁拾玖</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390000</w:t>
      </w:r>
      <w:r>
        <w:rPr>
          <w:rFonts w:hint="eastAsia" w:ascii="宋体" w:hAnsi="宋体" w:cs="Arial"/>
          <w:color w:val="auto"/>
          <w:kern w:val="0"/>
          <w:szCs w:val="21"/>
          <w:highlight w:val="none"/>
        </w:rPr>
        <w:t>.00）。</w:t>
      </w:r>
    </w:p>
    <w:p w14:paraId="64ACA11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 投标保证金交纳形式：</w:t>
      </w:r>
      <w:r>
        <w:rPr>
          <w:rFonts w:hint="eastAsia" w:ascii="宋体" w:hAnsi="宋体" w:cs="Arial"/>
          <w:color w:val="auto"/>
          <w:kern w:val="0"/>
          <w:szCs w:val="21"/>
          <w:highlight w:val="none"/>
          <w:lang w:val="en-US" w:eastAsia="zh-CN"/>
        </w:rPr>
        <w:t>网银转账、</w:t>
      </w:r>
      <w:r>
        <w:rPr>
          <w:rFonts w:hint="eastAsia" w:ascii="宋体" w:hAnsi="宋体" w:cs="Arial"/>
          <w:color w:val="auto"/>
          <w:kern w:val="0"/>
          <w:szCs w:val="21"/>
          <w:highlight w:val="none"/>
        </w:rPr>
        <w:t>电汇、支票、汇票、本票等采购人认可的非现金形式。</w:t>
      </w:r>
    </w:p>
    <w:p w14:paraId="5A107AE0">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八、对本次招标提出询问，请按以下方式联系。</w:t>
      </w:r>
    </w:p>
    <w:p w14:paraId="64275720">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1.采购人信息</w:t>
      </w:r>
    </w:p>
    <w:p w14:paraId="0D8D253D">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采购人：</w:t>
      </w:r>
      <w:r>
        <w:rPr>
          <w:rFonts w:hint="eastAsia" w:ascii="宋体" w:hAnsi="宋体" w:cs="Arial"/>
          <w:color w:val="auto"/>
          <w:kern w:val="0"/>
          <w:szCs w:val="21"/>
          <w:highlight w:val="none"/>
          <w:u w:val="single"/>
          <w:lang w:eastAsia="zh-CN"/>
        </w:rPr>
        <w:t>宁海县裕拓农业经营有限公司</w:t>
      </w:r>
    </w:p>
    <w:p w14:paraId="64689CDE">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u w:val="single"/>
          <w:lang w:eastAsia="zh-CN"/>
        </w:rPr>
      </w:pPr>
      <w:r>
        <w:rPr>
          <w:rFonts w:hint="eastAsia" w:ascii="宋体" w:hAnsi="宋体" w:cs="Arial"/>
          <w:color w:val="auto"/>
          <w:kern w:val="0"/>
          <w:szCs w:val="21"/>
          <w:highlight w:val="none"/>
        </w:rPr>
        <w:t>地址：</w:t>
      </w:r>
      <w:r>
        <w:rPr>
          <w:rFonts w:hint="eastAsia" w:ascii="宋体" w:hAnsi="宋体" w:cs="Arial"/>
          <w:color w:val="auto"/>
          <w:kern w:val="0"/>
          <w:szCs w:val="21"/>
          <w:highlight w:val="none"/>
          <w:u w:val="single"/>
          <w:lang w:eastAsia="zh-CN"/>
        </w:rPr>
        <w:t>宁海县桃源街道天明中路大中山商务楼A座16层</w:t>
      </w:r>
    </w:p>
    <w:p w14:paraId="18D417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联系人：</w:t>
      </w:r>
      <w:r>
        <w:rPr>
          <w:rFonts w:hint="eastAsia" w:ascii="宋体" w:hAnsi="宋体" w:cs="Arial"/>
          <w:color w:val="auto"/>
          <w:kern w:val="0"/>
          <w:szCs w:val="21"/>
          <w:highlight w:val="none"/>
          <w:u w:val="single"/>
          <w:lang w:val="en-US" w:eastAsia="zh-CN"/>
        </w:rPr>
        <w:t>魏先生</w:t>
      </w:r>
    </w:p>
    <w:p w14:paraId="6596DF9E">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联系方式：</w:t>
      </w:r>
      <w:r>
        <w:rPr>
          <w:rFonts w:hint="eastAsia" w:ascii="宋体" w:hAnsi="宋体" w:cs="Arial"/>
          <w:color w:val="auto"/>
          <w:kern w:val="0"/>
          <w:szCs w:val="21"/>
          <w:highlight w:val="none"/>
          <w:u w:val="single"/>
          <w:lang w:eastAsia="zh-CN"/>
        </w:rPr>
        <w:t>0574-89563113</w:t>
      </w:r>
    </w:p>
    <w:p w14:paraId="267C1EB6">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2.采购代理机构信息</w:t>
      </w:r>
    </w:p>
    <w:p w14:paraId="4CC1AAC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代理机构：</w:t>
      </w:r>
      <w:r>
        <w:rPr>
          <w:rFonts w:hint="eastAsia" w:ascii="宋体" w:hAnsi="宋体" w:cs="Arial"/>
          <w:color w:val="auto"/>
          <w:kern w:val="0"/>
          <w:szCs w:val="21"/>
          <w:highlight w:val="none"/>
          <w:u w:val="single"/>
        </w:rPr>
        <w:t>中冠</w:t>
      </w:r>
      <w:r>
        <w:rPr>
          <w:rFonts w:ascii="宋体" w:hAnsi="宋体" w:cs="Arial"/>
          <w:color w:val="auto"/>
          <w:kern w:val="0"/>
          <w:szCs w:val="21"/>
          <w:highlight w:val="none"/>
          <w:u w:val="single"/>
        </w:rPr>
        <w:t>工程管理咨询有限公司</w:t>
      </w:r>
    </w:p>
    <w:p w14:paraId="7F693548">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ascii="宋体" w:hAnsi="宋体" w:cs="Arial"/>
          <w:color w:val="auto"/>
          <w:kern w:val="0"/>
          <w:szCs w:val="21"/>
          <w:highlight w:val="none"/>
        </w:rPr>
        <w:t>联系地址：</w:t>
      </w:r>
      <w:r>
        <w:rPr>
          <w:rFonts w:ascii="宋体" w:hAnsi="宋体" w:cs="Arial"/>
          <w:color w:val="auto"/>
          <w:kern w:val="0"/>
          <w:szCs w:val="21"/>
          <w:highlight w:val="none"/>
          <w:u w:val="single"/>
        </w:rPr>
        <w:t>宁海县兴工二路29号</w:t>
      </w:r>
    </w:p>
    <w:p w14:paraId="7FA430CB">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项目联系人：</w:t>
      </w:r>
      <w:r>
        <w:rPr>
          <w:rFonts w:hint="eastAsia" w:ascii="宋体" w:hAnsi="宋体" w:cs="Arial"/>
          <w:color w:val="auto"/>
          <w:kern w:val="0"/>
          <w:szCs w:val="21"/>
          <w:highlight w:val="none"/>
          <w:u w:val="single"/>
        </w:rPr>
        <w:t>周全</w:t>
      </w:r>
    </w:p>
    <w:p w14:paraId="03FF8B1C">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联系方式</w:t>
      </w:r>
      <w:r>
        <w:rPr>
          <w:rFonts w:hint="eastAsia" w:ascii="宋体" w:hAnsi="宋体" w:cs="Arial"/>
          <w:color w:val="auto"/>
          <w:kern w:val="0"/>
          <w:szCs w:val="21"/>
          <w:highlight w:val="none"/>
        </w:rPr>
        <w:t>：</w:t>
      </w:r>
      <w:r>
        <w:rPr>
          <w:rFonts w:hint="eastAsia" w:ascii="宋体" w:hAnsi="宋体" w:cs="Arial"/>
          <w:color w:val="auto"/>
          <w:kern w:val="0"/>
          <w:szCs w:val="21"/>
          <w:highlight w:val="none"/>
          <w:u w:val="single"/>
        </w:rPr>
        <w:t>15257871020</w:t>
      </w:r>
    </w:p>
    <w:p w14:paraId="7494757C">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bookmarkStart w:id="4" w:name="_Hlt21454969"/>
      <w:bookmarkEnd w:id="4"/>
      <w:bookmarkStart w:id="5" w:name="_Hlt21454953"/>
      <w:bookmarkEnd w:id="5"/>
      <w:bookmarkStart w:id="6" w:name="_Hlt21454954"/>
      <w:bookmarkEnd w:id="6"/>
      <w:bookmarkStart w:id="7" w:name="_Hlt21454952"/>
      <w:bookmarkEnd w:id="7"/>
      <w:r>
        <w:rPr>
          <w:rFonts w:hint="eastAsia" w:ascii="宋体" w:hAnsi="宋体" w:cs="Arial"/>
          <w:color w:val="auto"/>
          <w:kern w:val="0"/>
          <w:szCs w:val="21"/>
          <w:highlight w:val="none"/>
        </w:rPr>
        <w:t>3.监管部门及联系方式</w:t>
      </w:r>
    </w:p>
    <w:p w14:paraId="01276D04">
      <w:pPr>
        <w:widowControl/>
        <w:wordWrap w:val="0"/>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采购监督管理部门：</w:t>
      </w:r>
      <w:r>
        <w:rPr>
          <w:rFonts w:hint="eastAsia" w:ascii="宋体" w:hAnsi="宋体" w:eastAsia="宋体" w:cs="Arial"/>
          <w:color w:val="auto"/>
          <w:kern w:val="0"/>
          <w:szCs w:val="21"/>
          <w:highlight w:val="none"/>
          <w:u w:val="single"/>
        </w:rPr>
        <w:t>宁海县农业发展集团有限公司</w:t>
      </w:r>
    </w:p>
    <w:p w14:paraId="323A6419">
      <w:pPr>
        <w:widowControl/>
        <w:wordWrap w:val="0"/>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地址：</w:t>
      </w:r>
      <w:r>
        <w:rPr>
          <w:rFonts w:hint="eastAsia" w:ascii="宋体" w:hAnsi="宋体" w:eastAsia="宋体" w:cs="Arial"/>
          <w:color w:val="auto"/>
          <w:kern w:val="0"/>
          <w:szCs w:val="21"/>
          <w:highlight w:val="none"/>
          <w:u w:val="single"/>
        </w:rPr>
        <w:t>宁海县桃源街道天明中路大中山商务楼A座16层</w:t>
      </w:r>
    </w:p>
    <w:p w14:paraId="47E8A35E">
      <w:pPr>
        <w:widowControl/>
        <w:spacing w:before="100" w:beforeAutospacing="1" w:after="100" w:afterAutospacing="1" w:line="405" w:lineRule="atLeast"/>
        <w:ind w:firstLine="420"/>
        <w:jc w:val="left"/>
        <w:rPr>
          <w:rFonts w:hint="default" w:eastAsia="宋体" w:cs="宋体"/>
          <w:color w:val="auto"/>
          <w:szCs w:val="21"/>
          <w:highlight w:val="none"/>
          <w:lang w:val="en-US" w:eastAsia="zh-CN"/>
        </w:rPr>
      </w:pPr>
      <w:r>
        <w:rPr>
          <w:rFonts w:hint="eastAsia" w:cs="宋体"/>
          <w:color w:val="auto"/>
          <w:szCs w:val="21"/>
          <w:highlight w:val="none"/>
        </w:rPr>
        <w:t>联系人：</w:t>
      </w:r>
      <w:r>
        <w:rPr>
          <w:rFonts w:hint="eastAsia" w:ascii="宋体" w:hAnsi="宋体" w:eastAsia="宋体" w:cs="Arial"/>
          <w:color w:val="auto"/>
          <w:kern w:val="0"/>
          <w:szCs w:val="21"/>
          <w:highlight w:val="none"/>
          <w:u w:val="single"/>
          <w:lang w:val="en-US" w:eastAsia="zh-CN"/>
        </w:rPr>
        <w:t>应老师</w:t>
      </w:r>
    </w:p>
    <w:p w14:paraId="035C6D0F">
      <w:pPr>
        <w:widowControl/>
        <w:spacing w:before="100" w:beforeAutospacing="1" w:after="100" w:afterAutospacing="1" w:line="405" w:lineRule="atLeast"/>
        <w:ind w:firstLine="420"/>
        <w:jc w:val="left"/>
        <w:rPr>
          <w:rFonts w:hint="default" w:eastAsia="宋体" w:cs="宋体"/>
          <w:color w:val="auto"/>
          <w:szCs w:val="21"/>
          <w:highlight w:val="none"/>
          <w:lang w:val="en-US" w:eastAsia="zh-CN"/>
        </w:rPr>
      </w:pPr>
      <w:r>
        <w:rPr>
          <w:rFonts w:hint="eastAsia" w:cs="宋体"/>
          <w:color w:val="auto"/>
          <w:szCs w:val="21"/>
          <w:highlight w:val="none"/>
        </w:rPr>
        <w:t>联系电话/传真：</w:t>
      </w:r>
      <w:r>
        <w:rPr>
          <w:rFonts w:hint="eastAsia" w:ascii="宋体" w:hAnsi="宋体" w:eastAsia="宋体" w:cs="Arial"/>
          <w:color w:val="auto"/>
          <w:kern w:val="0"/>
          <w:szCs w:val="21"/>
          <w:highlight w:val="none"/>
          <w:u w:val="single"/>
          <w:lang w:val="en-US" w:eastAsia="zh-CN"/>
        </w:rPr>
        <w:t>18758380456</w:t>
      </w:r>
    </w:p>
    <w:p w14:paraId="2F0428E5">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Arial" w:hAnsi="Arial" w:eastAsia="微软雅黑" w:cs="Arial"/>
          <w:color w:val="auto"/>
          <w:kern w:val="0"/>
          <w:szCs w:val="21"/>
          <w:highlight w:val="none"/>
        </w:rPr>
        <w:t>八、财务信息：</w:t>
      </w:r>
    </w:p>
    <w:p w14:paraId="293FB9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投标保证金及中标服务费账号：</w:t>
      </w:r>
    </w:p>
    <w:p w14:paraId="6620C2C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开户银行：中信银行宁波宁海支行</w:t>
      </w:r>
    </w:p>
    <w:p w14:paraId="7CAA9650">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户名：中冠工程管理咨询有限公司宁海分公司</w:t>
      </w:r>
    </w:p>
    <w:p w14:paraId="0A0F1A2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账号：8114701013500025347</w:t>
      </w:r>
    </w:p>
    <w:p w14:paraId="33B38C41">
      <w:pPr>
        <w:tabs>
          <w:tab w:val="left" w:pos="426"/>
        </w:tabs>
        <w:spacing w:line="440" w:lineRule="exact"/>
        <w:contextualSpacing/>
        <w:rPr>
          <w:color w:val="auto"/>
          <w:szCs w:val="24"/>
          <w:highlight w:val="none"/>
        </w:rPr>
        <w:sectPr>
          <w:footerReference r:id="rId9" w:type="first"/>
          <w:footerReference r:id="rId8" w:type="default"/>
          <w:pgSz w:w="11907" w:h="16840"/>
          <w:pgMar w:top="1304" w:right="1588" w:bottom="1304" w:left="1588" w:header="720" w:footer="720" w:gutter="0"/>
          <w:cols w:space="720" w:num="1"/>
          <w:titlePg/>
          <w:docGrid w:linePitch="285" w:charSpace="0"/>
        </w:sectPr>
      </w:pPr>
    </w:p>
    <w:p w14:paraId="2D836726">
      <w:pPr>
        <w:pStyle w:val="41"/>
        <w:rPr>
          <w:rFonts w:ascii="Times New Roman" w:hAnsi="Times New Roman"/>
          <w:color w:val="auto"/>
          <w:w w:val="80"/>
          <w:highlight w:val="none"/>
        </w:rPr>
      </w:pPr>
      <w:bookmarkStart w:id="8" w:name="_Toc435088063"/>
      <w:r>
        <w:rPr>
          <w:rFonts w:hint="eastAsia" w:ascii="Times New Roman" w:hAnsi="Times New Roman"/>
          <w:color w:val="auto"/>
          <w:kern w:val="44"/>
          <w:highlight w:val="none"/>
        </w:rPr>
        <w:t>第二部分投标资料表</w:t>
      </w:r>
      <w:bookmarkEnd w:id="8"/>
    </w:p>
    <w:tbl>
      <w:tblPr>
        <w:tblStyle w:val="45"/>
        <w:tblW w:w="925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8544"/>
      </w:tblGrid>
      <w:tr w14:paraId="0209EB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tblHeader/>
          <w:jc w:val="center"/>
        </w:trPr>
        <w:tc>
          <w:tcPr>
            <w:tcW w:w="714" w:type="dxa"/>
            <w:tcBorders>
              <w:bottom w:val="single" w:color="auto" w:sz="4" w:space="0"/>
            </w:tcBorders>
            <w:vAlign w:val="center"/>
          </w:tcPr>
          <w:p w14:paraId="0C1EDE6C">
            <w:pPr>
              <w:spacing w:line="340" w:lineRule="exact"/>
              <w:ind w:left="-108" w:right="-113"/>
              <w:contextualSpacing/>
              <w:rPr>
                <w:rFonts w:ascii="Arial" w:hAnsi="Arial" w:eastAsia="黑体"/>
                <w:b/>
                <w:bCs/>
                <w:color w:val="auto"/>
                <w:sz w:val="32"/>
                <w:szCs w:val="24"/>
                <w:highlight w:val="none"/>
              </w:rPr>
            </w:pPr>
            <w:r>
              <w:rPr>
                <w:rFonts w:hint="eastAsia"/>
                <w:color w:val="auto"/>
                <w:szCs w:val="24"/>
                <w:highlight w:val="none"/>
              </w:rPr>
              <w:t>序号</w:t>
            </w:r>
          </w:p>
        </w:tc>
        <w:tc>
          <w:tcPr>
            <w:tcW w:w="8544" w:type="dxa"/>
            <w:tcBorders>
              <w:bottom w:val="single" w:color="auto" w:sz="4" w:space="0"/>
            </w:tcBorders>
            <w:vAlign w:val="center"/>
          </w:tcPr>
          <w:p w14:paraId="3AF97B42">
            <w:pPr>
              <w:spacing w:line="340" w:lineRule="exact"/>
              <w:contextualSpacing/>
              <w:jc w:val="center"/>
              <w:rPr>
                <w:color w:val="auto"/>
                <w:szCs w:val="24"/>
                <w:highlight w:val="none"/>
              </w:rPr>
            </w:pPr>
            <w:r>
              <w:rPr>
                <w:rFonts w:hint="eastAsia"/>
                <w:color w:val="auto"/>
                <w:szCs w:val="24"/>
                <w:highlight w:val="none"/>
              </w:rPr>
              <w:t>内容</w:t>
            </w:r>
          </w:p>
        </w:tc>
      </w:tr>
      <w:tr w14:paraId="71C91A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9258" w:type="dxa"/>
            <w:gridSpan w:val="2"/>
            <w:tcBorders>
              <w:top w:val="single" w:color="auto" w:sz="4" w:space="0"/>
              <w:bottom w:val="single" w:color="auto" w:sz="2" w:space="0"/>
            </w:tcBorders>
            <w:vAlign w:val="center"/>
          </w:tcPr>
          <w:p w14:paraId="063413BA">
            <w:pPr>
              <w:spacing w:line="340" w:lineRule="exact"/>
              <w:contextualSpacing/>
              <w:jc w:val="center"/>
              <w:rPr>
                <w:color w:val="auto"/>
                <w:szCs w:val="24"/>
                <w:highlight w:val="none"/>
              </w:rPr>
            </w:pPr>
            <w:r>
              <w:rPr>
                <w:rFonts w:hint="eastAsia"/>
                <w:color w:val="auto"/>
                <w:szCs w:val="24"/>
                <w:highlight w:val="none"/>
              </w:rPr>
              <w:t>说明部分</w:t>
            </w:r>
          </w:p>
        </w:tc>
      </w:tr>
      <w:tr w14:paraId="0B2141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4" w:type="dxa"/>
            <w:vMerge w:val="restart"/>
            <w:vAlign w:val="center"/>
          </w:tcPr>
          <w:p w14:paraId="18C716C1">
            <w:pPr>
              <w:autoSpaceDE w:val="0"/>
              <w:autoSpaceDN w:val="0"/>
              <w:snapToGrid w:val="0"/>
              <w:spacing w:line="440" w:lineRule="exact"/>
              <w:ind w:left="-95" w:right="-129"/>
              <w:contextualSpacing/>
              <w:jc w:val="center"/>
              <w:rPr>
                <w:color w:val="auto"/>
                <w:szCs w:val="21"/>
                <w:highlight w:val="none"/>
              </w:rPr>
            </w:pPr>
            <w:r>
              <w:rPr>
                <w:rFonts w:hint="eastAsia"/>
                <w:color w:val="auto"/>
                <w:szCs w:val="21"/>
                <w:highlight w:val="none"/>
              </w:rPr>
              <w:t>2.1</w:t>
            </w:r>
          </w:p>
        </w:tc>
        <w:tc>
          <w:tcPr>
            <w:tcW w:w="8544" w:type="dxa"/>
            <w:vAlign w:val="center"/>
          </w:tcPr>
          <w:p w14:paraId="0F3E2BCF">
            <w:pPr>
              <w:tabs>
                <w:tab w:val="left" w:pos="1580"/>
                <w:tab w:val="left" w:pos="3436"/>
                <w:tab w:val="left" w:pos="5512"/>
              </w:tabs>
              <w:spacing w:line="440" w:lineRule="exact"/>
              <w:ind w:left="21"/>
              <w:contextualSpacing/>
              <w:rPr>
                <w:rFonts w:hint="eastAsia" w:eastAsia="宋体"/>
                <w:color w:val="auto"/>
                <w:szCs w:val="24"/>
                <w:highlight w:val="none"/>
                <w:lang w:eastAsia="zh-CN"/>
              </w:rPr>
            </w:pPr>
            <w:r>
              <w:rPr>
                <w:rFonts w:hint="eastAsia"/>
                <w:color w:val="auto"/>
                <w:szCs w:val="24"/>
                <w:highlight w:val="none"/>
              </w:rPr>
              <w:t>采购人：</w:t>
            </w:r>
            <w:r>
              <w:rPr>
                <w:rFonts w:hint="eastAsia"/>
                <w:color w:val="auto"/>
                <w:szCs w:val="24"/>
                <w:highlight w:val="none"/>
                <w:lang w:eastAsia="zh-CN"/>
              </w:rPr>
              <w:t>宁海县裕拓农业经营有限公司</w:t>
            </w:r>
          </w:p>
          <w:p w14:paraId="4F4ADE51">
            <w:pPr>
              <w:tabs>
                <w:tab w:val="left" w:pos="426"/>
              </w:tabs>
              <w:spacing w:line="440" w:lineRule="exact"/>
              <w:contextualSpacing/>
              <w:rPr>
                <w:rFonts w:hint="eastAsia" w:eastAsia="宋体"/>
                <w:color w:val="auto"/>
                <w:szCs w:val="24"/>
                <w:highlight w:val="none"/>
                <w:lang w:eastAsia="zh-CN"/>
              </w:rPr>
            </w:pPr>
            <w:r>
              <w:rPr>
                <w:rFonts w:hint="eastAsia"/>
                <w:color w:val="auto"/>
                <w:szCs w:val="24"/>
                <w:highlight w:val="none"/>
              </w:rPr>
              <w:t>联系人：</w:t>
            </w:r>
            <w:r>
              <w:rPr>
                <w:rFonts w:hint="eastAsia"/>
                <w:color w:val="auto"/>
                <w:szCs w:val="24"/>
                <w:highlight w:val="none"/>
                <w:lang w:val="en-US" w:eastAsia="zh-CN"/>
              </w:rPr>
              <w:t xml:space="preserve">魏先生    </w:t>
            </w:r>
            <w:r>
              <w:rPr>
                <w:rFonts w:hint="eastAsia"/>
                <w:color w:val="auto"/>
                <w:szCs w:val="24"/>
                <w:highlight w:val="none"/>
              </w:rPr>
              <w:t>联系电话：</w:t>
            </w:r>
            <w:r>
              <w:rPr>
                <w:rFonts w:hint="eastAsia"/>
                <w:color w:val="auto"/>
                <w:szCs w:val="24"/>
                <w:highlight w:val="none"/>
                <w:lang w:eastAsia="zh-CN"/>
              </w:rPr>
              <w:t>0574-89563113</w:t>
            </w:r>
          </w:p>
        </w:tc>
      </w:tr>
      <w:tr w14:paraId="4312C1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vMerge w:val="continue"/>
            <w:vAlign w:val="center"/>
          </w:tcPr>
          <w:p w14:paraId="11CF536B">
            <w:pPr>
              <w:autoSpaceDE w:val="0"/>
              <w:autoSpaceDN w:val="0"/>
              <w:snapToGrid w:val="0"/>
              <w:spacing w:line="440" w:lineRule="exact"/>
              <w:ind w:left="-95" w:right="-129"/>
              <w:contextualSpacing/>
              <w:jc w:val="center"/>
              <w:rPr>
                <w:color w:val="auto"/>
                <w:szCs w:val="21"/>
                <w:highlight w:val="none"/>
              </w:rPr>
            </w:pPr>
          </w:p>
        </w:tc>
        <w:tc>
          <w:tcPr>
            <w:tcW w:w="8544" w:type="dxa"/>
            <w:vAlign w:val="center"/>
          </w:tcPr>
          <w:p w14:paraId="79EF468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代理机构：</w:t>
            </w:r>
            <w:r>
              <w:rPr>
                <w:rFonts w:hint="eastAsia"/>
                <w:color w:val="auto"/>
                <w:szCs w:val="24"/>
                <w:highlight w:val="none"/>
              </w:rPr>
              <w:t>中冠</w:t>
            </w:r>
            <w:r>
              <w:rPr>
                <w:color w:val="auto"/>
                <w:szCs w:val="24"/>
                <w:highlight w:val="none"/>
              </w:rPr>
              <w:t>工程管理咨询有限公司</w:t>
            </w:r>
          </w:p>
          <w:p w14:paraId="58E9FD2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联系地址：宁海县兴工二路29号</w:t>
            </w:r>
          </w:p>
          <w:p w14:paraId="41955F0A">
            <w:pPr>
              <w:tabs>
                <w:tab w:val="left" w:pos="1785"/>
                <w:tab w:val="left" w:pos="3436"/>
                <w:tab w:val="left" w:pos="5512"/>
              </w:tabs>
              <w:spacing w:line="440" w:lineRule="exact"/>
              <w:ind w:left="23"/>
              <w:contextualSpacing/>
              <w:rPr>
                <w:color w:val="auto"/>
                <w:szCs w:val="24"/>
                <w:highlight w:val="none"/>
              </w:rPr>
            </w:pPr>
            <w:r>
              <w:rPr>
                <w:rFonts w:hint="eastAsia"/>
                <w:color w:val="auto"/>
                <w:szCs w:val="24"/>
                <w:highlight w:val="none"/>
              </w:rPr>
              <w:t>联系人：周全</w:t>
            </w:r>
            <w:r>
              <w:rPr>
                <w:rFonts w:hint="eastAsia"/>
                <w:color w:val="auto"/>
                <w:szCs w:val="24"/>
                <w:highlight w:val="none"/>
              </w:rPr>
              <w:tab/>
            </w:r>
            <w:r>
              <w:rPr>
                <w:rFonts w:hint="eastAsia"/>
                <w:color w:val="auto"/>
                <w:szCs w:val="24"/>
                <w:highlight w:val="none"/>
              </w:rPr>
              <w:t>电话/传真：0574-83556096</w:t>
            </w:r>
          </w:p>
        </w:tc>
      </w:tr>
      <w:tr w14:paraId="45627F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tcBorders>
              <w:top w:val="single" w:color="auto" w:sz="4" w:space="0"/>
              <w:bottom w:val="single" w:color="auto" w:sz="2" w:space="0"/>
            </w:tcBorders>
            <w:vAlign w:val="center"/>
          </w:tcPr>
          <w:p w14:paraId="431988B7">
            <w:pPr>
              <w:spacing w:line="440" w:lineRule="exact"/>
              <w:contextualSpacing/>
              <w:jc w:val="center"/>
              <w:rPr>
                <w:color w:val="auto"/>
                <w:szCs w:val="24"/>
                <w:highlight w:val="none"/>
              </w:rPr>
            </w:pPr>
            <w:r>
              <w:rPr>
                <w:rFonts w:hint="eastAsia"/>
                <w:color w:val="auto"/>
                <w:szCs w:val="21"/>
                <w:highlight w:val="none"/>
              </w:rPr>
              <w:t>2.2</w:t>
            </w:r>
          </w:p>
        </w:tc>
        <w:tc>
          <w:tcPr>
            <w:tcW w:w="8544" w:type="dxa"/>
            <w:tcBorders>
              <w:top w:val="single" w:color="auto" w:sz="4" w:space="0"/>
              <w:bottom w:val="single" w:color="auto" w:sz="2" w:space="0"/>
            </w:tcBorders>
            <w:vAlign w:val="center"/>
          </w:tcPr>
          <w:p w14:paraId="365D2434">
            <w:pPr>
              <w:spacing w:line="440" w:lineRule="exact"/>
              <w:contextualSpacing/>
              <w:rPr>
                <w:color w:val="auto"/>
                <w:szCs w:val="22"/>
                <w:highlight w:val="none"/>
              </w:rPr>
            </w:pPr>
            <w:r>
              <w:rPr>
                <w:rFonts w:hint="eastAsia"/>
                <w:color w:val="auto"/>
                <w:szCs w:val="24"/>
                <w:highlight w:val="none"/>
              </w:rPr>
              <w:t>经批准的本次采购方式：公开招标</w:t>
            </w:r>
          </w:p>
        </w:tc>
      </w:tr>
      <w:tr w14:paraId="318D0B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449EC40F">
            <w:pPr>
              <w:spacing w:line="340" w:lineRule="exact"/>
              <w:ind w:left="-108" w:right="-113"/>
              <w:contextualSpacing/>
              <w:jc w:val="center"/>
              <w:rPr>
                <w:color w:val="auto"/>
                <w:szCs w:val="24"/>
                <w:highlight w:val="none"/>
              </w:rPr>
            </w:pPr>
            <w:r>
              <w:rPr>
                <w:rFonts w:hint="eastAsia"/>
                <w:color w:val="auto"/>
                <w:szCs w:val="24"/>
                <w:highlight w:val="none"/>
              </w:rPr>
              <w:t>投标报价和货币</w:t>
            </w:r>
          </w:p>
        </w:tc>
      </w:tr>
      <w:tr w14:paraId="3CC9DB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14" w:type="dxa"/>
            <w:vAlign w:val="center"/>
          </w:tcPr>
          <w:p w14:paraId="6D38AFCA">
            <w:pPr>
              <w:spacing w:line="340" w:lineRule="exact"/>
              <w:ind w:left="-108" w:right="-113"/>
              <w:contextualSpacing/>
              <w:jc w:val="center"/>
              <w:rPr>
                <w:color w:val="auto"/>
                <w:szCs w:val="24"/>
                <w:highlight w:val="none"/>
              </w:rPr>
            </w:pPr>
            <w:r>
              <w:rPr>
                <w:rFonts w:hint="eastAsia"/>
                <w:color w:val="auto"/>
                <w:szCs w:val="24"/>
                <w:highlight w:val="none"/>
              </w:rPr>
              <w:t>★2.3</w:t>
            </w:r>
          </w:p>
        </w:tc>
        <w:tc>
          <w:tcPr>
            <w:tcW w:w="8544" w:type="dxa"/>
            <w:vAlign w:val="center"/>
          </w:tcPr>
          <w:p w14:paraId="6DBA2B30">
            <w:pPr>
              <w:spacing w:line="340" w:lineRule="exact"/>
              <w:ind w:left="-108" w:right="-113"/>
              <w:contextualSpacing/>
              <w:jc w:val="left"/>
              <w:rPr>
                <w:color w:val="auto"/>
                <w:szCs w:val="24"/>
                <w:highlight w:val="none"/>
              </w:rPr>
            </w:pPr>
            <w:r>
              <w:rPr>
                <w:rFonts w:hint="eastAsia"/>
                <w:color w:val="auto"/>
                <w:szCs w:val="24"/>
                <w:highlight w:val="none"/>
              </w:rPr>
              <w:t>投标报价：</w:t>
            </w:r>
          </w:p>
          <w:p w14:paraId="48992AF2">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1、本项目投标应以人民币报价；</w:t>
            </w:r>
          </w:p>
          <w:p w14:paraId="17CEF31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2、不论投标结果如何，投标人均应自行承担所有与投标有关的全部费用。</w:t>
            </w:r>
          </w:p>
          <w:p w14:paraId="245CEF85">
            <w:pPr>
              <w:widowControl w:val="0"/>
              <w:numPr>
                <w:ilvl w:val="0"/>
                <w:numId w:val="0"/>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报价要求：</w:t>
            </w:r>
          </w:p>
          <w:p w14:paraId="036BAC3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服务费</w:t>
            </w:r>
            <w:r>
              <w:rPr>
                <w:rFonts w:hint="eastAsia" w:ascii="宋体" w:hAnsi="宋体" w:eastAsia="宋体" w:cs="宋体"/>
                <w:color w:val="auto"/>
                <w:kern w:val="2"/>
                <w:sz w:val="21"/>
                <w:szCs w:val="21"/>
                <w:highlight w:val="none"/>
                <w:lang w:val="en-US" w:eastAsia="zh-CN"/>
              </w:rPr>
              <w:t>最高限价：总价：</w:t>
            </w:r>
            <w:r>
              <w:rPr>
                <w:rFonts w:hint="eastAsia" w:ascii="宋体" w:hAnsi="宋体" w:cs="Arial"/>
                <w:color w:val="auto"/>
                <w:kern w:val="0"/>
                <w:szCs w:val="21"/>
                <w:highlight w:val="none"/>
                <w:lang w:val="en-US" w:eastAsia="zh-CN"/>
              </w:rPr>
              <w:t>19760730元</w:t>
            </w:r>
            <w:r>
              <w:rPr>
                <w:rFonts w:hint="eastAsia" w:ascii="宋体" w:hAnsi="宋体" w:eastAsia="宋体" w:cs="宋体"/>
                <w:color w:val="auto"/>
                <w:kern w:val="2"/>
                <w:sz w:val="21"/>
                <w:szCs w:val="21"/>
                <w:highlight w:val="none"/>
                <w:lang w:val="en-US" w:eastAsia="zh-CN"/>
              </w:rPr>
              <w:t>；单价</w:t>
            </w:r>
            <w:r>
              <w:rPr>
                <w:rFonts w:hint="eastAsia" w:ascii="宋体" w:hAnsi="宋体" w:cs="宋体"/>
                <w:color w:val="auto"/>
                <w:kern w:val="2"/>
                <w:sz w:val="21"/>
                <w:szCs w:val="21"/>
                <w:highlight w:val="none"/>
                <w:lang w:val="en-US" w:eastAsia="zh-CN"/>
              </w:rPr>
              <w:t>3495</w:t>
            </w:r>
            <w:r>
              <w:rPr>
                <w:rFonts w:hint="eastAsia" w:ascii="宋体" w:hAnsi="宋体" w:eastAsia="宋体" w:cs="宋体"/>
                <w:color w:val="auto"/>
                <w:kern w:val="2"/>
                <w:sz w:val="21"/>
                <w:szCs w:val="21"/>
                <w:highlight w:val="none"/>
                <w:lang w:val="en-US" w:eastAsia="zh-CN"/>
              </w:rPr>
              <w:t>元/亩。供应商投标报价超过上述规定的单价和总价的，其投标将做无效标处理。</w:t>
            </w:r>
          </w:p>
          <w:p w14:paraId="3EBAC495">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Arial"/>
                <w:color w:val="auto"/>
                <w:kern w:val="0"/>
                <w:szCs w:val="21"/>
                <w:highlight w:val="none"/>
                <w:lang w:val="en-US" w:eastAsia="zh-CN"/>
              </w:rPr>
              <w:t>保底收益最低限价：总价：</w:t>
            </w:r>
            <w:r>
              <w:rPr>
                <w:rFonts w:hint="eastAsia" w:ascii="宋体" w:hAnsi="宋体" w:cs="Arial"/>
                <w:color w:val="auto"/>
                <w:kern w:val="0"/>
                <w:szCs w:val="21"/>
                <w:highlight w:val="yellow"/>
                <w:lang w:val="en-US" w:eastAsia="zh-CN"/>
              </w:rPr>
              <w:t>23718530元</w:t>
            </w:r>
            <w:r>
              <w:rPr>
                <w:rFonts w:hint="eastAsia" w:ascii="宋体" w:hAnsi="宋体" w:cs="Arial"/>
                <w:color w:val="auto"/>
                <w:kern w:val="0"/>
                <w:szCs w:val="21"/>
                <w:highlight w:val="none"/>
                <w:lang w:val="en-US" w:eastAsia="zh-CN"/>
              </w:rPr>
              <w:t>；</w:t>
            </w:r>
            <w:r>
              <w:rPr>
                <w:rFonts w:hint="eastAsia" w:ascii="宋体" w:hAnsi="宋体" w:eastAsia="宋体" w:cs="宋体"/>
                <w:color w:val="auto"/>
                <w:kern w:val="2"/>
                <w:sz w:val="21"/>
                <w:szCs w:val="21"/>
                <w:highlight w:val="none"/>
                <w:lang w:val="en-US" w:eastAsia="zh-CN"/>
              </w:rPr>
              <w:t>单价</w:t>
            </w:r>
            <w:r>
              <w:rPr>
                <w:rFonts w:hint="eastAsia" w:ascii="宋体" w:hAnsi="宋体" w:cs="宋体"/>
                <w:color w:val="auto"/>
                <w:kern w:val="2"/>
                <w:sz w:val="21"/>
                <w:szCs w:val="21"/>
                <w:highlight w:val="yellow"/>
                <w:lang w:val="en-US" w:eastAsia="zh-CN"/>
              </w:rPr>
              <w:t>4195</w:t>
            </w:r>
            <w:r>
              <w:rPr>
                <w:rFonts w:hint="eastAsia" w:ascii="宋体" w:hAnsi="宋体" w:eastAsia="宋体" w:cs="宋体"/>
                <w:color w:val="auto"/>
                <w:kern w:val="2"/>
                <w:sz w:val="21"/>
                <w:szCs w:val="21"/>
                <w:highlight w:val="yellow"/>
                <w:lang w:val="en-US" w:eastAsia="zh-CN"/>
              </w:rPr>
              <w:t>元/亩</w:t>
            </w:r>
            <w:r>
              <w:rPr>
                <w:rFonts w:hint="eastAsia" w:ascii="宋体" w:hAnsi="宋体" w:eastAsia="宋体" w:cs="宋体"/>
                <w:color w:val="auto"/>
                <w:kern w:val="2"/>
                <w:sz w:val="21"/>
                <w:szCs w:val="21"/>
                <w:highlight w:val="none"/>
                <w:lang w:val="en-US" w:eastAsia="zh-CN"/>
              </w:rPr>
              <w:t>。供应商投标报价</w:t>
            </w:r>
            <w:r>
              <w:rPr>
                <w:rFonts w:hint="eastAsia" w:ascii="宋体" w:hAnsi="宋体" w:cs="宋体"/>
                <w:color w:val="auto"/>
                <w:kern w:val="2"/>
                <w:sz w:val="21"/>
                <w:szCs w:val="21"/>
                <w:highlight w:val="none"/>
                <w:lang w:val="en-US" w:eastAsia="zh-CN"/>
              </w:rPr>
              <w:t>低于</w:t>
            </w:r>
            <w:r>
              <w:rPr>
                <w:rFonts w:hint="eastAsia" w:ascii="宋体" w:hAnsi="宋体" w:eastAsia="宋体" w:cs="宋体"/>
                <w:color w:val="auto"/>
                <w:kern w:val="2"/>
                <w:sz w:val="21"/>
                <w:szCs w:val="21"/>
                <w:highlight w:val="none"/>
                <w:lang w:val="en-US" w:eastAsia="zh-CN"/>
              </w:rPr>
              <w:t>上述规定的单价和总价的，其投标将做无效标处理。</w:t>
            </w:r>
          </w:p>
          <w:p w14:paraId="1488FFA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超出保底部分分成（归属中标人部分）最高限价</w:t>
            </w:r>
            <w:r>
              <w:rPr>
                <w:rFonts w:hint="eastAsia" w:ascii="宋体" w:hAnsi="宋体" w:cs="Arial"/>
                <w:color w:val="auto"/>
                <w:kern w:val="0"/>
                <w:szCs w:val="21"/>
                <w:highlight w:val="none"/>
                <w:lang w:val="en-US" w:eastAsia="zh-CN"/>
              </w:rPr>
              <w:t>：70.00%</w:t>
            </w:r>
            <w:r>
              <w:rPr>
                <w:rFonts w:hint="eastAsia" w:ascii="宋体" w:hAnsi="宋体" w:eastAsia="宋体" w:cs="宋体"/>
                <w:color w:val="auto"/>
                <w:kern w:val="2"/>
                <w:sz w:val="21"/>
                <w:szCs w:val="21"/>
                <w:highlight w:val="none"/>
                <w:lang w:val="en-US" w:eastAsia="zh-CN"/>
              </w:rPr>
              <w:t>。供应商投标报价超过上述规定的</w:t>
            </w:r>
            <w:r>
              <w:rPr>
                <w:rFonts w:hint="eastAsia" w:ascii="宋体" w:hAnsi="宋体" w:cs="宋体"/>
                <w:color w:val="auto"/>
                <w:kern w:val="2"/>
                <w:sz w:val="21"/>
                <w:szCs w:val="21"/>
                <w:highlight w:val="none"/>
                <w:lang w:val="en-US" w:eastAsia="zh-CN"/>
              </w:rPr>
              <w:t>最高限价</w:t>
            </w:r>
            <w:r>
              <w:rPr>
                <w:rFonts w:hint="eastAsia" w:ascii="宋体" w:hAnsi="宋体" w:eastAsia="宋体" w:cs="宋体"/>
                <w:color w:val="auto"/>
                <w:kern w:val="2"/>
                <w:sz w:val="21"/>
                <w:szCs w:val="21"/>
                <w:highlight w:val="none"/>
                <w:lang w:val="en-US" w:eastAsia="zh-CN"/>
              </w:rPr>
              <w:t>的，其投标将做无效标处理。</w:t>
            </w:r>
          </w:p>
          <w:p w14:paraId="3C8FB2BB">
            <w:pPr>
              <w:widowControl w:val="0"/>
              <w:numPr>
                <w:ilvl w:val="0"/>
                <w:numId w:val="1"/>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报价须知：</w:t>
            </w:r>
          </w:p>
          <w:p w14:paraId="33D91E7A">
            <w:pPr>
              <w:widowControl w:val="0"/>
              <w:numPr>
                <w:ilvl w:val="0"/>
                <w:numId w:val="0"/>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服务费</w:t>
            </w:r>
            <w:r>
              <w:rPr>
                <w:rFonts w:hint="eastAsia" w:ascii="宋体" w:hAnsi="宋体" w:eastAsia="宋体" w:cs="宋体"/>
                <w:color w:val="auto"/>
                <w:kern w:val="2"/>
                <w:sz w:val="21"/>
                <w:szCs w:val="21"/>
                <w:highlight w:val="none"/>
                <w:lang w:val="en-US" w:eastAsia="zh-CN"/>
              </w:rPr>
              <w:t>投标报价是履行合同的最终价格，包括履行合同内容所需的人工、机械、材料（含种子、肥料）、管理费以及利润、税金及本项目包含的所有风险、责任等各项应有费用</w:t>
            </w:r>
            <w:r>
              <w:rPr>
                <w:rFonts w:hint="eastAsia" w:ascii="宋体" w:hAnsi="宋体" w:cs="宋体"/>
                <w:color w:val="auto"/>
                <w:kern w:val="2"/>
                <w:sz w:val="21"/>
                <w:szCs w:val="21"/>
                <w:highlight w:val="none"/>
                <w:lang w:val="en-US" w:eastAsia="zh-CN"/>
              </w:rPr>
              <w:t>。</w:t>
            </w:r>
          </w:p>
          <w:p w14:paraId="0BDB82DE">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本项目有</w:t>
            </w:r>
            <w:r>
              <w:rPr>
                <w:rFonts w:hint="eastAsia" w:ascii="宋体" w:hAnsi="宋体" w:eastAsia="宋体" w:cs="宋体"/>
                <w:color w:val="auto"/>
                <w:kern w:val="2"/>
                <w:sz w:val="21"/>
                <w:szCs w:val="21"/>
                <w:highlight w:val="none"/>
                <w:lang w:val="en-US" w:eastAsia="zh-CN"/>
              </w:rPr>
              <w:t>采购人</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要求</w:t>
            </w:r>
            <w:r>
              <w:rPr>
                <w:rFonts w:hint="eastAsia" w:ascii="宋体" w:hAnsi="宋体" w:cs="宋体"/>
                <w:color w:val="auto"/>
                <w:kern w:val="2"/>
                <w:sz w:val="21"/>
                <w:szCs w:val="21"/>
                <w:highlight w:val="none"/>
                <w:lang w:val="en-US" w:eastAsia="zh-CN"/>
              </w:rPr>
              <w:t>，保底收益=中标人保底收益投标报价</w:t>
            </w:r>
            <w:r>
              <w:rPr>
                <w:rFonts w:hint="eastAsia" w:ascii="宋体" w:hAnsi="宋体" w:eastAsia="宋体" w:cs="宋体"/>
                <w:color w:val="auto"/>
                <w:kern w:val="2"/>
                <w:sz w:val="21"/>
                <w:szCs w:val="21"/>
                <w:highlight w:val="none"/>
                <w:lang w:val="en-US" w:eastAsia="zh-CN"/>
              </w:rPr>
              <w:t>。如最终达不到保底收益要求，差额部分由中标人承担、补足。如最终超出上述保底收益要求，超出部分由采购人和中标人</w:t>
            </w:r>
            <w:r>
              <w:rPr>
                <w:rFonts w:hint="eastAsia" w:ascii="宋体" w:hAnsi="宋体" w:cs="宋体"/>
                <w:color w:val="auto"/>
                <w:kern w:val="2"/>
                <w:sz w:val="21"/>
                <w:szCs w:val="21"/>
                <w:highlight w:val="none"/>
                <w:lang w:val="en-US" w:eastAsia="zh-CN"/>
              </w:rPr>
              <w:t>分成，分成比例按中标人投标报价的分成比例执行</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投标人须充分考虑相关风险因素，投标人的投标报价视为已经知悉上述所有事项和风险。</w:t>
            </w:r>
          </w:p>
          <w:p w14:paraId="474A5B89">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5、采购数量：</w:t>
            </w:r>
            <w:r>
              <w:rPr>
                <w:rFonts w:hint="eastAsia" w:ascii="宋体" w:hAnsi="宋体" w:cs="宋体"/>
                <w:color w:val="auto"/>
                <w:kern w:val="2"/>
                <w:sz w:val="21"/>
                <w:szCs w:val="21"/>
                <w:highlight w:val="none"/>
                <w:lang w:val="en-US" w:eastAsia="zh-CN"/>
              </w:rPr>
              <w:t>5654</w:t>
            </w:r>
            <w:r>
              <w:rPr>
                <w:rFonts w:hint="eastAsia" w:ascii="宋体" w:hAnsi="宋体" w:eastAsia="宋体" w:cs="宋体"/>
                <w:color w:val="auto"/>
                <w:kern w:val="2"/>
                <w:sz w:val="21"/>
                <w:szCs w:val="21"/>
                <w:highlight w:val="none"/>
                <w:lang w:val="en-US" w:eastAsia="zh-CN"/>
              </w:rPr>
              <w:t>亩，种植亩数结算时不做调整。</w:t>
            </w:r>
          </w:p>
        </w:tc>
      </w:tr>
      <w:tr w14:paraId="167951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714" w:type="dxa"/>
            <w:vAlign w:val="center"/>
          </w:tcPr>
          <w:p w14:paraId="1617A973">
            <w:pPr>
              <w:spacing w:line="340" w:lineRule="exact"/>
              <w:ind w:left="-108" w:right="-113"/>
              <w:contextualSpacing/>
              <w:jc w:val="center"/>
              <w:rPr>
                <w:color w:val="auto"/>
                <w:szCs w:val="24"/>
                <w:highlight w:val="none"/>
              </w:rPr>
            </w:pPr>
            <w:r>
              <w:rPr>
                <w:rFonts w:hint="eastAsia"/>
                <w:color w:val="auto"/>
                <w:szCs w:val="24"/>
                <w:highlight w:val="none"/>
              </w:rPr>
              <w:t>2.4</w:t>
            </w:r>
          </w:p>
        </w:tc>
        <w:tc>
          <w:tcPr>
            <w:tcW w:w="8544" w:type="dxa"/>
            <w:vAlign w:val="center"/>
          </w:tcPr>
          <w:p w14:paraId="26C96272">
            <w:pPr>
              <w:spacing w:line="340" w:lineRule="exact"/>
              <w:ind w:left="-108" w:right="-113"/>
              <w:contextualSpacing/>
              <w:jc w:val="left"/>
              <w:rPr>
                <w:color w:val="auto"/>
                <w:szCs w:val="24"/>
                <w:highlight w:val="none"/>
              </w:rPr>
            </w:pPr>
            <w:r>
              <w:rPr>
                <w:rFonts w:hint="eastAsia"/>
                <w:color w:val="auto"/>
                <w:szCs w:val="24"/>
                <w:highlight w:val="none"/>
              </w:rPr>
              <w:t>投标货币：人民币</w:t>
            </w:r>
          </w:p>
        </w:tc>
      </w:tr>
      <w:tr w14:paraId="674FCA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14A7A98C">
            <w:pPr>
              <w:spacing w:line="340" w:lineRule="exact"/>
              <w:ind w:left="-108" w:right="-113"/>
              <w:contextualSpacing/>
              <w:jc w:val="center"/>
              <w:rPr>
                <w:color w:val="auto"/>
                <w:szCs w:val="24"/>
                <w:highlight w:val="none"/>
              </w:rPr>
            </w:pPr>
            <w:r>
              <w:rPr>
                <w:rFonts w:hint="eastAsia"/>
                <w:color w:val="auto"/>
                <w:szCs w:val="24"/>
                <w:highlight w:val="none"/>
              </w:rPr>
              <w:t>投标书的编制和递交</w:t>
            </w:r>
          </w:p>
        </w:tc>
      </w:tr>
      <w:tr w14:paraId="502A2F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714" w:type="dxa"/>
            <w:vAlign w:val="center"/>
          </w:tcPr>
          <w:p w14:paraId="6C216D54">
            <w:pPr>
              <w:spacing w:line="340" w:lineRule="exact"/>
              <w:ind w:left="-108" w:right="-113"/>
              <w:contextualSpacing/>
              <w:jc w:val="center"/>
              <w:rPr>
                <w:color w:val="auto"/>
                <w:szCs w:val="24"/>
                <w:highlight w:val="none"/>
              </w:rPr>
            </w:pPr>
            <w:r>
              <w:rPr>
                <w:rFonts w:hint="eastAsia"/>
                <w:color w:val="auto"/>
                <w:szCs w:val="24"/>
                <w:highlight w:val="none"/>
              </w:rPr>
              <w:t>2.5</w:t>
            </w:r>
          </w:p>
        </w:tc>
        <w:tc>
          <w:tcPr>
            <w:tcW w:w="8544" w:type="dxa"/>
            <w:vAlign w:val="center"/>
          </w:tcPr>
          <w:p w14:paraId="13C23AB6">
            <w:pPr>
              <w:tabs>
                <w:tab w:val="left" w:pos="426"/>
              </w:tabs>
              <w:spacing w:line="440" w:lineRule="exact"/>
              <w:contextualSpacing/>
              <w:rPr>
                <w:color w:val="auto"/>
                <w:szCs w:val="24"/>
                <w:highlight w:val="none"/>
              </w:rPr>
            </w:pPr>
            <w:r>
              <w:rPr>
                <w:rFonts w:hint="eastAsia"/>
                <w:color w:val="auto"/>
                <w:szCs w:val="24"/>
                <w:highlight w:val="none"/>
              </w:rPr>
              <w:t>本次采购对合格的投标人的专门规定与审查方法：</w:t>
            </w:r>
          </w:p>
          <w:p w14:paraId="1F5D7F98">
            <w:pPr>
              <w:tabs>
                <w:tab w:val="left" w:pos="426"/>
              </w:tabs>
              <w:spacing w:line="440" w:lineRule="exact"/>
              <w:contextualSpacing/>
              <w:rPr>
                <w:color w:val="auto"/>
                <w:szCs w:val="24"/>
                <w:highlight w:val="none"/>
              </w:rPr>
            </w:pPr>
            <w:r>
              <w:rPr>
                <w:rFonts w:hint="eastAsia"/>
                <w:color w:val="auto"/>
                <w:szCs w:val="24"/>
                <w:highlight w:val="none"/>
              </w:rPr>
              <w:t>投标人资格要求：详见本采购文件第一章。</w:t>
            </w:r>
          </w:p>
          <w:p w14:paraId="35708170">
            <w:pPr>
              <w:tabs>
                <w:tab w:val="left" w:pos="426"/>
              </w:tabs>
              <w:spacing w:line="440" w:lineRule="exact"/>
              <w:contextualSpacing/>
              <w:rPr>
                <w:color w:val="auto"/>
                <w:szCs w:val="24"/>
                <w:highlight w:val="none"/>
              </w:rPr>
            </w:pPr>
            <w:r>
              <w:rPr>
                <w:rFonts w:hint="eastAsia"/>
                <w:color w:val="auto"/>
                <w:szCs w:val="24"/>
                <w:highlight w:val="none"/>
              </w:rPr>
              <w:t>资格审查：资格后审。</w:t>
            </w:r>
          </w:p>
        </w:tc>
      </w:tr>
      <w:tr w14:paraId="5AEDA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23B9715C">
            <w:pPr>
              <w:spacing w:line="340" w:lineRule="exact"/>
              <w:ind w:left="-108" w:right="-113"/>
              <w:contextualSpacing/>
              <w:jc w:val="center"/>
              <w:rPr>
                <w:color w:val="auto"/>
                <w:szCs w:val="24"/>
                <w:highlight w:val="none"/>
              </w:rPr>
            </w:pPr>
            <w:r>
              <w:rPr>
                <w:rFonts w:hint="eastAsia"/>
                <w:color w:val="auto"/>
                <w:szCs w:val="24"/>
                <w:highlight w:val="none"/>
              </w:rPr>
              <w:t>2.6</w:t>
            </w:r>
          </w:p>
        </w:tc>
        <w:tc>
          <w:tcPr>
            <w:tcW w:w="8544" w:type="dxa"/>
            <w:vAlign w:val="center"/>
          </w:tcPr>
          <w:p w14:paraId="095F40D8">
            <w:pPr>
              <w:spacing w:line="440" w:lineRule="exact"/>
              <w:contextualSpacing/>
              <w:rPr>
                <w:color w:val="auto"/>
                <w:szCs w:val="24"/>
                <w:highlight w:val="none"/>
              </w:rPr>
            </w:pPr>
            <w:r>
              <w:rPr>
                <w:rFonts w:hint="eastAsia"/>
                <w:color w:val="auto"/>
                <w:szCs w:val="24"/>
                <w:highlight w:val="none"/>
              </w:rPr>
              <w:t>投标有效期： 90天</w:t>
            </w:r>
          </w:p>
        </w:tc>
      </w:tr>
      <w:tr w14:paraId="10A17A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70906E54">
            <w:pPr>
              <w:spacing w:line="340" w:lineRule="exact"/>
              <w:ind w:left="-108" w:right="-113"/>
              <w:contextualSpacing/>
              <w:jc w:val="center"/>
              <w:rPr>
                <w:color w:val="auto"/>
                <w:szCs w:val="24"/>
                <w:highlight w:val="none"/>
              </w:rPr>
            </w:pPr>
            <w:r>
              <w:rPr>
                <w:rFonts w:hint="eastAsia"/>
                <w:color w:val="auto"/>
                <w:szCs w:val="24"/>
                <w:highlight w:val="none"/>
              </w:rPr>
              <w:t>2.7</w:t>
            </w:r>
          </w:p>
        </w:tc>
        <w:tc>
          <w:tcPr>
            <w:tcW w:w="8544" w:type="dxa"/>
            <w:vAlign w:val="center"/>
          </w:tcPr>
          <w:p w14:paraId="0489583E">
            <w:pPr>
              <w:autoSpaceDE w:val="0"/>
              <w:autoSpaceDN w:val="0"/>
              <w:snapToGrid w:val="0"/>
              <w:spacing w:line="400" w:lineRule="exact"/>
              <w:contextualSpacing/>
              <w:rPr>
                <w:color w:val="auto"/>
                <w:szCs w:val="24"/>
                <w:highlight w:val="none"/>
              </w:rPr>
            </w:pPr>
            <w:r>
              <w:rPr>
                <w:rFonts w:hint="eastAsia"/>
                <w:color w:val="auto"/>
                <w:szCs w:val="24"/>
                <w:highlight w:val="none"/>
              </w:rPr>
              <w:t>投标文件的编制：</w:t>
            </w:r>
          </w:p>
          <w:p w14:paraId="6294081E">
            <w:pPr>
              <w:spacing w:line="440" w:lineRule="exact"/>
              <w:rPr>
                <w:color w:val="auto"/>
                <w:szCs w:val="24"/>
                <w:highlight w:val="none"/>
              </w:rPr>
            </w:pPr>
            <w:r>
              <w:rPr>
                <w:rFonts w:hint="eastAsia"/>
                <w:color w:val="auto"/>
                <w:szCs w:val="24"/>
                <w:highlight w:val="none"/>
              </w:rPr>
              <w:t>本项目实行网上投标，供应商应按</w:t>
            </w:r>
            <w:r>
              <w:rPr>
                <w:rFonts w:hint="eastAsia"/>
                <w:color w:val="auto"/>
                <w:szCs w:val="24"/>
                <w:highlight w:val="none"/>
                <w:lang w:eastAsia="zh-CN"/>
              </w:rPr>
              <w:t>标项</w:t>
            </w:r>
            <w:r>
              <w:rPr>
                <w:rFonts w:hint="eastAsia"/>
                <w:color w:val="auto"/>
                <w:szCs w:val="24"/>
                <w:highlight w:val="none"/>
              </w:rPr>
              <w:t>准备以下投标文件：</w:t>
            </w:r>
          </w:p>
          <w:p w14:paraId="0701B70A">
            <w:pPr>
              <w:spacing w:line="440" w:lineRule="exact"/>
              <w:rPr>
                <w:color w:val="auto"/>
                <w:szCs w:val="24"/>
                <w:highlight w:val="none"/>
              </w:rPr>
            </w:pPr>
            <w:r>
              <w:rPr>
                <w:rFonts w:hint="eastAsia"/>
                <w:color w:val="auto"/>
                <w:szCs w:val="24"/>
                <w:highlight w:val="none"/>
              </w:rPr>
              <w:t>（1）上传到浙江国企采购乐彩云平台的电子投标文件1份，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32817D68">
            <w:pPr>
              <w:spacing w:line="440" w:lineRule="exact"/>
              <w:rPr>
                <w:color w:val="auto"/>
                <w:szCs w:val="24"/>
                <w:highlight w:val="none"/>
              </w:rPr>
            </w:pPr>
            <w:r>
              <w:rPr>
                <w:rFonts w:hint="eastAsia"/>
                <w:color w:val="auto"/>
                <w:szCs w:val="24"/>
                <w:highlight w:val="none"/>
              </w:rPr>
              <w:t>（2）以U盘存储的电子备份投标文件1份，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1B0418B2">
            <w:pPr>
              <w:autoSpaceDE w:val="0"/>
              <w:autoSpaceDN w:val="0"/>
              <w:snapToGrid w:val="0"/>
              <w:spacing w:line="400" w:lineRule="exact"/>
              <w:contextualSpacing/>
              <w:rPr>
                <w:rFonts w:ascii="宋体" w:hAnsi="宋体" w:cs="宋体"/>
                <w:color w:val="auto"/>
                <w:highlight w:val="none"/>
              </w:rPr>
            </w:pPr>
            <w:r>
              <w:rPr>
                <w:rFonts w:hint="eastAsia"/>
                <w:color w:val="auto"/>
                <w:szCs w:val="24"/>
                <w:highlight w:val="none"/>
              </w:rPr>
              <w:t>上传到浙江国企采购乐彩云平台的电子投标文件、以U盘存储的电子备份投标文件内容须保持一致。上传到浙江国企采购乐彩云平台的电子投标文件</w:t>
            </w:r>
            <w:r>
              <w:rPr>
                <w:rFonts w:hint="eastAsia" w:ascii="宋体" w:hAnsi="宋体" w:cs="宋体"/>
                <w:color w:val="auto"/>
                <w:highlight w:val="none"/>
              </w:rPr>
              <w:t>供应商应根据“乐采云供应商项目采购-电子招投标操作指南”及本采购文件规定的格式和顺序编制电子投标文件并进行关联定位。</w:t>
            </w:r>
          </w:p>
          <w:p w14:paraId="7E63BADD">
            <w:pPr>
              <w:autoSpaceDE w:val="0"/>
              <w:autoSpaceDN w:val="0"/>
              <w:snapToGrid w:val="0"/>
              <w:spacing w:line="400" w:lineRule="exact"/>
              <w:contextualSpacing/>
              <w:rPr>
                <w:color w:val="auto"/>
                <w:szCs w:val="24"/>
                <w:highlight w:val="none"/>
              </w:rPr>
            </w:pPr>
            <w:r>
              <w:rPr>
                <w:rFonts w:hint="eastAsia"/>
                <w:color w:val="auto"/>
                <w:szCs w:val="24"/>
                <w:highlight w:val="none"/>
              </w:rPr>
              <w:t>U盘存储的电子备份投标文件单独装袋按要求密封做好标记。</w:t>
            </w:r>
          </w:p>
          <w:p w14:paraId="0212BDFD">
            <w:pPr>
              <w:autoSpaceDE w:val="0"/>
              <w:autoSpaceDN w:val="0"/>
              <w:snapToGrid w:val="0"/>
              <w:spacing w:line="400" w:lineRule="exact"/>
              <w:contextualSpacing/>
              <w:rPr>
                <w:color w:val="auto"/>
                <w:szCs w:val="24"/>
                <w:highlight w:val="none"/>
              </w:rPr>
            </w:pPr>
            <w:r>
              <w:rPr>
                <w:color w:val="auto"/>
                <w:szCs w:val="24"/>
                <w:highlight w:val="none"/>
              </w:rPr>
              <w:t>中标供应商在中标通知书领取之前需向招标代理机构另外再提供纸质版投标文件</w:t>
            </w:r>
            <w:r>
              <w:rPr>
                <w:rFonts w:hint="eastAsia"/>
                <w:color w:val="auto"/>
                <w:szCs w:val="24"/>
                <w:highlight w:val="none"/>
              </w:rPr>
              <w:t>1正2副。</w:t>
            </w:r>
          </w:p>
        </w:tc>
      </w:tr>
      <w:tr w14:paraId="30FB6A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21" w:hRule="atLeast"/>
          <w:jc w:val="center"/>
        </w:trPr>
        <w:tc>
          <w:tcPr>
            <w:tcW w:w="714" w:type="dxa"/>
            <w:vAlign w:val="center"/>
          </w:tcPr>
          <w:p w14:paraId="5CDA0BB4">
            <w:pPr>
              <w:spacing w:line="340" w:lineRule="exact"/>
              <w:ind w:left="-108" w:right="-113"/>
              <w:contextualSpacing/>
              <w:jc w:val="center"/>
              <w:rPr>
                <w:color w:val="auto"/>
                <w:szCs w:val="24"/>
                <w:highlight w:val="none"/>
              </w:rPr>
            </w:pPr>
            <w:r>
              <w:rPr>
                <w:rFonts w:hint="eastAsia"/>
                <w:color w:val="auto"/>
                <w:szCs w:val="24"/>
                <w:highlight w:val="none"/>
              </w:rPr>
              <w:t>★2.8</w:t>
            </w:r>
          </w:p>
        </w:tc>
        <w:tc>
          <w:tcPr>
            <w:tcW w:w="8544" w:type="dxa"/>
            <w:vAlign w:val="center"/>
          </w:tcPr>
          <w:p w14:paraId="6AB686DD">
            <w:pPr>
              <w:tabs>
                <w:tab w:val="left" w:pos="1580"/>
                <w:tab w:val="left" w:pos="3436"/>
                <w:tab w:val="left" w:pos="5512"/>
              </w:tabs>
              <w:spacing w:line="400" w:lineRule="exact"/>
              <w:ind w:left="21"/>
              <w:contextualSpacing/>
              <w:rPr>
                <w:rFonts w:ascii="宋体" w:hAnsi="宋体" w:cs="Arial"/>
                <w:color w:val="auto"/>
                <w:kern w:val="0"/>
                <w:szCs w:val="21"/>
                <w:highlight w:val="none"/>
              </w:rPr>
            </w:pPr>
            <w:r>
              <w:rPr>
                <w:rFonts w:hint="eastAsia" w:ascii="宋体" w:hAnsi="宋体" w:cs="Arial"/>
                <w:color w:val="auto"/>
                <w:kern w:val="0"/>
                <w:szCs w:val="21"/>
                <w:highlight w:val="none"/>
              </w:rPr>
              <w:t>投标保证金：人民币</w:t>
            </w:r>
            <w:r>
              <w:rPr>
                <w:rFonts w:hint="eastAsia" w:ascii="宋体" w:hAnsi="宋体" w:cs="Arial"/>
                <w:color w:val="auto"/>
                <w:kern w:val="0"/>
                <w:szCs w:val="21"/>
                <w:highlight w:val="none"/>
                <w:lang w:val="en-US" w:eastAsia="zh-CN"/>
              </w:rPr>
              <w:t>叁拾玖</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390000</w:t>
            </w:r>
            <w:r>
              <w:rPr>
                <w:rFonts w:hint="eastAsia" w:ascii="宋体" w:hAnsi="宋体" w:cs="Arial"/>
                <w:color w:val="auto"/>
                <w:kern w:val="0"/>
                <w:szCs w:val="21"/>
                <w:highlight w:val="none"/>
              </w:rPr>
              <w:t>.00）。</w:t>
            </w:r>
          </w:p>
          <w:p w14:paraId="1A063832">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中标人的投标保证金在签订合同，在支付招标代理费后退还。未中标人的投标保证金在中标通知书发出之日起５个工作日内退还。</w:t>
            </w:r>
          </w:p>
          <w:p w14:paraId="4A05221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投标保证金交纳形式：</w:t>
            </w:r>
            <w:r>
              <w:rPr>
                <w:rFonts w:hint="eastAsia"/>
                <w:color w:val="auto"/>
                <w:szCs w:val="24"/>
                <w:highlight w:val="none"/>
                <w:lang w:val="en-US" w:eastAsia="zh-CN"/>
              </w:rPr>
              <w:t>网银转账、</w:t>
            </w:r>
            <w:r>
              <w:rPr>
                <w:rFonts w:hint="eastAsia"/>
                <w:color w:val="auto"/>
                <w:szCs w:val="24"/>
                <w:highlight w:val="none"/>
              </w:rPr>
              <w:t>电汇、支票、汇票、本票等采购人认可的非现金形式。</w:t>
            </w:r>
          </w:p>
          <w:p w14:paraId="46BE8A75">
            <w:pPr>
              <w:spacing w:line="400" w:lineRule="exact"/>
              <w:contextualSpacing/>
              <w:rPr>
                <w:rFonts w:hint="eastAsia"/>
                <w:b/>
                <w:color w:val="auto"/>
                <w:highlight w:val="none"/>
              </w:rPr>
            </w:pPr>
            <w:r>
              <w:rPr>
                <w:rFonts w:hint="eastAsia"/>
                <w:b/>
                <w:color w:val="auto"/>
                <w:highlight w:val="none"/>
              </w:rPr>
              <w:t>投标保证金必须于</w:t>
            </w:r>
            <w:r>
              <w:rPr>
                <w:rFonts w:hint="eastAsia"/>
                <w:b/>
                <w:color w:val="auto"/>
                <w:highlight w:val="yellow"/>
              </w:rPr>
              <w:t>提交投标文件截止时间前</w:t>
            </w:r>
            <w:bookmarkStart w:id="171" w:name="_GoBack"/>
            <w:bookmarkEnd w:id="171"/>
            <w:r>
              <w:rPr>
                <w:rFonts w:hint="eastAsia"/>
                <w:b/>
                <w:color w:val="auto"/>
                <w:highlight w:val="none"/>
              </w:rPr>
              <w:t>确认入账，未在上述时间内确认入账的投标人将被拒绝。</w:t>
            </w:r>
          </w:p>
          <w:p w14:paraId="0BCBEE41">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开户银行：中信银行宁波宁海支行</w:t>
            </w:r>
          </w:p>
          <w:p w14:paraId="09C46D7A">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户名：中冠工程管理咨询有限公司宁海分公司</w:t>
            </w:r>
          </w:p>
          <w:p w14:paraId="7B143FE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账号：8114701013500025347</w:t>
            </w:r>
          </w:p>
        </w:tc>
      </w:tr>
      <w:tr w14:paraId="4203A5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9258" w:type="dxa"/>
            <w:gridSpan w:val="2"/>
            <w:vAlign w:val="center"/>
          </w:tcPr>
          <w:p w14:paraId="689A3722">
            <w:pPr>
              <w:spacing w:line="340" w:lineRule="exact"/>
              <w:ind w:left="-108" w:right="-113"/>
              <w:contextualSpacing/>
              <w:jc w:val="center"/>
              <w:rPr>
                <w:color w:val="auto"/>
                <w:szCs w:val="24"/>
                <w:highlight w:val="none"/>
              </w:rPr>
            </w:pPr>
            <w:r>
              <w:rPr>
                <w:rFonts w:hint="eastAsia"/>
                <w:color w:val="auto"/>
                <w:szCs w:val="24"/>
                <w:highlight w:val="none"/>
              </w:rPr>
              <w:t>合同条款资料</w:t>
            </w:r>
          </w:p>
        </w:tc>
      </w:tr>
      <w:tr w14:paraId="1D3AD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714" w:type="dxa"/>
            <w:vAlign w:val="center"/>
          </w:tcPr>
          <w:p w14:paraId="39AAA4AE">
            <w:pPr>
              <w:spacing w:line="340" w:lineRule="exact"/>
              <w:ind w:left="-108" w:right="-113"/>
              <w:contextualSpacing/>
              <w:jc w:val="center"/>
              <w:rPr>
                <w:color w:val="auto"/>
                <w:szCs w:val="24"/>
                <w:highlight w:val="none"/>
              </w:rPr>
            </w:pPr>
            <w:r>
              <w:rPr>
                <w:rFonts w:hint="eastAsia"/>
                <w:color w:val="auto"/>
                <w:szCs w:val="24"/>
                <w:highlight w:val="none"/>
              </w:rPr>
              <w:t>2.9</w:t>
            </w:r>
          </w:p>
        </w:tc>
        <w:tc>
          <w:tcPr>
            <w:tcW w:w="8544" w:type="dxa"/>
            <w:vAlign w:val="center"/>
          </w:tcPr>
          <w:p w14:paraId="0FAE0456">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签订合同时间：中标通知书发出后30日内。</w:t>
            </w:r>
          </w:p>
        </w:tc>
      </w:tr>
      <w:tr w14:paraId="60FA2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714" w:type="dxa"/>
            <w:vAlign w:val="center"/>
          </w:tcPr>
          <w:p w14:paraId="19A29FD0">
            <w:pPr>
              <w:spacing w:line="340" w:lineRule="exact"/>
              <w:ind w:left="-108" w:right="-113"/>
              <w:contextualSpacing/>
              <w:jc w:val="center"/>
              <w:rPr>
                <w:color w:val="auto"/>
                <w:szCs w:val="24"/>
                <w:highlight w:val="none"/>
              </w:rPr>
            </w:pPr>
            <w:r>
              <w:rPr>
                <w:rFonts w:hint="eastAsia"/>
                <w:color w:val="auto"/>
                <w:szCs w:val="24"/>
                <w:highlight w:val="none"/>
              </w:rPr>
              <w:t>★2.10</w:t>
            </w:r>
          </w:p>
        </w:tc>
        <w:tc>
          <w:tcPr>
            <w:tcW w:w="8544" w:type="dxa"/>
            <w:vAlign w:val="center"/>
          </w:tcPr>
          <w:p w14:paraId="3D0A3DA2">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付款方法和条件：</w:t>
            </w:r>
          </w:p>
          <w:p w14:paraId="59727ED4">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如中标人缴纳履约风险金的：合同签订并收到履约风险金后7个工作日内支付合同服务费总金额的10%；移栽验收完成后7个工作日内支付合同服务费总金额的10%；完成保底收益50%，采购人收到货款后7个工作日内支付合同服务费总金额的20%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75ACE470">
            <w:pPr>
              <w:widowControl w:val="0"/>
              <w:numPr>
                <w:ilvl w:val="0"/>
                <w:numId w:val="0"/>
              </w:numPr>
              <w:spacing w:after="0" w:line="360" w:lineRule="auto"/>
              <w:jc w:val="both"/>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2、如中标人缴纳保底收益的：</w:t>
            </w:r>
          </w:p>
          <w:p w14:paraId="141A2D09">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2.1保底收益缴纳额度为25%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43B31851">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2.2保底收益缴纳额度为50%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28F46063">
            <w:pPr>
              <w:widowControl w:val="0"/>
              <w:numPr>
                <w:ilvl w:val="0"/>
                <w:numId w:val="0"/>
              </w:numPr>
              <w:spacing w:after="0" w:line="360" w:lineRule="auto"/>
              <w:jc w:val="both"/>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2.3保底收益缴纳额度为75%的：合同签订并收到保底收益后7个工作日内支付合同服务费总金额的25%；移栽验收完成后7个工作日内支付合同服务费总金额的25%；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5404E652">
            <w:pPr>
              <w:widowControl w:val="0"/>
              <w:numPr>
                <w:ilvl w:val="0"/>
                <w:numId w:val="0"/>
              </w:numPr>
              <w:spacing w:after="0" w:line="360" w:lineRule="auto"/>
              <w:jc w:val="both"/>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2.4保底收益缴纳额度为100%的：合同签订并收到保底收益后7个工作日内支付合同服务费总金额的30%；移栽验收完成后7个工作日内支付合同服务费总金额的30%；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39D8C2F2">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截止2026年3月31日，以采购人账户入账为准，如最终总收入（含税）未达到中标人最低收益投标报价的，不足部分首先在未支付的服务中扣除，扣除后不足的在履约风险金中扣除，履约风险金扣除后仍不足的，需现金补足，在采购人发出通知后7个工作日内一次性支付至采购人指定账户。</w:t>
            </w:r>
          </w:p>
          <w:p w14:paraId="09423623">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截止2026年3月31日，以采购人账户入账为准，如最终总收入（含税）超过中标人最低收益投标报价的，采购人收到全部货款后7个工作日内按中标人的中标比例计算，将属于中标人部分的分成一次性支付给中标人。</w:t>
            </w:r>
          </w:p>
          <w:p w14:paraId="2EA01952">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5、每笔款项支付前中标人须向采购人开具支付金额等额的正规发票。</w:t>
            </w:r>
          </w:p>
          <w:p w14:paraId="230C2170">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6、本项目所指收入、保底收益均为含税价格。</w:t>
            </w:r>
          </w:p>
        </w:tc>
      </w:tr>
      <w:tr w14:paraId="7C7D9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78A2D5C6">
            <w:pPr>
              <w:spacing w:line="340" w:lineRule="exact"/>
              <w:ind w:left="-108" w:right="-113"/>
              <w:contextualSpacing/>
              <w:jc w:val="center"/>
              <w:rPr>
                <w:rFonts w:hint="eastAsia" w:eastAsia="宋体"/>
                <w:color w:val="auto"/>
                <w:szCs w:val="24"/>
                <w:highlight w:val="none"/>
                <w:lang w:eastAsia="zh-CN"/>
              </w:rPr>
            </w:pPr>
            <w:r>
              <w:rPr>
                <w:rFonts w:hint="eastAsia"/>
                <w:color w:val="auto"/>
                <w:szCs w:val="24"/>
                <w:highlight w:val="none"/>
              </w:rPr>
              <w:t>★2.1</w:t>
            </w:r>
            <w:r>
              <w:rPr>
                <w:rFonts w:hint="eastAsia"/>
                <w:color w:val="auto"/>
                <w:szCs w:val="24"/>
                <w:highlight w:val="none"/>
                <w:lang w:val="en-US" w:eastAsia="zh-CN"/>
              </w:rPr>
              <w:t>1</w:t>
            </w:r>
          </w:p>
        </w:tc>
        <w:tc>
          <w:tcPr>
            <w:tcW w:w="8544" w:type="dxa"/>
            <w:vAlign w:val="center"/>
          </w:tcPr>
          <w:p w14:paraId="1225FA0B">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履约风险金：2428393.00元。</w:t>
            </w:r>
          </w:p>
          <w:p w14:paraId="1AC189C2">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1、履约风险金的提交：以网银转账、电汇、支票、汇票、本票等采购人认可的非现金形式在合同签订后三个工作日内转入采购人指定账户。</w:t>
            </w:r>
          </w:p>
          <w:p w14:paraId="60A6A805">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2、履约风险金的退回：在全部作物收割、出售完毕，采购人收到全部货款后7个工作日内，根据每亩保底收益考核情况一次性退还，履约保证金不计利息。</w:t>
            </w:r>
          </w:p>
          <w:p w14:paraId="459682CC">
            <w:pPr>
              <w:widowControl w:val="0"/>
              <w:numPr>
                <w:ilvl w:val="0"/>
                <w:numId w:val="0"/>
              </w:numPr>
              <w:spacing w:after="0" w:line="360" w:lineRule="auto"/>
              <w:jc w:val="both"/>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3、如中标供应商在投标文件中承诺以网银转账、电汇、支票、汇票、本票等采购人认可的形式在合同签订后三个工作日内将中标的保底收益总额一次性转入采购人指定账户的，可免交履约风险金。</w:t>
            </w:r>
          </w:p>
        </w:tc>
      </w:tr>
      <w:tr w14:paraId="18863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4BFD0A1E">
            <w:pPr>
              <w:spacing w:line="340" w:lineRule="exact"/>
              <w:ind w:left="-108" w:right="-113"/>
              <w:contextualSpacing/>
              <w:jc w:val="center"/>
              <w:rPr>
                <w:rFonts w:hint="default" w:eastAsia="宋体"/>
                <w:color w:val="auto"/>
                <w:szCs w:val="24"/>
                <w:highlight w:val="none"/>
                <w:lang w:val="en-US" w:eastAsia="zh-CN"/>
              </w:rPr>
            </w:pPr>
            <w:r>
              <w:rPr>
                <w:rFonts w:hint="eastAsia"/>
                <w:color w:val="auto"/>
                <w:szCs w:val="24"/>
                <w:highlight w:val="none"/>
                <w:lang w:val="en-US" w:eastAsia="zh-CN"/>
              </w:rPr>
              <w:t>2.12</w:t>
            </w:r>
          </w:p>
        </w:tc>
        <w:tc>
          <w:tcPr>
            <w:tcW w:w="8544" w:type="dxa"/>
            <w:vAlign w:val="center"/>
          </w:tcPr>
          <w:p w14:paraId="3B3D242C">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保底收益的退回：</w:t>
            </w:r>
          </w:p>
          <w:p w14:paraId="3C66E3D5">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1、保底收益缴纳额度为25%：在全部作物收割、出售完毕，采购人收到全部货款后7个工作日内，根据每亩保底收益考核情况一次性退还，保底收益不计利息。</w:t>
            </w:r>
          </w:p>
          <w:p w14:paraId="475CE20E">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2、保底收益缴纳额度为50%或75%或100%的：完成保底收益50%，甲方收到货款后7个工作日内退还供应商已交保底收益总金额的50%；完成保底收益75%，甲方收到货款后7个工作日内退还供应商已交保底收益总金额的25%；剩余保底收益总金额于全部作物收割、出售完毕，甲方收到全部货款后7个工作日内根据保底收益达成情况同比例退还，保底收益不计利息。</w:t>
            </w:r>
          </w:p>
        </w:tc>
      </w:tr>
      <w:tr w14:paraId="0736B7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1C7128B0">
            <w:pPr>
              <w:spacing w:line="340" w:lineRule="exact"/>
              <w:ind w:left="-108" w:right="-113"/>
              <w:contextualSpacing/>
              <w:jc w:val="center"/>
              <w:rPr>
                <w:rFonts w:hint="eastAsia" w:eastAsia="宋体"/>
                <w:color w:val="auto"/>
                <w:szCs w:val="24"/>
                <w:highlight w:val="none"/>
                <w:lang w:eastAsia="zh-CN"/>
              </w:rPr>
            </w:pPr>
            <w:r>
              <w:rPr>
                <w:rFonts w:hint="eastAsia"/>
                <w:color w:val="auto"/>
                <w:szCs w:val="24"/>
                <w:highlight w:val="none"/>
              </w:rPr>
              <w:t>2.1</w:t>
            </w:r>
            <w:r>
              <w:rPr>
                <w:rFonts w:hint="eastAsia"/>
                <w:color w:val="auto"/>
                <w:szCs w:val="24"/>
                <w:highlight w:val="none"/>
                <w:lang w:val="en-US" w:eastAsia="zh-CN"/>
              </w:rPr>
              <w:t>3</w:t>
            </w:r>
          </w:p>
        </w:tc>
        <w:tc>
          <w:tcPr>
            <w:tcW w:w="8544" w:type="dxa"/>
            <w:vAlign w:val="center"/>
          </w:tcPr>
          <w:p w14:paraId="0BF98407">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其他：种植须在合同签订后，且采购人2025年度早稻种植收割完毕后开始。</w:t>
            </w:r>
          </w:p>
          <w:p w14:paraId="0616FB78">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项目不得转包，不得分包。</w:t>
            </w:r>
          </w:p>
          <w:p w14:paraId="2829927F">
            <w:pPr>
              <w:widowControl w:val="0"/>
              <w:numPr>
                <w:ilvl w:val="0"/>
                <w:numId w:val="0"/>
              </w:numPr>
              <w:spacing w:after="0" w:line="360" w:lineRule="auto"/>
              <w:jc w:val="both"/>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本项目所涉及的国标、行标、地方标准或强制性规范标准，执行最新标准。</w:t>
            </w:r>
          </w:p>
          <w:p w14:paraId="1E4E529D">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同意采购人对投标文件内容的真实性和有效性进行任何形式的监督审查、验证。</w:t>
            </w:r>
          </w:p>
        </w:tc>
      </w:tr>
      <w:tr w14:paraId="39B9E7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30" w:hRule="atLeast"/>
          <w:jc w:val="center"/>
        </w:trPr>
        <w:tc>
          <w:tcPr>
            <w:tcW w:w="714" w:type="dxa"/>
            <w:vAlign w:val="center"/>
          </w:tcPr>
          <w:p w14:paraId="5A5829AC">
            <w:pPr>
              <w:spacing w:line="340" w:lineRule="exact"/>
              <w:ind w:left="-108" w:right="-113"/>
              <w:contextualSpacing/>
              <w:jc w:val="center"/>
              <w:rPr>
                <w:rFonts w:hint="default" w:eastAsia="宋体"/>
                <w:color w:val="auto"/>
                <w:szCs w:val="24"/>
                <w:highlight w:val="none"/>
                <w:lang w:val="en-US" w:eastAsia="zh-CN"/>
              </w:rPr>
            </w:pPr>
            <w:r>
              <w:rPr>
                <w:rFonts w:hint="eastAsia"/>
                <w:color w:val="auto"/>
                <w:szCs w:val="24"/>
                <w:highlight w:val="none"/>
                <w:lang w:val="en-US" w:eastAsia="zh-CN"/>
              </w:rPr>
              <w:t>2.14</w:t>
            </w:r>
          </w:p>
        </w:tc>
        <w:tc>
          <w:tcPr>
            <w:tcW w:w="8544" w:type="dxa"/>
            <w:vAlign w:val="center"/>
          </w:tcPr>
          <w:p w14:paraId="290E927E">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关于生产资料和农事服务：采购人有优良种子、配方肥的，中标人应优先采用；</w:t>
            </w:r>
          </w:p>
          <w:p w14:paraId="2AA64EED">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采购人有销售渠道的，在同等情况下应优先采用采购人提供的渠道销售。</w:t>
            </w:r>
          </w:p>
          <w:p w14:paraId="5C4D7A0E">
            <w:pPr>
              <w:widowControl w:val="0"/>
              <w:numPr>
                <w:ilvl w:val="0"/>
                <w:numId w:val="0"/>
              </w:numPr>
              <w:spacing w:after="0" w:line="360" w:lineRule="auto"/>
              <w:jc w:val="both"/>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销售时，中标人应做好每日台账，台账内容需至少包括时间、重量、价格，台账需每日上报采购人并接受采购人监管。</w:t>
            </w:r>
          </w:p>
        </w:tc>
      </w:tr>
      <w:tr w14:paraId="65E94D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9258" w:type="dxa"/>
            <w:gridSpan w:val="2"/>
            <w:vAlign w:val="center"/>
          </w:tcPr>
          <w:p w14:paraId="6507720F">
            <w:pPr>
              <w:spacing w:line="340" w:lineRule="exact"/>
              <w:ind w:left="-108" w:right="-113"/>
              <w:contextualSpacing/>
              <w:jc w:val="center"/>
              <w:rPr>
                <w:color w:val="auto"/>
                <w:szCs w:val="24"/>
                <w:highlight w:val="none"/>
              </w:rPr>
            </w:pPr>
            <w:r>
              <w:rPr>
                <w:rFonts w:hint="eastAsia"/>
                <w:color w:val="auto"/>
                <w:szCs w:val="24"/>
                <w:highlight w:val="none"/>
              </w:rPr>
              <w:t>招标代理费</w:t>
            </w:r>
          </w:p>
        </w:tc>
      </w:tr>
      <w:tr w14:paraId="28631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8" w:type="dxa"/>
            <w:gridSpan w:val="2"/>
            <w:vAlign w:val="center"/>
          </w:tcPr>
          <w:p w14:paraId="70F5034D">
            <w:pPr>
              <w:spacing w:line="360" w:lineRule="auto"/>
              <w:jc w:val="left"/>
              <w:rPr>
                <w:rFonts w:hint="eastAsia" w:ascii="Times New Roman" w:hAnsi="Times New Roman" w:eastAsia="宋体" w:cs="Times New Roman"/>
                <w:szCs w:val="21"/>
                <w:highlight w:val="none"/>
              </w:rPr>
            </w:pPr>
            <w:r>
              <w:rPr>
                <w:rFonts w:hint="eastAsia"/>
                <w:color w:val="auto"/>
                <w:szCs w:val="24"/>
                <w:highlight w:val="none"/>
              </w:rPr>
              <w:t>1.中标人与采购人签订合同后，本采购代理机构</w:t>
            </w:r>
            <w:r>
              <w:rPr>
                <w:rFonts w:hint="eastAsia" w:ascii="Times New Roman" w:hAnsi="Times New Roman" w:eastAsia="宋体" w:cs="Times New Roman"/>
                <w:szCs w:val="21"/>
                <w:highlight w:val="none"/>
              </w:rPr>
              <w:t>中标人收取招标代理费</w:t>
            </w:r>
            <w:r>
              <w:rPr>
                <w:rFonts w:hint="eastAsia" w:cs="Times New Roman"/>
                <w:szCs w:val="21"/>
                <w:highlight w:val="none"/>
                <w:lang w:val="en-US" w:eastAsia="zh-CN"/>
              </w:rPr>
              <w:t>人民币93000元整。</w:t>
            </w:r>
          </w:p>
          <w:p w14:paraId="07E8B8FE">
            <w:pPr>
              <w:spacing w:line="440" w:lineRule="exact"/>
              <w:ind w:left="143" w:hanging="142" w:hangingChars="68"/>
              <w:contextualSpacing/>
              <w:rPr>
                <w:color w:val="auto"/>
                <w:szCs w:val="24"/>
                <w:highlight w:val="none"/>
              </w:rPr>
            </w:pPr>
            <w:r>
              <w:rPr>
                <w:rFonts w:hint="eastAsia"/>
                <w:color w:val="auto"/>
                <w:szCs w:val="24"/>
                <w:highlight w:val="none"/>
              </w:rPr>
              <w:t>2.中标人在签订合同后5个工作日内向本招标代理机构支付招标代理费。</w:t>
            </w:r>
          </w:p>
        </w:tc>
      </w:tr>
    </w:tbl>
    <w:p w14:paraId="7002CE2F">
      <w:pPr>
        <w:pStyle w:val="41"/>
        <w:rPr>
          <w:rFonts w:ascii="Times New Roman" w:hAnsi="Times New Roman"/>
          <w:color w:val="auto"/>
          <w:kern w:val="44"/>
          <w:highlight w:val="none"/>
        </w:rPr>
      </w:pPr>
      <w:r>
        <w:rPr>
          <w:rFonts w:hint="eastAsia"/>
          <w:b/>
          <w:color w:val="auto"/>
          <w:sz w:val="24"/>
          <w:szCs w:val="24"/>
          <w:highlight w:val="none"/>
        </w:rPr>
        <w:t>本采购文件内打有“★”的条款系实质性条款，任何负偏离将导致投标被否决。</w:t>
      </w:r>
      <w:r>
        <w:rPr>
          <w:rFonts w:ascii="Times New Roman" w:hAnsi="Times New Roman"/>
          <w:color w:val="auto"/>
          <w:sz w:val="24"/>
          <w:szCs w:val="24"/>
          <w:highlight w:val="none"/>
        </w:rPr>
        <w:br w:type="page"/>
      </w:r>
      <w:bookmarkStart w:id="9" w:name="_Toc500334853"/>
      <w:bookmarkStart w:id="10" w:name="_Toc435088064"/>
      <w:bookmarkStart w:id="11" w:name="_Toc498429629"/>
      <w:bookmarkStart w:id="12" w:name="_Toc146800983"/>
      <w:bookmarkStart w:id="13" w:name="_Toc157022442"/>
      <w:bookmarkStart w:id="14" w:name="_Toc263083257"/>
      <w:r>
        <w:rPr>
          <w:rFonts w:hint="eastAsia" w:ascii="Times New Roman" w:hAnsi="Times New Roman"/>
          <w:color w:val="auto"/>
          <w:kern w:val="44"/>
          <w:highlight w:val="none"/>
        </w:rPr>
        <w:t>第三章投标人须知</w:t>
      </w:r>
    </w:p>
    <w:p w14:paraId="5F7EABBD">
      <w:pPr>
        <w:spacing w:line="380" w:lineRule="exact"/>
        <w:rPr>
          <w:rFonts w:ascii="宋体" w:hAnsi="宋体" w:cs="宋体"/>
          <w:color w:val="auto"/>
          <w:szCs w:val="21"/>
          <w:highlight w:val="none"/>
        </w:rPr>
      </w:pPr>
    </w:p>
    <w:p w14:paraId="5CE59DA0">
      <w:pPr>
        <w:pStyle w:val="2"/>
        <w:spacing w:beforeLines="50" w:afterLines="50"/>
        <w:ind w:left="600"/>
        <w:rPr>
          <w:rFonts w:hAnsi="宋体" w:cs="宋体"/>
          <w:color w:val="auto"/>
          <w:sz w:val="21"/>
          <w:szCs w:val="21"/>
          <w:highlight w:val="none"/>
        </w:rPr>
      </w:pPr>
      <w:r>
        <w:rPr>
          <w:rFonts w:hint="eastAsia" w:hAnsi="宋体" w:cs="宋体"/>
          <w:color w:val="auto"/>
          <w:sz w:val="21"/>
          <w:szCs w:val="21"/>
          <w:highlight w:val="none"/>
        </w:rPr>
        <w:t>一、说明</w:t>
      </w:r>
    </w:p>
    <w:p w14:paraId="0E241D84">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1、项目概况</w:t>
      </w:r>
    </w:p>
    <w:p w14:paraId="09EAF2F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1.1采购人的项目（载明在《投标资料表》中）已经国企采购行政管理部门批准。采购人委托中冠工程管理咨询有限公司代理本次招标采购工作。有关采购人、采购代理机构的名称、联系人、电话、传真等信息载明在《投标资料表》中。</w:t>
      </w:r>
    </w:p>
    <w:p w14:paraId="0F4745E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1.2经批准的本次采购方式载明在《投标资料表》中。</w:t>
      </w:r>
    </w:p>
    <w:p w14:paraId="635B57C6">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二、投标人</w:t>
      </w:r>
    </w:p>
    <w:p w14:paraId="5591B626">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2、合格的投标人</w:t>
      </w:r>
    </w:p>
    <w:p w14:paraId="66F7F0C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2.1投标人应该是符合《投标资料表》的报名条件，符合、承认并承诺履行本招标文件各项要求的具有独立法人资格的中国境内企业或组织或其分支机构。</w:t>
      </w:r>
    </w:p>
    <w:p w14:paraId="584E36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2.2参加本次投标活动的投标人应具备以下条件，并遵守国家有关的法律、法令和条例的规定：</w:t>
      </w:r>
    </w:p>
    <w:p w14:paraId="446F20DF">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007EA00C">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（2）具有履行合同要求提供服务所必须的设备、人员和专业技术能力；</w:t>
      </w:r>
    </w:p>
    <w:p w14:paraId="1176DC99">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（3）有依法缴纳税收和社会保障资金的良好纪录；</w:t>
      </w:r>
    </w:p>
    <w:p w14:paraId="6C9B3290">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（4）参加本次投标活动之前三年内经营活动无重大违法纪录；</w:t>
      </w:r>
    </w:p>
    <w:p w14:paraId="59BA936F">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（5）满足采购人为获得满意服务供应而提出的其他要求。（见《投标资料表》中要求）</w:t>
      </w:r>
    </w:p>
    <w:p w14:paraId="6CDFE46E">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（6）单位负责人为同一人或者存在直接控股、管理关系的不同供应商，不得参加同一合同项下的采购活动。</w:t>
      </w:r>
    </w:p>
    <w:p w14:paraId="1967D148">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3、投标人代表</w:t>
      </w:r>
    </w:p>
    <w:p w14:paraId="18CCD6D4">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若投标人为具有独立法人资格的中国境内企业或组织必须为该企业或组织的人员，若投标人为自然人必须为中国合法公民。</w:t>
      </w:r>
    </w:p>
    <w:p w14:paraId="743E4B83">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4、投标费用</w:t>
      </w:r>
    </w:p>
    <w:p w14:paraId="2E3882B9">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不论招标的结果如何，投标人自行承担其参加本次投标有关的全部费用。</w:t>
      </w:r>
    </w:p>
    <w:p w14:paraId="7CC33B82">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5、特别说明（针对货物采购）：不适用</w:t>
      </w:r>
    </w:p>
    <w:p w14:paraId="62DB0EC5">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三、招标文件</w:t>
      </w:r>
    </w:p>
    <w:p w14:paraId="5426B55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6、招标文件的构成</w:t>
      </w:r>
    </w:p>
    <w:p w14:paraId="4862D0CD">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招标文件含有以下部分，文本条款装订成册。内容如下：</w:t>
      </w:r>
    </w:p>
    <w:p w14:paraId="1497E98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第一部分 采购公告</w:t>
      </w:r>
    </w:p>
    <w:p w14:paraId="6FE4FA7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第二部分 投标资料表</w:t>
      </w:r>
    </w:p>
    <w:p w14:paraId="7A5D733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第三部分 投标人须知</w:t>
      </w:r>
    </w:p>
    <w:p w14:paraId="7B022BE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第四部分 评标办法及标准</w:t>
      </w:r>
    </w:p>
    <w:p w14:paraId="5596E71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第五部分 招标内容及要求</w:t>
      </w:r>
    </w:p>
    <w:p w14:paraId="4FA8F3E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第六部分 拟签订的合同文本</w:t>
      </w:r>
    </w:p>
    <w:p w14:paraId="585E425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第七部分 格式与表格</w:t>
      </w:r>
    </w:p>
    <w:p w14:paraId="683680AA">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投标人应详细阅读招标文件的全部内容和要求，不按招标文件的要求递交投标文件和资料导致的风险由投标人承担。</w:t>
      </w:r>
    </w:p>
    <w:p w14:paraId="24F2C324">
      <w:pPr>
        <w:spacing w:line="380" w:lineRule="exact"/>
        <w:contextualSpacing/>
        <w:rPr>
          <w:color w:val="auto"/>
          <w:szCs w:val="21"/>
          <w:highlight w:val="none"/>
        </w:rPr>
      </w:pPr>
      <w:r>
        <w:rPr>
          <w:color w:val="auto"/>
          <w:szCs w:val="21"/>
          <w:highlight w:val="none"/>
        </w:rPr>
        <w:t>7</w:t>
      </w:r>
      <w:r>
        <w:rPr>
          <w:rFonts w:hint="eastAsia"/>
          <w:color w:val="auto"/>
          <w:szCs w:val="21"/>
          <w:highlight w:val="none"/>
        </w:rPr>
        <w:t>、质疑与投诉</w:t>
      </w:r>
    </w:p>
    <w:p w14:paraId="3895017C">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.1</w:t>
      </w:r>
      <w:r>
        <w:rPr>
          <w:rFonts w:hint="eastAsia"/>
          <w:color w:val="auto"/>
          <w:szCs w:val="21"/>
          <w:highlight w:val="none"/>
        </w:rPr>
        <w:tab/>
      </w:r>
      <w:r>
        <w:rPr>
          <w:rFonts w:hint="eastAsia"/>
          <w:color w:val="auto"/>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b/>
          <w:color w:val="auto"/>
          <w:szCs w:val="21"/>
          <w:highlight w:val="none"/>
        </w:rPr>
        <w:t>（注</w:t>
      </w:r>
      <w:r>
        <w:rPr>
          <w:b/>
          <w:color w:val="auto"/>
          <w:szCs w:val="21"/>
          <w:highlight w:val="none"/>
        </w:rPr>
        <w:t>：</w:t>
      </w:r>
      <w:r>
        <w:rPr>
          <w:rFonts w:hint="eastAsia"/>
          <w:b/>
          <w:color w:val="auto"/>
          <w:szCs w:val="21"/>
          <w:highlight w:val="none"/>
        </w:rPr>
        <w:t>投标人须</w:t>
      </w:r>
      <w:r>
        <w:rPr>
          <w:b/>
          <w:color w:val="auto"/>
          <w:szCs w:val="21"/>
          <w:highlight w:val="none"/>
        </w:rPr>
        <w:t>在法定质疑期内一次性提出针对同一采购程序环节的质疑</w:t>
      </w:r>
      <w:r>
        <w:rPr>
          <w:rFonts w:hint="eastAsia"/>
          <w:b/>
          <w:color w:val="auto"/>
          <w:szCs w:val="21"/>
          <w:highlight w:val="none"/>
        </w:rPr>
        <w:t>）</w:t>
      </w:r>
      <w:r>
        <w:rPr>
          <w:rFonts w:hint="eastAsia"/>
          <w:color w:val="auto"/>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w:t>
      </w:r>
      <w:r>
        <w:rPr>
          <w:rFonts w:hint="eastAsia"/>
          <w:color w:val="auto"/>
          <w:szCs w:val="21"/>
          <w:highlight w:val="none"/>
          <w:lang w:val="en-US" w:eastAsia="zh-CN"/>
        </w:rPr>
        <w:t>国企</w:t>
      </w:r>
      <w:r>
        <w:rPr>
          <w:rFonts w:hint="eastAsia"/>
          <w:color w:val="auto"/>
          <w:szCs w:val="21"/>
          <w:highlight w:val="none"/>
        </w:rPr>
        <w:t>采购监督管理部门投诉。</w:t>
      </w:r>
    </w:p>
    <w:p w14:paraId="5EB4FDC0">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.2</w:t>
      </w:r>
      <w:r>
        <w:rPr>
          <w:rFonts w:hint="eastAsia"/>
          <w:color w:val="auto"/>
          <w:szCs w:val="21"/>
          <w:highlight w:val="none"/>
        </w:rPr>
        <w:tab/>
      </w:r>
      <w:r>
        <w:rPr>
          <w:rFonts w:hint="eastAsia"/>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6D52DCA9">
      <w:pPr>
        <w:tabs>
          <w:tab w:val="left" w:pos="709"/>
        </w:tabs>
        <w:spacing w:line="380" w:lineRule="exact"/>
        <w:ind w:firstLine="420" w:firstLineChars="200"/>
        <w:contextualSpacing/>
        <w:rPr>
          <w:rFonts w:hint="eastAsia"/>
          <w:color w:val="auto"/>
          <w:szCs w:val="21"/>
          <w:highlight w:val="none"/>
        </w:rPr>
      </w:pPr>
      <w:r>
        <w:rPr>
          <w:rFonts w:hint="eastAsia"/>
          <w:color w:val="auto"/>
          <w:szCs w:val="21"/>
          <w:highlight w:val="none"/>
        </w:rPr>
        <w:t>7.3</w:t>
      </w:r>
      <w:r>
        <w:rPr>
          <w:rFonts w:hint="eastAsia"/>
          <w:color w:val="auto"/>
          <w:szCs w:val="21"/>
          <w:highlight w:val="none"/>
        </w:rPr>
        <w:tab/>
      </w:r>
      <w:r>
        <w:rPr>
          <w:rFonts w:hint="eastAsia"/>
          <w:color w:val="auto"/>
          <w:szCs w:val="21"/>
          <w:highlight w:val="none"/>
        </w:rPr>
        <w:t>采购代理机构发送的答疑文件是采购文件的组成部分，对投标人具有约束力。</w:t>
      </w:r>
    </w:p>
    <w:p w14:paraId="03C88886">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、采购文件的澄清与修改</w:t>
      </w:r>
    </w:p>
    <w:p w14:paraId="48F1A7B9">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6B8F9BD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澄清或者修改的内容可能影响投标文件编制的，采购人或者采购代理机构应当在投标截止时间至少</w:t>
      </w:r>
      <w:r>
        <w:rPr>
          <w:color w:val="auto"/>
          <w:szCs w:val="21"/>
          <w:highlight w:val="none"/>
        </w:rPr>
        <w:t>15</w:t>
      </w:r>
      <w:r>
        <w:rPr>
          <w:rFonts w:hint="eastAsia"/>
          <w:color w:val="auto"/>
          <w:szCs w:val="21"/>
          <w:highlight w:val="none"/>
        </w:rPr>
        <w:t>日前，以书面形式通知所有获取采购文件的潜在投标人；不足</w:t>
      </w:r>
      <w:r>
        <w:rPr>
          <w:color w:val="auto"/>
          <w:szCs w:val="21"/>
          <w:highlight w:val="none"/>
        </w:rPr>
        <w:t>15</w:t>
      </w:r>
      <w:r>
        <w:rPr>
          <w:rFonts w:hint="eastAsia"/>
          <w:color w:val="auto"/>
          <w:szCs w:val="21"/>
          <w:highlight w:val="none"/>
        </w:rPr>
        <w:t>日的，采购人或者采购代理机构应当顺延提交投标文件的截止时间。</w:t>
      </w:r>
    </w:p>
    <w:p w14:paraId="6353AF9A">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.2</w:t>
      </w:r>
      <w:r>
        <w:rPr>
          <w:color w:val="auto"/>
          <w:szCs w:val="21"/>
          <w:highlight w:val="none"/>
        </w:rPr>
        <w:t>采购代理机构必须以书面形式答复投标人要求澄清的问题，并将不包含问题来源的答复书面通知所有</w:t>
      </w:r>
      <w:r>
        <w:rPr>
          <w:rFonts w:hint="eastAsia"/>
          <w:color w:val="auto"/>
          <w:szCs w:val="21"/>
          <w:highlight w:val="none"/>
        </w:rPr>
        <w:t>获取</w:t>
      </w:r>
      <w:r>
        <w:rPr>
          <w:color w:val="auto"/>
          <w:szCs w:val="21"/>
          <w:highlight w:val="none"/>
        </w:rPr>
        <w:t>采购文件的投标人；除书面答复以外的其他澄清方式及澄清内容均无效。</w:t>
      </w:r>
    </w:p>
    <w:p w14:paraId="4CF36A33">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.3</w:t>
      </w:r>
      <w:r>
        <w:rPr>
          <w:color w:val="auto"/>
          <w:szCs w:val="21"/>
          <w:highlight w:val="none"/>
        </w:rPr>
        <w:t>采购文件澄清、答复、修改、补充的内容为采购文件的组成部分。当采购文件与采购文件的答复、澄清、修改、补充通知就同一内容的表述不一致时，以最后发出的书面文件为准。</w:t>
      </w:r>
    </w:p>
    <w:p w14:paraId="295A4BD6">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.4</w:t>
      </w:r>
      <w:r>
        <w:rPr>
          <w:color w:val="auto"/>
          <w:szCs w:val="21"/>
          <w:highlight w:val="none"/>
        </w:rPr>
        <w:t>采购文件的澄清、答复、修改或补充都应该通过本代理机构以法定形式发布，采购人非通过本机构，不得擅自澄清、答复、修改或补充采购文件。</w:t>
      </w:r>
    </w:p>
    <w:p w14:paraId="37EDC54F">
      <w:pPr>
        <w:tabs>
          <w:tab w:val="left" w:pos="709"/>
        </w:tabs>
        <w:spacing w:line="380" w:lineRule="exact"/>
        <w:ind w:firstLine="420" w:firstLineChars="200"/>
        <w:contextualSpacing/>
        <w:rPr>
          <w:color w:val="auto"/>
          <w:szCs w:val="21"/>
          <w:highlight w:val="none"/>
        </w:rPr>
      </w:pPr>
      <w:r>
        <w:rPr>
          <w:color w:val="auto"/>
          <w:szCs w:val="21"/>
          <w:highlight w:val="none"/>
        </w:rPr>
        <w:t>9</w:t>
      </w:r>
      <w:r>
        <w:rPr>
          <w:rFonts w:hint="eastAsia"/>
          <w:color w:val="auto"/>
          <w:szCs w:val="21"/>
          <w:highlight w:val="none"/>
        </w:rPr>
        <w:t>、关于分公司投标</w:t>
      </w:r>
    </w:p>
    <w:p w14:paraId="2234355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除金融、保险、通讯等特定行业外，法人的分支机构由于不能独立承担民事责任，不能以分支机构的身份参加</w:t>
      </w:r>
      <w:r>
        <w:rPr>
          <w:rFonts w:hint="eastAsia"/>
          <w:color w:val="auto"/>
          <w:szCs w:val="21"/>
          <w:highlight w:val="none"/>
          <w:lang w:val="en-US" w:eastAsia="zh-CN"/>
        </w:rPr>
        <w:t>国企</w:t>
      </w:r>
      <w:r>
        <w:rPr>
          <w:rFonts w:hint="eastAsia"/>
          <w:color w:val="auto"/>
          <w:szCs w:val="21"/>
          <w:highlight w:val="none"/>
        </w:rPr>
        <w:t>采购，只能法人身份参加。</w:t>
      </w:r>
    </w:p>
    <w:p w14:paraId="1823661C">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、关于知识产权</w:t>
      </w:r>
    </w:p>
    <w:p w14:paraId="2E59D8B2">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w:t>
      </w:r>
      <w:r>
        <w:rPr>
          <w:color w:val="auto"/>
          <w:szCs w:val="21"/>
          <w:highlight w:val="none"/>
        </w:rPr>
        <w:t>1</w:t>
      </w:r>
      <w:r>
        <w:rPr>
          <w:rFonts w:hint="eastAsia"/>
          <w:color w:val="auto"/>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4C86C9C3">
      <w:pPr>
        <w:tabs>
          <w:tab w:val="left" w:pos="709"/>
        </w:tabs>
        <w:spacing w:line="380" w:lineRule="exact"/>
        <w:ind w:firstLine="420" w:firstLineChars="200"/>
        <w:contextualSpacing/>
        <w:rPr>
          <w:color w:val="auto"/>
          <w:szCs w:val="21"/>
          <w:highlight w:val="none"/>
        </w:rPr>
      </w:pPr>
      <w:r>
        <w:rPr>
          <w:color w:val="auto"/>
          <w:szCs w:val="21"/>
          <w:highlight w:val="none"/>
        </w:rPr>
        <w:t>10.2</w:t>
      </w:r>
      <w:r>
        <w:rPr>
          <w:rFonts w:hint="eastAsia"/>
          <w:color w:val="auto"/>
          <w:szCs w:val="21"/>
          <w:highlight w:val="none"/>
        </w:rPr>
        <w:t>投标报价应包含所有应向所有权人支付的专利权、商标权或其它知识产权的一切相关费用。</w:t>
      </w:r>
    </w:p>
    <w:p w14:paraId="6C417D23">
      <w:pPr>
        <w:tabs>
          <w:tab w:val="left" w:pos="709"/>
        </w:tabs>
        <w:spacing w:line="380" w:lineRule="exact"/>
        <w:ind w:firstLine="420" w:firstLineChars="200"/>
        <w:contextualSpacing/>
        <w:rPr>
          <w:color w:val="auto"/>
          <w:szCs w:val="21"/>
          <w:highlight w:val="none"/>
        </w:rPr>
      </w:pPr>
      <w:r>
        <w:rPr>
          <w:color w:val="auto"/>
          <w:szCs w:val="21"/>
          <w:highlight w:val="none"/>
        </w:rPr>
        <w:t>10.3</w:t>
      </w:r>
      <w:r>
        <w:rPr>
          <w:rFonts w:hint="eastAsia"/>
          <w:color w:val="auto"/>
          <w:szCs w:val="21"/>
          <w:highlight w:val="none"/>
        </w:rPr>
        <w:t>系统软件、通用软件必须是具有在中国境内的合法使用权或版权的正版软件，涉及到第三方提出侵权或知识产权的起诉及支付版税等费用由供应商承担所有责任及费用。</w:t>
      </w:r>
    </w:p>
    <w:p w14:paraId="20F7B891">
      <w:pPr>
        <w:pStyle w:val="2"/>
        <w:contextualSpacing/>
        <w:rPr>
          <w:rFonts w:ascii="Times New Roman"/>
          <w:color w:val="auto"/>
          <w:sz w:val="24"/>
          <w:szCs w:val="24"/>
          <w:highlight w:val="none"/>
        </w:rPr>
      </w:pPr>
      <w:bookmarkStart w:id="15" w:name="_Toc505353784"/>
      <w:bookmarkStart w:id="16" w:name="_Toc498429633"/>
      <w:r>
        <w:rPr>
          <w:rFonts w:hint="eastAsia" w:ascii="Times New Roman"/>
          <w:color w:val="auto"/>
          <w:sz w:val="24"/>
          <w:szCs w:val="24"/>
          <w:highlight w:val="none"/>
        </w:rPr>
        <w:t>四、投标文件</w:t>
      </w:r>
      <w:bookmarkEnd w:id="15"/>
      <w:bookmarkEnd w:id="16"/>
    </w:p>
    <w:p w14:paraId="00FF0075">
      <w:pPr>
        <w:spacing w:line="380" w:lineRule="exact"/>
        <w:contextualSpacing/>
        <w:rPr>
          <w:color w:val="auto"/>
          <w:szCs w:val="21"/>
          <w:highlight w:val="none"/>
        </w:rPr>
      </w:pPr>
      <w:bookmarkStart w:id="17" w:name="_Toc336528584"/>
      <w:r>
        <w:rPr>
          <w:color w:val="auto"/>
          <w:szCs w:val="21"/>
          <w:highlight w:val="none"/>
        </w:rPr>
        <w:t>11</w:t>
      </w:r>
      <w:r>
        <w:rPr>
          <w:rFonts w:hint="eastAsia"/>
          <w:color w:val="auto"/>
          <w:szCs w:val="21"/>
          <w:highlight w:val="none"/>
        </w:rPr>
        <w:t>、投标文件的组成</w:t>
      </w:r>
      <w:bookmarkEnd w:id="17"/>
    </w:p>
    <w:p w14:paraId="719F56D9">
      <w:pPr>
        <w:tabs>
          <w:tab w:val="left" w:pos="709"/>
        </w:tabs>
        <w:spacing w:line="360" w:lineRule="auto"/>
        <w:ind w:firstLine="420" w:firstLineChars="200"/>
        <w:contextualSpacing/>
        <w:rPr>
          <w:color w:val="auto"/>
          <w:szCs w:val="21"/>
          <w:highlight w:val="none"/>
        </w:rPr>
      </w:pPr>
      <w:r>
        <w:rPr>
          <w:color w:val="auto"/>
          <w:szCs w:val="21"/>
          <w:highlight w:val="none"/>
        </w:rPr>
        <w:t>11</w:t>
      </w:r>
      <w:r>
        <w:rPr>
          <w:rFonts w:hint="eastAsia"/>
          <w:color w:val="auto"/>
          <w:szCs w:val="21"/>
          <w:highlight w:val="none"/>
        </w:rPr>
        <w:t>.1投标文件分为资格证明文件、报价文件、技术商务文件三部分；</w:t>
      </w:r>
    </w:p>
    <w:p w14:paraId="3A624660">
      <w:pPr>
        <w:tabs>
          <w:tab w:val="left" w:pos="1418"/>
        </w:tabs>
        <w:spacing w:line="360" w:lineRule="auto"/>
        <w:ind w:firstLine="422" w:firstLineChars="200"/>
        <w:contextualSpacing/>
        <w:rPr>
          <w:b/>
          <w:i/>
          <w:color w:val="auto"/>
          <w:szCs w:val="21"/>
          <w:highlight w:val="none"/>
        </w:rPr>
      </w:pPr>
      <w:r>
        <w:rPr>
          <w:rFonts w:hint="eastAsia"/>
          <w:b/>
          <w:i/>
          <w:color w:val="auto"/>
          <w:szCs w:val="21"/>
          <w:highlight w:val="none"/>
        </w:rPr>
        <w:t>资格证明文件包含但不限于以下文件：</w:t>
      </w:r>
      <w:r>
        <w:rPr>
          <w:b/>
          <w:i/>
          <w:color w:val="auto"/>
          <w:szCs w:val="21"/>
          <w:highlight w:val="none"/>
        </w:rPr>
        <w:tab/>
      </w:r>
    </w:p>
    <w:p w14:paraId="108CABB6">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（1）资格条件自查表（格式见附件）；</w:t>
      </w:r>
    </w:p>
    <w:p w14:paraId="2885E480">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（2）有效的企业法人营业执照（或事业法人登记证）或其他组织（个体工商户）的营业执照或者民办非企业单位登记证书复印件，如为自然人的需附身份证明并签字；</w:t>
      </w:r>
    </w:p>
    <w:p w14:paraId="0AAA79CA">
      <w:pPr>
        <w:tabs>
          <w:tab w:val="left" w:pos="1418"/>
        </w:tabs>
        <w:spacing w:line="360" w:lineRule="auto"/>
        <w:ind w:firstLine="420" w:firstLineChars="200"/>
        <w:contextualSpacing/>
        <w:rPr>
          <w:color w:val="auto"/>
          <w:szCs w:val="21"/>
          <w:highlight w:val="none"/>
        </w:rPr>
      </w:pPr>
      <w:r>
        <w:rPr>
          <w:rFonts w:hint="eastAsia" w:ascii="宋体" w:hAnsi="宋体" w:cs="Arial"/>
          <w:color w:val="auto"/>
          <w:kern w:val="0"/>
          <w:szCs w:val="21"/>
          <w:highlight w:val="none"/>
        </w:rPr>
        <w:t>（3）</w:t>
      </w:r>
      <w:r>
        <w:rPr>
          <w:rFonts w:hint="eastAsia"/>
          <w:color w:val="auto"/>
          <w:szCs w:val="21"/>
          <w:highlight w:val="none"/>
        </w:rPr>
        <w:t>关于资格的承诺函（格式见附件）；</w:t>
      </w:r>
    </w:p>
    <w:p w14:paraId="3E9758FC">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（4）投标人认为需要提交的其他文件资料。</w:t>
      </w:r>
    </w:p>
    <w:p w14:paraId="428A9D89">
      <w:pPr>
        <w:tabs>
          <w:tab w:val="left" w:pos="1418"/>
        </w:tabs>
        <w:spacing w:line="360" w:lineRule="auto"/>
        <w:ind w:firstLine="422" w:firstLineChars="200"/>
        <w:rPr>
          <w:rFonts w:cs="Arial"/>
          <w:b/>
          <w:color w:val="auto"/>
          <w:szCs w:val="21"/>
          <w:highlight w:val="none"/>
        </w:rPr>
      </w:pPr>
      <w:r>
        <w:rPr>
          <w:rFonts w:hint="eastAsia"/>
          <w:b/>
          <w:color w:val="auto"/>
          <w:szCs w:val="21"/>
          <w:highlight w:val="none"/>
        </w:rPr>
        <w:t>注：</w:t>
      </w:r>
      <w:r>
        <w:rPr>
          <w:rFonts w:hint="eastAsia" w:cs="Arial"/>
          <w:b/>
          <w:color w:val="auto"/>
          <w:szCs w:val="21"/>
          <w:highlight w:val="none"/>
        </w:rPr>
        <w:t>采购人或采购代理机构在资格审查时，通过“信用中国”网站</w:t>
      </w:r>
      <w:r>
        <w:rPr>
          <w:rFonts w:cs="Arial"/>
          <w:b/>
          <w:color w:val="auto"/>
          <w:szCs w:val="21"/>
          <w:highlight w:val="none"/>
        </w:rPr>
        <w:t>(www.creditchina.gov.cn)</w:t>
      </w:r>
      <w:r>
        <w:rPr>
          <w:rFonts w:hint="eastAsia" w:cs="Arial"/>
          <w:b/>
          <w:color w:val="auto"/>
          <w:szCs w:val="21"/>
          <w:highlight w:val="none"/>
        </w:rPr>
        <w:t>、中国政府采购网</w:t>
      </w:r>
      <w:r>
        <w:rPr>
          <w:rFonts w:cs="Arial"/>
          <w:b/>
          <w:color w:val="auto"/>
          <w:szCs w:val="21"/>
          <w:highlight w:val="none"/>
        </w:rPr>
        <w:t xml:space="preserve">(www.ccgp.gov.cn) </w:t>
      </w:r>
      <w:r>
        <w:rPr>
          <w:rFonts w:hint="eastAsia" w:cs="Arial"/>
          <w:b/>
          <w:color w:val="auto"/>
          <w:szCs w:val="21"/>
          <w:highlight w:val="none"/>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14:paraId="4BEFB522">
      <w:pPr>
        <w:tabs>
          <w:tab w:val="left" w:pos="1418"/>
        </w:tabs>
        <w:spacing w:line="360" w:lineRule="auto"/>
        <w:ind w:firstLine="422" w:firstLineChars="200"/>
        <w:contextualSpacing/>
        <w:rPr>
          <w:rFonts w:ascii="宋体" w:hAnsi="宋体" w:cs="宋体"/>
          <w:b/>
          <w:i/>
          <w:color w:val="auto"/>
          <w:szCs w:val="21"/>
          <w:highlight w:val="none"/>
        </w:rPr>
      </w:pPr>
      <w:r>
        <w:rPr>
          <w:rFonts w:hint="eastAsia" w:ascii="宋体" w:hAnsi="宋体" w:cs="宋体"/>
          <w:b/>
          <w:i/>
          <w:color w:val="auto"/>
          <w:szCs w:val="21"/>
          <w:highlight w:val="none"/>
        </w:rPr>
        <w:t>报价文件包含但不限于以下文件：</w:t>
      </w:r>
    </w:p>
    <w:p w14:paraId="48E4E872">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（1）投标函；（格式见附件）</w:t>
      </w:r>
    </w:p>
    <w:p w14:paraId="2D5F5E15">
      <w:pPr>
        <w:tabs>
          <w:tab w:val="left" w:pos="1418"/>
        </w:tabs>
        <w:spacing w:line="360" w:lineRule="auto"/>
        <w:ind w:left="420"/>
        <w:contextualSpacing/>
        <w:rPr>
          <w:rFonts w:hint="eastAsia" w:ascii="宋体" w:hAnsi="宋体" w:cs="宋体"/>
          <w:color w:val="auto"/>
          <w:szCs w:val="21"/>
          <w:highlight w:val="none"/>
        </w:rPr>
      </w:pPr>
      <w:r>
        <w:rPr>
          <w:rFonts w:hint="eastAsia" w:ascii="宋体" w:hAnsi="宋体" w:cs="宋体"/>
          <w:color w:val="auto"/>
          <w:szCs w:val="21"/>
          <w:highlight w:val="none"/>
        </w:rPr>
        <w:t>（2）开标一览表；（格式见附件）</w:t>
      </w:r>
    </w:p>
    <w:p w14:paraId="024D75B8">
      <w:pPr>
        <w:tabs>
          <w:tab w:val="left" w:pos="1418"/>
        </w:tabs>
        <w:spacing w:line="360" w:lineRule="auto"/>
        <w:ind w:left="420"/>
        <w:contextualSpacing/>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lang w:eastAsia="zh-CN"/>
        </w:rPr>
        <w:t>（</w:t>
      </w:r>
      <w:r>
        <w:rPr>
          <w:rFonts w:hint="eastAsia" w:ascii="宋体" w:hAnsi="宋体" w:cs="宋体"/>
          <w:color w:val="FF0000"/>
          <w:szCs w:val="21"/>
          <w:highlight w:val="none"/>
          <w:lang w:val="en-US" w:eastAsia="zh-CN"/>
        </w:rPr>
        <w:t>3</w:t>
      </w:r>
      <w:r>
        <w:rPr>
          <w:rFonts w:hint="eastAsia" w:ascii="宋体" w:hAnsi="宋体" w:cs="宋体"/>
          <w:color w:val="FF0000"/>
          <w:szCs w:val="21"/>
          <w:highlight w:val="none"/>
          <w:lang w:eastAsia="zh-CN"/>
        </w:rPr>
        <w:t>）</w:t>
      </w:r>
      <w:r>
        <w:rPr>
          <w:rFonts w:hint="eastAsia" w:eastAsia="宋体"/>
          <w:color w:val="FF0000"/>
          <w:szCs w:val="21"/>
          <w:highlight w:val="none"/>
          <w:lang w:val="en-US" w:eastAsia="zh-CN"/>
        </w:rPr>
        <w:t>种植服务</w:t>
      </w:r>
      <w:r>
        <w:rPr>
          <w:rFonts w:hint="eastAsia" w:ascii="宋体" w:hAnsi="宋体" w:cs="宋体"/>
          <w:color w:val="FF0000"/>
          <w:kern w:val="2"/>
          <w:sz w:val="21"/>
          <w:szCs w:val="21"/>
          <w:highlight w:val="none"/>
          <w:lang w:val="en-US" w:eastAsia="zh-CN"/>
        </w:rPr>
        <w:t>报价</w:t>
      </w:r>
      <w:r>
        <w:rPr>
          <w:rFonts w:hint="eastAsia" w:ascii="宋体" w:hAnsi="宋体" w:cs="宋体"/>
          <w:color w:val="FF0000"/>
          <w:szCs w:val="21"/>
          <w:highlight w:val="none"/>
          <w:lang w:val="en-US" w:eastAsia="zh-CN"/>
        </w:rPr>
        <w:t>分项报价一览表；</w:t>
      </w:r>
      <w:r>
        <w:rPr>
          <w:rFonts w:hint="eastAsia" w:ascii="宋体" w:hAnsi="宋体" w:cs="宋体"/>
          <w:color w:val="FF0000"/>
          <w:szCs w:val="21"/>
          <w:highlight w:val="none"/>
        </w:rPr>
        <w:t>（格式见附件）</w:t>
      </w:r>
    </w:p>
    <w:p w14:paraId="45A0130A">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）其他涉及的有关文件；</w:t>
      </w:r>
    </w:p>
    <w:p w14:paraId="5D3A5710">
      <w:pPr>
        <w:tabs>
          <w:tab w:val="left" w:pos="1418"/>
        </w:tabs>
        <w:spacing w:line="360" w:lineRule="auto"/>
        <w:ind w:firstLine="422" w:firstLineChars="200"/>
        <w:contextualSpacing/>
        <w:rPr>
          <w:rFonts w:ascii="宋体" w:hAnsi="宋体" w:cs="宋体"/>
          <w:b/>
          <w:i/>
          <w:color w:val="auto"/>
          <w:szCs w:val="21"/>
          <w:highlight w:val="none"/>
        </w:rPr>
      </w:pPr>
      <w:r>
        <w:rPr>
          <w:rFonts w:hint="eastAsia" w:ascii="宋体" w:hAnsi="宋体" w:cs="宋体"/>
          <w:b/>
          <w:i/>
          <w:color w:val="auto"/>
          <w:szCs w:val="21"/>
          <w:highlight w:val="none"/>
        </w:rPr>
        <w:t>技术商务文件包含但不限于以下文件：</w:t>
      </w:r>
    </w:p>
    <w:p w14:paraId="0D5088D7">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目录索引（格式自拟）；</w:t>
      </w:r>
    </w:p>
    <w:p w14:paraId="2A5E17CE">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技术商务分自评表（格式见附件）；</w:t>
      </w:r>
    </w:p>
    <w:p w14:paraId="0BA34FBA">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法定代表人授权书及被授权人身份证复印件（若投标人代表系法定代表人，无需提供授权书，必须提供法定代表人身份证复印件及法定代表人身份证明书（格式见附件））；</w:t>
      </w:r>
    </w:p>
    <w:p w14:paraId="02F267B4">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 xml:space="preserve">技术、商务条款偏离表（格式见附件）； </w:t>
      </w:r>
    </w:p>
    <w:p w14:paraId="72863AD2">
      <w:pPr>
        <w:numPr>
          <w:ilvl w:val="0"/>
          <w:numId w:val="2"/>
        </w:numPr>
        <w:tabs>
          <w:tab w:val="left" w:pos="1418"/>
        </w:tabs>
        <w:spacing w:line="360" w:lineRule="auto"/>
        <w:ind w:left="420"/>
        <w:contextualSpacing/>
        <w:rPr>
          <w:color w:val="auto"/>
          <w:szCs w:val="24"/>
          <w:highlight w:val="none"/>
        </w:rPr>
      </w:pPr>
      <w:r>
        <w:rPr>
          <w:rFonts w:hint="eastAsia"/>
          <w:color w:val="auto"/>
          <w:szCs w:val="24"/>
          <w:highlight w:val="none"/>
        </w:rPr>
        <w:t>项目实施方案（方案自拟）；</w:t>
      </w:r>
    </w:p>
    <w:p w14:paraId="3CCFD585">
      <w:pPr>
        <w:numPr>
          <w:ilvl w:val="0"/>
          <w:numId w:val="2"/>
        </w:numPr>
        <w:tabs>
          <w:tab w:val="left" w:pos="1418"/>
        </w:tabs>
        <w:spacing w:line="360" w:lineRule="auto"/>
        <w:ind w:left="420"/>
        <w:contextualSpacing/>
        <w:rPr>
          <w:color w:val="auto"/>
          <w:szCs w:val="24"/>
          <w:highlight w:val="none"/>
        </w:rPr>
      </w:pPr>
      <w:r>
        <w:rPr>
          <w:rFonts w:hint="eastAsia" w:ascii="宋体" w:hAnsi="宋体" w:cs="宋体"/>
          <w:color w:val="auto"/>
          <w:szCs w:val="21"/>
          <w:highlight w:val="none"/>
          <w:lang w:val="en-US" w:eastAsia="zh-CN"/>
        </w:rPr>
        <w:t>保底收提前支付承诺函</w:t>
      </w:r>
      <w:r>
        <w:rPr>
          <w:rFonts w:hint="eastAsia" w:ascii="宋体" w:hAnsi="宋体"/>
          <w:color w:val="auto"/>
          <w:szCs w:val="21"/>
          <w:highlight w:val="none"/>
        </w:rPr>
        <w:t>（</w:t>
      </w:r>
      <w:r>
        <w:rPr>
          <w:rFonts w:hint="eastAsia" w:ascii="宋体" w:hAnsi="宋体"/>
          <w:color w:val="auto"/>
          <w:szCs w:val="21"/>
          <w:highlight w:val="none"/>
          <w:lang w:val="en-US" w:eastAsia="zh-CN"/>
        </w:rPr>
        <w:t>如有，</w:t>
      </w:r>
      <w:r>
        <w:rPr>
          <w:rFonts w:hint="eastAsia" w:ascii="宋体" w:hAnsi="宋体"/>
          <w:color w:val="auto"/>
          <w:szCs w:val="21"/>
          <w:highlight w:val="none"/>
        </w:rPr>
        <w:t>格式见附件）</w:t>
      </w:r>
    </w:p>
    <w:p w14:paraId="732E013F">
      <w:pPr>
        <w:numPr>
          <w:ilvl w:val="0"/>
          <w:numId w:val="2"/>
        </w:numPr>
        <w:tabs>
          <w:tab w:val="left" w:pos="1418"/>
        </w:tabs>
        <w:spacing w:line="360" w:lineRule="auto"/>
        <w:ind w:left="420"/>
        <w:contextualSpacing/>
        <w:rPr>
          <w:rFonts w:ascii="宋体" w:hAnsi="宋体"/>
          <w:color w:val="auto"/>
          <w:kern w:val="0"/>
          <w:szCs w:val="21"/>
          <w:highlight w:val="none"/>
        </w:rPr>
      </w:pPr>
      <w:r>
        <w:rPr>
          <w:rFonts w:hint="eastAsia" w:ascii="宋体" w:hAnsi="宋体" w:cs="宋体"/>
          <w:color w:val="auto"/>
          <w:szCs w:val="21"/>
          <w:highlight w:val="none"/>
        </w:rPr>
        <w:t>评分标准中要求提供的</w:t>
      </w:r>
      <w:r>
        <w:rPr>
          <w:rFonts w:hint="eastAsia" w:ascii="宋体" w:hAnsi="宋体"/>
          <w:color w:val="auto"/>
          <w:szCs w:val="21"/>
          <w:highlight w:val="none"/>
        </w:rPr>
        <w:t>资料；</w:t>
      </w:r>
    </w:p>
    <w:p w14:paraId="22495FFA">
      <w:pPr>
        <w:numPr>
          <w:ilvl w:val="0"/>
          <w:numId w:val="2"/>
        </w:num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其他投标人认为需提交的文件资料。</w:t>
      </w:r>
    </w:p>
    <w:p w14:paraId="2D346A92">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11.2本次招标对投标文件组成要求，表述在《投标资料表》中。</w:t>
      </w:r>
    </w:p>
    <w:p w14:paraId="400B609B">
      <w:pPr>
        <w:spacing w:line="380" w:lineRule="exact"/>
        <w:contextualSpacing/>
        <w:rPr>
          <w:color w:val="auto"/>
          <w:szCs w:val="21"/>
          <w:highlight w:val="none"/>
        </w:rPr>
      </w:pPr>
      <w:r>
        <w:rPr>
          <w:color w:val="auto"/>
          <w:szCs w:val="21"/>
          <w:highlight w:val="none"/>
        </w:rPr>
        <w:t>12</w:t>
      </w:r>
      <w:r>
        <w:rPr>
          <w:rFonts w:hint="eastAsia"/>
          <w:color w:val="auto"/>
          <w:szCs w:val="21"/>
          <w:highlight w:val="none"/>
        </w:rPr>
        <w:t>、</w:t>
      </w:r>
      <w:r>
        <w:rPr>
          <w:color w:val="auto"/>
          <w:szCs w:val="21"/>
          <w:highlight w:val="none"/>
        </w:rPr>
        <w:t>投标报价</w:t>
      </w:r>
    </w:p>
    <w:p w14:paraId="33837CC7">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.1</w:t>
      </w:r>
      <w:r>
        <w:rPr>
          <w:color w:val="auto"/>
          <w:szCs w:val="21"/>
          <w:highlight w:val="none"/>
        </w:rPr>
        <w:t>投标人应全面充分了解本招标项目的全部内容及要求以及服务现场的基本条件，按照《投标资料表》</w:t>
      </w:r>
      <w:r>
        <w:rPr>
          <w:rFonts w:hint="eastAsia"/>
          <w:color w:val="auto"/>
          <w:szCs w:val="21"/>
          <w:highlight w:val="none"/>
        </w:rPr>
        <w:t>规定与</w:t>
      </w:r>
      <w:r>
        <w:rPr>
          <w:color w:val="auto"/>
          <w:szCs w:val="21"/>
          <w:highlight w:val="none"/>
        </w:rPr>
        <w:t>要求报价，并包含服务过程中可能涉及的所有费用</w:t>
      </w:r>
      <w:r>
        <w:rPr>
          <w:rFonts w:hint="eastAsia"/>
          <w:color w:val="auto"/>
          <w:szCs w:val="21"/>
          <w:highlight w:val="none"/>
        </w:rPr>
        <w:t>。</w:t>
      </w:r>
    </w:p>
    <w:p w14:paraId="04B04DB1">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.2</w:t>
      </w:r>
      <w:r>
        <w:rPr>
          <w:color w:val="auto"/>
          <w:szCs w:val="21"/>
          <w:highlight w:val="none"/>
        </w:rPr>
        <w:t>所有投标报价必须以人民币报价，不接受外币报价。</w:t>
      </w:r>
    </w:p>
    <w:p w14:paraId="5B5FFE80">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.3</w:t>
      </w:r>
      <w:r>
        <w:rPr>
          <w:color w:val="auto"/>
          <w:szCs w:val="21"/>
          <w:highlight w:val="none"/>
        </w:rPr>
        <w:t>投标报价只有一个，而且一经开标，投标价不得变更。如果出现有两个及以上的报价又未声明以哪一报价方案为主，则</w:t>
      </w:r>
      <w:r>
        <w:rPr>
          <w:rFonts w:hint="eastAsia"/>
          <w:color w:val="auto"/>
          <w:szCs w:val="21"/>
          <w:highlight w:val="none"/>
        </w:rPr>
        <w:t>投标将被拒绝</w:t>
      </w:r>
      <w:r>
        <w:rPr>
          <w:color w:val="auto"/>
          <w:szCs w:val="21"/>
          <w:highlight w:val="none"/>
        </w:rPr>
        <w:t>。投标声明应载明在</w:t>
      </w:r>
      <w:r>
        <w:rPr>
          <w:rFonts w:hint="eastAsia"/>
          <w:color w:val="auto"/>
          <w:szCs w:val="21"/>
          <w:highlight w:val="none"/>
        </w:rPr>
        <w:t>“</w:t>
      </w:r>
      <w:r>
        <w:rPr>
          <w:color w:val="auto"/>
          <w:szCs w:val="21"/>
          <w:highlight w:val="none"/>
        </w:rPr>
        <w:t>开标一览表</w:t>
      </w:r>
      <w:r>
        <w:rPr>
          <w:rFonts w:hint="eastAsia"/>
          <w:color w:val="auto"/>
          <w:szCs w:val="21"/>
          <w:highlight w:val="none"/>
        </w:rPr>
        <w:t>”</w:t>
      </w:r>
      <w:r>
        <w:rPr>
          <w:color w:val="auto"/>
          <w:szCs w:val="21"/>
          <w:highlight w:val="none"/>
        </w:rPr>
        <w:t>中，供开标时唱出。未经唱出的投标声明在评标时不作考虑。</w:t>
      </w:r>
    </w:p>
    <w:p w14:paraId="6DF333A7">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.4</w:t>
      </w:r>
      <w:r>
        <w:rPr>
          <w:color w:val="auto"/>
          <w:szCs w:val="21"/>
          <w:highlight w:val="none"/>
        </w:rPr>
        <w:t>投标报价</w:t>
      </w:r>
      <w:r>
        <w:rPr>
          <w:rFonts w:hint="eastAsia"/>
          <w:color w:val="auto"/>
          <w:szCs w:val="21"/>
          <w:highlight w:val="none"/>
        </w:rPr>
        <w:t>中有关</w:t>
      </w:r>
      <w:r>
        <w:rPr>
          <w:color w:val="auto"/>
          <w:szCs w:val="21"/>
          <w:highlight w:val="none"/>
        </w:rPr>
        <w:t>单价在中标后及合同执行过程中是固定不变的，投标人不得以任何理由予以变更。任何包含价格调整要求的投标，将被作无效投标处理。</w:t>
      </w:r>
    </w:p>
    <w:p w14:paraId="1190B9FB">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除非采购文件在《投标资料表》中对授予合同的数量增减有约定，投标报价在开标以后直至合同执行过程中是固定不变的，投标人不得以任何理由予以变更。任何包含价格调整要求的投标，将被作无效投标处理。</w:t>
      </w:r>
    </w:p>
    <w:p w14:paraId="4AA9E2D5">
      <w:pPr>
        <w:spacing w:line="380" w:lineRule="exact"/>
        <w:contextualSpacing/>
        <w:rPr>
          <w:color w:val="auto"/>
          <w:szCs w:val="21"/>
          <w:highlight w:val="none"/>
        </w:rPr>
      </w:pPr>
      <w:bookmarkStart w:id="18" w:name="_Toc429407697"/>
      <w:bookmarkStart w:id="19" w:name="_Toc425780281"/>
      <w:bookmarkStart w:id="20" w:name="_Toc425151737"/>
      <w:bookmarkStart w:id="21" w:name="_Toc430790218"/>
      <w:r>
        <w:rPr>
          <w:color w:val="auto"/>
          <w:szCs w:val="21"/>
          <w:highlight w:val="none"/>
        </w:rPr>
        <w:t>13</w:t>
      </w:r>
      <w:r>
        <w:rPr>
          <w:rFonts w:hint="eastAsia"/>
          <w:color w:val="auto"/>
          <w:szCs w:val="21"/>
          <w:highlight w:val="none"/>
        </w:rPr>
        <w:t>、</w:t>
      </w:r>
      <w:r>
        <w:rPr>
          <w:color w:val="auto"/>
          <w:szCs w:val="21"/>
          <w:highlight w:val="none"/>
        </w:rPr>
        <w:t>投标文件编写</w:t>
      </w:r>
      <w:bookmarkEnd w:id="18"/>
      <w:bookmarkEnd w:id="19"/>
      <w:bookmarkEnd w:id="20"/>
      <w:bookmarkEnd w:id="21"/>
    </w:p>
    <w:p w14:paraId="3FBF5AAD">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.1</w:t>
      </w:r>
      <w:r>
        <w:rPr>
          <w:color w:val="auto"/>
          <w:szCs w:val="21"/>
          <w:highlight w:val="none"/>
        </w:rPr>
        <w:t>投标文件应表述准确、完整、详细，并按统一格式填写。开标一览表系开标仪式上唱标的内容，应按格式完整填写。投标文件因表达不清楚所引起的后果由投标人负责。</w:t>
      </w:r>
    </w:p>
    <w:p w14:paraId="22DF4F3D">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.2</w:t>
      </w:r>
      <w:r>
        <w:rPr>
          <w:color w:val="auto"/>
          <w:szCs w:val="21"/>
          <w:highlight w:val="none"/>
        </w:rPr>
        <w:t>投标语言：中文</w:t>
      </w:r>
      <w:r>
        <w:rPr>
          <w:rFonts w:hint="eastAsia"/>
          <w:color w:val="auto"/>
          <w:szCs w:val="21"/>
          <w:highlight w:val="none"/>
        </w:rPr>
        <w:t>。除签名、盖章、专用名称等特殊情形外，以中文汉语以外的文字表述的投标文件视同未提供</w:t>
      </w:r>
      <w:r>
        <w:rPr>
          <w:color w:val="auto"/>
          <w:szCs w:val="21"/>
          <w:highlight w:val="none"/>
        </w:rPr>
        <w:t>。</w:t>
      </w:r>
    </w:p>
    <w:p w14:paraId="179A9A07">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.3</w:t>
      </w:r>
      <w:r>
        <w:rPr>
          <w:color w:val="auto"/>
          <w:szCs w:val="21"/>
          <w:highlight w:val="none"/>
        </w:rPr>
        <w:t>投标文件中所使用的计量单位，除非本采购文件</w:t>
      </w:r>
      <w:r>
        <w:rPr>
          <w:rFonts w:hint="eastAsia"/>
          <w:color w:val="auto"/>
          <w:szCs w:val="21"/>
          <w:highlight w:val="none"/>
        </w:rPr>
        <w:t>“</w:t>
      </w:r>
      <w:r>
        <w:rPr>
          <w:color w:val="auto"/>
          <w:szCs w:val="21"/>
          <w:highlight w:val="none"/>
        </w:rPr>
        <w:t>招标内容及要求</w:t>
      </w:r>
      <w:r>
        <w:rPr>
          <w:rFonts w:hint="eastAsia"/>
          <w:color w:val="auto"/>
          <w:szCs w:val="21"/>
          <w:highlight w:val="none"/>
        </w:rPr>
        <w:t>”</w:t>
      </w:r>
      <w:r>
        <w:rPr>
          <w:color w:val="auto"/>
          <w:szCs w:val="21"/>
          <w:highlight w:val="none"/>
        </w:rPr>
        <w:t>有特殊要求，应采用国家法定计量单位。</w:t>
      </w:r>
    </w:p>
    <w:p w14:paraId="79DDC119">
      <w:pPr>
        <w:spacing w:line="380" w:lineRule="exact"/>
        <w:contextualSpacing/>
        <w:rPr>
          <w:color w:val="auto"/>
          <w:szCs w:val="21"/>
          <w:highlight w:val="none"/>
        </w:rPr>
      </w:pPr>
      <w:bookmarkStart w:id="22" w:name="_Toc430790219"/>
      <w:bookmarkStart w:id="23" w:name="_Toc425151738"/>
      <w:bookmarkStart w:id="24" w:name="_Toc425780282"/>
      <w:bookmarkStart w:id="25" w:name="_Toc429407698"/>
      <w:r>
        <w:rPr>
          <w:color w:val="auto"/>
          <w:szCs w:val="21"/>
          <w:highlight w:val="none"/>
        </w:rPr>
        <w:t>14</w:t>
      </w:r>
      <w:r>
        <w:rPr>
          <w:rFonts w:hint="eastAsia"/>
          <w:color w:val="auto"/>
          <w:szCs w:val="21"/>
          <w:highlight w:val="none"/>
        </w:rPr>
        <w:t>、</w:t>
      </w:r>
      <w:r>
        <w:rPr>
          <w:color w:val="auto"/>
          <w:szCs w:val="21"/>
          <w:highlight w:val="none"/>
        </w:rPr>
        <w:t>投标文件的有效期</w:t>
      </w:r>
      <w:bookmarkEnd w:id="22"/>
      <w:bookmarkEnd w:id="23"/>
      <w:bookmarkEnd w:id="24"/>
      <w:bookmarkEnd w:id="25"/>
    </w:p>
    <w:p w14:paraId="09555EA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.1</w:t>
      </w:r>
      <w:r>
        <w:rPr>
          <w:color w:val="auto"/>
          <w:szCs w:val="21"/>
          <w:highlight w:val="none"/>
        </w:rPr>
        <w:t>投标文件应在《投标资料表》规定的投标有效期内保持有效。有效期短于规定期限的，将导致投标无效</w:t>
      </w:r>
      <w:r>
        <w:rPr>
          <w:rFonts w:hint="eastAsia"/>
          <w:color w:val="auto"/>
          <w:szCs w:val="21"/>
          <w:highlight w:val="none"/>
        </w:rPr>
        <w:t>而被拒绝</w:t>
      </w:r>
      <w:r>
        <w:rPr>
          <w:color w:val="auto"/>
          <w:szCs w:val="21"/>
          <w:highlight w:val="none"/>
        </w:rPr>
        <w:t>。</w:t>
      </w:r>
    </w:p>
    <w:p w14:paraId="60913AE1">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.2</w:t>
      </w:r>
      <w:r>
        <w:rPr>
          <w:color w:val="auto"/>
          <w:szCs w:val="21"/>
          <w:highlight w:val="none"/>
        </w:rPr>
        <w:t>在特殊情况下，在原投标有效期截止之前，应</w:t>
      </w:r>
      <w:r>
        <w:rPr>
          <w:rFonts w:hint="eastAsia"/>
          <w:color w:val="auto"/>
          <w:szCs w:val="21"/>
          <w:highlight w:val="none"/>
        </w:rPr>
        <w:t>采购人</w:t>
      </w:r>
      <w:r>
        <w:rPr>
          <w:color w:val="auto"/>
          <w:szCs w:val="21"/>
          <w:highlight w:val="none"/>
        </w:rPr>
        <w:t>的要求，采购代理机构可要求投标人延长投标文件的有效期，这种要求的提出和投标人的答复都应以书面（含传真）的形式进行。</w:t>
      </w:r>
    </w:p>
    <w:p w14:paraId="2371AA2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4.3</w:t>
      </w:r>
      <w:r>
        <w:rPr>
          <w:rFonts w:hint="eastAsia"/>
          <w:color w:val="auto"/>
          <w:szCs w:val="21"/>
          <w:highlight w:val="none"/>
        </w:rPr>
        <w:t>中标人的投标文件自开标之日起至合同履行完毕止均应保持有效。</w:t>
      </w:r>
      <w:bookmarkStart w:id="26" w:name="_Toc425151740"/>
      <w:bookmarkStart w:id="27" w:name="_Toc498429634"/>
      <w:bookmarkStart w:id="28" w:name="_Toc496003206"/>
      <w:bookmarkStart w:id="29" w:name="_Toc456853671"/>
      <w:bookmarkStart w:id="30" w:name="_Toc445193546"/>
      <w:bookmarkStart w:id="31" w:name="_Toc430790221"/>
      <w:bookmarkStart w:id="32" w:name="_Toc505353785"/>
      <w:bookmarkStart w:id="33" w:name="_Toc429407700"/>
      <w:bookmarkStart w:id="34" w:name="_Toc425780284"/>
      <w:bookmarkStart w:id="35" w:name="_Toc430790222"/>
      <w:bookmarkStart w:id="36" w:name="_Toc425780285"/>
      <w:bookmarkStart w:id="37" w:name="_Toc429407701"/>
      <w:bookmarkStart w:id="38" w:name="_Toc425151741"/>
    </w:p>
    <w:p w14:paraId="7E216AD7">
      <w:pPr>
        <w:pStyle w:val="2"/>
        <w:contextualSpacing/>
        <w:rPr>
          <w:rFonts w:ascii="Times New Roman"/>
          <w:color w:val="auto"/>
          <w:sz w:val="24"/>
          <w:szCs w:val="24"/>
          <w:highlight w:val="none"/>
        </w:rPr>
      </w:pPr>
      <w:r>
        <w:rPr>
          <w:rFonts w:hint="eastAsia" w:ascii="Times New Roman"/>
          <w:color w:val="auto"/>
          <w:sz w:val="24"/>
          <w:szCs w:val="24"/>
          <w:highlight w:val="none"/>
        </w:rPr>
        <w:t>五、</w:t>
      </w:r>
      <w:r>
        <w:rPr>
          <w:rFonts w:ascii="Times New Roman"/>
          <w:color w:val="auto"/>
          <w:sz w:val="24"/>
          <w:szCs w:val="24"/>
          <w:highlight w:val="none"/>
        </w:rPr>
        <w:t>投标文件的递交</w:t>
      </w:r>
      <w:bookmarkEnd w:id="26"/>
      <w:bookmarkEnd w:id="27"/>
      <w:bookmarkEnd w:id="28"/>
      <w:bookmarkEnd w:id="29"/>
      <w:bookmarkEnd w:id="30"/>
      <w:bookmarkEnd w:id="31"/>
      <w:bookmarkEnd w:id="32"/>
      <w:bookmarkEnd w:id="33"/>
      <w:bookmarkEnd w:id="34"/>
    </w:p>
    <w:p w14:paraId="58E93210">
      <w:pPr>
        <w:spacing w:line="380" w:lineRule="exact"/>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w:t>
      </w:r>
      <w:r>
        <w:rPr>
          <w:color w:val="auto"/>
          <w:szCs w:val="21"/>
          <w:highlight w:val="none"/>
        </w:rPr>
        <w:t>投标文件的签署及装订</w:t>
      </w:r>
    </w:p>
    <w:p w14:paraId="1DC9988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.1</w:t>
      </w:r>
      <w:r>
        <w:rPr>
          <w:color w:val="auto"/>
          <w:szCs w:val="21"/>
          <w:highlight w:val="none"/>
        </w:rPr>
        <w:t>对本</w:t>
      </w:r>
      <w:r>
        <w:rPr>
          <w:rFonts w:hint="eastAsia"/>
          <w:color w:val="auto"/>
          <w:szCs w:val="21"/>
          <w:highlight w:val="none"/>
        </w:rPr>
        <w:t>采购文件相关部分</w:t>
      </w:r>
      <w:r>
        <w:rPr>
          <w:color w:val="auto"/>
          <w:szCs w:val="21"/>
          <w:highlight w:val="none"/>
        </w:rPr>
        <w:t>提供的各种文件</w:t>
      </w:r>
      <w:r>
        <w:rPr>
          <w:rFonts w:hint="eastAsia"/>
          <w:color w:val="auto"/>
          <w:szCs w:val="21"/>
          <w:highlight w:val="none"/>
        </w:rPr>
        <w:t>、表格、格式</w:t>
      </w:r>
      <w:r>
        <w:rPr>
          <w:color w:val="auto"/>
          <w:szCs w:val="21"/>
          <w:highlight w:val="none"/>
        </w:rPr>
        <w:t>，投标人应按</w:t>
      </w:r>
      <w:r>
        <w:rPr>
          <w:rFonts w:hint="eastAsia"/>
          <w:color w:val="auto"/>
          <w:szCs w:val="21"/>
          <w:highlight w:val="none"/>
        </w:rPr>
        <w:t>采购文件</w:t>
      </w:r>
      <w:r>
        <w:rPr>
          <w:color w:val="auto"/>
          <w:szCs w:val="21"/>
          <w:highlight w:val="none"/>
        </w:rPr>
        <w:t>要求填写、签署和加盖公章。</w:t>
      </w:r>
    </w:p>
    <w:p w14:paraId="5FAD6ECC">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.2</w:t>
      </w:r>
      <w:r>
        <w:rPr>
          <w:color w:val="auto"/>
          <w:szCs w:val="21"/>
          <w:highlight w:val="none"/>
        </w:rPr>
        <w:t>投标文件</w:t>
      </w:r>
      <w:r>
        <w:rPr>
          <w:rFonts w:hint="eastAsia"/>
          <w:color w:val="auto"/>
          <w:szCs w:val="21"/>
          <w:highlight w:val="none"/>
        </w:rPr>
        <w:t>必须按采购文件规定的格式</w:t>
      </w:r>
      <w:r>
        <w:rPr>
          <w:color w:val="auto"/>
          <w:szCs w:val="21"/>
          <w:highlight w:val="none"/>
        </w:rPr>
        <w:t>加盖公章、法定代表人签字</w:t>
      </w:r>
      <w:r>
        <w:rPr>
          <w:rFonts w:hint="eastAsia"/>
          <w:color w:val="auto"/>
          <w:szCs w:val="21"/>
          <w:highlight w:val="none"/>
        </w:rPr>
        <w:t>（或盖章或电子章）</w:t>
      </w:r>
      <w:r>
        <w:rPr>
          <w:color w:val="auto"/>
          <w:szCs w:val="21"/>
          <w:highlight w:val="none"/>
        </w:rPr>
        <w:t>、投标代表人签字</w:t>
      </w:r>
      <w:r>
        <w:rPr>
          <w:rFonts w:hint="eastAsia"/>
          <w:color w:val="auto"/>
          <w:szCs w:val="21"/>
          <w:highlight w:val="none"/>
        </w:rPr>
        <w:t>（或盖章或电子章）</w:t>
      </w:r>
      <w:r>
        <w:rPr>
          <w:color w:val="auto"/>
          <w:szCs w:val="21"/>
          <w:highlight w:val="none"/>
        </w:rPr>
        <w:t>。</w:t>
      </w:r>
    </w:p>
    <w:p w14:paraId="657C1BD1">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15.3</w:t>
      </w:r>
      <w:r>
        <w:rPr>
          <w:color w:val="auto"/>
          <w:szCs w:val="21"/>
          <w:highlight w:val="none"/>
        </w:rPr>
        <w:t>投标文件应按各组成部分内容进行整理、编排、立目、索引、注明页码，以有利阅读评审</w:t>
      </w:r>
      <w:r>
        <w:rPr>
          <w:rFonts w:hint="eastAsia"/>
          <w:color w:val="auto"/>
          <w:szCs w:val="21"/>
          <w:highlight w:val="none"/>
        </w:rPr>
        <w:t>。</w:t>
      </w:r>
    </w:p>
    <w:p w14:paraId="7990ACD5">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.4</w:t>
      </w:r>
      <w:r>
        <w:rPr>
          <w:rFonts w:hint="eastAsia"/>
          <w:color w:val="auto"/>
          <w:szCs w:val="21"/>
          <w:highlight w:val="none"/>
        </w:rPr>
        <w:t>投标文件的份数</w:t>
      </w:r>
    </w:p>
    <w:p w14:paraId="6DA307E6">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本项目实行网上电子投标。</w:t>
      </w:r>
    </w:p>
    <w:p w14:paraId="1A0F1642">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1）上传到浙江国企采购乐彩云平台的电子</w:t>
      </w:r>
      <w:r>
        <w:rPr>
          <w:rFonts w:hint="eastAsia"/>
          <w:color w:val="auto"/>
          <w:szCs w:val="21"/>
          <w:highlight w:val="none"/>
        </w:rPr>
        <w:t>加密</w:t>
      </w:r>
      <w:r>
        <w:rPr>
          <w:color w:val="auto"/>
          <w:szCs w:val="21"/>
          <w:highlight w:val="none"/>
        </w:rPr>
        <w:t>投标文件（含资格证明文件、技术商务文件、报价文件）1份。</w:t>
      </w:r>
    </w:p>
    <w:p w14:paraId="1BFDFD8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2）以U盘存储的电子备份投标文件（含资格证明文件、技术商务文件、报价文件）1份。</w:t>
      </w:r>
    </w:p>
    <w:p w14:paraId="226F125A">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.5</w:t>
      </w:r>
      <w:r>
        <w:rPr>
          <w:rFonts w:hint="eastAsia"/>
          <w:color w:val="auto"/>
          <w:szCs w:val="21"/>
          <w:highlight w:val="none"/>
        </w:rPr>
        <w:t>电子投标文件应根据浙江国企采购乐彩云平台的要求及本采购文件规定的格式和顺序编制电子投标文件并进行关联定位。</w:t>
      </w:r>
    </w:p>
    <w:p w14:paraId="09D0F834">
      <w:pPr>
        <w:tabs>
          <w:tab w:val="left" w:pos="709"/>
        </w:tabs>
        <w:spacing w:line="380" w:lineRule="exact"/>
        <w:ind w:firstLine="420" w:firstLineChars="200"/>
        <w:contextualSpacing/>
        <w:rPr>
          <w:color w:val="auto"/>
          <w:szCs w:val="21"/>
          <w:highlight w:val="none"/>
        </w:rPr>
      </w:pPr>
      <w:r>
        <w:rPr>
          <w:color w:val="auto"/>
          <w:szCs w:val="21"/>
          <w:highlight w:val="none"/>
        </w:rPr>
        <w:t>15.6</w:t>
      </w:r>
      <w:r>
        <w:rPr>
          <w:rFonts w:hint="eastAsia"/>
          <w:color w:val="auto"/>
          <w:szCs w:val="21"/>
          <w:highlight w:val="none"/>
        </w:rPr>
        <w:t>电子备份投标文件应保证同上传至浙江国企采购乐彩云平台的电子投标文件内容相一致。</w:t>
      </w:r>
    </w:p>
    <w:p w14:paraId="02B2113D">
      <w:pPr>
        <w:spacing w:line="380" w:lineRule="exact"/>
        <w:contextualSpacing/>
        <w:rPr>
          <w:color w:val="auto"/>
          <w:szCs w:val="21"/>
          <w:highlight w:val="none"/>
        </w:rPr>
      </w:pPr>
      <w:bookmarkStart w:id="39" w:name="_Toc425151742"/>
      <w:bookmarkStart w:id="40" w:name="_Toc429407702"/>
      <w:bookmarkStart w:id="41" w:name="_Toc425780286"/>
      <w:bookmarkStart w:id="42" w:name="_Toc430790223"/>
      <w:r>
        <w:rPr>
          <w:rFonts w:hint="eastAsia"/>
          <w:color w:val="auto"/>
          <w:szCs w:val="21"/>
          <w:highlight w:val="none"/>
        </w:rPr>
        <w:t>16、</w:t>
      </w:r>
      <w:r>
        <w:rPr>
          <w:color w:val="auto"/>
          <w:szCs w:val="21"/>
          <w:highlight w:val="none"/>
        </w:rPr>
        <w:t>投标文件的密封、标记和递送</w:t>
      </w:r>
      <w:bookmarkEnd w:id="39"/>
      <w:bookmarkEnd w:id="40"/>
      <w:bookmarkEnd w:id="41"/>
      <w:bookmarkEnd w:id="42"/>
    </w:p>
    <w:p w14:paraId="7C8E779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16.1以U盘存储的电子备份投标文件用分带密封后递交。</w:t>
      </w:r>
    </w:p>
    <w:p w14:paraId="6AF35F58">
      <w:pPr>
        <w:snapToGrid w:val="0"/>
        <w:spacing w:line="380" w:lineRule="exact"/>
        <w:ind w:firstLine="420"/>
        <w:contextualSpacing/>
        <w:jc w:val="left"/>
        <w:rPr>
          <w:rFonts w:cs="宋体"/>
          <w:color w:val="auto"/>
          <w:kern w:val="0"/>
          <w:szCs w:val="21"/>
          <w:highlight w:val="none"/>
        </w:rPr>
      </w:pPr>
      <w:r>
        <w:rPr>
          <w:rFonts w:hint="eastAsia" w:cs="宋体"/>
          <w:color w:val="auto"/>
          <w:kern w:val="0"/>
          <w:szCs w:val="21"/>
          <w:highlight w:val="none"/>
        </w:rPr>
        <w:t>16</w:t>
      </w:r>
      <w:r>
        <w:rPr>
          <w:rFonts w:cs="宋体"/>
          <w:color w:val="auto"/>
          <w:kern w:val="0"/>
          <w:szCs w:val="21"/>
          <w:highlight w:val="none"/>
        </w:rPr>
        <w:t>.2</w:t>
      </w:r>
      <w:r>
        <w:rPr>
          <w:rFonts w:hint="eastAsia" w:cs="宋体"/>
          <w:color w:val="auto"/>
          <w:kern w:val="0"/>
          <w:szCs w:val="21"/>
          <w:highlight w:val="none"/>
        </w:rPr>
        <w:t>投标文件的</w:t>
      </w:r>
      <w:r>
        <w:rPr>
          <w:rFonts w:hint="eastAsia" w:cs="宋体"/>
          <w:color w:val="auto"/>
          <w:kern w:val="0"/>
          <w:szCs w:val="21"/>
          <w:highlight w:val="none"/>
          <w:lang w:eastAsia="zh-CN"/>
        </w:rPr>
        <w:t>包装（含包装材料）</w:t>
      </w:r>
      <w:r>
        <w:rPr>
          <w:rFonts w:hint="eastAsia" w:cs="宋体"/>
          <w:color w:val="auto"/>
          <w:kern w:val="0"/>
          <w:szCs w:val="21"/>
          <w:highlight w:val="none"/>
        </w:rPr>
        <w:t>封面上应注明投标人名称、投标人地址、投标文件名称</w:t>
      </w:r>
      <w:r>
        <w:rPr>
          <w:rFonts w:cs="宋体"/>
          <w:color w:val="auto"/>
          <w:kern w:val="0"/>
          <w:szCs w:val="21"/>
          <w:highlight w:val="none"/>
        </w:rPr>
        <w:t>(</w:t>
      </w:r>
      <w:r>
        <w:rPr>
          <w:rFonts w:hint="eastAsia" w:cs="宋体"/>
          <w:color w:val="auto"/>
          <w:kern w:val="0"/>
          <w:szCs w:val="21"/>
          <w:highlight w:val="none"/>
        </w:rPr>
        <w:t>电子备份投标文件</w:t>
      </w:r>
      <w:r>
        <w:rPr>
          <w:rFonts w:cs="宋体"/>
          <w:color w:val="auto"/>
          <w:kern w:val="0"/>
          <w:szCs w:val="21"/>
          <w:highlight w:val="none"/>
        </w:rPr>
        <w:t>/</w:t>
      </w:r>
      <w:r>
        <w:rPr>
          <w:rFonts w:hint="eastAsia" w:cs="宋体"/>
          <w:color w:val="auto"/>
          <w:kern w:val="0"/>
          <w:szCs w:val="21"/>
          <w:highlight w:val="none"/>
        </w:rPr>
        <w:t>资格证明文件</w:t>
      </w:r>
      <w:r>
        <w:rPr>
          <w:rFonts w:cs="宋体"/>
          <w:color w:val="auto"/>
          <w:kern w:val="0"/>
          <w:szCs w:val="21"/>
          <w:highlight w:val="none"/>
        </w:rPr>
        <w:t>/</w:t>
      </w:r>
      <w:r>
        <w:rPr>
          <w:rFonts w:hint="eastAsia" w:cs="宋体"/>
          <w:color w:val="auto"/>
          <w:kern w:val="0"/>
          <w:szCs w:val="21"/>
          <w:highlight w:val="none"/>
        </w:rPr>
        <w:t>技术商务文件</w:t>
      </w:r>
      <w:r>
        <w:rPr>
          <w:rFonts w:cs="宋体"/>
          <w:color w:val="auto"/>
          <w:kern w:val="0"/>
          <w:szCs w:val="21"/>
          <w:highlight w:val="none"/>
        </w:rPr>
        <w:t>/</w:t>
      </w:r>
      <w:r>
        <w:rPr>
          <w:rFonts w:hint="eastAsia" w:cs="宋体"/>
          <w:color w:val="auto"/>
          <w:kern w:val="0"/>
          <w:szCs w:val="21"/>
          <w:highlight w:val="none"/>
        </w:rPr>
        <w:t>报价文件</w:t>
      </w:r>
      <w:r>
        <w:rPr>
          <w:rFonts w:cs="宋体"/>
          <w:color w:val="auto"/>
          <w:kern w:val="0"/>
          <w:szCs w:val="21"/>
          <w:highlight w:val="none"/>
        </w:rPr>
        <w:t>)</w:t>
      </w:r>
      <w:r>
        <w:rPr>
          <w:rFonts w:hint="eastAsia" w:cs="宋体"/>
          <w:color w:val="auto"/>
          <w:kern w:val="0"/>
          <w:szCs w:val="21"/>
          <w:highlight w:val="none"/>
        </w:rPr>
        <w:t>、投标项目名称、项目编号，并加盖投标人公章。</w:t>
      </w:r>
    </w:p>
    <w:p w14:paraId="7B4BFF12">
      <w:pPr>
        <w:snapToGrid w:val="0"/>
        <w:spacing w:line="380" w:lineRule="exact"/>
        <w:ind w:firstLine="420"/>
        <w:contextualSpacing/>
        <w:jc w:val="left"/>
        <w:rPr>
          <w:rFonts w:cs="宋体"/>
          <w:color w:val="auto"/>
          <w:szCs w:val="21"/>
          <w:highlight w:val="none"/>
        </w:rPr>
      </w:pPr>
      <w:r>
        <w:rPr>
          <w:rFonts w:cs="宋体"/>
          <w:color w:val="auto"/>
          <w:szCs w:val="21"/>
          <w:highlight w:val="none"/>
        </w:rPr>
        <w:t>16.3</w:t>
      </w:r>
      <w:r>
        <w:rPr>
          <w:rFonts w:hint="eastAsia" w:cs="宋体"/>
          <w:color w:val="auto"/>
          <w:szCs w:val="21"/>
          <w:highlight w:val="none"/>
        </w:rPr>
        <w:t>未按规定密封或标记的投标文件将被拒绝，由此造成投标文件被误投或提前拆封的风险由供应商承担。</w:t>
      </w:r>
    </w:p>
    <w:p w14:paraId="146D821C">
      <w:pPr>
        <w:snapToGrid w:val="0"/>
        <w:spacing w:line="380" w:lineRule="exact"/>
        <w:ind w:firstLine="420"/>
        <w:contextualSpacing/>
        <w:jc w:val="left"/>
        <w:rPr>
          <w:rFonts w:cs="宋体"/>
          <w:color w:val="auto"/>
          <w:szCs w:val="21"/>
          <w:highlight w:val="none"/>
        </w:rPr>
      </w:pPr>
      <w:r>
        <w:rPr>
          <w:rFonts w:cs="宋体"/>
          <w:color w:val="auto"/>
          <w:szCs w:val="21"/>
          <w:highlight w:val="none"/>
        </w:rPr>
        <w:t>16.4</w:t>
      </w:r>
      <w:r>
        <w:rPr>
          <w:rFonts w:hint="eastAsia" w:cs="宋体"/>
          <w:color w:val="auto"/>
          <w:szCs w:val="21"/>
          <w:highlight w:val="none"/>
        </w:rPr>
        <w:t>供应商在投标截止时间之前，可以对已提交的</w:t>
      </w:r>
      <w:r>
        <w:rPr>
          <w:rFonts w:hint="eastAsia" w:cs="宋体"/>
          <w:color w:val="auto"/>
          <w:kern w:val="0"/>
          <w:szCs w:val="21"/>
          <w:highlight w:val="none"/>
        </w:rPr>
        <w:t>电子备份投标文件</w:t>
      </w:r>
      <w:r>
        <w:rPr>
          <w:rFonts w:hint="eastAsia" w:cs="宋体"/>
          <w:color w:val="auto"/>
          <w:szCs w:val="21"/>
          <w:highlight w:val="none"/>
        </w:rPr>
        <w:t>进行修改或撤回，并书面通知招标采购单位；投标截止时间后，供应商不得撤销、修改投标文件。修改后重新递交的</w:t>
      </w:r>
      <w:r>
        <w:rPr>
          <w:rFonts w:hint="eastAsia" w:cs="宋体"/>
          <w:color w:val="auto"/>
          <w:kern w:val="0"/>
          <w:szCs w:val="21"/>
          <w:highlight w:val="none"/>
        </w:rPr>
        <w:t>电子备份投标文件</w:t>
      </w:r>
      <w:r>
        <w:rPr>
          <w:rFonts w:hint="eastAsia" w:cs="宋体"/>
          <w:color w:val="auto"/>
          <w:szCs w:val="21"/>
          <w:highlight w:val="none"/>
        </w:rPr>
        <w:t>应当按本采购文件的要求签署、盖章和密封。</w:t>
      </w:r>
    </w:p>
    <w:p w14:paraId="59D91306">
      <w:pPr>
        <w:spacing w:line="380" w:lineRule="exact"/>
        <w:ind w:firstLine="420" w:firstLineChars="200"/>
        <w:contextualSpacing/>
        <w:rPr>
          <w:color w:val="auto"/>
          <w:szCs w:val="21"/>
          <w:highlight w:val="none"/>
        </w:rPr>
      </w:pPr>
      <w:r>
        <w:rPr>
          <w:rFonts w:cs="宋体"/>
          <w:color w:val="auto"/>
          <w:szCs w:val="21"/>
          <w:highlight w:val="none"/>
        </w:rPr>
        <w:t>16.5</w:t>
      </w:r>
      <w:r>
        <w:rPr>
          <w:rFonts w:hint="eastAsia"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0B9650CD">
      <w:pPr>
        <w:spacing w:line="380" w:lineRule="exact"/>
        <w:contextualSpacing/>
        <w:rPr>
          <w:color w:val="auto"/>
          <w:szCs w:val="21"/>
          <w:highlight w:val="none"/>
        </w:rPr>
      </w:pPr>
      <w:bookmarkStart w:id="43" w:name="_Toc430790224"/>
      <w:bookmarkStart w:id="44" w:name="_Toc429407703"/>
      <w:bookmarkStart w:id="45" w:name="_Toc425151743"/>
      <w:bookmarkStart w:id="46" w:name="_Toc425780287"/>
      <w:r>
        <w:rPr>
          <w:rFonts w:hint="eastAsia"/>
          <w:color w:val="auto"/>
          <w:szCs w:val="21"/>
          <w:highlight w:val="none"/>
        </w:rPr>
        <w:t>1</w:t>
      </w:r>
      <w:r>
        <w:rPr>
          <w:color w:val="auto"/>
          <w:szCs w:val="21"/>
          <w:highlight w:val="none"/>
        </w:rPr>
        <w:t>7</w:t>
      </w:r>
      <w:r>
        <w:rPr>
          <w:rFonts w:hint="eastAsia"/>
          <w:color w:val="auto"/>
          <w:szCs w:val="21"/>
          <w:highlight w:val="none"/>
        </w:rPr>
        <w:t>、</w:t>
      </w:r>
      <w:r>
        <w:rPr>
          <w:color w:val="auto"/>
          <w:szCs w:val="21"/>
          <w:highlight w:val="none"/>
        </w:rPr>
        <w:t>投标</w:t>
      </w:r>
      <w:bookmarkEnd w:id="43"/>
      <w:bookmarkEnd w:id="44"/>
      <w:bookmarkEnd w:id="45"/>
      <w:bookmarkEnd w:id="46"/>
    </w:p>
    <w:p w14:paraId="4DB35D3D">
      <w:pPr>
        <w:tabs>
          <w:tab w:val="left" w:pos="709"/>
        </w:tabs>
        <w:spacing w:line="380" w:lineRule="exact"/>
        <w:ind w:firstLine="420" w:firstLineChars="200"/>
        <w:contextualSpacing/>
        <w:rPr>
          <w:color w:val="auto"/>
          <w:szCs w:val="21"/>
          <w:highlight w:val="none"/>
        </w:rPr>
      </w:pPr>
      <w:r>
        <w:rPr>
          <w:color w:val="auto"/>
          <w:szCs w:val="21"/>
          <w:highlight w:val="none"/>
        </w:rPr>
        <w:t>在采购文件《投标资料表》中规定的投标截止时间前，投标文件必须</w:t>
      </w:r>
      <w:r>
        <w:rPr>
          <w:rFonts w:hint="eastAsia"/>
          <w:color w:val="auto"/>
          <w:szCs w:val="21"/>
          <w:highlight w:val="none"/>
        </w:rPr>
        <w:t>将电子投标文件上传至浙江国企采购乐彩云平台</w:t>
      </w:r>
      <w:r>
        <w:rPr>
          <w:color w:val="auto"/>
          <w:szCs w:val="21"/>
          <w:highlight w:val="none"/>
        </w:rPr>
        <w:t>www.zcygov.cn，未上传电子投标文件，视为</w:t>
      </w:r>
      <w:r>
        <w:rPr>
          <w:rFonts w:hint="eastAsia"/>
          <w:color w:val="auto"/>
          <w:szCs w:val="21"/>
          <w:highlight w:val="none"/>
        </w:rPr>
        <w:t>投标人</w:t>
      </w:r>
      <w:r>
        <w:rPr>
          <w:color w:val="auto"/>
          <w:szCs w:val="21"/>
          <w:highlight w:val="none"/>
        </w:rPr>
        <w:t>放弃投标</w:t>
      </w:r>
      <w:r>
        <w:rPr>
          <w:rFonts w:hint="eastAsia"/>
          <w:color w:val="auto"/>
          <w:szCs w:val="21"/>
          <w:highlight w:val="none"/>
        </w:rPr>
        <w:t>。并在投标截止时间前将电子备份投标文件送至指定的投标地点。</w:t>
      </w:r>
      <w:r>
        <w:rPr>
          <w:color w:val="auto"/>
          <w:szCs w:val="21"/>
          <w:highlight w:val="none"/>
        </w:rPr>
        <w:t>在投标截止时间以后送达的投标文件将被拒绝。</w:t>
      </w:r>
    </w:p>
    <w:p w14:paraId="3201401E">
      <w:pPr>
        <w:spacing w:line="380" w:lineRule="exact"/>
        <w:contextualSpacing/>
        <w:rPr>
          <w:color w:val="auto"/>
          <w:szCs w:val="21"/>
          <w:highlight w:val="none"/>
        </w:rPr>
      </w:pPr>
      <w:bookmarkStart w:id="47" w:name="_Toc425780288"/>
      <w:bookmarkStart w:id="48" w:name="_Toc430790225"/>
      <w:bookmarkStart w:id="49" w:name="_Toc429407704"/>
      <w:bookmarkStart w:id="50" w:name="_Toc425151744"/>
      <w:r>
        <w:rPr>
          <w:rFonts w:hint="eastAsia"/>
          <w:color w:val="auto"/>
          <w:szCs w:val="21"/>
          <w:highlight w:val="none"/>
        </w:rPr>
        <w:t>1</w:t>
      </w:r>
      <w:r>
        <w:rPr>
          <w:color w:val="auto"/>
          <w:szCs w:val="21"/>
          <w:highlight w:val="none"/>
        </w:rPr>
        <w:t>8</w:t>
      </w:r>
      <w:r>
        <w:rPr>
          <w:rFonts w:hint="eastAsia"/>
          <w:color w:val="auto"/>
          <w:szCs w:val="21"/>
          <w:highlight w:val="none"/>
        </w:rPr>
        <w:t>、</w:t>
      </w:r>
      <w:r>
        <w:rPr>
          <w:color w:val="auto"/>
          <w:szCs w:val="21"/>
          <w:highlight w:val="none"/>
        </w:rPr>
        <w:t>投标文件的修改和撤回</w:t>
      </w:r>
      <w:bookmarkEnd w:id="47"/>
      <w:bookmarkEnd w:id="48"/>
      <w:bookmarkEnd w:id="49"/>
      <w:bookmarkEnd w:id="50"/>
    </w:p>
    <w:p w14:paraId="074CCFC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r>
        <w:rPr>
          <w:color w:val="auto"/>
          <w:szCs w:val="21"/>
          <w:highlight w:val="none"/>
        </w:rPr>
        <w:t>投标文件递交以后，在投标截止时间之前，投标人可以要求修改或</w:t>
      </w:r>
      <w:r>
        <w:rPr>
          <w:rFonts w:hint="eastAsia"/>
          <w:color w:val="auto"/>
          <w:szCs w:val="21"/>
          <w:highlight w:val="none"/>
        </w:rPr>
        <w:t>撤回已上传的电子投标文件</w:t>
      </w:r>
      <w:r>
        <w:rPr>
          <w:color w:val="auto"/>
          <w:szCs w:val="21"/>
          <w:highlight w:val="none"/>
        </w:rPr>
        <w:t>。</w:t>
      </w:r>
    </w:p>
    <w:p w14:paraId="7BF5D84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r>
        <w:rPr>
          <w:color w:val="auto"/>
          <w:szCs w:val="21"/>
          <w:highlight w:val="none"/>
        </w:rPr>
        <w:t>在投标截止时间之后，投标人不得对其投标文件进行修改。</w:t>
      </w:r>
    </w:p>
    <w:bookmarkEnd w:id="35"/>
    <w:bookmarkEnd w:id="36"/>
    <w:bookmarkEnd w:id="37"/>
    <w:bookmarkEnd w:id="38"/>
    <w:p w14:paraId="39BACE19">
      <w:pPr>
        <w:pStyle w:val="2"/>
        <w:contextualSpacing/>
        <w:rPr>
          <w:rFonts w:ascii="Times New Roman"/>
          <w:color w:val="auto"/>
          <w:sz w:val="24"/>
          <w:szCs w:val="24"/>
          <w:highlight w:val="none"/>
        </w:rPr>
      </w:pPr>
      <w:bookmarkStart w:id="51" w:name="_Toc498429635"/>
      <w:bookmarkStart w:id="52" w:name="_Toc445193547"/>
      <w:bookmarkStart w:id="53" w:name="_Toc425151745"/>
      <w:bookmarkStart w:id="54" w:name="_Toc430790226"/>
      <w:bookmarkStart w:id="55" w:name="_Toc429407705"/>
      <w:bookmarkStart w:id="56" w:name="_Toc425780289"/>
      <w:bookmarkStart w:id="57" w:name="_Toc505353786"/>
      <w:bookmarkStart w:id="58" w:name="_Toc456853672"/>
      <w:bookmarkStart w:id="59" w:name="_Toc496003207"/>
      <w:r>
        <w:rPr>
          <w:rFonts w:hint="eastAsia" w:ascii="Times New Roman"/>
          <w:color w:val="auto"/>
          <w:sz w:val="24"/>
          <w:szCs w:val="24"/>
          <w:highlight w:val="none"/>
        </w:rPr>
        <w:t>六、</w:t>
      </w:r>
      <w:r>
        <w:rPr>
          <w:rFonts w:ascii="Times New Roman"/>
          <w:color w:val="auto"/>
          <w:sz w:val="24"/>
          <w:szCs w:val="24"/>
          <w:highlight w:val="none"/>
        </w:rPr>
        <w:t>开标</w:t>
      </w:r>
      <w:bookmarkEnd w:id="51"/>
      <w:bookmarkEnd w:id="52"/>
      <w:bookmarkEnd w:id="53"/>
      <w:bookmarkEnd w:id="54"/>
      <w:bookmarkEnd w:id="55"/>
      <w:bookmarkEnd w:id="56"/>
      <w:bookmarkEnd w:id="57"/>
      <w:bookmarkEnd w:id="58"/>
      <w:bookmarkEnd w:id="59"/>
    </w:p>
    <w:p w14:paraId="2C391B22">
      <w:pPr>
        <w:spacing w:line="380" w:lineRule="exact"/>
        <w:contextualSpacing/>
        <w:rPr>
          <w:color w:val="auto"/>
          <w:szCs w:val="21"/>
          <w:highlight w:val="none"/>
        </w:rPr>
      </w:pPr>
      <w:bookmarkStart w:id="60" w:name="_Toc445193548"/>
      <w:bookmarkStart w:id="61" w:name="_Toc425780291"/>
      <w:bookmarkStart w:id="62" w:name="_Toc498429636"/>
      <w:bookmarkStart w:id="63" w:name="_Toc496003208"/>
      <w:bookmarkStart w:id="64" w:name="_Toc505353787"/>
      <w:bookmarkStart w:id="65" w:name="_Toc430790228"/>
      <w:bookmarkStart w:id="66" w:name="_Toc456853673"/>
      <w:bookmarkStart w:id="67" w:name="_Toc429407707"/>
      <w:bookmarkStart w:id="68" w:name="_Toc425151747"/>
      <w:r>
        <w:rPr>
          <w:color w:val="auto"/>
          <w:szCs w:val="21"/>
          <w:highlight w:val="none"/>
        </w:rPr>
        <w:t>19</w:t>
      </w:r>
      <w:r>
        <w:rPr>
          <w:rFonts w:hint="eastAsia"/>
          <w:color w:val="auto"/>
          <w:szCs w:val="21"/>
          <w:highlight w:val="none"/>
        </w:rPr>
        <w:t>、开标准备</w:t>
      </w:r>
    </w:p>
    <w:p w14:paraId="3FCD1601">
      <w:pPr>
        <w:spacing w:line="380" w:lineRule="exact"/>
        <w:ind w:firstLine="420" w:firstLineChars="200"/>
        <w:contextualSpacing/>
        <w:rPr>
          <w:rFonts w:cs="宋体"/>
          <w:color w:val="auto"/>
          <w:szCs w:val="21"/>
          <w:highlight w:val="none"/>
        </w:rPr>
      </w:pPr>
      <w:r>
        <w:rPr>
          <w:rFonts w:cs="宋体"/>
          <w:color w:val="auto"/>
          <w:szCs w:val="21"/>
          <w:highlight w:val="none"/>
        </w:rPr>
        <w:t>19.1采购代理机构将组织各投标人法定代表人或其授权代表分别登记、签到，无关人员不得进入现场</w:t>
      </w:r>
      <w:r>
        <w:rPr>
          <w:rFonts w:hint="eastAsia"/>
          <w:color w:val="auto"/>
          <w:szCs w:val="21"/>
          <w:highlight w:val="none"/>
        </w:rPr>
        <w:t>。</w:t>
      </w:r>
      <w:r>
        <w:rPr>
          <w:rFonts w:cs="宋体"/>
          <w:color w:val="auto"/>
          <w:szCs w:val="21"/>
          <w:highlight w:val="none"/>
        </w:rPr>
        <w:t>投标人未参加开标的，视同认可开标结果。</w:t>
      </w:r>
    </w:p>
    <w:p w14:paraId="125E9968">
      <w:pPr>
        <w:spacing w:line="380" w:lineRule="exact"/>
        <w:ind w:firstLine="420" w:firstLineChars="200"/>
        <w:contextualSpacing/>
        <w:rPr>
          <w:rFonts w:cs="宋体"/>
          <w:color w:val="auto"/>
          <w:szCs w:val="21"/>
          <w:highlight w:val="none"/>
        </w:rPr>
      </w:pPr>
      <w:r>
        <w:rPr>
          <w:rFonts w:cs="宋体"/>
          <w:color w:val="auto"/>
          <w:szCs w:val="21"/>
          <w:highlight w:val="none"/>
        </w:rPr>
        <w:t>19.2采购代理机构接收投标文件并登记，各投标人法定代表人或其授权代表对投标文件的递交记录情况进行签字确认。</w:t>
      </w:r>
    </w:p>
    <w:p w14:paraId="4BA2A90A">
      <w:pPr>
        <w:spacing w:line="380" w:lineRule="exact"/>
        <w:ind w:firstLine="420" w:firstLineChars="200"/>
        <w:contextualSpacing/>
        <w:rPr>
          <w:rFonts w:cs="宋体"/>
          <w:color w:val="auto"/>
          <w:szCs w:val="21"/>
          <w:highlight w:val="none"/>
        </w:rPr>
      </w:pPr>
      <w:r>
        <w:rPr>
          <w:rFonts w:cs="宋体"/>
          <w:color w:val="auto"/>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w:t>
      </w:r>
      <w:r>
        <w:rPr>
          <w:rFonts w:hint="eastAsia" w:cs="宋体"/>
          <w:color w:val="auto"/>
          <w:szCs w:val="21"/>
          <w:highlight w:val="none"/>
        </w:rPr>
        <w:t>国企采购</w:t>
      </w:r>
      <w:r>
        <w:rPr>
          <w:rFonts w:cs="宋体"/>
          <w:color w:val="auto"/>
          <w:szCs w:val="21"/>
          <w:highlight w:val="none"/>
        </w:rPr>
        <w:t>活动现场确认声明书》。</w:t>
      </w:r>
    </w:p>
    <w:p w14:paraId="4DFC058C">
      <w:pPr>
        <w:snapToGrid w:val="0"/>
        <w:spacing w:line="380" w:lineRule="exact"/>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20、开标程序：</w:t>
      </w:r>
    </w:p>
    <w:p w14:paraId="053C1E43">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20.1电子招投标开标程序：</w:t>
      </w:r>
    </w:p>
    <w:p w14:paraId="107BC5C9">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（1）投标截止时间后，供应商登录浙江国企采购乐彩云平台，用“项目采购-开标评标”功能对电子投标文件进行在线解密，在线解密电子投标文件时间为开标时间后30分钟内。</w:t>
      </w:r>
    </w:p>
    <w:p w14:paraId="0014B34E">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在浙江国企采购乐彩云平台开启已解密投标人的“资格证明文件、技术商务文件”，待资格审查、技术商务评审结束并公布资格审查、技术商务评分结果后，再开启已解密投标人的“报价文件”并做开标记录；</w:t>
      </w:r>
    </w:p>
    <w:p w14:paraId="423F5661">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（3）在浙江国企采购乐彩云平台公布评审结果。</w:t>
      </w:r>
    </w:p>
    <w:p w14:paraId="4FB45D4D">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（4）开标会议结束。</w:t>
      </w:r>
    </w:p>
    <w:p w14:paraId="5F692104">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20.2特别说明：浙江国企采购乐彩云平台如对电子化开标及评审程序有调整的，按调整后的程序操作。</w:t>
      </w:r>
    </w:p>
    <w:p w14:paraId="010970B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本项目原则上采用乐采云电子招投标开标程序，但有以下情形之一的，按以下处理：</w:t>
      </w:r>
    </w:p>
    <w:p w14:paraId="27ED655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（1）若有供应商在规定时间内无法解密或解密失败，代理机构将开启该供应商递交的以U盘存储的电子备份投标文件，上传至乐采云平台项目采购模块，以完成开标，电子投标文件自动失效。</w:t>
      </w:r>
    </w:p>
    <w:p w14:paraId="2CBEC66A">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（2）采购过程中出现以下情形，导致电子交易平台无法正常运行，或者无法保证电子交易的公平、公正和安全时，采购人（或代理机构）可中止电子交易活动：</w:t>
      </w:r>
    </w:p>
    <w:p w14:paraId="2274BA30">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①电子交易平台发生故障而无法登录访问的；</w:t>
      </w:r>
    </w:p>
    <w:p w14:paraId="5CAE8FE2">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②电子交易平台应用或数据库出现错误，不能进行正常操作的；</w:t>
      </w:r>
    </w:p>
    <w:p w14:paraId="0B2E1BD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③电子交易平台发现严重安全漏洞，有潜在泄密危险的；</w:t>
      </w:r>
    </w:p>
    <w:p w14:paraId="365B6CD7">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④病毒发作导致不能进行正常操作的；</w:t>
      </w:r>
    </w:p>
    <w:p w14:paraId="1F8C4955">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⑤其他无法保证电子交易的公平、公正和安全的情况。</w:t>
      </w:r>
    </w:p>
    <w:p w14:paraId="13134931">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出现前款规定情形，不影响采购公平、公正性的，采购人（或代理机构）可以待上述情形消除后继续组织电子交易活动。</w:t>
      </w:r>
    </w:p>
    <w:p w14:paraId="14443292">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（4）未开启的备份投标文件现场不予以退还。</w:t>
      </w:r>
    </w:p>
    <w:p w14:paraId="5E1D12E7">
      <w:pPr>
        <w:pStyle w:val="2"/>
        <w:contextualSpacing/>
        <w:rPr>
          <w:rFonts w:ascii="Times New Roman"/>
          <w:color w:val="auto"/>
          <w:sz w:val="24"/>
          <w:szCs w:val="24"/>
          <w:highlight w:val="none"/>
        </w:rPr>
      </w:pPr>
      <w:r>
        <w:rPr>
          <w:rFonts w:hint="eastAsia" w:ascii="Times New Roman"/>
          <w:color w:val="auto"/>
          <w:sz w:val="24"/>
          <w:szCs w:val="24"/>
          <w:highlight w:val="none"/>
        </w:rPr>
        <w:t>七、</w:t>
      </w:r>
      <w:r>
        <w:rPr>
          <w:rFonts w:ascii="Times New Roman"/>
          <w:color w:val="auto"/>
          <w:sz w:val="24"/>
          <w:szCs w:val="24"/>
          <w:highlight w:val="none"/>
        </w:rPr>
        <w:t>评标和定标</w:t>
      </w:r>
      <w:bookmarkEnd w:id="60"/>
      <w:bookmarkEnd w:id="61"/>
      <w:bookmarkEnd w:id="62"/>
      <w:bookmarkEnd w:id="63"/>
      <w:bookmarkEnd w:id="64"/>
      <w:bookmarkEnd w:id="65"/>
      <w:bookmarkEnd w:id="66"/>
      <w:bookmarkEnd w:id="67"/>
      <w:bookmarkEnd w:id="68"/>
    </w:p>
    <w:p w14:paraId="78549889">
      <w:pPr>
        <w:spacing w:line="380" w:lineRule="exact"/>
        <w:contextualSpacing/>
        <w:rPr>
          <w:color w:val="auto"/>
          <w:szCs w:val="21"/>
          <w:highlight w:val="none"/>
        </w:rPr>
      </w:pPr>
      <w:bookmarkStart w:id="69" w:name="_Toc425151748"/>
      <w:bookmarkStart w:id="70" w:name="_Toc425780292"/>
      <w:bookmarkStart w:id="71" w:name="_Toc429407708"/>
      <w:bookmarkStart w:id="72" w:name="_Toc430790229"/>
      <w:r>
        <w:rPr>
          <w:color w:val="auto"/>
          <w:szCs w:val="21"/>
          <w:highlight w:val="none"/>
        </w:rPr>
        <w:t>21</w:t>
      </w:r>
      <w:r>
        <w:rPr>
          <w:rFonts w:hint="eastAsia"/>
          <w:color w:val="auto"/>
          <w:szCs w:val="21"/>
          <w:highlight w:val="none"/>
        </w:rPr>
        <w:t>、</w:t>
      </w:r>
      <w:r>
        <w:rPr>
          <w:color w:val="auto"/>
          <w:szCs w:val="21"/>
          <w:highlight w:val="none"/>
        </w:rPr>
        <w:t>评标委员会</w:t>
      </w:r>
    </w:p>
    <w:p w14:paraId="52F6D31E">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.1</w:t>
      </w:r>
      <w:r>
        <w:rPr>
          <w:color w:val="auto"/>
          <w:szCs w:val="21"/>
          <w:highlight w:val="none"/>
        </w:rPr>
        <w:t>受采购人的委托，采购代理机构根据有关的</w:t>
      </w:r>
      <w:r>
        <w:rPr>
          <w:rFonts w:hint="eastAsia"/>
          <w:color w:val="auto"/>
          <w:szCs w:val="21"/>
          <w:highlight w:val="none"/>
        </w:rPr>
        <w:t>法律</w:t>
      </w:r>
      <w:r>
        <w:rPr>
          <w:color w:val="auto"/>
          <w:szCs w:val="21"/>
          <w:highlight w:val="none"/>
        </w:rPr>
        <w:t>法规组建评标委员会，评标委员会负责评标工作。评标委员会由</w:t>
      </w:r>
      <w:r>
        <w:rPr>
          <w:rFonts w:hint="eastAsia"/>
          <w:color w:val="auto"/>
          <w:szCs w:val="21"/>
          <w:highlight w:val="none"/>
        </w:rPr>
        <w:t>采购人</w:t>
      </w:r>
      <w:r>
        <w:rPr>
          <w:color w:val="auto"/>
          <w:szCs w:val="21"/>
          <w:highlight w:val="none"/>
        </w:rPr>
        <w:t>代表和</w:t>
      </w:r>
      <w:r>
        <w:rPr>
          <w:rFonts w:hint="eastAsia"/>
          <w:color w:val="auto"/>
          <w:szCs w:val="21"/>
          <w:highlight w:val="none"/>
        </w:rPr>
        <w:t>评审</w:t>
      </w:r>
      <w:r>
        <w:rPr>
          <w:color w:val="auto"/>
          <w:szCs w:val="21"/>
          <w:highlight w:val="none"/>
        </w:rPr>
        <w:t>专家组成。</w:t>
      </w:r>
      <w:r>
        <w:rPr>
          <w:rFonts w:hint="eastAsia"/>
          <w:color w:val="auto"/>
          <w:szCs w:val="21"/>
          <w:highlight w:val="none"/>
        </w:rPr>
        <w:t>评审</w:t>
      </w:r>
      <w:r>
        <w:rPr>
          <w:color w:val="auto"/>
          <w:szCs w:val="21"/>
          <w:highlight w:val="none"/>
        </w:rPr>
        <w:t>专家将在开标日之前在管理部门的</w:t>
      </w:r>
      <w:r>
        <w:rPr>
          <w:rFonts w:hint="eastAsia"/>
          <w:color w:val="auto"/>
          <w:szCs w:val="21"/>
          <w:highlight w:val="none"/>
        </w:rPr>
        <w:t>评审</w:t>
      </w:r>
      <w:r>
        <w:rPr>
          <w:color w:val="auto"/>
          <w:szCs w:val="21"/>
          <w:highlight w:val="none"/>
        </w:rPr>
        <w:t>专家库中随机抽取。</w:t>
      </w:r>
      <w:r>
        <w:rPr>
          <w:rFonts w:hint="eastAsia"/>
          <w:color w:val="auto"/>
          <w:szCs w:val="21"/>
          <w:highlight w:val="none"/>
        </w:rPr>
        <w:t>评标委员会成员名单在评标结果公告前应当保密。</w:t>
      </w:r>
    </w:p>
    <w:p w14:paraId="74C1FC36">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.2</w:t>
      </w:r>
      <w:r>
        <w:rPr>
          <w:color w:val="auto"/>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66FF27AE">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.3</w:t>
      </w:r>
      <w:r>
        <w:rPr>
          <w:color w:val="auto"/>
          <w:szCs w:val="21"/>
          <w:highlight w:val="none"/>
        </w:rPr>
        <w:t>评标委员会将核对投标价格和</w:t>
      </w:r>
      <w:r>
        <w:rPr>
          <w:rFonts w:hint="eastAsia"/>
          <w:color w:val="auto"/>
          <w:szCs w:val="21"/>
          <w:highlight w:val="none"/>
        </w:rPr>
        <w:t>服务内容</w:t>
      </w:r>
      <w:r>
        <w:rPr>
          <w:color w:val="auto"/>
          <w:szCs w:val="21"/>
          <w:highlight w:val="none"/>
        </w:rPr>
        <w:t>，对发现的价格计算错误按下述原则处理：</w:t>
      </w:r>
    </w:p>
    <w:p w14:paraId="6A3B4CA0">
      <w:pPr>
        <w:spacing w:line="380" w:lineRule="exact"/>
        <w:ind w:firstLine="420" w:firstLineChars="200"/>
        <w:contextualSpacing/>
        <w:rPr>
          <w:color w:val="auto"/>
          <w:szCs w:val="21"/>
          <w:highlight w:val="none"/>
        </w:rPr>
      </w:pPr>
      <w:r>
        <w:rPr>
          <w:rFonts w:hint="eastAsia"/>
          <w:color w:val="auto"/>
          <w:szCs w:val="21"/>
          <w:highlight w:val="none"/>
        </w:rPr>
        <w:t>（1）投标文件中开标一览表内容与投标文件中相应内容不一致的，以开标一览表为准；</w:t>
      </w:r>
    </w:p>
    <w:p w14:paraId="2E2DA472">
      <w:pPr>
        <w:spacing w:line="380" w:lineRule="exact"/>
        <w:ind w:firstLine="420" w:firstLineChars="200"/>
        <w:contextualSpacing/>
        <w:rPr>
          <w:color w:val="auto"/>
          <w:szCs w:val="21"/>
          <w:highlight w:val="none"/>
        </w:rPr>
      </w:pPr>
      <w:r>
        <w:rPr>
          <w:rFonts w:hint="eastAsia"/>
          <w:color w:val="auto"/>
          <w:szCs w:val="21"/>
          <w:highlight w:val="none"/>
        </w:rPr>
        <w:t>（2）投标文件的大写金额和小写金额不一致的，以大写金额为准；</w:t>
      </w:r>
    </w:p>
    <w:p w14:paraId="5FE7B83C">
      <w:pPr>
        <w:spacing w:line="380" w:lineRule="exact"/>
        <w:ind w:firstLine="420" w:firstLineChars="200"/>
        <w:contextualSpacing/>
        <w:rPr>
          <w:color w:val="auto"/>
          <w:szCs w:val="21"/>
          <w:highlight w:val="none"/>
        </w:rPr>
      </w:pPr>
      <w:r>
        <w:rPr>
          <w:rFonts w:hint="eastAsia"/>
          <w:color w:val="auto"/>
          <w:szCs w:val="21"/>
          <w:highlight w:val="none"/>
        </w:rPr>
        <w:t>（3）单价金额小数点或者百分比有明显错位的，以开标一览表的总价为准，并修改单价；</w:t>
      </w:r>
    </w:p>
    <w:p w14:paraId="140A0AE5">
      <w:pPr>
        <w:spacing w:line="380" w:lineRule="exact"/>
        <w:ind w:firstLine="420" w:firstLineChars="200"/>
        <w:contextualSpacing/>
        <w:rPr>
          <w:rFonts w:hint="eastAsia"/>
          <w:color w:val="auto"/>
          <w:szCs w:val="21"/>
          <w:highlight w:val="none"/>
        </w:rPr>
      </w:pPr>
      <w:r>
        <w:rPr>
          <w:rFonts w:hint="eastAsia"/>
          <w:color w:val="auto"/>
          <w:szCs w:val="21"/>
          <w:highlight w:val="none"/>
        </w:rPr>
        <w:t>（4）总价金额与按单价汇总金额不一致，以单价金额计算结果为准。</w:t>
      </w:r>
    </w:p>
    <w:p w14:paraId="789E7F05">
      <w:pPr>
        <w:spacing w:line="380" w:lineRule="exact"/>
        <w:ind w:firstLine="420" w:firstLineChars="200"/>
        <w:contextualSpacing/>
        <w:rPr>
          <w:color w:val="auto"/>
          <w:highlight w:val="none"/>
        </w:rPr>
      </w:pPr>
      <w:r>
        <w:rPr>
          <w:rFonts w:hint="eastAsia"/>
          <w:color w:val="auto"/>
          <w:szCs w:val="21"/>
          <w:highlight w:val="none"/>
        </w:rPr>
        <w:t>（5）乐采云客户端填写的报价与以pdf格式上传文件中的报价不一致的，应以pdf格式上传文件中的报价为准。</w:t>
      </w:r>
    </w:p>
    <w:p w14:paraId="15897371">
      <w:pPr>
        <w:spacing w:line="380" w:lineRule="exact"/>
        <w:ind w:firstLine="420" w:firstLineChars="200"/>
        <w:contextualSpacing/>
        <w:rPr>
          <w:color w:val="auto"/>
          <w:szCs w:val="21"/>
          <w:highlight w:val="none"/>
        </w:rPr>
      </w:pPr>
      <w:r>
        <w:rPr>
          <w:rFonts w:hint="eastAsia"/>
          <w:color w:val="auto"/>
          <w:szCs w:val="21"/>
          <w:highlight w:val="none"/>
        </w:rPr>
        <w:t>同时出现两种以上不一致的，按照前款规定的顺序修正。修正后的报价按照本须知的规定经投标人确认后产生约束力，投标人不确认的，其投标无效。</w:t>
      </w:r>
    </w:p>
    <w:p w14:paraId="20F6789D">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.4</w:t>
      </w:r>
      <w:r>
        <w:rPr>
          <w:color w:val="auto"/>
          <w:szCs w:val="21"/>
          <w:highlight w:val="none"/>
        </w:rPr>
        <w:t>评标委员会根据采购文件的《评标办法》及在《投标资料表》和《招标内容和要求》中所列的具体标准，对投标文件进行评审和比较。</w:t>
      </w:r>
    </w:p>
    <w:p w14:paraId="4617F3A2">
      <w:pPr>
        <w:spacing w:line="380" w:lineRule="exact"/>
        <w:contextualSpacing/>
        <w:rPr>
          <w:color w:val="auto"/>
          <w:szCs w:val="21"/>
          <w:highlight w:val="none"/>
        </w:rPr>
      </w:pPr>
      <w:r>
        <w:rPr>
          <w:color w:val="auto"/>
          <w:szCs w:val="21"/>
          <w:highlight w:val="none"/>
        </w:rPr>
        <w:t>22</w:t>
      </w:r>
      <w:r>
        <w:rPr>
          <w:rFonts w:hint="eastAsia"/>
          <w:color w:val="auto"/>
          <w:szCs w:val="21"/>
          <w:highlight w:val="none"/>
        </w:rPr>
        <w:t>、澄清问题的形式</w:t>
      </w:r>
    </w:p>
    <w:p w14:paraId="20555ECF">
      <w:pPr>
        <w:spacing w:line="380" w:lineRule="exact"/>
        <w:ind w:firstLine="420" w:firstLineChars="200"/>
        <w:contextualSpacing/>
        <w:rPr>
          <w:color w:val="auto"/>
          <w:szCs w:val="21"/>
          <w:highlight w:val="none"/>
        </w:rPr>
      </w:pPr>
      <w:r>
        <w:rPr>
          <w:rFonts w:hint="eastAsia"/>
          <w:color w:val="auto"/>
          <w:szCs w:val="21"/>
          <w:highlight w:val="none"/>
        </w:rPr>
        <w:t>对于投标文件中含义不明确、同类问题表述不一致或者有明显文字和计算错误的内容，评标委员会应当以书面形式要求投标人作出必要的澄清、说明或者补正。</w:t>
      </w:r>
    </w:p>
    <w:p w14:paraId="6909247F">
      <w:pPr>
        <w:spacing w:line="380" w:lineRule="exact"/>
        <w:ind w:firstLine="420" w:firstLineChars="200"/>
        <w:contextualSpacing/>
        <w:rPr>
          <w:color w:val="auto"/>
          <w:szCs w:val="21"/>
          <w:highlight w:val="none"/>
        </w:rPr>
      </w:pPr>
      <w:r>
        <w:rPr>
          <w:rFonts w:hint="eastAsia"/>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07981ED">
      <w:pPr>
        <w:spacing w:line="380" w:lineRule="exact"/>
        <w:contextualSpacing/>
        <w:rPr>
          <w:color w:val="auto"/>
          <w:szCs w:val="21"/>
          <w:highlight w:val="none"/>
        </w:rPr>
      </w:pPr>
      <w:r>
        <w:rPr>
          <w:color w:val="auto"/>
          <w:szCs w:val="21"/>
          <w:highlight w:val="none"/>
        </w:rPr>
        <w:t>23</w:t>
      </w:r>
      <w:r>
        <w:rPr>
          <w:rFonts w:hint="eastAsia"/>
          <w:color w:val="auto"/>
          <w:szCs w:val="21"/>
          <w:highlight w:val="none"/>
        </w:rPr>
        <w:t>、</w:t>
      </w:r>
      <w:r>
        <w:rPr>
          <w:color w:val="auto"/>
          <w:szCs w:val="21"/>
          <w:highlight w:val="none"/>
        </w:rPr>
        <w:t>评标办法</w:t>
      </w:r>
    </w:p>
    <w:p w14:paraId="457D654F">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.1本项目</w:t>
      </w:r>
      <w:r>
        <w:rPr>
          <w:color w:val="auto"/>
          <w:szCs w:val="21"/>
          <w:highlight w:val="none"/>
        </w:rPr>
        <w:t>采用综合评分法。本次招标采用的评标方法</w:t>
      </w:r>
      <w:r>
        <w:rPr>
          <w:rFonts w:hint="eastAsia"/>
          <w:color w:val="auto"/>
          <w:szCs w:val="21"/>
          <w:highlight w:val="none"/>
        </w:rPr>
        <w:t>具体说明</w:t>
      </w:r>
      <w:r>
        <w:rPr>
          <w:color w:val="auto"/>
          <w:szCs w:val="21"/>
          <w:highlight w:val="none"/>
        </w:rPr>
        <w:t>载明在采购文件</w:t>
      </w:r>
      <w:r>
        <w:rPr>
          <w:rFonts w:hint="eastAsia"/>
          <w:color w:val="auto"/>
          <w:szCs w:val="21"/>
          <w:highlight w:val="none"/>
        </w:rPr>
        <w:t>“</w:t>
      </w:r>
      <w:r>
        <w:rPr>
          <w:color w:val="auto"/>
          <w:szCs w:val="21"/>
          <w:highlight w:val="none"/>
        </w:rPr>
        <w:t>评标</w:t>
      </w:r>
      <w:r>
        <w:rPr>
          <w:rFonts w:hint="eastAsia"/>
          <w:color w:val="auto"/>
          <w:szCs w:val="21"/>
          <w:highlight w:val="none"/>
        </w:rPr>
        <w:t>办法”</w:t>
      </w:r>
      <w:r>
        <w:rPr>
          <w:color w:val="auto"/>
          <w:szCs w:val="21"/>
          <w:highlight w:val="none"/>
        </w:rPr>
        <w:t>部分中。</w:t>
      </w:r>
    </w:p>
    <w:p w14:paraId="52585724">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.2</w:t>
      </w:r>
      <w:r>
        <w:rPr>
          <w:color w:val="auto"/>
          <w:szCs w:val="21"/>
          <w:highlight w:val="none"/>
        </w:rPr>
        <w:t>综合评分法：</w:t>
      </w:r>
    </w:p>
    <w:p w14:paraId="51F525CF">
      <w:pPr>
        <w:spacing w:line="380" w:lineRule="exact"/>
        <w:ind w:firstLine="420" w:firstLineChars="200"/>
        <w:contextualSpacing/>
        <w:rPr>
          <w:color w:val="auto"/>
          <w:szCs w:val="21"/>
          <w:highlight w:val="none"/>
        </w:rPr>
      </w:pPr>
      <w:r>
        <w:rPr>
          <w:rFonts w:hint="eastAsia"/>
          <w:color w:val="auto"/>
          <w:szCs w:val="21"/>
          <w:highlight w:val="none"/>
        </w:rPr>
        <w:t>投标文件满足采购文件全部实质性要求，且按照评审因素的量化指标评审得分最高的投标人为中标候选人的评标方法。</w:t>
      </w:r>
    </w:p>
    <w:p w14:paraId="158E8154">
      <w:pPr>
        <w:spacing w:line="380" w:lineRule="exact"/>
        <w:contextualSpacing/>
        <w:rPr>
          <w:color w:val="auto"/>
          <w:szCs w:val="21"/>
          <w:highlight w:val="none"/>
        </w:rPr>
      </w:pPr>
      <w:r>
        <w:rPr>
          <w:color w:val="auto"/>
          <w:szCs w:val="21"/>
          <w:highlight w:val="none"/>
        </w:rPr>
        <w:t>24</w:t>
      </w:r>
      <w:r>
        <w:rPr>
          <w:rFonts w:hint="eastAsia"/>
          <w:color w:val="auto"/>
          <w:szCs w:val="21"/>
          <w:highlight w:val="none"/>
        </w:rPr>
        <w:t>、</w:t>
      </w:r>
      <w:r>
        <w:rPr>
          <w:color w:val="auto"/>
          <w:szCs w:val="21"/>
          <w:highlight w:val="none"/>
        </w:rPr>
        <w:t>评标程序和原则</w:t>
      </w:r>
    </w:p>
    <w:p w14:paraId="0A081DF7">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.1</w:t>
      </w:r>
      <w:r>
        <w:rPr>
          <w:color w:val="auto"/>
          <w:szCs w:val="21"/>
          <w:highlight w:val="none"/>
        </w:rPr>
        <w:t>评标程序：遵循初步审查、澄清有关问题、比较与评价、推荐中标候选人的程序依次进行。</w:t>
      </w:r>
    </w:p>
    <w:p w14:paraId="7036265A">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.2</w:t>
      </w:r>
      <w:r>
        <w:rPr>
          <w:color w:val="auto"/>
          <w:szCs w:val="21"/>
          <w:highlight w:val="none"/>
        </w:rPr>
        <w:t>初步审查</w:t>
      </w:r>
      <w:r>
        <w:rPr>
          <w:rFonts w:hint="eastAsia"/>
          <w:color w:val="auto"/>
          <w:szCs w:val="21"/>
          <w:highlight w:val="none"/>
        </w:rPr>
        <w:t>：</w:t>
      </w:r>
      <w:r>
        <w:rPr>
          <w:color w:val="auto"/>
          <w:szCs w:val="21"/>
          <w:highlight w:val="none"/>
        </w:rPr>
        <w:t>包含资格性审查和符合性审查。初步审查不合格者不进入澄清有关问题及后续的评标程序。</w:t>
      </w:r>
    </w:p>
    <w:p w14:paraId="15C00C68">
      <w:pPr>
        <w:spacing w:line="380" w:lineRule="exact"/>
        <w:ind w:firstLine="315" w:firstLineChars="150"/>
        <w:contextualSpacing/>
        <w:rPr>
          <w:color w:val="auto"/>
          <w:szCs w:val="21"/>
          <w:highlight w:val="none"/>
        </w:rPr>
      </w:pPr>
      <w:r>
        <w:rPr>
          <w:rFonts w:hint="eastAsia"/>
          <w:color w:val="auto"/>
          <w:szCs w:val="21"/>
          <w:highlight w:val="none"/>
        </w:rPr>
        <w:t>（1</w:t>
      </w:r>
      <w:r>
        <w:rPr>
          <w:color w:val="auto"/>
          <w:szCs w:val="21"/>
          <w:highlight w:val="none"/>
        </w:rPr>
        <w:t>）资格性审查：</w:t>
      </w:r>
    </w:p>
    <w:p w14:paraId="4C3EF6CE">
      <w:pPr>
        <w:spacing w:line="380" w:lineRule="exact"/>
        <w:ind w:firstLine="420" w:firstLineChars="200"/>
        <w:contextualSpacing/>
        <w:rPr>
          <w:color w:val="auto"/>
          <w:szCs w:val="21"/>
          <w:highlight w:val="none"/>
        </w:rPr>
      </w:pPr>
      <w:r>
        <w:rPr>
          <w:color w:val="auto"/>
          <w:szCs w:val="21"/>
          <w:highlight w:val="none"/>
        </w:rPr>
        <w:t>依据法律法规和采购文件的规定，</w:t>
      </w:r>
      <w:r>
        <w:rPr>
          <w:rFonts w:hint="eastAsia"/>
          <w:color w:val="auto"/>
          <w:szCs w:val="21"/>
          <w:highlight w:val="none"/>
        </w:rPr>
        <w:t>采购人或采购代理机构</w:t>
      </w:r>
      <w:r>
        <w:rPr>
          <w:color w:val="auto"/>
          <w:szCs w:val="21"/>
          <w:highlight w:val="none"/>
        </w:rPr>
        <w:t>对其资格证明文件齐全性和有效性等方面进行审查，以确定投标人是否具备投标资格。</w:t>
      </w:r>
    </w:p>
    <w:p w14:paraId="4780DBF0">
      <w:pPr>
        <w:spacing w:line="380" w:lineRule="exact"/>
        <w:ind w:firstLine="420" w:firstLineChars="200"/>
        <w:contextualSpacing/>
        <w:rPr>
          <w:color w:val="auto"/>
          <w:szCs w:val="21"/>
          <w:highlight w:val="none"/>
        </w:rPr>
      </w:pPr>
      <w:r>
        <w:rPr>
          <w:rFonts w:hint="eastAsia"/>
          <w:color w:val="auto"/>
          <w:szCs w:val="21"/>
          <w:highlight w:val="none"/>
        </w:rPr>
        <w:t>（2）</w:t>
      </w:r>
      <w:r>
        <w:rPr>
          <w:color w:val="auto"/>
          <w:szCs w:val="21"/>
          <w:highlight w:val="none"/>
        </w:rPr>
        <w:t>符合性检查：</w:t>
      </w:r>
    </w:p>
    <w:p w14:paraId="66F80AB6">
      <w:pPr>
        <w:spacing w:line="380" w:lineRule="exact"/>
        <w:ind w:firstLine="420" w:firstLineChars="200"/>
        <w:contextualSpacing/>
        <w:rPr>
          <w:color w:val="auto"/>
          <w:szCs w:val="21"/>
          <w:highlight w:val="none"/>
        </w:rPr>
      </w:pPr>
      <w:r>
        <w:rPr>
          <w:color w:val="auto"/>
          <w:szCs w:val="21"/>
          <w:highlight w:val="none"/>
        </w:rPr>
        <w:t>依据采购文件的规定，</w:t>
      </w:r>
      <w:r>
        <w:rPr>
          <w:rFonts w:hint="eastAsia"/>
          <w:color w:val="auto"/>
          <w:szCs w:val="21"/>
          <w:highlight w:val="none"/>
        </w:rPr>
        <w:t>评标委员会</w:t>
      </w:r>
      <w:r>
        <w:rPr>
          <w:color w:val="auto"/>
          <w:szCs w:val="21"/>
          <w:highlight w:val="none"/>
        </w:rPr>
        <w:t>从投标文件的有效性、完整性和对采购文件的响应程度进行审查，以确定是否对采购文件的要求作出实质性响应。</w:t>
      </w:r>
    </w:p>
    <w:p w14:paraId="542CF54D">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.3</w:t>
      </w:r>
      <w:r>
        <w:rPr>
          <w:color w:val="auto"/>
          <w:szCs w:val="21"/>
          <w:highlight w:val="none"/>
        </w:rPr>
        <w:t>澄清有关问题：按第22条规定进行。</w:t>
      </w:r>
    </w:p>
    <w:p w14:paraId="1077FFEF">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w:t>
      </w:r>
      <w:r>
        <w:rPr>
          <w:color w:val="auto"/>
          <w:szCs w:val="21"/>
          <w:highlight w:val="none"/>
        </w:rPr>
        <w:t>比较与评价：</w:t>
      </w:r>
    </w:p>
    <w:p w14:paraId="0DDCC3F0">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.4.1</w:t>
      </w:r>
      <w:r>
        <w:rPr>
          <w:color w:val="auto"/>
          <w:szCs w:val="21"/>
          <w:highlight w:val="none"/>
        </w:rPr>
        <w:t>技术</w:t>
      </w:r>
      <w:r>
        <w:rPr>
          <w:rFonts w:hint="eastAsia"/>
          <w:color w:val="auto"/>
          <w:szCs w:val="21"/>
          <w:highlight w:val="none"/>
        </w:rPr>
        <w:t>商务</w:t>
      </w:r>
      <w:r>
        <w:rPr>
          <w:color w:val="auto"/>
          <w:szCs w:val="21"/>
          <w:highlight w:val="none"/>
        </w:rPr>
        <w:t>评价：按照采购文件的要求和</w:t>
      </w:r>
      <w:r>
        <w:rPr>
          <w:rFonts w:hint="eastAsia"/>
          <w:color w:val="auto"/>
          <w:szCs w:val="21"/>
          <w:highlight w:val="none"/>
        </w:rPr>
        <w:t>《</w:t>
      </w:r>
      <w:r>
        <w:rPr>
          <w:color w:val="auto"/>
          <w:szCs w:val="21"/>
          <w:highlight w:val="none"/>
        </w:rPr>
        <w:t>评标</w:t>
      </w:r>
      <w:r>
        <w:rPr>
          <w:rFonts w:hint="eastAsia"/>
          <w:color w:val="auto"/>
          <w:szCs w:val="21"/>
          <w:highlight w:val="none"/>
        </w:rPr>
        <w:t>标准》</w:t>
      </w:r>
      <w:r>
        <w:rPr>
          <w:color w:val="auto"/>
          <w:szCs w:val="21"/>
          <w:highlight w:val="none"/>
        </w:rPr>
        <w:t>对照投标文件的响应进行</w:t>
      </w:r>
      <w:r>
        <w:rPr>
          <w:rFonts w:hint="eastAsia"/>
          <w:color w:val="auto"/>
          <w:szCs w:val="21"/>
          <w:highlight w:val="none"/>
        </w:rPr>
        <w:t>技术商务</w:t>
      </w:r>
      <w:r>
        <w:rPr>
          <w:color w:val="auto"/>
          <w:szCs w:val="21"/>
          <w:highlight w:val="none"/>
        </w:rPr>
        <w:t>评价，评定其偏差程度，并计算其相应的</w:t>
      </w:r>
      <w:r>
        <w:rPr>
          <w:rFonts w:hint="eastAsia"/>
          <w:color w:val="auto"/>
          <w:szCs w:val="21"/>
          <w:highlight w:val="none"/>
        </w:rPr>
        <w:t>技术商务评分</w:t>
      </w:r>
      <w:r>
        <w:rPr>
          <w:color w:val="auto"/>
          <w:szCs w:val="21"/>
          <w:highlight w:val="none"/>
        </w:rPr>
        <w:t>分值。</w:t>
      </w:r>
    </w:p>
    <w:p w14:paraId="51DA0834">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.4.2</w:t>
      </w:r>
      <w:r>
        <w:rPr>
          <w:color w:val="auto"/>
          <w:szCs w:val="21"/>
          <w:highlight w:val="none"/>
        </w:rPr>
        <w:t>综合评价：对经过技术</w:t>
      </w:r>
      <w:r>
        <w:rPr>
          <w:rFonts w:hint="eastAsia"/>
          <w:color w:val="auto"/>
          <w:szCs w:val="21"/>
          <w:highlight w:val="none"/>
        </w:rPr>
        <w:t>商务</w:t>
      </w:r>
      <w:r>
        <w:rPr>
          <w:color w:val="auto"/>
          <w:szCs w:val="21"/>
          <w:highlight w:val="none"/>
        </w:rPr>
        <w:t>评价的投标，按</w:t>
      </w:r>
      <w:r>
        <w:rPr>
          <w:rFonts w:hint="eastAsia"/>
          <w:color w:val="auto"/>
          <w:szCs w:val="21"/>
          <w:highlight w:val="none"/>
        </w:rPr>
        <w:t>《</w:t>
      </w:r>
      <w:r>
        <w:rPr>
          <w:color w:val="auto"/>
          <w:szCs w:val="21"/>
          <w:highlight w:val="none"/>
        </w:rPr>
        <w:t>评标标准</w:t>
      </w:r>
      <w:r>
        <w:rPr>
          <w:rFonts w:hint="eastAsia"/>
          <w:color w:val="auto"/>
          <w:szCs w:val="21"/>
          <w:highlight w:val="none"/>
        </w:rPr>
        <w:t>》</w:t>
      </w:r>
      <w:r>
        <w:rPr>
          <w:color w:val="auto"/>
          <w:szCs w:val="21"/>
          <w:highlight w:val="none"/>
        </w:rPr>
        <w:t>规定的评价办法进行综合评价，并按以下原则进行评审计算：</w:t>
      </w:r>
    </w:p>
    <w:p w14:paraId="4AC11AE1">
      <w:pPr>
        <w:spacing w:line="380" w:lineRule="exact"/>
        <w:ind w:firstLine="420" w:firstLineChars="200"/>
        <w:contextualSpacing/>
        <w:rPr>
          <w:color w:val="auto"/>
          <w:szCs w:val="21"/>
          <w:highlight w:val="none"/>
        </w:rPr>
      </w:pPr>
      <w:r>
        <w:rPr>
          <w:color w:val="auto"/>
          <w:szCs w:val="21"/>
          <w:highlight w:val="none"/>
        </w:rPr>
        <w:t>综合评分法的</w:t>
      </w:r>
      <w:r>
        <w:rPr>
          <w:rFonts w:hint="eastAsia"/>
          <w:color w:val="auto"/>
          <w:szCs w:val="21"/>
          <w:highlight w:val="none"/>
        </w:rPr>
        <w:t>最终</w:t>
      </w:r>
      <w:r>
        <w:rPr>
          <w:color w:val="auto"/>
          <w:szCs w:val="21"/>
          <w:highlight w:val="none"/>
        </w:rPr>
        <w:t>得分计算：综合得分=</w:t>
      </w:r>
      <w:r>
        <w:rPr>
          <w:rFonts w:hint="eastAsia"/>
          <w:color w:val="auto"/>
          <w:szCs w:val="21"/>
          <w:highlight w:val="none"/>
        </w:rPr>
        <w:t>报价</w:t>
      </w:r>
      <w:r>
        <w:rPr>
          <w:color w:val="auto"/>
          <w:szCs w:val="21"/>
          <w:highlight w:val="none"/>
        </w:rPr>
        <w:t>得分+技术</w:t>
      </w:r>
      <w:r>
        <w:rPr>
          <w:rFonts w:hint="eastAsia"/>
          <w:color w:val="auto"/>
          <w:szCs w:val="21"/>
          <w:highlight w:val="none"/>
        </w:rPr>
        <w:t>商务</w:t>
      </w:r>
      <w:r>
        <w:rPr>
          <w:color w:val="auto"/>
          <w:szCs w:val="21"/>
          <w:highlight w:val="none"/>
        </w:rPr>
        <w:t>评审得分</w:t>
      </w:r>
    </w:p>
    <w:p w14:paraId="4186478B">
      <w:pPr>
        <w:spacing w:line="380" w:lineRule="exact"/>
        <w:ind w:firstLine="420" w:firstLineChars="200"/>
        <w:contextualSpacing/>
        <w:rPr>
          <w:color w:val="auto"/>
          <w:szCs w:val="21"/>
          <w:highlight w:val="none"/>
        </w:rPr>
      </w:pPr>
      <w:r>
        <w:rPr>
          <w:color w:val="auto"/>
          <w:szCs w:val="21"/>
          <w:highlight w:val="none"/>
        </w:rPr>
        <w:t>综合评价结束，按照上述第23条规定，列出进入最终评审各投标</w:t>
      </w:r>
      <w:r>
        <w:rPr>
          <w:rFonts w:hint="eastAsia"/>
          <w:color w:val="auto"/>
          <w:szCs w:val="21"/>
          <w:highlight w:val="none"/>
        </w:rPr>
        <w:t>人</w:t>
      </w:r>
      <w:r>
        <w:rPr>
          <w:color w:val="auto"/>
          <w:szCs w:val="21"/>
          <w:highlight w:val="none"/>
        </w:rPr>
        <w:t>排序次序。</w:t>
      </w:r>
    </w:p>
    <w:p w14:paraId="3C4E9D02">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.5</w:t>
      </w:r>
      <w:r>
        <w:rPr>
          <w:color w:val="auto"/>
          <w:szCs w:val="21"/>
          <w:highlight w:val="none"/>
        </w:rPr>
        <w:t>推荐中标</w:t>
      </w:r>
      <w:r>
        <w:rPr>
          <w:rFonts w:hint="eastAsia"/>
          <w:color w:val="auto"/>
          <w:szCs w:val="21"/>
          <w:highlight w:val="none"/>
        </w:rPr>
        <w:t>候选人</w:t>
      </w:r>
      <w:r>
        <w:rPr>
          <w:color w:val="auto"/>
          <w:szCs w:val="21"/>
          <w:highlight w:val="none"/>
        </w:rPr>
        <w:t>：按25条规定推荐中标</w:t>
      </w:r>
      <w:r>
        <w:rPr>
          <w:rFonts w:hint="eastAsia"/>
          <w:color w:val="auto"/>
          <w:szCs w:val="21"/>
          <w:highlight w:val="none"/>
        </w:rPr>
        <w:t>候选人</w:t>
      </w:r>
      <w:r>
        <w:rPr>
          <w:color w:val="auto"/>
          <w:szCs w:val="21"/>
          <w:highlight w:val="none"/>
        </w:rPr>
        <w:t>。</w:t>
      </w:r>
    </w:p>
    <w:p w14:paraId="29A66E94">
      <w:pPr>
        <w:spacing w:line="380" w:lineRule="exact"/>
        <w:contextualSpacing/>
        <w:rPr>
          <w:color w:val="auto"/>
          <w:szCs w:val="21"/>
          <w:highlight w:val="none"/>
        </w:rPr>
      </w:pPr>
      <w:r>
        <w:rPr>
          <w:color w:val="auto"/>
          <w:szCs w:val="21"/>
          <w:highlight w:val="none"/>
        </w:rPr>
        <w:t>25</w:t>
      </w:r>
      <w:r>
        <w:rPr>
          <w:rFonts w:hint="eastAsia"/>
          <w:color w:val="auto"/>
          <w:szCs w:val="21"/>
          <w:highlight w:val="none"/>
        </w:rPr>
        <w:t>、</w:t>
      </w:r>
      <w:r>
        <w:rPr>
          <w:color w:val="auto"/>
          <w:szCs w:val="21"/>
          <w:highlight w:val="none"/>
        </w:rPr>
        <w:t>推荐中标</w:t>
      </w:r>
      <w:r>
        <w:rPr>
          <w:rFonts w:hint="eastAsia"/>
          <w:color w:val="auto"/>
          <w:szCs w:val="21"/>
          <w:highlight w:val="none"/>
        </w:rPr>
        <w:t>候选人</w:t>
      </w:r>
    </w:p>
    <w:p w14:paraId="3E114021">
      <w:pPr>
        <w:spacing w:line="380" w:lineRule="exact"/>
        <w:ind w:firstLine="420" w:firstLineChars="200"/>
        <w:contextualSpacing/>
        <w:rPr>
          <w:color w:val="auto"/>
          <w:szCs w:val="21"/>
          <w:highlight w:val="none"/>
        </w:rPr>
      </w:pPr>
      <w:r>
        <w:rPr>
          <w:rFonts w:hint="eastAsia"/>
          <w:color w:val="auto"/>
          <w:szCs w:val="21"/>
          <w:highlight w:val="none"/>
        </w:rPr>
        <w:t>评标委员会根据各有效投标人的综合得分由高到低排定顺序，推荐本项目的中标候选人。</w:t>
      </w:r>
    </w:p>
    <w:p w14:paraId="69E3498D">
      <w:pPr>
        <w:spacing w:line="380" w:lineRule="exact"/>
        <w:contextualSpacing/>
        <w:rPr>
          <w:color w:val="auto"/>
          <w:szCs w:val="21"/>
          <w:highlight w:val="none"/>
        </w:rPr>
      </w:pPr>
      <w:r>
        <w:rPr>
          <w:color w:val="auto"/>
          <w:szCs w:val="21"/>
          <w:highlight w:val="none"/>
        </w:rPr>
        <w:t>26</w:t>
      </w:r>
      <w:r>
        <w:rPr>
          <w:rFonts w:hint="eastAsia"/>
          <w:color w:val="auto"/>
          <w:szCs w:val="21"/>
          <w:highlight w:val="none"/>
        </w:rPr>
        <w:t>、</w:t>
      </w:r>
      <w:r>
        <w:rPr>
          <w:color w:val="auto"/>
          <w:szCs w:val="21"/>
          <w:highlight w:val="none"/>
        </w:rPr>
        <w:t>招标方式</w:t>
      </w:r>
      <w:r>
        <w:rPr>
          <w:rFonts w:hint="eastAsia"/>
          <w:color w:val="auto"/>
          <w:szCs w:val="21"/>
          <w:highlight w:val="none"/>
        </w:rPr>
        <w:t>转换</w:t>
      </w:r>
    </w:p>
    <w:p w14:paraId="624BB335">
      <w:pPr>
        <w:spacing w:line="380" w:lineRule="exact"/>
        <w:ind w:firstLine="420" w:firstLineChars="200"/>
        <w:contextualSpacing/>
        <w:rPr>
          <w:color w:val="auto"/>
          <w:szCs w:val="21"/>
          <w:highlight w:val="none"/>
        </w:rPr>
      </w:pPr>
      <w:r>
        <w:rPr>
          <w:rFonts w:hint="eastAsia"/>
          <w:color w:val="auto"/>
          <w:szCs w:val="21"/>
          <w:highlight w:val="none"/>
        </w:rPr>
        <w:t>公开招标数额标准以上的招标项目，投标截止后投标人不足3家或者通过资格审查或符合性审查的投标人不足3家的，除招标任务取消情形外，按照以下方式处理： </w:t>
      </w:r>
    </w:p>
    <w:p w14:paraId="6F438B16">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.1采购文件存在不合理条款或者招标程序不符合规定的，采购人、采购代理机构改正后依法重新招标; </w:t>
      </w:r>
    </w:p>
    <w:p w14:paraId="55F53C8C">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.2采购文件没有不合理条款、招标程序符合规定，需要采用其他招标方式招标的，采购人依法报监管部门批准。 </w:t>
      </w:r>
    </w:p>
    <w:p w14:paraId="5F92770C">
      <w:pPr>
        <w:spacing w:line="380" w:lineRule="exact"/>
        <w:contextualSpacing/>
        <w:rPr>
          <w:color w:val="auto"/>
          <w:szCs w:val="21"/>
          <w:highlight w:val="none"/>
        </w:rPr>
      </w:pPr>
      <w:r>
        <w:rPr>
          <w:color w:val="auto"/>
          <w:szCs w:val="21"/>
          <w:highlight w:val="none"/>
        </w:rPr>
        <w:t>27</w:t>
      </w:r>
      <w:r>
        <w:rPr>
          <w:rFonts w:hint="eastAsia"/>
          <w:color w:val="auto"/>
          <w:szCs w:val="21"/>
          <w:highlight w:val="none"/>
        </w:rPr>
        <w:t>、评标过程的监控与保密</w:t>
      </w:r>
    </w:p>
    <w:p w14:paraId="409B3131">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.1本项目评标过程实行全程录音、录像监控，投标人在评标过程中所进行的试图影响评标结果的不公正活动，可能导致其投标被拒绝。</w:t>
      </w:r>
    </w:p>
    <w:p w14:paraId="59075BC3">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.2开标后到中标通知书发出之前，所有涉及评标委员会名单以及对投标文件的澄清、评价、比较等情况，评标委员会成员、采购人和采购代理机构的有关人员均不得向投标人或其他无关人员透露。</w:t>
      </w:r>
    </w:p>
    <w:p w14:paraId="5FBC3693">
      <w:pPr>
        <w:spacing w:line="380" w:lineRule="exact"/>
        <w:contextualSpacing/>
        <w:rPr>
          <w:color w:val="auto"/>
          <w:szCs w:val="21"/>
          <w:highlight w:val="none"/>
        </w:rPr>
      </w:pPr>
      <w:r>
        <w:rPr>
          <w:color w:val="auto"/>
          <w:szCs w:val="21"/>
          <w:highlight w:val="none"/>
        </w:rPr>
        <w:t>28</w:t>
      </w:r>
      <w:r>
        <w:rPr>
          <w:rFonts w:hint="eastAsia"/>
          <w:color w:val="auto"/>
          <w:szCs w:val="21"/>
          <w:highlight w:val="none"/>
        </w:rPr>
        <w:t>、确定中标人、评标结果公示与质疑</w:t>
      </w:r>
    </w:p>
    <w:p w14:paraId="5C7CB1D7">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D56509B">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.2代理机构自中标人确定之日起2个工作日内，在发布招标公告的网站上对中标结果进行公示，中标结果公告期限为1个工作日。</w:t>
      </w:r>
    </w:p>
    <w:p w14:paraId="4FFB7708">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69"/>
    <w:bookmarkEnd w:id="70"/>
    <w:bookmarkEnd w:id="71"/>
    <w:bookmarkEnd w:id="72"/>
    <w:p w14:paraId="7FF66167">
      <w:pPr>
        <w:pStyle w:val="2"/>
        <w:contextualSpacing/>
        <w:rPr>
          <w:rFonts w:ascii="Times New Roman"/>
          <w:color w:val="auto"/>
          <w:sz w:val="24"/>
          <w:szCs w:val="24"/>
          <w:highlight w:val="none"/>
        </w:rPr>
      </w:pPr>
      <w:bookmarkStart w:id="73" w:name="_Toc496003209"/>
      <w:bookmarkStart w:id="74" w:name="_Toc429407716"/>
      <w:bookmarkStart w:id="75" w:name="_Toc456853674"/>
      <w:bookmarkStart w:id="76" w:name="_Toc425151756"/>
      <w:bookmarkStart w:id="77" w:name="_Toc430790237"/>
      <w:bookmarkStart w:id="78" w:name="_Toc445193549"/>
      <w:bookmarkStart w:id="79" w:name="_Toc498429637"/>
      <w:bookmarkStart w:id="80" w:name="_Toc425780300"/>
      <w:bookmarkStart w:id="81" w:name="_Toc505353788"/>
      <w:r>
        <w:rPr>
          <w:rFonts w:hint="eastAsia" w:ascii="Times New Roman"/>
          <w:color w:val="auto"/>
          <w:sz w:val="24"/>
          <w:szCs w:val="24"/>
          <w:highlight w:val="none"/>
        </w:rPr>
        <w:t>八、</w:t>
      </w:r>
      <w:r>
        <w:rPr>
          <w:rFonts w:ascii="Times New Roman"/>
          <w:color w:val="auto"/>
          <w:sz w:val="24"/>
          <w:szCs w:val="24"/>
          <w:highlight w:val="none"/>
        </w:rPr>
        <w:t>无效投标认定</w:t>
      </w:r>
      <w:bookmarkEnd w:id="73"/>
      <w:bookmarkEnd w:id="74"/>
      <w:bookmarkEnd w:id="75"/>
      <w:bookmarkEnd w:id="76"/>
      <w:bookmarkEnd w:id="77"/>
      <w:bookmarkEnd w:id="78"/>
      <w:bookmarkEnd w:id="79"/>
      <w:bookmarkEnd w:id="80"/>
      <w:bookmarkEnd w:id="81"/>
    </w:p>
    <w:p w14:paraId="5D894462">
      <w:pPr>
        <w:spacing w:line="380" w:lineRule="exact"/>
        <w:contextualSpacing/>
        <w:rPr>
          <w:color w:val="auto"/>
          <w:szCs w:val="21"/>
          <w:highlight w:val="none"/>
        </w:rPr>
      </w:pPr>
      <w:bookmarkStart w:id="82" w:name="_Toc425780301"/>
      <w:bookmarkStart w:id="83" w:name="_Toc430790238"/>
      <w:bookmarkStart w:id="84" w:name="_Toc425151757"/>
      <w:bookmarkStart w:id="85" w:name="_Toc429407717"/>
      <w:r>
        <w:rPr>
          <w:color w:val="auto"/>
          <w:szCs w:val="21"/>
          <w:highlight w:val="none"/>
        </w:rPr>
        <w:t>29</w:t>
      </w:r>
      <w:r>
        <w:rPr>
          <w:rFonts w:hint="eastAsia"/>
          <w:color w:val="auto"/>
          <w:szCs w:val="21"/>
          <w:highlight w:val="none"/>
        </w:rPr>
        <w:t>、实质上没有响应采购文件要求的投标将被视为无效投标。</w:t>
      </w:r>
    </w:p>
    <w:p w14:paraId="06E7B5AB">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.1在资格审查时，不具备采购文件中规定的资格要求的，或者资格证明文件不全的，投标文件将被视为无效。</w:t>
      </w:r>
    </w:p>
    <w:p w14:paraId="4D601263">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.2</w:t>
      </w:r>
      <w:r>
        <w:rPr>
          <w:color w:val="auto"/>
          <w:szCs w:val="21"/>
          <w:highlight w:val="none"/>
        </w:rPr>
        <w:t>在符合性审查时，如发现下列情形之一的，投标文件将被视为无效：</w:t>
      </w:r>
    </w:p>
    <w:p w14:paraId="39C290C2">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（1）投标文件未按采购文件要求签署、签章的；</w:t>
      </w:r>
    </w:p>
    <w:p w14:paraId="30FE231A">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（2）投标有效期不满足采购文件要求的；</w:t>
      </w:r>
    </w:p>
    <w:p w14:paraId="697ACBC5">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（3）明显不符合采购文件要求的，或者与采购文件中标注“★”的条款发生实质性偏离的；</w:t>
      </w:r>
    </w:p>
    <w:p w14:paraId="2AA2E6B5">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（4）投标文件中含有采购人不能接受的附加条件的；</w:t>
      </w:r>
    </w:p>
    <w:p w14:paraId="03A6AFFA">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（5）委托人未提供法定代表人授权委托书、填写项目不齐全的；</w:t>
      </w:r>
    </w:p>
    <w:p w14:paraId="166913C8">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（6）投标文件格式不规范、提供资料不齐全或者内容虚假的；</w:t>
      </w:r>
    </w:p>
    <w:p w14:paraId="560E4CB9">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（7）投标文件的实质性内容未使用中文表述、表述不明确、前后矛盾或者使用计量单位不符合采购文件要求的（经评标委员会认定并允许其当场更正的笔误除外）；</w:t>
      </w:r>
    </w:p>
    <w:p w14:paraId="51973113">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（8）投标文件的关键内容字迹模糊、无法辨认的，或者投标文件中经修正的内容字迹模糊难以辨认或者修改处未按规定签署、盖章的；</w:t>
      </w:r>
    </w:p>
    <w:p w14:paraId="32FE7D11">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（9）法律、法规和采购文件规定的其他无效情形。</w:t>
      </w:r>
    </w:p>
    <w:p w14:paraId="22CE422D">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.3在技术商务评审时，如发现下列情形之一的，</w:t>
      </w:r>
      <w:r>
        <w:rPr>
          <w:color w:val="auto"/>
          <w:szCs w:val="21"/>
          <w:highlight w:val="none"/>
        </w:rPr>
        <w:t>投标文件将被视为无效：</w:t>
      </w:r>
    </w:p>
    <w:p w14:paraId="5BF68D33">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color w:val="auto"/>
          <w:sz w:val="21"/>
          <w:szCs w:val="21"/>
          <w:highlight w:val="none"/>
        </w:rPr>
        <w:t>未提供或未如实提供投标货物的技术参数，或者投标文件标明的响应或偏离与事实不符或虚假投标的</w:t>
      </w:r>
      <w:r>
        <w:rPr>
          <w:rFonts w:eastAsia="宋体"/>
          <w:color w:val="auto"/>
          <w:sz w:val="21"/>
          <w:szCs w:val="21"/>
          <w:highlight w:val="none"/>
        </w:rPr>
        <w:t>；</w:t>
      </w:r>
    </w:p>
    <w:p w14:paraId="2D3E689B">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w:t>
      </w:r>
      <w:r>
        <w:rPr>
          <w:rFonts w:hint="eastAsia" w:eastAsia="宋体"/>
          <w:color w:val="auto"/>
          <w:sz w:val="21"/>
          <w:szCs w:val="21"/>
          <w:highlight w:val="none"/>
        </w:rPr>
        <w:t>2</w:t>
      </w:r>
      <w:r>
        <w:rPr>
          <w:rFonts w:eastAsia="宋体"/>
          <w:color w:val="auto"/>
          <w:sz w:val="21"/>
          <w:szCs w:val="21"/>
          <w:highlight w:val="none"/>
        </w:rPr>
        <w:t>）</w:t>
      </w:r>
      <w:r>
        <w:rPr>
          <w:rFonts w:hint="eastAsia" w:eastAsia="宋体"/>
          <w:color w:val="auto"/>
          <w:sz w:val="21"/>
          <w:szCs w:val="21"/>
          <w:highlight w:val="none"/>
        </w:rPr>
        <w:t>明显不符合采购文件要求的规格型号、质量标准，或者与采购文件中标“★”的技术指标、主要功能项目发生实质性偏离的</w:t>
      </w:r>
      <w:r>
        <w:rPr>
          <w:rFonts w:eastAsia="宋体"/>
          <w:color w:val="auto"/>
          <w:sz w:val="21"/>
          <w:szCs w:val="21"/>
          <w:highlight w:val="none"/>
        </w:rPr>
        <w:t>；</w:t>
      </w:r>
    </w:p>
    <w:p w14:paraId="38BA601C">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（3）投标技术方案不明确，存在一个或一个以上备选（替代）投标方案的。</w:t>
      </w:r>
    </w:p>
    <w:p w14:paraId="1676FED4">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.4</w:t>
      </w:r>
      <w:r>
        <w:rPr>
          <w:color w:val="auto"/>
          <w:szCs w:val="21"/>
          <w:highlight w:val="none"/>
        </w:rPr>
        <w:t>在报价评审时，如发现下列情形之一的，投标文件将被视为无效：</w:t>
      </w:r>
    </w:p>
    <w:p w14:paraId="01D85921">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bCs/>
          <w:color w:val="auto"/>
          <w:sz w:val="21"/>
          <w:szCs w:val="21"/>
          <w:highlight w:val="none"/>
        </w:rPr>
        <w:t>报价超过采购文件中规定的预算金额或者最高限价的</w:t>
      </w:r>
      <w:r>
        <w:rPr>
          <w:rFonts w:eastAsia="宋体"/>
          <w:color w:val="auto"/>
          <w:sz w:val="21"/>
          <w:szCs w:val="21"/>
          <w:highlight w:val="none"/>
        </w:rPr>
        <w:t>；</w:t>
      </w:r>
    </w:p>
    <w:p w14:paraId="0355B7DC">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（2）</w:t>
      </w:r>
      <w:r>
        <w:rPr>
          <w:rFonts w:hint="eastAsia" w:eastAsia="宋体"/>
          <w:bCs/>
          <w:color w:val="auto"/>
          <w:sz w:val="21"/>
          <w:szCs w:val="21"/>
          <w:highlight w:val="none"/>
        </w:rPr>
        <w:t>未采用采购文件要求的报价形式报价的</w:t>
      </w:r>
      <w:r>
        <w:rPr>
          <w:rFonts w:hint="eastAsia" w:eastAsia="宋体"/>
          <w:color w:val="auto"/>
          <w:sz w:val="21"/>
          <w:szCs w:val="21"/>
          <w:highlight w:val="none"/>
        </w:rPr>
        <w:t>；</w:t>
      </w:r>
    </w:p>
    <w:p w14:paraId="2CCBF673">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（3）投标报价具有选择性的；</w:t>
      </w:r>
    </w:p>
    <w:p w14:paraId="6ADD874B">
      <w:pPr>
        <w:pStyle w:val="18"/>
        <w:ind w:right="-252" w:firstLine="420" w:firstLineChars="200"/>
        <w:contextualSpacing/>
        <w:rPr>
          <w:rFonts w:eastAsia="宋体"/>
          <w:bCs/>
          <w:color w:val="auto"/>
          <w:sz w:val="21"/>
          <w:szCs w:val="21"/>
          <w:highlight w:val="none"/>
        </w:rPr>
      </w:pPr>
      <w:r>
        <w:rPr>
          <w:rFonts w:hint="eastAsia" w:eastAsia="宋体"/>
          <w:bCs/>
          <w:color w:val="auto"/>
          <w:sz w:val="21"/>
          <w:szCs w:val="21"/>
          <w:highlight w:val="none"/>
        </w:rPr>
        <w:t>（4）投标人的报价低于</w:t>
      </w:r>
      <w:r>
        <w:rPr>
          <w:rFonts w:hint="eastAsia" w:eastAsia="宋体"/>
          <w:color w:val="auto"/>
          <w:sz w:val="21"/>
          <w:szCs w:val="21"/>
          <w:highlight w:val="none"/>
        </w:rPr>
        <w:t>其他通过符合性审查投标人的报价</w:t>
      </w:r>
      <w:r>
        <w:rPr>
          <w:rFonts w:hint="eastAsia" w:eastAsia="宋体"/>
          <w:bCs/>
          <w:color w:val="auto"/>
          <w:sz w:val="21"/>
          <w:szCs w:val="21"/>
          <w:highlight w:val="none"/>
        </w:rPr>
        <w:t>，评标委员会认为有可能影响产品质量或者不能诚信履约，要求其在评标现场合理的时间内提供书面说明，必要时提交相关证明材料，投标人不能证明其报价合理性的；</w:t>
      </w:r>
    </w:p>
    <w:p w14:paraId="2E31E94F">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（5）投标报价中出现重大缺项、漏项或被评标委员会</w:t>
      </w:r>
      <w:r>
        <w:rPr>
          <w:rFonts w:hint="eastAsia" w:eastAsia="宋体"/>
          <w:bCs/>
          <w:color w:val="auto"/>
          <w:sz w:val="21"/>
          <w:szCs w:val="21"/>
          <w:highlight w:val="none"/>
        </w:rPr>
        <w:t>认为投标人的报价明显低于</w:t>
      </w:r>
      <w:r>
        <w:rPr>
          <w:rFonts w:hint="eastAsia" w:eastAsia="宋体"/>
          <w:color w:val="auto"/>
          <w:sz w:val="21"/>
          <w:szCs w:val="21"/>
          <w:highlight w:val="none"/>
        </w:rPr>
        <w:t>其他通过符合性审查投标人的报价，且投标人不能证明其报价合理性的；</w:t>
      </w:r>
    </w:p>
    <w:p w14:paraId="38FB2A8E">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（6）</w:t>
      </w:r>
      <w:r>
        <w:rPr>
          <w:rFonts w:hint="eastAsia" w:eastAsia="宋体"/>
          <w:bCs/>
          <w:color w:val="auto"/>
          <w:sz w:val="21"/>
          <w:szCs w:val="21"/>
          <w:highlight w:val="none"/>
        </w:rPr>
        <w:t>采购文件规定的其他无效情形。</w:t>
      </w:r>
    </w:p>
    <w:p w14:paraId="37AE9266">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.5</w:t>
      </w:r>
      <w:r>
        <w:rPr>
          <w:color w:val="auto"/>
          <w:szCs w:val="21"/>
          <w:highlight w:val="none"/>
        </w:rPr>
        <w:t>被拒绝的投标文件为无效。</w:t>
      </w:r>
    </w:p>
    <w:bookmarkEnd w:id="82"/>
    <w:bookmarkEnd w:id="83"/>
    <w:bookmarkEnd w:id="84"/>
    <w:bookmarkEnd w:id="85"/>
    <w:p w14:paraId="02C1503B">
      <w:pPr>
        <w:pStyle w:val="2"/>
        <w:contextualSpacing/>
        <w:rPr>
          <w:rFonts w:ascii="Times New Roman"/>
          <w:color w:val="auto"/>
          <w:sz w:val="24"/>
          <w:szCs w:val="24"/>
          <w:highlight w:val="none"/>
        </w:rPr>
      </w:pPr>
      <w:bookmarkStart w:id="86" w:name="_Toc429407718"/>
      <w:bookmarkStart w:id="87" w:name="_Toc430790239"/>
      <w:bookmarkStart w:id="88" w:name="_Toc445193550"/>
      <w:bookmarkStart w:id="89" w:name="_Toc425151758"/>
      <w:bookmarkStart w:id="90" w:name="_Toc496003210"/>
      <w:bookmarkStart w:id="91" w:name="_Toc425780302"/>
      <w:bookmarkStart w:id="92" w:name="_Toc498429638"/>
      <w:bookmarkStart w:id="93" w:name="_Toc456853675"/>
      <w:bookmarkStart w:id="94" w:name="_Toc505353789"/>
      <w:r>
        <w:rPr>
          <w:rFonts w:hint="eastAsia" w:ascii="Times New Roman"/>
          <w:color w:val="auto"/>
          <w:sz w:val="24"/>
          <w:szCs w:val="24"/>
          <w:highlight w:val="none"/>
        </w:rPr>
        <w:t>九、</w:t>
      </w:r>
      <w:r>
        <w:rPr>
          <w:rFonts w:ascii="Times New Roman"/>
          <w:color w:val="auto"/>
          <w:sz w:val="24"/>
          <w:szCs w:val="24"/>
          <w:highlight w:val="none"/>
        </w:rPr>
        <w:t>授予合同</w:t>
      </w:r>
      <w:bookmarkEnd w:id="86"/>
      <w:bookmarkEnd w:id="87"/>
      <w:bookmarkEnd w:id="88"/>
      <w:bookmarkEnd w:id="89"/>
      <w:bookmarkEnd w:id="90"/>
      <w:bookmarkEnd w:id="91"/>
      <w:bookmarkEnd w:id="92"/>
      <w:bookmarkEnd w:id="93"/>
      <w:bookmarkEnd w:id="94"/>
    </w:p>
    <w:p w14:paraId="7F0FECFF">
      <w:pPr>
        <w:spacing w:line="380" w:lineRule="exact"/>
        <w:contextualSpacing/>
        <w:rPr>
          <w:color w:val="auto"/>
          <w:szCs w:val="21"/>
          <w:highlight w:val="none"/>
        </w:rPr>
      </w:pPr>
      <w:bookmarkStart w:id="95" w:name="_Toc430790240"/>
      <w:bookmarkStart w:id="96" w:name="_Toc425780303"/>
      <w:bookmarkStart w:id="97" w:name="_Toc425151759"/>
      <w:bookmarkStart w:id="98" w:name="_Toc429407719"/>
      <w:r>
        <w:rPr>
          <w:color w:val="auto"/>
          <w:szCs w:val="21"/>
          <w:highlight w:val="none"/>
        </w:rPr>
        <w:t>30</w:t>
      </w:r>
      <w:r>
        <w:rPr>
          <w:rFonts w:hint="eastAsia"/>
          <w:color w:val="auto"/>
          <w:szCs w:val="21"/>
          <w:highlight w:val="none"/>
        </w:rPr>
        <w:t>、</w:t>
      </w:r>
      <w:r>
        <w:rPr>
          <w:color w:val="auto"/>
          <w:szCs w:val="21"/>
          <w:highlight w:val="none"/>
        </w:rPr>
        <w:t>数量变更</w:t>
      </w:r>
    </w:p>
    <w:p w14:paraId="46CAFDF2">
      <w:pPr>
        <w:spacing w:line="380" w:lineRule="exact"/>
        <w:ind w:firstLine="420" w:firstLineChars="200"/>
        <w:contextualSpacing/>
        <w:rPr>
          <w:color w:val="auto"/>
          <w:szCs w:val="21"/>
          <w:highlight w:val="none"/>
        </w:rPr>
      </w:pPr>
      <w:r>
        <w:rPr>
          <w:color w:val="auto"/>
          <w:szCs w:val="21"/>
          <w:highlight w:val="none"/>
        </w:rPr>
        <w:t>采购人在授予合同时具有变更数量的权力，可以在采购文件《投标资料表》中规定的合同金额变更范围内，变更招标的数量和服务内容，但不能对单价或其他条款和条件作任何改变。</w:t>
      </w:r>
    </w:p>
    <w:p w14:paraId="0761BAE1">
      <w:pPr>
        <w:spacing w:line="380" w:lineRule="exact"/>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中标通知</w:t>
      </w:r>
    </w:p>
    <w:p w14:paraId="0C400B2F">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1在发布中标公告</w:t>
      </w:r>
      <w:r>
        <w:rPr>
          <w:rFonts w:hint="eastAsia"/>
          <w:color w:val="auto"/>
          <w:szCs w:val="21"/>
          <w:highlight w:val="none"/>
        </w:rPr>
        <w:t>的同时</w:t>
      </w:r>
      <w:r>
        <w:rPr>
          <w:color w:val="auto"/>
          <w:szCs w:val="21"/>
          <w:highlight w:val="none"/>
        </w:rPr>
        <w:t>本采购代理机构向中标</w:t>
      </w:r>
      <w:r>
        <w:rPr>
          <w:rFonts w:hint="eastAsia"/>
          <w:color w:val="auto"/>
          <w:szCs w:val="21"/>
          <w:highlight w:val="none"/>
        </w:rPr>
        <w:t>人</w:t>
      </w:r>
      <w:r>
        <w:rPr>
          <w:color w:val="auto"/>
          <w:szCs w:val="21"/>
          <w:highlight w:val="none"/>
        </w:rPr>
        <w:t>发出中标通知</w:t>
      </w:r>
      <w:r>
        <w:rPr>
          <w:rFonts w:hint="eastAsia"/>
          <w:color w:val="auto"/>
          <w:szCs w:val="21"/>
          <w:highlight w:val="none"/>
        </w:rPr>
        <w:t>书</w:t>
      </w:r>
      <w:r>
        <w:rPr>
          <w:color w:val="auto"/>
          <w:szCs w:val="21"/>
          <w:highlight w:val="none"/>
        </w:rPr>
        <w:t>，向其他投标人发出招标结果通知书，中标通知书对采购人和中标</w:t>
      </w:r>
      <w:r>
        <w:rPr>
          <w:rFonts w:hint="eastAsia"/>
          <w:color w:val="auto"/>
          <w:szCs w:val="21"/>
          <w:highlight w:val="none"/>
        </w:rPr>
        <w:t>人</w:t>
      </w:r>
      <w:r>
        <w:rPr>
          <w:color w:val="auto"/>
          <w:szCs w:val="21"/>
          <w:highlight w:val="none"/>
        </w:rPr>
        <w:t>具有同等法律效力。</w:t>
      </w:r>
    </w:p>
    <w:p w14:paraId="7920A373">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.2</w:t>
      </w:r>
      <w:r>
        <w:rPr>
          <w:color w:val="auto"/>
          <w:szCs w:val="21"/>
          <w:highlight w:val="none"/>
        </w:rPr>
        <w:t>中标</w:t>
      </w:r>
      <w:r>
        <w:rPr>
          <w:rFonts w:hint="eastAsia"/>
          <w:color w:val="auto"/>
          <w:szCs w:val="21"/>
          <w:highlight w:val="none"/>
        </w:rPr>
        <w:t>人</w:t>
      </w:r>
      <w:r>
        <w:rPr>
          <w:color w:val="auto"/>
          <w:szCs w:val="21"/>
          <w:highlight w:val="none"/>
        </w:rPr>
        <w:t>按下述第3</w:t>
      </w:r>
      <w:r>
        <w:rPr>
          <w:rFonts w:hint="eastAsia"/>
          <w:color w:val="auto"/>
          <w:szCs w:val="21"/>
          <w:highlight w:val="none"/>
        </w:rPr>
        <w:t>2</w:t>
      </w:r>
      <w:r>
        <w:rPr>
          <w:color w:val="auto"/>
          <w:szCs w:val="21"/>
          <w:highlight w:val="none"/>
        </w:rPr>
        <w:t>条规定与采购人签订合同，中标通知书是合同的组成部分。</w:t>
      </w:r>
    </w:p>
    <w:p w14:paraId="419E9B37">
      <w:pPr>
        <w:spacing w:line="380" w:lineRule="exact"/>
        <w:contextualSpacing/>
        <w:rPr>
          <w:color w:val="auto"/>
          <w:szCs w:val="21"/>
          <w:highlight w:val="none"/>
        </w:rPr>
      </w:pPr>
      <w:r>
        <w:rPr>
          <w:color w:val="auto"/>
          <w:szCs w:val="21"/>
          <w:highlight w:val="none"/>
        </w:rPr>
        <w:t>32</w:t>
      </w:r>
      <w:r>
        <w:rPr>
          <w:rFonts w:hint="eastAsia"/>
          <w:color w:val="auto"/>
          <w:szCs w:val="21"/>
          <w:highlight w:val="none"/>
        </w:rPr>
        <w:t>、</w:t>
      </w:r>
      <w:r>
        <w:rPr>
          <w:color w:val="auto"/>
          <w:szCs w:val="21"/>
          <w:highlight w:val="none"/>
        </w:rPr>
        <w:t>签订合同</w:t>
      </w:r>
    </w:p>
    <w:p w14:paraId="22B0D5C2">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.1</w:t>
      </w:r>
      <w:r>
        <w:rPr>
          <w:color w:val="auto"/>
          <w:szCs w:val="21"/>
          <w:highlight w:val="none"/>
        </w:rPr>
        <w:t>中标</w:t>
      </w:r>
      <w:r>
        <w:rPr>
          <w:rFonts w:hint="eastAsia"/>
          <w:color w:val="auto"/>
          <w:szCs w:val="21"/>
          <w:highlight w:val="none"/>
        </w:rPr>
        <w:t>人</w:t>
      </w:r>
      <w:r>
        <w:rPr>
          <w:color w:val="auto"/>
          <w:szCs w:val="21"/>
          <w:highlight w:val="none"/>
        </w:rPr>
        <w:t>在本采购代理机构发出中标通知书的</w:t>
      </w:r>
      <w:r>
        <w:rPr>
          <w:rFonts w:hint="eastAsia"/>
          <w:color w:val="auto"/>
          <w:szCs w:val="21"/>
          <w:highlight w:val="none"/>
        </w:rPr>
        <w:t>30</w:t>
      </w:r>
      <w:r>
        <w:rPr>
          <w:color w:val="auto"/>
          <w:szCs w:val="21"/>
          <w:highlight w:val="none"/>
        </w:rPr>
        <w:t>日内，应与采购人按照采购文件和中标</w:t>
      </w:r>
      <w:r>
        <w:rPr>
          <w:rFonts w:hint="eastAsia"/>
          <w:color w:val="auto"/>
          <w:szCs w:val="21"/>
          <w:highlight w:val="none"/>
        </w:rPr>
        <w:t>人</w:t>
      </w:r>
      <w:r>
        <w:rPr>
          <w:color w:val="auto"/>
          <w:szCs w:val="21"/>
          <w:highlight w:val="none"/>
        </w:rPr>
        <w:t>的投标文件的约定内容签订书面合同。否则，采购人可按本须知第25条的规定处理，撤销其中标资格并按本须知规定另选中标</w:t>
      </w:r>
      <w:r>
        <w:rPr>
          <w:rFonts w:hint="eastAsia"/>
          <w:color w:val="auto"/>
          <w:szCs w:val="21"/>
          <w:highlight w:val="none"/>
        </w:rPr>
        <w:t>人</w:t>
      </w:r>
      <w:r>
        <w:rPr>
          <w:color w:val="auto"/>
          <w:szCs w:val="21"/>
          <w:highlight w:val="none"/>
        </w:rPr>
        <w:t>或重新招标。</w:t>
      </w:r>
    </w:p>
    <w:p w14:paraId="45AB6CE1">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.2</w:t>
      </w:r>
      <w:r>
        <w:rPr>
          <w:color w:val="auto"/>
          <w:szCs w:val="21"/>
          <w:highlight w:val="none"/>
        </w:rPr>
        <w:t>采购文件、中标</w:t>
      </w:r>
      <w:r>
        <w:rPr>
          <w:rFonts w:hint="eastAsia"/>
          <w:color w:val="auto"/>
          <w:szCs w:val="21"/>
          <w:highlight w:val="none"/>
        </w:rPr>
        <w:t>人</w:t>
      </w:r>
      <w:r>
        <w:rPr>
          <w:color w:val="auto"/>
          <w:szCs w:val="21"/>
          <w:highlight w:val="none"/>
        </w:rPr>
        <w:t>的投标文件及在评标过程中提交的澄清文件均应作为合同附件。</w:t>
      </w:r>
    </w:p>
    <w:p w14:paraId="41EE6020">
      <w:pPr>
        <w:spacing w:line="380" w:lineRule="exact"/>
        <w:contextualSpacing/>
        <w:rPr>
          <w:color w:val="auto"/>
          <w:szCs w:val="21"/>
          <w:highlight w:val="none"/>
        </w:rPr>
      </w:pPr>
      <w:r>
        <w:rPr>
          <w:color w:val="auto"/>
          <w:szCs w:val="21"/>
          <w:highlight w:val="none"/>
        </w:rPr>
        <w:t>33</w:t>
      </w:r>
      <w:r>
        <w:rPr>
          <w:rFonts w:hint="eastAsia"/>
          <w:color w:val="auto"/>
          <w:szCs w:val="21"/>
          <w:highlight w:val="none"/>
        </w:rPr>
        <w:t>、</w:t>
      </w:r>
      <w:r>
        <w:rPr>
          <w:color w:val="auto"/>
          <w:szCs w:val="21"/>
          <w:highlight w:val="none"/>
        </w:rPr>
        <w:t>履约保证金</w:t>
      </w:r>
      <w:r>
        <w:rPr>
          <w:rFonts w:hint="eastAsia"/>
          <w:color w:val="auto"/>
          <w:szCs w:val="21"/>
          <w:highlight w:val="none"/>
        </w:rPr>
        <w:t>：</w:t>
      </w:r>
    </w:p>
    <w:p w14:paraId="21200DC6">
      <w:pPr>
        <w:spacing w:line="380" w:lineRule="exact"/>
        <w:ind w:firstLine="420" w:firstLineChars="200"/>
        <w:contextualSpacing/>
        <w:rPr>
          <w:color w:val="auto"/>
          <w:szCs w:val="21"/>
          <w:highlight w:val="none"/>
        </w:rPr>
      </w:pPr>
      <w:r>
        <w:rPr>
          <w:rFonts w:hint="eastAsia"/>
          <w:color w:val="auto"/>
          <w:szCs w:val="21"/>
          <w:highlight w:val="none"/>
        </w:rPr>
        <w:t>33.1</w:t>
      </w:r>
      <w:r>
        <w:rPr>
          <w:color w:val="auto"/>
          <w:szCs w:val="21"/>
          <w:highlight w:val="none"/>
        </w:rPr>
        <w:t>签订合同</w:t>
      </w:r>
      <w:r>
        <w:rPr>
          <w:rFonts w:hint="eastAsia"/>
          <w:color w:val="auto"/>
          <w:szCs w:val="21"/>
          <w:highlight w:val="none"/>
        </w:rPr>
        <w:t>后</w:t>
      </w:r>
      <w:r>
        <w:rPr>
          <w:color w:val="auto"/>
          <w:szCs w:val="21"/>
          <w:highlight w:val="none"/>
        </w:rPr>
        <w:t>，中标人应根据采购文件确定的履约保证金的金额交纳履约保证金。</w:t>
      </w:r>
    </w:p>
    <w:p w14:paraId="59F6BC6B">
      <w:pPr>
        <w:spacing w:line="380" w:lineRule="exact"/>
        <w:ind w:firstLine="420" w:firstLineChars="200"/>
        <w:contextualSpacing/>
        <w:rPr>
          <w:color w:val="auto"/>
          <w:szCs w:val="21"/>
          <w:highlight w:val="none"/>
        </w:rPr>
      </w:pPr>
      <w:r>
        <w:rPr>
          <w:rFonts w:hint="eastAsia"/>
          <w:color w:val="auto"/>
          <w:szCs w:val="21"/>
          <w:highlight w:val="none"/>
        </w:rPr>
        <w:t>33.2</w:t>
      </w:r>
      <w:r>
        <w:rPr>
          <w:color w:val="auto"/>
          <w:szCs w:val="21"/>
          <w:highlight w:val="none"/>
        </w:rPr>
        <w:t>签订合同后，如中标人不按双方合同约定履约，则没收其全部履约保证金，履约保证金不足以赔偿损失的，按实际损失赔偿。</w:t>
      </w:r>
    </w:p>
    <w:p w14:paraId="6C398A14">
      <w:pPr>
        <w:spacing w:line="380" w:lineRule="exact"/>
        <w:contextualSpacing/>
        <w:rPr>
          <w:color w:val="auto"/>
          <w:szCs w:val="21"/>
          <w:highlight w:val="none"/>
        </w:rPr>
      </w:pPr>
    </w:p>
    <w:bookmarkEnd w:id="95"/>
    <w:bookmarkEnd w:id="96"/>
    <w:bookmarkEnd w:id="97"/>
    <w:bookmarkEnd w:id="98"/>
    <w:p w14:paraId="6EBB2385">
      <w:pPr>
        <w:pStyle w:val="2"/>
        <w:contextualSpacing/>
        <w:rPr>
          <w:rFonts w:ascii="Times New Roman"/>
          <w:color w:val="auto"/>
          <w:sz w:val="24"/>
          <w:szCs w:val="24"/>
          <w:highlight w:val="none"/>
        </w:rPr>
      </w:pPr>
      <w:bookmarkStart w:id="99" w:name="_Hlk49412371"/>
      <w:r>
        <w:rPr>
          <w:rFonts w:hint="eastAsia" w:ascii="Times New Roman"/>
          <w:color w:val="auto"/>
          <w:sz w:val="24"/>
          <w:szCs w:val="24"/>
          <w:highlight w:val="none"/>
        </w:rPr>
        <w:t>十、履约验收</w:t>
      </w:r>
    </w:p>
    <w:p w14:paraId="15A79942">
      <w:pPr>
        <w:pStyle w:val="17"/>
        <w:spacing w:after="0" w:line="360" w:lineRule="auto"/>
        <w:contextualSpacing/>
        <w:rPr>
          <w:rFonts w:cs="宋体"/>
          <w:bCs/>
          <w:color w:val="auto"/>
          <w:szCs w:val="21"/>
          <w:highlight w:val="none"/>
        </w:rPr>
      </w:pPr>
      <w:r>
        <w:rPr>
          <w:rFonts w:hint="eastAsia" w:cs="宋体"/>
          <w:bCs/>
          <w:color w:val="auto"/>
          <w:szCs w:val="21"/>
          <w:highlight w:val="none"/>
        </w:rPr>
        <w:t>3</w:t>
      </w:r>
      <w:r>
        <w:rPr>
          <w:rFonts w:cs="宋体"/>
          <w:bCs/>
          <w:color w:val="auto"/>
          <w:szCs w:val="21"/>
          <w:highlight w:val="none"/>
        </w:rPr>
        <w:t>4</w:t>
      </w:r>
      <w:r>
        <w:rPr>
          <w:rFonts w:hint="eastAsia" w:cs="宋体"/>
          <w:bCs/>
          <w:color w:val="auto"/>
          <w:szCs w:val="21"/>
          <w:highlight w:val="none"/>
        </w:rPr>
        <w:t>、采购人负责对中标人的履约行为进行验收，</w:t>
      </w:r>
      <w:r>
        <w:rPr>
          <w:rFonts w:hint="eastAsia"/>
          <w:color w:val="auto"/>
          <w:szCs w:val="21"/>
          <w:highlight w:val="none"/>
        </w:rPr>
        <w:t>验收标准为本项目的采购文件以及中标人的投标文件，要求验收必须符合相关政策法规和地方标准。</w:t>
      </w:r>
    </w:p>
    <w:p w14:paraId="27C09DAF">
      <w:pPr>
        <w:pStyle w:val="17"/>
        <w:spacing w:after="0" w:line="360" w:lineRule="auto"/>
        <w:contextualSpacing/>
        <w:rPr>
          <w:rFonts w:cs="宋体"/>
          <w:bCs/>
          <w:color w:val="auto"/>
          <w:szCs w:val="21"/>
          <w:highlight w:val="none"/>
        </w:rPr>
      </w:pPr>
      <w:r>
        <w:rPr>
          <w:rFonts w:hint="eastAsia" w:cs="宋体"/>
          <w:bCs/>
          <w:color w:val="auto"/>
          <w:szCs w:val="21"/>
          <w:highlight w:val="none"/>
        </w:rPr>
        <w:t>35、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14:paraId="3902232E">
      <w:pPr>
        <w:pStyle w:val="2"/>
        <w:contextualSpacing/>
        <w:rPr>
          <w:rFonts w:ascii="Times New Roman"/>
          <w:color w:val="auto"/>
          <w:sz w:val="24"/>
          <w:szCs w:val="24"/>
          <w:highlight w:val="none"/>
        </w:rPr>
      </w:pPr>
      <w:r>
        <w:rPr>
          <w:rFonts w:hint="eastAsia" w:ascii="Times New Roman"/>
          <w:color w:val="auto"/>
          <w:sz w:val="24"/>
          <w:szCs w:val="24"/>
          <w:highlight w:val="none"/>
        </w:rPr>
        <w:t>十一、招标代理费用</w:t>
      </w:r>
    </w:p>
    <w:p w14:paraId="07AC76C9">
      <w:pPr>
        <w:spacing w:line="380" w:lineRule="exact"/>
        <w:contextualSpacing/>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招标代理费</w:t>
      </w:r>
    </w:p>
    <w:p w14:paraId="68A90ED8">
      <w:pPr>
        <w:spacing w:line="380" w:lineRule="exact"/>
        <w:ind w:firstLine="420" w:firstLineChars="200"/>
        <w:contextualSpacing/>
        <w:rPr>
          <w:color w:val="auto"/>
          <w:szCs w:val="21"/>
          <w:highlight w:val="none"/>
        </w:rPr>
      </w:pPr>
      <w:r>
        <w:rPr>
          <w:rFonts w:hint="eastAsia"/>
          <w:color w:val="auto"/>
          <w:szCs w:val="21"/>
          <w:highlight w:val="none"/>
        </w:rPr>
        <w:t>中标人</w:t>
      </w:r>
      <w:r>
        <w:rPr>
          <w:color w:val="auto"/>
          <w:szCs w:val="21"/>
          <w:highlight w:val="none"/>
        </w:rPr>
        <w:t>应向本采购代理机构支付招标代理费。招标代理费的收费依据及相关规定载明在采购文件《投标资料表》中。</w:t>
      </w:r>
    </w:p>
    <w:bookmarkEnd w:id="99"/>
    <w:p w14:paraId="5836FA1E">
      <w:pPr>
        <w:pStyle w:val="41"/>
        <w:rPr>
          <w:rFonts w:hint="eastAsia" w:ascii="Times New Roman" w:hAnsi="Times New Roman"/>
          <w:color w:val="auto"/>
          <w:kern w:val="44"/>
          <w:highlight w:val="none"/>
        </w:rPr>
        <w:sectPr>
          <w:footerReference r:id="rId11" w:type="first"/>
          <w:footerReference r:id="rId10" w:type="default"/>
          <w:pgSz w:w="11907" w:h="16840"/>
          <w:pgMar w:top="1304" w:right="1588" w:bottom="1304" w:left="1588" w:header="720" w:footer="720" w:gutter="0"/>
          <w:pgNumType w:fmt="decimal"/>
          <w:cols w:space="720" w:num="1"/>
          <w:titlePg/>
          <w:docGrid w:linePitch="285" w:charSpace="0"/>
        </w:sectPr>
      </w:pPr>
    </w:p>
    <w:p w14:paraId="2047E5D2">
      <w:pPr>
        <w:pStyle w:val="41"/>
        <w:rPr>
          <w:rFonts w:ascii="Times New Roman" w:hAnsi="Times New Roman"/>
          <w:color w:val="auto"/>
          <w:kern w:val="44"/>
          <w:highlight w:val="none"/>
        </w:rPr>
      </w:pPr>
      <w:r>
        <w:rPr>
          <w:rFonts w:hint="eastAsia" w:ascii="Times New Roman" w:hAnsi="Times New Roman"/>
          <w:color w:val="auto"/>
          <w:kern w:val="44"/>
          <w:highlight w:val="none"/>
        </w:rPr>
        <w:t>第四章评标办法及标准</w:t>
      </w:r>
    </w:p>
    <w:p w14:paraId="7E0C176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本评标办法是对《投标人须知》中的七、评标和定标的具体补充，如有不一致，以本办法为准。</w:t>
      </w:r>
    </w:p>
    <w:p w14:paraId="0DF7E22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评标委员会按照招标文件“投标人须知”中关于评标委员会、评标办法、评标程序和原则、推荐中标候选人、定标等规定和本标准开展评标工作。</w:t>
      </w:r>
    </w:p>
    <w:p w14:paraId="7F89282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9A7F0B">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●评标办法</w:t>
      </w:r>
    </w:p>
    <w:p w14:paraId="35F7A621">
      <w:pPr>
        <w:spacing w:line="360" w:lineRule="auto"/>
        <w:ind w:firstLine="411" w:firstLineChars="196"/>
        <w:contextualSpacing/>
        <w:rPr>
          <w:rFonts w:ascii="宋体" w:hAnsi="宋体" w:cs="宋体"/>
          <w:color w:val="auto"/>
          <w:szCs w:val="21"/>
          <w:highlight w:val="none"/>
        </w:rPr>
      </w:pPr>
      <w:r>
        <w:rPr>
          <w:rFonts w:hint="eastAsia" w:ascii="宋体" w:hAnsi="宋体" w:cs="宋体"/>
          <w:color w:val="auto"/>
          <w:szCs w:val="21"/>
          <w:highlight w:val="none"/>
        </w:rPr>
        <w:t>本次采购招标项目选用：综合评分法</w:t>
      </w:r>
    </w:p>
    <w:p w14:paraId="7AB769D8">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●开标程序：按投标人须知</w:t>
      </w:r>
      <w:r>
        <w:rPr>
          <w:rFonts w:hint="eastAsia" w:ascii="宋体" w:hAnsi="宋体" w:eastAsia="宋体" w:cs="宋体"/>
          <w:b w:val="0"/>
          <w:bCs w:val="0"/>
          <w:color w:val="auto"/>
          <w:sz w:val="21"/>
          <w:szCs w:val="21"/>
          <w:highlight w:val="none"/>
        </w:rPr>
        <w:t>规定的程序开标。评审顺序按</w:t>
      </w:r>
      <w:r>
        <w:rPr>
          <w:rFonts w:hint="eastAsia" w:ascii="宋体" w:hAnsi="宋体" w:eastAsia="宋体" w:cs="宋体"/>
          <w:b w:val="0"/>
          <w:bCs w:val="0"/>
          <w:color w:val="auto"/>
          <w:sz w:val="21"/>
          <w:szCs w:val="21"/>
          <w:highlight w:val="none"/>
          <w:lang w:eastAsia="zh-CN"/>
        </w:rPr>
        <w:t>标项</w:t>
      </w:r>
      <w:r>
        <w:rPr>
          <w:rFonts w:hint="eastAsia" w:ascii="宋体" w:hAnsi="宋体" w:eastAsia="宋体" w:cs="宋体"/>
          <w:b w:val="0"/>
          <w:bCs w:val="0"/>
          <w:color w:val="auto"/>
          <w:sz w:val="21"/>
          <w:szCs w:val="21"/>
          <w:highlight w:val="none"/>
        </w:rPr>
        <w:t>序号依次评审。</w:t>
      </w:r>
    </w:p>
    <w:p w14:paraId="15C2FCAD">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●评标细则</w:t>
      </w:r>
    </w:p>
    <w:p w14:paraId="4F3254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1、对初步审查（含资格审查、符合性审查）合格者进行评分。</w:t>
      </w:r>
    </w:p>
    <w:p w14:paraId="4815069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2、每位评委根据《评分标准》独立逐栏打分，每栏分值不得超出规定的分值范围；各评分因素分值保留小数点后二位。</w:t>
      </w:r>
    </w:p>
    <w:p w14:paraId="06A3193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3、价格评审基准价格与价格评审：有效投标中的最低评审价为基准价格，其投标价格分得满分。其余投标价格分得分计算按照“评分标准”中评审得分公式计算，以四舍五入方法整合到小数点后二位。</w:t>
      </w:r>
    </w:p>
    <w:p w14:paraId="61AD58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4、最终得分：各评委技术商务分的算术平均值+投标价格分=最终得分，以四舍五入法整合到小数点后二位。</w:t>
      </w:r>
    </w:p>
    <w:p w14:paraId="4AC1553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5、评价排序：按评审后得分由高到低顺序排列。得分相同的，按投标报价由低到高顺序排列。得分且投标报价相同的并列，抽签决定中标候选人。</w:t>
      </w:r>
    </w:p>
    <w:p w14:paraId="3687E73E">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●其他说明</w:t>
      </w:r>
    </w:p>
    <w:p w14:paraId="4F220A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有效投标：通过初步审查且投标报价符合评审范围。</w:t>
      </w:r>
    </w:p>
    <w:p w14:paraId="46E1A15C">
      <w:pPr>
        <w:spacing w:line="360" w:lineRule="auto"/>
        <w:ind w:firstLine="420" w:firstLineChars="200"/>
        <w:contextualSpacing/>
        <w:rPr>
          <w:color w:val="auto"/>
          <w:w w:val="80"/>
          <w:highlight w:val="none"/>
        </w:rPr>
      </w:pPr>
      <w:r>
        <w:rPr>
          <w:rFonts w:hint="eastAsia"/>
          <w:color w:val="auto"/>
          <w:highlight w:val="none"/>
        </w:rPr>
        <w:t>●评分标准</w:t>
      </w:r>
    </w:p>
    <w:bookmarkEnd w:id="9"/>
    <w:bookmarkEnd w:id="10"/>
    <w:bookmarkEnd w:id="11"/>
    <w:tbl>
      <w:tblPr>
        <w:tblStyle w:val="45"/>
        <w:tblW w:w="99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830"/>
        <w:gridCol w:w="6594"/>
      </w:tblGrid>
      <w:tr w14:paraId="2B932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1559" w:type="dxa"/>
            <w:tcBorders>
              <w:bottom w:val="single" w:color="auto" w:sz="4" w:space="0"/>
            </w:tcBorders>
            <w:noWrap w:val="0"/>
            <w:vAlign w:val="center"/>
          </w:tcPr>
          <w:p w14:paraId="3BCA36BD">
            <w:pPr>
              <w:spacing w:after="0"/>
              <w:jc w:val="center"/>
              <w:rPr>
                <w:rFonts w:hint="eastAsia" w:ascii="宋体" w:hAnsi="宋体"/>
                <w:color w:val="auto"/>
                <w:szCs w:val="21"/>
                <w:highlight w:val="none"/>
              </w:rPr>
            </w:pPr>
            <w:bookmarkStart w:id="100" w:name="_Toc422996818"/>
            <w:bookmarkEnd w:id="100"/>
            <w:bookmarkStart w:id="101" w:name="_Toc422996749"/>
            <w:bookmarkEnd w:id="101"/>
            <w:bookmarkStart w:id="102" w:name="_Toc422996819"/>
            <w:bookmarkEnd w:id="102"/>
            <w:bookmarkStart w:id="103" w:name="_Toc422996750"/>
            <w:bookmarkEnd w:id="103"/>
            <w:r>
              <w:rPr>
                <w:rFonts w:hint="eastAsia" w:ascii="宋体" w:hAnsi="宋体"/>
                <w:color w:val="auto"/>
                <w:szCs w:val="21"/>
                <w:highlight w:val="none"/>
              </w:rPr>
              <w:t>评审因素</w:t>
            </w:r>
          </w:p>
        </w:tc>
        <w:tc>
          <w:tcPr>
            <w:tcW w:w="1830" w:type="dxa"/>
            <w:noWrap w:val="0"/>
            <w:vAlign w:val="center"/>
          </w:tcPr>
          <w:p w14:paraId="77E9130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评分项目</w:t>
            </w:r>
          </w:p>
        </w:tc>
        <w:tc>
          <w:tcPr>
            <w:tcW w:w="6594" w:type="dxa"/>
            <w:noWrap w:val="0"/>
            <w:vAlign w:val="center"/>
          </w:tcPr>
          <w:p w14:paraId="5021EAD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评分标准说明</w:t>
            </w:r>
          </w:p>
        </w:tc>
      </w:tr>
      <w:tr w14:paraId="0154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59" w:type="dxa"/>
            <w:vMerge w:val="restart"/>
            <w:noWrap w:val="0"/>
            <w:vAlign w:val="center"/>
          </w:tcPr>
          <w:p w14:paraId="6D6D74A5">
            <w:pPr>
              <w:spacing w:line="400" w:lineRule="exact"/>
              <w:rPr>
                <w:rFonts w:hint="eastAsia" w:ascii="宋体" w:hAnsi="宋体"/>
                <w:color w:val="auto"/>
                <w:szCs w:val="21"/>
                <w:highlight w:val="none"/>
              </w:rPr>
            </w:pPr>
            <w:r>
              <w:rPr>
                <w:rFonts w:hint="eastAsia" w:ascii="宋体" w:hAnsi="宋体"/>
                <w:color w:val="auto"/>
                <w:szCs w:val="21"/>
                <w:highlight w:val="none"/>
              </w:rPr>
              <w:t>技术、资信分（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1830" w:type="dxa"/>
            <w:noWrap w:val="0"/>
            <w:vAlign w:val="center"/>
          </w:tcPr>
          <w:p w14:paraId="179C739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总体工作</w:t>
            </w:r>
            <w:r>
              <w:rPr>
                <w:rFonts w:hint="eastAsia" w:ascii="宋体" w:hAnsi="宋体" w:eastAsia="宋体" w:cs="宋体"/>
                <w:color w:val="auto"/>
                <w:szCs w:val="21"/>
                <w:highlight w:val="none"/>
              </w:rPr>
              <w:t>方案</w:t>
            </w:r>
          </w:p>
        </w:tc>
        <w:tc>
          <w:tcPr>
            <w:tcW w:w="6594" w:type="dxa"/>
            <w:noWrap w:val="0"/>
            <w:vAlign w:val="center"/>
          </w:tcPr>
          <w:p w14:paraId="412BF7DE">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针对本项目的特性，</w:t>
            </w:r>
            <w:r>
              <w:rPr>
                <w:rFonts w:hint="eastAsia" w:ascii="宋体" w:hAnsi="宋体" w:eastAsia="宋体" w:cs="宋体"/>
                <w:color w:val="auto"/>
                <w:szCs w:val="21"/>
                <w:highlight w:val="none"/>
                <w:lang w:val="en-US" w:eastAsia="zh-CN"/>
              </w:rPr>
              <w:t>确保完成</w:t>
            </w:r>
            <w:r>
              <w:rPr>
                <w:rFonts w:hint="eastAsia" w:ascii="宋体" w:hAnsi="宋体" w:cs="宋体"/>
                <w:color w:val="auto"/>
                <w:szCs w:val="21"/>
                <w:highlight w:val="none"/>
                <w:lang w:val="en-US" w:eastAsia="zh-CN"/>
              </w:rPr>
              <w:t>最低收益</w:t>
            </w:r>
            <w:r>
              <w:rPr>
                <w:rFonts w:hint="eastAsia" w:ascii="宋体" w:hAnsi="宋体" w:eastAsia="宋体" w:cs="宋体"/>
                <w:color w:val="auto"/>
                <w:szCs w:val="21"/>
                <w:highlight w:val="none"/>
                <w:lang w:val="en-US" w:eastAsia="zh-CN"/>
              </w:rPr>
              <w:t>的总体工作</w:t>
            </w:r>
            <w:r>
              <w:rPr>
                <w:rFonts w:hint="eastAsia" w:ascii="宋体" w:hAnsi="宋体" w:eastAsia="宋体" w:cs="宋体"/>
                <w:color w:val="auto"/>
                <w:szCs w:val="21"/>
                <w:highlight w:val="none"/>
              </w:rPr>
              <w:t>方案。由评委酌情打分，0-5分。</w:t>
            </w:r>
          </w:p>
        </w:tc>
      </w:tr>
      <w:tr w14:paraId="73A5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4" w:hRule="atLeast"/>
          <w:jc w:val="center"/>
        </w:trPr>
        <w:tc>
          <w:tcPr>
            <w:tcW w:w="1559" w:type="dxa"/>
            <w:vMerge w:val="continue"/>
            <w:noWrap w:val="0"/>
            <w:vAlign w:val="center"/>
          </w:tcPr>
          <w:p w14:paraId="18D7B2EE">
            <w:pPr>
              <w:spacing w:line="400" w:lineRule="exact"/>
              <w:rPr>
                <w:rFonts w:hint="eastAsia" w:ascii="宋体" w:hAnsi="宋体"/>
                <w:color w:val="auto"/>
                <w:szCs w:val="21"/>
                <w:highlight w:val="none"/>
              </w:rPr>
            </w:pPr>
          </w:p>
        </w:tc>
        <w:tc>
          <w:tcPr>
            <w:tcW w:w="1830" w:type="dxa"/>
            <w:noWrap w:val="0"/>
            <w:vAlign w:val="center"/>
          </w:tcPr>
          <w:p w14:paraId="2150FC55">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w:t>
            </w:r>
            <w:r>
              <w:rPr>
                <w:rFonts w:hint="eastAsia" w:ascii="宋体" w:hAnsi="宋体" w:cs="宋体"/>
                <w:color w:val="auto"/>
                <w:szCs w:val="21"/>
                <w:highlight w:val="none"/>
                <w:lang w:val="en-US" w:eastAsia="zh-CN"/>
              </w:rPr>
              <w:t>和机械</w:t>
            </w:r>
            <w:r>
              <w:rPr>
                <w:rFonts w:hint="eastAsia" w:ascii="宋体" w:hAnsi="宋体" w:eastAsia="宋体" w:cs="宋体"/>
                <w:color w:val="auto"/>
                <w:szCs w:val="21"/>
                <w:highlight w:val="none"/>
                <w:lang w:val="en-US" w:eastAsia="zh-CN"/>
              </w:rPr>
              <w:t>配备方案</w:t>
            </w:r>
          </w:p>
        </w:tc>
        <w:tc>
          <w:tcPr>
            <w:tcW w:w="6594" w:type="dxa"/>
            <w:noWrap w:val="0"/>
            <w:vAlign w:val="center"/>
          </w:tcPr>
          <w:p w14:paraId="36895DE0">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w:t>
            </w:r>
            <w:r>
              <w:rPr>
                <w:rFonts w:hint="eastAsia" w:ascii="宋体" w:hAnsi="宋体" w:eastAsia="宋体" w:cs="宋体"/>
                <w:color w:val="auto"/>
                <w:szCs w:val="21"/>
                <w:highlight w:val="none"/>
                <w:lang w:val="en-US" w:eastAsia="zh-CN"/>
              </w:rPr>
              <w:t>配备的</w:t>
            </w:r>
            <w:r>
              <w:rPr>
                <w:rFonts w:hint="eastAsia" w:ascii="宋体" w:hAnsi="宋体" w:eastAsia="宋体" w:cs="宋体"/>
                <w:color w:val="auto"/>
                <w:szCs w:val="21"/>
                <w:highlight w:val="none"/>
              </w:rPr>
              <w:t>人员管理方案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机械配置方案。</w:t>
            </w:r>
            <w:r>
              <w:rPr>
                <w:rFonts w:hint="eastAsia" w:ascii="宋体" w:hAnsi="宋体" w:eastAsia="宋体" w:cs="宋体"/>
                <w:color w:val="auto"/>
                <w:szCs w:val="21"/>
                <w:highlight w:val="none"/>
              </w:rPr>
              <w:t>由评委酌情打分，0-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23CF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1559" w:type="dxa"/>
            <w:vMerge w:val="continue"/>
            <w:noWrap w:val="0"/>
            <w:vAlign w:val="center"/>
          </w:tcPr>
          <w:p w14:paraId="47C34294">
            <w:pPr>
              <w:spacing w:line="400" w:lineRule="exact"/>
              <w:rPr>
                <w:rFonts w:hint="eastAsia" w:ascii="宋体" w:hAnsi="宋体"/>
                <w:color w:val="auto"/>
                <w:szCs w:val="21"/>
                <w:highlight w:val="none"/>
              </w:rPr>
            </w:pPr>
          </w:p>
        </w:tc>
        <w:tc>
          <w:tcPr>
            <w:tcW w:w="1830" w:type="dxa"/>
            <w:noWrap w:val="0"/>
            <w:vAlign w:val="center"/>
          </w:tcPr>
          <w:p w14:paraId="73383FFF">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w:t>
            </w:r>
          </w:p>
        </w:tc>
        <w:tc>
          <w:tcPr>
            <w:tcW w:w="6594" w:type="dxa"/>
            <w:noWrap w:val="0"/>
            <w:vAlign w:val="center"/>
          </w:tcPr>
          <w:p w14:paraId="42188037">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针对本项目</w:t>
            </w:r>
            <w:r>
              <w:rPr>
                <w:rFonts w:hint="eastAsia" w:ascii="宋体" w:hAnsi="宋体" w:eastAsia="宋体" w:cs="宋体"/>
                <w:color w:val="auto"/>
                <w:szCs w:val="21"/>
                <w:highlight w:val="none"/>
                <w:lang w:val="en-US" w:eastAsia="zh-CN"/>
              </w:rPr>
              <w:t>应急预案（台风、自然灾害等不可抗力事件）的全面性、合理性</w:t>
            </w:r>
            <w:r>
              <w:rPr>
                <w:rFonts w:hint="eastAsia" w:ascii="宋体" w:hAnsi="宋体" w:eastAsia="宋体" w:cs="宋体"/>
                <w:color w:val="auto"/>
                <w:szCs w:val="21"/>
                <w:highlight w:val="none"/>
              </w:rPr>
              <w:t>进行综合评议，0-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5105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1559" w:type="dxa"/>
            <w:noWrap w:val="0"/>
            <w:vAlign w:val="center"/>
          </w:tcPr>
          <w:p w14:paraId="42D90B38">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商务分（10分）</w:t>
            </w:r>
          </w:p>
        </w:tc>
        <w:tc>
          <w:tcPr>
            <w:tcW w:w="1830" w:type="dxa"/>
            <w:noWrap w:val="0"/>
            <w:vAlign w:val="center"/>
          </w:tcPr>
          <w:p w14:paraId="137AAD5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履约及付款承诺（10分）</w:t>
            </w:r>
          </w:p>
        </w:tc>
        <w:tc>
          <w:tcPr>
            <w:tcW w:w="6594" w:type="dxa"/>
            <w:noWrap w:val="0"/>
            <w:vAlign w:val="center"/>
          </w:tcPr>
          <w:p w14:paraId="31F6E49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供应商按采购文件提供的《保底收提前支付承诺函》格式承诺</w:t>
            </w:r>
            <w:r>
              <w:rPr>
                <w:rFonts w:hint="eastAsia" w:ascii="宋体" w:hAnsi="宋体" w:cs="宋体"/>
                <w:color w:val="auto"/>
                <w:kern w:val="2"/>
                <w:sz w:val="21"/>
                <w:szCs w:val="21"/>
                <w:highlight w:val="none"/>
                <w:lang w:val="en-US" w:eastAsia="zh-CN"/>
              </w:rPr>
              <w:t>以网银转账、电汇、支票、汇票、本票等采购人认可的形式</w:t>
            </w:r>
            <w:r>
              <w:rPr>
                <w:rFonts w:hint="eastAsia" w:ascii="宋体" w:hAnsi="宋体" w:eastAsia="宋体" w:cs="宋体"/>
                <w:color w:val="auto"/>
                <w:kern w:val="2"/>
                <w:sz w:val="21"/>
                <w:szCs w:val="21"/>
                <w:highlight w:val="none"/>
                <w:lang w:val="en-US" w:eastAsia="zh-CN"/>
              </w:rPr>
              <w:t>在合同签订后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w:t>
            </w:r>
            <w:r>
              <w:rPr>
                <w:rFonts w:hint="eastAsia" w:ascii="宋体" w:hAnsi="宋体" w:cs="宋体"/>
                <w:color w:val="auto"/>
                <w:kern w:val="2"/>
                <w:sz w:val="21"/>
                <w:szCs w:val="21"/>
                <w:highlight w:val="none"/>
                <w:lang w:val="en-US" w:eastAsia="zh-CN"/>
              </w:rPr>
              <w:t>将中标的保底收益</w:t>
            </w:r>
            <w:r>
              <w:rPr>
                <w:rFonts w:hint="eastAsia" w:ascii="宋体" w:hAnsi="宋体" w:eastAsia="宋体" w:cs="宋体"/>
                <w:color w:val="auto"/>
                <w:kern w:val="2"/>
                <w:sz w:val="21"/>
                <w:szCs w:val="21"/>
                <w:highlight w:val="none"/>
                <w:lang w:val="en-US" w:eastAsia="zh-CN"/>
              </w:rPr>
              <w:t>转入采购人指定账户</w:t>
            </w:r>
            <w:r>
              <w:rPr>
                <w:rFonts w:hint="eastAsia" w:ascii="宋体" w:hAnsi="宋体" w:cs="宋体"/>
                <w:color w:val="auto"/>
                <w:kern w:val="2"/>
                <w:sz w:val="21"/>
                <w:szCs w:val="21"/>
                <w:highlight w:val="none"/>
                <w:lang w:val="en-US" w:eastAsia="zh-CN"/>
              </w:rPr>
              <w:t>的，按承诺支付的保底收益比例：100%的，得10分；75%（含本数）的，得7.5分；50%（含本数）的，得5分；25%（含本数）的，得2.5分；25%（不含本数）以下的不得分。</w:t>
            </w:r>
          </w:p>
        </w:tc>
      </w:tr>
      <w:tr w14:paraId="6CAE4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restart"/>
            <w:noWrap w:val="0"/>
            <w:vAlign w:val="center"/>
          </w:tcPr>
          <w:p w14:paraId="6E2573D4">
            <w:pPr>
              <w:spacing w:line="40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报价</w:t>
            </w:r>
            <w:r>
              <w:rPr>
                <w:rFonts w:hint="eastAsia" w:ascii="宋体" w:hAnsi="宋体"/>
                <w:color w:val="auto"/>
                <w:szCs w:val="21"/>
                <w:highlight w:val="none"/>
              </w:rPr>
              <w:t>分（</w:t>
            </w:r>
            <w:r>
              <w:rPr>
                <w:rFonts w:hint="eastAsia" w:ascii="宋体" w:hAnsi="宋体"/>
                <w:color w:val="auto"/>
                <w:szCs w:val="21"/>
                <w:highlight w:val="none"/>
                <w:lang w:val="en-US" w:eastAsia="zh-CN"/>
              </w:rPr>
              <w:t>75</w:t>
            </w:r>
            <w:r>
              <w:rPr>
                <w:rFonts w:hint="eastAsia" w:ascii="宋体" w:hAnsi="宋体"/>
                <w:color w:val="auto"/>
                <w:szCs w:val="21"/>
                <w:highlight w:val="none"/>
              </w:rPr>
              <w:t>分）</w:t>
            </w:r>
          </w:p>
        </w:tc>
        <w:tc>
          <w:tcPr>
            <w:tcW w:w="1830" w:type="dxa"/>
            <w:noWrap w:val="0"/>
            <w:vAlign w:val="center"/>
          </w:tcPr>
          <w:p w14:paraId="47925D76">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服务费报价（30分）</w:t>
            </w:r>
          </w:p>
        </w:tc>
        <w:tc>
          <w:tcPr>
            <w:tcW w:w="6594" w:type="dxa"/>
            <w:noWrap w:val="0"/>
            <w:vAlign w:val="center"/>
          </w:tcPr>
          <w:p w14:paraId="4C3703A5">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eastAsia="宋体"/>
                <w:szCs w:val="21"/>
                <w:highlight w:val="none"/>
                <w:lang w:val="en-US" w:eastAsia="zh-CN"/>
              </w:rPr>
              <w:t>种植服务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最低价</w:t>
            </w:r>
            <w:r>
              <w:rPr>
                <w:rFonts w:hint="eastAsia" w:ascii="宋体" w:hAnsi="宋体" w:eastAsia="宋体" w:cs="宋体"/>
                <w:color w:val="auto"/>
                <w:szCs w:val="21"/>
                <w:highlight w:val="none"/>
              </w:rPr>
              <w:t>。</w:t>
            </w:r>
          </w:p>
          <w:p w14:paraId="63DA6C17">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r>
              <w:rPr>
                <w:rFonts w:hint="eastAsia" w:ascii="宋体" w:hAnsi="宋体" w:cs="宋体"/>
                <w:szCs w:val="21"/>
                <w:highlight w:val="none"/>
              </w:rPr>
              <w:t>其余供应商的价格分以下列公式计算：</w:t>
            </w:r>
          </w:p>
          <w:p w14:paraId="518220BF">
            <w:pPr>
              <w:spacing w:line="360" w:lineRule="exact"/>
              <w:rPr>
                <w:rFonts w:hint="eastAsia" w:ascii="宋体" w:hAnsi="宋体" w:eastAsia="宋体" w:cs="宋体"/>
                <w:color w:val="auto"/>
                <w:szCs w:val="21"/>
                <w:highlight w:val="none"/>
              </w:rPr>
            </w:pPr>
            <w:r>
              <w:rPr>
                <w:rFonts w:hint="eastAsia" w:ascii="宋体" w:hAnsi="宋体" w:cs="宋体"/>
                <w:szCs w:val="21"/>
                <w:highlight w:val="none"/>
              </w:rPr>
              <w:t>报价得分=（基准价/</w:t>
            </w:r>
            <w:r>
              <w:rPr>
                <w:rFonts w:hint="eastAsia" w:ascii="宋体" w:hAnsi="宋体" w:cs="宋体"/>
                <w:szCs w:val="21"/>
                <w:highlight w:val="none"/>
                <w:lang w:val="en-US" w:eastAsia="zh-CN"/>
              </w:rPr>
              <w:t>投标</w:t>
            </w:r>
            <w:r>
              <w:rPr>
                <w:rFonts w:hint="eastAsia" w:ascii="宋体" w:hAnsi="宋体" w:cs="宋体"/>
                <w:szCs w:val="21"/>
                <w:highlight w:val="none"/>
              </w:rPr>
              <w:t>报价）×</w:t>
            </w:r>
            <w:r>
              <w:rPr>
                <w:rFonts w:hint="eastAsia" w:ascii="宋体" w:hAnsi="宋体" w:cs="宋体"/>
                <w:szCs w:val="21"/>
                <w:highlight w:val="none"/>
                <w:lang w:val="en-US" w:eastAsia="zh-CN"/>
              </w:rPr>
              <w:t>30%</w:t>
            </w:r>
            <w:r>
              <w:rPr>
                <w:rFonts w:hint="eastAsia" w:ascii="宋体" w:hAnsi="宋体" w:cs="宋体"/>
                <w:szCs w:val="21"/>
                <w:highlight w:val="none"/>
              </w:rPr>
              <w:t>×100</w:t>
            </w:r>
          </w:p>
        </w:tc>
      </w:tr>
      <w:tr w14:paraId="2405C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continue"/>
            <w:noWrap w:val="0"/>
            <w:vAlign w:val="center"/>
          </w:tcPr>
          <w:p w14:paraId="7936029A">
            <w:pPr>
              <w:spacing w:line="400" w:lineRule="exact"/>
              <w:rPr>
                <w:rFonts w:hint="eastAsia" w:ascii="宋体" w:hAnsi="宋体"/>
                <w:color w:val="auto"/>
                <w:szCs w:val="21"/>
                <w:highlight w:val="none"/>
                <w:lang w:val="en-US" w:eastAsia="zh-CN"/>
              </w:rPr>
            </w:pPr>
          </w:p>
        </w:tc>
        <w:tc>
          <w:tcPr>
            <w:tcW w:w="1830" w:type="dxa"/>
            <w:noWrap w:val="0"/>
            <w:vAlign w:val="center"/>
          </w:tcPr>
          <w:p w14:paraId="7B9A5A6D">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报价（</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en-US" w:eastAsia="zh-CN"/>
              </w:rPr>
              <w:t>分）</w:t>
            </w:r>
          </w:p>
        </w:tc>
        <w:tc>
          <w:tcPr>
            <w:tcW w:w="6594" w:type="dxa"/>
            <w:noWrap w:val="0"/>
            <w:vAlign w:val="center"/>
          </w:tcPr>
          <w:p w14:paraId="23406A88">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保底收益</w:t>
            </w:r>
            <w:r>
              <w:rPr>
                <w:rFonts w:hint="eastAsia" w:ascii="宋体" w:hAnsi="宋体" w:cs="宋体"/>
                <w:color w:val="auto"/>
                <w:kern w:val="2"/>
                <w:sz w:val="21"/>
                <w:szCs w:val="21"/>
                <w:highlight w:val="none"/>
                <w:lang w:val="en-US" w:eastAsia="zh-CN"/>
              </w:rPr>
              <w:t>报价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最高价</w:t>
            </w:r>
            <w:r>
              <w:rPr>
                <w:rFonts w:hint="eastAsia" w:ascii="宋体" w:hAnsi="宋体" w:eastAsia="宋体" w:cs="宋体"/>
                <w:color w:val="auto"/>
                <w:szCs w:val="21"/>
                <w:highlight w:val="none"/>
              </w:rPr>
              <w:t>。</w:t>
            </w:r>
          </w:p>
          <w:p w14:paraId="6D5525E2">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r>
              <w:rPr>
                <w:rFonts w:hint="eastAsia" w:ascii="宋体" w:hAnsi="宋体" w:cs="宋体"/>
                <w:szCs w:val="21"/>
                <w:highlight w:val="none"/>
              </w:rPr>
              <w:t>其余供应商的价格分以下列公式计算：</w:t>
            </w:r>
          </w:p>
          <w:p w14:paraId="66770057">
            <w:pPr>
              <w:spacing w:line="360" w:lineRule="exact"/>
              <w:rPr>
                <w:rFonts w:hint="eastAsia" w:ascii="宋体" w:hAnsi="宋体" w:eastAsia="宋体" w:cs="宋体"/>
                <w:color w:val="auto"/>
                <w:szCs w:val="21"/>
                <w:highlight w:val="none"/>
              </w:rPr>
            </w:pPr>
            <w:r>
              <w:rPr>
                <w:rFonts w:hint="eastAsia" w:ascii="宋体" w:hAnsi="宋体" w:cs="宋体"/>
                <w:szCs w:val="21"/>
                <w:highlight w:val="none"/>
              </w:rPr>
              <w:t>报价得分=（</w:t>
            </w:r>
            <w:r>
              <w:rPr>
                <w:rFonts w:hint="eastAsia" w:ascii="宋体" w:hAnsi="宋体" w:cs="宋体"/>
                <w:szCs w:val="21"/>
                <w:highlight w:val="none"/>
                <w:lang w:val="en-US" w:eastAsia="zh-CN"/>
              </w:rPr>
              <w:t>投标</w:t>
            </w:r>
            <w:r>
              <w:rPr>
                <w:rFonts w:hint="eastAsia" w:ascii="宋体" w:hAnsi="宋体" w:cs="宋体"/>
                <w:szCs w:val="21"/>
                <w:highlight w:val="none"/>
              </w:rPr>
              <w:t>报价/基准价）×</w:t>
            </w:r>
            <w:r>
              <w:rPr>
                <w:rFonts w:hint="eastAsia" w:ascii="宋体" w:hAnsi="宋体" w:cs="宋体"/>
                <w:szCs w:val="21"/>
                <w:highlight w:val="none"/>
                <w:lang w:val="en-US" w:eastAsia="zh-CN"/>
              </w:rPr>
              <w:t>30%</w:t>
            </w:r>
            <w:r>
              <w:rPr>
                <w:rFonts w:hint="eastAsia" w:ascii="宋体" w:hAnsi="宋体" w:cs="宋体"/>
                <w:szCs w:val="21"/>
                <w:highlight w:val="none"/>
              </w:rPr>
              <w:t>×100</w:t>
            </w:r>
          </w:p>
        </w:tc>
      </w:tr>
      <w:tr w14:paraId="08FA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continue"/>
            <w:noWrap w:val="0"/>
            <w:vAlign w:val="center"/>
          </w:tcPr>
          <w:p w14:paraId="682A65C0">
            <w:pPr>
              <w:spacing w:line="400" w:lineRule="exact"/>
              <w:rPr>
                <w:rFonts w:hint="eastAsia" w:ascii="宋体" w:hAnsi="宋体"/>
                <w:color w:val="auto"/>
                <w:szCs w:val="21"/>
                <w:highlight w:val="none"/>
                <w:lang w:val="en-US" w:eastAsia="zh-CN"/>
              </w:rPr>
            </w:pPr>
          </w:p>
        </w:tc>
        <w:tc>
          <w:tcPr>
            <w:tcW w:w="1830" w:type="dxa"/>
            <w:noWrap w:val="0"/>
            <w:vAlign w:val="center"/>
          </w:tcPr>
          <w:p w14:paraId="74602074">
            <w:pPr>
              <w:spacing w:line="360" w:lineRule="exact"/>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超出保底部分分成（归属中标人部分）报价（15分）</w:t>
            </w:r>
          </w:p>
        </w:tc>
        <w:tc>
          <w:tcPr>
            <w:tcW w:w="6594" w:type="dxa"/>
            <w:noWrap w:val="0"/>
            <w:vAlign w:val="center"/>
          </w:tcPr>
          <w:p w14:paraId="7316DF5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ascii="宋体" w:hAnsi="宋体" w:cs="宋体"/>
                <w:color w:val="auto"/>
                <w:kern w:val="2"/>
                <w:sz w:val="21"/>
                <w:szCs w:val="21"/>
                <w:highlight w:val="none"/>
                <w:lang w:val="en-US" w:eastAsia="zh-CN"/>
              </w:rPr>
              <w:t>超出保底部分分成（归属中标人部分）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最低价</w:t>
            </w:r>
            <w:r>
              <w:rPr>
                <w:rFonts w:hint="eastAsia" w:ascii="宋体" w:hAnsi="宋体" w:eastAsia="宋体" w:cs="宋体"/>
                <w:color w:val="auto"/>
                <w:szCs w:val="21"/>
                <w:highlight w:val="none"/>
              </w:rPr>
              <w:t>。</w:t>
            </w:r>
          </w:p>
          <w:p w14:paraId="147BCA23">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cs="宋体"/>
                <w:szCs w:val="21"/>
                <w:highlight w:val="none"/>
              </w:rPr>
              <w:t>其余供应商的价格分以下列公式计算：</w:t>
            </w:r>
          </w:p>
          <w:p w14:paraId="6EE1E52A">
            <w:pPr>
              <w:spacing w:line="360" w:lineRule="exact"/>
              <w:rPr>
                <w:rFonts w:hint="eastAsia" w:ascii="宋体" w:hAnsi="宋体" w:cs="宋体"/>
                <w:szCs w:val="21"/>
                <w:highlight w:val="none"/>
              </w:rPr>
            </w:pPr>
            <w:r>
              <w:rPr>
                <w:rFonts w:hint="eastAsia" w:ascii="宋体" w:hAnsi="宋体" w:cs="宋体"/>
                <w:szCs w:val="21"/>
                <w:highlight w:val="none"/>
              </w:rPr>
              <w:t>报价得分=（基准价/</w:t>
            </w:r>
            <w:r>
              <w:rPr>
                <w:rFonts w:hint="eastAsia" w:ascii="宋体" w:hAnsi="宋体" w:cs="宋体"/>
                <w:szCs w:val="21"/>
                <w:highlight w:val="none"/>
                <w:lang w:val="en-US" w:eastAsia="zh-CN"/>
              </w:rPr>
              <w:t>投标</w:t>
            </w:r>
            <w:r>
              <w:rPr>
                <w:rFonts w:hint="eastAsia" w:ascii="宋体" w:hAnsi="宋体" w:cs="宋体"/>
                <w:szCs w:val="21"/>
                <w:highlight w:val="none"/>
              </w:rPr>
              <w:t>报价）×</w:t>
            </w:r>
            <w:r>
              <w:rPr>
                <w:rFonts w:hint="eastAsia" w:ascii="宋体" w:hAnsi="宋体" w:cs="宋体"/>
                <w:szCs w:val="21"/>
                <w:highlight w:val="none"/>
                <w:lang w:val="en-US" w:eastAsia="zh-CN"/>
              </w:rPr>
              <w:t>15%</w:t>
            </w:r>
            <w:r>
              <w:rPr>
                <w:rFonts w:hint="eastAsia" w:ascii="宋体" w:hAnsi="宋体" w:cs="宋体"/>
                <w:szCs w:val="21"/>
                <w:highlight w:val="none"/>
              </w:rPr>
              <w:t>×100</w:t>
            </w:r>
          </w:p>
        </w:tc>
      </w:tr>
    </w:tbl>
    <w:p w14:paraId="20E83688">
      <w:pPr>
        <w:spacing w:line="360" w:lineRule="auto"/>
        <w:jc w:val="left"/>
        <w:rPr>
          <w:rFonts w:ascii="宋体" w:hAnsi="宋体"/>
          <w:b/>
          <w:bCs/>
          <w:color w:val="auto"/>
          <w:szCs w:val="21"/>
          <w:highlight w:val="none"/>
        </w:rPr>
      </w:pPr>
    </w:p>
    <w:p w14:paraId="5D8CC0D3">
      <w:pPr>
        <w:tabs>
          <w:tab w:val="left" w:pos="256"/>
        </w:tabs>
        <w:bidi w:val="0"/>
        <w:jc w:val="left"/>
        <w:rPr>
          <w:rFonts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ab/>
      </w:r>
    </w:p>
    <w:p w14:paraId="5C5C5DCE">
      <w:pPr>
        <w:tabs>
          <w:tab w:val="left" w:pos="256"/>
        </w:tabs>
        <w:bidi w:val="0"/>
        <w:jc w:val="left"/>
        <w:rPr>
          <w:rFonts w:ascii="Times New Roman" w:hAnsi="Times New Roman" w:eastAsia="宋体" w:cs="Times New Roman"/>
          <w:color w:val="auto"/>
          <w:kern w:val="2"/>
          <w:sz w:val="21"/>
          <w:highlight w:val="none"/>
          <w:lang w:val="en-US" w:eastAsia="zh-CN" w:bidi="ar-SA"/>
        </w:rPr>
        <w:sectPr>
          <w:footerReference r:id="rId13" w:type="first"/>
          <w:footerReference r:id="rId12" w:type="default"/>
          <w:pgSz w:w="11907" w:h="16840"/>
          <w:pgMar w:top="1304" w:right="1588" w:bottom="1304" w:left="1588" w:header="720" w:footer="720" w:gutter="0"/>
          <w:pgNumType w:fmt="decimal"/>
          <w:cols w:space="720" w:num="1"/>
          <w:docGrid w:linePitch="285" w:charSpace="0"/>
        </w:sectPr>
      </w:pPr>
    </w:p>
    <w:p w14:paraId="32776F7B">
      <w:pPr>
        <w:snapToGrid w:val="0"/>
        <w:spacing w:line="440" w:lineRule="exact"/>
        <w:jc w:val="center"/>
        <w:rPr>
          <w:b/>
          <w:bCs/>
          <w:color w:val="auto"/>
          <w:kern w:val="44"/>
          <w:sz w:val="32"/>
          <w:szCs w:val="32"/>
          <w:highlight w:val="none"/>
        </w:rPr>
      </w:pPr>
      <w:bookmarkStart w:id="104" w:name="_Toc435088077"/>
      <w:r>
        <w:rPr>
          <w:rFonts w:hint="eastAsia"/>
          <w:b/>
          <w:bCs/>
          <w:color w:val="auto"/>
          <w:kern w:val="44"/>
          <w:sz w:val="32"/>
          <w:szCs w:val="32"/>
          <w:highlight w:val="none"/>
        </w:rPr>
        <w:t>第五部分采购内容及</w:t>
      </w:r>
      <w:bookmarkEnd w:id="12"/>
      <w:bookmarkEnd w:id="13"/>
      <w:r>
        <w:rPr>
          <w:rFonts w:hint="eastAsia"/>
          <w:b/>
          <w:bCs/>
          <w:color w:val="auto"/>
          <w:kern w:val="44"/>
          <w:sz w:val="32"/>
          <w:szCs w:val="32"/>
          <w:highlight w:val="none"/>
        </w:rPr>
        <w:t>要求</w:t>
      </w:r>
      <w:bookmarkEnd w:id="14"/>
      <w:bookmarkEnd w:id="104"/>
    </w:p>
    <w:p w14:paraId="3E611356">
      <w:pPr>
        <w:snapToGrid w:val="0"/>
        <w:spacing w:line="440" w:lineRule="exact"/>
        <w:jc w:val="center"/>
        <w:rPr>
          <w:b/>
          <w:bCs/>
          <w:color w:val="auto"/>
          <w:kern w:val="44"/>
          <w:sz w:val="32"/>
          <w:szCs w:val="32"/>
          <w:highlight w:val="none"/>
        </w:rPr>
      </w:pPr>
    </w:p>
    <w:p w14:paraId="6826C148">
      <w:pPr>
        <w:spacing w:line="360" w:lineRule="auto"/>
        <w:rPr>
          <w:rFonts w:hint="default" w:eastAsia="宋体" w:cs="宋体"/>
          <w:b/>
          <w:color w:val="auto"/>
          <w:szCs w:val="21"/>
          <w:highlight w:val="none"/>
          <w:lang w:val="en-US" w:eastAsia="zh-CN"/>
        </w:rPr>
      </w:pPr>
      <w:bookmarkStart w:id="105" w:name="_Toc29158565"/>
      <w:bookmarkStart w:id="106" w:name="_Toc435088080"/>
      <w:bookmarkStart w:id="107" w:name="_Toc97372533"/>
      <w:bookmarkStart w:id="108" w:name="_Toc263083265"/>
      <w:r>
        <w:rPr>
          <w:rFonts w:hint="eastAsia" w:cs="宋体"/>
          <w:b/>
          <w:color w:val="auto"/>
          <w:szCs w:val="21"/>
          <w:highlight w:val="none"/>
        </w:rPr>
        <w:t>一、</w:t>
      </w:r>
      <w:r>
        <w:rPr>
          <w:rFonts w:hint="eastAsia" w:cs="宋体"/>
          <w:b/>
          <w:color w:val="auto"/>
          <w:szCs w:val="21"/>
          <w:highlight w:val="none"/>
          <w:lang w:val="en-US" w:eastAsia="zh-CN"/>
        </w:rPr>
        <w:t>项目概况</w:t>
      </w:r>
    </w:p>
    <w:p w14:paraId="6C7DC98C">
      <w:pPr>
        <w:spacing w:line="360" w:lineRule="auto"/>
        <w:ind w:firstLine="420" w:firstLineChars="200"/>
        <w:rPr>
          <w:rFonts w:hint="eastAsia" w:cs="宋体"/>
          <w:b/>
          <w:color w:val="auto"/>
          <w:szCs w:val="21"/>
          <w:highlight w:val="none"/>
        </w:rPr>
      </w:pPr>
      <w:r>
        <w:rPr>
          <w:rFonts w:hint="eastAsia" w:ascii="宋体" w:hAnsi="宋体" w:eastAsia="宋体"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5%AE%81%E6%B5%B7%E4%B8%8B%E6%B4%8B%E6%B6%82&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宁海下洋涂</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位于</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4%B8%89%E9%97%A8%E6%B9%BE&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三门湾</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北部，东临</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7%99%BD%E7%A4%81%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白礁洋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，南濒</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6%BB%A1%E5%B1%B1%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满山洋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7%8C%AB%E5%A4%B4%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猫头洋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，西界</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8%83%A1%E9%99%88%E6%B8%AF&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胡陈港</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。建成的宁海县三门湾现代农业开发区下洋涂片万亩方项目，连片耕地面积达2.17万亩，系宁波市内规模最大，省内规模第二。</w:t>
      </w:r>
      <w:r>
        <w:rPr>
          <w:rFonts w:hint="default" w:ascii="Arial" w:hAnsi="Arial" w:eastAsia="Arial" w:cs="Arial"/>
          <w:i w:val="0"/>
          <w:iCs w:val="0"/>
          <w:caps w:val="0"/>
          <w:color w:val="333333"/>
          <w:spacing w:val="0"/>
          <w:sz w:val="16"/>
          <w:szCs w:val="16"/>
          <w:highlight w:val="none"/>
          <w:shd w:val="clear" w:color="auto" w:fill="FFFFFF"/>
        </w:rPr>
        <w:t>‌</w:t>
      </w:r>
    </w:p>
    <w:p w14:paraId="7847FCD1">
      <w:pPr>
        <w:spacing w:line="360" w:lineRule="auto"/>
        <w:rPr>
          <w:rFonts w:hint="default" w:eastAsia="宋体" w:cs="宋体"/>
          <w:b/>
          <w:color w:val="auto"/>
          <w:szCs w:val="21"/>
          <w:highlight w:val="none"/>
          <w:lang w:val="en-US" w:eastAsia="zh-CN"/>
        </w:rPr>
      </w:pPr>
      <w:r>
        <w:rPr>
          <w:rFonts w:hint="eastAsia" w:cs="宋体"/>
          <w:b/>
          <w:color w:val="auto"/>
          <w:szCs w:val="21"/>
          <w:highlight w:val="none"/>
        </w:rPr>
        <w:t>二、</w:t>
      </w:r>
      <w:r>
        <w:rPr>
          <w:rFonts w:hint="eastAsia" w:cs="宋体"/>
          <w:b/>
          <w:color w:val="auto"/>
          <w:szCs w:val="21"/>
          <w:highlight w:val="none"/>
          <w:lang w:val="en-US" w:eastAsia="zh-CN"/>
        </w:rPr>
        <w:t>采购内容</w:t>
      </w:r>
    </w:p>
    <w:p w14:paraId="18A8E5DA">
      <w:pPr>
        <w:spacing w:line="360" w:lineRule="auto"/>
        <w:ind w:firstLine="420" w:firstLineChars="200"/>
        <w:rPr>
          <w:rFonts w:hint="eastAsia" w:ascii="宋体" w:hAnsi="宋体" w:cs="Arial"/>
          <w:color w:val="auto"/>
          <w:kern w:val="0"/>
          <w:szCs w:val="21"/>
          <w:highlight w:val="none"/>
          <w:lang w:eastAsia="zh-CN"/>
        </w:rPr>
      </w:pPr>
      <w:r>
        <w:rPr>
          <w:rFonts w:hint="eastAsia" w:ascii="宋体" w:hAnsi="宋体" w:eastAsia="宋体" w:cs="宋体"/>
          <w:color w:val="auto"/>
          <w:kern w:val="2"/>
          <w:sz w:val="21"/>
          <w:szCs w:val="21"/>
          <w:highlight w:val="none"/>
          <w:lang w:val="en-US" w:eastAsia="zh-CN"/>
        </w:rPr>
        <w:t>西兰花种植服务，服务内容包括前作物秸秆残留清除及土地翻耕、</w:t>
      </w:r>
      <w:r>
        <w:rPr>
          <w:rFonts w:hint="eastAsia" w:ascii="宋体" w:hAnsi="宋体" w:cs="宋体"/>
          <w:color w:val="auto"/>
          <w:kern w:val="2"/>
          <w:sz w:val="21"/>
          <w:szCs w:val="21"/>
          <w:highlight w:val="none"/>
          <w:lang w:val="en-US" w:eastAsia="zh-CN"/>
        </w:rPr>
        <w:t>购种、育秧、移栽</w:t>
      </w:r>
      <w:r>
        <w:rPr>
          <w:rFonts w:hint="eastAsia" w:ascii="宋体" w:hAnsi="宋体" w:eastAsia="宋体" w:cs="宋体"/>
          <w:color w:val="auto"/>
          <w:kern w:val="2"/>
          <w:sz w:val="21"/>
          <w:szCs w:val="21"/>
          <w:highlight w:val="none"/>
          <w:lang w:val="en-US" w:eastAsia="zh-CN"/>
        </w:rPr>
        <w:t>、施肥</w:t>
      </w:r>
      <w:r>
        <w:rPr>
          <w:rFonts w:hint="eastAsia" w:ascii="宋体" w:hAnsi="宋体" w:cs="宋体"/>
          <w:color w:val="auto"/>
          <w:kern w:val="2"/>
          <w:sz w:val="21"/>
          <w:szCs w:val="21"/>
          <w:highlight w:val="none"/>
          <w:lang w:val="en-US" w:eastAsia="zh-CN"/>
        </w:rPr>
        <w:t>（含化肥）</w:t>
      </w:r>
      <w:r>
        <w:rPr>
          <w:rFonts w:hint="eastAsia" w:ascii="宋体" w:hAnsi="宋体" w:eastAsia="宋体" w:cs="宋体"/>
          <w:color w:val="auto"/>
          <w:kern w:val="2"/>
          <w:sz w:val="21"/>
          <w:szCs w:val="21"/>
          <w:highlight w:val="none"/>
          <w:lang w:val="en-US" w:eastAsia="zh-CN"/>
        </w:rPr>
        <w:t>、除草、病虫害防治、田间管理、收割、</w:t>
      </w:r>
      <w:r>
        <w:rPr>
          <w:rFonts w:hint="eastAsia" w:ascii="宋体" w:hAnsi="宋体" w:cs="宋体"/>
          <w:color w:val="auto"/>
          <w:kern w:val="2"/>
          <w:sz w:val="21"/>
          <w:szCs w:val="21"/>
          <w:highlight w:val="none"/>
          <w:lang w:val="en-US" w:eastAsia="zh-CN"/>
        </w:rPr>
        <w:t>包装（含包装材料）</w:t>
      </w:r>
      <w:r>
        <w:rPr>
          <w:rFonts w:hint="eastAsia" w:ascii="宋体" w:hAnsi="宋体" w:eastAsia="宋体" w:cs="宋体"/>
          <w:color w:val="auto"/>
          <w:kern w:val="2"/>
          <w:sz w:val="21"/>
          <w:szCs w:val="21"/>
          <w:highlight w:val="none"/>
          <w:lang w:val="en-US" w:eastAsia="zh-CN"/>
        </w:rPr>
        <w:t>、销售等</w:t>
      </w:r>
      <w:r>
        <w:rPr>
          <w:rFonts w:hint="eastAsia" w:ascii="宋体" w:hAnsi="宋体" w:cs="Arial"/>
          <w:color w:val="auto"/>
          <w:kern w:val="0"/>
          <w:szCs w:val="21"/>
          <w:highlight w:val="none"/>
          <w:lang w:eastAsia="zh-CN"/>
        </w:rPr>
        <w:t>。</w:t>
      </w:r>
    </w:p>
    <w:p w14:paraId="781CA117">
      <w:pPr>
        <w:spacing w:line="360" w:lineRule="auto"/>
        <w:rPr>
          <w:rFonts w:hint="default" w:ascii="Times New Roman" w:hAnsi="Times New Roman" w:eastAsia="宋体" w:cs="宋体"/>
          <w:b/>
          <w:color w:val="auto"/>
          <w:szCs w:val="21"/>
          <w:highlight w:val="none"/>
          <w:lang w:val="en-US" w:eastAsia="zh-CN"/>
        </w:rPr>
      </w:pPr>
      <w:r>
        <w:rPr>
          <w:rFonts w:hint="eastAsia" w:ascii="Times New Roman" w:hAnsi="Times New Roman" w:eastAsia="宋体" w:cs="宋体"/>
          <w:b/>
          <w:color w:val="auto"/>
          <w:szCs w:val="21"/>
          <w:highlight w:val="none"/>
          <w:lang w:val="en-US" w:eastAsia="zh-CN"/>
        </w:rPr>
        <w:t>三、采购要求</w:t>
      </w:r>
    </w:p>
    <w:p w14:paraId="3BA2211E">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Cs w:val="24"/>
          <w:highlight w:val="none"/>
        </w:rPr>
        <w:t>1、服务期限：</w:t>
      </w: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eastAsia="宋体" w:cs="宋体"/>
          <w:color w:val="auto"/>
          <w:kern w:val="2"/>
          <w:sz w:val="21"/>
          <w:szCs w:val="21"/>
          <w:highlight w:val="none"/>
          <w:lang w:val="en-US" w:eastAsia="zh-CN"/>
        </w:rPr>
        <w:t>。</w:t>
      </w:r>
    </w:p>
    <w:p w14:paraId="4FB02A15">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szCs w:val="21"/>
          <w:highlight w:val="none"/>
          <w:lang w:eastAsia="zh-CN"/>
        </w:rPr>
        <w:t>★</w:t>
      </w:r>
      <w:r>
        <w:rPr>
          <w:rFonts w:hint="eastAsia" w:ascii="宋体" w:hAnsi="宋体" w:eastAsia="宋体" w:cs="宋体"/>
          <w:color w:val="auto"/>
          <w:kern w:val="2"/>
          <w:szCs w:val="24"/>
          <w:highlight w:val="none"/>
        </w:rPr>
        <w:t>2、</w:t>
      </w:r>
      <w:r>
        <w:rPr>
          <w:rFonts w:hint="eastAsia" w:ascii="宋体" w:hAnsi="宋体" w:eastAsia="宋体" w:cs="宋体"/>
          <w:color w:val="auto"/>
          <w:kern w:val="2"/>
          <w:sz w:val="21"/>
          <w:szCs w:val="21"/>
          <w:highlight w:val="none"/>
          <w:lang w:val="en-US" w:eastAsia="zh-CN"/>
        </w:rPr>
        <w:t>每亩保底收益要求：</w:t>
      </w:r>
    </w:p>
    <w:p w14:paraId="0B1540C1">
      <w:pPr>
        <w:widowControl w:val="0"/>
        <w:adjustRightInd/>
        <w:snapToGrid/>
        <w:spacing w:after="0" w:line="360" w:lineRule="auto"/>
        <w:ind w:firstLine="420" w:firstLineChars="200"/>
        <w:jc w:val="both"/>
        <w:rPr>
          <w:rFonts w:hint="eastAsia" w:ascii="宋体" w:hAnsi="宋体" w:eastAsia="宋体" w:cs="宋体"/>
          <w:color w:val="auto"/>
          <w:kern w:val="2"/>
          <w:sz w:val="22"/>
          <w:szCs w:val="24"/>
          <w:highlight w:val="none"/>
          <w:lang w:val="en-US" w:eastAsia="zh-CN"/>
        </w:rPr>
      </w:pPr>
      <w:r>
        <w:rPr>
          <w:rFonts w:hint="eastAsia" w:ascii="宋体" w:hAnsi="宋体" w:cs="宋体"/>
          <w:color w:val="auto"/>
          <w:kern w:val="2"/>
          <w:sz w:val="21"/>
          <w:szCs w:val="21"/>
          <w:highlight w:val="none"/>
          <w:lang w:val="en-US" w:eastAsia="zh-CN"/>
        </w:rPr>
        <w:t>保底收益=中标人保底收益投标报价</w:t>
      </w:r>
      <w:r>
        <w:rPr>
          <w:rFonts w:hint="eastAsia" w:ascii="宋体" w:hAnsi="宋体" w:eastAsia="宋体" w:cs="宋体"/>
          <w:color w:val="auto"/>
          <w:kern w:val="2"/>
          <w:sz w:val="21"/>
          <w:szCs w:val="21"/>
          <w:highlight w:val="none"/>
          <w:lang w:val="en-US" w:eastAsia="zh-CN"/>
        </w:rPr>
        <w:t>。如最终达不到保底收益要求，差额部分由中标人承担、补足。如最终超出上述保底收益要求，超出部分由采购人和中标人分成，分成比例按中标人的中标比例执行。</w:t>
      </w:r>
    </w:p>
    <w:p w14:paraId="66CF72C2">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★3、服务费支付方式：</w:t>
      </w:r>
    </w:p>
    <w:p w14:paraId="79C0FDE3">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3.1</w:t>
      </w:r>
      <w:r>
        <w:rPr>
          <w:rFonts w:hint="eastAsia"/>
          <w:color w:val="auto"/>
          <w:szCs w:val="24"/>
          <w:highlight w:val="none"/>
          <w:lang w:val="en-US" w:eastAsia="zh-CN"/>
        </w:rPr>
        <w:t>如中标人缴纳履约风险金的：合同签订并收到履约风险金后7个工作日内支付合同服务费总金额的10%；移栽验收完成后7个工作日内支付合同服务费总金额的10%；完成保底收益50%，采购人收到货款后7个工作日内支付合同服务费总金额的20%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3BA20D31">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3.2如中标人缴纳保底收益的：</w:t>
      </w:r>
    </w:p>
    <w:p w14:paraId="31E3BFB5">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ascii="宋体" w:hAnsi="宋体" w:cs="宋体"/>
          <w:color w:val="auto"/>
          <w:kern w:val="2"/>
          <w:sz w:val="21"/>
          <w:szCs w:val="21"/>
          <w:highlight w:val="none"/>
          <w:lang w:val="en-US" w:eastAsia="zh-CN"/>
        </w:rPr>
        <w:t>3.</w:t>
      </w:r>
      <w:r>
        <w:rPr>
          <w:rFonts w:hint="eastAsia"/>
          <w:color w:val="auto"/>
          <w:szCs w:val="24"/>
          <w:highlight w:val="none"/>
          <w:lang w:val="en-US" w:eastAsia="zh-CN"/>
        </w:rPr>
        <w:t>2.1保底收益缴纳额度为25%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7A5B6C41">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color w:val="auto"/>
          <w:szCs w:val="24"/>
          <w:highlight w:val="none"/>
          <w:lang w:val="en-US" w:eastAsia="zh-CN"/>
        </w:rPr>
        <w:t>3.2.2保底收益缴纳额度为50%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76D7FE53">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color w:val="auto"/>
          <w:szCs w:val="24"/>
          <w:highlight w:val="none"/>
          <w:lang w:val="en-US" w:eastAsia="zh-CN"/>
        </w:rPr>
        <w:t>3.2.3保底收益缴纳额度为75%的：合同签订并收到保底收益后7个工作日内支付合同服务费总金额的25%；移栽验收完成后7个工作日内支付合同服务费总金额的25%；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5C2F30DE">
      <w:pPr>
        <w:widowControl w:val="0"/>
        <w:adjustRightInd/>
        <w:snapToGrid/>
        <w:spacing w:after="0" w:line="360" w:lineRule="auto"/>
        <w:ind w:firstLine="420" w:firstLineChars="200"/>
        <w:jc w:val="both"/>
        <w:rPr>
          <w:rFonts w:hint="default"/>
          <w:color w:val="auto"/>
          <w:szCs w:val="24"/>
          <w:highlight w:val="none"/>
          <w:lang w:val="en-US" w:eastAsia="zh-CN"/>
        </w:rPr>
      </w:pPr>
      <w:r>
        <w:rPr>
          <w:rFonts w:hint="eastAsia"/>
          <w:color w:val="auto"/>
          <w:szCs w:val="24"/>
          <w:highlight w:val="none"/>
          <w:lang w:val="en-US" w:eastAsia="zh-CN"/>
        </w:rPr>
        <w:t>3.2.4保底收益缴纳额度为100%的：合同签订并收到保底收益后7个工作日内支付合同服务费总金额的30%；移栽验收完成后7个工作日内支付合同服务费总金额的30%；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2209E75C">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3.4截止2026</w:t>
      </w:r>
      <w:r>
        <w:rPr>
          <w:rFonts w:hint="eastAsia" w:ascii="宋体" w:hAnsi="宋体" w:eastAsia="宋体" w:cs="宋体"/>
          <w:color w:val="auto"/>
          <w:kern w:val="2"/>
          <w:sz w:val="21"/>
          <w:szCs w:val="21"/>
          <w:highlight w:val="none"/>
          <w:lang w:val="en-US" w:eastAsia="zh-CN"/>
        </w:rPr>
        <w:t>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采购人账户入账为准，如最终总收入（含税）未达到中标人最低收益投标报价的，不足部分首先在未支付的服务中扣除，扣除后不足的在履约风险金中扣除，履约风险金扣除后仍不足的，需现金补足，在采购人发出通知后7个工作日内一次性支付至采购人</w:t>
      </w:r>
      <w:r>
        <w:rPr>
          <w:rFonts w:hint="eastAsia" w:ascii="宋体" w:hAnsi="宋体" w:cs="宋体"/>
          <w:color w:val="auto"/>
          <w:kern w:val="2"/>
          <w:sz w:val="21"/>
          <w:szCs w:val="21"/>
          <w:highlight w:val="none"/>
          <w:lang w:val="en-US" w:eastAsia="zh-CN"/>
        </w:rPr>
        <w:t>指定账户</w:t>
      </w:r>
      <w:r>
        <w:rPr>
          <w:rFonts w:hint="eastAsia" w:ascii="宋体" w:hAnsi="宋体" w:eastAsia="宋体" w:cs="宋体"/>
          <w:color w:val="auto"/>
          <w:kern w:val="2"/>
          <w:sz w:val="21"/>
          <w:szCs w:val="21"/>
          <w:highlight w:val="none"/>
          <w:lang w:val="en-US" w:eastAsia="zh-CN"/>
        </w:rPr>
        <w:t>。</w:t>
      </w:r>
    </w:p>
    <w:p w14:paraId="61B468D6">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，以采购人账户入账为准，如最终总收入（含税）超过中标人最低收益投标报价的，采购人收到全部货款后7个工作日内按中标人的中标比例计算，将属于中标人部分的分成一次性支付给中标人。</w:t>
      </w:r>
    </w:p>
    <w:p w14:paraId="7E8DF392">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3.6</w:t>
      </w:r>
      <w:r>
        <w:rPr>
          <w:rFonts w:hint="eastAsia" w:ascii="宋体" w:hAnsi="宋体" w:eastAsia="宋体" w:cs="宋体"/>
          <w:color w:val="auto"/>
          <w:kern w:val="2"/>
          <w:sz w:val="21"/>
          <w:szCs w:val="21"/>
          <w:highlight w:val="none"/>
          <w:lang w:val="en-US" w:eastAsia="zh-CN"/>
        </w:rPr>
        <w:t>每笔款项支付前中标人须向采购人开具支付金额等额的正规发票。</w:t>
      </w:r>
    </w:p>
    <w:p w14:paraId="774D5981">
      <w:pPr>
        <w:widowControl w:val="0"/>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3.7本项目中的收入、保底收益均为含税价格。</w:t>
      </w:r>
    </w:p>
    <w:p w14:paraId="38DE9448">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履约风险金的退回：在全部作物收割、出售完毕，采购人收到全部货款后7个工作日内，根据每亩保底收益考核情况一次性退还，履约保证金不计利息。</w:t>
      </w:r>
    </w:p>
    <w:p w14:paraId="0A66FB4E">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保底收益的退回：</w:t>
      </w:r>
    </w:p>
    <w:p w14:paraId="60BD6E24">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1.保底收益缴纳额度为25%：在全部作物收割、出售完毕，采购人收到全部货款后7个工作日内，根据每亩保底收益考核情况一次性退还，保底收益不计利息。</w:t>
      </w:r>
    </w:p>
    <w:p w14:paraId="1DCF82F6">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2.保底收益缴纳额度为50%或75%或100%的：完成保底收益50%，甲方收到货款后7个工作日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退还供应商已交保底收益总金额的50%；完成保底收益75%，甲方收到货款后7个工作日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退还供应商已交保底收益总金额的25%；剩余保底收益总金额于全部作物收割、出售完毕，甲方收到全部货款后7个工作日内根据保底收益达成情况同比例退还。</w:t>
      </w:r>
    </w:p>
    <w:p w14:paraId="24B15904">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rPr>
      </w:pP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Cs w:val="24"/>
          <w:highlight w:val="none"/>
        </w:rPr>
        <w:t>中标人所中</w:t>
      </w:r>
      <w:r>
        <w:rPr>
          <w:rFonts w:hint="eastAsia" w:ascii="宋体" w:hAnsi="宋体" w:eastAsia="宋体" w:cs="宋体"/>
          <w:color w:val="auto"/>
          <w:kern w:val="2"/>
          <w:szCs w:val="24"/>
          <w:highlight w:val="none"/>
          <w:lang w:eastAsia="zh-Hans"/>
        </w:rPr>
        <w:t>项目中的</w:t>
      </w:r>
      <w:r>
        <w:rPr>
          <w:rFonts w:hint="eastAsia" w:ascii="宋体" w:hAnsi="宋体" w:eastAsia="宋体" w:cs="宋体"/>
          <w:color w:val="auto"/>
          <w:kern w:val="2"/>
          <w:szCs w:val="24"/>
          <w:highlight w:val="none"/>
        </w:rPr>
        <w:t>田间道路、渠道、挡墙等</w:t>
      </w:r>
      <w:r>
        <w:rPr>
          <w:rFonts w:hint="eastAsia" w:ascii="宋体" w:hAnsi="宋体" w:eastAsia="宋体" w:cs="宋体"/>
          <w:color w:val="auto"/>
          <w:kern w:val="2"/>
          <w:szCs w:val="24"/>
          <w:highlight w:val="none"/>
          <w:lang w:eastAsia="zh-Hans"/>
        </w:rPr>
        <w:t>设施如</w:t>
      </w:r>
      <w:r>
        <w:rPr>
          <w:rFonts w:hint="eastAsia" w:ascii="宋体" w:hAnsi="宋体" w:eastAsia="宋体" w:cs="宋体"/>
          <w:color w:val="auto"/>
          <w:kern w:val="2"/>
          <w:szCs w:val="24"/>
          <w:highlight w:val="none"/>
        </w:rPr>
        <w:t>因不可抗力有损毁的由中标人负责</w:t>
      </w:r>
    </w:p>
    <w:p w14:paraId="52682443">
      <w:pPr>
        <w:widowControl w:val="0"/>
        <w:numPr>
          <w:ilvl w:val="0"/>
          <w:numId w:val="0"/>
        </w:numPr>
        <w:tabs>
          <w:tab w:val="left" w:pos="420"/>
        </w:tabs>
        <w:adjustRightInd/>
        <w:snapToGrid/>
        <w:spacing w:after="0" w:line="360" w:lineRule="auto"/>
        <w:jc w:val="both"/>
        <w:rPr>
          <w:rFonts w:hint="eastAsia" w:ascii="宋体" w:hAnsi="宋体" w:eastAsia="宋体" w:cs="宋体"/>
          <w:color w:val="auto"/>
          <w:kern w:val="2"/>
          <w:szCs w:val="24"/>
          <w:highlight w:val="none"/>
          <w:lang w:eastAsia="zh-Hans"/>
        </w:rPr>
      </w:pPr>
      <w:r>
        <w:rPr>
          <w:rFonts w:hint="eastAsia" w:ascii="宋体" w:hAnsi="宋体" w:eastAsia="宋体" w:cs="宋体"/>
          <w:color w:val="auto"/>
          <w:kern w:val="2"/>
          <w:szCs w:val="24"/>
          <w:highlight w:val="none"/>
        </w:rPr>
        <w:t>修复，</w:t>
      </w:r>
      <w:r>
        <w:rPr>
          <w:rFonts w:hint="eastAsia" w:ascii="宋体" w:hAnsi="宋体" w:eastAsia="宋体" w:cs="宋体"/>
          <w:color w:val="auto"/>
          <w:kern w:val="2"/>
          <w:szCs w:val="24"/>
          <w:highlight w:val="none"/>
          <w:lang w:eastAsia="zh-Hans"/>
        </w:rPr>
        <w:t>经审计后，由</w:t>
      </w:r>
      <w:r>
        <w:rPr>
          <w:rFonts w:hint="eastAsia" w:ascii="宋体" w:hAnsi="宋体" w:eastAsia="宋体" w:cs="宋体"/>
          <w:color w:val="auto"/>
          <w:kern w:val="2"/>
          <w:szCs w:val="24"/>
          <w:highlight w:val="none"/>
          <w:lang w:val="en-US" w:eastAsia="zh-CN"/>
        </w:rPr>
        <w:t>采购人</w:t>
      </w:r>
      <w:r>
        <w:rPr>
          <w:rFonts w:hint="eastAsia" w:ascii="宋体" w:hAnsi="宋体" w:eastAsia="宋体" w:cs="宋体"/>
          <w:color w:val="auto"/>
          <w:kern w:val="2"/>
          <w:szCs w:val="24"/>
          <w:highlight w:val="none"/>
          <w:lang w:eastAsia="zh-Hans"/>
        </w:rPr>
        <w:t>按照审计价支付给中标人，种植期间未考虑到的种植设施由双方协调处理。</w:t>
      </w:r>
    </w:p>
    <w:p w14:paraId="7315B4CB">
      <w:pPr>
        <w:widowControl w:val="0"/>
        <w:numPr>
          <w:ilvl w:val="0"/>
          <w:numId w:val="3"/>
        </w:numPr>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合同履约期间，中标人种植区域内有采购人或其他国有企业、行政机关、事业单位的工程进行施工的，中标人须无条件配合。</w:t>
      </w:r>
    </w:p>
    <w:p w14:paraId="0A996B99">
      <w:pPr>
        <w:widowControl w:val="0"/>
        <w:numPr>
          <w:ilvl w:val="0"/>
          <w:numId w:val="3"/>
        </w:numPr>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Hans"/>
        </w:rPr>
      </w:pPr>
      <w:r>
        <w:rPr>
          <w:rFonts w:hint="eastAsia" w:ascii="宋体" w:hAnsi="宋体" w:cs="宋体"/>
          <w:color w:val="auto"/>
          <w:kern w:val="2"/>
          <w:sz w:val="21"/>
          <w:szCs w:val="21"/>
          <w:highlight w:val="none"/>
          <w:lang w:val="en-US" w:eastAsia="zh-CN"/>
        </w:rPr>
        <w:t>关于生产资料和农事服务：采购人有优良种子、配方肥的，中标人应优先采用；采购人有销售渠道的，在同等情况下应优先采用采购人提供的渠道销售。</w:t>
      </w:r>
    </w:p>
    <w:p w14:paraId="4F702EEA">
      <w:pPr>
        <w:widowControl w:val="0"/>
        <w:numPr>
          <w:ilvl w:val="0"/>
          <w:numId w:val="3"/>
        </w:numPr>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Hans"/>
        </w:rPr>
        <w:sectPr>
          <w:pgSz w:w="11907" w:h="16840"/>
          <w:pgMar w:top="1134" w:right="1474" w:bottom="1134" w:left="1474" w:header="709" w:footer="1134" w:gutter="0"/>
          <w:pgBorders>
            <w:top w:val="none" w:sz="0" w:space="0"/>
            <w:left w:val="none" w:sz="0" w:space="0"/>
            <w:bottom w:val="none" w:sz="0" w:space="0"/>
            <w:right w:val="none" w:sz="0" w:space="0"/>
          </w:pgBorders>
          <w:pgNumType w:fmt="decimal"/>
          <w:cols w:space="720" w:num="1"/>
          <w:docGrid w:linePitch="285" w:charSpace="0"/>
        </w:sectPr>
      </w:pPr>
      <w:r>
        <w:rPr>
          <w:rFonts w:hint="eastAsia" w:ascii="宋体" w:hAnsi="宋体" w:cs="宋体"/>
          <w:color w:val="auto"/>
          <w:kern w:val="2"/>
          <w:sz w:val="21"/>
          <w:szCs w:val="21"/>
          <w:highlight w:val="none"/>
          <w:lang w:val="en-US" w:eastAsia="zh-CN"/>
        </w:rPr>
        <w:t>销售时，中标人应做好每日台账，台账内容需至少包括时间、重量、价格，台账需每日上报采购人</w:t>
      </w:r>
      <w:r>
        <w:rPr>
          <w:rFonts w:hint="eastAsia" w:ascii="宋体" w:hAnsi="宋体"/>
          <w:color w:val="auto"/>
          <w:szCs w:val="21"/>
          <w:highlight w:val="none"/>
          <w:lang w:val="en-US" w:eastAsia="zh-CN"/>
        </w:rPr>
        <w:t>并接受采购人监管</w:t>
      </w:r>
      <w:r>
        <w:rPr>
          <w:rFonts w:hint="eastAsia" w:ascii="宋体" w:hAnsi="宋体" w:cs="宋体"/>
          <w:color w:val="auto"/>
          <w:kern w:val="2"/>
          <w:sz w:val="21"/>
          <w:szCs w:val="21"/>
          <w:highlight w:val="none"/>
          <w:lang w:val="en-US" w:eastAsia="zh-CN"/>
        </w:rPr>
        <w:t>。</w:t>
      </w:r>
    </w:p>
    <w:p w14:paraId="4CBF8674">
      <w:pPr>
        <w:rPr>
          <w:color w:val="auto"/>
          <w:kern w:val="44"/>
          <w:highlight w:val="none"/>
        </w:rPr>
      </w:pPr>
    </w:p>
    <w:p w14:paraId="5E8A9980">
      <w:pPr>
        <w:pStyle w:val="41"/>
        <w:spacing w:after="240"/>
        <w:rPr>
          <w:rFonts w:ascii="Times New Roman" w:hAnsi="Times New Roman"/>
          <w:color w:val="auto"/>
          <w:kern w:val="44"/>
          <w:highlight w:val="none"/>
        </w:rPr>
      </w:pPr>
      <w:r>
        <w:rPr>
          <w:rFonts w:ascii="Times New Roman" w:hAnsi="Times New Roman"/>
          <w:color w:val="auto"/>
          <w:kern w:val="44"/>
          <w:highlight w:val="none"/>
        </w:rPr>
        <w:t>第</w:t>
      </w:r>
      <w:r>
        <w:rPr>
          <w:rFonts w:hint="eastAsia" w:ascii="Times New Roman" w:hAnsi="Times New Roman"/>
          <w:color w:val="auto"/>
          <w:kern w:val="44"/>
          <w:highlight w:val="none"/>
        </w:rPr>
        <w:t>六</w:t>
      </w:r>
      <w:r>
        <w:rPr>
          <w:rFonts w:ascii="Times New Roman" w:hAnsi="Times New Roman"/>
          <w:color w:val="auto"/>
          <w:kern w:val="44"/>
          <w:highlight w:val="none"/>
        </w:rPr>
        <w:t>部分拟签订的合同</w:t>
      </w:r>
    </w:p>
    <w:bookmarkEnd w:id="105"/>
    <w:bookmarkEnd w:id="106"/>
    <w:bookmarkEnd w:id="107"/>
    <w:bookmarkEnd w:id="108"/>
    <w:p w14:paraId="349F04EC">
      <w:pPr>
        <w:pStyle w:val="18"/>
        <w:tabs>
          <w:tab w:val="left" w:pos="426"/>
        </w:tabs>
        <w:spacing w:after="120" w:line="420" w:lineRule="exact"/>
        <w:ind w:firstLine="0"/>
        <w:jc w:val="center"/>
        <w:rPr>
          <w:rFonts w:hint="eastAsia" w:eastAsia="宋体"/>
          <w:color w:val="auto"/>
          <w:sz w:val="21"/>
          <w:szCs w:val="28"/>
          <w:highlight w:val="none"/>
        </w:rPr>
      </w:pPr>
      <w:bookmarkStart w:id="109" w:name="_Toc435088081"/>
      <w:r>
        <w:rPr>
          <w:rFonts w:hint="eastAsia" w:eastAsia="宋体"/>
          <w:color w:val="auto"/>
          <w:sz w:val="21"/>
          <w:szCs w:val="28"/>
          <w:highlight w:val="none"/>
        </w:rPr>
        <w:t>（本合同仅供参考，最终合同以采购人与中标人签订的合同为准）</w:t>
      </w:r>
    </w:p>
    <w:p w14:paraId="039B27A9">
      <w:pPr>
        <w:adjustRightInd w:val="0"/>
        <w:snapToGrid w:val="0"/>
        <w:spacing w:line="276" w:lineRule="auto"/>
        <w:rPr>
          <w:rFonts w:hint="eastAsia" w:cs="宋体"/>
          <w:b/>
          <w:color w:val="auto"/>
          <w:szCs w:val="21"/>
          <w:highlight w:val="none"/>
        </w:rPr>
      </w:pPr>
    </w:p>
    <w:p w14:paraId="7B0228F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项目编号：</w:t>
      </w:r>
    </w:p>
    <w:p w14:paraId="2FC8F086">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（以下简称甲方）</w:t>
      </w:r>
    </w:p>
    <w:p w14:paraId="516651E4">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203D6F1B">
      <w:pPr>
        <w:widowControl w:val="0"/>
        <w:adjustRightInd/>
        <w:snapToGrid/>
        <w:spacing w:after="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（以下简称乙方）</w:t>
      </w:r>
    </w:p>
    <w:p w14:paraId="38C4DFFF">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3A49AAA0">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依照《中华人民共和国民法典》及其它有关法律、法规，遵循平等、自愿、公平和诚实信用的原则，双方就</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事宜协商一致，订立本合同。</w:t>
      </w:r>
    </w:p>
    <w:p w14:paraId="18735414">
      <w:pPr>
        <w:widowControl w:val="0"/>
        <w:autoSpaceDE w:val="0"/>
        <w:autoSpaceDN w:val="0"/>
        <w:spacing w:after="0" w:line="360" w:lineRule="auto"/>
        <w:jc w:val="both"/>
        <w:textAlignment w:val="bottom"/>
        <w:outlineLvl w:val="1"/>
        <w:rPr>
          <w:rFonts w:hint="default" w:ascii="宋体" w:hAnsi="宋体" w:eastAsia="宋体" w:cs="宋体"/>
          <w:b/>
          <w:color w:val="auto"/>
          <w:sz w:val="21"/>
          <w:szCs w:val="21"/>
          <w:highlight w:val="none"/>
          <w:lang w:val="en-US" w:eastAsia="zh-CN"/>
        </w:rPr>
      </w:pPr>
      <w:bookmarkStart w:id="110" w:name="_Toc486510810"/>
      <w:bookmarkStart w:id="111" w:name="_Toc7861"/>
      <w:bookmarkStart w:id="112" w:name="_Toc485972561"/>
      <w:r>
        <w:rPr>
          <w:rFonts w:hint="eastAsia" w:ascii="宋体" w:hAnsi="宋体" w:eastAsia="宋体" w:cs="宋体"/>
          <w:b/>
          <w:color w:val="auto"/>
          <w:sz w:val="21"/>
          <w:szCs w:val="21"/>
          <w:highlight w:val="none"/>
        </w:rPr>
        <w:t>一、</w:t>
      </w:r>
      <w:bookmarkEnd w:id="110"/>
      <w:bookmarkEnd w:id="111"/>
      <w:bookmarkEnd w:id="112"/>
      <w:r>
        <w:rPr>
          <w:rFonts w:hint="eastAsia" w:ascii="宋体" w:hAnsi="宋体" w:eastAsia="宋体" w:cs="宋体"/>
          <w:b/>
          <w:color w:val="auto"/>
          <w:sz w:val="21"/>
          <w:szCs w:val="21"/>
          <w:highlight w:val="none"/>
          <w:lang w:val="en-US" w:eastAsia="zh-CN"/>
        </w:rPr>
        <w:t>项目概况</w:t>
      </w:r>
    </w:p>
    <w:p w14:paraId="61C9E02E">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1、项目名称：</w:t>
      </w:r>
      <w:r>
        <w:rPr>
          <w:rFonts w:hint="eastAsia" w:ascii="宋体" w:hAnsi="宋体" w:cs="宋体"/>
          <w:color w:val="auto"/>
          <w:kern w:val="2"/>
          <w:sz w:val="21"/>
          <w:szCs w:val="21"/>
          <w:highlight w:val="none"/>
          <w:u w:val="single"/>
          <w:lang w:val="en-US" w:eastAsia="zh-CN"/>
        </w:rPr>
        <w:t>2025年度宁海县下洋涂区域联农共富项目（三号、八号地块）</w:t>
      </w:r>
      <w:r>
        <w:rPr>
          <w:rFonts w:hint="eastAsia" w:ascii="宋体" w:hAnsi="宋体" w:eastAsia="宋体" w:cs="宋体"/>
          <w:color w:val="auto"/>
          <w:kern w:val="2"/>
          <w:sz w:val="21"/>
          <w:szCs w:val="21"/>
          <w:highlight w:val="none"/>
          <w:u w:val="single"/>
          <w:lang w:val="en-US" w:eastAsia="zh-CN"/>
        </w:rPr>
        <w:t>标项 。</w:t>
      </w:r>
    </w:p>
    <w:p w14:paraId="4D41069D">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2、项目地点：</w:t>
      </w:r>
      <w:r>
        <w:rPr>
          <w:rFonts w:hint="eastAsia" w:ascii="宋体" w:hAnsi="宋体" w:eastAsia="宋体" w:cs="宋体"/>
          <w:color w:val="auto"/>
          <w:kern w:val="2"/>
          <w:sz w:val="21"/>
          <w:szCs w:val="21"/>
          <w:highlight w:val="none"/>
          <w:u w:val="single"/>
          <w:lang w:val="en-US" w:eastAsia="zh-CN"/>
        </w:rPr>
        <w:t>宁海县下洋涂    地块     区域</w:t>
      </w:r>
    </w:p>
    <w:p w14:paraId="4A0DA12B">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3、项目内容：</w:t>
      </w:r>
      <w:r>
        <w:rPr>
          <w:rFonts w:hint="eastAsia" w:ascii="宋体" w:hAnsi="宋体" w:eastAsia="宋体" w:cs="宋体"/>
          <w:color w:val="auto"/>
          <w:kern w:val="2"/>
          <w:sz w:val="21"/>
          <w:szCs w:val="21"/>
          <w:highlight w:val="none"/>
          <w:u w:val="single"/>
          <w:lang w:val="en-US" w:eastAsia="zh-CN"/>
        </w:rPr>
        <w:t xml:space="preserve">西兰花种植 </w:t>
      </w:r>
      <w:r>
        <w:rPr>
          <w:rFonts w:hint="eastAsia" w:ascii="宋体" w:hAnsi="宋体" w:eastAsia="宋体" w:cs="宋体"/>
          <w:color w:val="auto"/>
          <w:kern w:val="2"/>
          <w:sz w:val="21"/>
          <w:szCs w:val="21"/>
          <w:highlight w:val="none"/>
        </w:rPr>
        <w:t>。</w:t>
      </w:r>
    </w:p>
    <w:p w14:paraId="0ED79805">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4、种植面积</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亩</w:t>
      </w:r>
      <w:r>
        <w:rPr>
          <w:rFonts w:hint="eastAsia" w:ascii="宋体" w:hAnsi="宋体" w:eastAsia="宋体" w:cs="宋体"/>
          <w:color w:val="auto"/>
          <w:kern w:val="2"/>
          <w:sz w:val="21"/>
          <w:szCs w:val="21"/>
          <w:highlight w:val="none"/>
        </w:rPr>
        <w:t>。</w:t>
      </w:r>
    </w:p>
    <w:p w14:paraId="51F75B43">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13" w:name="_Toc485972562"/>
      <w:bookmarkStart w:id="114" w:name="_Toc3977"/>
      <w:bookmarkStart w:id="115" w:name="_Toc486510811"/>
      <w:r>
        <w:rPr>
          <w:rFonts w:hint="eastAsia" w:ascii="宋体" w:hAnsi="宋体" w:eastAsia="宋体" w:cs="宋体"/>
          <w:b/>
          <w:color w:val="auto"/>
          <w:sz w:val="21"/>
          <w:szCs w:val="21"/>
          <w:highlight w:val="none"/>
        </w:rPr>
        <w:t>二、合同范围</w:t>
      </w:r>
      <w:bookmarkEnd w:id="113"/>
      <w:bookmarkEnd w:id="114"/>
      <w:bookmarkEnd w:id="115"/>
      <w:r>
        <w:rPr>
          <w:rFonts w:hint="eastAsia" w:ascii="宋体" w:hAnsi="宋体" w:eastAsia="宋体" w:cs="宋体"/>
          <w:b/>
          <w:color w:val="auto"/>
          <w:sz w:val="21"/>
          <w:szCs w:val="21"/>
          <w:highlight w:val="none"/>
        </w:rPr>
        <w:t xml:space="preserve">  </w:t>
      </w:r>
    </w:p>
    <w:p w14:paraId="0B9C7096">
      <w:pPr>
        <w:widowControl w:val="0"/>
        <w:adjustRightInd/>
        <w:snapToGrid/>
        <w:spacing w:after="0" w:line="360" w:lineRule="auto"/>
        <w:ind w:firstLine="420" w:firstLineChars="200"/>
        <w:jc w:val="both"/>
        <w:rPr>
          <w:rFonts w:hint="eastAsia" w:ascii="宋体" w:hAnsi="宋体" w:eastAsia="宋体" w:cs="宋体"/>
          <w:b/>
          <w:color w:val="auto"/>
          <w:sz w:val="21"/>
          <w:szCs w:val="21"/>
          <w:highlight w:val="none"/>
        </w:rPr>
      </w:pPr>
      <w:bookmarkStart w:id="116" w:name="_Toc485972563"/>
      <w:bookmarkStart w:id="117" w:name="_Toc486510812"/>
      <w:bookmarkStart w:id="118" w:name="_Toc8663"/>
      <w:r>
        <w:rPr>
          <w:rFonts w:hint="eastAsia" w:ascii="宋体" w:hAnsi="宋体" w:eastAsia="宋体" w:cs="Arial"/>
          <w:color w:val="auto"/>
          <w:kern w:val="0"/>
          <w:szCs w:val="21"/>
          <w:highlight w:val="none"/>
          <w:lang w:val="en-US" w:eastAsia="zh-CN"/>
        </w:rPr>
        <w:t>本标项地块内西兰花种植服务，服务内容包括</w:t>
      </w:r>
      <w:r>
        <w:rPr>
          <w:rFonts w:hint="eastAsia" w:ascii="宋体" w:hAnsi="宋体" w:eastAsia="宋体" w:cs="Arial"/>
          <w:color w:val="auto"/>
          <w:kern w:val="0"/>
          <w:szCs w:val="21"/>
          <w:highlight w:val="none"/>
        </w:rPr>
        <w:t>前作物秸秆残留清除及土地翻耕</w:t>
      </w:r>
      <w:r>
        <w:rPr>
          <w:rFonts w:hint="eastAsia" w:ascii="宋体" w:hAnsi="宋体" w:eastAsia="宋体" w:cs="Arial"/>
          <w:color w:val="auto"/>
          <w:kern w:val="0"/>
          <w:szCs w:val="21"/>
          <w:highlight w:val="none"/>
          <w:lang w:eastAsia="zh-CN"/>
        </w:rPr>
        <w:t>、</w:t>
      </w:r>
      <w:r>
        <w:rPr>
          <w:rFonts w:hint="eastAsia" w:ascii="宋体" w:hAnsi="宋体" w:cs="Arial"/>
          <w:color w:val="auto"/>
          <w:kern w:val="0"/>
          <w:szCs w:val="21"/>
          <w:highlight w:val="none"/>
          <w:lang w:val="en-US" w:eastAsia="zh-CN"/>
        </w:rPr>
        <w:t>购种、育秧、移栽</w:t>
      </w:r>
      <w:r>
        <w:rPr>
          <w:rFonts w:hint="eastAsia" w:ascii="宋体" w:hAnsi="宋体" w:eastAsia="宋体" w:cs="Arial"/>
          <w:color w:val="auto"/>
          <w:kern w:val="0"/>
          <w:szCs w:val="21"/>
          <w:highlight w:val="none"/>
          <w:lang w:val="en-US" w:eastAsia="zh-CN"/>
        </w:rPr>
        <w:t>、施肥</w:t>
      </w:r>
      <w:r>
        <w:rPr>
          <w:rFonts w:hint="eastAsia" w:ascii="宋体" w:hAnsi="宋体" w:cs="Arial"/>
          <w:color w:val="auto"/>
          <w:kern w:val="0"/>
          <w:szCs w:val="21"/>
          <w:highlight w:val="none"/>
          <w:lang w:val="en-US" w:eastAsia="zh-CN"/>
        </w:rPr>
        <w:t>（含化肥）</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除草</w:t>
      </w:r>
      <w:r>
        <w:rPr>
          <w:rFonts w:hint="eastAsia" w:ascii="宋体" w:hAnsi="宋体" w:cs="Arial"/>
          <w:color w:val="auto"/>
          <w:kern w:val="0"/>
          <w:szCs w:val="21"/>
          <w:highlight w:val="none"/>
          <w:lang w:val="en-US" w:eastAsia="zh-CN"/>
        </w:rPr>
        <w:t>、</w:t>
      </w:r>
      <w:r>
        <w:rPr>
          <w:rFonts w:hint="eastAsia" w:ascii="宋体" w:hAnsi="宋体" w:eastAsia="宋体" w:cs="Arial"/>
          <w:color w:val="auto"/>
          <w:kern w:val="0"/>
          <w:szCs w:val="21"/>
          <w:highlight w:val="none"/>
          <w:lang w:val="en-US" w:eastAsia="zh-CN"/>
        </w:rPr>
        <w:t>病虫</w:t>
      </w:r>
      <w:r>
        <w:rPr>
          <w:rFonts w:hint="eastAsia" w:ascii="宋体" w:hAnsi="宋体" w:cs="Arial"/>
          <w:color w:val="auto"/>
          <w:kern w:val="0"/>
          <w:szCs w:val="21"/>
          <w:highlight w:val="none"/>
          <w:lang w:val="en-US" w:eastAsia="zh-CN"/>
        </w:rPr>
        <w:t>害</w:t>
      </w:r>
      <w:r>
        <w:rPr>
          <w:rFonts w:hint="eastAsia" w:ascii="宋体" w:hAnsi="宋体" w:eastAsia="宋体" w:cs="Arial"/>
          <w:color w:val="auto"/>
          <w:kern w:val="0"/>
          <w:szCs w:val="21"/>
          <w:highlight w:val="none"/>
          <w:lang w:val="en-US" w:eastAsia="zh-CN"/>
        </w:rPr>
        <w:t>防治</w:t>
      </w:r>
      <w:r>
        <w:rPr>
          <w:rFonts w:hint="eastAsia" w:ascii="宋体" w:hAnsi="宋体" w:eastAsia="宋体" w:cs="Arial"/>
          <w:color w:val="auto"/>
          <w:kern w:val="0"/>
          <w:szCs w:val="21"/>
          <w:highlight w:val="none"/>
          <w:lang w:eastAsia="zh-CN"/>
        </w:rPr>
        <w:t>、田间管理、收割、</w:t>
      </w:r>
      <w:r>
        <w:rPr>
          <w:rFonts w:hint="eastAsia" w:ascii="宋体" w:hAnsi="宋体" w:cs="Arial"/>
          <w:color w:val="auto"/>
          <w:kern w:val="0"/>
          <w:szCs w:val="21"/>
          <w:highlight w:val="none"/>
          <w:lang w:val="en-US" w:eastAsia="zh-CN"/>
        </w:rPr>
        <w:t>包装（含包装材料）</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销售</w:t>
      </w:r>
      <w:r>
        <w:rPr>
          <w:rFonts w:hint="eastAsia" w:ascii="宋体" w:hAnsi="宋体" w:eastAsia="宋体" w:cs="Arial"/>
          <w:color w:val="auto"/>
          <w:kern w:val="0"/>
          <w:szCs w:val="21"/>
          <w:highlight w:val="none"/>
        </w:rPr>
        <w:t>等</w:t>
      </w:r>
      <w:r>
        <w:rPr>
          <w:rFonts w:hint="eastAsia" w:ascii="宋体" w:hAnsi="宋体" w:eastAsia="宋体" w:cs="宋体"/>
          <w:color w:val="auto"/>
          <w:kern w:val="2"/>
          <w:sz w:val="21"/>
          <w:szCs w:val="21"/>
          <w:highlight w:val="none"/>
        </w:rPr>
        <w:t>。</w:t>
      </w:r>
    </w:p>
    <w:p w14:paraId="40C4D27B">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bookmarkEnd w:id="116"/>
      <w:bookmarkEnd w:id="117"/>
      <w:r>
        <w:rPr>
          <w:rFonts w:hint="eastAsia" w:ascii="宋体" w:hAnsi="宋体" w:eastAsia="宋体" w:cs="宋体"/>
          <w:b/>
          <w:color w:val="auto"/>
          <w:sz w:val="21"/>
          <w:szCs w:val="21"/>
          <w:highlight w:val="none"/>
        </w:rPr>
        <w:t>服务期</w:t>
      </w:r>
      <w:bookmarkEnd w:id="118"/>
    </w:p>
    <w:p w14:paraId="41DB4580">
      <w:pPr>
        <w:widowControl w:val="0"/>
        <w:adjustRightInd/>
        <w:snapToGrid/>
        <w:spacing w:after="0" w:line="360" w:lineRule="auto"/>
        <w:ind w:firstLine="420" w:firstLineChars="200"/>
        <w:jc w:val="both"/>
        <w:rPr>
          <w:rFonts w:hint="eastAsia" w:ascii="宋体" w:hAnsi="宋体" w:eastAsia="宋体" w:cs="Arial"/>
          <w:color w:val="auto"/>
          <w:kern w:val="0"/>
          <w:szCs w:val="21"/>
          <w:highlight w:val="none"/>
          <w:lang w:val="en-US" w:eastAsia="zh-CN"/>
        </w:rPr>
      </w:pPr>
      <w:bookmarkStart w:id="119" w:name="_Toc486510813"/>
      <w:bookmarkStart w:id="120" w:name="_Toc485972564"/>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bookmarkEnd w:id="119"/>
    <w:bookmarkEnd w:id="120"/>
    <w:p w14:paraId="6CEA0408">
      <w:pPr>
        <w:widowControl w:val="0"/>
        <w:numPr>
          <w:ilvl w:val="0"/>
          <w:numId w:val="4"/>
        </w:numPr>
        <w:spacing w:after="0" w:line="360" w:lineRule="auto"/>
        <w:jc w:val="both"/>
        <w:rPr>
          <w:rFonts w:hint="eastAsia" w:ascii="宋体" w:hAnsi="宋体" w:eastAsia="宋体" w:cs="宋体"/>
          <w:b/>
          <w:color w:val="auto"/>
          <w:sz w:val="21"/>
          <w:szCs w:val="21"/>
          <w:highlight w:val="none"/>
        </w:rPr>
      </w:pPr>
      <w:bookmarkStart w:id="121" w:name="_Toc486510814"/>
      <w:bookmarkStart w:id="122" w:name="_Toc485972565"/>
      <w:bookmarkStart w:id="123" w:name="_Toc20260"/>
      <w:r>
        <w:rPr>
          <w:rFonts w:hint="eastAsia" w:ascii="宋体" w:hAnsi="宋体" w:eastAsia="宋体" w:cs="宋体"/>
          <w:b/>
          <w:color w:val="auto"/>
          <w:sz w:val="21"/>
          <w:szCs w:val="21"/>
          <w:highlight w:val="none"/>
          <w:lang w:val="en-US" w:eastAsia="zh-CN"/>
        </w:rPr>
        <w:t>保底收益要求</w:t>
      </w:r>
    </w:p>
    <w:p w14:paraId="6387C41F">
      <w:pPr>
        <w:widowControl w:val="0"/>
        <w:tabs>
          <w:tab w:val="left" w:pos="420"/>
        </w:tabs>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保底收益总额：</w:t>
      </w:r>
      <w:r>
        <w:rPr>
          <w:rFonts w:hint="eastAsia" w:ascii="宋体" w:hAnsi="宋体" w:eastAsia="宋体" w:cs="宋体"/>
          <w:color w:val="auto"/>
          <w:kern w:val="2"/>
          <w:sz w:val="21"/>
          <w:szCs w:val="21"/>
          <w:highlight w:val="none"/>
          <w:lang w:val="en-US" w:eastAsia="zh-CN"/>
        </w:rPr>
        <w:t>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r>
        <w:rPr>
          <w:rFonts w:hint="eastAsia" w:ascii="宋体" w:hAnsi="宋体" w:cs="宋体"/>
          <w:color w:val="auto"/>
          <w:kern w:val="2"/>
          <w:sz w:val="21"/>
          <w:szCs w:val="21"/>
          <w:highlight w:val="none"/>
          <w:u w:val="none"/>
          <w:lang w:val="en-US" w:eastAsia="zh-CN"/>
        </w:rPr>
        <w:t>其中，保底收益</w:t>
      </w:r>
      <w:r>
        <w:rPr>
          <w:rFonts w:hint="eastAsia" w:ascii="宋体" w:hAnsi="宋体" w:eastAsia="宋体" w:cs="宋体"/>
          <w:color w:val="auto"/>
          <w:kern w:val="2"/>
          <w:sz w:val="21"/>
          <w:szCs w:val="21"/>
          <w:highlight w:val="none"/>
          <w:lang w:val="en-US" w:eastAsia="zh-CN"/>
        </w:rPr>
        <w:t>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lang w:val="en-US" w:eastAsia="zh-CN"/>
        </w:rPr>
        <w:t>以网银转账、电汇、支票、汇票、本票等甲方认可的形式</w:t>
      </w:r>
      <w:r>
        <w:rPr>
          <w:rFonts w:hint="eastAsia" w:ascii="宋体" w:hAnsi="宋体" w:eastAsia="宋体" w:cs="宋体"/>
          <w:color w:val="auto"/>
          <w:kern w:val="2"/>
          <w:sz w:val="21"/>
          <w:szCs w:val="21"/>
          <w:highlight w:val="none"/>
          <w:lang w:val="en-US" w:eastAsia="zh-CN"/>
        </w:rPr>
        <w:t>在</w:t>
      </w:r>
      <w:r>
        <w:rPr>
          <w:rFonts w:hint="eastAsia" w:ascii="宋体" w:hAnsi="宋体" w:cs="宋体"/>
          <w:color w:val="auto"/>
          <w:kern w:val="2"/>
          <w:sz w:val="21"/>
          <w:szCs w:val="21"/>
          <w:highlight w:val="none"/>
          <w:lang w:val="en-US" w:eastAsia="zh-CN"/>
        </w:rPr>
        <w:t>本</w:t>
      </w:r>
      <w:r>
        <w:rPr>
          <w:rFonts w:hint="eastAsia" w:ascii="宋体" w:hAnsi="宋体" w:eastAsia="宋体" w:cs="宋体"/>
          <w:color w:val="auto"/>
          <w:kern w:val="2"/>
          <w:sz w:val="21"/>
          <w:szCs w:val="21"/>
          <w:highlight w:val="none"/>
          <w:lang w:val="en-US" w:eastAsia="zh-CN"/>
        </w:rPr>
        <w:t>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w:t>
      </w:r>
      <w:r>
        <w:rPr>
          <w:rFonts w:hint="eastAsia" w:ascii="宋体" w:hAnsi="宋体" w:cs="宋体"/>
          <w:color w:val="auto"/>
          <w:kern w:val="2"/>
          <w:sz w:val="21"/>
          <w:szCs w:val="21"/>
          <w:highlight w:val="none"/>
          <w:lang w:val="en-US" w:eastAsia="zh-CN"/>
        </w:rPr>
        <w:t>一次性</w:t>
      </w:r>
      <w:r>
        <w:rPr>
          <w:rFonts w:hint="eastAsia" w:ascii="宋体" w:hAnsi="宋体" w:eastAsia="宋体" w:cs="宋体"/>
          <w:color w:val="auto"/>
          <w:kern w:val="2"/>
          <w:sz w:val="21"/>
          <w:szCs w:val="21"/>
          <w:highlight w:val="none"/>
          <w:lang w:val="en-US" w:eastAsia="zh-CN"/>
        </w:rPr>
        <w:t>转入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指定账户</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lang w:val="en-US" w:eastAsia="zh-CN"/>
        </w:rPr>
        <w:t>。</w:t>
      </w:r>
    </w:p>
    <w:p w14:paraId="0D42A767">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五、组成合同的文件</w:t>
      </w:r>
      <w:bookmarkEnd w:id="121"/>
      <w:bookmarkEnd w:id="122"/>
      <w:bookmarkEnd w:id="123"/>
    </w:p>
    <w:p w14:paraId="2168EC4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1、组成本合同的文件及解释顺序如下：</w:t>
      </w:r>
    </w:p>
    <w:p w14:paraId="1F433286">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（1）本合同文件及合同谈判纪要；</w:t>
      </w:r>
    </w:p>
    <w:p w14:paraId="79A31216">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（2）招标文件、询标回复函；</w:t>
      </w:r>
    </w:p>
    <w:p w14:paraId="73789239">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（3）投标文件及其补充通知；</w:t>
      </w:r>
    </w:p>
    <w:p w14:paraId="28123D0B">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（4）标准、规范及有关技术文件；</w:t>
      </w:r>
    </w:p>
    <w:p w14:paraId="41ED75E8">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（5）经发包人批准的设计文件、资料和图纸；</w:t>
      </w:r>
    </w:p>
    <w:p w14:paraId="64C8E051">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2、合同执行期间双方有关项目的洽商、变更等书面协议或书面文件视为本合同的组成部分。</w:t>
      </w:r>
    </w:p>
    <w:p w14:paraId="49BAD212">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24" w:name="_Toc486510815"/>
      <w:bookmarkStart w:id="125" w:name="_Toc16281"/>
      <w:bookmarkStart w:id="126" w:name="_Toc485972566"/>
      <w:r>
        <w:rPr>
          <w:rFonts w:hint="eastAsia" w:ascii="宋体" w:hAnsi="宋体" w:eastAsia="宋体" w:cs="宋体"/>
          <w:b/>
          <w:color w:val="auto"/>
          <w:sz w:val="21"/>
          <w:szCs w:val="21"/>
          <w:highlight w:val="none"/>
        </w:rPr>
        <w:t>六、合同价款</w:t>
      </w:r>
      <w:bookmarkEnd w:id="124"/>
      <w:bookmarkEnd w:id="125"/>
      <w:bookmarkEnd w:id="126"/>
    </w:p>
    <w:p w14:paraId="24417CB2">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服务费总价：人民大写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元）；每亩</w:t>
      </w:r>
      <w:r>
        <w:rPr>
          <w:rFonts w:hint="eastAsia" w:ascii="宋体" w:hAnsi="宋体" w:eastAsia="宋体" w:cs="宋体"/>
          <w:color w:val="auto"/>
          <w:kern w:val="2"/>
          <w:sz w:val="21"/>
          <w:szCs w:val="21"/>
          <w:highlight w:val="none"/>
          <w:lang w:val="en-US" w:eastAsia="zh-CN"/>
        </w:rPr>
        <w:t>单价人民大写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p>
    <w:p w14:paraId="7DE633F8">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上述</w:t>
      </w:r>
      <w:r>
        <w:rPr>
          <w:rFonts w:hint="eastAsia" w:ascii="宋体" w:hAnsi="宋体" w:eastAsia="宋体" w:cs="宋体"/>
          <w:color w:val="auto"/>
          <w:kern w:val="2"/>
          <w:sz w:val="21"/>
          <w:szCs w:val="21"/>
          <w:highlight w:val="none"/>
          <w:lang w:val="en-US" w:eastAsia="zh-CN"/>
        </w:rPr>
        <w:t>合同价</w:t>
      </w:r>
      <w:r>
        <w:rPr>
          <w:rFonts w:hint="eastAsia" w:ascii="宋体" w:hAnsi="宋体" w:eastAsia="宋体" w:cs="宋体"/>
          <w:color w:val="auto"/>
          <w:kern w:val="2"/>
          <w:sz w:val="21"/>
          <w:szCs w:val="21"/>
          <w:highlight w:val="none"/>
        </w:rPr>
        <w:t>包含但不限于</w:t>
      </w:r>
      <w:r>
        <w:rPr>
          <w:rFonts w:hint="eastAsia" w:ascii="宋体" w:hAnsi="宋体" w:eastAsia="宋体" w:cs="宋体"/>
          <w:color w:val="auto"/>
          <w:kern w:val="2"/>
          <w:sz w:val="21"/>
          <w:szCs w:val="21"/>
          <w:highlight w:val="none"/>
          <w:lang w:val="en-US" w:eastAsia="zh-CN"/>
        </w:rPr>
        <w:t>履行合同内容所需的人工、机械、材料（含种子、肥料）、管理费以及利润、税金及本项目包含的所有风险、责任</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招标代理服务费、完成合同所需的一切本身和不可或缺的所有工作开支、政策性文件规定计合同包含的所有风险、责任等各项全部费用。</w:t>
      </w:r>
    </w:p>
    <w:p w14:paraId="1FFFD079">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2、超过保底收益要求部分</w:t>
      </w:r>
      <w:r>
        <w:rPr>
          <w:rFonts w:hint="eastAsia" w:ascii="宋体" w:hAnsi="宋体" w:cs="宋体"/>
          <w:color w:val="auto"/>
          <w:kern w:val="2"/>
          <w:sz w:val="21"/>
          <w:szCs w:val="21"/>
          <w:highlight w:val="none"/>
          <w:lang w:val="en-US" w:eastAsia="zh-CN"/>
        </w:rPr>
        <w:t>归属乙方</w:t>
      </w:r>
      <w:r>
        <w:rPr>
          <w:rFonts w:hint="eastAsia" w:ascii="宋体" w:hAnsi="宋体" w:eastAsia="宋体" w:cs="宋体"/>
          <w:color w:val="auto"/>
          <w:kern w:val="2"/>
          <w:sz w:val="21"/>
          <w:szCs w:val="21"/>
          <w:highlight w:val="none"/>
          <w:lang w:val="en-US" w:eastAsia="zh-CN"/>
        </w:rPr>
        <w:t>的分成</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p>
    <w:p w14:paraId="0C89C2C2">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lang w:eastAsia="zh-CN"/>
        </w:rPr>
      </w:pPr>
      <w:bookmarkStart w:id="127" w:name="_Toc486510816"/>
      <w:bookmarkStart w:id="128" w:name="_Toc17500"/>
      <w:bookmarkStart w:id="129" w:name="_Toc485972567"/>
      <w:r>
        <w:rPr>
          <w:rFonts w:hint="eastAsia" w:ascii="宋体" w:hAnsi="宋体" w:eastAsia="宋体" w:cs="宋体"/>
          <w:b/>
          <w:color w:val="auto"/>
          <w:sz w:val="21"/>
          <w:szCs w:val="21"/>
          <w:highlight w:val="none"/>
        </w:rPr>
        <w:t>七、履约</w:t>
      </w:r>
      <w:bookmarkEnd w:id="127"/>
      <w:bookmarkEnd w:id="128"/>
      <w:bookmarkEnd w:id="129"/>
      <w:r>
        <w:rPr>
          <w:rFonts w:hint="eastAsia" w:ascii="宋体" w:hAnsi="宋体" w:eastAsia="宋体" w:cs="宋体"/>
          <w:b/>
          <w:color w:val="auto"/>
          <w:sz w:val="21"/>
          <w:szCs w:val="21"/>
          <w:highlight w:val="none"/>
          <w:lang w:val="en-US" w:eastAsia="zh-CN"/>
        </w:rPr>
        <w:t>风险金</w:t>
      </w:r>
    </w:p>
    <w:p w14:paraId="5AF5CC1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履约风险金乙方以</w:t>
      </w:r>
      <w:r>
        <w:rPr>
          <w:rFonts w:hint="eastAsia" w:ascii="宋体" w:hAnsi="宋体" w:cs="宋体"/>
          <w:color w:val="auto"/>
          <w:kern w:val="2"/>
          <w:sz w:val="21"/>
          <w:szCs w:val="21"/>
          <w:highlight w:val="none"/>
          <w:lang w:val="en-US" w:eastAsia="zh-CN"/>
        </w:rPr>
        <w:t>网银转账、电汇、支票、汇票、本票等采购人认可的非现金形式</w:t>
      </w:r>
      <w:r>
        <w:rPr>
          <w:rFonts w:hint="eastAsia" w:ascii="宋体" w:hAnsi="宋体" w:eastAsia="宋体" w:cs="宋体"/>
          <w:color w:val="auto"/>
          <w:kern w:val="2"/>
          <w:sz w:val="21"/>
          <w:szCs w:val="21"/>
          <w:highlight w:val="none"/>
          <w:lang w:val="en-US" w:eastAsia="zh-CN"/>
        </w:rPr>
        <w:t>在合同签订后7个工作日内转入甲方指定账户。</w:t>
      </w:r>
    </w:p>
    <w:p w14:paraId="777F1AA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履约风险金金额</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p>
    <w:p w14:paraId="49C18EE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3、</w:t>
      </w:r>
      <w:r>
        <w:rPr>
          <w:rFonts w:hint="eastAsia" w:ascii="宋体" w:hAnsi="宋体" w:eastAsia="宋体" w:cs="宋体"/>
          <w:color w:val="auto"/>
          <w:kern w:val="2"/>
          <w:sz w:val="21"/>
          <w:szCs w:val="21"/>
          <w:highlight w:val="none"/>
          <w:u w:val="none"/>
          <w:lang w:val="en-US" w:eastAsia="zh-CN"/>
        </w:rPr>
        <w:t>履约保证金</w:t>
      </w:r>
      <w:r>
        <w:rPr>
          <w:rFonts w:hint="eastAsia" w:ascii="宋体" w:hAnsi="宋体" w:eastAsia="宋体" w:cs="宋体"/>
          <w:color w:val="auto"/>
          <w:kern w:val="2"/>
          <w:sz w:val="21"/>
          <w:szCs w:val="21"/>
          <w:highlight w:val="none"/>
          <w:lang w:val="en-US" w:eastAsia="zh-CN"/>
        </w:rPr>
        <w:t>在全部作物收割、出售完毕，</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收到全部货款后7个工作日内，根据每亩保底收益考核情况一次性退还</w:t>
      </w:r>
      <w:r>
        <w:rPr>
          <w:rFonts w:hint="eastAsia" w:ascii="宋体" w:hAnsi="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lang w:val="en-US" w:eastAsia="zh-CN"/>
        </w:rPr>
        <w:t>，履约保证金不计利息</w:t>
      </w:r>
      <w:r>
        <w:rPr>
          <w:rFonts w:hint="eastAsia" w:ascii="宋体" w:hAnsi="宋体" w:eastAsia="宋体" w:cs="宋体"/>
          <w:color w:val="auto"/>
          <w:kern w:val="2"/>
          <w:sz w:val="21"/>
          <w:szCs w:val="21"/>
          <w:highlight w:val="none"/>
          <w:u w:val="none"/>
          <w:lang w:val="en-US" w:eastAsia="zh-CN"/>
        </w:rPr>
        <w:t>。</w:t>
      </w:r>
    </w:p>
    <w:p w14:paraId="3813BB6C">
      <w:pPr>
        <w:widowControl w:val="0"/>
        <w:autoSpaceDE w:val="0"/>
        <w:autoSpaceDN w:val="0"/>
        <w:spacing w:after="0" w:line="360" w:lineRule="auto"/>
        <w:ind w:firstLine="420" w:firstLineChars="200"/>
        <w:jc w:val="both"/>
        <w:textAlignment w:val="bottom"/>
        <w:rPr>
          <w:rFonts w:hint="default"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4、乙方按本合同第四条完成保底收益支付的，可免交履约风险金。</w:t>
      </w:r>
    </w:p>
    <w:p w14:paraId="781B1DD5">
      <w:pPr>
        <w:widowControl w:val="0"/>
        <w:numPr>
          <w:ilvl w:val="0"/>
          <w:numId w:val="5"/>
        </w:numPr>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30" w:name="_Toc486510817"/>
      <w:bookmarkStart w:id="131" w:name="_Toc485972568"/>
      <w:r>
        <w:rPr>
          <w:rFonts w:hint="eastAsia" w:ascii="宋体" w:hAnsi="宋体" w:eastAsia="宋体" w:cs="宋体"/>
          <w:b/>
          <w:color w:val="auto"/>
          <w:sz w:val="21"/>
          <w:szCs w:val="21"/>
          <w:highlight w:val="none"/>
        </w:rPr>
        <w:t>付款方式</w:t>
      </w:r>
      <w:bookmarkEnd w:id="130"/>
      <w:bookmarkEnd w:id="131"/>
    </w:p>
    <w:p w14:paraId="7418D132">
      <w:pPr>
        <w:widowControl w:val="0"/>
        <w:numPr>
          <w:ilvl w:val="0"/>
          <w:numId w:val="6"/>
        </w:numPr>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lang w:val="en-US" w:eastAsia="zh-CN"/>
        </w:rPr>
      </w:pPr>
      <w:bookmarkStart w:id="132" w:name="_Toc486510819"/>
      <w:bookmarkStart w:id="133" w:name="_Toc485972570"/>
      <w:bookmarkStart w:id="134" w:name="_Toc12577"/>
      <w:r>
        <w:rPr>
          <w:rFonts w:hint="eastAsia" w:ascii="宋体" w:hAnsi="宋体" w:eastAsia="宋体" w:cs="宋体"/>
          <w:color w:val="auto"/>
          <w:kern w:val="2"/>
          <w:sz w:val="21"/>
          <w:szCs w:val="21"/>
          <w:highlight w:val="none"/>
          <w:lang w:val="en-US" w:eastAsia="zh-CN"/>
        </w:rPr>
        <w:t>合同签订并收到履约风险金后7个工作日内</w:t>
      </w:r>
      <w:r>
        <w:rPr>
          <w:rFonts w:hint="eastAsia" w:ascii="宋体" w:hAnsi="宋体" w:cs="宋体"/>
          <w:color w:val="auto"/>
          <w:kern w:val="2"/>
          <w:sz w:val="21"/>
          <w:szCs w:val="21"/>
          <w:highlight w:val="none"/>
          <w:lang w:val="en-US" w:eastAsia="zh-CN"/>
        </w:rPr>
        <w:t>支付合同服务费总金额</w:t>
      </w:r>
      <w:r>
        <w:rPr>
          <w:rFonts w:hint="eastAsia" w:ascii="宋体" w:hAnsi="宋体" w:eastAsia="宋体" w:cs="宋体"/>
          <w:color w:val="auto"/>
          <w:kern w:val="2"/>
          <w:sz w:val="21"/>
          <w:szCs w:val="21"/>
          <w:highlight w:val="none"/>
          <w:lang w:val="en-US" w:eastAsia="zh-CN"/>
        </w:rPr>
        <w:t>的</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；购种、育秧、移栽</w:t>
      </w:r>
      <w:r>
        <w:rPr>
          <w:rFonts w:hint="eastAsia" w:ascii="宋体" w:hAnsi="宋体" w:eastAsia="宋体" w:cs="宋体"/>
          <w:color w:val="auto"/>
          <w:kern w:val="2"/>
          <w:sz w:val="21"/>
          <w:szCs w:val="21"/>
          <w:highlight w:val="none"/>
          <w:lang w:val="en-US" w:eastAsia="zh-CN"/>
        </w:rPr>
        <w:t>验收完成后7个工作日内</w:t>
      </w:r>
      <w:r>
        <w:rPr>
          <w:rFonts w:hint="eastAsia" w:ascii="宋体" w:hAnsi="宋体" w:cs="宋体"/>
          <w:color w:val="auto"/>
          <w:kern w:val="2"/>
          <w:sz w:val="21"/>
          <w:szCs w:val="21"/>
          <w:highlight w:val="none"/>
          <w:lang w:val="en-US" w:eastAsia="zh-CN"/>
        </w:rPr>
        <w:t>支付合同服务费总金额</w:t>
      </w:r>
      <w:r>
        <w:rPr>
          <w:rFonts w:hint="eastAsia" w:ascii="宋体" w:hAnsi="宋体" w:eastAsia="宋体" w:cs="宋体"/>
          <w:color w:val="auto"/>
          <w:kern w:val="2"/>
          <w:sz w:val="21"/>
          <w:szCs w:val="21"/>
          <w:highlight w:val="none"/>
          <w:lang w:val="en-US" w:eastAsia="zh-CN"/>
        </w:rPr>
        <w:t>的</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；完成保底收益50%，甲方收到货款后7个工作日内支付合同服务费总金额的</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%；完成保底收益75%，甲方收到货款后7个工作日内支付至合同服务费总金额的</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剩余合同价款于全部作物收割、出售完毕，</w:t>
      </w:r>
      <w:r>
        <w:rPr>
          <w:rFonts w:hint="eastAsia" w:ascii="宋体" w:hAnsi="宋体" w:cs="宋体"/>
          <w:color w:val="auto"/>
          <w:kern w:val="2"/>
          <w:sz w:val="21"/>
          <w:szCs w:val="21"/>
          <w:highlight w:val="none"/>
          <w:lang w:val="en-US" w:eastAsia="zh-CN"/>
        </w:rPr>
        <w:t>乙方将所有人、材、机、水电费及涉及第三方的费用结清，</w:t>
      </w:r>
      <w:r>
        <w:rPr>
          <w:rFonts w:hint="eastAsia" w:ascii="宋体" w:hAnsi="宋体" w:eastAsia="宋体" w:cs="宋体"/>
          <w:color w:val="auto"/>
          <w:kern w:val="2"/>
          <w:sz w:val="21"/>
          <w:szCs w:val="21"/>
          <w:highlight w:val="none"/>
          <w:lang w:val="en-US" w:eastAsia="zh-CN"/>
        </w:rPr>
        <w:t>甲方收到全部货款后7个工作日内</w:t>
      </w:r>
      <w:r>
        <w:rPr>
          <w:rFonts w:hint="eastAsia" w:ascii="宋体" w:hAnsi="宋体" w:cs="宋体"/>
          <w:color w:val="auto"/>
          <w:kern w:val="2"/>
          <w:sz w:val="21"/>
          <w:szCs w:val="21"/>
          <w:highlight w:val="none"/>
          <w:lang w:val="en-US" w:eastAsia="zh-CN"/>
        </w:rPr>
        <w:t>根据每亩保底收益达成情况支付</w:t>
      </w:r>
      <w:r>
        <w:rPr>
          <w:rFonts w:hint="eastAsia" w:ascii="宋体" w:hAnsi="宋体" w:eastAsia="宋体" w:cs="宋体"/>
          <w:color w:val="auto"/>
          <w:kern w:val="2"/>
          <w:sz w:val="21"/>
          <w:szCs w:val="21"/>
          <w:highlight w:val="none"/>
          <w:lang w:val="en-US" w:eastAsia="zh-CN"/>
        </w:rPr>
        <w:t>。</w:t>
      </w:r>
    </w:p>
    <w:p w14:paraId="57017A1C">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账户入账为准，如最终</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总收入（含税）未达到</w:t>
      </w:r>
      <w:r>
        <w:rPr>
          <w:rFonts w:hint="eastAsia" w:ascii="宋体" w:hAnsi="宋体" w:cs="宋体"/>
          <w:color w:val="auto"/>
          <w:kern w:val="2"/>
          <w:sz w:val="21"/>
          <w:szCs w:val="21"/>
          <w:highlight w:val="none"/>
          <w:lang w:val="en-US" w:eastAsia="zh-CN"/>
        </w:rPr>
        <w:t>本合同第四条约定的保底收益金额</w:t>
      </w:r>
      <w:r>
        <w:rPr>
          <w:rFonts w:hint="eastAsia" w:ascii="宋体" w:hAnsi="宋体" w:eastAsia="宋体" w:cs="宋体"/>
          <w:color w:val="auto"/>
          <w:kern w:val="2"/>
          <w:sz w:val="21"/>
          <w:szCs w:val="21"/>
          <w:highlight w:val="none"/>
          <w:lang w:val="en-US" w:eastAsia="zh-CN"/>
        </w:rPr>
        <w:t>的，不足部分首先在未支付的服务中扣除，扣除后不足的在履约风险金中扣除，履约风险金扣除后仍不足的，需现金补足，在甲方发出通知后7个工作日内一次性支付至</w:t>
      </w:r>
      <w:r>
        <w:rPr>
          <w:rFonts w:hint="eastAsia" w:ascii="宋体" w:hAnsi="宋体" w:cs="宋体"/>
          <w:color w:val="auto"/>
          <w:kern w:val="2"/>
          <w:sz w:val="21"/>
          <w:szCs w:val="21"/>
          <w:highlight w:val="none"/>
          <w:lang w:val="en-US" w:eastAsia="zh-CN"/>
        </w:rPr>
        <w:t>甲方指定账户</w:t>
      </w:r>
      <w:r>
        <w:rPr>
          <w:rFonts w:hint="eastAsia" w:ascii="宋体" w:hAnsi="宋体" w:eastAsia="宋体" w:cs="宋体"/>
          <w:color w:val="auto"/>
          <w:kern w:val="2"/>
          <w:sz w:val="21"/>
          <w:szCs w:val="21"/>
          <w:highlight w:val="none"/>
          <w:lang w:val="en-US" w:eastAsia="zh-CN"/>
        </w:rPr>
        <w:t>。</w:t>
      </w:r>
    </w:p>
    <w:p w14:paraId="711462E3">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账户入账为准，如最终</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总收入（含税）</w:t>
      </w:r>
      <w:r>
        <w:rPr>
          <w:rFonts w:hint="eastAsia" w:ascii="宋体" w:hAnsi="宋体" w:cs="宋体"/>
          <w:color w:val="auto"/>
          <w:kern w:val="2"/>
          <w:sz w:val="21"/>
          <w:szCs w:val="21"/>
          <w:highlight w:val="none"/>
          <w:lang w:val="en-US" w:eastAsia="zh-CN"/>
        </w:rPr>
        <w:t>超过本合同第四条约定的保底收益金额</w:t>
      </w:r>
      <w:r>
        <w:rPr>
          <w:rFonts w:hint="eastAsia" w:ascii="宋体" w:hAnsi="宋体" w:eastAsia="宋体" w:cs="宋体"/>
          <w:color w:val="auto"/>
          <w:kern w:val="2"/>
          <w:sz w:val="21"/>
          <w:szCs w:val="21"/>
          <w:highlight w:val="none"/>
          <w:lang w:val="en-US" w:eastAsia="zh-CN"/>
        </w:rPr>
        <w:t>的，甲方收到全部货款后7个工作日内按中标人的中标比例计算，将属于中标人部分的分成一次性支付给中标人。</w:t>
      </w:r>
    </w:p>
    <w:p w14:paraId="0860A842">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每笔款项支付前乙方须向甲方开具支付金额等额的正规发票。</w:t>
      </w:r>
    </w:p>
    <w:p w14:paraId="6A07C723">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保底收益的退还：</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p>
    <w:p w14:paraId="388419F6">
      <w:pPr>
        <w:widowControl w:val="0"/>
        <w:autoSpaceDE w:val="0"/>
        <w:autoSpaceDN w:val="0"/>
        <w:spacing w:after="0" w:line="360" w:lineRule="auto"/>
        <w:jc w:val="both"/>
        <w:textAlignment w:val="bottom"/>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Hans"/>
        </w:rPr>
        <w:t>九</w:t>
      </w:r>
      <w:r>
        <w:rPr>
          <w:rFonts w:hint="eastAsia" w:ascii="宋体" w:hAnsi="宋体" w:eastAsia="宋体" w:cs="宋体"/>
          <w:b/>
          <w:color w:val="auto"/>
          <w:sz w:val="21"/>
          <w:szCs w:val="21"/>
          <w:highlight w:val="none"/>
        </w:rPr>
        <w:t>、</w:t>
      </w:r>
      <w:bookmarkEnd w:id="132"/>
      <w:bookmarkEnd w:id="133"/>
      <w:bookmarkEnd w:id="134"/>
      <w:r>
        <w:rPr>
          <w:rFonts w:hint="eastAsia" w:ascii="宋体" w:hAnsi="宋体" w:eastAsia="宋体" w:cs="宋体"/>
          <w:b/>
          <w:color w:val="auto"/>
          <w:sz w:val="21"/>
          <w:szCs w:val="21"/>
          <w:highlight w:val="none"/>
          <w:lang w:val="en-US" w:eastAsia="zh-CN"/>
        </w:rPr>
        <w:t>不可抗力</w:t>
      </w:r>
    </w:p>
    <w:p w14:paraId="7CDF8E67">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bookmarkStart w:id="135" w:name="_Toc296346618"/>
      <w:bookmarkStart w:id="136" w:name="_Toc337558824"/>
      <w:bookmarkStart w:id="137" w:name="_Toc296503117"/>
      <w:bookmarkStart w:id="138" w:name="_Toc351203608"/>
      <w:bookmarkStart w:id="139" w:name="_Toc485972571"/>
      <w:bookmarkStart w:id="140" w:name="_Toc486510820"/>
      <w:bookmarkStart w:id="141" w:name="_Toc16728"/>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不可抗力的确认</w:t>
      </w:r>
      <w:bookmarkEnd w:id="135"/>
      <w:bookmarkEnd w:id="136"/>
      <w:bookmarkEnd w:id="137"/>
      <w:bookmarkEnd w:id="138"/>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不可抗力是指</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在签订合同时不可预见，在合同履行过程中不可避免且不能克服的自然灾害和社会性突发事件，如地震、海啸、瘟疫、骚乱、戒严、暴动、战争。</w:t>
      </w:r>
    </w:p>
    <w:p w14:paraId="046A74A8">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不可抗力发生后，</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应收集证明不可抗力发生及不可抗力造成损失的证据，并及时认真统计所造成的损失。</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对是否属于不可抗力或其损失的意见不一致的，</w:t>
      </w:r>
      <w:r>
        <w:rPr>
          <w:rFonts w:hint="eastAsia" w:ascii="宋体" w:hAnsi="宋体" w:eastAsia="宋体" w:cs="宋体"/>
          <w:color w:val="auto"/>
          <w:kern w:val="2"/>
          <w:sz w:val="21"/>
          <w:szCs w:val="21"/>
          <w:highlight w:val="none"/>
          <w:lang w:val="zh-CN"/>
        </w:rPr>
        <w:t>以农业主管部门、农业技术部门或相关专业部门鉴定为准</w:t>
      </w:r>
      <w:r>
        <w:rPr>
          <w:rFonts w:hint="eastAsia" w:ascii="宋体" w:hAnsi="宋体" w:eastAsia="宋体" w:cs="宋体"/>
          <w:color w:val="auto"/>
          <w:kern w:val="2"/>
          <w:sz w:val="21"/>
          <w:szCs w:val="21"/>
          <w:highlight w:val="none"/>
        </w:rPr>
        <w:t>。</w:t>
      </w:r>
      <w:bookmarkStart w:id="142" w:name="_Toc296346619"/>
      <w:bookmarkStart w:id="143" w:name="_Toc296503118"/>
      <w:bookmarkStart w:id="144" w:name="_Toc337558825"/>
      <w:bookmarkStart w:id="145" w:name="_Toc351203609"/>
    </w:p>
    <w:p w14:paraId="4341676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不可抗力的通知</w:t>
      </w:r>
      <w:bookmarkEnd w:id="142"/>
      <w:bookmarkEnd w:id="143"/>
      <w:bookmarkEnd w:id="144"/>
      <w:bookmarkEnd w:id="145"/>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合同一方当事人遇到不可抗力事件，使其履行合同义务受到阻碍时，应立即通知合同另一方当事人，书面说明不可抗力和受阻碍的详细情况，并提供必要的证明。不可抗力持续发生的，合同一方当事人应及时向合同另一方当事人和监理人提交中间报告，说明不可抗力和履行合同受阻的情况，并于不可抗力事件结束后</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天内提交最终报告及有关资料。</w:t>
      </w:r>
    </w:p>
    <w:p w14:paraId="4CD80B1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bookmarkStart w:id="146" w:name="_Toc296346620"/>
      <w:bookmarkStart w:id="147" w:name="_Toc337558826"/>
      <w:bookmarkStart w:id="148" w:name="_Toc351203610"/>
      <w:bookmarkStart w:id="149" w:name="_Toc296503119"/>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不可抗力后果的承担</w:t>
      </w:r>
      <w:bookmarkEnd w:id="146"/>
      <w:bookmarkEnd w:id="147"/>
      <w:bookmarkEnd w:id="148"/>
      <w:bookmarkEnd w:id="149"/>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不可抗力引起的后果及造成的损失由合同当事人按照法律规定及合同约定各自承担。</w:t>
      </w:r>
    </w:p>
    <w:p w14:paraId="50EF60B0">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如不可抗力发生后，乙方拒绝履行合同约定的工作内容，未履行的工作内容对应费用按下述标准在合同价内扣除，不足部分从履约风险金中扣除，履约风险金不足部分甲方有权向乙方追偿：</w:t>
      </w:r>
    </w:p>
    <w:p w14:paraId="7A4B2175">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种苗：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4639C515">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滴管：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1ADD2A0D">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肥料、除草：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79549892">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病虫害防治：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50AD2CD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Times New Roman" w:hAnsi="Times New Roman" w:eastAsia="宋体" w:cs="Times New Roman"/>
          <w:szCs w:val="21"/>
          <w:highlight w:val="none"/>
          <w:lang w:val="en-US" w:eastAsia="zh-CN"/>
        </w:rPr>
        <w:t xml:space="preserve">收割、运输销售：    </w:t>
      </w:r>
      <w:r>
        <w:rPr>
          <w:rFonts w:hint="eastAsia" w:ascii="Times New Roman" w:hAnsi="Times New Roman" w:eastAsia="宋体" w:cs="Times New Roman"/>
          <w:color w:val="auto"/>
          <w:szCs w:val="24"/>
          <w:highlight w:val="none"/>
          <w:lang w:val="en-US" w:eastAsia="zh-CN"/>
        </w:rPr>
        <w:t>/亩。</w:t>
      </w:r>
    </w:p>
    <w:p w14:paraId="73D6887C">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不可抗力导致的人员伤亡、财产损失、费用增加和（或）工期延误等后果，由合同当事人按以下原则承担：</w:t>
      </w:r>
    </w:p>
    <w:p w14:paraId="1E154831">
      <w:pPr>
        <w:widowControl w:val="0"/>
        <w:autoSpaceDE w:val="0"/>
        <w:autoSpaceDN w:val="0"/>
        <w:spacing w:after="0" w:line="360" w:lineRule="auto"/>
        <w:ind w:firstLine="420" w:firstLineChars="200"/>
        <w:jc w:val="both"/>
        <w:textAlignment w:val="bottom"/>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因不可抗力致使乙方无法按本合同第四条约定达成保底收益，按保险公司定损的比例扣减保底收益标准，如：保险公司确定损失率为X，则乙方种植区域内符合本合同第四条规定的</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应不低于：</w:t>
      </w:r>
      <w:r>
        <w:rPr>
          <w:rFonts w:hint="eastAsia" w:ascii="宋体" w:hAnsi="宋体" w:cs="宋体"/>
          <w:color w:val="auto"/>
          <w:kern w:val="2"/>
          <w:sz w:val="21"/>
          <w:szCs w:val="21"/>
          <w:highlight w:val="none"/>
          <w:lang w:val="en-US" w:eastAsia="zh-CN"/>
        </w:rPr>
        <w:t>保底收益中标价×（1-X）</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如未购买保险或其他保险公司未定损的情形的，由甲方委托第三方机构进行评估，按第三方机构出具的定损报告为准，第三方机构</w:t>
      </w:r>
      <w:r>
        <w:rPr>
          <w:rFonts w:hint="eastAsia" w:ascii="宋体" w:hAnsi="宋体" w:eastAsia="宋体" w:cs="宋体"/>
          <w:color w:val="auto"/>
          <w:kern w:val="2"/>
          <w:sz w:val="21"/>
          <w:szCs w:val="21"/>
          <w:highlight w:val="none"/>
          <w:lang w:val="en-US" w:eastAsia="zh-CN"/>
        </w:rPr>
        <w:t>确定损失率为X，则乙方种植区域内符合本合同第四条规定的</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应不低于：</w:t>
      </w:r>
      <w:r>
        <w:rPr>
          <w:rFonts w:hint="eastAsia" w:ascii="宋体" w:hAnsi="宋体" w:cs="宋体"/>
          <w:color w:val="auto"/>
          <w:kern w:val="2"/>
          <w:sz w:val="21"/>
          <w:szCs w:val="21"/>
          <w:highlight w:val="none"/>
          <w:lang w:val="en-US" w:eastAsia="zh-CN"/>
        </w:rPr>
        <w:t>保底收益中标价×（1-X）</w:t>
      </w:r>
      <w:r>
        <w:rPr>
          <w:rFonts w:hint="eastAsia" w:ascii="宋体" w:hAnsi="宋体" w:eastAsia="宋体" w:cs="宋体"/>
          <w:color w:val="auto"/>
          <w:kern w:val="2"/>
          <w:sz w:val="21"/>
          <w:szCs w:val="21"/>
          <w:highlight w:val="none"/>
          <w:lang w:val="en-US" w:eastAsia="zh-CN"/>
        </w:rPr>
        <w:t>。</w:t>
      </w:r>
    </w:p>
    <w:p w14:paraId="207ABC4C">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设备的损坏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人员伤亡</w:t>
      </w: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承担；</w:t>
      </w:r>
    </w:p>
    <w:p w14:paraId="4D612F3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按照发包人要求照管、清理和修复</w:t>
      </w:r>
      <w:r>
        <w:rPr>
          <w:rFonts w:hint="eastAsia" w:ascii="宋体" w:hAnsi="宋体" w:eastAsia="宋体" w:cs="宋体"/>
          <w:color w:val="auto"/>
          <w:kern w:val="2"/>
          <w:sz w:val="21"/>
          <w:szCs w:val="21"/>
          <w:highlight w:val="none"/>
          <w:lang w:val="en-US" w:eastAsia="zh-CN"/>
        </w:rPr>
        <w:t>农作物</w:t>
      </w:r>
      <w:r>
        <w:rPr>
          <w:rFonts w:hint="eastAsia" w:ascii="宋体" w:hAnsi="宋体" w:eastAsia="宋体" w:cs="宋体"/>
          <w:color w:val="auto"/>
          <w:kern w:val="2"/>
          <w:sz w:val="21"/>
          <w:szCs w:val="21"/>
          <w:highlight w:val="none"/>
        </w:rPr>
        <w:t>的费用由发包人承担。</w:t>
      </w:r>
    </w:p>
    <w:p w14:paraId="355E1AD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36781630">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bookmarkEnd w:id="139"/>
      <w:bookmarkEnd w:id="140"/>
      <w:r>
        <w:rPr>
          <w:rFonts w:hint="eastAsia" w:ascii="宋体" w:hAnsi="宋体" w:eastAsia="宋体" w:cs="宋体"/>
          <w:b/>
          <w:color w:val="auto"/>
          <w:sz w:val="21"/>
          <w:szCs w:val="21"/>
          <w:highlight w:val="none"/>
        </w:rPr>
        <w:t>双方责任</w:t>
      </w:r>
      <w:bookmarkEnd w:id="141"/>
    </w:p>
    <w:p w14:paraId="14828463">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1、甲方责任</w:t>
      </w:r>
    </w:p>
    <w:p w14:paraId="7F9EFAB1">
      <w:pPr>
        <w:widowControl w:val="0"/>
        <w:adjustRightInd/>
        <w:snapToGrid/>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在施工前配合乙</w:t>
      </w:r>
      <w:r>
        <w:rPr>
          <w:rFonts w:hint="eastAsia" w:ascii="宋体" w:hAnsi="宋体" w:eastAsia="宋体" w:cs="宋体"/>
          <w:b w:val="0"/>
          <w:bCs w:val="0"/>
          <w:color w:val="auto"/>
          <w:kern w:val="2"/>
          <w:sz w:val="21"/>
          <w:szCs w:val="21"/>
          <w:highlight w:val="none"/>
        </w:rPr>
        <w:t>方进行现场的勘查工作。</w:t>
      </w:r>
    </w:p>
    <w:p w14:paraId="26F5AC82">
      <w:pPr>
        <w:widowControl w:val="0"/>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2、乙方责任</w:t>
      </w:r>
    </w:p>
    <w:p w14:paraId="1C7F7081">
      <w:pPr>
        <w:widowControl w:val="0"/>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（1）乙方负责为乙方现场服务人员购买工伤保险和人身意外伤害保险。作为签订合同的前置条件。</w:t>
      </w:r>
    </w:p>
    <w:p w14:paraId="088FB24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（2）合同签订7天内，乙方须提供详细的、完整的种植的施工组织设计。</w:t>
      </w:r>
    </w:p>
    <w:p w14:paraId="1C4E7474">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（3）乙方应执行甲方的现场管理制度，在服务期间，服从甲方现场管理。</w:t>
      </w:r>
    </w:p>
    <w:p w14:paraId="78EB62B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（4）及时清除由于乙方原因引起的垃圾。</w:t>
      </w:r>
    </w:p>
    <w:p w14:paraId="7BC8916D">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（5）乙方负责本项目完工验收前的成品保护工作，在此期间如因乙方管理不到位造成的最终验收不合格均由乙方负责整改补救，且服务期不予顺延。</w:t>
      </w:r>
    </w:p>
    <w:p w14:paraId="5B9FF6B5">
      <w:pPr>
        <w:widowControl w:val="0"/>
        <w:spacing w:after="0"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（6）乙方自行解决现场临设、人员住宿、餐饮等问题。</w:t>
      </w:r>
      <w:r>
        <w:rPr>
          <w:rFonts w:hint="eastAsia" w:ascii="宋体" w:hAnsi="宋体" w:eastAsia="宋体" w:cs="宋体"/>
          <w:color w:val="auto"/>
          <w:kern w:val="2"/>
          <w:sz w:val="21"/>
          <w:szCs w:val="21"/>
          <w:highlight w:val="none"/>
          <w:lang w:val="en-US" w:eastAsia="zh-CN"/>
        </w:rPr>
        <w:t>乙方负责</w:t>
      </w:r>
      <w:r>
        <w:rPr>
          <w:rFonts w:hint="eastAsia" w:ascii="宋体" w:hAnsi="宋体" w:eastAsia="宋体" w:cs="宋体"/>
          <w:color w:val="auto"/>
          <w:kern w:val="2"/>
          <w:sz w:val="21"/>
          <w:szCs w:val="21"/>
          <w:highlight w:val="none"/>
        </w:rPr>
        <w:t>设备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人员管理，因任何原因造成的设备、人员的损失和伤亡</w:t>
      </w: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承担</w:t>
      </w:r>
      <w:r>
        <w:rPr>
          <w:rFonts w:hint="eastAsia" w:ascii="宋体" w:hAnsi="宋体" w:eastAsia="宋体" w:cs="宋体"/>
          <w:color w:val="auto"/>
          <w:kern w:val="2"/>
          <w:sz w:val="21"/>
          <w:szCs w:val="21"/>
          <w:highlight w:val="none"/>
          <w:lang w:eastAsia="zh-CN"/>
        </w:rPr>
        <w:t>。</w:t>
      </w:r>
    </w:p>
    <w:p w14:paraId="7105E947">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（7）做好现场管理工作。</w:t>
      </w:r>
    </w:p>
    <w:p w14:paraId="4CAB02B2">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（8）乙方负责确定材料存放场地。</w:t>
      </w:r>
    </w:p>
    <w:p w14:paraId="131710BF">
      <w:pPr>
        <w:widowControl w:val="0"/>
        <w:numPr>
          <w:ilvl w:val="0"/>
          <w:numId w:val="0"/>
        </w:numPr>
        <w:tabs>
          <w:tab w:val="left" w:pos="420"/>
        </w:tabs>
        <w:adjustRightInd/>
        <w:snapToGrid/>
        <w:spacing w:after="0" w:line="360" w:lineRule="auto"/>
        <w:ind w:leftChars="200"/>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Cs w:val="24"/>
          <w:highlight w:val="none"/>
          <w:lang w:val="en-US" w:eastAsia="zh-CN"/>
        </w:rPr>
        <w:t>合同履约期间，乙方种植区域内如有甲方或其他国有企业、行政机关、事业单位的工</w:t>
      </w:r>
    </w:p>
    <w:p w14:paraId="105F4FDB">
      <w:pPr>
        <w:widowControl w:val="0"/>
        <w:numPr>
          <w:ilvl w:val="0"/>
          <w:numId w:val="0"/>
        </w:numPr>
        <w:tabs>
          <w:tab w:val="left" w:pos="420"/>
        </w:tabs>
        <w:adjustRightInd/>
        <w:snapToGrid/>
        <w:spacing w:after="0" w:line="360" w:lineRule="auto"/>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程进行施工的，乙方须无条件配合。</w:t>
      </w:r>
      <w:bookmarkStart w:id="150" w:name="_Toc485972573"/>
      <w:bookmarkStart w:id="151" w:name="_Toc486510822"/>
      <w:bookmarkStart w:id="152" w:name="_Toc30224"/>
    </w:p>
    <w:p w14:paraId="7995A7EA">
      <w:pPr>
        <w:widowControl w:val="0"/>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（10）关于生产资料和农事服务：甲方有优良种子、配方肥的，乙方应优先采用；甲方有销售渠道的，在同等情况下应优先采用甲方提供的渠道销售。</w:t>
      </w:r>
    </w:p>
    <w:p w14:paraId="13CF54AA">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lang w:val="en-US" w:eastAsia="zh-CN"/>
        </w:rPr>
      </w:pPr>
      <w:r>
        <w:rPr>
          <w:rFonts w:hint="eastAsia" w:ascii="宋体" w:hAnsi="宋体" w:cs="宋体"/>
          <w:color w:val="auto"/>
          <w:kern w:val="2"/>
          <w:sz w:val="21"/>
          <w:szCs w:val="21"/>
          <w:highlight w:val="none"/>
          <w:lang w:val="en-US" w:eastAsia="zh-CN"/>
        </w:rPr>
        <w:t>（11）销售时，乙方应做好每日台账，台账内容需至少包括时间、重量、价格，台账需每日上报甲方并接受甲方监管。</w:t>
      </w:r>
    </w:p>
    <w:p w14:paraId="15FFCF66">
      <w:pPr>
        <w:widowControl w:val="0"/>
        <w:numPr>
          <w:ilvl w:val="0"/>
          <w:numId w:val="0"/>
        </w:numPr>
        <w:tabs>
          <w:tab w:val="left" w:pos="420"/>
        </w:tabs>
        <w:adjustRightInd/>
        <w:snapToGrid/>
        <w:spacing w:after="0"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、验收</w:t>
      </w:r>
      <w:bookmarkEnd w:id="150"/>
      <w:bookmarkEnd w:id="151"/>
      <w:bookmarkEnd w:id="152"/>
    </w:p>
    <w:p w14:paraId="644666C4">
      <w:pPr>
        <w:widowControl w:val="0"/>
        <w:autoSpaceDE w:val="0"/>
        <w:autoSpaceDN w:val="0"/>
        <w:adjustRightInd/>
        <w:snapToGrid/>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合同签订并</w:t>
      </w:r>
      <w:r>
        <w:rPr>
          <w:rFonts w:hint="eastAsia" w:ascii="宋体" w:hAnsi="宋体" w:eastAsia="宋体" w:cs="宋体"/>
          <w:color w:val="auto"/>
          <w:kern w:val="2"/>
          <w:sz w:val="21"/>
          <w:szCs w:val="21"/>
          <w:highlight w:val="none"/>
        </w:rPr>
        <w:t>正式移交乙方进行种植作业</w:t>
      </w:r>
      <w:r>
        <w:rPr>
          <w:rFonts w:hint="eastAsia" w:ascii="宋体" w:hAnsi="宋体" w:eastAsia="宋体" w:cs="宋体"/>
          <w:color w:val="auto"/>
          <w:kern w:val="2"/>
          <w:sz w:val="21"/>
          <w:szCs w:val="21"/>
          <w:highlight w:val="none"/>
          <w:lang w:val="en-US" w:eastAsia="zh-CN"/>
        </w:rPr>
        <w:t>后</w:t>
      </w:r>
      <w:r>
        <w:rPr>
          <w:rFonts w:hint="eastAsia" w:ascii="宋体" w:hAnsi="宋体" w:eastAsia="宋体" w:cs="宋体"/>
          <w:color w:val="auto"/>
          <w:kern w:val="2"/>
          <w:sz w:val="21"/>
          <w:szCs w:val="21"/>
          <w:highlight w:val="none"/>
        </w:rPr>
        <w:t>，场地质量由乙方负责。</w:t>
      </w:r>
    </w:p>
    <w:p w14:paraId="31C58AF3">
      <w:pPr>
        <w:widowControl w:val="0"/>
        <w:autoSpaceDE w:val="0"/>
        <w:autoSpaceDN w:val="0"/>
        <w:adjustRightInd/>
        <w:snapToGrid/>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2、成熟后，乙方负责收割，并对质量及产量负责。</w:t>
      </w:r>
    </w:p>
    <w:p w14:paraId="15351B08">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3" w:name="_Toc486510824"/>
      <w:bookmarkStart w:id="154" w:name="_Toc11514"/>
      <w:bookmarkStart w:id="155" w:name="_Toc485972575"/>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、违约责任</w:t>
      </w:r>
      <w:bookmarkEnd w:id="153"/>
      <w:bookmarkEnd w:id="154"/>
      <w:bookmarkEnd w:id="155"/>
    </w:p>
    <w:p w14:paraId="748B8E07">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bookmarkStart w:id="156" w:name="_Toc485972576"/>
      <w:bookmarkStart w:id="157" w:name="_Toc486510825"/>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、乙方应服从甲方的现场管理，如对场地田块、道路、渠道等造成损坏，负责修缮，如不服从管理，按照5000~20000元/次向甲方支付违约金，违约金在当期项目进度款中直接扣除，不足部分在</w:t>
      </w:r>
      <w:r>
        <w:rPr>
          <w:rFonts w:hint="eastAsia" w:ascii="宋体" w:hAnsi="宋体" w:eastAsia="宋体" w:cs="宋体"/>
          <w:color w:val="auto"/>
          <w:kern w:val="2"/>
          <w:sz w:val="21"/>
          <w:szCs w:val="21"/>
          <w:highlight w:val="none"/>
          <w:lang w:val="en-US" w:eastAsia="zh-CN"/>
        </w:rPr>
        <w:t>履约保证金</w:t>
      </w:r>
      <w:r>
        <w:rPr>
          <w:rFonts w:hint="eastAsia" w:ascii="宋体" w:hAnsi="宋体" w:eastAsia="宋体" w:cs="宋体"/>
          <w:color w:val="auto"/>
          <w:kern w:val="2"/>
          <w:sz w:val="21"/>
          <w:szCs w:val="21"/>
          <w:highlight w:val="none"/>
        </w:rPr>
        <w:t>中一次性扣除</w:t>
      </w:r>
      <w:r>
        <w:rPr>
          <w:rFonts w:hint="eastAsia" w:ascii="宋体" w:hAnsi="宋体" w:eastAsia="宋体" w:cs="宋体"/>
          <w:color w:val="auto"/>
          <w:kern w:val="2"/>
          <w:sz w:val="21"/>
          <w:szCs w:val="21"/>
          <w:highlight w:val="none"/>
          <w:lang w:eastAsia="zh-CN"/>
        </w:rPr>
        <w:t>，</w:t>
      </w:r>
    </w:p>
    <w:p w14:paraId="51F6C309">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2、乙方私自将西兰花外运</w:t>
      </w:r>
      <w:r>
        <w:rPr>
          <w:rFonts w:hint="eastAsia" w:ascii="宋体" w:hAnsi="宋体" w:cs="宋体"/>
          <w:color w:val="auto"/>
          <w:kern w:val="2"/>
          <w:sz w:val="21"/>
          <w:szCs w:val="21"/>
          <w:highlight w:val="none"/>
          <w:lang w:val="en-US" w:eastAsia="zh-CN"/>
        </w:rPr>
        <w:t>或销售</w:t>
      </w:r>
      <w:r>
        <w:rPr>
          <w:rFonts w:hint="eastAsia" w:ascii="宋体" w:hAnsi="宋体" w:eastAsia="宋体" w:cs="宋体"/>
          <w:color w:val="auto"/>
          <w:kern w:val="2"/>
          <w:sz w:val="21"/>
          <w:szCs w:val="21"/>
          <w:highlight w:val="none"/>
          <w:lang w:val="en-US" w:eastAsia="zh-CN"/>
        </w:rPr>
        <w:t>的，视为乙方违约，按</w:t>
      </w:r>
      <w:r>
        <w:rPr>
          <w:rFonts w:hint="eastAsia" w:ascii="宋体" w:hAnsi="宋体" w:cs="宋体"/>
          <w:color w:val="auto"/>
          <w:kern w:val="2"/>
          <w:sz w:val="21"/>
          <w:szCs w:val="21"/>
          <w:highlight w:val="none"/>
          <w:u w:val="single"/>
          <w:lang w:val="en-US" w:eastAsia="zh-CN"/>
        </w:rPr>
        <w:t>本合同第四条约定的保底收益</w:t>
      </w:r>
      <w:r>
        <w:rPr>
          <w:rFonts w:hint="eastAsia" w:ascii="宋体" w:hAnsi="宋体" w:eastAsia="宋体" w:cs="宋体"/>
          <w:color w:val="auto"/>
          <w:kern w:val="2"/>
          <w:sz w:val="21"/>
          <w:szCs w:val="21"/>
          <w:highlight w:val="none"/>
          <w:lang w:val="en-US" w:eastAsia="zh-CN"/>
        </w:rPr>
        <w:t>×3计算所得金额支付违约金。</w:t>
      </w:r>
    </w:p>
    <w:p w14:paraId="2B77E799">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8" w:name="_Toc14713"/>
      <w:r>
        <w:rPr>
          <w:rFonts w:hint="eastAsia" w:ascii="宋体" w:hAnsi="宋体" w:eastAsia="宋体" w:cs="宋体"/>
          <w:b/>
          <w:color w:val="auto"/>
          <w:sz w:val="21"/>
          <w:szCs w:val="21"/>
          <w:highlight w:val="none"/>
        </w:rPr>
        <w:t>十四、争议</w:t>
      </w:r>
      <w:bookmarkEnd w:id="156"/>
      <w:bookmarkEnd w:id="157"/>
      <w:bookmarkEnd w:id="158"/>
    </w:p>
    <w:p w14:paraId="4024F40A">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双方在执行合同中所发生的一切争议，应通过协商解决。如协商不成，双方均有权向甲方所在地人民法院提起诉讼。</w:t>
      </w:r>
    </w:p>
    <w:p w14:paraId="0A493251">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9" w:name="_Toc485972577"/>
      <w:bookmarkStart w:id="160" w:name="_Toc486510826"/>
      <w:bookmarkStart w:id="161" w:name="_Toc12023"/>
      <w:r>
        <w:rPr>
          <w:rFonts w:hint="eastAsia" w:ascii="宋体" w:hAnsi="宋体" w:eastAsia="宋体" w:cs="宋体"/>
          <w:b/>
          <w:color w:val="auto"/>
          <w:sz w:val="21"/>
          <w:szCs w:val="21"/>
          <w:highlight w:val="none"/>
        </w:rPr>
        <w:t>十五、其他</w:t>
      </w:r>
      <w:bookmarkEnd w:id="159"/>
      <w:bookmarkEnd w:id="160"/>
      <w:bookmarkEnd w:id="161"/>
    </w:p>
    <w:p w14:paraId="4D13AE7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1、本合同正本贰份，甲方各执壹份，副本陆份，甲乙双方各执叁份，经甲乙双方法定代表人或授权委托人签字并盖章后生效。</w:t>
      </w:r>
    </w:p>
    <w:p w14:paraId="0DEFBCF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2、本合同签订时间为     年   月   日，签订地点为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04D6C36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以下无正文。</w:t>
      </w:r>
    </w:p>
    <w:p w14:paraId="6283C7D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p>
    <w:p w14:paraId="70C58F6F">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p>
    <w:tbl>
      <w:tblPr>
        <w:tblStyle w:val="45"/>
        <w:tblW w:w="0" w:type="auto"/>
        <w:jc w:val="center"/>
        <w:tblLayout w:type="fixed"/>
        <w:tblCellMar>
          <w:top w:w="0" w:type="dxa"/>
          <w:left w:w="108" w:type="dxa"/>
          <w:bottom w:w="0" w:type="dxa"/>
          <w:right w:w="108" w:type="dxa"/>
        </w:tblCellMar>
      </w:tblPr>
      <w:tblGrid>
        <w:gridCol w:w="4421"/>
        <w:gridCol w:w="4101"/>
      </w:tblGrid>
      <w:tr w14:paraId="5650362D">
        <w:tblPrEx>
          <w:tblCellMar>
            <w:top w:w="0" w:type="dxa"/>
            <w:left w:w="108" w:type="dxa"/>
            <w:bottom w:w="0" w:type="dxa"/>
            <w:right w:w="108" w:type="dxa"/>
          </w:tblCellMar>
        </w:tblPrEx>
        <w:trPr>
          <w:trHeight w:val="940" w:hRule="atLeast"/>
          <w:jc w:val="center"/>
        </w:trPr>
        <w:tc>
          <w:tcPr>
            <w:tcW w:w="4421" w:type="dxa"/>
            <w:noWrap w:val="0"/>
            <w:vAlign w:val="top"/>
          </w:tcPr>
          <w:p w14:paraId="3CE6EC1C">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甲方（盖章）：</w:t>
            </w:r>
          </w:p>
          <w:p w14:paraId="5EDA77A4">
            <w:pPr>
              <w:widowControl w:val="0"/>
              <w:adjustRightInd/>
              <w:snapToGrid/>
              <w:spacing w:after="0" w:line="360" w:lineRule="auto"/>
              <w:jc w:val="both"/>
              <w:rPr>
                <w:rFonts w:hint="eastAsia" w:ascii="宋体" w:hAnsi="宋体" w:eastAsia="宋体" w:cs="宋体"/>
                <w:color w:val="auto"/>
                <w:kern w:val="2"/>
                <w:sz w:val="21"/>
                <w:szCs w:val="21"/>
                <w:highlight w:val="none"/>
              </w:rPr>
            </w:pPr>
          </w:p>
          <w:p w14:paraId="0CD70FAB">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w:t>
            </w:r>
          </w:p>
          <w:p w14:paraId="5558F4EA">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568C3D01">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1638977E">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邮政编码：电话：</w:t>
            </w:r>
          </w:p>
          <w:p w14:paraId="2CE66DA1">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p w14:paraId="3B26204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w:t>
            </w:r>
          </w:p>
          <w:p w14:paraId="71B1C097">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p w14:paraId="032FB4F0">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税号：</w:t>
            </w:r>
          </w:p>
        </w:tc>
        <w:tc>
          <w:tcPr>
            <w:tcW w:w="4101" w:type="dxa"/>
            <w:noWrap w:val="0"/>
            <w:vAlign w:val="top"/>
          </w:tcPr>
          <w:p w14:paraId="7EA7F75B">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乙方（盖章）： </w:t>
            </w:r>
          </w:p>
          <w:p w14:paraId="1C291AF3">
            <w:pPr>
              <w:widowControl w:val="0"/>
              <w:adjustRightInd/>
              <w:snapToGrid/>
              <w:spacing w:after="0" w:line="360" w:lineRule="auto"/>
              <w:jc w:val="both"/>
              <w:rPr>
                <w:rFonts w:hint="eastAsia" w:ascii="宋体" w:hAnsi="宋体" w:eastAsia="宋体" w:cs="宋体"/>
                <w:color w:val="auto"/>
                <w:kern w:val="2"/>
                <w:sz w:val="21"/>
                <w:szCs w:val="21"/>
                <w:highlight w:val="none"/>
              </w:rPr>
            </w:pPr>
          </w:p>
          <w:p w14:paraId="4ACB0844">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w:t>
            </w:r>
          </w:p>
          <w:p w14:paraId="53979B0F">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2D0C48AC">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5C30150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p>
          <w:p w14:paraId="36640F1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p w14:paraId="4A27269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p w14:paraId="48650B72">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p>
          <w:p w14:paraId="17780718">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bl>
    <w:p w14:paraId="303E205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月</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日</w:t>
      </w:r>
    </w:p>
    <w:p w14:paraId="6E06EC16">
      <w:pPr>
        <w:ind w:firstLine="5224" w:firstLineChars="1626"/>
        <w:rPr>
          <w:rFonts w:hint="eastAsia"/>
          <w:b/>
          <w:bCs/>
          <w:color w:val="auto"/>
          <w:kern w:val="44"/>
          <w:sz w:val="32"/>
          <w:szCs w:val="32"/>
          <w:highlight w:val="none"/>
        </w:rPr>
        <w:sectPr>
          <w:footerReference r:id="rId14" w:type="default"/>
          <w:pgSz w:w="11907" w:h="16840"/>
          <w:pgMar w:top="1304" w:right="1588" w:bottom="1304" w:left="1588" w:header="720" w:footer="720" w:gutter="0"/>
          <w:pgNumType w:fmt="decimal"/>
          <w:cols w:space="720" w:num="1"/>
          <w:titlePg/>
          <w:docGrid w:linePitch="285" w:charSpace="0"/>
        </w:sectPr>
      </w:pPr>
    </w:p>
    <w:p w14:paraId="7BA257A3">
      <w:pPr>
        <w:jc w:val="center"/>
        <w:rPr>
          <w:b/>
          <w:bCs/>
          <w:color w:val="auto"/>
          <w:kern w:val="44"/>
          <w:sz w:val="32"/>
          <w:szCs w:val="32"/>
          <w:highlight w:val="none"/>
        </w:rPr>
      </w:pPr>
      <w:r>
        <w:rPr>
          <w:rFonts w:hint="eastAsia"/>
          <w:b/>
          <w:bCs/>
          <w:color w:val="auto"/>
          <w:kern w:val="44"/>
          <w:sz w:val="32"/>
          <w:szCs w:val="32"/>
          <w:highlight w:val="none"/>
        </w:rPr>
        <w:t>第七部分格式与表格</w:t>
      </w:r>
      <w:bookmarkEnd w:id="0"/>
      <w:bookmarkEnd w:id="109"/>
    </w:p>
    <w:p w14:paraId="6CD33A59">
      <w:pPr>
        <w:jc w:val="center"/>
        <w:rPr>
          <w:b/>
          <w:bCs/>
          <w:color w:val="auto"/>
          <w:kern w:val="44"/>
          <w:sz w:val="32"/>
          <w:szCs w:val="32"/>
          <w:highlight w:val="none"/>
        </w:rPr>
      </w:pPr>
    </w:p>
    <w:p w14:paraId="398FD3AF">
      <w:pPr>
        <w:spacing w:line="360" w:lineRule="auto"/>
        <w:rPr>
          <w:rFonts w:ascii="宋体" w:hAnsi="宋体" w:cs="宋体"/>
          <w:color w:val="auto"/>
          <w:szCs w:val="21"/>
          <w:highlight w:val="none"/>
        </w:rPr>
      </w:pPr>
      <w:r>
        <w:rPr>
          <w:rFonts w:hint="eastAsia" w:ascii="宋体" w:hAnsi="宋体" w:cs="宋体"/>
          <w:color w:val="auto"/>
          <w:szCs w:val="21"/>
          <w:highlight w:val="none"/>
        </w:rPr>
        <w:t>1.所有投标文件的外</w:t>
      </w:r>
      <w:r>
        <w:rPr>
          <w:rFonts w:hint="eastAsia" w:ascii="宋体" w:hAnsi="宋体" w:cs="宋体"/>
          <w:color w:val="auto"/>
          <w:szCs w:val="21"/>
          <w:highlight w:val="none"/>
          <w:lang w:eastAsia="zh-CN"/>
        </w:rPr>
        <w:t>包装（含包装材料）</w:t>
      </w:r>
      <w:r>
        <w:rPr>
          <w:rFonts w:hint="eastAsia" w:ascii="宋体" w:hAnsi="宋体" w:cs="宋体"/>
          <w:color w:val="auto"/>
          <w:szCs w:val="21"/>
          <w:highlight w:val="none"/>
        </w:rPr>
        <w:t>封面格式：</w:t>
      </w:r>
    </w:p>
    <w:p w14:paraId="6E20718A">
      <w:pPr>
        <w:spacing w:line="360" w:lineRule="auto"/>
        <w:jc w:val="center"/>
        <w:rPr>
          <w:rFonts w:ascii="宋体" w:hAnsi="宋体" w:cs="宋体"/>
          <w:bCs/>
          <w:color w:val="auto"/>
          <w:szCs w:val="21"/>
          <w:highlight w:val="none"/>
        </w:rPr>
      </w:pPr>
    </w:p>
    <w:p w14:paraId="3A0E80C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139A295D">
      <w:pPr>
        <w:spacing w:line="360" w:lineRule="auto"/>
        <w:rPr>
          <w:rFonts w:ascii="宋体" w:hAnsi="宋体" w:cs="宋体"/>
          <w:bCs/>
          <w:color w:val="auto"/>
          <w:szCs w:val="21"/>
          <w:highlight w:val="none"/>
        </w:rPr>
      </w:pPr>
    </w:p>
    <w:p w14:paraId="5BC5A98F">
      <w:pPr>
        <w:spacing w:line="360" w:lineRule="auto"/>
        <w:rPr>
          <w:rFonts w:ascii="宋体" w:hAnsi="宋体" w:cs="宋体"/>
          <w:bCs/>
          <w:color w:val="auto"/>
          <w:szCs w:val="21"/>
          <w:highlight w:val="none"/>
        </w:rPr>
      </w:pPr>
    </w:p>
    <w:p w14:paraId="0F5AB743">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4D3808E6">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14:paraId="7251E4A7">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投标文件名称：资格证明文件/报价文件/技术商务文件 </w:t>
      </w:r>
    </w:p>
    <w:p w14:paraId="6BB22350">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投标人名称（盖章）：</w:t>
      </w:r>
    </w:p>
    <w:p w14:paraId="21BD740E">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投标人地址：</w:t>
      </w:r>
    </w:p>
    <w:p w14:paraId="228C80B3">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法定代表人或授权代表人（签字或盖章）</w:t>
      </w:r>
    </w:p>
    <w:p w14:paraId="14289DCE">
      <w:pPr>
        <w:pStyle w:val="8"/>
        <w:spacing w:line="360" w:lineRule="auto"/>
        <w:ind w:firstLine="1785" w:firstLineChars="850"/>
        <w:rPr>
          <w:rFonts w:hAnsi="宋体" w:cs="宋体"/>
          <w:bCs/>
          <w:color w:val="auto"/>
          <w:szCs w:val="21"/>
          <w:highlight w:val="none"/>
        </w:rPr>
      </w:pPr>
      <w:r>
        <w:rPr>
          <w:rFonts w:hint="eastAsia" w:hAnsi="宋体" w:cs="宋体"/>
          <w:color w:val="auto"/>
          <w:szCs w:val="21"/>
          <w:highlight w:val="none"/>
        </w:rPr>
        <w:t xml:space="preserve">                  开标时启封</w:t>
      </w:r>
    </w:p>
    <w:p w14:paraId="49E55E71">
      <w:pPr>
        <w:spacing w:line="360" w:lineRule="auto"/>
        <w:ind w:firstLine="3570" w:firstLineChars="1700"/>
        <w:rPr>
          <w:rFonts w:ascii="宋体" w:hAnsi="宋体" w:cs="宋体"/>
          <w:bCs/>
          <w:color w:val="auto"/>
          <w:szCs w:val="21"/>
          <w:highlight w:val="none"/>
        </w:rPr>
      </w:pPr>
    </w:p>
    <w:p w14:paraId="353B3B70">
      <w:pPr>
        <w:spacing w:line="360" w:lineRule="auto"/>
        <w:ind w:firstLine="645"/>
        <w:jc w:val="center"/>
        <w:rPr>
          <w:rFonts w:ascii="宋体" w:hAnsi="宋体" w:cs="宋体"/>
          <w:bCs/>
          <w:color w:val="auto"/>
          <w:szCs w:val="21"/>
          <w:highlight w:val="none"/>
        </w:rPr>
      </w:pPr>
      <w:r>
        <w:rPr>
          <w:rFonts w:hint="eastAsia" w:ascii="宋体" w:hAnsi="宋体" w:cs="宋体"/>
          <w:bCs/>
          <w:color w:val="auto"/>
          <w:szCs w:val="21"/>
          <w:highlight w:val="none"/>
        </w:rPr>
        <w:t xml:space="preserve">                        年  月  日</w:t>
      </w:r>
    </w:p>
    <w:p w14:paraId="2262E0DD">
      <w:pPr>
        <w:spacing w:line="360" w:lineRule="auto"/>
        <w:jc w:val="center"/>
        <w:outlineLvl w:val="1"/>
        <w:rPr>
          <w:rFonts w:ascii="宋体" w:hAnsi="宋体" w:cs="宋体"/>
          <w:color w:val="auto"/>
          <w:szCs w:val="21"/>
          <w:highlight w:val="none"/>
        </w:rPr>
      </w:pPr>
    </w:p>
    <w:p w14:paraId="4EEBFB69">
      <w:pPr>
        <w:spacing w:line="360" w:lineRule="auto"/>
        <w:rPr>
          <w:rFonts w:ascii="宋体" w:hAnsi="宋体" w:cs="宋体"/>
          <w:color w:val="auto"/>
          <w:szCs w:val="21"/>
          <w:highlight w:val="none"/>
        </w:rPr>
      </w:pPr>
    </w:p>
    <w:p w14:paraId="122DFFB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2.封面格式： </w:t>
      </w:r>
    </w:p>
    <w:p w14:paraId="74672590">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正本</w:t>
      </w:r>
    </w:p>
    <w:p w14:paraId="3BB42C12">
      <w:pPr>
        <w:spacing w:line="360" w:lineRule="auto"/>
        <w:rPr>
          <w:rFonts w:ascii="宋体" w:hAnsi="宋体" w:cs="宋体"/>
          <w:bCs/>
          <w:color w:val="auto"/>
          <w:szCs w:val="21"/>
          <w:highlight w:val="none"/>
        </w:rPr>
      </w:pPr>
    </w:p>
    <w:p w14:paraId="4F4D5AC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5ADFDF57">
      <w:pPr>
        <w:spacing w:line="360" w:lineRule="auto"/>
        <w:rPr>
          <w:rFonts w:ascii="宋体" w:hAnsi="宋体" w:cs="宋体"/>
          <w:bCs/>
          <w:color w:val="auto"/>
          <w:szCs w:val="21"/>
          <w:highlight w:val="none"/>
        </w:rPr>
      </w:pPr>
    </w:p>
    <w:p w14:paraId="42CF7477">
      <w:pPr>
        <w:spacing w:line="360" w:lineRule="auto"/>
        <w:rPr>
          <w:rFonts w:ascii="宋体" w:hAnsi="宋体" w:cs="宋体"/>
          <w:bCs/>
          <w:color w:val="auto"/>
          <w:szCs w:val="21"/>
          <w:highlight w:val="none"/>
        </w:rPr>
      </w:pPr>
    </w:p>
    <w:p w14:paraId="266C5B48">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0908D715">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项目编号：  </w:t>
      </w:r>
    </w:p>
    <w:p w14:paraId="46E5F5BC">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投标文件名称：资格证明文件/报价文件/技术商务文件</w:t>
      </w:r>
    </w:p>
    <w:p w14:paraId="16B0058A">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投标人名称（盖章）：</w:t>
      </w:r>
    </w:p>
    <w:p w14:paraId="7D94D654">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投标人地址：</w:t>
      </w:r>
    </w:p>
    <w:p w14:paraId="69440E3F">
      <w:pPr>
        <w:pStyle w:val="8"/>
        <w:spacing w:line="360" w:lineRule="auto"/>
        <w:ind w:firstLine="840" w:firstLineChars="400"/>
        <w:rPr>
          <w:rFonts w:hAnsi="宋体" w:cs="宋体"/>
          <w:bCs/>
          <w:color w:val="auto"/>
          <w:szCs w:val="21"/>
          <w:highlight w:val="none"/>
        </w:rPr>
      </w:pPr>
    </w:p>
    <w:p w14:paraId="6967EBBD">
      <w:pPr>
        <w:pStyle w:val="8"/>
        <w:spacing w:line="360" w:lineRule="auto"/>
        <w:ind w:firstLine="873" w:firstLineChars="416"/>
        <w:rPr>
          <w:rFonts w:hAnsi="宋体" w:cs="宋体"/>
          <w:color w:val="auto"/>
          <w:szCs w:val="21"/>
          <w:highlight w:val="none"/>
        </w:rPr>
      </w:pPr>
    </w:p>
    <w:p w14:paraId="46980FDB">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授权代表签章：</w:t>
      </w:r>
    </w:p>
    <w:p w14:paraId="4F85B004">
      <w:pPr>
        <w:spacing w:line="360" w:lineRule="auto"/>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1D07D920">
      <w:pPr>
        <w:pStyle w:val="18"/>
        <w:tabs>
          <w:tab w:val="left" w:pos="4841"/>
        </w:tabs>
        <w:rPr>
          <w:rFonts w:ascii="宋体" w:hAnsi="宋体"/>
          <w:b/>
          <w:color w:val="auto"/>
          <w:sz w:val="28"/>
          <w:szCs w:val="28"/>
          <w:highlight w:val="none"/>
        </w:rPr>
      </w:pPr>
    </w:p>
    <w:p w14:paraId="64741A45">
      <w:pPr>
        <w:pStyle w:val="18"/>
        <w:tabs>
          <w:tab w:val="left" w:pos="4841"/>
        </w:tabs>
        <w:rPr>
          <w:rFonts w:ascii="宋体" w:hAnsi="宋体"/>
          <w:b/>
          <w:color w:val="auto"/>
          <w:sz w:val="28"/>
          <w:szCs w:val="28"/>
          <w:highlight w:val="none"/>
        </w:rPr>
      </w:pPr>
    </w:p>
    <w:p w14:paraId="6C214452">
      <w:pPr>
        <w:pStyle w:val="3"/>
        <w:spacing w:before="0" w:after="0" w:line="240" w:lineRule="auto"/>
        <w:ind w:right="-567"/>
        <w:jc w:val="left"/>
        <w:rPr>
          <w:rFonts w:ascii="宋体" w:hAnsi="宋体" w:eastAsia="宋体" w:cs="宋体"/>
          <w:b w:val="0"/>
          <w:color w:val="auto"/>
          <w:sz w:val="21"/>
          <w:szCs w:val="21"/>
          <w:highlight w:val="none"/>
        </w:rPr>
      </w:pPr>
      <w:bookmarkStart w:id="162" w:name="_Toc97372565"/>
      <w:r>
        <w:rPr>
          <w:rFonts w:hint="eastAsia" w:ascii="宋体" w:hAnsi="宋体" w:eastAsia="宋体" w:cs="宋体"/>
          <w:b w:val="0"/>
          <w:color w:val="auto"/>
          <w:sz w:val="21"/>
          <w:szCs w:val="21"/>
          <w:highlight w:val="none"/>
        </w:rPr>
        <w:t xml:space="preserve">格式一 </w:t>
      </w:r>
      <w:bookmarkEnd w:id="162"/>
    </w:p>
    <w:p w14:paraId="11D8A659">
      <w:pPr>
        <w:pStyle w:val="2"/>
        <w:spacing w:line="360" w:lineRule="exact"/>
        <w:rPr>
          <w:rFonts w:hAnsi="宋体" w:cs="宋体"/>
          <w:color w:val="auto"/>
          <w:sz w:val="21"/>
          <w:szCs w:val="21"/>
          <w:highlight w:val="none"/>
        </w:rPr>
      </w:pPr>
      <w:bookmarkStart w:id="163" w:name="_Toc496003216"/>
      <w:bookmarkStart w:id="164" w:name="_Toc498429649"/>
      <w:r>
        <w:rPr>
          <w:rFonts w:hint="eastAsia" w:hAnsi="宋体" w:cs="宋体"/>
          <w:color w:val="auto"/>
          <w:sz w:val="21"/>
          <w:szCs w:val="21"/>
          <w:highlight w:val="none"/>
        </w:rPr>
        <w:t>投标函</w:t>
      </w:r>
      <w:bookmarkEnd w:id="163"/>
      <w:bookmarkEnd w:id="164"/>
    </w:p>
    <w:p w14:paraId="6BD1B653">
      <w:pPr>
        <w:spacing w:line="360" w:lineRule="exact"/>
        <w:rPr>
          <w:rFonts w:ascii="宋体" w:hAnsi="宋体" w:cs="宋体"/>
          <w:color w:val="auto"/>
          <w:w w:val="80"/>
          <w:szCs w:val="21"/>
          <w:highlight w:val="none"/>
        </w:rPr>
      </w:pPr>
    </w:p>
    <w:p w14:paraId="50D052CE">
      <w:pPr>
        <w:pStyle w:val="18"/>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致：中冠工程管理咨询有限公司</w:t>
      </w:r>
    </w:p>
    <w:p w14:paraId="00BCB1A1">
      <w:pPr>
        <w:pStyle w:val="18"/>
        <w:spacing w:line="360" w:lineRule="auto"/>
        <w:ind w:firstLine="49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（全权代表姓名、职务）</w:t>
      </w:r>
      <w:r>
        <w:rPr>
          <w:rFonts w:hint="eastAsia" w:ascii="宋体" w:hAnsi="宋体" w:eastAsia="宋体" w:cs="宋体"/>
          <w:color w:val="auto"/>
          <w:sz w:val="21"/>
          <w:szCs w:val="21"/>
          <w:highlight w:val="none"/>
        </w:rPr>
        <w:t>为本公司合法代理人，参加贵方组织的</w:t>
      </w:r>
      <w:r>
        <w:rPr>
          <w:rFonts w:hint="eastAsia" w:ascii="宋体" w:hAnsi="宋体" w:eastAsia="宋体" w:cs="宋体"/>
          <w:color w:val="auto"/>
          <w:sz w:val="21"/>
          <w:szCs w:val="21"/>
          <w:highlight w:val="none"/>
          <w:u w:val="single"/>
        </w:rPr>
        <w:t>（采购编号、采购项目名称）</w:t>
      </w:r>
      <w:r>
        <w:rPr>
          <w:rFonts w:hint="eastAsia" w:ascii="宋体" w:hAnsi="宋体" w:eastAsia="宋体" w:cs="宋体"/>
          <w:color w:val="auto"/>
          <w:sz w:val="21"/>
          <w:szCs w:val="21"/>
          <w:highlight w:val="none"/>
        </w:rPr>
        <w:t>招投标活动，代表本公司处理招投标活动中的一切事宜。在此：</w:t>
      </w:r>
    </w:p>
    <w:p w14:paraId="3594AA36">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1、提供采购文件中“投标须知”规定的全部投标文件资料：</w:t>
      </w:r>
    </w:p>
    <w:p w14:paraId="5E822379">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6858714D">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19171F5">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（3）技术商务文件：正本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8FF346A">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14:paraId="043B3851">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我们已详细审查全部“招标文件”，包括修改文件（如有）以及全部参考资料和有关附件，我们完全理解并同意放弃对这方面提出任何异议的权利。已经了解对于招标文件、采购过程、采购结果有依法进行询问、质疑、投诉的权利及相关渠道和要求。</w:t>
      </w:r>
    </w:p>
    <w:p w14:paraId="6672DD66">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（2）本投标自开标之日起天内有效。</w:t>
      </w:r>
    </w:p>
    <w:p w14:paraId="354B0DE5">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（3）保证遵守招标文件有关条款规定。</w:t>
      </w:r>
    </w:p>
    <w:p w14:paraId="3243F543">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（4）保证在中标后忠实地执行与采购人所签署的合同，并承担合同规定的责任义务。保证在中标后按照招标文件的规定支付招标代理服务费。</w:t>
      </w:r>
    </w:p>
    <w:p w14:paraId="53D3F827">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（5）承诺应贵方要求提供任何与该项目投标有关的数据、情况和技术资料。</w:t>
      </w:r>
    </w:p>
    <w:p w14:paraId="0732F5E0">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3、与本投标有关的一切往来通讯请寄：</w:t>
      </w:r>
    </w:p>
    <w:p w14:paraId="01F6FE64">
      <w:pPr>
        <w:pStyle w:val="18"/>
        <w:spacing w:line="360" w:lineRule="auto"/>
        <w:ind w:left="480"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F567285">
      <w:pPr>
        <w:pStyle w:val="18"/>
        <w:spacing w:line="360" w:lineRule="auto"/>
        <w:ind w:left="480" w:firstLine="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              电话：              传真：</w:t>
      </w:r>
    </w:p>
    <w:p w14:paraId="162447BF">
      <w:pPr>
        <w:pStyle w:val="18"/>
        <w:spacing w:line="360" w:lineRule="auto"/>
        <w:ind w:firstLine="0"/>
        <w:contextualSpacing/>
        <w:rPr>
          <w:rFonts w:ascii="宋体" w:hAnsi="宋体" w:eastAsia="宋体" w:cs="宋体"/>
          <w:color w:val="auto"/>
          <w:sz w:val="21"/>
          <w:szCs w:val="21"/>
          <w:highlight w:val="none"/>
        </w:rPr>
      </w:pPr>
    </w:p>
    <w:p w14:paraId="0A0C3EC7">
      <w:pPr>
        <w:pStyle w:val="18"/>
        <w:spacing w:line="360" w:lineRule="auto"/>
        <w:ind w:firstLine="0"/>
        <w:contextualSpacing/>
        <w:rPr>
          <w:rFonts w:ascii="宋体" w:hAnsi="宋体" w:eastAsia="宋体" w:cs="宋体"/>
          <w:color w:val="auto"/>
          <w:sz w:val="21"/>
          <w:szCs w:val="21"/>
          <w:highlight w:val="none"/>
        </w:rPr>
      </w:pPr>
    </w:p>
    <w:p w14:paraId="2E1989EE">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投标人（盖章）：            </w:t>
      </w:r>
    </w:p>
    <w:p w14:paraId="683AEB20">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法定代表人或授权代表人（签字或盖章）：</w:t>
      </w:r>
    </w:p>
    <w:p w14:paraId="697156CC">
      <w:pPr>
        <w:pStyle w:val="18"/>
        <w:tabs>
          <w:tab w:val="left" w:pos="4841"/>
        </w:tabs>
        <w:spacing w:line="360" w:lineRule="auto"/>
        <w:ind w:firstLine="0"/>
        <w:contextualSpacing/>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p>
    <w:p w14:paraId="155F17B1">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rPr>
        <w:t xml:space="preserve"> 月  日</w:t>
      </w:r>
    </w:p>
    <w:p w14:paraId="739ADE1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BDB61A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731D3402">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F2BFE36">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86167C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81BD837">
      <w:pPr>
        <w:pStyle w:val="18"/>
        <w:tabs>
          <w:tab w:val="left" w:pos="4841"/>
        </w:tabs>
        <w:ind w:firstLine="0"/>
        <w:rPr>
          <w:rFonts w:ascii="宋体" w:hAnsi="宋体"/>
          <w:b/>
          <w:color w:val="auto"/>
          <w:sz w:val="28"/>
          <w:szCs w:val="28"/>
          <w:highlight w:val="none"/>
        </w:rPr>
      </w:pPr>
    </w:p>
    <w:p w14:paraId="3962EF3B">
      <w:pPr>
        <w:pStyle w:val="18"/>
        <w:tabs>
          <w:tab w:val="left" w:pos="4841"/>
        </w:tabs>
        <w:rPr>
          <w:rFonts w:hint="eastAsia" w:ascii="宋体" w:hAnsi="宋体" w:eastAsia="宋体" w:cs="宋体"/>
          <w:bCs/>
          <w:color w:val="auto"/>
          <w:sz w:val="21"/>
          <w:szCs w:val="21"/>
          <w:highlight w:val="none"/>
        </w:rPr>
      </w:pPr>
    </w:p>
    <w:p w14:paraId="470E98FF">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格式二</w:t>
      </w:r>
    </w:p>
    <w:p w14:paraId="381F1A28">
      <w:pPr>
        <w:pStyle w:val="18"/>
        <w:ind w:firstLine="0"/>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技术商务分自评表</w:t>
      </w:r>
    </w:p>
    <w:p w14:paraId="2AB6064E">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10491" w:type="dxa"/>
        <w:tblInd w:w="-98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939"/>
        <w:gridCol w:w="992"/>
        <w:gridCol w:w="993"/>
      </w:tblGrid>
      <w:tr w14:paraId="348C32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bottom w:val="single" w:color="auto" w:sz="4" w:space="0"/>
            </w:tcBorders>
            <w:tcMar>
              <w:left w:w="0" w:type="dxa"/>
              <w:right w:w="0" w:type="dxa"/>
            </w:tcMar>
            <w:vAlign w:val="center"/>
          </w:tcPr>
          <w:p w14:paraId="5EB4A866">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939" w:type="dxa"/>
            <w:tcBorders>
              <w:top w:val="single" w:color="auto" w:sz="4" w:space="0"/>
              <w:bottom w:val="single" w:color="auto" w:sz="4" w:space="0"/>
            </w:tcBorders>
            <w:tcMar>
              <w:left w:w="0" w:type="dxa"/>
              <w:right w:w="0" w:type="dxa"/>
            </w:tcMar>
            <w:vAlign w:val="center"/>
          </w:tcPr>
          <w:p w14:paraId="2FC5020F">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992" w:type="dxa"/>
            <w:tcBorders>
              <w:top w:val="single" w:color="auto" w:sz="4" w:space="0"/>
              <w:bottom w:val="single" w:color="auto" w:sz="4" w:space="0"/>
            </w:tcBorders>
            <w:tcMar>
              <w:left w:w="0" w:type="dxa"/>
              <w:right w:w="0" w:type="dxa"/>
            </w:tcMar>
            <w:vAlign w:val="center"/>
          </w:tcPr>
          <w:p w14:paraId="0A24317C">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自评分</w:t>
            </w:r>
          </w:p>
        </w:tc>
        <w:tc>
          <w:tcPr>
            <w:tcW w:w="993" w:type="dxa"/>
            <w:tcBorders>
              <w:top w:val="single" w:color="auto" w:sz="4" w:space="0"/>
              <w:bottom w:val="single" w:color="auto" w:sz="4" w:space="0"/>
            </w:tcBorders>
            <w:tcMar>
              <w:left w:w="0" w:type="dxa"/>
              <w:right w:w="0" w:type="dxa"/>
            </w:tcMar>
            <w:vAlign w:val="center"/>
          </w:tcPr>
          <w:p w14:paraId="13CCD24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页码</w:t>
            </w:r>
          </w:p>
        </w:tc>
      </w:tr>
      <w:tr w14:paraId="7CF7E8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tcBorders>
            <w:tcMar>
              <w:left w:w="0" w:type="dxa"/>
              <w:right w:w="0" w:type="dxa"/>
            </w:tcMar>
            <w:vAlign w:val="center"/>
          </w:tcPr>
          <w:p w14:paraId="63B8533E">
            <w:pPr>
              <w:pStyle w:val="18"/>
              <w:ind w:firstLine="0"/>
              <w:jc w:val="center"/>
              <w:rPr>
                <w:rFonts w:ascii="宋体" w:hAnsi="宋体" w:eastAsia="宋体" w:cs="宋体"/>
                <w:bCs/>
                <w:color w:val="auto"/>
                <w:sz w:val="21"/>
                <w:szCs w:val="21"/>
                <w:highlight w:val="none"/>
              </w:rPr>
            </w:pPr>
          </w:p>
        </w:tc>
        <w:tc>
          <w:tcPr>
            <w:tcW w:w="7939" w:type="dxa"/>
            <w:tcBorders>
              <w:top w:val="single" w:color="auto" w:sz="4" w:space="0"/>
            </w:tcBorders>
            <w:tcMar>
              <w:left w:w="0" w:type="dxa"/>
              <w:right w:w="0" w:type="dxa"/>
            </w:tcMar>
            <w:vAlign w:val="center"/>
          </w:tcPr>
          <w:p w14:paraId="20DE7DDA">
            <w:pPr>
              <w:pStyle w:val="18"/>
              <w:ind w:firstLine="0"/>
              <w:rPr>
                <w:rFonts w:ascii="宋体" w:hAnsi="宋体" w:eastAsia="宋体" w:cs="宋体"/>
                <w:color w:val="auto"/>
                <w:sz w:val="21"/>
                <w:szCs w:val="21"/>
                <w:highlight w:val="none"/>
              </w:rPr>
            </w:pPr>
          </w:p>
        </w:tc>
        <w:tc>
          <w:tcPr>
            <w:tcW w:w="992" w:type="dxa"/>
            <w:tcBorders>
              <w:top w:val="single" w:color="auto" w:sz="4" w:space="0"/>
            </w:tcBorders>
            <w:tcMar>
              <w:left w:w="0" w:type="dxa"/>
              <w:right w:w="0" w:type="dxa"/>
            </w:tcMar>
            <w:vAlign w:val="center"/>
          </w:tcPr>
          <w:p w14:paraId="1EA52A94">
            <w:pPr>
              <w:pStyle w:val="18"/>
              <w:jc w:val="center"/>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48DCFE9B">
            <w:pPr>
              <w:pStyle w:val="18"/>
              <w:jc w:val="center"/>
              <w:rPr>
                <w:rFonts w:ascii="宋体" w:hAnsi="宋体" w:eastAsia="宋体" w:cs="宋体"/>
                <w:bCs/>
                <w:color w:val="auto"/>
                <w:sz w:val="21"/>
                <w:szCs w:val="21"/>
                <w:highlight w:val="none"/>
              </w:rPr>
            </w:pPr>
          </w:p>
        </w:tc>
      </w:tr>
      <w:tr w14:paraId="1A86F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4336A4F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47FE64BA">
            <w:pPr>
              <w:spacing w:line="360" w:lineRule="exact"/>
              <w:rPr>
                <w:rFonts w:ascii="宋体" w:hAnsi="宋体" w:cs="宋体"/>
                <w:color w:val="auto"/>
                <w:szCs w:val="21"/>
                <w:highlight w:val="none"/>
              </w:rPr>
            </w:pPr>
          </w:p>
        </w:tc>
        <w:tc>
          <w:tcPr>
            <w:tcW w:w="992" w:type="dxa"/>
            <w:tcMar>
              <w:left w:w="0" w:type="dxa"/>
              <w:right w:w="0" w:type="dxa"/>
            </w:tcMar>
            <w:vAlign w:val="center"/>
          </w:tcPr>
          <w:p w14:paraId="0886F76D">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6F21B54">
            <w:pPr>
              <w:pStyle w:val="18"/>
              <w:jc w:val="center"/>
              <w:rPr>
                <w:rFonts w:ascii="宋体" w:hAnsi="宋体" w:eastAsia="宋体" w:cs="宋体"/>
                <w:bCs/>
                <w:color w:val="auto"/>
                <w:sz w:val="21"/>
                <w:szCs w:val="21"/>
                <w:highlight w:val="none"/>
              </w:rPr>
            </w:pPr>
          </w:p>
        </w:tc>
      </w:tr>
      <w:tr w14:paraId="38A8A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DC6DDF2">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85F9CB">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4D1831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B493EFD">
            <w:pPr>
              <w:pStyle w:val="18"/>
              <w:jc w:val="center"/>
              <w:rPr>
                <w:rFonts w:ascii="宋体" w:hAnsi="宋体" w:eastAsia="宋体" w:cs="宋体"/>
                <w:bCs/>
                <w:color w:val="auto"/>
                <w:sz w:val="21"/>
                <w:szCs w:val="21"/>
                <w:highlight w:val="none"/>
              </w:rPr>
            </w:pPr>
          </w:p>
        </w:tc>
      </w:tr>
      <w:tr w14:paraId="76ADBF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76BCEF9">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25BFA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5BC33052">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651DE5B9">
            <w:pPr>
              <w:pStyle w:val="18"/>
              <w:jc w:val="center"/>
              <w:rPr>
                <w:rFonts w:ascii="宋体" w:hAnsi="宋体" w:eastAsia="宋体" w:cs="宋体"/>
                <w:bCs/>
                <w:color w:val="auto"/>
                <w:sz w:val="21"/>
                <w:szCs w:val="21"/>
                <w:highlight w:val="none"/>
              </w:rPr>
            </w:pPr>
          </w:p>
        </w:tc>
      </w:tr>
      <w:tr w14:paraId="32B68C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F763415">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2BAE2844">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8CCC9F8">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3C26DD91">
            <w:pPr>
              <w:pStyle w:val="18"/>
              <w:jc w:val="center"/>
              <w:rPr>
                <w:rFonts w:ascii="宋体" w:hAnsi="宋体" w:eastAsia="宋体" w:cs="宋体"/>
                <w:bCs/>
                <w:color w:val="auto"/>
                <w:sz w:val="21"/>
                <w:szCs w:val="21"/>
                <w:highlight w:val="none"/>
              </w:rPr>
            </w:pPr>
          </w:p>
        </w:tc>
      </w:tr>
      <w:tr w14:paraId="51C9CA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93446F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285781D">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1EC9286C">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641846">
            <w:pPr>
              <w:pStyle w:val="18"/>
              <w:jc w:val="center"/>
              <w:rPr>
                <w:rFonts w:ascii="宋体" w:hAnsi="宋体" w:eastAsia="宋体" w:cs="宋体"/>
                <w:bCs/>
                <w:color w:val="auto"/>
                <w:sz w:val="21"/>
                <w:szCs w:val="21"/>
                <w:highlight w:val="none"/>
              </w:rPr>
            </w:pPr>
          </w:p>
        </w:tc>
      </w:tr>
      <w:tr w14:paraId="224795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73F4A9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001B164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69CCA90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56C5D374">
            <w:pPr>
              <w:pStyle w:val="18"/>
              <w:jc w:val="center"/>
              <w:rPr>
                <w:rFonts w:ascii="宋体" w:hAnsi="宋体" w:eastAsia="宋体" w:cs="宋体"/>
                <w:bCs/>
                <w:color w:val="auto"/>
                <w:sz w:val="21"/>
                <w:szCs w:val="21"/>
                <w:highlight w:val="none"/>
              </w:rPr>
            </w:pPr>
          </w:p>
        </w:tc>
      </w:tr>
      <w:tr w14:paraId="1177E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32841E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6A1532D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AEA2EFF">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DAB565E">
            <w:pPr>
              <w:pStyle w:val="18"/>
              <w:jc w:val="center"/>
              <w:rPr>
                <w:rFonts w:ascii="宋体" w:hAnsi="宋体" w:eastAsia="宋体" w:cs="宋体"/>
                <w:bCs/>
                <w:color w:val="auto"/>
                <w:sz w:val="21"/>
                <w:szCs w:val="21"/>
                <w:highlight w:val="none"/>
              </w:rPr>
            </w:pPr>
          </w:p>
        </w:tc>
      </w:tr>
      <w:tr w14:paraId="639821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A71245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DFA6BD3">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72621E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C332395">
            <w:pPr>
              <w:pStyle w:val="18"/>
              <w:jc w:val="center"/>
              <w:rPr>
                <w:rFonts w:ascii="宋体" w:hAnsi="宋体" w:eastAsia="宋体" w:cs="宋体"/>
                <w:bCs/>
                <w:color w:val="auto"/>
                <w:sz w:val="21"/>
                <w:szCs w:val="21"/>
                <w:highlight w:val="none"/>
              </w:rPr>
            </w:pPr>
          </w:p>
        </w:tc>
      </w:tr>
      <w:tr w14:paraId="47CD5B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59D80FC">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180F7C20">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2E70D0B">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4DC13AC">
            <w:pPr>
              <w:pStyle w:val="18"/>
              <w:jc w:val="center"/>
              <w:rPr>
                <w:rFonts w:ascii="宋体" w:hAnsi="宋体" w:eastAsia="宋体" w:cs="宋体"/>
                <w:bCs/>
                <w:color w:val="auto"/>
                <w:sz w:val="21"/>
                <w:szCs w:val="21"/>
                <w:highlight w:val="none"/>
              </w:rPr>
            </w:pPr>
          </w:p>
        </w:tc>
      </w:tr>
      <w:tr w14:paraId="2F832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445EF5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71339A6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55C04E5">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07F2EF">
            <w:pPr>
              <w:pStyle w:val="18"/>
              <w:jc w:val="center"/>
              <w:rPr>
                <w:rFonts w:ascii="宋体" w:hAnsi="宋体" w:eastAsia="宋体" w:cs="宋体"/>
                <w:bCs/>
                <w:color w:val="auto"/>
                <w:sz w:val="21"/>
                <w:szCs w:val="21"/>
                <w:highlight w:val="none"/>
              </w:rPr>
            </w:pPr>
          </w:p>
        </w:tc>
      </w:tr>
      <w:tr w14:paraId="7ACCB7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1C056B0">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A6FD6B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A9890F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FE981C8">
            <w:pPr>
              <w:pStyle w:val="18"/>
              <w:jc w:val="center"/>
              <w:rPr>
                <w:rFonts w:ascii="宋体" w:hAnsi="宋体" w:eastAsia="宋体" w:cs="宋体"/>
                <w:bCs/>
                <w:color w:val="auto"/>
                <w:sz w:val="21"/>
                <w:szCs w:val="21"/>
                <w:highlight w:val="none"/>
              </w:rPr>
            </w:pPr>
          </w:p>
        </w:tc>
      </w:tr>
      <w:tr w14:paraId="36355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8506" w:type="dxa"/>
            <w:gridSpan w:val="2"/>
            <w:tcMar>
              <w:left w:w="0" w:type="dxa"/>
              <w:right w:w="0" w:type="dxa"/>
            </w:tcMar>
            <w:vAlign w:val="center"/>
          </w:tcPr>
          <w:p w14:paraId="37703FA2">
            <w:pPr>
              <w:spacing w:line="360" w:lineRule="exact"/>
              <w:jc w:val="center"/>
              <w:rPr>
                <w:rFonts w:ascii="宋体" w:hAnsi="宋体"/>
                <w:color w:val="auto"/>
                <w:szCs w:val="21"/>
                <w:highlight w:val="none"/>
              </w:rPr>
            </w:pPr>
            <w:r>
              <w:rPr>
                <w:rFonts w:hint="eastAsia" w:ascii="宋体" w:hAnsi="宋体"/>
                <w:color w:val="auto"/>
                <w:szCs w:val="21"/>
                <w:highlight w:val="none"/>
              </w:rPr>
              <w:t>合  计</w:t>
            </w:r>
          </w:p>
        </w:tc>
        <w:tc>
          <w:tcPr>
            <w:tcW w:w="992" w:type="dxa"/>
            <w:tcMar>
              <w:left w:w="0" w:type="dxa"/>
              <w:right w:w="0" w:type="dxa"/>
            </w:tcMar>
            <w:vAlign w:val="center"/>
          </w:tcPr>
          <w:p w14:paraId="2340A19E">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7736688">
            <w:pPr>
              <w:pStyle w:val="18"/>
              <w:jc w:val="center"/>
              <w:rPr>
                <w:rFonts w:ascii="宋体" w:hAnsi="宋体" w:eastAsia="宋体" w:cs="宋体"/>
                <w:bCs/>
                <w:color w:val="auto"/>
                <w:sz w:val="21"/>
                <w:szCs w:val="21"/>
                <w:highlight w:val="none"/>
              </w:rPr>
            </w:pPr>
          </w:p>
        </w:tc>
      </w:tr>
    </w:tbl>
    <w:p w14:paraId="175389E1">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w:t>
      </w:r>
      <w:r>
        <w:rPr>
          <w:rFonts w:hint="eastAsia" w:ascii="宋体" w:hAnsi="宋体" w:eastAsia="宋体" w:cs="宋体"/>
          <w:bCs/>
          <w:color w:val="auto"/>
          <w:sz w:val="21"/>
          <w:szCs w:val="21"/>
          <w:highlight w:val="none"/>
        </w:rPr>
        <w:t>页码</w:t>
      </w:r>
      <w:r>
        <w:rPr>
          <w:rFonts w:ascii="宋体" w:hAnsi="宋体" w:eastAsia="宋体" w:cs="宋体"/>
          <w:bCs/>
          <w:color w:val="auto"/>
          <w:sz w:val="21"/>
          <w:szCs w:val="21"/>
          <w:highlight w:val="none"/>
        </w:rPr>
        <w:t>内填写评分标准对应的投标文件所在页码</w:t>
      </w:r>
      <w:r>
        <w:rPr>
          <w:rFonts w:hint="eastAsia" w:ascii="宋体" w:hAnsi="宋体" w:eastAsia="宋体" w:cs="宋体"/>
          <w:bCs/>
          <w:color w:val="auto"/>
          <w:sz w:val="21"/>
          <w:szCs w:val="21"/>
          <w:highlight w:val="none"/>
        </w:rPr>
        <w:t>。</w:t>
      </w:r>
    </w:p>
    <w:p w14:paraId="43800FED">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5A947E14">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73AD3B2">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1AD801C3">
      <w:pPr>
        <w:pStyle w:val="18"/>
        <w:tabs>
          <w:tab w:val="left" w:pos="4841"/>
        </w:tabs>
        <w:rPr>
          <w:rFonts w:ascii="宋体" w:hAnsi="宋体" w:eastAsia="宋体" w:cs="宋体"/>
          <w:bCs/>
          <w:color w:val="auto"/>
          <w:sz w:val="21"/>
          <w:szCs w:val="21"/>
          <w:highlight w:val="none"/>
        </w:rPr>
      </w:pPr>
    </w:p>
    <w:p w14:paraId="270DEAAD">
      <w:pPr>
        <w:pStyle w:val="18"/>
        <w:tabs>
          <w:tab w:val="left" w:pos="4841"/>
        </w:tabs>
        <w:rPr>
          <w:rFonts w:ascii="宋体" w:hAnsi="宋体" w:eastAsia="宋体" w:cs="宋体"/>
          <w:bCs/>
          <w:color w:val="auto"/>
          <w:sz w:val="21"/>
          <w:szCs w:val="21"/>
          <w:highlight w:val="none"/>
        </w:rPr>
        <w:sectPr>
          <w:pgSz w:w="11907" w:h="16840"/>
          <w:pgMar w:top="1304" w:right="1588" w:bottom="1304" w:left="1588" w:header="720" w:footer="720" w:gutter="0"/>
          <w:pgNumType w:fmt="decimal"/>
          <w:cols w:space="720" w:num="1"/>
          <w:titlePg/>
          <w:docGrid w:linePitch="285" w:charSpace="0"/>
        </w:sectPr>
      </w:pPr>
    </w:p>
    <w:p w14:paraId="60E91B4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格式三</w:t>
      </w:r>
    </w:p>
    <w:p w14:paraId="2DA96E55">
      <w:pPr>
        <w:pStyle w:val="18"/>
        <w:tabs>
          <w:tab w:val="left" w:pos="4841"/>
        </w:tabs>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投标一览表</w:t>
      </w:r>
    </w:p>
    <w:p w14:paraId="54948830">
      <w:pPr>
        <w:pStyle w:val="18"/>
        <w:rPr>
          <w:rFonts w:ascii="宋体" w:hAnsi="宋体" w:eastAsia="宋体" w:cs="宋体"/>
          <w:bCs/>
          <w:color w:val="auto"/>
          <w:sz w:val="21"/>
          <w:szCs w:val="21"/>
          <w:highlight w:val="none"/>
        </w:rPr>
      </w:pPr>
    </w:p>
    <w:p w14:paraId="5432318B">
      <w:pPr>
        <w:pStyle w:val="18"/>
        <w:rPr>
          <w:rFonts w:hint="eastAsia" w:ascii="宋体" w:hAnsi="宋体" w:eastAsia="方正书宋简体"/>
          <w:color w:val="auto"/>
          <w:highlight w:val="none"/>
          <w:u w:val="single"/>
          <w:lang w:val="en-US" w:eastAsia="zh-CN"/>
        </w:rPr>
      </w:pPr>
      <w:r>
        <w:rPr>
          <w:rFonts w:hint="eastAsia" w:ascii="宋体" w:hAnsi="宋体"/>
          <w:color w:val="auto"/>
          <w:highlight w:val="none"/>
        </w:rPr>
        <w:t>招标项目名称：</w:t>
      </w:r>
      <w:r>
        <w:rPr>
          <w:rFonts w:hint="eastAsia" w:ascii="宋体" w:hAnsi="宋体"/>
          <w:color w:val="auto"/>
          <w:highlight w:val="none"/>
          <w:lang w:val="en-US" w:eastAsia="zh-CN"/>
        </w:rPr>
        <w:t xml:space="preserve">                 </w:t>
      </w:r>
      <w:r>
        <w:rPr>
          <w:rFonts w:hint="eastAsia" w:ascii="宋体" w:hAnsi="宋体"/>
          <w:color w:val="auto"/>
          <w:highlight w:val="none"/>
        </w:rPr>
        <w:t>招标编号：</w:t>
      </w:r>
      <w:r>
        <w:rPr>
          <w:rFonts w:hint="eastAsia" w:ascii="宋体" w:hAnsi="宋体"/>
          <w:color w:val="auto"/>
          <w:highlight w:val="none"/>
          <w:lang w:val="en-US" w:eastAsia="zh-CN"/>
        </w:rPr>
        <w:t xml:space="preserve">          </w:t>
      </w:r>
    </w:p>
    <w:tbl>
      <w:tblPr>
        <w:tblStyle w:val="45"/>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51"/>
        <w:gridCol w:w="1045"/>
        <w:gridCol w:w="939"/>
        <w:gridCol w:w="1456"/>
        <w:gridCol w:w="1456"/>
      </w:tblGrid>
      <w:tr w14:paraId="0FB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4646E2D9">
            <w:pPr>
              <w:snapToGrid w:val="0"/>
              <w:spacing w:line="400" w:lineRule="exact"/>
              <w:jc w:val="center"/>
              <w:rPr>
                <w:szCs w:val="21"/>
                <w:highlight w:val="none"/>
              </w:rPr>
            </w:pPr>
            <w:r>
              <w:rPr>
                <w:rFonts w:hint="eastAsia"/>
                <w:szCs w:val="21"/>
                <w:highlight w:val="none"/>
              </w:rPr>
              <w:t>序号</w:t>
            </w:r>
          </w:p>
        </w:tc>
        <w:tc>
          <w:tcPr>
            <w:tcW w:w="2751" w:type="dxa"/>
            <w:noWrap w:val="0"/>
            <w:vAlign w:val="center"/>
          </w:tcPr>
          <w:p w14:paraId="5618DB4E">
            <w:pPr>
              <w:spacing w:line="400" w:lineRule="exact"/>
              <w:jc w:val="center"/>
              <w:rPr>
                <w:rFonts w:hint="default" w:eastAsia="宋体"/>
                <w:szCs w:val="21"/>
                <w:highlight w:val="none"/>
                <w:lang w:val="en-US" w:eastAsia="zh-CN"/>
              </w:rPr>
            </w:pPr>
            <w:r>
              <w:rPr>
                <w:rFonts w:hint="eastAsia"/>
                <w:szCs w:val="21"/>
                <w:highlight w:val="none"/>
                <w:lang w:val="en-US" w:eastAsia="zh-CN"/>
              </w:rPr>
              <w:t>报价项目</w:t>
            </w:r>
          </w:p>
        </w:tc>
        <w:tc>
          <w:tcPr>
            <w:tcW w:w="1045" w:type="dxa"/>
            <w:noWrap w:val="0"/>
            <w:vAlign w:val="center"/>
          </w:tcPr>
          <w:p w14:paraId="53F3141F">
            <w:pPr>
              <w:spacing w:line="400" w:lineRule="exact"/>
              <w:jc w:val="center"/>
              <w:rPr>
                <w:rFonts w:hint="default" w:eastAsia="宋体"/>
                <w:szCs w:val="21"/>
                <w:highlight w:val="none"/>
                <w:lang w:val="en-US" w:eastAsia="zh-CN"/>
              </w:rPr>
            </w:pPr>
            <w:r>
              <w:rPr>
                <w:rFonts w:hint="eastAsia"/>
                <w:szCs w:val="21"/>
                <w:highlight w:val="none"/>
                <w:lang w:val="en-US" w:eastAsia="zh-CN"/>
              </w:rPr>
              <w:t>数量（亩）</w:t>
            </w:r>
          </w:p>
        </w:tc>
        <w:tc>
          <w:tcPr>
            <w:tcW w:w="939" w:type="dxa"/>
            <w:noWrap w:val="0"/>
            <w:vAlign w:val="center"/>
          </w:tcPr>
          <w:p w14:paraId="0AB82987">
            <w:pPr>
              <w:spacing w:line="400" w:lineRule="exact"/>
              <w:jc w:val="center"/>
              <w:rPr>
                <w:rFonts w:hint="eastAsia" w:eastAsia="宋体"/>
                <w:szCs w:val="21"/>
                <w:highlight w:val="none"/>
                <w:lang w:val="en-US" w:eastAsia="zh-CN"/>
              </w:rPr>
            </w:pPr>
            <w:r>
              <w:rPr>
                <w:rFonts w:hint="eastAsia"/>
                <w:szCs w:val="21"/>
                <w:highlight w:val="none"/>
                <w:lang w:val="en-US" w:eastAsia="zh-CN"/>
              </w:rPr>
              <w:t>单价（元）</w:t>
            </w:r>
          </w:p>
        </w:tc>
        <w:tc>
          <w:tcPr>
            <w:tcW w:w="1456" w:type="dxa"/>
            <w:noWrap w:val="0"/>
            <w:vAlign w:val="center"/>
          </w:tcPr>
          <w:p w14:paraId="303A0CC9">
            <w:pPr>
              <w:spacing w:line="400" w:lineRule="exact"/>
              <w:jc w:val="center"/>
              <w:rPr>
                <w:rFonts w:hint="eastAsia" w:eastAsia="宋体"/>
                <w:szCs w:val="21"/>
                <w:highlight w:val="none"/>
                <w:lang w:eastAsia="zh-CN"/>
              </w:rPr>
            </w:pPr>
            <w:r>
              <w:rPr>
                <w:rFonts w:hint="eastAsia"/>
                <w:szCs w:val="21"/>
                <w:highlight w:val="none"/>
                <w:lang w:val="en-US" w:eastAsia="zh-CN"/>
              </w:rPr>
              <w:t>总价（元）</w:t>
            </w:r>
          </w:p>
        </w:tc>
        <w:tc>
          <w:tcPr>
            <w:tcW w:w="1456" w:type="dxa"/>
            <w:noWrap w:val="0"/>
            <w:vAlign w:val="center"/>
          </w:tcPr>
          <w:p w14:paraId="6F9F34DE">
            <w:pPr>
              <w:spacing w:line="400" w:lineRule="exact"/>
              <w:jc w:val="center"/>
              <w:rPr>
                <w:rFonts w:hint="eastAsia"/>
                <w:szCs w:val="21"/>
                <w:highlight w:val="none"/>
                <w:lang w:val="en-US" w:eastAsia="zh-CN"/>
              </w:rPr>
            </w:pPr>
            <w:r>
              <w:rPr>
                <w:rFonts w:hint="eastAsia"/>
                <w:szCs w:val="21"/>
                <w:highlight w:val="none"/>
              </w:rPr>
              <w:t>服务</w:t>
            </w:r>
            <w:r>
              <w:rPr>
                <w:szCs w:val="21"/>
                <w:highlight w:val="none"/>
              </w:rPr>
              <w:t>期限</w:t>
            </w:r>
          </w:p>
        </w:tc>
      </w:tr>
      <w:tr w14:paraId="76E0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616D4B40">
            <w:pPr>
              <w:spacing w:line="420" w:lineRule="exact"/>
              <w:jc w:val="center"/>
              <w:rPr>
                <w:szCs w:val="21"/>
                <w:highlight w:val="none"/>
              </w:rPr>
            </w:pPr>
            <w:r>
              <w:rPr>
                <w:rFonts w:hint="eastAsia"/>
                <w:szCs w:val="21"/>
                <w:highlight w:val="none"/>
              </w:rPr>
              <w:t>1</w:t>
            </w:r>
          </w:p>
        </w:tc>
        <w:tc>
          <w:tcPr>
            <w:tcW w:w="2751" w:type="dxa"/>
            <w:noWrap w:val="0"/>
            <w:vAlign w:val="center"/>
          </w:tcPr>
          <w:p w14:paraId="2611129A">
            <w:pPr>
              <w:spacing w:line="400" w:lineRule="exact"/>
              <w:jc w:val="center"/>
              <w:rPr>
                <w:rFonts w:hint="default" w:eastAsia="宋体"/>
                <w:szCs w:val="21"/>
                <w:highlight w:val="none"/>
                <w:lang w:val="en-US" w:eastAsia="zh-CN"/>
              </w:rPr>
            </w:pPr>
            <w:r>
              <w:rPr>
                <w:rFonts w:hint="eastAsia" w:eastAsia="宋体"/>
                <w:szCs w:val="21"/>
                <w:highlight w:val="none"/>
                <w:lang w:val="en-US" w:eastAsia="zh-CN"/>
              </w:rPr>
              <w:t>种植服务</w:t>
            </w:r>
            <w:r>
              <w:rPr>
                <w:rFonts w:hint="eastAsia" w:ascii="宋体" w:hAnsi="宋体" w:cs="宋体"/>
                <w:color w:val="auto"/>
                <w:kern w:val="2"/>
                <w:sz w:val="21"/>
                <w:szCs w:val="21"/>
                <w:highlight w:val="none"/>
                <w:lang w:val="en-US" w:eastAsia="zh-CN"/>
              </w:rPr>
              <w:t>报价</w:t>
            </w:r>
          </w:p>
        </w:tc>
        <w:tc>
          <w:tcPr>
            <w:tcW w:w="1045" w:type="dxa"/>
            <w:shd w:val="clear" w:color="auto" w:fill="auto"/>
            <w:noWrap w:val="0"/>
            <w:vAlign w:val="center"/>
          </w:tcPr>
          <w:p w14:paraId="2F0DF9E9">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5654</w:t>
            </w:r>
          </w:p>
        </w:tc>
        <w:tc>
          <w:tcPr>
            <w:tcW w:w="939" w:type="dxa"/>
            <w:shd w:val="clear" w:color="auto" w:fill="auto"/>
            <w:noWrap w:val="0"/>
            <w:vAlign w:val="center"/>
          </w:tcPr>
          <w:p w14:paraId="443AF505">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p>
        </w:tc>
        <w:tc>
          <w:tcPr>
            <w:tcW w:w="1456" w:type="dxa"/>
            <w:noWrap w:val="0"/>
            <w:vAlign w:val="center"/>
          </w:tcPr>
          <w:p w14:paraId="69846628">
            <w:pPr>
              <w:snapToGrid w:val="0"/>
              <w:spacing w:line="400" w:lineRule="exact"/>
              <w:jc w:val="center"/>
              <w:rPr>
                <w:rFonts w:hint="default" w:eastAsia="宋体" w:cs="宋体"/>
                <w:szCs w:val="21"/>
                <w:highlight w:val="none"/>
                <w:lang w:val="en-US" w:eastAsia="zh-CN"/>
              </w:rPr>
            </w:pPr>
          </w:p>
        </w:tc>
        <w:tc>
          <w:tcPr>
            <w:tcW w:w="1456" w:type="dxa"/>
            <w:vMerge w:val="restart"/>
            <w:noWrap w:val="0"/>
            <w:vAlign w:val="center"/>
          </w:tcPr>
          <w:p w14:paraId="6682CF22">
            <w:pPr>
              <w:snapToGrid w:val="0"/>
              <w:spacing w:line="400" w:lineRule="exact"/>
              <w:jc w:val="center"/>
              <w:rPr>
                <w:rFonts w:hint="default" w:eastAsia="宋体" w:cs="宋体"/>
                <w:szCs w:val="21"/>
                <w:highlight w:val="none"/>
                <w:lang w:val="en-US" w:eastAsia="zh-CN"/>
              </w:rPr>
            </w:pP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tc>
      </w:tr>
      <w:tr w14:paraId="2729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5C3B493E">
            <w:pPr>
              <w:spacing w:line="420" w:lineRule="exact"/>
              <w:jc w:val="center"/>
              <w:rPr>
                <w:rFonts w:hint="eastAsia" w:eastAsia="宋体"/>
                <w:szCs w:val="21"/>
                <w:highlight w:val="none"/>
                <w:lang w:val="en-US" w:eastAsia="zh-CN"/>
              </w:rPr>
            </w:pPr>
            <w:r>
              <w:rPr>
                <w:rFonts w:hint="eastAsia"/>
                <w:szCs w:val="21"/>
                <w:highlight w:val="none"/>
                <w:lang w:val="en-US" w:eastAsia="zh-CN"/>
              </w:rPr>
              <w:t>2</w:t>
            </w:r>
          </w:p>
        </w:tc>
        <w:tc>
          <w:tcPr>
            <w:tcW w:w="2751" w:type="dxa"/>
            <w:noWrap w:val="0"/>
            <w:vAlign w:val="center"/>
          </w:tcPr>
          <w:p w14:paraId="5B97F18E">
            <w:pPr>
              <w:spacing w:line="400" w:lineRule="exact"/>
              <w:jc w:val="center"/>
              <w:rPr>
                <w:rFonts w:hint="eastAsia" w:eastAsia="宋体"/>
                <w:szCs w:val="21"/>
                <w:highlight w:val="none"/>
                <w:lang w:val="en-US" w:eastAsia="zh-CN"/>
              </w:rPr>
            </w:pPr>
            <w:r>
              <w:rPr>
                <w:rFonts w:hint="eastAsia" w:ascii="宋体" w:hAnsi="宋体" w:eastAsia="宋体" w:cs="宋体"/>
                <w:color w:val="auto"/>
                <w:kern w:val="2"/>
                <w:sz w:val="21"/>
                <w:szCs w:val="21"/>
                <w:highlight w:val="none"/>
                <w:lang w:val="en-US" w:eastAsia="zh-CN"/>
              </w:rPr>
              <w:t>保底收益</w:t>
            </w:r>
            <w:r>
              <w:rPr>
                <w:rFonts w:hint="eastAsia" w:ascii="宋体" w:hAnsi="宋体" w:cs="宋体"/>
                <w:color w:val="auto"/>
                <w:kern w:val="2"/>
                <w:sz w:val="21"/>
                <w:szCs w:val="21"/>
                <w:highlight w:val="none"/>
                <w:lang w:val="en-US" w:eastAsia="zh-CN"/>
              </w:rPr>
              <w:t>报价</w:t>
            </w:r>
          </w:p>
        </w:tc>
        <w:tc>
          <w:tcPr>
            <w:tcW w:w="1045" w:type="dxa"/>
            <w:shd w:val="clear" w:color="auto" w:fill="auto"/>
            <w:noWrap w:val="0"/>
            <w:vAlign w:val="center"/>
          </w:tcPr>
          <w:p w14:paraId="2680099F">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5654</w:t>
            </w:r>
          </w:p>
        </w:tc>
        <w:tc>
          <w:tcPr>
            <w:tcW w:w="939" w:type="dxa"/>
            <w:shd w:val="clear" w:color="auto" w:fill="auto"/>
            <w:noWrap w:val="0"/>
            <w:vAlign w:val="center"/>
          </w:tcPr>
          <w:p w14:paraId="77F19C9F">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p>
        </w:tc>
        <w:tc>
          <w:tcPr>
            <w:tcW w:w="1456" w:type="dxa"/>
            <w:noWrap w:val="0"/>
            <w:vAlign w:val="center"/>
          </w:tcPr>
          <w:p w14:paraId="178A3167">
            <w:pPr>
              <w:snapToGrid w:val="0"/>
              <w:spacing w:line="400" w:lineRule="exact"/>
              <w:jc w:val="center"/>
              <w:rPr>
                <w:rFonts w:hint="default" w:eastAsia="宋体" w:cs="宋体"/>
                <w:szCs w:val="21"/>
                <w:highlight w:val="none"/>
                <w:lang w:val="en-US" w:eastAsia="zh-CN"/>
              </w:rPr>
            </w:pPr>
          </w:p>
        </w:tc>
        <w:tc>
          <w:tcPr>
            <w:tcW w:w="1456" w:type="dxa"/>
            <w:vMerge w:val="continue"/>
            <w:noWrap w:val="0"/>
            <w:vAlign w:val="center"/>
          </w:tcPr>
          <w:p w14:paraId="7E7ED2FA">
            <w:pPr>
              <w:snapToGrid w:val="0"/>
              <w:spacing w:line="400" w:lineRule="exact"/>
              <w:jc w:val="center"/>
              <w:rPr>
                <w:rFonts w:hint="default" w:eastAsia="宋体" w:cs="宋体"/>
                <w:szCs w:val="21"/>
                <w:highlight w:val="none"/>
                <w:lang w:val="en-US" w:eastAsia="zh-CN"/>
              </w:rPr>
            </w:pPr>
          </w:p>
        </w:tc>
      </w:tr>
      <w:tr w14:paraId="37FF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54721850">
            <w:pPr>
              <w:spacing w:line="420" w:lineRule="exact"/>
              <w:jc w:val="center"/>
              <w:rPr>
                <w:rFonts w:hint="default"/>
                <w:szCs w:val="21"/>
                <w:highlight w:val="none"/>
                <w:lang w:val="en-US" w:eastAsia="zh-CN"/>
              </w:rPr>
            </w:pPr>
            <w:r>
              <w:rPr>
                <w:rFonts w:hint="eastAsia"/>
                <w:szCs w:val="21"/>
                <w:highlight w:val="none"/>
                <w:lang w:val="en-US" w:eastAsia="zh-CN"/>
              </w:rPr>
              <w:t>3</w:t>
            </w:r>
          </w:p>
        </w:tc>
        <w:tc>
          <w:tcPr>
            <w:tcW w:w="2751" w:type="dxa"/>
            <w:noWrap w:val="0"/>
            <w:vAlign w:val="center"/>
          </w:tcPr>
          <w:p w14:paraId="6F8085AE">
            <w:pPr>
              <w:spacing w:line="400" w:lineRule="exact"/>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w:t>
            </w:r>
          </w:p>
        </w:tc>
        <w:tc>
          <w:tcPr>
            <w:tcW w:w="3440" w:type="dxa"/>
            <w:gridSpan w:val="3"/>
            <w:noWrap w:val="0"/>
            <w:vAlign w:val="center"/>
          </w:tcPr>
          <w:p w14:paraId="40A43DCE">
            <w:pPr>
              <w:snapToGrid w:val="0"/>
              <w:spacing w:line="400" w:lineRule="exact"/>
              <w:jc w:val="center"/>
              <w:rPr>
                <w:rFonts w:hint="default" w:eastAsia="宋体" w:cs="宋体"/>
                <w:szCs w:val="21"/>
                <w:highlight w:val="none"/>
                <w:lang w:val="en-US" w:eastAsia="zh-CN"/>
              </w:rPr>
            </w:pPr>
          </w:p>
        </w:tc>
        <w:tc>
          <w:tcPr>
            <w:tcW w:w="1456" w:type="dxa"/>
            <w:vMerge w:val="continue"/>
            <w:noWrap w:val="0"/>
            <w:vAlign w:val="center"/>
          </w:tcPr>
          <w:p w14:paraId="0F4E613F">
            <w:pPr>
              <w:snapToGrid w:val="0"/>
              <w:spacing w:line="400" w:lineRule="exact"/>
              <w:jc w:val="center"/>
              <w:rPr>
                <w:rFonts w:hint="default" w:eastAsia="宋体" w:cs="宋体"/>
                <w:szCs w:val="21"/>
                <w:highlight w:val="none"/>
                <w:lang w:val="en-US" w:eastAsia="zh-CN"/>
              </w:rPr>
            </w:pPr>
          </w:p>
        </w:tc>
      </w:tr>
    </w:tbl>
    <w:p w14:paraId="24E6DD9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p>
    <w:p w14:paraId="648FD310">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p w14:paraId="5E745755">
      <w:pPr>
        <w:widowControl w:val="0"/>
        <w:numPr>
          <w:ilvl w:val="0"/>
          <w:numId w:val="7"/>
        </w:numPr>
        <w:spacing w:after="0" w:line="360" w:lineRule="auto"/>
        <w:jc w:val="both"/>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超出保底部分分成（归属中标人部分）（%）填报数字，小数点后保留2位数，如投标人意向填报的分成比例为70.00%的，填写“70.00”。</w:t>
      </w:r>
    </w:p>
    <w:p w14:paraId="5E3C59C3">
      <w:pPr>
        <w:widowControl w:val="0"/>
        <w:numPr>
          <w:ilvl w:val="0"/>
          <w:numId w:val="7"/>
        </w:numPr>
        <w:spacing w:after="0" w:line="360" w:lineRule="auto"/>
        <w:jc w:val="both"/>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报价不得小于等于零。</w:t>
      </w:r>
    </w:p>
    <w:p w14:paraId="33BF4626">
      <w:pPr>
        <w:pStyle w:val="18"/>
        <w:tabs>
          <w:tab w:val="left" w:pos="4841"/>
        </w:tabs>
        <w:ind w:firstLine="0"/>
        <w:rPr>
          <w:rFonts w:hint="default" w:ascii="宋体" w:hAnsi="宋体" w:eastAsia="宋体" w:cs="宋体"/>
          <w:bCs/>
          <w:color w:val="auto"/>
          <w:sz w:val="21"/>
          <w:szCs w:val="21"/>
          <w:highlight w:val="none"/>
          <w:lang w:val="en-US"/>
        </w:rPr>
      </w:pPr>
    </w:p>
    <w:p w14:paraId="22AA7B2A">
      <w:pPr>
        <w:spacing w:line="340" w:lineRule="exact"/>
        <w:ind w:left="-108" w:right="-113"/>
        <w:contextualSpacing/>
        <w:jc w:val="left"/>
        <w:rPr>
          <w:color w:val="auto"/>
          <w:szCs w:val="24"/>
          <w:highlight w:val="none"/>
        </w:rPr>
      </w:pPr>
    </w:p>
    <w:p w14:paraId="55124FCB">
      <w:pPr>
        <w:pStyle w:val="18"/>
        <w:tabs>
          <w:tab w:val="left" w:pos="4841"/>
        </w:tabs>
        <w:ind w:firstLine="0"/>
        <w:rPr>
          <w:rFonts w:ascii="宋体" w:hAnsi="宋体" w:eastAsia="宋体" w:cs="宋体"/>
          <w:bCs/>
          <w:color w:val="auto"/>
          <w:sz w:val="21"/>
          <w:szCs w:val="21"/>
          <w:highlight w:val="none"/>
        </w:rPr>
      </w:pPr>
    </w:p>
    <w:p w14:paraId="153980B0">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559816ED">
      <w:pPr>
        <w:pStyle w:val="18"/>
        <w:tabs>
          <w:tab w:val="left" w:pos="4841"/>
        </w:tabs>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2465264C">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55FC31C3">
      <w:pPr>
        <w:pStyle w:val="18"/>
        <w:rPr>
          <w:rFonts w:ascii="宋体" w:hAnsi="宋体"/>
          <w:b/>
          <w:color w:val="auto"/>
          <w:sz w:val="28"/>
          <w:szCs w:val="28"/>
          <w:highlight w:val="none"/>
        </w:rPr>
        <w:sectPr>
          <w:pgSz w:w="11907" w:h="16840"/>
          <w:pgMar w:top="1304" w:right="1588" w:bottom="1304" w:left="1588" w:header="720" w:footer="720" w:gutter="0"/>
          <w:pgNumType w:fmt="decimal"/>
          <w:cols w:space="720" w:num="1"/>
          <w:titlePg/>
          <w:docGrid w:linePitch="285" w:charSpace="0"/>
        </w:sectPr>
      </w:pPr>
    </w:p>
    <w:p w14:paraId="3AB52500">
      <w:pPr>
        <w:pStyle w:val="18"/>
        <w:tabs>
          <w:tab w:val="left" w:pos="4841"/>
        </w:tabs>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格式</w:t>
      </w:r>
      <w:r>
        <w:rPr>
          <w:rFonts w:hint="eastAsia" w:ascii="宋体" w:hAnsi="宋体" w:eastAsia="宋体" w:cs="宋体"/>
          <w:bCs/>
          <w:color w:val="auto"/>
          <w:sz w:val="21"/>
          <w:szCs w:val="21"/>
          <w:highlight w:val="none"/>
          <w:lang w:val="en-US" w:eastAsia="zh-CN"/>
        </w:rPr>
        <w:t>四</w:t>
      </w:r>
    </w:p>
    <w:p w14:paraId="5D50EEB3">
      <w:pPr>
        <w:tabs>
          <w:tab w:val="left" w:pos="1418"/>
        </w:tabs>
        <w:spacing w:line="360" w:lineRule="auto"/>
        <w:ind w:left="420"/>
        <w:contextualSpacing/>
        <w:jc w:val="center"/>
        <w:rPr>
          <w:rFonts w:hint="default" w:ascii="宋体" w:hAnsi="宋体" w:eastAsia="方正书宋简体" w:cs="Times New Roman"/>
          <w:color w:val="FF0000"/>
          <w:kern w:val="2"/>
          <w:sz w:val="24"/>
          <w:highlight w:val="none"/>
          <w:lang w:val="en-US" w:eastAsia="zh-CN" w:bidi="ar-SA"/>
        </w:rPr>
      </w:pPr>
      <w:r>
        <w:rPr>
          <w:rFonts w:hint="eastAsia" w:ascii="宋体" w:hAnsi="宋体" w:eastAsia="方正书宋简体" w:cs="Times New Roman"/>
          <w:color w:val="FF0000"/>
          <w:kern w:val="2"/>
          <w:sz w:val="24"/>
          <w:highlight w:val="none"/>
          <w:lang w:val="en-US" w:eastAsia="zh-CN" w:bidi="ar-SA"/>
        </w:rPr>
        <w:t>种植服务报价分项报价一览表</w:t>
      </w:r>
    </w:p>
    <w:p w14:paraId="43D5B62A">
      <w:pPr>
        <w:pStyle w:val="18"/>
        <w:rPr>
          <w:rFonts w:hint="eastAsia" w:ascii="宋体" w:hAnsi="宋体" w:eastAsia="方正书宋简体" w:cs="Times New Roman"/>
          <w:color w:val="FF0000"/>
          <w:kern w:val="2"/>
          <w:sz w:val="24"/>
          <w:highlight w:val="none"/>
          <w:lang w:val="en-US" w:eastAsia="zh-CN" w:bidi="ar-SA"/>
        </w:rPr>
      </w:pPr>
    </w:p>
    <w:p w14:paraId="1A91A1FA">
      <w:pPr>
        <w:pStyle w:val="18"/>
        <w:rPr>
          <w:rFonts w:hint="eastAsia" w:ascii="宋体" w:hAnsi="宋体"/>
          <w:color w:val="FF0000"/>
          <w:highlight w:val="none"/>
          <w:lang w:val="en-US" w:eastAsia="zh-CN"/>
        </w:rPr>
      </w:pPr>
      <w:r>
        <w:rPr>
          <w:rFonts w:hint="eastAsia" w:ascii="宋体" w:hAnsi="宋体" w:eastAsia="方正书宋简体" w:cs="Times New Roman"/>
          <w:color w:val="FF0000"/>
          <w:kern w:val="2"/>
          <w:sz w:val="24"/>
          <w:highlight w:val="none"/>
          <w:lang w:val="en-US" w:eastAsia="zh-CN" w:bidi="ar-SA"/>
        </w:rPr>
        <w:t>招标项目名称：</w:t>
      </w:r>
      <w:r>
        <w:rPr>
          <w:rFonts w:hint="eastAsia" w:ascii="宋体" w:hAnsi="宋体"/>
          <w:color w:val="FF0000"/>
          <w:highlight w:val="none"/>
          <w:lang w:val="en-US" w:eastAsia="zh-CN"/>
        </w:rPr>
        <w:t xml:space="preserve">                 </w:t>
      </w:r>
      <w:r>
        <w:rPr>
          <w:rFonts w:hint="eastAsia" w:ascii="宋体" w:hAnsi="宋体"/>
          <w:color w:val="FF0000"/>
          <w:highlight w:val="none"/>
        </w:rPr>
        <w:t>招标编号：</w:t>
      </w:r>
      <w:r>
        <w:rPr>
          <w:rFonts w:hint="eastAsia" w:ascii="宋体" w:hAnsi="宋体"/>
          <w:color w:val="FF0000"/>
          <w:highlight w:val="none"/>
          <w:lang w:val="en-US" w:eastAsia="zh-CN"/>
        </w:rPr>
        <w:t xml:space="preserve">        </w:t>
      </w:r>
    </w:p>
    <w:p w14:paraId="08883920">
      <w:pPr>
        <w:pStyle w:val="18"/>
        <w:rPr>
          <w:rFonts w:hint="eastAsia" w:ascii="宋体" w:hAnsi="宋体" w:eastAsia="方正书宋简体"/>
          <w:color w:val="FF0000"/>
          <w:highlight w:val="none"/>
          <w:u w:val="single"/>
          <w:lang w:val="en-US" w:eastAsia="zh-CN"/>
        </w:rPr>
      </w:pPr>
      <w:r>
        <w:rPr>
          <w:rFonts w:hint="eastAsia" w:ascii="宋体" w:hAnsi="宋体"/>
          <w:color w:val="FF0000"/>
          <w:highlight w:val="none"/>
          <w:lang w:val="en-US" w:eastAsia="zh-CN"/>
        </w:rPr>
        <w:t xml:space="preserve">  </w:t>
      </w:r>
    </w:p>
    <w:tbl>
      <w:tblPr>
        <w:tblStyle w:val="45"/>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222"/>
        <w:gridCol w:w="1224"/>
        <w:gridCol w:w="1100"/>
        <w:gridCol w:w="1705"/>
      </w:tblGrid>
      <w:tr w14:paraId="31F4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30327EFE">
            <w:pPr>
              <w:snapToGrid w:val="0"/>
              <w:spacing w:line="400" w:lineRule="exact"/>
              <w:jc w:val="center"/>
              <w:rPr>
                <w:color w:val="FF0000"/>
                <w:szCs w:val="21"/>
                <w:highlight w:val="none"/>
              </w:rPr>
            </w:pPr>
            <w:r>
              <w:rPr>
                <w:rFonts w:hint="eastAsia"/>
                <w:color w:val="FF0000"/>
                <w:szCs w:val="21"/>
                <w:highlight w:val="none"/>
              </w:rPr>
              <w:t>序号</w:t>
            </w:r>
          </w:p>
        </w:tc>
        <w:tc>
          <w:tcPr>
            <w:tcW w:w="3222" w:type="dxa"/>
            <w:noWrap w:val="0"/>
            <w:vAlign w:val="center"/>
          </w:tcPr>
          <w:p w14:paraId="372F4286">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报价项目</w:t>
            </w:r>
          </w:p>
        </w:tc>
        <w:tc>
          <w:tcPr>
            <w:tcW w:w="1224" w:type="dxa"/>
            <w:noWrap w:val="0"/>
            <w:vAlign w:val="center"/>
          </w:tcPr>
          <w:p w14:paraId="776F32F1">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数量（亩）</w:t>
            </w:r>
          </w:p>
        </w:tc>
        <w:tc>
          <w:tcPr>
            <w:tcW w:w="1100" w:type="dxa"/>
            <w:noWrap w:val="0"/>
            <w:vAlign w:val="center"/>
          </w:tcPr>
          <w:p w14:paraId="61F39623">
            <w:pPr>
              <w:spacing w:line="400" w:lineRule="exact"/>
              <w:jc w:val="center"/>
              <w:rPr>
                <w:rFonts w:hint="eastAsia" w:eastAsia="宋体"/>
                <w:color w:val="FF0000"/>
                <w:szCs w:val="21"/>
                <w:highlight w:val="none"/>
                <w:lang w:val="en-US" w:eastAsia="zh-CN"/>
              </w:rPr>
            </w:pPr>
            <w:r>
              <w:rPr>
                <w:rFonts w:hint="eastAsia"/>
                <w:color w:val="FF0000"/>
                <w:szCs w:val="21"/>
                <w:highlight w:val="none"/>
                <w:lang w:val="en-US" w:eastAsia="zh-CN"/>
              </w:rPr>
              <w:t>单价（元）</w:t>
            </w:r>
          </w:p>
        </w:tc>
        <w:tc>
          <w:tcPr>
            <w:tcW w:w="1705" w:type="dxa"/>
            <w:noWrap w:val="0"/>
            <w:vAlign w:val="center"/>
          </w:tcPr>
          <w:p w14:paraId="2CF694D4">
            <w:pPr>
              <w:spacing w:line="400" w:lineRule="exact"/>
              <w:jc w:val="center"/>
              <w:rPr>
                <w:rFonts w:hint="eastAsia" w:eastAsia="宋体"/>
                <w:color w:val="FF0000"/>
                <w:szCs w:val="21"/>
                <w:highlight w:val="none"/>
                <w:lang w:eastAsia="zh-CN"/>
              </w:rPr>
            </w:pPr>
            <w:r>
              <w:rPr>
                <w:rFonts w:hint="eastAsia"/>
                <w:color w:val="FF0000"/>
                <w:szCs w:val="21"/>
                <w:highlight w:val="none"/>
                <w:lang w:val="en-US" w:eastAsia="zh-CN"/>
              </w:rPr>
              <w:t>总价（元）</w:t>
            </w:r>
          </w:p>
        </w:tc>
      </w:tr>
      <w:tr w14:paraId="251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152C1092">
            <w:pPr>
              <w:spacing w:line="420" w:lineRule="exact"/>
              <w:jc w:val="center"/>
              <w:rPr>
                <w:color w:val="FF0000"/>
                <w:szCs w:val="21"/>
                <w:highlight w:val="none"/>
              </w:rPr>
            </w:pPr>
            <w:r>
              <w:rPr>
                <w:rFonts w:hint="eastAsia"/>
                <w:color w:val="FF0000"/>
                <w:szCs w:val="21"/>
                <w:highlight w:val="none"/>
              </w:rPr>
              <w:t>1</w:t>
            </w:r>
          </w:p>
        </w:tc>
        <w:tc>
          <w:tcPr>
            <w:tcW w:w="3222" w:type="dxa"/>
            <w:noWrap w:val="0"/>
            <w:vAlign w:val="center"/>
          </w:tcPr>
          <w:p w14:paraId="2FBB7270">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种苗费用</w:t>
            </w:r>
          </w:p>
        </w:tc>
        <w:tc>
          <w:tcPr>
            <w:tcW w:w="1224" w:type="dxa"/>
            <w:shd w:val="clear" w:color="auto" w:fill="auto"/>
            <w:noWrap w:val="0"/>
            <w:vAlign w:val="center"/>
          </w:tcPr>
          <w:p w14:paraId="5EC7ED9A">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5654</w:t>
            </w:r>
          </w:p>
        </w:tc>
        <w:tc>
          <w:tcPr>
            <w:tcW w:w="1100" w:type="dxa"/>
            <w:shd w:val="clear" w:color="auto" w:fill="auto"/>
            <w:noWrap w:val="0"/>
            <w:vAlign w:val="center"/>
          </w:tcPr>
          <w:p w14:paraId="45BD3BA1">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15913AD2">
            <w:pPr>
              <w:snapToGrid w:val="0"/>
              <w:spacing w:line="400" w:lineRule="exact"/>
              <w:jc w:val="center"/>
              <w:rPr>
                <w:rFonts w:hint="default" w:eastAsia="宋体" w:cs="宋体"/>
                <w:color w:val="FF0000"/>
                <w:szCs w:val="21"/>
                <w:highlight w:val="none"/>
                <w:lang w:val="en-US" w:eastAsia="zh-CN"/>
              </w:rPr>
            </w:pPr>
          </w:p>
        </w:tc>
      </w:tr>
      <w:tr w14:paraId="0A82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583FE1F7">
            <w:pPr>
              <w:spacing w:line="420" w:lineRule="exact"/>
              <w:jc w:val="center"/>
              <w:rPr>
                <w:rFonts w:hint="eastAsia" w:eastAsia="宋体"/>
                <w:color w:val="FF0000"/>
                <w:szCs w:val="21"/>
                <w:highlight w:val="none"/>
                <w:lang w:val="en-US" w:eastAsia="zh-CN"/>
              </w:rPr>
            </w:pPr>
            <w:r>
              <w:rPr>
                <w:rFonts w:hint="eastAsia"/>
                <w:color w:val="FF0000"/>
                <w:szCs w:val="21"/>
                <w:highlight w:val="none"/>
                <w:lang w:val="en-US" w:eastAsia="zh-CN"/>
              </w:rPr>
              <w:t>2</w:t>
            </w:r>
          </w:p>
        </w:tc>
        <w:tc>
          <w:tcPr>
            <w:tcW w:w="3222" w:type="dxa"/>
            <w:noWrap w:val="0"/>
            <w:vAlign w:val="center"/>
          </w:tcPr>
          <w:p w14:paraId="1D76F61F">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肥料费用</w:t>
            </w:r>
          </w:p>
        </w:tc>
        <w:tc>
          <w:tcPr>
            <w:tcW w:w="1224" w:type="dxa"/>
            <w:shd w:val="clear" w:color="auto" w:fill="auto"/>
            <w:noWrap w:val="0"/>
            <w:vAlign w:val="center"/>
          </w:tcPr>
          <w:p w14:paraId="3DDBC029">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5654</w:t>
            </w:r>
          </w:p>
        </w:tc>
        <w:tc>
          <w:tcPr>
            <w:tcW w:w="1100" w:type="dxa"/>
            <w:shd w:val="clear" w:color="auto" w:fill="auto"/>
            <w:noWrap w:val="0"/>
            <w:vAlign w:val="center"/>
          </w:tcPr>
          <w:p w14:paraId="3F6F60E7">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06C40139">
            <w:pPr>
              <w:snapToGrid w:val="0"/>
              <w:spacing w:line="400" w:lineRule="exact"/>
              <w:jc w:val="center"/>
              <w:rPr>
                <w:rFonts w:hint="default" w:eastAsia="宋体" w:cs="宋体"/>
                <w:color w:val="FF0000"/>
                <w:szCs w:val="21"/>
                <w:highlight w:val="none"/>
                <w:lang w:val="en-US" w:eastAsia="zh-CN"/>
              </w:rPr>
            </w:pPr>
          </w:p>
        </w:tc>
      </w:tr>
      <w:tr w14:paraId="670C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66" w:type="dxa"/>
            <w:noWrap w:val="0"/>
            <w:vAlign w:val="center"/>
          </w:tcPr>
          <w:p w14:paraId="345D5A39">
            <w:pPr>
              <w:spacing w:line="420" w:lineRule="exact"/>
              <w:jc w:val="center"/>
              <w:rPr>
                <w:rFonts w:hint="default"/>
                <w:color w:val="FF0000"/>
                <w:szCs w:val="21"/>
                <w:highlight w:val="none"/>
                <w:lang w:val="en-US" w:eastAsia="zh-CN"/>
              </w:rPr>
            </w:pPr>
            <w:r>
              <w:rPr>
                <w:rFonts w:hint="eastAsia"/>
                <w:color w:val="FF0000"/>
                <w:szCs w:val="21"/>
                <w:highlight w:val="none"/>
                <w:lang w:val="en-US" w:eastAsia="zh-CN"/>
              </w:rPr>
              <w:t>3</w:t>
            </w:r>
          </w:p>
        </w:tc>
        <w:tc>
          <w:tcPr>
            <w:tcW w:w="3222" w:type="dxa"/>
            <w:noWrap w:val="0"/>
            <w:vAlign w:val="center"/>
          </w:tcPr>
          <w:p w14:paraId="2F3DAA6A">
            <w:pPr>
              <w:spacing w:line="400" w:lineRule="exact"/>
              <w:jc w:val="center"/>
              <w:rPr>
                <w:rFonts w:hint="default" w:ascii="宋体" w:hAnsi="宋体" w:eastAsia="宋体" w:cs="宋体"/>
                <w:color w:val="FF0000"/>
                <w:kern w:val="2"/>
                <w:sz w:val="21"/>
                <w:szCs w:val="21"/>
                <w:highlight w:val="none"/>
                <w:lang w:val="en-US" w:eastAsia="zh-CN"/>
              </w:rPr>
            </w:pPr>
            <w:r>
              <w:rPr>
                <w:rFonts w:hint="eastAsia" w:ascii="宋体" w:hAnsi="宋体" w:cs="宋体"/>
                <w:color w:val="FF0000"/>
                <w:kern w:val="2"/>
                <w:sz w:val="21"/>
                <w:szCs w:val="21"/>
                <w:highlight w:val="none"/>
                <w:lang w:val="en-US" w:eastAsia="zh-CN"/>
              </w:rPr>
              <w:t>农事机耕</w:t>
            </w:r>
          </w:p>
        </w:tc>
        <w:tc>
          <w:tcPr>
            <w:tcW w:w="1224" w:type="dxa"/>
            <w:shd w:val="clear" w:color="auto" w:fill="auto"/>
            <w:noWrap w:val="0"/>
            <w:vAlign w:val="center"/>
          </w:tcPr>
          <w:p w14:paraId="6F4441EE">
            <w:pPr>
              <w:snapToGrid w:val="0"/>
              <w:spacing w:line="400" w:lineRule="exact"/>
              <w:jc w:val="center"/>
              <w:rPr>
                <w:rFonts w:hint="eastAsia"/>
                <w:color w:val="FF0000"/>
                <w:szCs w:val="21"/>
                <w:highlight w:val="none"/>
                <w:lang w:val="en-US" w:eastAsia="zh-CN"/>
              </w:rPr>
            </w:pPr>
            <w:r>
              <w:rPr>
                <w:rFonts w:hint="eastAsia"/>
                <w:color w:val="FF0000"/>
                <w:szCs w:val="21"/>
                <w:highlight w:val="none"/>
                <w:lang w:val="en-US" w:eastAsia="zh-CN"/>
              </w:rPr>
              <w:t>5654</w:t>
            </w:r>
          </w:p>
        </w:tc>
        <w:tc>
          <w:tcPr>
            <w:tcW w:w="1100" w:type="dxa"/>
            <w:shd w:val="clear" w:color="auto" w:fill="auto"/>
            <w:noWrap w:val="0"/>
            <w:vAlign w:val="center"/>
          </w:tcPr>
          <w:p w14:paraId="60C72474">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6019269D">
            <w:pPr>
              <w:snapToGrid w:val="0"/>
              <w:spacing w:line="400" w:lineRule="exact"/>
              <w:jc w:val="center"/>
              <w:rPr>
                <w:rFonts w:hint="default" w:eastAsia="宋体" w:cs="宋体"/>
                <w:color w:val="FF0000"/>
                <w:szCs w:val="21"/>
                <w:highlight w:val="none"/>
                <w:lang w:val="en-US" w:eastAsia="zh-CN"/>
              </w:rPr>
            </w:pPr>
          </w:p>
        </w:tc>
      </w:tr>
      <w:tr w14:paraId="7685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4088" w:type="dxa"/>
            <w:gridSpan w:val="2"/>
            <w:noWrap w:val="0"/>
            <w:vAlign w:val="center"/>
          </w:tcPr>
          <w:p w14:paraId="588A85D6">
            <w:pPr>
              <w:spacing w:line="400" w:lineRule="exact"/>
              <w:jc w:val="center"/>
              <w:rPr>
                <w:rFonts w:hint="default" w:ascii="宋体" w:hAnsi="宋体" w:cs="宋体"/>
                <w:color w:val="FF0000"/>
                <w:kern w:val="2"/>
                <w:sz w:val="21"/>
                <w:szCs w:val="21"/>
                <w:highlight w:val="none"/>
                <w:lang w:val="en-US" w:eastAsia="zh-CN"/>
              </w:rPr>
            </w:pPr>
            <w:r>
              <w:rPr>
                <w:rFonts w:hint="eastAsia" w:ascii="宋体" w:hAnsi="宋体" w:cs="宋体"/>
                <w:color w:val="FF0000"/>
                <w:kern w:val="2"/>
                <w:sz w:val="21"/>
                <w:szCs w:val="21"/>
                <w:highlight w:val="none"/>
                <w:lang w:val="en-US" w:eastAsia="zh-CN"/>
              </w:rPr>
              <w:t>种植服务报价合计</w:t>
            </w:r>
          </w:p>
        </w:tc>
        <w:tc>
          <w:tcPr>
            <w:tcW w:w="1224" w:type="dxa"/>
            <w:shd w:val="clear" w:color="auto" w:fill="auto"/>
            <w:noWrap w:val="0"/>
            <w:vAlign w:val="center"/>
          </w:tcPr>
          <w:p w14:paraId="020FE7F5">
            <w:pPr>
              <w:snapToGrid w:val="0"/>
              <w:spacing w:line="400" w:lineRule="exact"/>
              <w:jc w:val="center"/>
              <w:rPr>
                <w:rFonts w:hint="eastAsia"/>
                <w:color w:val="FF0000"/>
                <w:szCs w:val="21"/>
                <w:highlight w:val="none"/>
                <w:lang w:val="en-US" w:eastAsia="zh-CN"/>
              </w:rPr>
            </w:pPr>
            <w:r>
              <w:rPr>
                <w:rFonts w:hint="eastAsia"/>
                <w:color w:val="FF0000"/>
                <w:szCs w:val="21"/>
                <w:highlight w:val="none"/>
                <w:lang w:val="en-US" w:eastAsia="zh-CN"/>
              </w:rPr>
              <w:t>5654</w:t>
            </w:r>
          </w:p>
        </w:tc>
        <w:tc>
          <w:tcPr>
            <w:tcW w:w="1100" w:type="dxa"/>
            <w:shd w:val="clear" w:color="auto" w:fill="auto"/>
            <w:noWrap w:val="0"/>
            <w:vAlign w:val="center"/>
          </w:tcPr>
          <w:p w14:paraId="14F0BA11">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74C3241B">
            <w:pPr>
              <w:snapToGrid w:val="0"/>
              <w:spacing w:line="400" w:lineRule="exact"/>
              <w:jc w:val="center"/>
              <w:rPr>
                <w:rFonts w:hint="default" w:eastAsia="宋体" w:cs="宋体"/>
                <w:color w:val="FF0000"/>
                <w:szCs w:val="21"/>
                <w:highlight w:val="none"/>
                <w:lang w:val="en-US" w:eastAsia="zh-CN"/>
              </w:rPr>
            </w:pPr>
          </w:p>
        </w:tc>
      </w:tr>
    </w:tbl>
    <w:p w14:paraId="2EE875DA">
      <w:pPr>
        <w:widowControl w:val="0"/>
        <w:numPr>
          <w:ilvl w:val="0"/>
          <w:numId w:val="0"/>
        </w:numPr>
        <w:spacing w:after="0" w:line="360" w:lineRule="auto"/>
        <w:jc w:val="both"/>
        <w:rPr>
          <w:rFonts w:hint="eastAsia" w:ascii="宋体" w:hAnsi="宋体" w:eastAsia="宋体" w:cs="宋体"/>
          <w:color w:val="FF0000"/>
          <w:kern w:val="2"/>
          <w:sz w:val="21"/>
          <w:szCs w:val="21"/>
          <w:highlight w:val="none"/>
          <w:lang w:val="en-US" w:eastAsia="zh-CN"/>
        </w:rPr>
      </w:pPr>
    </w:p>
    <w:p w14:paraId="08C9AF24">
      <w:pPr>
        <w:widowControl w:val="0"/>
        <w:numPr>
          <w:ilvl w:val="0"/>
          <w:numId w:val="0"/>
        </w:numPr>
        <w:spacing w:after="0" w:line="360" w:lineRule="auto"/>
        <w:jc w:val="both"/>
        <w:rPr>
          <w:rFonts w:hint="eastAsia" w:ascii="宋体" w:hAnsi="宋体" w:eastAsia="宋体" w:cs="宋体"/>
          <w:color w:val="FF0000"/>
          <w:kern w:val="2"/>
          <w:sz w:val="21"/>
          <w:szCs w:val="21"/>
          <w:highlight w:val="none"/>
          <w:lang w:val="en-US" w:eastAsia="zh-CN"/>
        </w:rPr>
      </w:pPr>
      <w:r>
        <w:rPr>
          <w:rFonts w:hint="eastAsia" w:ascii="宋体" w:hAnsi="宋体" w:eastAsia="宋体" w:cs="宋体"/>
          <w:color w:val="FF0000"/>
          <w:kern w:val="2"/>
          <w:sz w:val="21"/>
          <w:szCs w:val="21"/>
          <w:highlight w:val="none"/>
          <w:lang w:val="en-US" w:eastAsia="zh-CN"/>
        </w:rPr>
        <w:t>备注：</w:t>
      </w:r>
    </w:p>
    <w:p w14:paraId="5C8F27AC">
      <w:pPr>
        <w:tabs>
          <w:tab w:val="left" w:pos="1418"/>
        </w:tabs>
        <w:spacing w:line="360" w:lineRule="auto"/>
        <w:contextualSpacing/>
        <w:jc w:val="both"/>
        <w:rPr>
          <w:rFonts w:hint="default" w:ascii="宋体" w:hAnsi="宋体" w:eastAsia="宋体" w:cs="宋体"/>
          <w:color w:val="FF0000"/>
          <w:szCs w:val="21"/>
          <w:highlight w:val="none"/>
          <w:lang w:val="en-US" w:eastAsia="zh-CN"/>
        </w:rPr>
      </w:pPr>
      <w:r>
        <w:rPr>
          <w:rFonts w:hint="eastAsia" w:ascii="宋体" w:hAnsi="宋体" w:cs="宋体"/>
          <w:color w:val="FF0000"/>
          <w:kern w:val="2"/>
          <w:sz w:val="21"/>
          <w:szCs w:val="21"/>
          <w:highlight w:val="none"/>
          <w:lang w:val="en-US" w:eastAsia="zh-CN"/>
        </w:rPr>
        <w:t>1.本表种植服务报价合计总价一栏金额须与</w:t>
      </w:r>
      <w:r>
        <w:rPr>
          <w:rFonts w:hint="eastAsia" w:ascii="宋体" w:hAnsi="宋体" w:eastAsia="宋体" w:cs="宋体"/>
          <w:bCs/>
          <w:color w:val="FF0000"/>
          <w:sz w:val="21"/>
          <w:szCs w:val="21"/>
          <w:highlight w:val="none"/>
        </w:rPr>
        <w:t>投标一览表</w:t>
      </w:r>
      <w:r>
        <w:rPr>
          <w:rFonts w:hint="eastAsia" w:ascii="宋体" w:hAnsi="宋体" w:cs="宋体"/>
          <w:bCs/>
          <w:color w:val="FF0000"/>
          <w:sz w:val="21"/>
          <w:szCs w:val="21"/>
          <w:highlight w:val="none"/>
          <w:lang w:val="en-US" w:eastAsia="zh-CN"/>
        </w:rPr>
        <w:t>中</w:t>
      </w:r>
      <w:r>
        <w:rPr>
          <w:rFonts w:hint="eastAsia" w:eastAsia="宋体"/>
          <w:color w:val="FF0000"/>
          <w:szCs w:val="21"/>
          <w:highlight w:val="none"/>
          <w:lang w:val="en-US" w:eastAsia="zh-CN"/>
        </w:rPr>
        <w:t>种植服务</w:t>
      </w:r>
      <w:r>
        <w:rPr>
          <w:rFonts w:hint="eastAsia" w:ascii="宋体" w:hAnsi="宋体" w:cs="宋体"/>
          <w:color w:val="FF0000"/>
          <w:kern w:val="2"/>
          <w:sz w:val="21"/>
          <w:szCs w:val="21"/>
          <w:highlight w:val="none"/>
          <w:lang w:val="en-US" w:eastAsia="zh-CN"/>
        </w:rPr>
        <w:t>报价</w:t>
      </w:r>
      <w:r>
        <w:rPr>
          <w:rFonts w:hint="eastAsia" w:ascii="宋体" w:hAnsi="宋体" w:cs="宋体"/>
          <w:bCs/>
          <w:color w:val="FF0000"/>
          <w:sz w:val="21"/>
          <w:szCs w:val="21"/>
          <w:highlight w:val="none"/>
          <w:lang w:val="en-US" w:eastAsia="zh-CN"/>
        </w:rPr>
        <w:t>总价一栏金额一致，否则做无效标处理。</w:t>
      </w:r>
    </w:p>
    <w:p w14:paraId="66AF04C1">
      <w:pPr>
        <w:widowControl w:val="0"/>
        <w:numPr>
          <w:ilvl w:val="0"/>
          <w:numId w:val="0"/>
        </w:numPr>
        <w:spacing w:after="0" w:line="360" w:lineRule="auto"/>
        <w:jc w:val="both"/>
        <w:rPr>
          <w:rFonts w:hint="default" w:ascii="宋体" w:hAnsi="宋体" w:cs="宋体"/>
          <w:color w:val="FF0000"/>
          <w:kern w:val="2"/>
          <w:sz w:val="21"/>
          <w:szCs w:val="21"/>
          <w:highlight w:val="none"/>
          <w:lang w:val="en-US" w:eastAsia="zh-CN"/>
        </w:rPr>
      </w:pPr>
    </w:p>
    <w:p w14:paraId="6B586029">
      <w:pPr>
        <w:pStyle w:val="18"/>
        <w:tabs>
          <w:tab w:val="left" w:pos="4841"/>
        </w:tabs>
        <w:ind w:firstLine="0"/>
        <w:rPr>
          <w:rFonts w:hint="default" w:ascii="宋体" w:hAnsi="宋体" w:eastAsia="宋体" w:cs="宋体"/>
          <w:bCs/>
          <w:color w:val="FF0000"/>
          <w:sz w:val="21"/>
          <w:szCs w:val="21"/>
          <w:highlight w:val="none"/>
          <w:lang w:val="en-US"/>
        </w:rPr>
      </w:pPr>
    </w:p>
    <w:p w14:paraId="5BC92276">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投 标 人  （盖章）：</w:t>
      </w:r>
    </w:p>
    <w:p w14:paraId="51A736CA">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color w:val="FF0000"/>
          <w:sz w:val="21"/>
          <w:szCs w:val="21"/>
          <w:highlight w:val="none"/>
        </w:rPr>
        <w:t>法定代表人或授权代表人（签字或盖章）</w:t>
      </w:r>
      <w:r>
        <w:rPr>
          <w:rFonts w:hint="eastAsia" w:ascii="宋体" w:hAnsi="宋体" w:eastAsia="宋体" w:cs="宋体"/>
          <w:bCs/>
          <w:color w:val="FF0000"/>
          <w:sz w:val="21"/>
          <w:szCs w:val="21"/>
          <w:highlight w:val="none"/>
        </w:rPr>
        <w:t>：</w:t>
      </w:r>
    </w:p>
    <w:p w14:paraId="622EF416">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日             期：</w:t>
      </w:r>
    </w:p>
    <w:p w14:paraId="72CD74EB">
      <w:pPr>
        <w:sectPr>
          <w:pgSz w:w="11907" w:h="16840"/>
          <w:pgMar w:top="1304" w:right="1588" w:bottom="1304" w:left="1588" w:header="720" w:footer="720" w:gutter="0"/>
          <w:pgNumType w:fmt="decimal"/>
          <w:cols w:space="720" w:num="1"/>
          <w:titlePg/>
          <w:docGrid w:linePitch="285" w:charSpace="0"/>
        </w:sectPr>
      </w:pPr>
    </w:p>
    <w:p w14:paraId="29CA3C54">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格式五</w:t>
      </w:r>
    </w:p>
    <w:p w14:paraId="70A1C5AA">
      <w:pPr>
        <w:pStyle w:val="18"/>
        <w:jc w:val="center"/>
        <w:rPr>
          <w:rFonts w:ascii="宋体" w:hAnsi="宋体" w:eastAsia="宋体" w:cs="宋体"/>
          <w:bCs/>
          <w:color w:val="auto"/>
          <w:sz w:val="21"/>
          <w:szCs w:val="21"/>
          <w:highlight w:val="none"/>
        </w:rPr>
      </w:pPr>
    </w:p>
    <w:p w14:paraId="5B51A960">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技术、商务条款偏离表</w:t>
      </w:r>
    </w:p>
    <w:p w14:paraId="31D2B48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14:paraId="260056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bottom w:val="single" w:color="auto" w:sz="4" w:space="0"/>
            </w:tcBorders>
            <w:tcMar>
              <w:left w:w="0" w:type="dxa"/>
              <w:right w:w="0" w:type="dxa"/>
            </w:tcMar>
            <w:vAlign w:val="center"/>
          </w:tcPr>
          <w:p w14:paraId="4514A680">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3048" w:type="dxa"/>
            <w:tcBorders>
              <w:top w:val="single" w:color="auto" w:sz="4" w:space="0"/>
              <w:bottom w:val="single" w:color="auto" w:sz="4" w:space="0"/>
            </w:tcBorders>
            <w:tcMar>
              <w:left w:w="0" w:type="dxa"/>
              <w:right w:w="0" w:type="dxa"/>
            </w:tcMar>
            <w:vAlign w:val="center"/>
          </w:tcPr>
          <w:p w14:paraId="2DD99D9C">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3473" w:type="dxa"/>
            <w:tcBorders>
              <w:top w:val="single" w:color="auto" w:sz="4" w:space="0"/>
              <w:bottom w:val="single" w:color="auto" w:sz="4" w:space="0"/>
            </w:tcBorders>
            <w:tcMar>
              <w:left w:w="0" w:type="dxa"/>
              <w:right w:w="0" w:type="dxa"/>
            </w:tcMar>
            <w:vAlign w:val="center"/>
          </w:tcPr>
          <w:p w14:paraId="1779FDD1">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617" w:type="dxa"/>
            <w:tcBorders>
              <w:top w:val="single" w:color="auto" w:sz="4" w:space="0"/>
              <w:bottom w:val="single" w:color="auto" w:sz="4" w:space="0"/>
            </w:tcBorders>
            <w:tcMar>
              <w:left w:w="0" w:type="dxa"/>
              <w:right w:w="0" w:type="dxa"/>
            </w:tcMar>
            <w:vAlign w:val="center"/>
          </w:tcPr>
          <w:p w14:paraId="4C018B14">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79963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tcBorders>
            <w:tcMar>
              <w:left w:w="0" w:type="dxa"/>
              <w:right w:w="0" w:type="dxa"/>
            </w:tcMar>
            <w:vAlign w:val="center"/>
          </w:tcPr>
          <w:p w14:paraId="763F42D9">
            <w:pPr>
              <w:pStyle w:val="18"/>
              <w:jc w:val="center"/>
              <w:rPr>
                <w:rFonts w:ascii="宋体" w:hAnsi="宋体" w:eastAsia="宋体" w:cs="宋体"/>
                <w:bCs/>
                <w:color w:val="auto"/>
                <w:sz w:val="21"/>
                <w:szCs w:val="21"/>
                <w:highlight w:val="none"/>
              </w:rPr>
            </w:pPr>
          </w:p>
        </w:tc>
        <w:tc>
          <w:tcPr>
            <w:tcW w:w="3048" w:type="dxa"/>
            <w:tcBorders>
              <w:top w:val="single" w:color="auto" w:sz="4" w:space="0"/>
            </w:tcBorders>
            <w:tcMar>
              <w:left w:w="0" w:type="dxa"/>
              <w:right w:w="0" w:type="dxa"/>
            </w:tcMar>
            <w:vAlign w:val="center"/>
          </w:tcPr>
          <w:p w14:paraId="48850226">
            <w:pPr>
              <w:pStyle w:val="18"/>
              <w:jc w:val="center"/>
              <w:rPr>
                <w:rFonts w:ascii="宋体" w:hAnsi="宋体" w:eastAsia="宋体" w:cs="宋体"/>
                <w:bCs/>
                <w:color w:val="auto"/>
                <w:sz w:val="21"/>
                <w:szCs w:val="21"/>
                <w:highlight w:val="none"/>
              </w:rPr>
            </w:pPr>
          </w:p>
        </w:tc>
        <w:tc>
          <w:tcPr>
            <w:tcW w:w="3473" w:type="dxa"/>
            <w:tcBorders>
              <w:top w:val="single" w:color="auto" w:sz="4" w:space="0"/>
            </w:tcBorders>
            <w:tcMar>
              <w:left w:w="0" w:type="dxa"/>
              <w:right w:w="0" w:type="dxa"/>
            </w:tcMar>
            <w:vAlign w:val="center"/>
          </w:tcPr>
          <w:p w14:paraId="19A2FB6D">
            <w:pPr>
              <w:pStyle w:val="18"/>
              <w:jc w:val="center"/>
              <w:rPr>
                <w:rFonts w:ascii="宋体" w:hAnsi="宋体" w:eastAsia="宋体" w:cs="宋体"/>
                <w:bCs/>
                <w:color w:val="auto"/>
                <w:sz w:val="21"/>
                <w:szCs w:val="21"/>
                <w:highlight w:val="none"/>
              </w:rPr>
            </w:pPr>
          </w:p>
        </w:tc>
        <w:tc>
          <w:tcPr>
            <w:tcW w:w="1617" w:type="dxa"/>
            <w:tcBorders>
              <w:top w:val="single" w:color="auto" w:sz="4" w:space="0"/>
            </w:tcBorders>
            <w:tcMar>
              <w:left w:w="0" w:type="dxa"/>
              <w:right w:w="0" w:type="dxa"/>
            </w:tcMar>
            <w:vAlign w:val="center"/>
          </w:tcPr>
          <w:p w14:paraId="083EC7C3">
            <w:pPr>
              <w:pStyle w:val="18"/>
              <w:jc w:val="center"/>
              <w:rPr>
                <w:rFonts w:ascii="宋体" w:hAnsi="宋体" w:eastAsia="宋体" w:cs="宋体"/>
                <w:bCs/>
                <w:color w:val="auto"/>
                <w:sz w:val="21"/>
                <w:szCs w:val="21"/>
                <w:highlight w:val="none"/>
              </w:rPr>
            </w:pPr>
          </w:p>
        </w:tc>
      </w:tr>
      <w:tr w14:paraId="22EC8E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63E49E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7A6DDCF">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CFA8C49">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FC26FFC">
            <w:pPr>
              <w:pStyle w:val="18"/>
              <w:jc w:val="center"/>
              <w:rPr>
                <w:rFonts w:ascii="宋体" w:hAnsi="宋体" w:eastAsia="宋体" w:cs="宋体"/>
                <w:bCs/>
                <w:color w:val="auto"/>
                <w:sz w:val="21"/>
                <w:szCs w:val="21"/>
                <w:highlight w:val="none"/>
              </w:rPr>
            </w:pPr>
          </w:p>
        </w:tc>
      </w:tr>
      <w:tr w14:paraId="1C7315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2EC4FADF">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3411544">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1C3B298">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E05A151">
            <w:pPr>
              <w:pStyle w:val="18"/>
              <w:jc w:val="center"/>
              <w:rPr>
                <w:rFonts w:ascii="宋体" w:hAnsi="宋体" w:eastAsia="宋体" w:cs="宋体"/>
                <w:bCs/>
                <w:color w:val="auto"/>
                <w:sz w:val="21"/>
                <w:szCs w:val="21"/>
                <w:highlight w:val="none"/>
              </w:rPr>
            </w:pPr>
          </w:p>
        </w:tc>
      </w:tr>
      <w:tr w14:paraId="6DFF23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9B6C06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38FCB84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0C1A1F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2F81882">
            <w:pPr>
              <w:pStyle w:val="18"/>
              <w:jc w:val="center"/>
              <w:rPr>
                <w:rFonts w:ascii="宋体" w:hAnsi="宋体" w:eastAsia="宋体" w:cs="宋体"/>
                <w:bCs/>
                <w:color w:val="auto"/>
                <w:sz w:val="21"/>
                <w:szCs w:val="21"/>
                <w:highlight w:val="none"/>
              </w:rPr>
            </w:pPr>
          </w:p>
        </w:tc>
      </w:tr>
      <w:tr w14:paraId="07039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370906C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46F996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EE53462">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6E529CD">
            <w:pPr>
              <w:pStyle w:val="18"/>
              <w:jc w:val="center"/>
              <w:rPr>
                <w:rFonts w:ascii="宋体" w:hAnsi="宋体" w:eastAsia="宋体" w:cs="宋体"/>
                <w:bCs/>
                <w:color w:val="auto"/>
                <w:sz w:val="21"/>
                <w:szCs w:val="21"/>
                <w:highlight w:val="none"/>
              </w:rPr>
            </w:pPr>
          </w:p>
        </w:tc>
      </w:tr>
      <w:tr w14:paraId="7977DD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64B254D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5EBCB99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CBDDE4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24EE73B6">
            <w:pPr>
              <w:pStyle w:val="18"/>
              <w:jc w:val="center"/>
              <w:rPr>
                <w:rFonts w:ascii="宋体" w:hAnsi="宋体" w:eastAsia="宋体" w:cs="宋体"/>
                <w:bCs/>
                <w:color w:val="auto"/>
                <w:sz w:val="21"/>
                <w:szCs w:val="21"/>
                <w:highlight w:val="none"/>
              </w:rPr>
            </w:pPr>
          </w:p>
        </w:tc>
      </w:tr>
      <w:tr w14:paraId="0BB92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8D6C63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F1D0C42">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697D42A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06705D4">
            <w:pPr>
              <w:pStyle w:val="18"/>
              <w:jc w:val="center"/>
              <w:rPr>
                <w:rFonts w:ascii="宋体" w:hAnsi="宋体" w:eastAsia="宋体" w:cs="宋体"/>
                <w:bCs/>
                <w:color w:val="auto"/>
                <w:sz w:val="21"/>
                <w:szCs w:val="21"/>
                <w:highlight w:val="none"/>
              </w:rPr>
            </w:pPr>
          </w:p>
        </w:tc>
      </w:tr>
      <w:tr w14:paraId="0C7938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FF6C33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047D9591">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BECF7DE">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049F34D">
            <w:pPr>
              <w:pStyle w:val="18"/>
              <w:jc w:val="center"/>
              <w:rPr>
                <w:rFonts w:ascii="宋体" w:hAnsi="宋体" w:eastAsia="宋体" w:cs="宋体"/>
                <w:bCs/>
                <w:color w:val="auto"/>
                <w:sz w:val="21"/>
                <w:szCs w:val="21"/>
                <w:highlight w:val="none"/>
              </w:rPr>
            </w:pPr>
          </w:p>
        </w:tc>
      </w:tr>
      <w:tr w14:paraId="575FD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44ECE4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263DD15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18A675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7714AFB">
            <w:pPr>
              <w:pStyle w:val="18"/>
              <w:jc w:val="center"/>
              <w:rPr>
                <w:rFonts w:ascii="宋体" w:hAnsi="宋体" w:eastAsia="宋体" w:cs="宋体"/>
                <w:bCs/>
                <w:color w:val="auto"/>
                <w:sz w:val="21"/>
                <w:szCs w:val="21"/>
                <w:highlight w:val="none"/>
              </w:rPr>
            </w:pPr>
          </w:p>
        </w:tc>
      </w:tr>
      <w:tr w14:paraId="510029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130F611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E37522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BC2D12D">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78449FF5">
            <w:pPr>
              <w:pStyle w:val="18"/>
              <w:jc w:val="center"/>
              <w:rPr>
                <w:rFonts w:ascii="宋体" w:hAnsi="宋体" w:eastAsia="宋体" w:cs="宋体"/>
                <w:bCs/>
                <w:color w:val="auto"/>
                <w:sz w:val="21"/>
                <w:szCs w:val="21"/>
                <w:highlight w:val="none"/>
              </w:rPr>
            </w:pPr>
          </w:p>
        </w:tc>
      </w:tr>
    </w:tbl>
    <w:p w14:paraId="4809FEDA">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6A34D220">
      <w:pPr>
        <w:pStyle w:val="18"/>
        <w:jc w:val="left"/>
        <w:rPr>
          <w:rFonts w:ascii="宋体" w:hAnsi="宋体" w:eastAsia="宋体" w:cs="宋体"/>
          <w:bCs/>
          <w:color w:val="auto"/>
          <w:sz w:val="21"/>
          <w:szCs w:val="21"/>
          <w:highlight w:val="none"/>
        </w:rPr>
      </w:pPr>
    </w:p>
    <w:p w14:paraId="629C8C9D">
      <w:pPr>
        <w:pStyle w:val="18"/>
        <w:jc w:val="left"/>
        <w:rPr>
          <w:rFonts w:ascii="宋体" w:hAnsi="宋体" w:eastAsia="宋体" w:cs="宋体"/>
          <w:bCs/>
          <w:color w:val="auto"/>
          <w:sz w:val="21"/>
          <w:szCs w:val="21"/>
          <w:highlight w:val="none"/>
        </w:rPr>
      </w:pPr>
    </w:p>
    <w:p w14:paraId="680787A8">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7A9EA333">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3CDCDA9">
      <w:pPr>
        <w:pStyle w:val="18"/>
        <w:jc w:val="left"/>
        <w:rPr>
          <w:rFonts w:ascii="宋体" w:hAnsi="宋体" w:eastAsia="宋体" w:cs="宋体"/>
          <w:bCs/>
          <w:color w:val="auto"/>
          <w:sz w:val="21"/>
          <w:szCs w:val="21"/>
          <w:highlight w:val="none"/>
        </w:rPr>
      </w:pPr>
    </w:p>
    <w:p w14:paraId="2048C8E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6F9A5D56">
      <w:pPr>
        <w:pStyle w:val="18"/>
        <w:jc w:val="center"/>
        <w:rPr>
          <w:rFonts w:ascii="宋体" w:hAnsi="宋体" w:eastAsia="宋体" w:cs="宋体"/>
          <w:bCs/>
          <w:color w:val="auto"/>
          <w:sz w:val="21"/>
          <w:szCs w:val="21"/>
          <w:highlight w:val="none"/>
        </w:rPr>
      </w:pPr>
    </w:p>
    <w:p w14:paraId="6C14E3C5">
      <w:pPr>
        <w:rPr>
          <w:rFonts w:ascii="宋体" w:hAnsi="宋体"/>
          <w:b/>
          <w:color w:val="auto"/>
          <w:sz w:val="28"/>
          <w:highlight w:val="none"/>
        </w:rPr>
      </w:pPr>
    </w:p>
    <w:p w14:paraId="34BE39AF">
      <w:pPr>
        <w:pStyle w:val="18"/>
        <w:tabs>
          <w:tab w:val="left" w:pos="4841"/>
        </w:tabs>
        <w:rPr>
          <w:rFonts w:hint="eastAsia" w:ascii="宋体" w:hAnsi="宋体" w:eastAsia="宋体" w:cs="宋体"/>
          <w:bCs/>
          <w:color w:val="auto"/>
          <w:sz w:val="21"/>
          <w:szCs w:val="21"/>
          <w:highlight w:val="none"/>
        </w:rPr>
      </w:pPr>
    </w:p>
    <w:p w14:paraId="2A38B832">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格式六</w:t>
      </w:r>
    </w:p>
    <w:p w14:paraId="4DBE9E08">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“★”条款商务技术条款偏离表</w:t>
      </w:r>
    </w:p>
    <w:p w14:paraId="7C36B109">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998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371"/>
        <w:gridCol w:w="993"/>
        <w:gridCol w:w="1050"/>
      </w:tblGrid>
      <w:tr w14:paraId="00460E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bottom w:val="single" w:color="auto" w:sz="4" w:space="0"/>
            </w:tcBorders>
            <w:tcMar>
              <w:left w:w="0" w:type="dxa"/>
              <w:right w:w="0" w:type="dxa"/>
            </w:tcMar>
            <w:vAlign w:val="center"/>
          </w:tcPr>
          <w:p w14:paraId="442ABF6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371" w:type="dxa"/>
            <w:tcBorders>
              <w:top w:val="single" w:color="auto" w:sz="4" w:space="0"/>
              <w:bottom w:val="single" w:color="auto" w:sz="4" w:space="0"/>
            </w:tcBorders>
            <w:tcMar>
              <w:left w:w="0" w:type="dxa"/>
              <w:right w:w="0" w:type="dxa"/>
            </w:tcMar>
            <w:vAlign w:val="center"/>
          </w:tcPr>
          <w:p w14:paraId="24410BCA">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993" w:type="dxa"/>
            <w:tcBorders>
              <w:top w:val="single" w:color="auto" w:sz="4" w:space="0"/>
              <w:bottom w:val="single" w:color="auto" w:sz="4" w:space="0"/>
            </w:tcBorders>
            <w:tcMar>
              <w:left w:w="0" w:type="dxa"/>
              <w:right w:w="0" w:type="dxa"/>
            </w:tcMar>
            <w:vAlign w:val="center"/>
          </w:tcPr>
          <w:p w14:paraId="65CB777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050" w:type="dxa"/>
            <w:tcBorders>
              <w:top w:val="single" w:color="auto" w:sz="4" w:space="0"/>
              <w:bottom w:val="single" w:color="auto" w:sz="4" w:space="0"/>
            </w:tcBorders>
            <w:tcMar>
              <w:left w:w="0" w:type="dxa"/>
              <w:right w:w="0" w:type="dxa"/>
            </w:tcMar>
            <w:vAlign w:val="center"/>
          </w:tcPr>
          <w:p w14:paraId="7C70207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52015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tcBorders>
            <w:tcMar>
              <w:left w:w="0" w:type="dxa"/>
              <w:right w:w="0" w:type="dxa"/>
            </w:tcMar>
            <w:vAlign w:val="center"/>
          </w:tcPr>
          <w:p w14:paraId="32FE1915">
            <w:pPr>
              <w:pStyle w:val="18"/>
              <w:ind w:firstLine="0"/>
              <w:jc w:val="center"/>
              <w:rPr>
                <w:rFonts w:ascii="宋体" w:hAnsi="宋体" w:eastAsia="宋体" w:cs="宋体"/>
                <w:bCs/>
                <w:color w:val="auto"/>
                <w:sz w:val="21"/>
                <w:szCs w:val="21"/>
                <w:highlight w:val="none"/>
              </w:rPr>
            </w:pPr>
          </w:p>
        </w:tc>
        <w:tc>
          <w:tcPr>
            <w:tcW w:w="7371" w:type="dxa"/>
            <w:tcBorders>
              <w:top w:val="single" w:color="auto" w:sz="4" w:space="0"/>
            </w:tcBorders>
            <w:tcMar>
              <w:left w:w="0" w:type="dxa"/>
              <w:right w:w="0" w:type="dxa"/>
            </w:tcMar>
            <w:vAlign w:val="center"/>
          </w:tcPr>
          <w:p w14:paraId="3CEB0C44">
            <w:pPr>
              <w:pStyle w:val="18"/>
              <w:ind w:firstLine="0"/>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66CF5C1E">
            <w:pPr>
              <w:pStyle w:val="18"/>
              <w:jc w:val="center"/>
              <w:rPr>
                <w:rFonts w:ascii="宋体" w:hAnsi="宋体" w:eastAsia="宋体" w:cs="宋体"/>
                <w:bCs/>
                <w:color w:val="auto"/>
                <w:sz w:val="21"/>
                <w:szCs w:val="21"/>
                <w:highlight w:val="none"/>
              </w:rPr>
            </w:pPr>
          </w:p>
        </w:tc>
        <w:tc>
          <w:tcPr>
            <w:tcW w:w="1050" w:type="dxa"/>
            <w:tcBorders>
              <w:top w:val="single" w:color="auto" w:sz="4" w:space="0"/>
            </w:tcBorders>
            <w:tcMar>
              <w:left w:w="0" w:type="dxa"/>
              <w:right w:w="0" w:type="dxa"/>
            </w:tcMar>
            <w:vAlign w:val="center"/>
          </w:tcPr>
          <w:p w14:paraId="1407AF87">
            <w:pPr>
              <w:pStyle w:val="18"/>
              <w:jc w:val="center"/>
              <w:rPr>
                <w:rFonts w:ascii="宋体" w:hAnsi="宋体" w:eastAsia="宋体" w:cs="宋体"/>
                <w:bCs/>
                <w:color w:val="auto"/>
                <w:sz w:val="21"/>
                <w:szCs w:val="21"/>
                <w:highlight w:val="none"/>
              </w:rPr>
            </w:pPr>
          </w:p>
        </w:tc>
      </w:tr>
      <w:tr w14:paraId="4094AE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196C9D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2DB2F7E">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10801DD7">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44B8293">
            <w:pPr>
              <w:pStyle w:val="18"/>
              <w:jc w:val="center"/>
              <w:rPr>
                <w:rFonts w:ascii="宋体" w:hAnsi="宋体" w:eastAsia="宋体" w:cs="宋体"/>
                <w:bCs/>
                <w:color w:val="auto"/>
                <w:sz w:val="21"/>
                <w:szCs w:val="21"/>
                <w:highlight w:val="none"/>
              </w:rPr>
            </w:pPr>
          </w:p>
        </w:tc>
      </w:tr>
      <w:tr w14:paraId="1C1889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327CB32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5D725A08">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5754E8B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BE4ECE7">
            <w:pPr>
              <w:pStyle w:val="18"/>
              <w:jc w:val="center"/>
              <w:rPr>
                <w:rFonts w:ascii="宋体" w:hAnsi="宋体" w:eastAsia="宋体" w:cs="宋体"/>
                <w:bCs/>
                <w:color w:val="auto"/>
                <w:sz w:val="21"/>
                <w:szCs w:val="21"/>
                <w:highlight w:val="none"/>
              </w:rPr>
            </w:pPr>
          </w:p>
        </w:tc>
      </w:tr>
      <w:tr w14:paraId="7D0591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4A34188">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1E354BCE">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6DE063C2">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A2F78EC">
            <w:pPr>
              <w:pStyle w:val="18"/>
              <w:jc w:val="center"/>
              <w:rPr>
                <w:rFonts w:ascii="宋体" w:hAnsi="宋体" w:eastAsia="宋体" w:cs="宋体"/>
                <w:bCs/>
                <w:color w:val="auto"/>
                <w:sz w:val="21"/>
                <w:szCs w:val="21"/>
                <w:highlight w:val="none"/>
              </w:rPr>
            </w:pPr>
          </w:p>
        </w:tc>
      </w:tr>
      <w:tr w14:paraId="4CADEF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20D56540">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A936242">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0F9B79D4">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F8DE80E">
            <w:pPr>
              <w:pStyle w:val="18"/>
              <w:jc w:val="center"/>
              <w:rPr>
                <w:rFonts w:ascii="宋体" w:hAnsi="宋体" w:eastAsia="宋体" w:cs="宋体"/>
                <w:bCs/>
                <w:color w:val="auto"/>
                <w:sz w:val="21"/>
                <w:szCs w:val="21"/>
                <w:highlight w:val="none"/>
              </w:rPr>
            </w:pPr>
          </w:p>
        </w:tc>
      </w:tr>
      <w:tr w14:paraId="68188D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36C8E">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2068BEB5">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12E18A8E">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1D9A70E">
            <w:pPr>
              <w:pStyle w:val="18"/>
              <w:jc w:val="center"/>
              <w:rPr>
                <w:rFonts w:ascii="宋体" w:hAnsi="宋体" w:eastAsia="宋体" w:cs="宋体"/>
                <w:bCs/>
                <w:color w:val="auto"/>
                <w:sz w:val="21"/>
                <w:szCs w:val="21"/>
                <w:highlight w:val="none"/>
              </w:rPr>
            </w:pPr>
          </w:p>
        </w:tc>
      </w:tr>
      <w:tr w14:paraId="40D6E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DD61A">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70F7F031">
            <w:pPr>
              <w:pStyle w:val="18"/>
              <w:spacing w:line="340" w:lineRule="exact"/>
              <w:ind w:right="-113" w:firstLine="0"/>
              <w:contextualSpacing/>
              <w:jc w:val="left"/>
              <w:rPr>
                <w:rFonts w:ascii="宋体" w:hAnsi="宋体" w:eastAsia="宋体" w:cs="宋体"/>
                <w:bCs/>
                <w:color w:val="auto"/>
                <w:sz w:val="21"/>
                <w:szCs w:val="21"/>
                <w:highlight w:val="none"/>
              </w:rPr>
            </w:pPr>
          </w:p>
        </w:tc>
        <w:tc>
          <w:tcPr>
            <w:tcW w:w="993" w:type="dxa"/>
            <w:tcMar>
              <w:left w:w="0" w:type="dxa"/>
              <w:right w:w="0" w:type="dxa"/>
            </w:tcMar>
            <w:vAlign w:val="center"/>
          </w:tcPr>
          <w:p w14:paraId="1BD719A5">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F3C3FA7">
            <w:pPr>
              <w:pStyle w:val="18"/>
              <w:jc w:val="center"/>
              <w:rPr>
                <w:rFonts w:ascii="宋体" w:hAnsi="宋体" w:eastAsia="宋体" w:cs="宋体"/>
                <w:bCs/>
                <w:color w:val="auto"/>
                <w:sz w:val="21"/>
                <w:szCs w:val="21"/>
                <w:highlight w:val="none"/>
              </w:rPr>
            </w:pPr>
          </w:p>
        </w:tc>
      </w:tr>
      <w:tr w14:paraId="132025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A542CCC">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0892B593">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73DC529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3991E5D">
            <w:pPr>
              <w:pStyle w:val="18"/>
              <w:jc w:val="center"/>
              <w:rPr>
                <w:rFonts w:ascii="宋体" w:hAnsi="宋体" w:eastAsia="宋体" w:cs="宋体"/>
                <w:bCs/>
                <w:color w:val="auto"/>
                <w:sz w:val="21"/>
                <w:szCs w:val="21"/>
                <w:highlight w:val="none"/>
              </w:rPr>
            </w:pPr>
          </w:p>
        </w:tc>
      </w:tr>
      <w:tr w14:paraId="0AB887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4C1F1FB1">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6507F0A8">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2FBC77A3">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25D0E5A6">
            <w:pPr>
              <w:pStyle w:val="18"/>
              <w:jc w:val="center"/>
              <w:rPr>
                <w:rFonts w:ascii="宋体" w:hAnsi="宋体" w:eastAsia="宋体" w:cs="宋体"/>
                <w:bCs/>
                <w:color w:val="auto"/>
                <w:sz w:val="21"/>
                <w:szCs w:val="21"/>
                <w:highlight w:val="none"/>
              </w:rPr>
            </w:pPr>
          </w:p>
        </w:tc>
      </w:tr>
      <w:tr w14:paraId="184B2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F26CF1B">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3786AFC7">
            <w:pPr>
              <w:spacing w:line="400" w:lineRule="exact"/>
              <w:rPr>
                <w:rFonts w:ascii="宋体" w:hAnsi="宋体" w:cs="宋体"/>
                <w:bCs/>
                <w:color w:val="auto"/>
                <w:szCs w:val="21"/>
                <w:highlight w:val="none"/>
              </w:rPr>
            </w:pPr>
          </w:p>
        </w:tc>
        <w:tc>
          <w:tcPr>
            <w:tcW w:w="993" w:type="dxa"/>
            <w:tcMar>
              <w:left w:w="0" w:type="dxa"/>
              <w:right w:w="0" w:type="dxa"/>
            </w:tcMar>
            <w:vAlign w:val="center"/>
          </w:tcPr>
          <w:p w14:paraId="0ABE5D42">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0BAD3951">
            <w:pPr>
              <w:pStyle w:val="18"/>
              <w:jc w:val="center"/>
              <w:rPr>
                <w:rFonts w:ascii="宋体" w:hAnsi="宋体" w:eastAsia="宋体" w:cs="宋体"/>
                <w:bCs/>
                <w:color w:val="auto"/>
                <w:sz w:val="21"/>
                <w:szCs w:val="21"/>
                <w:highlight w:val="none"/>
              </w:rPr>
            </w:pPr>
          </w:p>
        </w:tc>
      </w:tr>
      <w:tr w14:paraId="15D502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009B2A7">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5A1C196E">
            <w:pPr>
              <w:spacing w:line="400" w:lineRule="exact"/>
              <w:rPr>
                <w:rFonts w:ascii="宋体" w:hAnsi="宋体" w:cs="宋体"/>
                <w:bCs/>
                <w:color w:val="auto"/>
                <w:szCs w:val="21"/>
                <w:highlight w:val="none"/>
              </w:rPr>
            </w:pPr>
          </w:p>
        </w:tc>
        <w:tc>
          <w:tcPr>
            <w:tcW w:w="993" w:type="dxa"/>
            <w:tcMar>
              <w:left w:w="0" w:type="dxa"/>
              <w:right w:w="0" w:type="dxa"/>
            </w:tcMar>
            <w:vAlign w:val="center"/>
          </w:tcPr>
          <w:p w14:paraId="6843AAD8">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3BCB7719">
            <w:pPr>
              <w:pStyle w:val="18"/>
              <w:jc w:val="center"/>
              <w:rPr>
                <w:rFonts w:ascii="宋体" w:hAnsi="宋体" w:eastAsia="宋体" w:cs="宋体"/>
                <w:bCs/>
                <w:color w:val="auto"/>
                <w:sz w:val="21"/>
                <w:szCs w:val="21"/>
                <w:highlight w:val="none"/>
              </w:rPr>
            </w:pPr>
          </w:p>
        </w:tc>
      </w:tr>
    </w:tbl>
    <w:p w14:paraId="5E2C0DD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20721657">
      <w:pPr>
        <w:pStyle w:val="18"/>
        <w:jc w:val="left"/>
        <w:rPr>
          <w:rFonts w:ascii="宋体" w:hAnsi="宋体" w:eastAsia="宋体" w:cs="宋体"/>
          <w:bCs/>
          <w:color w:val="auto"/>
          <w:sz w:val="21"/>
          <w:szCs w:val="21"/>
          <w:highlight w:val="none"/>
        </w:rPr>
      </w:pPr>
    </w:p>
    <w:p w14:paraId="7A717830">
      <w:pPr>
        <w:pStyle w:val="18"/>
        <w:jc w:val="left"/>
        <w:rPr>
          <w:rFonts w:ascii="宋体" w:hAnsi="宋体" w:eastAsia="宋体" w:cs="宋体"/>
          <w:bCs/>
          <w:color w:val="auto"/>
          <w:sz w:val="21"/>
          <w:szCs w:val="21"/>
          <w:highlight w:val="none"/>
        </w:rPr>
      </w:pPr>
    </w:p>
    <w:p w14:paraId="5BA0A2AC">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6BEC50C1">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407A5406">
      <w:pPr>
        <w:pStyle w:val="18"/>
        <w:jc w:val="left"/>
        <w:rPr>
          <w:rFonts w:ascii="宋体" w:hAnsi="宋体" w:eastAsia="宋体" w:cs="宋体"/>
          <w:bCs/>
          <w:color w:val="auto"/>
          <w:sz w:val="21"/>
          <w:szCs w:val="21"/>
          <w:highlight w:val="none"/>
        </w:rPr>
      </w:pPr>
    </w:p>
    <w:p w14:paraId="67D3372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7B37BC91">
      <w:pPr>
        <w:rPr>
          <w:rFonts w:ascii="宋体" w:hAnsi="宋体"/>
          <w:b/>
          <w:color w:val="auto"/>
          <w:sz w:val="28"/>
          <w:highlight w:val="none"/>
        </w:rPr>
        <w:sectPr>
          <w:pgSz w:w="11907" w:h="16840"/>
          <w:pgMar w:top="1134" w:right="1531" w:bottom="1134" w:left="1531" w:header="425" w:footer="709" w:gutter="0"/>
          <w:pgNumType w:fmt="decimal"/>
          <w:cols w:space="720" w:num="1"/>
          <w:docGrid w:linePitch="285" w:charSpace="0"/>
        </w:sectPr>
      </w:pPr>
    </w:p>
    <w:p w14:paraId="26BCCB6B">
      <w:pPr>
        <w:rPr>
          <w:rFonts w:ascii="宋体" w:hAnsi="宋体"/>
          <w:b/>
          <w:color w:val="auto"/>
          <w:sz w:val="28"/>
          <w:highlight w:val="none"/>
        </w:rPr>
      </w:pPr>
    </w:p>
    <w:p w14:paraId="59DE2C6C">
      <w:pPr>
        <w:rPr>
          <w:rFonts w:hint="eastAsia"/>
          <w:color w:val="auto"/>
          <w:szCs w:val="24"/>
          <w:highlight w:val="none"/>
        </w:rPr>
      </w:pPr>
    </w:p>
    <w:p w14:paraId="3BDA5FC9">
      <w:pPr>
        <w:rPr>
          <w:rFonts w:hint="eastAsia" w:ascii="宋体" w:hAnsi="宋体" w:eastAsia="宋体"/>
          <w:color w:val="auto"/>
          <w:sz w:val="24"/>
          <w:highlight w:val="none"/>
          <w:u w:val="single"/>
          <w:lang w:eastAsia="zh-CN"/>
        </w:rPr>
      </w:pPr>
      <w:r>
        <w:rPr>
          <w:rFonts w:hint="eastAsia"/>
          <w:color w:val="auto"/>
          <w:szCs w:val="24"/>
          <w:highlight w:val="none"/>
        </w:rPr>
        <w:t>格式</w:t>
      </w:r>
      <w:r>
        <w:rPr>
          <w:rFonts w:hint="eastAsia"/>
          <w:color w:val="auto"/>
          <w:szCs w:val="24"/>
          <w:highlight w:val="none"/>
          <w:lang w:val="en-US" w:eastAsia="zh-CN"/>
        </w:rPr>
        <w:t>七</w:t>
      </w:r>
    </w:p>
    <w:p w14:paraId="5816B477">
      <w:pPr>
        <w:pStyle w:val="3"/>
        <w:tabs>
          <w:tab w:val="left" w:pos="993"/>
          <w:tab w:val="left" w:pos="2977"/>
          <w:tab w:val="left" w:pos="4111"/>
          <w:tab w:val="left" w:pos="4253"/>
        </w:tabs>
        <w:spacing w:before="0" w:afterLines="50" w:line="240" w:lineRule="auto"/>
        <w:jc w:val="center"/>
        <w:rPr>
          <w:rFonts w:ascii="Times New Roman" w:hAnsi="Times New Roman" w:eastAsia="宋体"/>
          <w:color w:val="auto"/>
          <w:sz w:val="21"/>
          <w:szCs w:val="24"/>
          <w:highlight w:val="none"/>
        </w:rPr>
      </w:pPr>
      <w:bookmarkStart w:id="165" w:name="_Toc435202002"/>
      <w:bookmarkStart w:id="166" w:name="_Toc355341194"/>
      <w:r>
        <w:rPr>
          <w:rFonts w:hint="eastAsia" w:ascii="Times New Roman" w:hAnsi="Times New Roman" w:eastAsia="宋体"/>
          <w:color w:val="auto"/>
          <w:sz w:val="21"/>
          <w:szCs w:val="24"/>
          <w:highlight w:val="none"/>
        </w:rPr>
        <w:t>法定代表人</w:t>
      </w:r>
      <w:r>
        <w:rPr>
          <w:rFonts w:ascii="Times New Roman" w:hAnsi="Times New Roman" w:eastAsia="宋体"/>
          <w:color w:val="auto"/>
          <w:sz w:val="21"/>
          <w:szCs w:val="24"/>
          <w:highlight w:val="none"/>
        </w:rPr>
        <w:t>授权书</w:t>
      </w:r>
      <w:bookmarkEnd w:id="165"/>
      <w:bookmarkEnd w:id="166"/>
    </w:p>
    <w:p w14:paraId="4B2FCEFE">
      <w:pPr>
        <w:tabs>
          <w:tab w:val="left" w:pos="630"/>
        </w:tabs>
        <w:spacing w:line="440" w:lineRule="exact"/>
        <w:rPr>
          <w:color w:val="auto"/>
          <w:szCs w:val="24"/>
          <w:highlight w:val="none"/>
        </w:rPr>
      </w:pPr>
      <w:r>
        <w:rPr>
          <w:color w:val="auto"/>
          <w:szCs w:val="24"/>
          <w:highlight w:val="none"/>
        </w:rPr>
        <w:t>中冠工程管理咨询有限公司：</w:t>
      </w:r>
    </w:p>
    <w:p w14:paraId="74E045CC">
      <w:pPr>
        <w:spacing w:line="440" w:lineRule="exact"/>
        <w:ind w:firstLine="420" w:firstLineChars="200"/>
        <w:rPr>
          <w:color w:val="auto"/>
          <w:szCs w:val="24"/>
          <w:highlight w:val="none"/>
        </w:rPr>
      </w:pPr>
      <w:r>
        <w:rPr>
          <w:color w:val="auto"/>
          <w:szCs w:val="24"/>
          <w:highlight w:val="none"/>
        </w:rPr>
        <w:t xml:space="preserve"> (供应商全称)</w:t>
      </w:r>
      <w:r>
        <w:rPr>
          <w:rFonts w:hint="eastAsia"/>
          <w:color w:val="auto"/>
          <w:szCs w:val="24"/>
          <w:highlight w:val="none"/>
        </w:rPr>
        <w:t>法定代表人</w:t>
      </w:r>
      <w:r>
        <w:rPr>
          <w:color w:val="auto"/>
          <w:szCs w:val="24"/>
          <w:highlight w:val="none"/>
        </w:rPr>
        <w:t>授权            (委托代理人姓名)为委托代理人，参加贵</w:t>
      </w:r>
      <w:r>
        <w:rPr>
          <w:rFonts w:hint="eastAsia"/>
          <w:color w:val="auto"/>
          <w:szCs w:val="24"/>
          <w:highlight w:val="none"/>
        </w:rPr>
        <w:t>公司</w:t>
      </w:r>
      <w:r>
        <w:rPr>
          <w:color w:val="auto"/>
          <w:szCs w:val="24"/>
          <w:highlight w:val="none"/>
        </w:rPr>
        <w:t>组织的年月日项目(编号</w:t>
      </w:r>
      <w:r>
        <w:rPr>
          <w:rFonts w:hint="eastAsia"/>
          <w:color w:val="auto"/>
          <w:szCs w:val="24"/>
          <w:highlight w:val="none"/>
        </w:rPr>
        <w:t>：</w:t>
      </w:r>
      <w:r>
        <w:rPr>
          <w:color w:val="auto"/>
          <w:szCs w:val="24"/>
          <w:highlight w:val="none"/>
        </w:rPr>
        <w:t xml:space="preserve"> )采购活动，全权处理采购活动中的一切事宜。</w:t>
      </w:r>
    </w:p>
    <w:p w14:paraId="483CB882">
      <w:pPr>
        <w:spacing w:line="440" w:lineRule="exact"/>
        <w:ind w:firstLine="422" w:firstLineChars="200"/>
        <w:rPr>
          <w:b/>
          <w:bCs/>
          <w:color w:val="auto"/>
          <w:szCs w:val="24"/>
          <w:highlight w:val="none"/>
        </w:rPr>
      </w:pPr>
      <w:r>
        <w:rPr>
          <w:rFonts w:hint="eastAsia"/>
          <w:b/>
          <w:bCs/>
          <w:color w:val="auto"/>
          <w:szCs w:val="24"/>
          <w:highlight w:val="none"/>
        </w:rPr>
        <w:t>后附被授权人身份证正反页复印件</w:t>
      </w:r>
    </w:p>
    <w:p w14:paraId="246C0B82">
      <w:pPr>
        <w:spacing w:line="440" w:lineRule="exact"/>
        <w:ind w:firstLine="420" w:firstLineChars="200"/>
        <w:rPr>
          <w:color w:val="auto"/>
          <w:szCs w:val="24"/>
          <w:highlight w:val="none"/>
        </w:rPr>
      </w:pPr>
      <w:r>
        <w:rPr>
          <w:rFonts w:hint="eastAsia"/>
          <w:color w:val="auto"/>
          <w:szCs w:val="24"/>
          <w:highlight w:val="none"/>
        </w:rPr>
        <w:t>法定代表人</w:t>
      </w:r>
      <w:r>
        <w:rPr>
          <w:color w:val="auto"/>
          <w:szCs w:val="24"/>
          <w:highlight w:val="none"/>
        </w:rPr>
        <w:t xml:space="preserve"> (签字</w:t>
      </w:r>
      <w:r>
        <w:rPr>
          <w:rFonts w:hint="eastAsia"/>
          <w:color w:val="auto"/>
          <w:szCs w:val="24"/>
          <w:highlight w:val="none"/>
        </w:rPr>
        <w:t>或盖章</w:t>
      </w:r>
      <w:r>
        <w:rPr>
          <w:color w:val="auto"/>
          <w:szCs w:val="24"/>
          <w:highlight w:val="none"/>
        </w:rPr>
        <w:t>)：</w:t>
      </w:r>
    </w:p>
    <w:p w14:paraId="3F2180AF">
      <w:pPr>
        <w:spacing w:line="440" w:lineRule="exact"/>
        <w:ind w:firstLine="420" w:firstLineChars="200"/>
        <w:rPr>
          <w:color w:val="auto"/>
          <w:szCs w:val="24"/>
          <w:highlight w:val="none"/>
        </w:rPr>
      </w:pPr>
    </w:p>
    <w:p w14:paraId="54374661">
      <w:pPr>
        <w:spacing w:line="440" w:lineRule="exact"/>
        <w:ind w:firstLine="420" w:firstLineChars="200"/>
        <w:rPr>
          <w:color w:val="auto"/>
          <w:szCs w:val="24"/>
          <w:highlight w:val="none"/>
        </w:rPr>
      </w:pPr>
      <w:r>
        <w:rPr>
          <w:color w:val="auto"/>
          <w:szCs w:val="24"/>
          <w:highlight w:val="none"/>
        </w:rPr>
        <w:t>供应商全称(公章)：</w:t>
      </w:r>
    </w:p>
    <w:p w14:paraId="105A72A0">
      <w:pPr>
        <w:spacing w:line="440" w:lineRule="exact"/>
        <w:ind w:firstLine="420" w:firstLineChars="200"/>
        <w:rPr>
          <w:color w:val="auto"/>
          <w:szCs w:val="24"/>
          <w:highlight w:val="none"/>
        </w:rPr>
      </w:pPr>
    </w:p>
    <w:p w14:paraId="413F3B73">
      <w:pPr>
        <w:wordWrap w:val="0"/>
        <w:spacing w:line="440" w:lineRule="exact"/>
        <w:ind w:firstLine="420" w:firstLineChars="200"/>
        <w:jc w:val="right"/>
        <w:rPr>
          <w:color w:val="auto"/>
          <w:szCs w:val="24"/>
          <w:highlight w:val="none"/>
        </w:rPr>
      </w:pPr>
      <w:r>
        <w:rPr>
          <w:color w:val="auto"/>
          <w:szCs w:val="24"/>
          <w:highlight w:val="none"/>
        </w:rPr>
        <w:t>日</w:t>
      </w:r>
      <w:r>
        <w:rPr>
          <w:rFonts w:hint="eastAsia"/>
          <w:color w:val="auto"/>
          <w:szCs w:val="24"/>
          <w:highlight w:val="none"/>
          <w:lang w:val="en-US" w:eastAsia="zh-CN"/>
        </w:rPr>
        <w:t xml:space="preserve">  </w:t>
      </w:r>
      <w:r>
        <w:rPr>
          <w:color w:val="auto"/>
          <w:szCs w:val="24"/>
          <w:highlight w:val="none"/>
        </w:rPr>
        <w:t>期：</w:t>
      </w:r>
    </w:p>
    <w:p w14:paraId="2479899A">
      <w:pPr>
        <w:spacing w:line="440" w:lineRule="exact"/>
        <w:ind w:firstLine="420" w:firstLineChars="200"/>
        <w:jc w:val="center"/>
        <w:rPr>
          <w:color w:val="auto"/>
          <w:szCs w:val="24"/>
          <w:highlight w:val="none"/>
        </w:rPr>
      </w:pPr>
    </w:p>
    <w:p w14:paraId="65B4652C">
      <w:pPr>
        <w:spacing w:line="440" w:lineRule="exact"/>
        <w:ind w:firstLine="420" w:firstLineChars="200"/>
        <w:rPr>
          <w:color w:val="auto"/>
          <w:szCs w:val="24"/>
          <w:highlight w:val="none"/>
        </w:rPr>
      </w:pPr>
      <w:r>
        <w:rPr>
          <w:color w:val="auto"/>
          <w:szCs w:val="24"/>
          <w:highlight w:val="none"/>
        </w:rPr>
        <w:t>附：</w:t>
      </w:r>
    </w:p>
    <w:p w14:paraId="6F22C18A">
      <w:pPr>
        <w:spacing w:line="440" w:lineRule="exact"/>
        <w:ind w:firstLine="420" w:firstLineChars="200"/>
        <w:rPr>
          <w:color w:val="auto"/>
          <w:szCs w:val="24"/>
          <w:highlight w:val="none"/>
        </w:rPr>
      </w:pPr>
      <w:r>
        <w:rPr>
          <w:color w:val="auto"/>
          <w:szCs w:val="24"/>
          <w:highlight w:val="none"/>
        </w:rPr>
        <w:t>委托代理人：</w:t>
      </w:r>
    </w:p>
    <w:p w14:paraId="3398AF6B">
      <w:pPr>
        <w:spacing w:line="440" w:lineRule="exact"/>
        <w:ind w:firstLine="420" w:firstLineChars="200"/>
        <w:rPr>
          <w:color w:val="auto"/>
          <w:szCs w:val="24"/>
          <w:highlight w:val="none"/>
        </w:rPr>
      </w:pPr>
      <w:r>
        <w:rPr>
          <w:color w:val="auto"/>
          <w:szCs w:val="24"/>
          <w:highlight w:val="none"/>
        </w:rPr>
        <w:t>身份证号码：</w:t>
      </w:r>
    </w:p>
    <w:p w14:paraId="23B7267F">
      <w:pPr>
        <w:spacing w:line="440" w:lineRule="exact"/>
        <w:ind w:firstLine="420" w:firstLineChars="200"/>
        <w:rPr>
          <w:color w:val="auto"/>
          <w:szCs w:val="24"/>
          <w:highlight w:val="none"/>
        </w:rPr>
      </w:pPr>
      <w:r>
        <w:rPr>
          <w:color w:val="auto"/>
          <w:szCs w:val="24"/>
          <w:highlight w:val="none"/>
        </w:rPr>
        <w:t>职务：</w:t>
      </w:r>
    </w:p>
    <w:p w14:paraId="520F5F10">
      <w:pPr>
        <w:spacing w:line="440" w:lineRule="exact"/>
        <w:ind w:firstLine="420" w:firstLineChars="200"/>
        <w:rPr>
          <w:color w:val="auto"/>
          <w:szCs w:val="24"/>
          <w:highlight w:val="none"/>
        </w:rPr>
      </w:pPr>
      <w:r>
        <w:rPr>
          <w:color w:val="auto"/>
          <w:szCs w:val="24"/>
          <w:highlight w:val="none"/>
        </w:rPr>
        <w:t>手机号码：</w:t>
      </w:r>
    </w:p>
    <w:p w14:paraId="1AAFD269">
      <w:pPr>
        <w:spacing w:line="440" w:lineRule="exact"/>
        <w:ind w:firstLine="420" w:firstLineChars="200"/>
        <w:rPr>
          <w:color w:val="auto"/>
          <w:szCs w:val="24"/>
          <w:highlight w:val="none"/>
        </w:rPr>
      </w:pPr>
      <w:r>
        <w:rPr>
          <w:color w:val="auto"/>
          <w:szCs w:val="24"/>
          <w:highlight w:val="none"/>
        </w:rPr>
        <w:t>通讯地址：</w:t>
      </w:r>
    </w:p>
    <w:p w14:paraId="3B3A1658">
      <w:pPr>
        <w:spacing w:line="440" w:lineRule="exact"/>
        <w:ind w:firstLine="420" w:firstLineChars="200"/>
        <w:rPr>
          <w:color w:val="auto"/>
          <w:szCs w:val="24"/>
          <w:highlight w:val="none"/>
        </w:rPr>
      </w:pPr>
      <w:r>
        <w:rPr>
          <w:color w:val="auto"/>
          <w:szCs w:val="24"/>
          <w:highlight w:val="none"/>
        </w:rPr>
        <w:t>邮政编码：</w:t>
      </w:r>
    </w:p>
    <w:p w14:paraId="097A8A7C">
      <w:pPr>
        <w:spacing w:line="440" w:lineRule="exact"/>
        <w:ind w:firstLine="420" w:firstLineChars="200"/>
        <w:rPr>
          <w:color w:val="auto"/>
          <w:szCs w:val="24"/>
          <w:highlight w:val="none"/>
        </w:rPr>
      </w:pPr>
      <w:r>
        <w:rPr>
          <w:color w:val="auto"/>
          <w:szCs w:val="24"/>
          <w:highlight w:val="none"/>
        </w:rPr>
        <w:t>电话：</w:t>
      </w:r>
    </w:p>
    <w:p w14:paraId="64B74E89">
      <w:pPr>
        <w:spacing w:line="440" w:lineRule="exact"/>
        <w:ind w:firstLine="420" w:firstLineChars="200"/>
        <w:rPr>
          <w:color w:val="auto"/>
          <w:szCs w:val="24"/>
          <w:highlight w:val="none"/>
        </w:rPr>
      </w:pPr>
      <w:r>
        <w:rPr>
          <w:color w:val="auto"/>
          <w:szCs w:val="24"/>
          <w:highlight w:val="none"/>
        </w:rPr>
        <w:t>传真：</w:t>
      </w:r>
    </w:p>
    <w:p w14:paraId="69FECE08">
      <w:pPr>
        <w:pStyle w:val="3"/>
        <w:tabs>
          <w:tab w:val="left" w:pos="993"/>
          <w:tab w:val="left" w:pos="2977"/>
          <w:tab w:val="left" w:pos="4111"/>
          <w:tab w:val="left" w:pos="4253"/>
        </w:tabs>
        <w:spacing w:before="0" w:afterLines="50" w:line="240" w:lineRule="auto"/>
        <w:jc w:val="center"/>
        <w:rPr>
          <w:rFonts w:ascii="Times New Roman"/>
          <w:b w:val="0"/>
          <w:color w:val="auto"/>
          <w:sz w:val="24"/>
          <w:highlight w:val="none"/>
        </w:rPr>
      </w:pPr>
      <w:r>
        <w:rPr>
          <w:color w:val="auto"/>
          <w:szCs w:val="24"/>
          <w:highlight w:val="none"/>
        </w:rPr>
        <w:br w:type="page"/>
      </w:r>
      <w:bookmarkStart w:id="167" w:name="_Toc517699375"/>
      <w:bookmarkStart w:id="168" w:name="_Toc514758504"/>
      <w:bookmarkStart w:id="169" w:name="_Toc498429656"/>
      <w:r>
        <w:rPr>
          <w:rFonts w:hint="eastAsia" w:ascii="Times New Roman" w:hAnsi="Times New Roman" w:eastAsia="宋体"/>
          <w:color w:val="auto"/>
          <w:sz w:val="21"/>
          <w:szCs w:val="24"/>
          <w:highlight w:val="none"/>
        </w:rPr>
        <w:t>法定代表人身份证明书</w:t>
      </w:r>
      <w:bookmarkEnd w:id="167"/>
      <w:bookmarkEnd w:id="168"/>
      <w:bookmarkEnd w:id="169"/>
    </w:p>
    <w:p w14:paraId="2E46030E">
      <w:pPr>
        <w:spacing w:line="360" w:lineRule="auto"/>
        <w:rPr>
          <w:color w:val="auto"/>
          <w:szCs w:val="24"/>
          <w:highlight w:val="none"/>
        </w:rPr>
      </w:pPr>
    </w:p>
    <w:p w14:paraId="75414902">
      <w:pPr>
        <w:spacing w:line="360" w:lineRule="auto"/>
        <w:contextualSpacing/>
        <w:rPr>
          <w:color w:val="auto"/>
          <w:szCs w:val="24"/>
          <w:highlight w:val="none"/>
        </w:rPr>
      </w:pPr>
      <w:r>
        <w:rPr>
          <w:rFonts w:hint="eastAsia"/>
          <w:color w:val="auto"/>
          <w:szCs w:val="24"/>
          <w:highlight w:val="none"/>
        </w:rPr>
        <w:t>单位名称：</w:t>
      </w:r>
    </w:p>
    <w:p w14:paraId="7D6125EC">
      <w:pPr>
        <w:spacing w:line="360" w:lineRule="auto"/>
        <w:contextualSpacing/>
        <w:rPr>
          <w:color w:val="auto"/>
          <w:szCs w:val="24"/>
          <w:highlight w:val="none"/>
        </w:rPr>
      </w:pPr>
      <w:r>
        <w:rPr>
          <w:rFonts w:hint="eastAsia"/>
          <w:color w:val="auto"/>
          <w:szCs w:val="24"/>
          <w:highlight w:val="none"/>
        </w:rPr>
        <w:t>地址：</w:t>
      </w:r>
    </w:p>
    <w:p w14:paraId="3CE1EF62">
      <w:pPr>
        <w:spacing w:line="360" w:lineRule="auto"/>
        <w:contextualSpacing/>
        <w:rPr>
          <w:color w:val="auto"/>
          <w:szCs w:val="24"/>
          <w:highlight w:val="none"/>
        </w:rPr>
      </w:pPr>
      <w:r>
        <w:rPr>
          <w:rFonts w:hint="eastAsia"/>
          <w:color w:val="auto"/>
          <w:szCs w:val="24"/>
          <w:highlight w:val="none"/>
        </w:rPr>
        <w:t>姓名：性别：</w:t>
      </w:r>
    </w:p>
    <w:p w14:paraId="3C58533A">
      <w:pPr>
        <w:spacing w:line="360" w:lineRule="auto"/>
        <w:contextualSpacing/>
        <w:rPr>
          <w:color w:val="auto"/>
          <w:szCs w:val="24"/>
          <w:highlight w:val="none"/>
        </w:rPr>
      </w:pPr>
      <w:r>
        <w:rPr>
          <w:rFonts w:hint="eastAsia"/>
          <w:color w:val="auto"/>
          <w:szCs w:val="24"/>
          <w:highlight w:val="none"/>
        </w:rPr>
        <w:t>年龄：职务：</w:t>
      </w:r>
    </w:p>
    <w:p w14:paraId="3081FCED">
      <w:pPr>
        <w:spacing w:line="360" w:lineRule="auto"/>
        <w:contextualSpacing/>
        <w:rPr>
          <w:color w:val="auto"/>
          <w:szCs w:val="24"/>
          <w:highlight w:val="none"/>
        </w:rPr>
      </w:pPr>
      <w:r>
        <w:rPr>
          <w:rFonts w:hint="eastAsia"/>
          <w:color w:val="auto"/>
          <w:szCs w:val="24"/>
          <w:highlight w:val="none"/>
        </w:rPr>
        <w:t>身份证号码：系（投标人单位全称）的法定代表人。</w:t>
      </w:r>
    </w:p>
    <w:p w14:paraId="713F2FE0">
      <w:pPr>
        <w:spacing w:line="360" w:lineRule="auto"/>
        <w:contextualSpacing/>
        <w:rPr>
          <w:color w:val="auto"/>
          <w:szCs w:val="24"/>
          <w:highlight w:val="none"/>
        </w:rPr>
      </w:pPr>
      <w:r>
        <w:rPr>
          <w:rFonts w:hint="eastAsia"/>
          <w:color w:val="auto"/>
          <w:szCs w:val="24"/>
          <w:highlight w:val="none"/>
        </w:rPr>
        <w:t>特此证明。</w:t>
      </w:r>
    </w:p>
    <w:p w14:paraId="1D1010B5">
      <w:pPr>
        <w:spacing w:line="360" w:lineRule="auto"/>
        <w:contextualSpacing/>
        <w:rPr>
          <w:color w:val="auto"/>
          <w:szCs w:val="24"/>
          <w:highlight w:val="none"/>
        </w:rPr>
      </w:pPr>
    </w:p>
    <w:p w14:paraId="1D394A81">
      <w:pPr>
        <w:spacing w:line="360" w:lineRule="auto"/>
        <w:contextualSpacing/>
        <w:rPr>
          <w:color w:val="auto"/>
          <w:szCs w:val="24"/>
          <w:highlight w:val="none"/>
        </w:rPr>
      </w:pPr>
      <w:r>
        <w:rPr>
          <w:rFonts w:hint="eastAsia"/>
          <w:color w:val="auto"/>
          <w:szCs w:val="24"/>
          <w:highlight w:val="none"/>
        </w:rPr>
        <w:t>（后附法定代表人身份证正反面复印件）</w:t>
      </w:r>
    </w:p>
    <w:p w14:paraId="267D88E9">
      <w:pPr>
        <w:spacing w:line="360" w:lineRule="auto"/>
        <w:contextualSpacing/>
        <w:rPr>
          <w:color w:val="auto"/>
          <w:szCs w:val="24"/>
          <w:highlight w:val="none"/>
        </w:rPr>
      </w:pPr>
    </w:p>
    <w:p w14:paraId="450F1899">
      <w:pPr>
        <w:spacing w:line="360" w:lineRule="auto"/>
        <w:contextualSpacing/>
        <w:rPr>
          <w:color w:val="auto"/>
          <w:szCs w:val="24"/>
          <w:highlight w:val="none"/>
        </w:rPr>
      </w:pPr>
    </w:p>
    <w:p w14:paraId="6730298B">
      <w:pPr>
        <w:spacing w:line="360" w:lineRule="auto"/>
        <w:contextualSpacing/>
        <w:rPr>
          <w:color w:val="auto"/>
          <w:szCs w:val="24"/>
          <w:highlight w:val="none"/>
        </w:rPr>
      </w:pPr>
    </w:p>
    <w:p w14:paraId="7FE378A4">
      <w:pPr>
        <w:spacing w:line="360" w:lineRule="auto"/>
        <w:contextualSpacing/>
        <w:rPr>
          <w:color w:val="auto"/>
          <w:szCs w:val="24"/>
          <w:highlight w:val="none"/>
        </w:rPr>
      </w:pPr>
      <w:r>
        <w:rPr>
          <w:rFonts w:hint="eastAsia"/>
          <w:color w:val="auto"/>
          <w:szCs w:val="24"/>
          <w:highlight w:val="none"/>
        </w:rPr>
        <w:t>投标人（盖章）：</w:t>
      </w:r>
    </w:p>
    <w:p w14:paraId="035FD87C">
      <w:pPr>
        <w:spacing w:line="360" w:lineRule="auto"/>
        <w:contextualSpacing/>
        <w:rPr>
          <w:color w:val="auto"/>
          <w:szCs w:val="24"/>
          <w:highlight w:val="none"/>
        </w:rPr>
      </w:pPr>
    </w:p>
    <w:p w14:paraId="35388F32">
      <w:pPr>
        <w:spacing w:line="360" w:lineRule="auto"/>
        <w:contextualSpacing/>
        <w:rPr>
          <w:color w:val="auto"/>
          <w:szCs w:val="24"/>
          <w:highlight w:val="none"/>
        </w:rPr>
      </w:pPr>
      <w:r>
        <w:rPr>
          <w:rFonts w:hint="eastAsia"/>
          <w:color w:val="auto"/>
          <w:szCs w:val="24"/>
          <w:highlight w:val="none"/>
        </w:rPr>
        <w:t>投标人法定代表人（签字或盖章）：</w:t>
      </w:r>
    </w:p>
    <w:p w14:paraId="36265ADE">
      <w:pPr>
        <w:spacing w:line="360" w:lineRule="auto"/>
        <w:contextualSpacing/>
        <w:rPr>
          <w:color w:val="auto"/>
          <w:szCs w:val="24"/>
          <w:highlight w:val="none"/>
        </w:rPr>
      </w:pPr>
    </w:p>
    <w:p w14:paraId="521F1C38">
      <w:pPr>
        <w:spacing w:line="360" w:lineRule="auto"/>
        <w:contextualSpacing/>
        <w:rPr>
          <w:color w:val="auto"/>
          <w:szCs w:val="24"/>
          <w:highlight w:val="none"/>
        </w:rPr>
      </w:pPr>
      <w:r>
        <w:rPr>
          <w:rFonts w:hint="eastAsia"/>
          <w:color w:val="auto"/>
          <w:szCs w:val="24"/>
          <w:highlight w:val="none"/>
        </w:rPr>
        <w:t>日期：年月日</w:t>
      </w:r>
    </w:p>
    <w:p w14:paraId="5340B12B">
      <w:pPr>
        <w:spacing w:after="120"/>
        <w:rPr>
          <w:bCs/>
          <w:color w:val="auto"/>
          <w:sz w:val="24"/>
          <w:szCs w:val="24"/>
          <w:highlight w:val="none"/>
        </w:rPr>
        <w:sectPr>
          <w:pgSz w:w="11907" w:h="16840"/>
          <w:pgMar w:top="1134" w:right="1531" w:bottom="1134" w:left="1531" w:header="425" w:footer="709" w:gutter="0"/>
          <w:pgNumType w:fmt="decimal"/>
          <w:cols w:space="720" w:num="1"/>
          <w:docGrid w:linePitch="285" w:charSpace="0"/>
        </w:sectPr>
      </w:pPr>
      <w:r>
        <w:rPr>
          <w:color w:val="auto"/>
          <w:sz w:val="24"/>
          <w:szCs w:val="24"/>
          <w:highlight w:val="none"/>
        </w:rPr>
        <w:br w:type="page"/>
      </w:r>
    </w:p>
    <w:p w14:paraId="6CE7E181">
      <w:pPr>
        <w:spacing w:after="120"/>
        <w:rPr>
          <w:rFonts w:hint="eastAsia" w:eastAsia="宋体"/>
          <w:color w:val="auto"/>
          <w:highlight w:val="none"/>
          <w:lang w:eastAsia="zh-CN"/>
        </w:rPr>
      </w:pP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八</w:t>
      </w:r>
    </w:p>
    <w:p w14:paraId="2001BC4D">
      <w:pPr>
        <w:spacing w:after="120"/>
        <w:jc w:val="center"/>
        <w:rPr>
          <w:b/>
          <w:color w:val="auto"/>
          <w:highlight w:val="none"/>
        </w:rPr>
      </w:pPr>
      <w:r>
        <w:rPr>
          <w:rFonts w:hint="eastAsia"/>
          <w:b/>
          <w:color w:val="auto"/>
          <w:highlight w:val="none"/>
        </w:rPr>
        <w:t>合格的投标人承诺函</w:t>
      </w:r>
    </w:p>
    <w:p w14:paraId="2B769DA0">
      <w:pPr>
        <w:spacing w:line="360" w:lineRule="auto"/>
        <w:contextualSpacing/>
        <w:rPr>
          <w:rFonts w:cs="宋体"/>
          <w:b/>
          <w:color w:val="auto"/>
          <w:szCs w:val="21"/>
          <w:highlight w:val="none"/>
        </w:rPr>
      </w:pPr>
      <w:r>
        <w:rPr>
          <w:rFonts w:hint="eastAsia" w:cs="宋体"/>
          <w:b/>
          <w:color w:val="auto"/>
          <w:szCs w:val="21"/>
          <w:highlight w:val="none"/>
        </w:rPr>
        <w:t>致：</w:t>
      </w:r>
      <w:r>
        <w:rPr>
          <w:rFonts w:hint="eastAsia" w:cs="宋体"/>
          <w:b/>
          <w:color w:val="auto"/>
          <w:szCs w:val="21"/>
          <w:highlight w:val="none"/>
          <w:lang w:eastAsia="zh-CN"/>
        </w:rPr>
        <w:t>宁海县裕拓农业经营有限公司</w:t>
      </w:r>
    </w:p>
    <w:p w14:paraId="33A2FDF3">
      <w:pPr>
        <w:adjustRightInd w:val="0"/>
        <w:spacing w:line="360" w:lineRule="auto"/>
        <w:ind w:firstLine="422" w:firstLineChars="200"/>
        <w:contextualSpacing/>
        <w:textAlignment w:val="baseline"/>
        <w:rPr>
          <w:rFonts w:hint="eastAsia" w:cs="宋体"/>
          <w:b/>
          <w:color w:val="auto"/>
          <w:szCs w:val="21"/>
          <w:highlight w:val="none"/>
        </w:rPr>
      </w:pPr>
      <w:bookmarkStart w:id="170" w:name="_Toc399148312"/>
      <w:r>
        <w:rPr>
          <w:rFonts w:hint="eastAsia" w:cs="宋体"/>
          <w:b/>
          <w:color w:val="auto"/>
          <w:szCs w:val="21"/>
          <w:highlight w:val="none"/>
        </w:rPr>
        <w:t>我方郑重承诺</w:t>
      </w:r>
      <w:bookmarkEnd w:id="170"/>
      <w:r>
        <w:rPr>
          <w:rFonts w:hint="eastAsia" w:cs="宋体"/>
          <w:b/>
          <w:color w:val="auto"/>
          <w:szCs w:val="21"/>
          <w:highlight w:val="none"/>
        </w:rPr>
        <w:t>：</w:t>
      </w:r>
    </w:p>
    <w:p w14:paraId="5B77EC83">
      <w:pPr>
        <w:adjustRightInd w:val="0"/>
        <w:spacing w:line="360" w:lineRule="auto"/>
        <w:ind w:firstLine="420" w:firstLineChars="200"/>
        <w:contextualSpacing/>
        <w:textAlignment w:val="baseline"/>
        <w:rPr>
          <w:rFonts w:cs="Arial"/>
          <w:bCs/>
          <w:color w:val="auto"/>
          <w:szCs w:val="21"/>
          <w:highlight w:val="none"/>
        </w:rPr>
      </w:pPr>
      <w:r>
        <w:rPr>
          <w:rFonts w:hint="eastAsia" w:cs="宋体"/>
          <w:bCs/>
          <w:color w:val="auto"/>
          <w:szCs w:val="21"/>
          <w:highlight w:val="none"/>
          <w:lang w:val="en-US" w:eastAsia="zh-CN"/>
        </w:rPr>
        <w:t>如</w:t>
      </w:r>
      <w:r>
        <w:rPr>
          <w:rFonts w:hint="eastAsia" w:cs="宋体"/>
          <w:bCs/>
          <w:color w:val="auto"/>
          <w:szCs w:val="21"/>
          <w:highlight w:val="none"/>
        </w:rPr>
        <w:t>我单位</w:t>
      </w:r>
      <w:r>
        <w:rPr>
          <w:rFonts w:hint="eastAsia" w:cs="宋体"/>
          <w:bCs/>
          <w:color w:val="auto"/>
          <w:szCs w:val="21"/>
          <w:highlight w:val="none"/>
          <w:lang w:val="en-US" w:eastAsia="zh-CN"/>
        </w:rPr>
        <w:t>中标，我单位将以现金的方式</w:t>
      </w:r>
      <w:r>
        <w:rPr>
          <w:rFonts w:hint="eastAsia" w:cs="宋体"/>
          <w:bCs/>
          <w:color w:val="auto"/>
          <w:szCs w:val="21"/>
          <w:highlight w:val="none"/>
        </w:rPr>
        <w:t>符合以下条件：</w:t>
      </w:r>
    </w:p>
    <w:p w14:paraId="4FBBDCF5">
      <w:pPr>
        <w:adjustRightInd w:val="0"/>
        <w:spacing w:line="360" w:lineRule="auto"/>
        <w:ind w:firstLine="420" w:firstLineChars="200"/>
        <w:contextualSpacing/>
        <w:textAlignment w:val="baseline"/>
        <w:rPr>
          <w:rFonts w:cs="Arial"/>
          <w:bCs/>
          <w:color w:val="auto"/>
          <w:szCs w:val="21"/>
          <w:highlight w:val="none"/>
        </w:rPr>
      </w:pPr>
      <w:r>
        <w:rPr>
          <w:rFonts w:hint="eastAsia" w:cs="Arial"/>
          <w:bCs/>
          <w:color w:val="auto"/>
          <w:szCs w:val="21"/>
          <w:highlight w:val="none"/>
        </w:rPr>
        <w:t>1）单位负责人为同一人或者存在直接控股、管理关系的不同投标人，不得参加同一合同项下的国企采购活动。除单一来源采购项目外，为采购项目提供整体设计、规范编制或者项目管理、监理、检测等服务的投标人，不得再参加该采购项目的其他采购活动。</w:t>
      </w:r>
    </w:p>
    <w:p w14:paraId="24450621">
      <w:pPr>
        <w:adjustRightInd w:val="0"/>
        <w:spacing w:line="360" w:lineRule="auto"/>
        <w:ind w:firstLine="420" w:firstLineChars="200"/>
        <w:contextualSpacing/>
        <w:textAlignment w:val="baseline"/>
        <w:rPr>
          <w:rFonts w:cs="宋体"/>
          <w:color w:val="auto"/>
          <w:szCs w:val="21"/>
          <w:highlight w:val="none"/>
        </w:rPr>
      </w:pPr>
      <w:r>
        <w:rPr>
          <w:rFonts w:hint="eastAsia" w:cs="宋体"/>
          <w:color w:val="auto"/>
          <w:szCs w:val="21"/>
          <w:highlight w:val="none"/>
        </w:rPr>
        <w:t>2）我单位及我单位法定代表人均无行贿犯罪记录。</w:t>
      </w:r>
    </w:p>
    <w:p w14:paraId="78CF3C89">
      <w:pPr>
        <w:spacing w:line="360" w:lineRule="auto"/>
        <w:ind w:firstLine="517" w:firstLineChars="245"/>
        <w:contextualSpacing/>
        <w:rPr>
          <w:b/>
          <w:bCs/>
          <w:color w:val="auto"/>
          <w:szCs w:val="21"/>
          <w:highlight w:val="none"/>
        </w:rPr>
      </w:pPr>
      <w:r>
        <w:rPr>
          <w:rFonts w:hint="eastAsia" w:cs="宋体"/>
          <w:b/>
          <w:color w:val="auto"/>
          <w:szCs w:val="21"/>
          <w:highlight w:val="none"/>
        </w:rPr>
        <w:t>特此承诺。</w:t>
      </w:r>
    </w:p>
    <w:p w14:paraId="2A1FD5C8">
      <w:pPr>
        <w:spacing w:line="360" w:lineRule="auto"/>
        <w:contextualSpacing/>
        <w:rPr>
          <w:b/>
          <w:bCs/>
          <w:color w:val="auto"/>
          <w:szCs w:val="21"/>
          <w:highlight w:val="none"/>
        </w:rPr>
      </w:pPr>
    </w:p>
    <w:p w14:paraId="6C96F0BA">
      <w:pPr>
        <w:spacing w:line="360" w:lineRule="auto"/>
        <w:contextualSpacing/>
        <w:rPr>
          <w:color w:val="auto"/>
          <w:szCs w:val="21"/>
          <w:highlight w:val="none"/>
        </w:rPr>
      </w:pPr>
    </w:p>
    <w:p w14:paraId="61A3B9F0">
      <w:pPr>
        <w:spacing w:line="360" w:lineRule="auto"/>
        <w:contextualSpacing/>
        <w:rPr>
          <w:color w:val="auto"/>
          <w:szCs w:val="21"/>
          <w:highlight w:val="none"/>
        </w:rPr>
      </w:pPr>
    </w:p>
    <w:p w14:paraId="6081EA41">
      <w:pPr>
        <w:spacing w:line="360" w:lineRule="auto"/>
        <w:contextualSpacing/>
        <w:rPr>
          <w:color w:val="auto"/>
          <w:szCs w:val="21"/>
          <w:highlight w:val="none"/>
        </w:rPr>
      </w:pPr>
    </w:p>
    <w:p w14:paraId="1C8B3406">
      <w:pPr>
        <w:spacing w:line="360" w:lineRule="auto"/>
        <w:contextualSpacing/>
        <w:rPr>
          <w:color w:val="auto"/>
          <w:szCs w:val="21"/>
          <w:highlight w:val="none"/>
        </w:rPr>
      </w:pPr>
      <w:r>
        <w:rPr>
          <w:rFonts w:hint="eastAsia"/>
          <w:color w:val="auto"/>
          <w:szCs w:val="21"/>
          <w:highlight w:val="none"/>
        </w:rPr>
        <w:t>投标人（盖章）：</w:t>
      </w:r>
    </w:p>
    <w:p w14:paraId="5E2D0A1A">
      <w:pPr>
        <w:spacing w:line="360" w:lineRule="auto"/>
        <w:contextualSpacing/>
        <w:rPr>
          <w:color w:val="auto"/>
          <w:szCs w:val="21"/>
          <w:highlight w:val="none"/>
        </w:rPr>
      </w:pPr>
    </w:p>
    <w:p w14:paraId="26AB941A">
      <w:pPr>
        <w:spacing w:line="360" w:lineRule="auto"/>
        <w:contextualSpacing/>
        <w:rPr>
          <w:color w:val="auto"/>
          <w:szCs w:val="21"/>
          <w:highlight w:val="none"/>
        </w:rPr>
      </w:pPr>
      <w:r>
        <w:rPr>
          <w:rFonts w:hint="eastAsia"/>
          <w:color w:val="auto"/>
          <w:szCs w:val="21"/>
          <w:highlight w:val="none"/>
        </w:rPr>
        <w:t>法定代表人或授权代表人（签字或盖章）：</w:t>
      </w:r>
    </w:p>
    <w:p w14:paraId="31A81112">
      <w:pPr>
        <w:spacing w:line="360" w:lineRule="auto"/>
        <w:contextualSpacing/>
        <w:rPr>
          <w:color w:val="auto"/>
          <w:szCs w:val="21"/>
          <w:highlight w:val="none"/>
        </w:rPr>
      </w:pPr>
    </w:p>
    <w:p w14:paraId="2AEC399C">
      <w:pPr>
        <w:spacing w:after="120"/>
        <w:rPr>
          <w:rFonts w:ascii="宋体" w:hAnsi="宋体" w:cs="宋体"/>
          <w:color w:val="auto"/>
          <w:szCs w:val="21"/>
          <w:highlight w:val="none"/>
        </w:rPr>
      </w:pPr>
      <w:r>
        <w:rPr>
          <w:rFonts w:hint="eastAsia"/>
          <w:color w:val="auto"/>
          <w:szCs w:val="21"/>
          <w:highlight w:val="none"/>
        </w:rPr>
        <w:t>日期：年月日</w:t>
      </w:r>
    </w:p>
    <w:p w14:paraId="25E977C8">
      <w:pPr>
        <w:spacing w:after="120"/>
        <w:rPr>
          <w:rFonts w:ascii="宋体" w:hAnsi="宋体" w:cs="宋体"/>
          <w:color w:val="auto"/>
          <w:szCs w:val="21"/>
          <w:highlight w:val="none"/>
        </w:rPr>
        <w:sectPr>
          <w:headerReference r:id="rId15" w:type="default"/>
          <w:pgSz w:w="11906" w:h="16838"/>
          <w:pgMar w:top="1440" w:right="1701" w:bottom="1440" w:left="1559" w:header="426" w:footer="708" w:gutter="0"/>
          <w:pgNumType w:fmt="decimal"/>
          <w:cols w:space="720" w:num="1"/>
          <w:docGrid w:type="lines" w:linePitch="285" w:charSpace="0"/>
        </w:sectPr>
      </w:pPr>
    </w:p>
    <w:p w14:paraId="3F233785">
      <w:pPr>
        <w:spacing w:after="120"/>
        <w:rPr>
          <w:rFonts w:hint="eastAsia" w:eastAsia="宋体"/>
          <w:color w:val="auto"/>
          <w:highlight w:val="none"/>
          <w:lang w:val="en-US" w:eastAsia="zh-CN"/>
        </w:rPr>
      </w:pP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九</w:t>
      </w:r>
    </w:p>
    <w:p w14:paraId="56545259">
      <w:pPr>
        <w:spacing w:after="120"/>
        <w:jc w:val="center"/>
        <w:rPr>
          <w:b/>
          <w:color w:val="auto"/>
          <w:highlight w:val="none"/>
        </w:rPr>
      </w:pPr>
      <w:r>
        <w:rPr>
          <w:rFonts w:hint="eastAsia"/>
          <w:b/>
          <w:color w:val="auto"/>
          <w:highlight w:val="none"/>
          <w:lang w:val="en-US" w:eastAsia="zh-CN"/>
        </w:rPr>
        <w:t>保底收益提前支付</w:t>
      </w:r>
      <w:r>
        <w:rPr>
          <w:rFonts w:hint="eastAsia"/>
          <w:b/>
          <w:color w:val="auto"/>
          <w:highlight w:val="none"/>
        </w:rPr>
        <w:t>承诺函</w:t>
      </w:r>
    </w:p>
    <w:p w14:paraId="7B7BEA41">
      <w:pPr>
        <w:spacing w:line="360" w:lineRule="auto"/>
        <w:contextualSpacing/>
        <w:rPr>
          <w:rFonts w:cs="宋体"/>
          <w:b/>
          <w:color w:val="auto"/>
          <w:szCs w:val="21"/>
          <w:highlight w:val="none"/>
        </w:rPr>
      </w:pPr>
      <w:r>
        <w:rPr>
          <w:rFonts w:hint="eastAsia" w:cs="宋体"/>
          <w:b/>
          <w:color w:val="auto"/>
          <w:szCs w:val="21"/>
          <w:highlight w:val="none"/>
        </w:rPr>
        <w:t>致：</w:t>
      </w:r>
      <w:r>
        <w:rPr>
          <w:rFonts w:hint="eastAsia" w:cs="宋体"/>
          <w:b/>
          <w:color w:val="auto"/>
          <w:szCs w:val="21"/>
          <w:highlight w:val="none"/>
          <w:lang w:eastAsia="zh-CN"/>
        </w:rPr>
        <w:t>宁海县裕拓农业经营有限公司</w:t>
      </w:r>
    </w:p>
    <w:p w14:paraId="621DA77D">
      <w:pPr>
        <w:pStyle w:val="18"/>
        <w:tabs>
          <w:tab w:val="left" w:pos="4841"/>
        </w:tabs>
        <w:jc w:val="center"/>
        <w:rPr>
          <w:rFonts w:hint="eastAsia"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我方郑重承诺：如我方中标，我方将在合同签订之日起3日内，以网银转账、电汇、支票、</w:t>
      </w:r>
    </w:p>
    <w:p w14:paraId="4B4F71AE">
      <w:pPr>
        <w:pStyle w:val="18"/>
        <w:tabs>
          <w:tab w:val="left" w:pos="4841"/>
        </w:tabs>
        <w:ind w:left="0" w:leftChars="0" w:firstLine="0" w:firstLineChars="0"/>
        <w:jc w:val="both"/>
        <w:rPr>
          <w:rFonts w:hint="eastAsia"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汇票、本票等贵方认可的形式，将中标的保底收益总额</w:t>
      </w:r>
      <w:r>
        <w:rPr>
          <w:rFonts w:hint="eastAsia" w:eastAsia="宋体" w:cs="宋体"/>
          <w:b/>
          <w:color w:val="auto"/>
          <w:kern w:val="2"/>
          <w:sz w:val="21"/>
          <w:szCs w:val="21"/>
          <w:highlight w:val="none"/>
          <w:lang w:val="en-US" w:eastAsia="zh-CN" w:bidi="ar-SA"/>
        </w:rPr>
        <w:t>的</w:t>
      </w:r>
      <w:r>
        <w:rPr>
          <w:rFonts w:hint="eastAsia" w:eastAsia="宋体" w:cs="宋体"/>
          <w:b/>
          <w:color w:val="auto"/>
          <w:kern w:val="2"/>
          <w:sz w:val="21"/>
          <w:szCs w:val="21"/>
          <w:highlight w:val="none"/>
          <w:u w:val="single"/>
          <w:lang w:val="en-US" w:eastAsia="zh-CN" w:bidi="ar-SA"/>
        </w:rPr>
        <w:t xml:space="preserve">    </w:t>
      </w:r>
      <w:r>
        <w:rPr>
          <w:rFonts w:hint="eastAsia" w:eastAsia="宋体" w:cs="宋体"/>
          <w:b/>
          <w:color w:val="auto"/>
          <w:kern w:val="2"/>
          <w:sz w:val="21"/>
          <w:szCs w:val="21"/>
          <w:highlight w:val="none"/>
          <w:lang w:val="en-US" w:eastAsia="zh-CN" w:bidi="ar-SA"/>
        </w:rPr>
        <w:t>%</w:t>
      </w:r>
      <w:r>
        <w:rPr>
          <w:rFonts w:hint="eastAsia" w:ascii="Times New Roman" w:hAnsi="Times New Roman" w:eastAsia="宋体" w:cs="宋体"/>
          <w:b/>
          <w:color w:val="auto"/>
          <w:kern w:val="2"/>
          <w:sz w:val="21"/>
          <w:szCs w:val="21"/>
          <w:highlight w:val="none"/>
          <w:lang w:val="en-US" w:eastAsia="zh-CN" w:bidi="ar-SA"/>
        </w:rPr>
        <w:t>（即我方投标文件投标一览表中保底收益报价总价报价金额</w:t>
      </w:r>
      <w:r>
        <w:rPr>
          <w:rFonts w:hint="eastAsia" w:eastAsia="宋体" w:cs="宋体"/>
          <w:b/>
          <w:color w:val="auto"/>
          <w:kern w:val="2"/>
          <w:sz w:val="21"/>
          <w:szCs w:val="21"/>
          <w:highlight w:val="none"/>
          <w:u w:val="single"/>
          <w:lang w:val="en-US" w:eastAsia="zh-CN" w:bidi="ar-SA"/>
        </w:rPr>
        <w:t xml:space="preserve">    </w:t>
      </w:r>
      <w:r>
        <w:rPr>
          <w:rFonts w:hint="eastAsia" w:eastAsia="宋体" w:cs="宋体"/>
          <w:b/>
          <w:color w:val="auto"/>
          <w:kern w:val="2"/>
          <w:sz w:val="21"/>
          <w:szCs w:val="21"/>
          <w:highlight w:val="none"/>
          <w:lang w:val="en-US" w:eastAsia="zh-CN" w:bidi="ar-SA"/>
        </w:rPr>
        <w:t>%</w:t>
      </w:r>
      <w:r>
        <w:rPr>
          <w:rFonts w:hint="eastAsia" w:ascii="Times New Roman" w:hAnsi="Times New Roman" w:eastAsia="宋体" w:cs="宋体"/>
          <w:b/>
          <w:color w:val="auto"/>
          <w:kern w:val="2"/>
          <w:sz w:val="21"/>
          <w:szCs w:val="21"/>
          <w:highlight w:val="none"/>
          <w:lang w:val="en-US" w:eastAsia="zh-CN" w:bidi="ar-SA"/>
        </w:rPr>
        <w:t>）一次性转入贵方指定的银行账户。</w:t>
      </w:r>
    </w:p>
    <w:p w14:paraId="3FC8CD10">
      <w:pPr>
        <w:adjustRightInd w:val="0"/>
        <w:spacing w:line="360" w:lineRule="auto"/>
        <w:ind w:firstLine="422" w:firstLineChars="200"/>
        <w:contextualSpacing/>
        <w:textAlignment w:val="baseline"/>
        <w:rPr>
          <w:rFonts w:hint="default"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如我方未按上述承诺履行，贵方可取消我方的中标资格，没收我方的投标保证金，我方对此无异议。</w:t>
      </w:r>
    </w:p>
    <w:p w14:paraId="0748BBB3">
      <w:pPr>
        <w:spacing w:line="360" w:lineRule="auto"/>
        <w:ind w:firstLine="517" w:firstLineChars="245"/>
        <w:contextualSpacing/>
        <w:rPr>
          <w:b/>
          <w:bCs/>
          <w:color w:val="auto"/>
          <w:szCs w:val="21"/>
          <w:highlight w:val="none"/>
        </w:rPr>
      </w:pPr>
      <w:r>
        <w:rPr>
          <w:rFonts w:hint="eastAsia" w:cs="宋体"/>
          <w:b/>
          <w:color w:val="auto"/>
          <w:szCs w:val="21"/>
          <w:highlight w:val="none"/>
        </w:rPr>
        <w:t>特此承诺。</w:t>
      </w:r>
    </w:p>
    <w:p w14:paraId="5FD6888C">
      <w:pPr>
        <w:spacing w:line="360" w:lineRule="auto"/>
        <w:contextualSpacing/>
        <w:rPr>
          <w:b/>
          <w:bCs/>
          <w:color w:val="auto"/>
          <w:szCs w:val="21"/>
          <w:highlight w:val="none"/>
        </w:rPr>
      </w:pPr>
    </w:p>
    <w:p w14:paraId="6210B3B9">
      <w:pPr>
        <w:spacing w:line="360" w:lineRule="auto"/>
        <w:contextualSpacing/>
        <w:rPr>
          <w:color w:val="auto"/>
          <w:szCs w:val="21"/>
          <w:highlight w:val="none"/>
        </w:rPr>
      </w:pPr>
    </w:p>
    <w:p w14:paraId="3DC35323">
      <w:pPr>
        <w:spacing w:line="360" w:lineRule="auto"/>
        <w:contextualSpacing/>
        <w:rPr>
          <w:color w:val="auto"/>
          <w:szCs w:val="21"/>
          <w:highlight w:val="none"/>
        </w:rPr>
      </w:pPr>
    </w:p>
    <w:p w14:paraId="0B0EF0B8">
      <w:pPr>
        <w:spacing w:line="360" w:lineRule="auto"/>
        <w:contextualSpacing/>
        <w:rPr>
          <w:color w:val="auto"/>
          <w:szCs w:val="21"/>
          <w:highlight w:val="none"/>
        </w:rPr>
      </w:pPr>
    </w:p>
    <w:p w14:paraId="3151DB02">
      <w:pPr>
        <w:spacing w:line="360" w:lineRule="auto"/>
        <w:contextualSpacing/>
        <w:rPr>
          <w:color w:val="auto"/>
          <w:szCs w:val="21"/>
          <w:highlight w:val="none"/>
        </w:rPr>
      </w:pPr>
      <w:r>
        <w:rPr>
          <w:rFonts w:hint="eastAsia"/>
          <w:color w:val="auto"/>
          <w:szCs w:val="21"/>
          <w:highlight w:val="none"/>
        </w:rPr>
        <w:t>投标人（盖章）：</w:t>
      </w:r>
    </w:p>
    <w:p w14:paraId="12170CD4">
      <w:pPr>
        <w:spacing w:line="360" w:lineRule="auto"/>
        <w:contextualSpacing/>
        <w:rPr>
          <w:color w:val="auto"/>
          <w:szCs w:val="21"/>
          <w:highlight w:val="none"/>
        </w:rPr>
      </w:pPr>
    </w:p>
    <w:p w14:paraId="4FB5F811">
      <w:pPr>
        <w:spacing w:line="360" w:lineRule="auto"/>
        <w:contextualSpacing/>
        <w:rPr>
          <w:color w:val="auto"/>
          <w:szCs w:val="21"/>
          <w:highlight w:val="none"/>
        </w:rPr>
      </w:pPr>
      <w:r>
        <w:rPr>
          <w:rFonts w:hint="eastAsia"/>
          <w:color w:val="auto"/>
          <w:szCs w:val="21"/>
          <w:highlight w:val="none"/>
        </w:rPr>
        <w:t>法定代表人或授权代表人（签字或盖章）：</w:t>
      </w:r>
    </w:p>
    <w:p w14:paraId="7C230494">
      <w:pPr>
        <w:spacing w:line="360" w:lineRule="auto"/>
        <w:contextualSpacing/>
        <w:rPr>
          <w:color w:val="auto"/>
          <w:szCs w:val="21"/>
          <w:highlight w:val="none"/>
        </w:rPr>
      </w:pPr>
    </w:p>
    <w:p w14:paraId="04F325ED">
      <w:pPr>
        <w:spacing w:after="120"/>
        <w:rPr>
          <w:rFonts w:ascii="宋体" w:hAnsi="宋体" w:cs="宋体"/>
          <w:color w:val="auto"/>
          <w:szCs w:val="21"/>
          <w:highlight w:val="none"/>
        </w:rPr>
      </w:pPr>
      <w:r>
        <w:rPr>
          <w:rFonts w:hint="eastAsia"/>
          <w:color w:val="auto"/>
          <w:szCs w:val="21"/>
          <w:highlight w:val="none"/>
        </w:rPr>
        <w:t>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7769BA1F">
      <w:pPr>
        <w:spacing w:after="120"/>
        <w:rPr>
          <w:rFonts w:ascii="宋体" w:hAnsi="宋体" w:cs="宋体"/>
          <w:color w:val="auto"/>
          <w:szCs w:val="21"/>
          <w:highlight w:val="none"/>
        </w:rPr>
      </w:pPr>
    </w:p>
    <w:p w14:paraId="365190C9">
      <w:pPr>
        <w:spacing w:after="120"/>
        <w:rPr>
          <w:rFonts w:ascii="宋体" w:hAnsi="宋体" w:cs="宋体"/>
          <w:color w:val="auto"/>
          <w:szCs w:val="21"/>
          <w:highlight w:val="none"/>
        </w:rPr>
      </w:pPr>
    </w:p>
    <w:p w14:paraId="2DC926FC">
      <w:pPr>
        <w:spacing w:after="120"/>
        <w:rPr>
          <w:rFonts w:ascii="宋体" w:hAnsi="宋体" w:cs="宋体"/>
          <w:color w:val="auto"/>
          <w:szCs w:val="21"/>
          <w:highlight w:val="none"/>
        </w:rPr>
      </w:pPr>
    </w:p>
    <w:p w14:paraId="08056DB3">
      <w:pPr>
        <w:spacing w:after="120"/>
        <w:rPr>
          <w:rFonts w:ascii="宋体" w:hAnsi="宋体" w:cs="宋体"/>
          <w:color w:val="auto"/>
          <w:szCs w:val="21"/>
          <w:highlight w:val="none"/>
        </w:rPr>
      </w:pPr>
    </w:p>
    <w:p w14:paraId="7AF9DF37">
      <w:pPr>
        <w:spacing w:after="120"/>
        <w:rPr>
          <w:rFonts w:ascii="宋体" w:hAnsi="宋体" w:cs="宋体"/>
          <w:color w:val="auto"/>
          <w:szCs w:val="21"/>
          <w:highlight w:val="none"/>
        </w:rPr>
      </w:pPr>
    </w:p>
    <w:p w14:paraId="73A407A8">
      <w:pPr>
        <w:spacing w:after="120"/>
        <w:rPr>
          <w:rFonts w:ascii="宋体" w:hAnsi="宋体" w:cs="宋体"/>
          <w:color w:val="auto"/>
          <w:szCs w:val="21"/>
          <w:highlight w:val="none"/>
        </w:rPr>
      </w:pPr>
    </w:p>
    <w:p w14:paraId="4A4EA72C">
      <w:pPr>
        <w:spacing w:after="120"/>
        <w:rPr>
          <w:rFonts w:ascii="宋体" w:hAnsi="宋体" w:cs="宋体"/>
          <w:color w:val="auto"/>
          <w:szCs w:val="21"/>
          <w:highlight w:val="none"/>
        </w:rPr>
      </w:pPr>
    </w:p>
    <w:p w14:paraId="5E5419D4">
      <w:pPr>
        <w:spacing w:after="120"/>
        <w:rPr>
          <w:rFonts w:ascii="宋体" w:hAnsi="宋体" w:cs="宋体"/>
          <w:color w:val="auto"/>
          <w:szCs w:val="21"/>
          <w:highlight w:val="none"/>
        </w:rPr>
      </w:pPr>
    </w:p>
    <w:p w14:paraId="6CF6A1EA">
      <w:pPr>
        <w:pStyle w:val="18"/>
        <w:ind w:firstLine="0"/>
        <w:rPr>
          <w:color w:val="auto"/>
          <w:highlight w:val="none"/>
        </w:rPr>
        <w:sectPr>
          <w:pgSz w:w="11906" w:h="16838"/>
          <w:pgMar w:top="1440" w:right="1701" w:bottom="1440" w:left="1559" w:header="426" w:footer="708" w:gutter="0"/>
          <w:pgNumType w:fmt="decimal"/>
          <w:cols w:space="720" w:num="1"/>
          <w:docGrid w:type="lines" w:linePitch="285" w:charSpace="0"/>
        </w:sectPr>
      </w:pPr>
    </w:p>
    <w:p w14:paraId="5B0E648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格式十  资格条件审查表</w:t>
      </w:r>
    </w:p>
    <w:p w14:paraId="74747ECC">
      <w:pPr>
        <w:adjustRightInd w:val="0"/>
        <w:spacing w:line="360" w:lineRule="auto"/>
        <w:jc w:val="center"/>
        <w:rPr>
          <w:rFonts w:cs="宋体"/>
          <w:b/>
          <w:color w:val="auto"/>
          <w:sz w:val="24"/>
          <w:highlight w:val="none"/>
        </w:rPr>
      </w:pPr>
      <w:r>
        <w:rPr>
          <w:rFonts w:hint="eastAsia" w:cs="宋体"/>
          <w:b/>
          <w:color w:val="auto"/>
          <w:sz w:val="24"/>
          <w:highlight w:val="none"/>
        </w:rPr>
        <w:t>资格条件自查表</w:t>
      </w:r>
    </w:p>
    <w:tbl>
      <w:tblPr>
        <w:tblStyle w:val="45"/>
        <w:tblW w:w="9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58"/>
        <w:gridCol w:w="1134"/>
        <w:gridCol w:w="2382"/>
      </w:tblGrid>
      <w:tr w14:paraId="7E62B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838" w:type="dxa"/>
            <w:vAlign w:val="center"/>
          </w:tcPr>
          <w:p w14:paraId="7898AFFF">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评审内容</w:t>
            </w:r>
          </w:p>
        </w:tc>
        <w:tc>
          <w:tcPr>
            <w:tcW w:w="5458" w:type="dxa"/>
            <w:vAlign w:val="center"/>
          </w:tcPr>
          <w:p w14:paraId="03BCE8D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招标文件要求</w:t>
            </w:r>
          </w:p>
        </w:tc>
        <w:tc>
          <w:tcPr>
            <w:tcW w:w="1134" w:type="dxa"/>
            <w:vAlign w:val="center"/>
          </w:tcPr>
          <w:p w14:paraId="208661FD">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自查结论</w:t>
            </w:r>
          </w:p>
        </w:tc>
        <w:tc>
          <w:tcPr>
            <w:tcW w:w="2382" w:type="dxa"/>
            <w:vAlign w:val="center"/>
          </w:tcPr>
          <w:p w14:paraId="0ACDFB8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证明资料页码</w:t>
            </w:r>
          </w:p>
        </w:tc>
      </w:tr>
      <w:tr w14:paraId="72CF6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restart"/>
            <w:vAlign w:val="center"/>
          </w:tcPr>
          <w:p w14:paraId="48BDEA30">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资</w:t>
            </w:r>
          </w:p>
          <w:p w14:paraId="7D75B5AB">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格</w:t>
            </w:r>
          </w:p>
          <w:p w14:paraId="7CAD9E71">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性</w:t>
            </w:r>
          </w:p>
          <w:p w14:paraId="53AB77D5">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审</w:t>
            </w:r>
          </w:p>
          <w:p w14:paraId="0E7F2A49">
            <w:pPr>
              <w:widowControl/>
              <w:adjustRightInd w:val="0"/>
              <w:spacing w:line="360" w:lineRule="exact"/>
              <w:jc w:val="center"/>
              <w:rPr>
                <w:rFonts w:cs="宋体"/>
                <w:b/>
                <w:color w:val="auto"/>
                <w:sz w:val="24"/>
                <w:highlight w:val="none"/>
              </w:rPr>
            </w:pPr>
            <w:r>
              <w:rPr>
                <w:rFonts w:hint="eastAsia" w:cs="宋体"/>
                <w:b/>
                <w:color w:val="auto"/>
                <w:szCs w:val="21"/>
                <w:highlight w:val="none"/>
              </w:rPr>
              <w:t>查</w:t>
            </w:r>
          </w:p>
        </w:tc>
        <w:tc>
          <w:tcPr>
            <w:tcW w:w="5458" w:type="dxa"/>
            <w:vAlign w:val="center"/>
          </w:tcPr>
          <w:p w14:paraId="757715E1">
            <w:pPr>
              <w:widowControl/>
              <w:adjustRightInd w:val="0"/>
              <w:spacing w:line="360" w:lineRule="exact"/>
              <w:rPr>
                <w:rFonts w:cs="宋体"/>
                <w:b/>
                <w:color w:val="auto"/>
                <w:sz w:val="24"/>
                <w:highlight w:val="none"/>
              </w:rPr>
            </w:pPr>
            <w:r>
              <w:rPr>
                <w:rFonts w:hint="eastAsia" w:cs="宋体"/>
                <w:color w:val="auto"/>
                <w:szCs w:val="21"/>
                <w:highlight w:val="none"/>
              </w:rPr>
              <w:t>一、投标人具备《</w:t>
            </w:r>
            <w:r>
              <w:rPr>
                <w:rFonts w:hint="eastAsia" w:cs="宋体"/>
                <w:color w:val="auto"/>
                <w:highlight w:val="none"/>
              </w:rPr>
              <w:t>中华人民共和国政府采购法</w:t>
            </w:r>
            <w:r>
              <w:rPr>
                <w:rFonts w:hint="eastAsia" w:cs="宋体"/>
                <w:color w:val="auto"/>
                <w:szCs w:val="21"/>
                <w:highlight w:val="none"/>
              </w:rPr>
              <w:t>》第二十二条所规定的条件：</w:t>
            </w:r>
          </w:p>
        </w:tc>
        <w:tc>
          <w:tcPr>
            <w:tcW w:w="1134" w:type="dxa"/>
            <w:vMerge w:val="restart"/>
            <w:vAlign w:val="center"/>
          </w:tcPr>
          <w:p w14:paraId="68AE895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6B429A">
            <w:pPr>
              <w:widowControl/>
              <w:adjustRightInd w:val="0"/>
              <w:spacing w:line="360" w:lineRule="exact"/>
              <w:rPr>
                <w:rFonts w:cs="宋体"/>
                <w:b/>
                <w:color w:val="auto"/>
                <w:sz w:val="24"/>
                <w:highlight w:val="none"/>
              </w:rPr>
            </w:pPr>
            <w:r>
              <w:rPr>
                <w:rFonts w:hint="eastAsia" w:cs="宋体"/>
                <w:color w:val="auto"/>
                <w:szCs w:val="21"/>
                <w:highlight w:val="none"/>
              </w:rPr>
              <w:t>□不通过</w:t>
            </w:r>
          </w:p>
        </w:tc>
        <w:tc>
          <w:tcPr>
            <w:tcW w:w="2382" w:type="dxa"/>
            <w:vAlign w:val="center"/>
          </w:tcPr>
          <w:p w14:paraId="03A2E425">
            <w:pPr>
              <w:widowControl/>
              <w:adjustRightInd w:val="0"/>
              <w:spacing w:line="360" w:lineRule="exact"/>
              <w:jc w:val="center"/>
              <w:rPr>
                <w:rFonts w:cs="宋体"/>
                <w:b/>
                <w:color w:val="auto"/>
                <w:sz w:val="24"/>
                <w:highlight w:val="none"/>
              </w:rPr>
            </w:pPr>
            <w:r>
              <w:rPr>
                <w:rFonts w:hint="eastAsia" w:cs="宋体"/>
                <w:color w:val="auto"/>
                <w:szCs w:val="21"/>
                <w:highlight w:val="none"/>
              </w:rPr>
              <w:t>/</w:t>
            </w:r>
          </w:p>
        </w:tc>
      </w:tr>
      <w:tr w14:paraId="001CE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1E79A48">
            <w:pPr>
              <w:widowControl/>
              <w:adjustRightInd w:val="0"/>
              <w:spacing w:line="360" w:lineRule="exact"/>
              <w:rPr>
                <w:rFonts w:cs="宋体"/>
                <w:b/>
                <w:color w:val="auto"/>
                <w:sz w:val="24"/>
                <w:highlight w:val="none"/>
              </w:rPr>
            </w:pPr>
          </w:p>
        </w:tc>
        <w:tc>
          <w:tcPr>
            <w:tcW w:w="5458" w:type="dxa"/>
            <w:vAlign w:val="center"/>
          </w:tcPr>
          <w:p w14:paraId="08C50DAF">
            <w:pPr>
              <w:widowControl/>
              <w:adjustRightInd w:val="0"/>
              <w:spacing w:line="360" w:lineRule="exact"/>
              <w:rPr>
                <w:color w:val="auto"/>
                <w:szCs w:val="21"/>
                <w:highlight w:val="none"/>
              </w:rPr>
            </w:pPr>
            <w:r>
              <w:rPr>
                <w:rFonts w:hint="eastAsia"/>
                <w:color w:val="auto"/>
                <w:szCs w:val="21"/>
                <w:highlight w:val="none"/>
              </w:rPr>
              <w:t>1.关于资格的承诺函（格式见附件）</w:t>
            </w:r>
          </w:p>
        </w:tc>
        <w:tc>
          <w:tcPr>
            <w:tcW w:w="1134" w:type="dxa"/>
            <w:vMerge w:val="continue"/>
          </w:tcPr>
          <w:p w14:paraId="45E58D8D">
            <w:pPr>
              <w:widowControl/>
              <w:adjustRightInd w:val="0"/>
              <w:spacing w:line="360" w:lineRule="exact"/>
              <w:rPr>
                <w:rFonts w:cs="宋体"/>
                <w:b/>
                <w:color w:val="auto"/>
                <w:sz w:val="24"/>
                <w:highlight w:val="none"/>
              </w:rPr>
            </w:pPr>
          </w:p>
        </w:tc>
        <w:tc>
          <w:tcPr>
            <w:tcW w:w="2382" w:type="dxa"/>
            <w:vAlign w:val="center"/>
          </w:tcPr>
          <w:p w14:paraId="177AE369">
            <w:pPr>
              <w:widowControl/>
              <w:adjustRightInd w:val="0"/>
              <w:spacing w:line="360" w:lineRule="exact"/>
              <w:jc w:val="center"/>
              <w:rPr>
                <w:rFonts w:cs="宋体"/>
                <w:b/>
                <w:color w:val="auto"/>
                <w:sz w:val="24"/>
                <w:highlight w:val="none"/>
              </w:rPr>
            </w:pPr>
            <w:r>
              <w:rPr>
                <w:rFonts w:hint="eastAsia" w:cs="宋体"/>
                <w:color w:val="auto"/>
                <w:szCs w:val="21"/>
                <w:highlight w:val="none"/>
              </w:rPr>
              <w:t>第（）页-（）页</w:t>
            </w:r>
          </w:p>
        </w:tc>
      </w:tr>
      <w:tr w14:paraId="0FDA1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8" w:type="dxa"/>
            <w:vMerge w:val="continue"/>
          </w:tcPr>
          <w:p w14:paraId="620EE68F">
            <w:pPr>
              <w:widowControl/>
              <w:adjustRightInd w:val="0"/>
              <w:spacing w:line="360" w:lineRule="exact"/>
              <w:rPr>
                <w:rFonts w:cs="宋体"/>
                <w:b/>
                <w:color w:val="auto"/>
                <w:sz w:val="24"/>
                <w:highlight w:val="none"/>
              </w:rPr>
            </w:pPr>
          </w:p>
        </w:tc>
        <w:tc>
          <w:tcPr>
            <w:tcW w:w="5458" w:type="dxa"/>
            <w:vAlign w:val="center"/>
          </w:tcPr>
          <w:p w14:paraId="175E1E20">
            <w:pPr>
              <w:widowControl/>
              <w:adjustRightInd w:val="0"/>
              <w:spacing w:line="360" w:lineRule="exact"/>
              <w:rPr>
                <w:rFonts w:cs="宋体"/>
                <w:color w:val="auto"/>
                <w:highlight w:val="none"/>
              </w:rPr>
            </w:pPr>
            <w:r>
              <w:rPr>
                <w:rFonts w:hint="eastAsia" w:cs="宋体"/>
                <w:bCs/>
                <w:color w:val="auto"/>
                <w:szCs w:val="28"/>
                <w:highlight w:val="none"/>
              </w:rPr>
              <w:t>2.有效的企业法人营业执照（或事业法人登记证）、其他组织（个体工商户）的营业执照或者民办非企业单位登记证书复印件</w:t>
            </w:r>
            <w:r>
              <w:rPr>
                <w:rFonts w:hint="eastAsia" w:cs="宋体"/>
                <w:color w:val="auto"/>
                <w:highlight w:val="none"/>
              </w:rPr>
              <w:t>。</w:t>
            </w:r>
          </w:p>
          <w:p w14:paraId="05E2FD7E">
            <w:pPr>
              <w:adjustRightInd w:val="0"/>
              <w:spacing w:line="360" w:lineRule="exact"/>
              <w:rPr>
                <w:rFonts w:cs="宋体"/>
                <w:bCs/>
                <w:color w:val="auto"/>
                <w:szCs w:val="28"/>
                <w:highlight w:val="none"/>
              </w:rPr>
            </w:pPr>
            <w:r>
              <w:rPr>
                <w:rFonts w:hint="eastAsia" w:cs="宋体"/>
                <w:color w:val="auto"/>
                <w:highlight w:val="none"/>
              </w:rPr>
              <w:t>（投标人如果有名称变更的，应提供由行政主管部门出具的变更证明文件。）</w:t>
            </w:r>
          </w:p>
        </w:tc>
        <w:tc>
          <w:tcPr>
            <w:tcW w:w="1134" w:type="dxa"/>
            <w:vMerge w:val="continue"/>
          </w:tcPr>
          <w:p w14:paraId="2F3A90A7">
            <w:pPr>
              <w:widowControl/>
              <w:adjustRightInd w:val="0"/>
              <w:spacing w:line="360" w:lineRule="exact"/>
              <w:rPr>
                <w:rFonts w:cs="宋体"/>
                <w:b/>
                <w:color w:val="auto"/>
                <w:sz w:val="24"/>
                <w:highlight w:val="none"/>
              </w:rPr>
            </w:pPr>
          </w:p>
        </w:tc>
        <w:tc>
          <w:tcPr>
            <w:tcW w:w="2382" w:type="dxa"/>
            <w:vAlign w:val="center"/>
          </w:tcPr>
          <w:p w14:paraId="22D51B4B">
            <w:pPr>
              <w:adjustRightInd w:val="0"/>
              <w:spacing w:line="360" w:lineRule="exact"/>
              <w:jc w:val="center"/>
              <w:rPr>
                <w:rFonts w:cs="宋体"/>
                <w:color w:val="auto"/>
                <w:szCs w:val="21"/>
                <w:highlight w:val="none"/>
              </w:rPr>
            </w:pPr>
            <w:r>
              <w:rPr>
                <w:rFonts w:hint="eastAsia" w:cs="宋体"/>
                <w:color w:val="auto"/>
                <w:szCs w:val="21"/>
                <w:highlight w:val="none"/>
              </w:rPr>
              <w:t>第（）页-（）页</w:t>
            </w:r>
          </w:p>
        </w:tc>
      </w:tr>
      <w:tr w14:paraId="223B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3DE1E8E">
            <w:pPr>
              <w:widowControl/>
              <w:adjustRightInd w:val="0"/>
              <w:spacing w:line="360" w:lineRule="exact"/>
              <w:rPr>
                <w:rFonts w:cs="宋体"/>
                <w:bCs/>
                <w:color w:val="auto"/>
                <w:szCs w:val="28"/>
                <w:highlight w:val="none"/>
              </w:rPr>
            </w:pPr>
          </w:p>
        </w:tc>
        <w:tc>
          <w:tcPr>
            <w:tcW w:w="5458" w:type="dxa"/>
            <w:vAlign w:val="center"/>
          </w:tcPr>
          <w:p w14:paraId="010EB87C">
            <w:pPr>
              <w:widowControl/>
              <w:adjustRightInd w:val="0"/>
              <w:spacing w:line="360" w:lineRule="exact"/>
              <w:rPr>
                <w:rFonts w:cs="宋体"/>
                <w:bCs/>
                <w:color w:val="auto"/>
                <w:szCs w:val="28"/>
                <w:highlight w:val="none"/>
              </w:rPr>
            </w:pPr>
            <w:r>
              <w:rPr>
                <w:rFonts w:hint="eastAsia" w:cs="宋体"/>
                <w:bCs/>
                <w:color w:val="auto"/>
                <w:szCs w:val="28"/>
                <w:highlight w:val="none"/>
              </w:rPr>
              <w:t>二、</w:t>
            </w:r>
            <w:r>
              <w:rPr>
                <w:rFonts w:hint="eastAsia" w:cs="宋体"/>
                <w:color w:val="auto"/>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34" w:type="dxa"/>
            <w:vAlign w:val="center"/>
          </w:tcPr>
          <w:p w14:paraId="206F2A45">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2799C5D8">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7B1942EA">
            <w:pPr>
              <w:widowControl/>
              <w:adjustRightInd w:val="0"/>
              <w:spacing w:line="360" w:lineRule="exact"/>
              <w:jc w:val="center"/>
              <w:rPr>
                <w:rFonts w:cs="宋体"/>
                <w:bCs/>
                <w:color w:val="auto"/>
                <w:szCs w:val="28"/>
                <w:highlight w:val="none"/>
                <w:u w:val="single"/>
              </w:rPr>
            </w:pPr>
            <w:r>
              <w:rPr>
                <w:rFonts w:hint="eastAsia" w:cs="宋体"/>
                <w:bCs/>
                <w:color w:val="auto"/>
                <w:szCs w:val="28"/>
                <w:highlight w:val="none"/>
              </w:rPr>
              <w:t>信用记录</w:t>
            </w:r>
            <w:r>
              <w:rPr>
                <w:rFonts w:hint="eastAsia" w:cs="宋体"/>
                <w:bCs/>
                <w:color w:val="auto"/>
                <w:szCs w:val="28"/>
                <w:highlight w:val="none"/>
                <w:u w:val="single"/>
              </w:rPr>
              <w:t>是/否</w:t>
            </w:r>
            <w:r>
              <w:rPr>
                <w:rFonts w:hint="eastAsia" w:cs="宋体"/>
                <w:bCs/>
                <w:color w:val="auto"/>
                <w:szCs w:val="28"/>
                <w:highlight w:val="none"/>
              </w:rPr>
              <w:t>已失效，如失效，证明材料详见</w:t>
            </w:r>
            <w:r>
              <w:rPr>
                <w:rFonts w:hint="eastAsia" w:cs="宋体"/>
                <w:color w:val="auto"/>
                <w:szCs w:val="21"/>
                <w:highlight w:val="none"/>
              </w:rPr>
              <w:t>第（）页-（）页</w:t>
            </w:r>
          </w:p>
        </w:tc>
      </w:tr>
      <w:tr w14:paraId="25100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59999F2A">
            <w:pPr>
              <w:widowControl/>
              <w:adjustRightInd w:val="0"/>
              <w:spacing w:line="360" w:lineRule="exact"/>
              <w:rPr>
                <w:rFonts w:cs="宋体"/>
                <w:bCs/>
                <w:color w:val="auto"/>
                <w:szCs w:val="28"/>
                <w:highlight w:val="none"/>
              </w:rPr>
            </w:pPr>
          </w:p>
        </w:tc>
        <w:tc>
          <w:tcPr>
            <w:tcW w:w="5458" w:type="dxa"/>
            <w:vAlign w:val="center"/>
          </w:tcPr>
          <w:p w14:paraId="74340CDF">
            <w:pPr>
              <w:widowControl/>
              <w:adjustRightInd w:val="0"/>
              <w:spacing w:line="360" w:lineRule="exact"/>
              <w:rPr>
                <w:rFonts w:cs="宋体"/>
                <w:bCs/>
                <w:color w:val="auto"/>
                <w:szCs w:val="28"/>
                <w:highlight w:val="none"/>
              </w:rPr>
            </w:pPr>
            <w:r>
              <w:rPr>
                <w:rFonts w:hint="eastAsia" w:cs="宋体"/>
                <w:bCs/>
                <w:color w:val="auto"/>
                <w:szCs w:val="28"/>
                <w:highlight w:val="none"/>
              </w:rPr>
              <w:t>三、</w:t>
            </w:r>
            <w:r>
              <w:rPr>
                <w:rFonts w:hint="eastAsia" w:cs="宋体"/>
                <w:color w:val="auto"/>
                <w:highlight w:val="none"/>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Pr>
                <w:rFonts w:hint="eastAsia"/>
                <w:color w:val="auto"/>
                <w:szCs w:val="21"/>
                <w:highlight w:val="none"/>
              </w:rPr>
              <w:t>关于资格的承诺函</w:t>
            </w:r>
            <w:r>
              <w:rPr>
                <w:rFonts w:hint="eastAsia" w:cs="宋体"/>
                <w:color w:val="auto"/>
                <w:highlight w:val="none"/>
              </w:rPr>
              <w:t>》）。</w:t>
            </w:r>
          </w:p>
        </w:tc>
        <w:tc>
          <w:tcPr>
            <w:tcW w:w="1134" w:type="dxa"/>
            <w:vAlign w:val="center"/>
          </w:tcPr>
          <w:p w14:paraId="046C0F1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6283F51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6BF6A6D8">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277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4E91DF8">
            <w:pPr>
              <w:widowControl/>
              <w:adjustRightInd w:val="0"/>
              <w:spacing w:line="360" w:lineRule="exact"/>
              <w:rPr>
                <w:rFonts w:cs="宋体"/>
                <w:bCs/>
                <w:color w:val="auto"/>
                <w:szCs w:val="28"/>
                <w:highlight w:val="none"/>
              </w:rPr>
            </w:pPr>
          </w:p>
        </w:tc>
        <w:tc>
          <w:tcPr>
            <w:tcW w:w="5458" w:type="dxa"/>
            <w:vAlign w:val="center"/>
          </w:tcPr>
          <w:p w14:paraId="369E52B7">
            <w:pPr>
              <w:widowControl/>
              <w:adjustRightInd w:val="0"/>
              <w:spacing w:line="360" w:lineRule="exact"/>
              <w:rPr>
                <w:rFonts w:cs="宋体"/>
                <w:color w:val="auto"/>
                <w:szCs w:val="21"/>
                <w:highlight w:val="none"/>
              </w:rPr>
            </w:pPr>
            <w:r>
              <w:rPr>
                <w:rFonts w:hint="eastAsia" w:cs="宋体"/>
                <w:bCs/>
                <w:color w:val="auto"/>
                <w:szCs w:val="28"/>
                <w:highlight w:val="none"/>
              </w:rPr>
              <w:t>四、</w:t>
            </w:r>
            <w:r>
              <w:rPr>
                <w:rFonts w:hint="eastAsia" w:cs="宋体"/>
                <w:color w:val="auto"/>
                <w:szCs w:val="21"/>
                <w:highlight w:val="none"/>
              </w:rPr>
              <w:t>本项目不接受联合体投标。</w:t>
            </w:r>
          </w:p>
        </w:tc>
        <w:tc>
          <w:tcPr>
            <w:tcW w:w="1134" w:type="dxa"/>
            <w:vAlign w:val="center"/>
          </w:tcPr>
          <w:p w14:paraId="7BEDFA9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178B9479">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2F400A33">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D86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BAC3BA6">
            <w:pPr>
              <w:widowControl/>
              <w:adjustRightInd w:val="0"/>
              <w:spacing w:line="360" w:lineRule="exact"/>
              <w:rPr>
                <w:rFonts w:cs="宋体"/>
                <w:bCs/>
                <w:color w:val="auto"/>
                <w:szCs w:val="28"/>
                <w:highlight w:val="none"/>
              </w:rPr>
            </w:pPr>
          </w:p>
        </w:tc>
        <w:tc>
          <w:tcPr>
            <w:tcW w:w="5458" w:type="dxa"/>
            <w:vAlign w:val="center"/>
          </w:tcPr>
          <w:p w14:paraId="03D1787C">
            <w:pPr>
              <w:widowControl/>
              <w:adjustRightInd w:val="0"/>
              <w:spacing w:line="360" w:lineRule="exact"/>
              <w:rPr>
                <w:rFonts w:cs="宋体"/>
                <w:bCs/>
                <w:color w:val="auto"/>
                <w:szCs w:val="28"/>
                <w:highlight w:val="none"/>
              </w:rPr>
            </w:pPr>
            <w:r>
              <w:rPr>
                <w:rFonts w:hint="eastAsia" w:cs="宋体"/>
                <w:bCs/>
                <w:color w:val="auto"/>
                <w:szCs w:val="28"/>
                <w:highlight w:val="none"/>
              </w:rPr>
              <w:t>五、</w:t>
            </w:r>
            <w:r>
              <w:rPr>
                <w:rFonts w:hint="eastAsia" w:ascii="宋体" w:hAnsi="宋体" w:cs="Arial"/>
                <w:color w:val="auto"/>
                <w:kern w:val="0"/>
                <w:szCs w:val="21"/>
                <w:highlight w:val="none"/>
              </w:rPr>
              <w:t>本项目的特定资格要求：</w:t>
            </w:r>
            <w:r>
              <w:rPr>
                <w:rFonts w:hint="eastAsia" w:ascii="宋体" w:hAnsi="宋体" w:eastAsia="宋体" w:cs="Arial"/>
                <w:color w:val="auto"/>
                <w:kern w:val="0"/>
                <w:szCs w:val="21"/>
                <w:highlight w:val="none"/>
                <w:lang w:val="en-US" w:eastAsia="zh-CN"/>
              </w:rPr>
              <w:t>具有有效的营业执照并具备独立法人资格。</w:t>
            </w:r>
          </w:p>
        </w:tc>
        <w:tc>
          <w:tcPr>
            <w:tcW w:w="1134" w:type="dxa"/>
            <w:vAlign w:val="center"/>
          </w:tcPr>
          <w:p w14:paraId="7C840623">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AFE6C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5F40C489">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bl>
    <w:p w14:paraId="34FBCC85">
      <w:pPr>
        <w:pStyle w:val="18"/>
        <w:tabs>
          <w:tab w:val="left" w:pos="4841"/>
        </w:tabs>
        <w:rPr>
          <w:rFonts w:ascii="宋体" w:hAnsi="宋体" w:eastAsia="宋体" w:cs="宋体"/>
          <w:bCs/>
          <w:color w:val="auto"/>
          <w:sz w:val="21"/>
          <w:szCs w:val="21"/>
          <w:highlight w:val="none"/>
        </w:rPr>
      </w:pPr>
    </w:p>
    <w:p w14:paraId="52664349">
      <w:pPr>
        <w:pStyle w:val="18"/>
        <w:ind w:firstLine="0"/>
        <w:rPr>
          <w:color w:val="auto"/>
          <w:highlight w:val="none"/>
        </w:rPr>
      </w:pPr>
    </w:p>
    <w:sectPr>
      <w:pgSz w:w="11906" w:h="16838"/>
      <w:pgMar w:top="1440" w:right="1701" w:bottom="1440" w:left="1559" w:header="426" w:footer="708" w:gutter="0"/>
      <w:pgNumType w:fmt="decimal"/>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Courier New"/>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8F92">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5C65">
    <w:pPr>
      <w:pStyle w:val="28"/>
      <w:framePr w:wrap="around" w:vAnchor="text" w:hAnchor="margin" w:xAlign="right" w:y="1"/>
      <w:rPr>
        <w:rStyle w:val="49"/>
      </w:rPr>
    </w:pPr>
    <w:r>
      <w:fldChar w:fldCharType="begin"/>
    </w:r>
    <w:r>
      <w:rPr>
        <w:rStyle w:val="49"/>
      </w:rPr>
      <w:instrText xml:space="preserve">PAGE  </w:instrText>
    </w:r>
    <w:r>
      <w:fldChar w:fldCharType="end"/>
    </w:r>
  </w:p>
  <w:p w14:paraId="250DC83C">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1329"/>
    </w:sdtPr>
    <w:sdtContent>
      <w:p w14:paraId="1E497A68">
        <w:pPr>
          <w:pStyle w:val="28"/>
          <w:spacing w:before="120" w:after="120"/>
          <w:jc w:val="center"/>
        </w:pPr>
        <w:r>
          <w:fldChar w:fldCharType="begin"/>
        </w:r>
        <w:r>
          <w:instrText xml:space="preserve"> PAGE   \* MERGEFORMAT </w:instrText>
        </w:r>
        <w:r>
          <w:fldChar w:fldCharType="separate"/>
        </w:r>
        <w:r>
          <w:rPr>
            <w:lang w:val="zh-CN"/>
          </w:rPr>
          <w:t>45</w:t>
        </w:r>
        <w:r>
          <w:rPr>
            <w:lang w:val="zh-CN"/>
          </w:rPr>
          <w:fldChar w:fldCharType="end"/>
        </w:r>
      </w:p>
    </w:sdtContent>
  </w:sdt>
  <w:p w14:paraId="248352B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B066">
    <w:pPr>
      <w:pStyle w:val="28"/>
      <w:jc w:val="center"/>
    </w:pPr>
    <w:r>
      <w:fldChar w:fldCharType="begin"/>
    </w:r>
    <w:r>
      <w:instrText xml:space="preserve"> PAGE   \* MERGEFORMAT </w:instrText>
    </w:r>
    <w:r>
      <w:fldChar w:fldCharType="separate"/>
    </w:r>
    <w:r>
      <w:rPr>
        <w:lang w:val="zh-CN"/>
      </w:rPr>
      <w:t>43</w:t>
    </w:r>
    <w:r>
      <w:rPr>
        <w:lang w:val="zh-CN"/>
      </w:rPr>
      <w:fldChar w:fldCharType="end"/>
    </w:r>
  </w:p>
  <w:p w14:paraId="6C6243C1">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B397">
    <w:pPr>
      <w:spacing w:line="219" w:lineRule="auto"/>
      <w:rPr>
        <w:rFonts w:ascii="宋体" w:hAnsi="宋体" w:eastAsia="宋体" w:cs="宋体"/>
        <w:sz w:val="20"/>
        <w:szCs w:val="20"/>
      </w:rPr>
    </w:pPr>
    <w:r>
      <w:rPr>
        <w:sz w:val="20"/>
      </w:rP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E272E7C">
                <w:pPr>
                  <w:pStyle w:val="28"/>
                </w:pPr>
                <w:r>
                  <w:fldChar w:fldCharType="begin"/>
                </w:r>
                <w:r>
                  <w:instrText xml:space="preserve"> PAGE  \* MERGEFORMAT </w:instrText>
                </w:r>
                <w:r>
                  <w:fldChar w:fldCharType="separate"/>
                </w:r>
                <w:r>
                  <w:t>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E432">
    <w:pPr>
      <w:pStyle w:val="28"/>
      <w:jc w:val="center"/>
    </w:pPr>
    <w:r>
      <w:rPr>
        <w:sz w:val="18"/>
      </w:rP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14D460C">
                <w:pPr>
                  <w:pStyle w:val="2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14:paraId="6094A3FB">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6CBF">
    <w:pPr>
      <w:spacing w:line="219" w:lineRule="auto"/>
      <w:rPr>
        <w:rFonts w:ascii="宋体" w:hAnsi="宋体" w:eastAsia="宋体" w:cs="宋体"/>
        <w:sz w:val="20"/>
        <w:szCs w:val="20"/>
      </w:rPr>
    </w:pPr>
    <w:r>
      <w:rPr>
        <w:sz w:val="20"/>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AFDA542">
                <w:pPr>
                  <w:pStyle w:val="28"/>
                </w:pPr>
                <w:r>
                  <w:fldChar w:fldCharType="begin"/>
                </w:r>
                <w:r>
                  <w:instrText xml:space="preserve"> PAGE  \* MERGEFORMAT </w:instrText>
                </w:r>
                <w:r>
                  <w:fldChar w:fldCharType="separate"/>
                </w:r>
                <w:r>
                  <w:t>24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A5AD">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1AAF2D">
                <w:pPr>
                  <w:pStyle w:val="2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14:paraId="52AED3F9">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F43C">
    <w:pPr>
      <w:spacing w:line="219" w:lineRule="auto"/>
      <w:ind w:left="3932"/>
      <w:rPr>
        <w:rFonts w:ascii="宋体" w:hAnsi="宋体" w:eastAsia="宋体" w:cs="宋体"/>
        <w:sz w:val="20"/>
        <w:szCs w:val="20"/>
      </w:rPr>
    </w:pPr>
    <w:r>
      <w:rPr>
        <w:sz w:val="20"/>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628F6F7">
                <w:pPr>
                  <w:pStyle w:val="28"/>
                </w:pPr>
                <w:r>
                  <w:fldChar w:fldCharType="begin"/>
                </w:r>
                <w:r>
                  <w:instrText xml:space="preserv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3DC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22CD">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08F7">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601A">
    <w:pPr>
      <w:pStyle w:val="29"/>
      <w:pBdr>
        <w:bottom w:val="single" w:color="auto" w:sz="2" w:space="1"/>
      </w:pBdr>
      <w:tabs>
        <w:tab w:val="right" w:pos="9813"/>
        <w:tab w:val="clear" w:pos="4153"/>
        <w:tab w:val="clear" w:pos="8306"/>
      </w:tabs>
      <w:ind w:left="-966" w:right="-968"/>
      <w:rPr>
        <w:rFonts w:ascii="宋体" w:hAnsi="宋体"/>
        <w:w w:val="80"/>
        <w:sz w:val="21"/>
        <w:szCs w:val="21"/>
      </w:rPr>
    </w:pPr>
    <w:r>
      <w:rPr>
        <w:rFonts w:hint="eastAsia" w:ascii="宋体" w:hAnsi="宋体"/>
        <w:w w:val="80"/>
        <w:sz w:val="21"/>
        <w:szCs w:val="21"/>
      </w:rPr>
      <w:t>中冠工程管理咨询有限公司-[国内公开招标文件]</w:t>
    </w:r>
  </w:p>
  <w:p w14:paraId="062EB16A">
    <w:pPr>
      <w:pStyle w:val="29"/>
      <w:pBdr>
        <w:bottom w:val="none" w:color="auto" w:sz="0" w:space="0"/>
      </w:pBdr>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C232A"/>
    <w:multiLevelType w:val="singleLevel"/>
    <w:tmpl w:val="8F1C232A"/>
    <w:lvl w:ilvl="0" w:tentative="0">
      <w:start w:val="4"/>
      <w:numFmt w:val="chineseCounting"/>
      <w:suff w:val="nothing"/>
      <w:lvlText w:val="%1、"/>
      <w:lvlJc w:val="left"/>
      <w:rPr>
        <w:rFonts w:hint="eastAsia"/>
      </w:rPr>
    </w:lvl>
  </w:abstractNum>
  <w:abstractNum w:abstractNumId="1">
    <w:nsid w:val="A91D004B"/>
    <w:multiLevelType w:val="singleLevel"/>
    <w:tmpl w:val="A91D004B"/>
    <w:lvl w:ilvl="0" w:tentative="0">
      <w:start w:val="7"/>
      <w:numFmt w:val="decimal"/>
      <w:suff w:val="nothing"/>
      <w:lvlText w:val="%1、"/>
      <w:lvlJc w:val="left"/>
    </w:lvl>
  </w:abstractNum>
  <w:abstractNum w:abstractNumId="2">
    <w:nsid w:val="FEAF6718"/>
    <w:multiLevelType w:val="singleLevel"/>
    <w:tmpl w:val="FEAF6718"/>
    <w:lvl w:ilvl="0" w:tentative="0">
      <w:start w:val="1"/>
      <w:numFmt w:val="decimal"/>
      <w:lvlText w:val="%1."/>
      <w:lvlJc w:val="left"/>
      <w:pPr>
        <w:tabs>
          <w:tab w:val="left" w:pos="312"/>
        </w:tabs>
      </w:pPr>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4C54533C"/>
    <w:multiLevelType w:val="singleLevel"/>
    <w:tmpl w:val="4C54533C"/>
    <w:lvl w:ilvl="0" w:tentative="0">
      <w:start w:val="1"/>
      <w:numFmt w:val="decimal"/>
      <w:suff w:val="nothing"/>
      <w:lvlText w:val="%1、"/>
      <w:lvlJc w:val="left"/>
    </w:lvl>
  </w:abstractNum>
  <w:abstractNum w:abstractNumId="5">
    <w:nsid w:val="6FE20E3D"/>
    <w:multiLevelType w:val="singleLevel"/>
    <w:tmpl w:val="6FE20E3D"/>
    <w:lvl w:ilvl="0" w:tentative="0">
      <w:start w:val="4"/>
      <w:numFmt w:val="decimal"/>
      <w:suff w:val="nothing"/>
      <w:lvlText w:val="%1、"/>
      <w:lvlJc w:val="left"/>
    </w:lvl>
  </w:abstractNum>
  <w:abstractNum w:abstractNumId="6">
    <w:nsid w:val="754A1BAC"/>
    <w:multiLevelType w:val="singleLevel"/>
    <w:tmpl w:val="754A1BAC"/>
    <w:lvl w:ilvl="0" w:tentative="0">
      <w:start w:val="8"/>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3MmQ2YmQxNjk3MzEyYjViMWQ0OTFiNDBlNjAxYjgifQ=="/>
  </w:docVars>
  <w:rsids>
    <w:rsidRoot w:val="00172A27"/>
    <w:rsid w:val="000006CC"/>
    <w:rsid w:val="00001271"/>
    <w:rsid w:val="00001743"/>
    <w:rsid w:val="0000184A"/>
    <w:rsid w:val="00004094"/>
    <w:rsid w:val="00004A4D"/>
    <w:rsid w:val="000055B2"/>
    <w:rsid w:val="00006110"/>
    <w:rsid w:val="00006631"/>
    <w:rsid w:val="00007C24"/>
    <w:rsid w:val="000131FD"/>
    <w:rsid w:val="000144AB"/>
    <w:rsid w:val="000207C1"/>
    <w:rsid w:val="0002452C"/>
    <w:rsid w:val="000245D2"/>
    <w:rsid w:val="0002604A"/>
    <w:rsid w:val="00030925"/>
    <w:rsid w:val="00031280"/>
    <w:rsid w:val="00031AE6"/>
    <w:rsid w:val="00033897"/>
    <w:rsid w:val="00034887"/>
    <w:rsid w:val="0003538E"/>
    <w:rsid w:val="000366C8"/>
    <w:rsid w:val="00037265"/>
    <w:rsid w:val="00037B94"/>
    <w:rsid w:val="00037BCE"/>
    <w:rsid w:val="000437B1"/>
    <w:rsid w:val="00043EC8"/>
    <w:rsid w:val="0004470E"/>
    <w:rsid w:val="000449C8"/>
    <w:rsid w:val="00045A67"/>
    <w:rsid w:val="00045BDA"/>
    <w:rsid w:val="00046C10"/>
    <w:rsid w:val="00047DEA"/>
    <w:rsid w:val="00051572"/>
    <w:rsid w:val="00051DB1"/>
    <w:rsid w:val="000541F1"/>
    <w:rsid w:val="0005471F"/>
    <w:rsid w:val="000552D4"/>
    <w:rsid w:val="00055CAD"/>
    <w:rsid w:val="00057943"/>
    <w:rsid w:val="000602C6"/>
    <w:rsid w:val="0006040C"/>
    <w:rsid w:val="00061115"/>
    <w:rsid w:val="00061417"/>
    <w:rsid w:val="00061BC0"/>
    <w:rsid w:val="000622C0"/>
    <w:rsid w:val="00066BA8"/>
    <w:rsid w:val="000678E7"/>
    <w:rsid w:val="0007113F"/>
    <w:rsid w:val="0007149E"/>
    <w:rsid w:val="00071A7E"/>
    <w:rsid w:val="0007287E"/>
    <w:rsid w:val="00073396"/>
    <w:rsid w:val="00074A40"/>
    <w:rsid w:val="00074C19"/>
    <w:rsid w:val="0007575D"/>
    <w:rsid w:val="00077FC9"/>
    <w:rsid w:val="0008087A"/>
    <w:rsid w:val="0008244D"/>
    <w:rsid w:val="00083647"/>
    <w:rsid w:val="00083D8A"/>
    <w:rsid w:val="00086B68"/>
    <w:rsid w:val="000871C0"/>
    <w:rsid w:val="000875B6"/>
    <w:rsid w:val="00090B46"/>
    <w:rsid w:val="00090B8B"/>
    <w:rsid w:val="00090DB7"/>
    <w:rsid w:val="000926B0"/>
    <w:rsid w:val="00093D06"/>
    <w:rsid w:val="00094624"/>
    <w:rsid w:val="0009486D"/>
    <w:rsid w:val="000962B7"/>
    <w:rsid w:val="00096383"/>
    <w:rsid w:val="00097160"/>
    <w:rsid w:val="000A2B60"/>
    <w:rsid w:val="000A6387"/>
    <w:rsid w:val="000A711E"/>
    <w:rsid w:val="000A7F75"/>
    <w:rsid w:val="000B058B"/>
    <w:rsid w:val="000B0CB5"/>
    <w:rsid w:val="000B21EF"/>
    <w:rsid w:val="000B2999"/>
    <w:rsid w:val="000B2D96"/>
    <w:rsid w:val="000B36B8"/>
    <w:rsid w:val="000B45E0"/>
    <w:rsid w:val="000B4795"/>
    <w:rsid w:val="000B51DC"/>
    <w:rsid w:val="000B6B50"/>
    <w:rsid w:val="000B75AD"/>
    <w:rsid w:val="000C02EE"/>
    <w:rsid w:val="000C0785"/>
    <w:rsid w:val="000C2556"/>
    <w:rsid w:val="000C28E0"/>
    <w:rsid w:val="000C585A"/>
    <w:rsid w:val="000C5D45"/>
    <w:rsid w:val="000D0696"/>
    <w:rsid w:val="000D10B0"/>
    <w:rsid w:val="000D116B"/>
    <w:rsid w:val="000D11DC"/>
    <w:rsid w:val="000D123F"/>
    <w:rsid w:val="000D18C3"/>
    <w:rsid w:val="000D2675"/>
    <w:rsid w:val="000D4D75"/>
    <w:rsid w:val="000D5939"/>
    <w:rsid w:val="000D608E"/>
    <w:rsid w:val="000D6C48"/>
    <w:rsid w:val="000D7B6E"/>
    <w:rsid w:val="000D7C64"/>
    <w:rsid w:val="000D7E0B"/>
    <w:rsid w:val="000E0943"/>
    <w:rsid w:val="000E0A0A"/>
    <w:rsid w:val="000E137C"/>
    <w:rsid w:val="000E2FFB"/>
    <w:rsid w:val="000E46CC"/>
    <w:rsid w:val="000E479A"/>
    <w:rsid w:val="000E54D3"/>
    <w:rsid w:val="000E590B"/>
    <w:rsid w:val="000E5EDB"/>
    <w:rsid w:val="000F0578"/>
    <w:rsid w:val="000F2B24"/>
    <w:rsid w:val="000F3120"/>
    <w:rsid w:val="000F32D1"/>
    <w:rsid w:val="000F3DF6"/>
    <w:rsid w:val="000F4EFE"/>
    <w:rsid w:val="000F52D9"/>
    <w:rsid w:val="000F6368"/>
    <w:rsid w:val="000F67D0"/>
    <w:rsid w:val="000F72F8"/>
    <w:rsid w:val="00100977"/>
    <w:rsid w:val="00100E07"/>
    <w:rsid w:val="001024B6"/>
    <w:rsid w:val="0010392C"/>
    <w:rsid w:val="00104057"/>
    <w:rsid w:val="001053E7"/>
    <w:rsid w:val="00105E6D"/>
    <w:rsid w:val="00106457"/>
    <w:rsid w:val="001141FE"/>
    <w:rsid w:val="00122E9F"/>
    <w:rsid w:val="00122EB9"/>
    <w:rsid w:val="001235EA"/>
    <w:rsid w:val="001239AC"/>
    <w:rsid w:val="00123B28"/>
    <w:rsid w:val="001245ED"/>
    <w:rsid w:val="00124D57"/>
    <w:rsid w:val="00125CED"/>
    <w:rsid w:val="001262B8"/>
    <w:rsid w:val="00127B68"/>
    <w:rsid w:val="001304AB"/>
    <w:rsid w:val="001316F0"/>
    <w:rsid w:val="00131C01"/>
    <w:rsid w:val="001357AF"/>
    <w:rsid w:val="001367B8"/>
    <w:rsid w:val="00136E46"/>
    <w:rsid w:val="001416DF"/>
    <w:rsid w:val="00142079"/>
    <w:rsid w:val="001423BB"/>
    <w:rsid w:val="00142A57"/>
    <w:rsid w:val="00142CCD"/>
    <w:rsid w:val="00142F6E"/>
    <w:rsid w:val="0014431F"/>
    <w:rsid w:val="0014482F"/>
    <w:rsid w:val="00147717"/>
    <w:rsid w:val="001519B2"/>
    <w:rsid w:val="00152D19"/>
    <w:rsid w:val="00154806"/>
    <w:rsid w:val="00157D70"/>
    <w:rsid w:val="001618D9"/>
    <w:rsid w:val="00163239"/>
    <w:rsid w:val="00163623"/>
    <w:rsid w:val="0016556B"/>
    <w:rsid w:val="0017050C"/>
    <w:rsid w:val="001708D4"/>
    <w:rsid w:val="00170BE2"/>
    <w:rsid w:val="001715DB"/>
    <w:rsid w:val="00172A27"/>
    <w:rsid w:val="00173EFD"/>
    <w:rsid w:val="001779C0"/>
    <w:rsid w:val="00180090"/>
    <w:rsid w:val="0018084D"/>
    <w:rsid w:val="0018120C"/>
    <w:rsid w:val="00182415"/>
    <w:rsid w:val="001824BA"/>
    <w:rsid w:val="001837B9"/>
    <w:rsid w:val="00183B4A"/>
    <w:rsid w:val="00184841"/>
    <w:rsid w:val="0018762D"/>
    <w:rsid w:val="00187CD4"/>
    <w:rsid w:val="00190F2D"/>
    <w:rsid w:val="001916D7"/>
    <w:rsid w:val="00192C07"/>
    <w:rsid w:val="00192F9B"/>
    <w:rsid w:val="001941C1"/>
    <w:rsid w:val="00196B81"/>
    <w:rsid w:val="001A1862"/>
    <w:rsid w:val="001A61FB"/>
    <w:rsid w:val="001A6577"/>
    <w:rsid w:val="001A6971"/>
    <w:rsid w:val="001A7531"/>
    <w:rsid w:val="001B0054"/>
    <w:rsid w:val="001B2885"/>
    <w:rsid w:val="001B29CD"/>
    <w:rsid w:val="001B33F4"/>
    <w:rsid w:val="001B360C"/>
    <w:rsid w:val="001B51F4"/>
    <w:rsid w:val="001B5818"/>
    <w:rsid w:val="001B6FEC"/>
    <w:rsid w:val="001C0F86"/>
    <w:rsid w:val="001C1042"/>
    <w:rsid w:val="001C181D"/>
    <w:rsid w:val="001C1BD5"/>
    <w:rsid w:val="001C4872"/>
    <w:rsid w:val="001C4BFA"/>
    <w:rsid w:val="001C506C"/>
    <w:rsid w:val="001C5733"/>
    <w:rsid w:val="001C6422"/>
    <w:rsid w:val="001C67F5"/>
    <w:rsid w:val="001C6D07"/>
    <w:rsid w:val="001D0884"/>
    <w:rsid w:val="001D1DD5"/>
    <w:rsid w:val="001D23C1"/>
    <w:rsid w:val="001D23CF"/>
    <w:rsid w:val="001D49CD"/>
    <w:rsid w:val="001D59B9"/>
    <w:rsid w:val="001D7A46"/>
    <w:rsid w:val="001E113B"/>
    <w:rsid w:val="001E48E5"/>
    <w:rsid w:val="001E55EC"/>
    <w:rsid w:val="001E674D"/>
    <w:rsid w:val="001E7756"/>
    <w:rsid w:val="001E7783"/>
    <w:rsid w:val="001E7E41"/>
    <w:rsid w:val="001F347C"/>
    <w:rsid w:val="001F3C5D"/>
    <w:rsid w:val="001F454A"/>
    <w:rsid w:val="001F4724"/>
    <w:rsid w:val="001F4B40"/>
    <w:rsid w:val="001F4E2C"/>
    <w:rsid w:val="001F607C"/>
    <w:rsid w:val="001F6917"/>
    <w:rsid w:val="001F6989"/>
    <w:rsid w:val="001F69C8"/>
    <w:rsid w:val="001F78C2"/>
    <w:rsid w:val="00200585"/>
    <w:rsid w:val="002006FC"/>
    <w:rsid w:val="00201706"/>
    <w:rsid w:val="002019FB"/>
    <w:rsid w:val="00203132"/>
    <w:rsid w:val="00206562"/>
    <w:rsid w:val="00206868"/>
    <w:rsid w:val="002114E4"/>
    <w:rsid w:val="002118B5"/>
    <w:rsid w:val="00214D95"/>
    <w:rsid w:val="0021625C"/>
    <w:rsid w:val="0022179C"/>
    <w:rsid w:val="00222053"/>
    <w:rsid w:val="002220A7"/>
    <w:rsid w:val="002222C6"/>
    <w:rsid w:val="00222AE1"/>
    <w:rsid w:val="0022388F"/>
    <w:rsid w:val="0022456D"/>
    <w:rsid w:val="002268B2"/>
    <w:rsid w:val="00227C9B"/>
    <w:rsid w:val="00230A7B"/>
    <w:rsid w:val="00230FBC"/>
    <w:rsid w:val="00232D5C"/>
    <w:rsid w:val="002334A5"/>
    <w:rsid w:val="0023720A"/>
    <w:rsid w:val="00240145"/>
    <w:rsid w:val="00240A44"/>
    <w:rsid w:val="00241377"/>
    <w:rsid w:val="0024198F"/>
    <w:rsid w:val="002423BE"/>
    <w:rsid w:val="0024403A"/>
    <w:rsid w:val="00245382"/>
    <w:rsid w:val="00251CE5"/>
    <w:rsid w:val="00252253"/>
    <w:rsid w:val="00255589"/>
    <w:rsid w:val="002557D1"/>
    <w:rsid w:val="00257211"/>
    <w:rsid w:val="002579F1"/>
    <w:rsid w:val="002609E4"/>
    <w:rsid w:val="00260C41"/>
    <w:rsid w:val="002621DA"/>
    <w:rsid w:val="00262C29"/>
    <w:rsid w:val="00263D3B"/>
    <w:rsid w:val="002640B8"/>
    <w:rsid w:val="0026418B"/>
    <w:rsid w:val="00264672"/>
    <w:rsid w:val="00265A13"/>
    <w:rsid w:val="002670D7"/>
    <w:rsid w:val="002701AD"/>
    <w:rsid w:val="002725DE"/>
    <w:rsid w:val="00273092"/>
    <w:rsid w:val="0027376D"/>
    <w:rsid w:val="00274EC2"/>
    <w:rsid w:val="00275929"/>
    <w:rsid w:val="002760BB"/>
    <w:rsid w:val="00276B12"/>
    <w:rsid w:val="002772A8"/>
    <w:rsid w:val="00280037"/>
    <w:rsid w:val="00280D0D"/>
    <w:rsid w:val="00282C85"/>
    <w:rsid w:val="002831E9"/>
    <w:rsid w:val="00284B1C"/>
    <w:rsid w:val="0028551E"/>
    <w:rsid w:val="00285B5F"/>
    <w:rsid w:val="00287555"/>
    <w:rsid w:val="00291FA9"/>
    <w:rsid w:val="00292B7D"/>
    <w:rsid w:val="0029322F"/>
    <w:rsid w:val="00293C21"/>
    <w:rsid w:val="002940AC"/>
    <w:rsid w:val="0029472E"/>
    <w:rsid w:val="002953DB"/>
    <w:rsid w:val="00295503"/>
    <w:rsid w:val="002964CD"/>
    <w:rsid w:val="002A01B7"/>
    <w:rsid w:val="002A0CEE"/>
    <w:rsid w:val="002A1ED5"/>
    <w:rsid w:val="002A3C2E"/>
    <w:rsid w:val="002A4D22"/>
    <w:rsid w:val="002A6DF2"/>
    <w:rsid w:val="002B0951"/>
    <w:rsid w:val="002B1466"/>
    <w:rsid w:val="002B1A2A"/>
    <w:rsid w:val="002B2665"/>
    <w:rsid w:val="002B3D6D"/>
    <w:rsid w:val="002B47D8"/>
    <w:rsid w:val="002B5C1B"/>
    <w:rsid w:val="002B66B5"/>
    <w:rsid w:val="002C0B46"/>
    <w:rsid w:val="002C197A"/>
    <w:rsid w:val="002C1F8C"/>
    <w:rsid w:val="002C5B02"/>
    <w:rsid w:val="002C6A37"/>
    <w:rsid w:val="002D0832"/>
    <w:rsid w:val="002D1BCB"/>
    <w:rsid w:val="002D221A"/>
    <w:rsid w:val="002D3919"/>
    <w:rsid w:val="002D4E8B"/>
    <w:rsid w:val="002D5468"/>
    <w:rsid w:val="002D6715"/>
    <w:rsid w:val="002D6A9A"/>
    <w:rsid w:val="002D6F4B"/>
    <w:rsid w:val="002D7FCE"/>
    <w:rsid w:val="002E1F9E"/>
    <w:rsid w:val="002E4433"/>
    <w:rsid w:val="002E4631"/>
    <w:rsid w:val="002E79F5"/>
    <w:rsid w:val="002F04C4"/>
    <w:rsid w:val="002F0519"/>
    <w:rsid w:val="002F16FD"/>
    <w:rsid w:val="002F1CE6"/>
    <w:rsid w:val="00302A6B"/>
    <w:rsid w:val="00302FBD"/>
    <w:rsid w:val="00305590"/>
    <w:rsid w:val="00306A5A"/>
    <w:rsid w:val="0031019A"/>
    <w:rsid w:val="00311225"/>
    <w:rsid w:val="003114B8"/>
    <w:rsid w:val="00320B9B"/>
    <w:rsid w:val="00322CA9"/>
    <w:rsid w:val="0032314D"/>
    <w:rsid w:val="0033036A"/>
    <w:rsid w:val="003315FC"/>
    <w:rsid w:val="00331689"/>
    <w:rsid w:val="00331EC0"/>
    <w:rsid w:val="0033201D"/>
    <w:rsid w:val="00333C09"/>
    <w:rsid w:val="00333E55"/>
    <w:rsid w:val="00335C86"/>
    <w:rsid w:val="0033722A"/>
    <w:rsid w:val="003373F5"/>
    <w:rsid w:val="00340658"/>
    <w:rsid w:val="00343F26"/>
    <w:rsid w:val="00344E42"/>
    <w:rsid w:val="00346FB4"/>
    <w:rsid w:val="00352265"/>
    <w:rsid w:val="00353307"/>
    <w:rsid w:val="00353477"/>
    <w:rsid w:val="00353C5D"/>
    <w:rsid w:val="00354B7E"/>
    <w:rsid w:val="003554F7"/>
    <w:rsid w:val="00355991"/>
    <w:rsid w:val="00360374"/>
    <w:rsid w:val="00360DD5"/>
    <w:rsid w:val="0036325F"/>
    <w:rsid w:val="00364009"/>
    <w:rsid w:val="003654D9"/>
    <w:rsid w:val="0037018C"/>
    <w:rsid w:val="0037061E"/>
    <w:rsid w:val="0037067D"/>
    <w:rsid w:val="00370D68"/>
    <w:rsid w:val="00371028"/>
    <w:rsid w:val="003712BF"/>
    <w:rsid w:val="00371BB0"/>
    <w:rsid w:val="00373A04"/>
    <w:rsid w:val="00377C7E"/>
    <w:rsid w:val="00381C0A"/>
    <w:rsid w:val="00382200"/>
    <w:rsid w:val="00382CCB"/>
    <w:rsid w:val="00383F0E"/>
    <w:rsid w:val="00384964"/>
    <w:rsid w:val="00385494"/>
    <w:rsid w:val="00386F74"/>
    <w:rsid w:val="00387C50"/>
    <w:rsid w:val="00390129"/>
    <w:rsid w:val="00392794"/>
    <w:rsid w:val="00392876"/>
    <w:rsid w:val="003931FA"/>
    <w:rsid w:val="00393456"/>
    <w:rsid w:val="003957CF"/>
    <w:rsid w:val="003966CB"/>
    <w:rsid w:val="00396794"/>
    <w:rsid w:val="00397B74"/>
    <w:rsid w:val="003A5FAB"/>
    <w:rsid w:val="003A73C7"/>
    <w:rsid w:val="003C0339"/>
    <w:rsid w:val="003C1713"/>
    <w:rsid w:val="003C3476"/>
    <w:rsid w:val="003C4189"/>
    <w:rsid w:val="003C52C7"/>
    <w:rsid w:val="003C6677"/>
    <w:rsid w:val="003D0669"/>
    <w:rsid w:val="003D0F1B"/>
    <w:rsid w:val="003D1260"/>
    <w:rsid w:val="003D5B39"/>
    <w:rsid w:val="003D6027"/>
    <w:rsid w:val="003E0260"/>
    <w:rsid w:val="003E2899"/>
    <w:rsid w:val="003E2FDC"/>
    <w:rsid w:val="003E48FD"/>
    <w:rsid w:val="003E4E68"/>
    <w:rsid w:val="003E4EC4"/>
    <w:rsid w:val="003F1BC2"/>
    <w:rsid w:val="003F2CAF"/>
    <w:rsid w:val="003F34C5"/>
    <w:rsid w:val="003F4009"/>
    <w:rsid w:val="003F4533"/>
    <w:rsid w:val="003F4804"/>
    <w:rsid w:val="003F4C52"/>
    <w:rsid w:val="003F6629"/>
    <w:rsid w:val="00400725"/>
    <w:rsid w:val="00402F34"/>
    <w:rsid w:val="00403B7F"/>
    <w:rsid w:val="00403C7E"/>
    <w:rsid w:val="00404203"/>
    <w:rsid w:val="00405438"/>
    <w:rsid w:val="0040575A"/>
    <w:rsid w:val="00407583"/>
    <w:rsid w:val="00407E41"/>
    <w:rsid w:val="004111FA"/>
    <w:rsid w:val="00412969"/>
    <w:rsid w:val="00414242"/>
    <w:rsid w:val="00415F39"/>
    <w:rsid w:val="004160DF"/>
    <w:rsid w:val="00417589"/>
    <w:rsid w:val="00420824"/>
    <w:rsid w:val="0042226B"/>
    <w:rsid w:val="00422928"/>
    <w:rsid w:val="00423134"/>
    <w:rsid w:val="00424137"/>
    <w:rsid w:val="00424162"/>
    <w:rsid w:val="00424E36"/>
    <w:rsid w:val="004265E9"/>
    <w:rsid w:val="00426AA4"/>
    <w:rsid w:val="00427184"/>
    <w:rsid w:val="00433033"/>
    <w:rsid w:val="00433566"/>
    <w:rsid w:val="004347F1"/>
    <w:rsid w:val="00436C4A"/>
    <w:rsid w:val="00440A13"/>
    <w:rsid w:val="00441911"/>
    <w:rsid w:val="004424CF"/>
    <w:rsid w:val="004455AC"/>
    <w:rsid w:val="00446A06"/>
    <w:rsid w:val="00447651"/>
    <w:rsid w:val="00450EAE"/>
    <w:rsid w:val="004510E6"/>
    <w:rsid w:val="00452BD5"/>
    <w:rsid w:val="00453516"/>
    <w:rsid w:val="00454027"/>
    <w:rsid w:val="00454515"/>
    <w:rsid w:val="0045460F"/>
    <w:rsid w:val="004569D6"/>
    <w:rsid w:val="00456DB9"/>
    <w:rsid w:val="0045766C"/>
    <w:rsid w:val="00462692"/>
    <w:rsid w:val="004626B8"/>
    <w:rsid w:val="00462FBA"/>
    <w:rsid w:val="004631FE"/>
    <w:rsid w:val="004658F0"/>
    <w:rsid w:val="0046593C"/>
    <w:rsid w:val="0047015C"/>
    <w:rsid w:val="0047129D"/>
    <w:rsid w:val="0047213F"/>
    <w:rsid w:val="0047368F"/>
    <w:rsid w:val="0047487A"/>
    <w:rsid w:val="00476250"/>
    <w:rsid w:val="00476D8B"/>
    <w:rsid w:val="004777BD"/>
    <w:rsid w:val="004817B2"/>
    <w:rsid w:val="00481B9E"/>
    <w:rsid w:val="00482B27"/>
    <w:rsid w:val="00484B0B"/>
    <w:rsid w:val="00485731"/>
    <w:rsid w:val="004878DB"/>
    <w:rsid w:val="0049068E"/>
    <w:rsid w:val="0049107F"/>
    <w:rsid w:val="00491223"/>
    <w:rsid w:val="00491EEE"/>
    <w:rsid w:val="00492264"/>
    <w:rsid w:val="00493510"/>
    <w:rsid w:val="0049628D"/>
    <w:rsid w:val="00497048"/>
    <w:rsid w:val="004972FE"/>
    <w:rsid w:val="004A295F"/>
    <w:rsid w:val="004A7A0D"/>
    <w:rsid w:val="004B0343"/>
    <w:rsid w:val="004B100D"/>
    <w:rsid w:val="004B2017"/>
    <w:rsid w:val="004B4A60"/>
    <w:rsid w:val="004C033A"/>
    <w:rsid w:val="004C0FB2"/>
    <w:rsid w:val="004C2BCC"/>
    <w:rsid w:val="004C47BC"/>
    <w:rsid w:val="004C51A7"/>
    <w:rsid w:val="004C7B8D"/>
    <w:rsid w:val="004C7EE9"/>
    <w:rsid w:val="004D1E4C"/>
    <w:rsid w:val="004D3AE0"/>
    <w:rsid w:val="004E1F22"/>
    <w:rsid w:val="004E3105"/>
    <w:rsid w:val="004E382B"/>
    <w:rsid w:val="004E52E7"/>
    <w:rsid w:val="004E6754"/>
    <w:rsid w:val="004E6E24"/>
    <w:rsid w:val="004F0E13"/>
    <w:rsid w:val="004F0F88"/>
    <w:rsid w:val="004F1FB4"/>
    <w:rsid w:val="004F414B"/>
    <w:rsid w:val="004F4783"/>
    <w:rsid w:val="004F55C4"/>
    <w:rsid w:val="004F6F74"/>
    <w:rsid w:val="004F7EEA"/>
    <w:rsid w:val="00500F40"/>
    <w:rsid w:val="00500FDB"/>
    <w:rsid w:val="00502AAC"/>
    <w:rsid w:val="00502CFA"/>
    <w:rsid w:val="00506342"/>
    <w:rsid w:val="00507130"/>
    <w:rsid w:val="00510BD5"/>
    <w:rsid w:val="00510DC4"/>
    <w:rsid w:val="005111E4"/>
    <w:rsid w:val="00515A53"/>
    <w:rsid w:val="00515BDB"/>
    <w:rsid w:val="00515E74"/>
    <w:rsid w:val="00516C3D"/>
    <w:rsid w:val="00520E76"/>
    <w:rsid w:val="00523614"/>
    <w:rsid w:val="00523753"/>
    <w:rsid w:val="00524221"/>
    <w:rsid w:val="00525E89"/>
    <w:rsid w:val="005262BA"/>
    <w:rsid w:val="0052796F"/>
    <w:rsid w:val="00530A6C"/>
    <w:rsid w:val="0053155F"/>
    <w:rsid w:val="0053177A"/>
    <w:rsid w:val="0053353B"/>
    <w:rsid w:val="00533B21"/>
    <w:rsid w:val="00534243"/>
    <w:rsid w:val="00535E69"/>
    <w:rsid w:val="00540874"/>
    <w:rsid w:val="0054598F"/>
    <w:rsid w:val="0054701D"/>
    <w:rsid w:val="005474FF"/>
    <w:rsid w:val="00547895"/>
    <w:rsid w:val="00547F59"/>
    <w:rsid w:val="005536D8"/>
    <w:rsid w:val="005550E5"/>
    <w:rsid w:val="00557132"/>
    <w:rsid w:val="00557C86"/>
    <w:rsid w:val="00561AE7"/>
    <w:rsid w:val="0056236D"/>
    <w:rsid w:val="00563140"/>
    <w:rsid w:val="00563B27"/>
    <w:rsid w:val="00563B2F"/>
    <w:rsid w:val="00565C52"/>
    <w:rsid w:val="00570291"/>
    <w:rsid w:val="00571D0D"/>
    <w:rsid w:val="00572889"/>
    <w:rsid w:val="00572D12"/>
    <w:rsid w:val="005745F8"/>
    <w:rsid w:val="005760F6"/>
    <w:rsid w:val="00580C25"/>
    <w:rsid w:val="00583320"/>
    <w:rsid w:val="005840BF"/>
    <w:rsid w:val="005859E9"/>
    <w:rsid w:val="00585DE2"/>
    <w:rsid w:val="00587351"/>
    <w:rsid w:val="00590BDD"/>
    <w:rsid w:val="00593059"/>
    <w:rsid w:val="00595255"/>
    <w:rsid w:val="00595C55"/>
    <w:rsid w:val="005961A8"/>
    <w:rsid w:val="005979EA"/>
    <w:rsid w:val="005A0112"/>
    <w:rsid w:val="005A0D46"/>
    <w:rsid w:val="005A1057"/>
    <w:rsid w:val="005A2289"/>
    <w:rsid w:val="005A6DC0"/>
    <w:rsid w:val="005B0B95"/>
    <w:rsid w:val="005B0FB1"/>
    <w:rsid w:val="005B22B1"/>
    <w:rsid w:val="005B3F0D"/>
    <w:rsid w:val="005B4AFF"/>
    <w:rsid w:val="005B67DD"/>
    <w:rsid w:val="005B6AF0"/>
    <w:rsid w:val="005B7047"/>
    <w:rsid w:val="005B7920"/>
    <w:rsid w:val="005C2587"/>
    <w:rsid w:val="005C2691"/>
    <w:rsid w:val="005C3C5B"/>
    <w:rsid w:val="005C4E10"/>
    <w:rsid w:val="005C555A"/>
    <w:rsid w:val="005C5B11"/>
    <w:rsid w:val="005C72A0"/>
    <w:rsid w:val="005C751C"/>
    <w:rsid w:val="005C7BC1"/>
    <w:rsid w:val="005D073E"/>
    <w:rsid w:val="005D25C2"/>
    <w:rsid w:val="005D2FEE"/>
    <w:rsid w:val="005D4EFC"/>
    <w:rsid w:val="005D5A3A"/>
    <w:rsid w:val="005D644D"/>
    <w:rsid w:val="005E044D"/>
    <w:rsid w:val="005E0AE7"/>
    <w:rsid w:val="005E0EE4"/>
    <w:rsid w:val="005E1B5E"/>
    <w:rsid w:val="005E230E"/>
    <w:rsid w:val="005E2658"/>
    <w:rsid w:val="005E3031"/>
    <w:rsid w:val="005E34A8"/>
    <w:rsid w:val="005E48E1"/>
    <w:rsid w:val="005E689F"/>
    <w:rsid w:val="005F17FE"/>
    <w:rsid w:val="005F1B3C"/>
    <w:rsid w:val="005F3EE9"/>
    <w:rsid w:val="005F53DE"/>
    <w:rsid w:val="005F5D67"/>
    <w:rsid w:val="005F6FFE"/>
    <w:rsid w:val="005F7205"/>
    <w:rsid w:val="006026BC"/>
    <w:rsid w:val="00604E73"/>
    <w:rsid w:val="006055A2"/>
    <w:rsid w:val="00605E05"/>
    <w:rsid w:val="0061014C"/>
    <w:rsid w:val="006113DA"/>
    <w:rsid w:val="00611D7B"/>
    <w:rsid w:val="00612A81"/>
    <w:rsid w:val="00612AA9"/>
    <w:rsid w:val="00612D0B"/>
    <w:rsid w:val="00613202"/>
    <w:rsid w:val="006135A8"/>
    <w:rsid w:val="006146BE"/>
    <w:rsid w:val="006146DE"/>
    <w:rsid w:val="006159A6"/>
    <w:rsid w:val="00616213"/>
    <w:rsid w:val="00616AB0"/>
    <w:rsid w:val="00625735"/>
    <w:rsid w:val="00627507"/>
    <w:rsid w:val="006276CD"/>
    <w:rsid w:val="00627F82"/>
    <w:rsid w:val="006305F8"/>
    <w:rsid w:val="00631DC4"/>
    <w:rsid w:val="00632870"/>
    <w:rsid w:val="006328C7"/>
    <w:rsid w:val="00635058"/>
    <w:rsid w:val="006353A3"/>
    <w:rsid w:val="00635A9C"/>
    <w:rsid w:val="006366CA"/>
    <w:rsid w:val="0063695A"/>
    <w:rsid w:val="00637C16"/>
    <w:rsid w:val="006408D6"/>
    <w:rsid w:val="00645EEC"/>
    <w:rsid w:val="0064629B"/>
    <w:rsid w:val="006468DE"/>
    <w:rsid w:val="00646CC5"/>
    <w:rsid w:val="0065023B"/>
    <w:rsid w:val="0065183D"/>
    <w:rsid w:val="00652CA4"/>
    <w:rsid w:val="006530FA"/>
    <w:rsid w:val="0065460A"/>
    <w:rsid w:val="006553C2"/>
    <w:rsid w:val="00655A45"/>
    <w:rsid w:val="00657876"/>
    <w:rsid w:val="006612D7"/>
    <w:rsid w:val="006614E9"/>
    <w:rsid w:val="0066299A"/>
    <w:rsid w:val="00663044"/>
    <w:rsid w:val="00664AD4"/>
    <w:rsid w:val="00665607"/>
    <w:rsid w:val="00665D20"/>
    <w:rsid w:val="006666AB"/>
    <w:rsid w:val="006672CD"/>
    <w:rsid w:val="006702FD"/>
    <w:rsid w:val="0067071C"/>
    <w:rsid w:val="0067085F"/>
    <w:rsid w:val="00670925"/>
    <w:rsid w:val="00670E22"/>
    <w:rsid w:val="00671378"/>
    <w:rsid w:val="006720FB"/>
    <w:rsid w:val="00673521"/>
    <w:rsid w:val="006747D1"/>
    <w:rsid w:val="0067489E"/>
    <w:rsid w:val="00676263"/>
    <w:rsid w:val="006808E2"/>
    <w:rsid w:val="00682803"/>
    <w:rsid w:val="00683FCA"/>
    <w:rsid w:val="00685C46"/>
    <w:rsid w:val="006877E0"/>
    <w:rsid w:val="00687C4E"/>
    <w:rsid w:val="006913B0"/>
    <w:rsid w:val="006913E7"/>
    <w:rsid w:val="00691469"/>
    <w:rsid w:val="0069309C"/>
    <w:rsid w:val="00695963"/>
    <w:rsid w:val="006973CE"/>
    <w:rsid w:val="006A1602"/>
    <w:rsid w:val="006A2617"/>
    <w:rsid w:val="006A2BD9"/>
    <w:rsid w:val="006A4E77"/>
    <w:rsid w:val="006A685D"/>
    <w:rsid w:val="006B080B"/>
    <w:rsid w:val="006B0BD2"/>
    <w:rsid w:val="006B0C75"/>
    <w:rsid w:val="006B16FF"/>
    <w:rsid w:val="006B232F"/>
    <w:rsid w:val="006B24F5"/>
    <w:rsid w:val="006B2C50"/>
    <w:rsid w:val="006B2D36"/>
    <w:rsid w:val="006C1C7D"/>
    <w:rsid w:val="006C2284"/>
    <w:rsid w:val="006C3C3F"/>
    <w:rsid w:val="006C4824"/>
    <w:rsid w:val="006C59F4"/>
    <w:rsid w:val="006C5E03"/>
    <w:rsid w:val="006C6714"/>
    <w:rsid w:val="006C6A06"/>
    <w:rsid w:val="006C7EC3"/>
    <w:rsid w:val="006D069D"/>
    <w:rsid w:val="006D06BD"/>
    <w:rsid w:val="006D093C"/>
    <w:rsid w:val="006D19E2"/>
    <w:rsid w:val="006D26E6"/>
    <w:rsid w:val="006D2836"/>
    <w:rsid w:val="006D343B"/>
    <w:rsid w:val="006D4235"/>
    <w:rsid w:val="006D6802"/>
    <w:rsid w:val="006D69C1"/>
    <w:rsid w:val="006D7058"/>
    <w:rsid w:val="006D7CDB"/>
    <w:rsid w:val="006E1CA3"/>
    <w:rsid w:val="006E35F0"/>
    <w:rsid w:val="006E4605"/>
    <w:rsid w:val="006E4E04"/>
    <w:rsid w:val="006E5EE1"/>
    <w:rsid w:val="006E7A8D"/>
    <w:rsid w:val="006F0E21"/>
    <w:rsid w:val="006F4A39"/>
    <w:rsid w:val="006F4F23"/>
    <w:rsid w:val="006F568F"/>
    <w:rsid w:val="006F62BE"/>
    <w:rsid w:val="006F6562"/>
    <w:rsid w:val="006F6597"/>
    <w:rsid w:val="006F7E44"/>
    <w:rsid w:val="007005AE"/>
    <w:rsid w:val="007006BA"/>
    <w:rsid w:val="00700CF3"/>
    <w:rsid w:val="00701CBC"/>
    <w:rsid w:val="00701FFE"/>
    <w:rsid w:val="00703934"/>
    <w:rsid w:val="007066FB"/>
    <w:rsid w:val="00706E8A"/>
    <w:rsid w:val="00707F52"/>
    <w:rsid w:val="00713D52"/>
    <w:rsid w:val="00714DC0"/>
    <w:rsid w:val="00715EC6"/>
    <w:rsid w:val="00717B96"/>
    <w:rsid w:val="0072011F"/>
    <w:rsid w:val="00720367"/>
    <w:rsid w:val="0072037C"/>
    <w:rsid w:val="0072121F"/>
    <w:rsid w:val="00721542"/>
    <w:rsid w:val="00721693"/>
    <w:rsid w:val="00723138"/>
    <w:rsid w:val="0072435A"/>
    <w:rsid w:val="0072475B"/>
    <w:rsid w:val="00725F60"/>
    <w:rsid w:val="00727263"/>
    <w:rsid w:val="007303B6"/>
    <w:rsid w:val="00731D27"/>
    <w:rsid w:val="00736DE5"/>
    <w:rsid w:val="00737CB8"/>
    <w:rsid w:val="007407A1"/>
    <w:rsid w:val="00741592"/>
    <w:rsid w:val="00742705"/>
    <w:rsid w:val="00742D89"/>
    <w:rsid w:val="00744302"/>
    <w:rsid w:val="00745281"/>
    <w:rsid w:val="0074616A"/>
    <w:rsid w:val="00752219"/>
    <w:rsid w:val="007534AF"/>
    <w:rsid w:val="0075398E"/>
    <w:rsid w:val="00753E93"/>
    <w:rsid w:val="00754C53"/>
    <w:rsid w:val="00755276"/>
    <w:rsid w:val="007561A8"/>
    <w:rsid w:val="00757026"/>
    <w:rsid w:val="007576F7"/>
    <w:rsid w:val="007602DF"/>
    <w:rsid w:val="00760CCD"/>
    <w:rsid w:val="00761BA9"/>
    <w:rsid w:val="00762974"/>
    <w:rsid w:val="0076362E"/>
    <w:rsid w:val="00763B3E"/>
    <w:rsid w:val="0076461E"/>
    <w:rsid w:val="00764A13"/>
    <w:rsid w:val="00765092"/>
    <w:rsid w:val="0076591B"/>
    <w:rsid w:val="00766ABC"/>
    <w:rsid w:val="00767352"/>
    <w:rsid w:val="007679E9"/>
    <w:rsid w:val="0077115D"/>
    <w:rsid w:val="00773409"/>
    <w:rsid w:val="00773A80"/>
    <w:rsid w:val="00773BF3"/>
    <w:rsid w:val="00773D74"/>
    <w:rsid w:val="007744C8"/>
    <w:rsid w:val="00777137"/>
    <w:rsid w:val="007777A1"/>
    <w:rsid w:val="007778EA"/>
    <w:rsid w:val="0077795A"/>
    <w:rsid w:val="00780088"/>
    <w:rsid w:val="0078132F"/>
    <w:rsid w:val="007814E4"/>
    <w:rsid w:val="00782689"/>
    <w:rsid w:val="0078367F"/>
    <w:rsid w:val="00783F8E"/>
    <w:rsid w:val="00784BC8"/>
    <w:rsid w:val="0078546B"/>
    <w:rsid w:val="00785ACE"/>
    <w:rsid w:val="00792C4B"/>
    <w:rsid w:val="007930A0"/>
    <w:rsid w:val="007959BF"/>
    <w:rsid w:val="007960B1"/>
    <w:rsid w:val="007963E8"/>
    <w:rsid w:val="00797496"/>
    <w:rsid w:val="007A0265"/>
    <w:rsid w:val="007A0937"/>
    <w:rsid w:val="007A1A56"/>
    <w:rsid w:val="007A57ED"/>
    <w:rsid w:val="007A66B2"/>
    <w:rsid w:val="007A779E"/>
    <w:rsid w:val="007B085D"/>
    <w:rsid w:val="007B123B"/>
    <w:rsid w:val="007B1339"/>
    <w:rsid w:val="007B2197"/>
    <w:rsid w:val="007B23F9"/>
    <w:rsid w:val="007B2B29"/>
    <w:rsid w:val="007B33B2"/>
    <w:rsid w:val="007B37CE"/>
    <w:rsid w:val="007B39DD"/>
    <w:rsid w:val="007B4388"/>
    <w:rsid w:val="007B4C44"/>
    <w:rsid w:val="007B4FD6"/>
    <w:rsid w:val="007B7975"/>
    <w:rsid w:val="007B7A03"/>
    <w:rsid w:val="007C281D"/>
    <w:rsid w:val="007C2A80"/>
    <w:rsid w:val="007C331B"/>
    <w:rsid w:val="007C5605"/>
    <w:rsid w:val="007C5A5C"/>
    <w:rsid w:val="007C7096"/>
    <w:rsid w:val="007D105E"/>
    <w:rsid w:val="007D19CA"/>
    <w:rsid w:val="007D1ACF"/>
    <w:rsid w:val="007D1FFC"/>
    <w:rsid w:val="007D2326"/>
    <w:rsid w:val="007D2C5F"/>
    <w:rsid w:val="007D3125"/>
    <w:rsid w:val="007D408E"/>
    <w:rsid w:val="007D4F99"/>
    <w:rsid w:val="007D5B85"/>
    <w:rsid w:val="007E030B"/>
    <w:rsid w:val="007E096F"/>
    <w:rsid w:val="007E25D1"/>
    <w:rsid w:val="007E54C2"/>
    <w:rsid w:val="007E787B"/>
    <w:rsid w:val="007F18FB"/>
    <w:rsid w:val="007F268E"/>
    <w:rsid w:val="007F359E"/>
    <w:rsid w:val="007F3EDD"/>
    <w:rsid w:val="007F480C"/>
    <w:rsid w:val="007F77C0"/>
    <w:rsid w:val="007F7AB6"/>
    <w:rsid w:val="007F7E7F"/>
    <w:rsid w:val="0080062E"/>
    <w:rsid w:val="00801AA8"/>
    <w:rsid w:val="00805A16"/>
    <w:rsid w:val="008063C1"/>
    <w:rsid w:val="00806D58"/>
    <w:rsid w:val="00807DA1"/>
    <w:rsid w:val="00810288"/>
    <w:rsid w:val="008140CB"/>
    <w:rsid w:val="00814BD2"/>
    <w:rsid w:val="00816E62"/>
    <w:rsid w:val="008171D6"/>
    <w:rsid w:val="00824D53"/>
    <w:rsid w:val="00825A0E"/>
    <w:rsid w:val="0082602F"/>
    <w:rsid w:val="00832956"/>
    <w:rsid w:val="00836CD4"/>
    <w:rsid w:val="00837BDB"/>
    <w:rsid w:val="00841E3D"/>
    <w:rsid w:val="00842F83"/>
    <w:rsid w:val="008433E2"/>
    <w:rsid w:val="00843A7C"/>
    <w:rsid w:val="008478B9"/>
    <w:rsid w:val="00847C95"/>
    <w:rsid w:val="00850C37"/>
    <w:rsid w:val="00850E15"/>
    <w:rsid w:val="00851AC6"/>
    <w:rsid w:val="00851BD6"/>
    <w:rsid w:val="00852F53"/>
    <w:rsid w:val="00853A5B"/>
    <w:rsid w:val="00856621"/>
    <w:rsid w:val="008576A3"/>
    <w:rsid w:val="008606E0"/>
    <w:rsid w:val="008609A6"/>
    <w:rsid w:val="00863284"/>
    <w:rsid w:val="00863506"/>
    <w:rsid w:val="00863934"/>
    <w:rsid w:val="00863F1F"/>
    <w:rsid w:val="0086413F"/>
    <w:rsid w:val="0086478A"/>
    <w:rsid w:val="00864DBD"/>
    <w:rsid w:val="00865841"/>
    <w:rsid w:val="00867F8E"/>
    <w:rsid w:val="00870691"/>
    <w:rsid w:val="00871A58"/>
    <w:rsid w:val="00873FB0"/>
    <w:rsid w:val="008742DC"/>
    <w:rsid w:val="00881BFF"/>
    <w:rsid w:val="00881ED8"/>
    <w:rsid w:val="00883656"/>
    <w:rsid w:val="00893FD0"/>
    <w:rsid w:val="0089488A"/>
    <w:rsid w:val="00894EEA"/>
    <w:rsid w:val="008953A2"/>
    <w:rsid w:val="008975BD"/>
    <w:rsid w:val="00897632"/>
    <w:rsid w:val="00897ADC"/>
    <w:rsid w:val="008A10FF"/>
    <w:rsid w:val="008A13F9"/>
    <w:rsid w:val="008A3E67"/>
    <w:rsid w:val="008A56DC"/>
    <w:rsid w:val="008A63E4"/>
    <w:rsid w:val="008A6D7D"/>
    <w:rsid w:val="008B0596"/>
    <w:rsid w:val="008B0895"/>
    <w:rsid w:val="008B0906"/>
    <w:rsid w:val="008B145D"/>
    <w:rsid w:val="008B2BBF"/>
    <w:rsid w:val="008B3161"/>
    <w:rsid w:val="008B350E"/>
    <w:rsid w:val="008B6C9A"/>
    <w:rsid w:val="008B6F29"/>
    <w:rsid w:val="008B7AD7"/>
    <w:rsid w:val="008B7E85"/>
    <w:rsid w:val="008C10EE"/>
    <w:rsid w:val="008C3798"/>
    <w:rsid w:val="008C67A2"/>
    <w:rsid w:val="008C724E"/>
    <w:rsid w:val="008D10B0"/>
    <w:rsid w:val="008D126A"/>
    <w:rsid w:val="008D138B"/>
    <w:rsid w:val="008D2D8B"/>
    <w:rsid w:val="008D31AE"/>
    <w:rsid w:val="008D4C8E"/>
    <w:rsid w:val="008D4E3F"/>
    <w:rsid w:val="008D59EE"/>
    <w:rsid w:val="008D62D9"/>
    <w:rsid w:val="008D7899"/>
    <w:rsid w:val="008E007C"/>
    <w:rsid w:val="008E06AE"/>
    <w:rsid w:val="008E07DC"/>
    <w:rsid w:val="008E0BA1"/>
    <w:rsid w:val="008E1FCB"/>
    <w:rsid w:val="008E2637"/>
    <w:rsid w:val="008E2742"/>
    <w:rsid w:val="008E351E"/>
    <w:rsid w:val="008E3691"/>
    <w:rsid w:val="008E53D4"/>
    <w:rsid w:val="008E6756"/>
    <w:rsid w:val="008E6CAE"/>
    <w:rsid w:val="008E7C48"/>
    <w:rsid w:val="008F2987"/>
    <w:rsid w:val="008F30BC"/>
    <w:rsid w:val="008F366F"/>
    <w:rsid w:val="008F393C"/>
    <w:rsid w:val="008F7C1C"/>
    <w:rsid w:val="009009C7"/>
    <w:rsid w:val="00900B06"/>
    <w:rsid w:val="00901C55"/>
    <w:rsid w:val="00902129"/>
    <w:rsid w:val="0090414F"/>
    <w:rsid w:val="00906979"/>
    <w:rsid w:val="009119FF"/>
    <w:rsid w:val="00912FE2"/>
    <w:rsid w:val="00913021"/>
    <w:rsid w:val="00915340"/>
    <w:rsid w:val="00915E6C"/>
    <w:rsid w:val="00916613"/>
    <w:rsid w:val="009179DC"/>
    <w:rsid w:val="00920BA2"/>
    <w:rsid w:val="009232B8"/>
    <w:rsid w:val="00923A9D"/>
    <w:rsid w:val="00924774"/>
    <w:rsid w:val="00924E3F"/>
    <w:rsid w:val="00925B65"/>
    <w:rsid w:val="0092608E"/>
    <w:rsid w:val="0092678F"/>
    <w:rsid w:val="00930EE7"/>
    <w:rsid w:val="009310CB"/>
    <w:rsid w:val="009312F8"/>
    <w:rsid w:val="00934708"/>
    <w:rsid w:val="00934BBA"/>
    <w:rsid w:val="00934C2B"/>
    <w:rsid w:val="00934C53"/>
    <w:rsid w:val="0093678C"/>
    <w:rsid w:val="00936AD9"/>
    <w:rsid w:val="00937275"/>
    <w:rsid w:val="00940F14"/>
    <w:rsid w:val="009417AE"/>
    <w:rsid w:val="0094219E"/>
    <w:rsid w:val="00943CBB"/>
    <w:rsid w:val="00943E95"/>
    <w:rsid w:val="00943ED1"/>
    <w:rsid w:val="00945589"/>
    <w:rsid w:val="00945DA5"/>
    <w:rsid w:val="00951009"/>
    <w:rsid w:val="009532DF"/>
    <w:rsid w:val="00957E68"/>
    <w:rsid w:val="00960142"/>
    <w:rsid w:val="0096180C"/>
    <w:rsid w:val="0096283E"/>
    <w:rsid w:val="00962B0D"/>
    <w:rsid w:val="009637B8"/>
    <w:rsid w:val="0096392A"/>
    <w:rsid w:val="00963B20"/>
    <w:rsid w:val="009648A4"/>
    <w:rsid w:val="00964B0B"/>
    <w:rsid w:val="00964EAF"/>
    <w:rsid w:val="009651BA"/>
    <w:rsid w:val="009655A7"/>
    <w:rsid w:val="00965D23"/>
    <w:rsid w:val="00966AEE"/>
    <w:rsid w:val="00967112"/>
    <w:rsid w:val="009674E2"/>
    <w:rsid w:val="0097030F"/>
    <w:rsid w:val="009706C7"/>
    <w:rsid w:val="00971646"/>
    <w:rsid w:val="00972D0D"/>
    <w:rsid w:val="009732B3"/>
    <w:rsid w:val="00973521"/>
    <w:rsid w:val="009739BC"/>
    <w:rsid w:val="00974918"/>
    <w:rsid w:val="00975672"/>
    <w:rsid w:val="009834D9"/>
    <w:rsid w:val="00983608"/>
    <w:rsid w:val="00983F58"/>
    <w:rsid w:val="00985BA1"/>
    <w:rsid w:val="00986872"/>
    <w:rsid w:val="00986F7E"/>
    <w:rsid w:val="009908C1"/>
    <w:rsid w:val="00992893"/>
    <w:rsid w:val="00993DAE"/>
    <w:rsid w:val="00996172"/>
    <w:rsid w:val="00996B55"/>
    <w:rsid w:val="00996B79"/>
    <w:rsid w:val="00997110"/>
    <w:rsid w:val="009A0983"/>
    <w:rsid w:val="009A3C1A"/>
    <w:rsid w:val="009A40F7"/>
    <w:rsid w:val="009A6C33"/>
    <w:rsid w:val="009A738A"/>
    <w:rsid w:val="009A76A7"/>
    <w:rsid w:val="009B15EE"/>
    <w:rsid w:val="009B2B3D"/>
    <w:rsid w:val="009B3F58"/>
    <w:rsid w:val="009B615D"/>
    <w:rsid w:val="009B663A"/>
    <w:rsid w:val="009C000A"/>
    <w:rsid w:val="009C1894"/>
    <w:rsid w:val="009C3417"/>
    <w:rsid w:val="009C4CAF"/>
    <w:rsid w:val="009D02F3"/>
    <w:rsid w:val="009D12A5"/>
    <w:rsid w:val="009D1BAC"/>
    <w:rsid w:val="009D6176"/>
    <w:rsid w:val="009D6D20"/>
    <w:rsid w:val="009D74F7"/>
    <w:rsid w:val="009E0D29"/>
    <w:rsid w:val="009E19D7"/>
    <w:rsid w:val="009E1BB5"/>
    <w:rsid w:val="009E2588"/>
    <w:rsid w:val="009E2B18"/>
    <w:rsid w:val="009E2C81"/>
    <w:rsid w:val="009E598F"/>
    <w:rsid w:val="009E5BE8"/>
    <w:rsid w:val="009E7704"/>
    <w:rsid w:val="009F4234"/>
    <w:rsid w:val="009F6315"/>
    <w:rsid w:val="009F793E"/>
    <w:rsid w:val="00A03611"/>
    <w:rsid w:val="00A05E50"/>
    <w:rsid w:val="00A11A86"/>
    <w:rsid w:val="00A120A7"/>
    <w:rsid w:val="00A1241C"/>
    <w:rsid w:val="00A12639"/>
    <w:rsid w:val="00A14A6B"/>
    <w:rsid w:val="00A1711F"/>
    <w:rsid w:val="00A173ED"/>
    <w:rsid w:val="00A21072"/>
    <w:rsid w:val="00A21631"/>
    <w:rsid w:val="00A2322C"/>
    <w:rsid w:val="00A23E27"/>
    <w:rsid w:val="00A24782"/>
    <w:rsid w:val="00A26662"/>
    <w:rsid w:val="00A3028F"/>
    <w:rsid w:val="00A30C51"/>
    <w:rsid w:val="00A315F0"/>
    <w:rsid w:val="00A33663"/>
    <w:rsid w:val="00A34164"/>
    <w:rsid w:val="00A36428"/>
    <w:rsid w:val="00A378A1"/>
    <w:rsid w:val="00A37C08"/>
    <w:rsid w:val="00A40A2D"/>
    <w:rsid w:val="00A41396"/>
    <w:rsid w:val="00A4259E"/>
    <w:rsid w:val="00A42ED4"/>
    <w:rsid w:val="00A4581D"/>
    <w:rsid w:val="00A46349"/>
    <w:rsid w:val="00A47616"/>
    <w:rsid w:val="00A47E13"/>
    <w:rsid w:val="00A50DC8"/>
    <w:rsid w:val="00A526AB"/>
    <w:rsid w:val="00A55483"/>
    <w:rsid w:val="00A55A1C"/>
    <w:rsid w:val="00A56EC8"/>
    <w:rsid w:val="00A574BB"/>
    <w:rsid w:val="00A60E16"/>
    <w:rsid w:val="00A60ED2"/>
    <w:rsid w:val="00A61269"/>
    <w:rsid w:val="00A63E1E"/>
    <w:rsid w:val="00A63F93"/>
    <w:rsid w:val="00A64562"/>
    <w:rsid w:val="00A64995"/>
    <w:rsid w:val="00A662AB"/>
    <w:rsid w:val="00A66A92"/>
    <w:rsid w:val="00A66F46"/>
    <w:rsid w:val="00A67A1F"/>
    <w:rsid w:val="00A67E87"/>
    <w:rsid w:val="00A70213"/>
    <w:rsid w:val="00A7259D"/>
    <w:rsid w:val="00A72C09"/>
    <w:rsid w:val="00A7578E"/>
    <w:rsid w:val="00A761C8"/>
    <w:rsid w:val="00A77AAF"/>
    <w:rsid w:val="00A8127A"/>
    <w:rsid w:val="00A81E31"/>
    <w:rsid w:val="00A836EE"/>
    <w:rsid w:val="00A861C1"/>
    <w:rsid w:val="00A87927"/>
    <w:rsid w:val="00A90734"/>
    <w:rsid w:val="00A90A42"/>
    <w:rsid w:val="00A91156"/>
    <w:rsid w:val="00A92047"/>
    <w:rsid w:val="00A93C3D"/>
    <w:rsid w:val="00A93CD7"/>
    <w:rsid w:val="00A9520F"/>
    <w:rsid w:val="00A95D81"/>
    <w:rsid w:val="00A972B8"/>
    <w:rsid w:val="00A97B94"/>
    <w:rsid w:val="00AA0F0C"/>
    <w:rsid w:val="00AA0F22"/>
    <w:rsid w:val="00AA27CA"/>
    <w:rsid w:val="00AA294E"/>
    <w:rsid w:val="00AA30BC"/>
    <w:rsid w:val="00AA6CFF"/>
    <w:rsid w:val="00AA6EDE"/>
    <w:rsid w:val="00AA7E18"/>
    <w:rsid w:val="00AB0D0C"/>
    <w:rsid w:val="00AB1D69"/>
    <w:rsid w:val="00AB272B"/>
    <w:rsid w:val="00AB2E74"/>
    <w:rsid w:val="00AB33C8"/>
    <w:rsid w:val="00AB360D"/>
    <w:rsid w:val="00AB40F0"/>
    <w:rsid w:val="00AB45B1"/>
    <w:rsid w:val="00AB5385"/>
    <w:rsid w:val="00AB6A9A"/>
    <w:rsid w:val="00AB6F4F"/>
    <w:rsid w:val="00AB7A57"/>
    <w:rsid w:val="00AB7A5D"/>
    <w:rsid w:val="00AC05EF"/>
    <w:rsid w:val="00AC143D"/>
    <w:rsid w:val="00AC1F7A"/>
    <w:rsid w:val="00AC51D9"/>
    <w:rsid w:val="00AC6E06"/>
    <w:rsid w:val="00AD0962"/>
    <w:rsid w:val="00AD0F0B"/>
    <w:rsid w:val="00AD1533"/>
    <w:rsid w:val="00AD2893"/>
    <w:rsid w:val="00AD384F"/>
    <w:rsid w:val="00AD3EE0"/>
    <w:rsid w:val="00AD3FFE"/>
    <w:rsid w:val="00AD43F5"/>
    <w:rsid w:val="00AD6680"/>
    <w:rsid w:val="00AD7D6A"/>
    <w:rsid w:val="00AD7DAC"/>
    <w:rsid w:val="00AD7FF8"/>
    <w:rsid w:val="00AE16A5"/>
    <w:rsid w:val="00AE17E3"/>
    <w:rsid w:val="00AE3D95"/>
    <w:rsid w:val="00AE4C43"/>
    <w:rsid w:val="00AE51B8"/>
    <w:rsid w:val="00AE5707"/>
    <w:rsid w:val="00AE62B1"/>
    <w:rsid w:val="00AE7E83"/>
    <w:rsid w:val="00AF097F"/>
    <w:rsid w:val="00AF1BF2"/>
    <w:rsid w:val="00AF1BF5"/>
    <w:rsid w:val="00AF55D8"/>
    <w:rsid w:val="00AF5D2A"/>
    <w:rsid w:val="00B007B0"/>
    <w:rsid w:val="00B017FD"/>
    <w:rsid w:val="00B01FA3"/>
    <w:rsid w:val="00B047D6"/>
    <w:rsid w:val="00B04BBA"/>
    <w:rsid w:val="00B0594D"/>
    <w:rsid w:val="00B07579"/>
    <w:rsid w:val="00B079D5"/>
    <w:rsid w:val="00B10423"/>
    <w:rsid w:val="00B10517"/>
    <w:rsid w:val="00B1060B"/>
    <w:rsid w:val="00B10E54"/>
    <w:rsid w:val="00B12E37"/>
    <w:rsid w:val="00B17F97"/>
    <w:rsid w:val="00B20355"/>
    <w:rsid w:val="00B20AB9"/>
    <w:rsid w:val="00B22BD1"/>
    <w:rsid w:val="00B2348F"/>
    <w:rsid w:val="00B23AB2"/>
    <w:rsid w:val="00B23D74"/>
    <w:rsid w:val="00B24C45"/>
    <w:rsid w:val="00B26E43"/>
    <w:rsid w:val="00B27232"/>
    <w:rsid w:val="00B27E7E"/>
    <w:rsid w:val="00B27F31"/>
    <w:rsid w:val="00B3079F"/>
    <w:rsid w:val="00B31661"/>
    <w:rsid w:val="00B32C1C"/>
    <w:rsid w:val="00B32D95"/>
    <w:rsid w:val="00B32E6F"/>
    <w:rsid w:val="00B3320B"/>
    <w:rsid w:val="00B3557A"/>
    <w:rsid w:val="00B357FC"/>
    <w:rsid w:val="00B4161A"/>
    <w:rsid w:val="00B42335"/>
    <w:rsid w:val="00B476DA"/>
    <w:rsid w:val="00B50829"/>
    <w:rsid w:val="00B5480F"/>
    <w:rsid w:val="00B56303"/>
    <w:rsid w:val="00B5741A"/>
    <w:rsid w:val="00B6015B"/>
    <w:rsid w:val="00B6054A"/>
    <w:rsid w:val="00B62959"/>
    <w:rsid w:val="00B63F55"/>
    <w:rsid w:val="00B6426C"/>
    <w:rsid w:val="00B642BE"/>
    <w:rsid w:val="00B646E8"/>
    <w:rsid w:val="00B65E34"/>
    <w:rsid w:val="00B71A11"/>
    <w:rsid w:val="00B71C67"/>
    <w:rsid w:val="00B72495"/>
    <w:rsid w:val="00B72920"/>
    <w:rsid w:val="00B72ED2"/>
    <w:rsid w:val="00B73752"/>
    <w:rsid w:val="00B73B03"/>
    <w:rsid w:val="00B7425E"/>
    <w:rsid w:val="00B75F0E"/>
    <w:rsid w:val="00B7621D"/>
    <w:rsid w:val="00B76570"/>
    <w:rsid w:val="00B76AC3"/>
    <w:rsid w:val="00B80F17"/>
    <w:rsid w:val="00B81BC1"/>
    <w:rsid w:val="00B82886"/>
    <w:rsid w:val="00B853BF"/>
    <w:rsid w:val="00B91F96"/>
    <w:rsid w:val="00B92383"/>
    <w:rsid w:val="00B927F2"/>
    <w:rsid w:val="00B93173"/>
    <w:rsid w:val="00B93CA2"/>
    <w:rsid w:val="00B9435C"/>
    <w:rsid w:val="00B94B20"/>
    <w:rsid w:val="00B953B9"/>
    <w:rsid w:val="00B968ED"/>
    <w:rsid w:val="00B973A6"/>
    <w:rsid w:val="00B9788B"/>
    <w:rsid w:val="00B97B22"/>
    <w:rsid w:val="00BA36E0"/>
    <w:rsid w:val="00BA5559"/>
    <w:rsid w:val="00BA565C"/>
    <w:rsid w:val="00BA6887"/>
    <w:rsid w:val="00BA747C"/>
    <w:rsid w:val="00BB0396"/>
    <w:rsid w:val="00BB1932"/>
    <w:rsid w:val="00BB4306"/>
    <w:rsid w:val="00BB5048"/>
    <w:rsid w:val="00BB580B"/>
    <w:rsid w:val="00BB69EF"/>
    <w:rsid w:val="00BB6E6C"/>
    <w:rsid w:val="00BC1016"/>
    <w:rsid w:val="00BC108D"/>
    <w:rsid w:val="00BC11D8"/>
    <w:rsid w:val="00BC232E"/>
    <w:rsid w:val="00BC2ED2"/>
    <w:rsid w:val="00BC3876"/>
    <w:rsid w:val="00BC5195"/>
    <w:rsid w:val="00BC51CE"/>
    <w:rsid w:val="00BC60D4"/>
    <w:rsid w:val="00BC6484"/>
    <w:rsid w:val="00BC67AA"/>
    <w:rsid w:val="00BC757E"/>
    <w:rsid w:val="00BC7C97"/>
    <w:rsid w:val="00BC7EFE"/>
    <w:rsid w:val="00BD090E"/>
    <w:rsid w:val="00BD14A2"/>
    <w:rsid w:val="00BD1708"/>
    <w:rsid w:val="00BD4544"/>
    <w:rsid w:val="00BD50C8"/>
    <w:rsid w:val="00BD5369"/>
    <w:rsid w:val="00BD6C26"/>
    <w:rsid w:val="00BD6EC9"/>
    <w:rsid w:val="00BE0876"/>
    <w:rsid w:val="00BE0D9C"/>
    <w:rsid w:val="00BE3C6A"/>
    <w:rsid w:val="00BE496B"/>
    <w:rsid w:val="00BE5782"/>
    <w:rsid w:val="00BE5E06"/>
    <w:rsid w:val="00BE62C4"/>
    <w:rsid w:val="00BE6D22"/>
    <w:rsid w:val="00BE76CB"/>
    <w:rsid w:val="00BE7FA8"/>
    <w:rsid w:val="00BF076A"/>
    <w:rsid w:val="00BF27D5"/>
    <w:rsid w:val="00BF2E2C"/>
    <w:rsid w:val="00BF5D31"/>
    <w:rsid w:val="00C025AB"/>
    <w:rsid w:val="00C027DA"/>
    <w:rsid w:val="00C03CE3"/>
    <w:rsid w:val="00C06FA4"/>
    <w:rsid w:val="00C150BF"/>
    <w:rsid w:val="00C15157"/>
    <w:rsid w:val="00C157F4"/>
    <w:rsid w:val="00C16BD7"/>
    <w:rsid w:val="00C174E4"/>
    <w:rsid w:val="00C17811"/>
    <w:rsid w:val="00C20A7A"/>
    <w:rsid w:val="00C22882"/>
    <w:rsid w:val="00C23B0A"/>
    <w:rsid w:val="00C241BE"/>
    <w:rsid w:val="00C245E9"/>
    <w:rsid w:val="00C25830"/>
    <w:rsid w:val="00C25BA1"/>
    <w:rsid w:val="00C26692"/>
    <w:rsid w:val="00C26B21"/>
    <w:rsid w:val="00C270C8"/>
    <w:rsid w:val="00C27AB8"/>
    <w:rsid w:val="00C3048D"/>
    <w:rsid w:val="00C31892"/>
    <w:rsid w:val="00C31956"/>
    <w:rsid w:val="00C330FB"/>
    <w:rsid w:val="00C3371C"/>
    <w:rsid w:val="00C33907"/>
    <w:rsid w:val="00C34EDB"/>
    <w:rsid w:val="00C36185"/>
    <w:rsid w:val="00C3631C"/>
    <w:rsid w:val="00C36F5B"/>
    <w:rsid w:val="00C37540"/>
    <w:rsid w:val="00C37A05"/>
    <w:rsid w:val="00C40C2A"/>
    <w:rsid w:val="00C42EE1"/>
    <w:rsid w:val="00C44AA7"/>
    <w:rsid w:val="00C44E65"/>
    <w:rsid w:val="00C46610"/>
    <w:rsid w:val="00C478A7"/>
    <w:rsid w:val="00C5037C"/>
    <w:rsid w:val="00C5123D"/>
    <w:rsid w:val="00C540B2"/>
    <w:rsid w:val="00C545F2"/>
    <w:rsid w:val="00C54707"/>
    <w:rsid w:val="00C55E06"/>
    <w:rsid w:val="00C55E5E"/>
    <w:rsid w:val="00C569B6"/>
    <w:rsid w:val="00C56D44"/>
    <w:rsid w:val="00C601A0"/>
    <w:rsid w:val="00C60911"/>
    <w:rsid w:val="00C61C02"/>
    <w:rsid w:val="00C61D57"/>
    <w:rsid w:val="00C64CAF"/>
    <w:rsid w:val="00C65785"/>
    <w:rsid w:val="00C65841"/>
    <w:rsid w:val="00C70665"/>
    <w:rsid w:val="00C70DD7"/>
    <w:rsid w:val="00C71348"/>
    <w:rsid w:val="00C71D50"/>
    <w:rsid w:val="00C73282"/>
    <w:rsid w:val="00C745A9"/>
    <w:rsid w:val="00C74CD0"/>
    <w:rsid w:val="00C760D0"/>
    <w:rsid w:val="00C768AB"/>
    <w:rsid w:val="00C77715"/>
    <w:rsid w:val="00C814E2"/>
    <w:rsid w:val="00C81CC7"/>
    <w:rsid w:val="00C82410"/>
    <w:rsid w:val="00C84F55"/>
    <w:rsid w:val="00C858FF"/>
    <w:rsid w:val="00C86580"/>
    <w:rsid w:val="00C86D4D"/>
    <w:rsid w:val="00C86EE4"/>
    <w:rsid w:val="00C91E62"/>
    <w:rsid w:val="00C93E4B"/>
    <w:rsid w:val="00C93FCA"/>
    <w:rsid w:val="00C949EF"/>
    <w:rsid w:val="00C95933"/>
    <w:rsid w:val="00CA335E"/>
    <w:rsid w:val="00CA3B37"/>
    <w:rsid w:val="00CA47E9"/>
    <w:rsid w:val="00CA5658"/>
    <w:rsid w:val="00CA7245"/>
    <w:rsid w:val="00CA72A8"/>
    <w:rsid w:val="00CA7B0B"/>
    <w:rsid w:val="00CB0F22"/>
    <w:rsid w:val="00CB13BC"/>
    <w:rsid w:val="00CB2D5C"/>
    <w:rsid w:val="00CB2FB8"/>
    <w:rsid w:val="00CB30EA"/>
    <w:rsid w:val="00CB36C7"/>
    <w:rsid w:val="00CB3D75"/>
    <w:rsid w:val="00CB4E1B"/>
    <w:rsid w:val="00CB5BD2"/>
    <w:rsid w:val="00CB6C4D"/>
    <w:rsid w:val="00CC24E4"/>
    <w:rsid w:val="00CC357B"/>
    <w:rsid w:val="00CC37FB"/>
    <w:rsid w:val="00CC3A6C"/>
    <w:rsid w:val="00CC3B75"/>
    <w:rsid w:val="00CC4DA2"/>
    <w:rsid w:val="00CD29BB"/>
    <w:rsid w:val="00CD492B"/>
    <w:rsid w:val="00CD5A95"/>
    <w:rsid w:val="00CD5EDC"/>
    <w:rsid w:val="00CD6321"/>
    <w:rsid w:val="00CD6395"/>
    <w:rsid w:val="00CE0AF5"/>
    <w:rsid w:val="00CE1095"/>
    <w:rsid w:val="00CE1CA6"/>
    <w:rsid w:val="00CF174D"/>
    <w:rsid w:val="00CF182D"/>
    <w:rsid w:val="00CF1D21"/>
    <w:rsid w:val="00CF220F"/>
    <w:rsid w:val="00CF5D61"/>
    <w:rsid w:val="00CF7BDB"/>
    <w:rsid w:val="00D0027B"/>
    <w:rsid w:val="00D004D1"/>
    <w:rsid w:val="00D00C3C"/>
    <w:rsid w:val="00D0233D"/>
    <w:rsid w:val="00D05A8D"/>
    <w:rsid w:val="00D12705"/>
    <w:rsid w:val="00D14EC8"/>
    <w:rsid w:val="00D15D34"/>
    <w:rsid w:val="00D165DF"/>
    <w:rsid w:val="00D17CEF"/>
    <w:rsid w:val="00D21C56"/>
    <w:rsid w:val="00D21E1E"/>
    <w:rsid w:val="00D2312E"/>
    <w:rsid w:val="00D307D9"/>
    <w:rsid w:val="00D3093C"/>
    <w:rsid w:val="00D31F34"/>
    <w:rsid w:val="00D326AE"/>
    <w:rsid w:val="00D32743"/>
    <w:rsid w:val="00D34DF7"/>
    <w:rsid w:val="00D372AE"/>
    <w:rsid w:val="00D372B3"/>
    <w:rsid w:val="00D406C8"/>
    <w:rsid w:val="00D407E8"/>
    <w:rsid w:val="00D41444"/>
    <w:rsid w:val="00D41EF1"/>
    <w:rsid w:val="00D432F0"/>
    <w:rsid w:val="00D437A5"/>
    <w:rsid w:val="00D44B4E"/>
    <w:rsid w:val="00D4778B"/>
    <w:rsid w:val="00D51892"/>
    <w:rsid w:val="00D54750"/>
    <w:rsid w:val="00D555E5"/>
    <w:rsid w:val="00D55F63"/>
    <w:rsid w:val="00D60292"/>
    <w:rsid w:val="00D61D45"/>
    <w:rsid w:val="00D621AB"/>
    <w:rsid w:val="00D62E57"/>
    <w:rsid w:val="00D63B49"/>
    <w:rsid w:val="00D64B1D"/>
    <w:rsid w:val="00D65511"/>
    <w:rsid w:val="00D716C8"/>
    <w:rsid w:val="00D72005"/>
    <w:rsid w:val="00D74CB7"/>
    <w:rsid w:val="00D7568F"/>
    <w:rsid w:val="00D76346"/>
    <w:rsid w:val="00D76D3F"/>
    <w:rsid w:val="00D82B10"/>
    <w:rsid w:val="00D8432F"/>
    <w:rsid w:val="00D848F8"/>
    <w:rsid w:val="00D84B76"/>
    <w:rsid w:val="00D8542A"/>
    <w:rsid w:val="00D85ED4"/>
    <w:rsid w:val="00D85F67"/>
    <w:rsid w:val="00D860FD"/>
    <w:rsid w:val="00D86DA5"/>
    <w:rsid w:val="00D87E9A"/>
    <w:rsid w:val="00D9128D"/>
    <w:rsid w:val="00D930DE"/>
    <w:rsid w:val="00D93E90"/>
    <w:rsid w:val="00D94718"/>
    <w:rsid w:val="00D9487E"/>
    <w:rsid w:val="00D94912"/>
    <w:rsid w:val="00D94985"/>
    <w:rsid w:val="00D9582A"/>
    <w:rsid w:val="00D958D9"/>
    <w:rsid w:val="00D976F2"/>
    <w:rsid w:val="00DA035D"/>
    <w:rsid w:val="00DA14AF"/>
    <w:rsid w:val="00DA16E1"/>
    <w:rsid w:val="00DA270A"/>
    <w:rsid w:val="00DA27C6"/>
    <w:rsid w:val="00DA3590"/>
    <w:rsid w:val="00DA5417"/>
    <w:rsid w:val="00DA5585"/>
    <w:rsid w:val="00DA5853"/>
    <w:rsid w:val="00DA6032"/>
    <w:rsid w:val="00DA6E90"/>
    <w:rsid w:val="00DB090D"/>
    <w:rsid w:val="00DB221F"/>
    <w:rsid w:val="00DB2F4A"/>
    <w:rsid w:val="00DB674E"/>
    <w:rsid w:val="00DC0095"/>
    <w:rsid w:val="00DC1579"/>
    <w:rsid w:val="00DC2705"/>
    <w:rsid w:val="00DC2861"/>
    <w:rsid w:val="00DC5D00"/>
    <w:rsid w:val="00DC6543"/>
    <w:rsid w:val="00DD03C4"/>
    <w:rsid w:val="00DD0F11"/>
    <w:rsid w:val="00DD14D4"/>
    <w:rsid w:val="00DD1C51"/>
    <w:rsid w:val="00DD2C95"/>
    <w:rsid w:val="00DD45D6"/>
    <w:rsid w:val="00DD47C9"/>
    <w:rsid w:val="00DD52E2"/>
    <w:rsid w:val="00DD53F8"/>
    <w:rsid w:val="00DD59DE"/>
    <w:rsid w:val="00DD79E4"/>
    <w:rsid w:val="00DE12F5"/>
    <w:rsid w:val="00DE3485"/>
    <w:rsid w:val="00DE7EB2"/>
    <w:rsid w:val="00DF0A2B"/>
    <w:rsid w:val="00DF0C91"/>
    <w:rsid w:val="00DF36F2"/>
    <w:rsid w:val="00DF3847"/>
    <w:rsid w:val="00DF6058"/>
    <w:rsid w:val="00DF67A1"/>
    <w:rsid w:val="00E00F07"/>
    <w:rsid w:val="00E014C1"/>
    <w:rsid w:val="00E02A4B"/>
    <w:rsid w:val="00E02E27"/>
    <w:rsid w:val="00E02E7A"/>
    <w:rsid w:val="00E04A79"/>
    <w:rsid w:val="00E053A7"/>
    <w:rsid w:val="00E1358A"/>
    <w:rsid w:val="00E145AD"/>
    <w:rsid w:val="00E17083"/>
    <w:rsid w:val="00E17803"/>
    <w:rsid w:val="00E17CF0"/>
    <w:rsid w:val="00E204F2"/>
    <w:rsid w:val="00E20758"/>
    <w:rsid w:val="00E224E5"/>
    <w:rsid w:val="00E24094"/>
    <w:rsid w:val="00E24308"/>
    <w:rsid w:val="00E2467B"/>
    <w:rsid w:val="00E24D28"/>
    <w:rsid w:val="00E2648D"/>
    <w:rsid w:val="00E26A25"/>
    <w:rsid w:val="00E27EA3"/>
    <w:rsid w:val="00E30475"/>
    <w:rsid w:val="00E31646"/>
    <w:rsid w:val="00E35778"/>
    <w:rsid w:val="00E35C5E"/>
    <w:rsid w:val="00E35FB5"/>
    <w:rsid w:val="00E367C7"/>
    <w:rsid w:val="00E36B5B"/>
    <w:rsid w:val="00E40681"/>
    <w:rsid w:val="00E40927"/>
    <w:rsid w:val="00E41318"/>
    <w:rsid w:val="00E41AFC"/>
    <w:rsid w:val="00E42C7F"/>
    <w:rsid w:val="00E43D19"/>
    <w:rsid w:val="00E44198"/>
    <w:rsid w:val="00E50A86"/>
    <w:rsid w:val="00E50C5C"/>
    <w:rsid w:val="00E51FEE"/>
    <w:rsid w:val="00E531C3"/>
    <w:rsid w:val="00E53D89"/>
    <w:rsid w:val="00E53E00"/>
    <w:rsid w:val="00E54629"/>
    <w:rsid w:val="00E54C1C"/>
    <w:rsid w:val="00E54EA8"/>
    <w:rsid w:val="00E55106"/>
    <w:rsid w:val="00E56255"/>
    <w:rsid w:val="00E567FF"/>
    <w:rsid w:val="00E61962"/>
    <w:rsid w:val="00E61AB0"/>
    <w:rsid w:val="00E61C1C"/>
    <w:rsid w:val="00E62097"/>
    <w:rsid w:val="00E62422"/>
    <w:rsid w:val="00E634B9"/>
    <w:rsid w:val="00E65826"/>
    <w:rsid w:val="00E71AC6"/>
    <w:rsid w:val="00E72B3B"/>
    <w:rsid w:val="00E7461E"/>
    <w:rsid w:val="00E76250"/>
    <w:rsid w:val="00E7683A"/>
    <w:rsid w:val="00E83856"/>
    <w:rsid w:val="00E83FD5"/>
    <w:rsid w:val="00E83FF6"/>
    <w:rsid w:val="00E8582D"/>
    <w:rsid w:val="00E8769F"/>
    <w:rsid w:val="00E9056B"/>
    <w:rsid w:val="00E905E2"/>
    <w:rsid w:val="00E929CB"/>
    <w:rsid w:val="00E93A7D"/>
    <w:rsid w:val="00E93AF9"/>
    <w:rsid w:val="00E93D6D"/>
    <w:rsid w:val="00EA0192"/>
    <w:rsid w:val="00EA182F"/>
    <w:rsid w:val="00EA2B74"/>
    <w:rsid w:val="00EA2E49"/>
    <w:rsid w:val="00EA31EC"/>
    <w:rsid w:val="00EA52E7"/>
    <w:rsid w:val="00EB084A"/>
    <w:rsid w:val="00EB0ECB"/>
    <w:rsid w:val="00EB195D"/>
    <w:rsid w:val="00EB2CA6"/>
    <w:rsid w:val="00EB35DB"/>
    <w:rsid w:val="00EB4BCE"/>
    <w:rsid w:val="00EB4E51"/>
    <w:rsid w:val="00EB50CD"/>
    <w:rsid w:val="00EB5EA2"/>
    <w:rsid w:val="00EB648F"/>
    <w:rsid w:val="00EB6F9A"/>
    <w:rsid w:val="00EC2943"/>
    <w:rsid w:val="00EC4F86"/>
    <w:rsid w:val="00EC7470"/>
    <w:rsid w:val="00ED0C0A"/>
    <w:rsid w:val="00ED3AC0"/>
    <w:rsid w:val="00ED7938"/>
    <w:rsid w:val="00EE10D7"/>
    <w:rsid w:val="00EE55D0"/>
    <w:rsid w:val="00EE7AAF"/>
    <w:rsid w:val="00EE7B9E"/>
    <w:rsid w:val="00EE7E9E"/>
    <w:rsid w:val="00EF0441"/>
    <w:rsid w:val="00EF052D"/>
    <w:rsid w:val="00EF11D0"/>
    <w:rsid w:val="00EF164C"/>
    <w:rsid w:val="00EF21DE"/>
    <w:rsid w:val="00EF2A74"/>
    <w:rsid w:val="00EF4097"/>
    <w:rsid w:val="00EF4BC4"/>
    <w:rsid w:val="00EF4E5A"/>
    <w:rsid w:val="00EF7C25"/>
    <w:rsid w:val="00F00B04"/>
    <w:rsid w:val="00F00BF9"/>
    <w:rsid w:val="00F010FD"/>
    <w:rsid w:val="00F0197E"/>
    <w:rsid w:val="00F042DC"/>
    <w:rsid w:val="00F0531B"/>
    <w:rsid w:val="00F06155"/>
    <w:rsid w:val="00F07556"/>
    <w:rsid w:val="00F07B74"/>
    <w:rsid w:val="00F1262F"/>
    <w:rsid w:val="00F127F6"/>
    <w:rsid w:val="00F15B46"/>
    <w:rsid w:val="00F22ECD"/>
    <w:rsid w:val="00F25929"/>
    <w:rsid w:val="00F26372"/>
    <w:rsid w:val="00F26384"/>
    <w:rsid w:val="00F27080"/>
    <w:rsid w:val="00F2717D"/>
    <w:rsid w:val="00F30918"/>
    <w:rsid w:val="00F30B48"/>
    <w:rsid w:val="00F3190C"/>
    <w:rsid w:val="00F31A84"/>
    <w:rsid w:val="00F31FF2"/>
    <w:rsid w:val="00F321EB"/>
    <w:rsid w:val="00F33731"/>
    <w:rsid w:val="00F3454C"/>
    <w:rsid w:val="00F346A1"/>
    <w:rsid w:val="00F350A1"/>
    <w:rsid w:val="00F367A9"/>
    <w:rsid w:val="00F36A49"/>
    <w:rsid w:val="00F42472"/>
    <w:rsid w:val="00F42A69"/>
    <w:rsid w:val="00F42DDA"/>
    <w:rsid w:val="00F445B6"/>
    <w:rsid w:val="00F501E3"/>
    <w:rsid w:val="00F513E2"/>
    <w:rsid w:val="00F544C6"/>
    <w:rsid w:val="00F55918"/>
    <w:rsid w:val="00F559F0"/>
    <w:rsid w:val="00F5600E"/>
    <w:rsid w:val="00F567F8"/>
    <w:rsid w:val="00F60F71"/>
    <w:rsid w:val="00F613A2"/>
    <w:rsid w:val="00F62392"/>
    <w:rsid w:val="00F62E1E"/>
    <w:rsid w:val="00F65431"/>
    <w:rsid w:val="00F66677"/>
    <w:rsid w:val="00F6712E"/>
    <w:rsid w:val="00F67562"/>
    <w:rsid w:val="00F675D1"/>
    <w:rsid w:val="00F67ADC"/>
    <w:rsid w:val="00F70618"/>
    <w:rsid w:val="00F7184F"/>
    <w:rsid w:val="00F73131"/>
    <w:rsid w:val="00F73C28"/>
    <w:rsid w:val="00F74759"/>
    <w:rsid w:val="00F765F9"/>
    <w:rsid w:val="00F7753D"/>
    <w:rsid w:val="00F7795B"/>
    <w:rsid w:val="00F81DB6"/>
    <w:rsid w:val="00F821DE"/>
    <w:rsid w:val="00F83334"/>
    <w:rsid w:val="00F83382"/>
    <w:rsid w:val="00F833F1"/>
    <w:rsid w:val="00F850E7"/>
    <w:rsid w:val="00F869C9"/>
    <w:rsid w:val="00F9086A"/>
    <w:rsid w:val="00F94F91"/>
    <w:rsid w:val="00F950F4"/>
    <w:rsid w:val="00F95231"/>
    <w:rsid w:val="00F953AA"/>
    <w:rsid w:val="00F95C4F"/>
    <w:rsid w:val="00F96D73"/>
    <w:rsid w:val="00FA023D"/>
    <w:rsid w:val="00FA0A0D"/>
    <w:rsid w:val="00FA0AB9"/>
    <w:rsid w:val="00FA2A65"/>
    <w:rsid w:val="00FA3025"/>
    <w:rsid w:val="00FA3448"/>
    <w:rsid w:val="00FA3AC8"/>
    <w:rsid w:val="00FA4172"/>
    <w:rsid w:val="00FA6D47"/>
    <w:rsid w:val="00FA6F26"/>
    <w:rsid w:val="00FB2B76"/>
    <w:rsid w:val="00FB309A"/>
    <w:rsid w:val="00FB4251"/>
    <w:rsid w:val="00FB594F"/>
    <w:rsid w:val="00FB6458"/>
    <w:rsid w:val="00FB76F6"/>
    <w:rsid w:val="00FC0DCE"/>
    <w:rsid w:val="00FC10B3"/>
    <w:rsid w:val="00FC11BB"/>
    <w:rsid w:val="00FC3E94"/>
    <w:rsid w:val="00FC477A"/>
    <w:rsid w:val="00FC572E"/>
    <w:rsid w:val="00FC5EF1"/>
    <w:rsid w:val="00FC7150"/>
    <w:rsid w:val="00FC7151"/>
    <w:rsid w:val="00FD138E"/>
    <w:rsid w:val="00FD2AE6"/>
    <w:rsid w:val="00FD5303"/>
    <w:rsid w:val="00FD5448"/>
    <w:rsid w:val="00FD782C"/>
    <w:rsid w:val="00FE0569"/>
    <w:rsid w:val="00FE1B0E"/>
    <w:rsid w:val="00FE1FA0"/>
    <w:rsid w:val="00FE200E"/>
    <w:rsid w:val="00FE2870"/>
    <w:rsid w:val="00FE2E07"/>
    <w:rsid w:val="00FE47AD"/>
    <w:rsid w:val="00FE49F7"/>
    <w:rsid w:val="00FE5755"/>
    <w:rsid w:val="00FE6D15"/>
    <w:rsid w:val="00FE7CEA"/>
    <w:rsid w:val="00FE7F7B"/>
    <w:rsid w:val="00FF0A89"/>
    <w:rsid w:val="00FF0DBE"/>
    <w:rsid w:val="00FF38DC"/>
    <w:rsid w:val="00FF3E6F"/>
    <w:rsid w:val="00FF4650"/>
    <w:rsid w:val="00FF7BEC"/>
    <w:rsid w:val="011F0817"/>
    <w:rsid w:val="016C1738"/>
    <w:rsid w:val="02013704"/>
    <w:rsid w:val="021D0F93"/>
    <w:rsid w:val="02673B42"/>
    <w:rsid w:val="02B75D12"/>
    <w:rsid w:val="0312031F"/>
    <w:rsid w:val="036E7521"/>
    <w:rsid w:val="041B63DF"/>
    <w:rsid w:val="04830CD2"/>
    <w:rsid w:val="04975E7B"/>
    <w:rsid w:val="057C58B2"/>
    <w:rsid w:val="06CA47C0"/>
    <w:rsid w:val="06D67D39"/>
    <w:rsid w:val="077C22FC"/>
    <w:rsid w:val="0894078E"/>
    <w:rsid w:val="08BC23C1"/>
    <w:rsid w:val="09600B1D"/>
    <w:rsid w:val="09E9650E"/>
    <w:rsid w:val="0A7322FC"/>
    <w:rsid w:val="0C273C26"/>
    <w:rsid w:val="0C4646B0"/>
    <w:rsid w:val="0CD0030C"/>
    <w:rsid w:val="0E9D6C86"/>
    <w:rsid w:val="0EB1632C"/>
    <w:rsid w:val="0F5337A0"/>
    <w:rsid w:val="0FBA7D0C"/>
    <w:rsid w:val="1011066D"/>
    <w:rsid w:val="102F7D7D"/>
    <w:rsid w:val="13247CEB"/>
    <w:rsid w:val="1338393F"/>
    <w:rsid w:val="13C4753B"/>
    <w:rsid w:val="14307846"/>
    <w:rsid w:val="14E559EA"/>
    <w:rsid w:val="15ED6BD0"/>
    <w:rsid w:val="15F158BF"/>
    <w:rsid w:val="16053E99"/>
    <w:rsid w:val="161A03E1"/>
    <w:rsid w:val="172D0777"/>
    <w:rsid w:val="18DD6428"/>
    <w:rsid w:val="18E3637A"/>
    <w:rsid w:val="190B53E7"/>
    <w:rsid w:val="19A66173"/>
    <w:rsid w:val="19CA7F2D"/>
    <w:rsid w:val="1A9120E3"/>
    <w:rsid w:val="1AF45111"/>
    <w:rsid w:val="1C755AB4"/>
    <w:rsid w:val="1CAD2761"/>
    <w:rsid w:val="1D041CE2"/>
    <w:rsid w:val="1D3032A9"/>
    <w:rsid w:val="1D60082E"/>
    <w:rsid w:val="1ED91A9C"/>
    <w:rsid w:val="1F3D1AEC"/>
    <w:rsid w:val="1FC55FF4"/>
    <w:rsid w:val="1FFE4F20"/>
    <w:rsid w:val="20072C23"/>
    <w:rsid w:val="203C4C8B"/>
    <w:rsid w:val="2079293B"/>
    <w:rsid w:val="211535CB"/>
    <w:rsid w:val="211E2B61"/>
    <w:rsid w:val="213B397D"/>
    <w:rsid w:val="2277451E"/>
    <w:rsid w:val="23A33BA7"/>
    <w:rsid w:val="23F073B8"/>
    <w:rsid w:val="255332AF"/>
    <w:rsid w:val="258E59F8"/>
    <w:rsid w:val="25FA363A"/>
    <w:rsid w:val="268A0FF9"/>
    <w:rsid w:val="26C93FB6"/>
    <w:rsid w:val="27C90DD1"/>
    <w:rsid w:val="28033FDC"/>
    <w:rsid w:val="280D7F14"/>
    <w:rsid w:val="2814341F"/>
    <w:rsid w:val="28FF7F80"/>
    <w:rsid w:val="2905127E"/>
    <w:rsid w:val="294A1318"/>
    <w:rsid w:val="2A4C014D"/>
    <w:rsid w:val="2A685995"/>
    <w:rsid w:val="2B0A0D5F"/>
    <w:rsid w:val="2CF070AA"/>
    <w:rsid w:val="2D217CB1"/>
    <w:rsid w:val="2D541A5D"/>
    <w:rsid w:val="2DEE6D47"/>
    <w:rsid w:val="2E1246E7"/>
    <w:rsid w:val="2F902F82"/>
    <w:rsid w:val="30050F1D"/>
    <w:rsid w:val="30702BBA"/>
    <w:rsid w:val="30A27C8C"/>
    <w:rsid w:val="30CF778B"/>
    <w:rsid w:val="313D47D6"/>
    <w:rsid w:val="31600E7A"/>
    <w:rsid w:val="31E247F7"/>
    <w:rsid w:val="32233775"/>
    <w:rsid w:val="32DD31FD"/>
    <w:rsid w:val="330B008B"/>
    <w:rsid w:val="3329115D"/>
    <w:rsid w:val="33541F89"/>
    <w:rsid w:val="33BB2EC8"/>
    <w:rsid w:val="349F5937"/>
    <w:rsid w:val="356A46AC"/>
    <w:rsid w:val="363618B7"/>
    <w:rsid w:val="366E663A"/>
    <w:rsid w:val="37901A10"/>
    <w:rsid w:val="38576739"/>
    <w:rsid w:val="3888582F"/>
    <w:rsid w:val="38DC09C9"/>
    <w:rsid w:val="38DE332C"/>
    <w:rsid w:val="3A2C3EA1"/>
    <w:rsid w:val="3D460A26"/>
    <w:rsid w:val="3EC30E23"/>
    <w:rsid w:val="3F261226"/>
    <w:rsid w:val="40BB3F46"/>
    <w:rsid w:val="410E05F4"/>
    <w:rsid w:val="414E4542"/>
    <w:rsid w:val="4182092A"/>
    <w:rsid w:val="42950137"/>
    <w:rsid w:val="42BF3850"/>
    <w:rsid w:val="43590E76"/>
    <w:rsid w:val="44623562"/>
    <w:rsid w:val="44964FD9"/>
    <w:rsid w:val="44BE136F"/>
    <w:rsid w:val="458E7E03"/>
    <w:rsid w:val="45C21F37"/>
    <w:rsid w:val="46C976FF"/>
    <w:rsid w:val="474D674C"/>
    <w:rsid w:val="479C7108"/>
    <w:rsid w:val="47D31D34"/>
    <w:rsid w:val="48145A0D"/>
    <w:rsid w:val="482515A1"/>
    <w:rsid w:val="483568BD"/>
    <w:rsid w:val="48643312"/>
    <w:rsid w:val="4A6572C7"/>
    <w:rsid w:val="4B1B6BCC"/>
    <w:rsid w:val="4C2F5188"/>
    <w:rsid w:val="4D314C6A"/>
    <w:rsid w:val="4D714816"/>
    <w:rsid w:val="4D8E7FDC"/>
    <w:rsid w:val="4E3241AE"/>
    <w:rsid w:val="4EDC0E14"/>
    <w:rsid w:val="4FEF0ACC"/>
    <w:rsid w:val="512527C7"/>
    <w:rsid w:val="51EF4DEB"/>
    <w:rsid w:val="525035B9"/>
    <w:rsid w:val="527B1259"/>
    <w:rsid w:val="52B35CEF"/>
    <w:rsid w:val="53B10A34"/>
    <w:rsid w:val="53F727DF"/>
    <w:rsid w:val="54036C58"/>
    <w:rsid w:val="54B650F5"/>
    <w:rsid w:val="55752747"/>
    <w:rsid w:val="55F2009D"/>
    <w:rsid w:val="56573605"/>
    <w:rsid w:val="57380881"/>
    <w:rsid w:val="57572A3A"/>
    <w:rsid w:val="5956071F"/>
    <w:rsid w:val="59EA1BD8"/>
    <w:rsid w:val="5ABC5EF0"/>
    <w:rsid w:val="5B1746A8"/>
    <w:rsid w:val="5B397326"/>
    <w:rsid w:val="5BAB0621"/>
    <w:rsid w:val="5BFB1055"/>
    <w:rsid w:val="5C0F3F9F"/>
    <w:rsid w:val="5DC61D56"/>
    <w:rsid w:val="5DD326D4"/>
    <w:rsid w:val="5E197DFF"/>
    <w:rsid w:val="5E8E70E7"/>
    <w:rsid w:val="5ED16223"/>
    <w:rsid w:val="5F240B36"/>
    <w:rsid w:val="5F696D64"/>
    <w:rsid w:val="5FD72D43"/>
    <w:rsid w:val="6022014C"/>
    <w:rsid w:val="60CD288A"/>
    <w:rsid w:val="61A937A8"/>
    <w:rsid w:val="61FB500B"/>
    <w:rsid w:val="61FE02CD"/>
    <w:rsid w:val="621209DE"/>
    <w:rsid w:val="623C5907"/>
    <w:rsid w:val="6240236C"/>
    <w:rsid w:val="624D1DDB"/>
    <w:rsid w:val="62C41118"/>
    <w:rsid w:val="62E0779F"/>
    <w:rsid w:val="63777A38"/>
    <w:rsid w:val="63E80B2D"/>
    <w:rsid w:val="64E21E2A"/>
    <w:rsid w:val="65125E58"/>
    <w:rsid w:val="65391204"/>
    <w:rsid w:val="65B37C6A"/>
    <w:rsid w:val="665A5FAA"/>
    <w:rsid w:val="66F15F79"/>
    <w:rsid w:val="672D7318"/>
    <w:rsid w:val="68690308"/>
    <w:rsid w:val="68B21E77"/>
    <w:rsid w:val="693427C5"/>
    <w:rsid w:val="693E3203"/>
    <w:rsid w:val="69B93DF4"/>
    <w:rsid w:val="6BA33CC8"/>
    <w:rsid w:val="6C1B22DD"/>
    <w:rsid w:val="6C4B2622"/>
    <w:rsid w:val="6D6353C9"/>
    <w:rsid w:val="6E613FBB"/>
    <w:rsid w:val="7013236B"/>
    <w:rsid w:val="702D44D9"/>
    <w:rsid w:val="703F51DF"/>
    <w:rsid w:val="70B17662"/>
    <w:rsid w:val="71271141"/>
    <w:rsid w:val="71CF4EC0"/>
    <w:rsid w:val="72706F28"/>
    <w:rsid w:val="729A0998"/>
    <w:rsid w:val="72C17B4C"/>
    <w:rsid w:val="72CA1C2C"/>
    <w:rsid w:val="73D12007"/>
    <w:rsid w:val="74626AE3"/>
    <w:rsid w:val="75BE5F9B"/>
    <w:rsid w:val="75D048F4"/>
    <w:rsid w:val="767E4702"/>
    <w:rsid w:val="76865072"/>
    <w:rsid w:val="76AB5B50"/>
    <w:rsid w:val="77C01DCD"/>
    <w:rsid w:val="790C56D7"/>
    <w:rsid w:val="795904AE"/>
    <w:rsid w:val="795A2590"/>
    <w:rsid w:val="79D044EF"/>
    <w:rsid w:val="7B5A6BDA"/>
    <w:rsid w:val="7B9C756A"/>
    <w:rsid w:val="7C716580"/>
    <w:rsid w:val="7CB41A87"/>
    <w:rsid w:val="7CBC56BB"/>
    <w:rsid w:val="7CED1725"/>
    <w:rsid w:val="7CFB55F6"/>
    <w:rsid w:val="7E2F5D89"/>
    <w:rsid w:val="7E5547CC"/>
    <w:rsid w:val="7E776526"/>
    <w:rsid w:val="7EC00907"/>
    <w:rsid w:val="7EDF6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1"/>
    <w:autoRedefine/>
    <w:qFormat/>
    <w:uiPriority w:val="0"/>
    <w:pPr>
      <w:keepNext/>
      <w:spacing w:line="380" w:lineRule="exact"/>
      <w:jc w:val="center"/>
      <w:outlineLvl w:val="0"/>
    </w:pPr>
    <w:rPr>
      <w:rFonts w:ascii="宋体"/>
      <w:b/>
      <w:bCs/>
      <w:sz w:val="28"/>
    </w:rPr>
  </w:style>
  <w:style w:type="paragraph" w:styleId="3">
    <w:name w:val="heading 2"/>
    <w:basedOn w:val="1"/>
    <w:next w:val="1"/>
    <w:link w:val="83"/>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94"/>
    <w:autoRedefine/>
    <w:qFormat/>
    <w:uiPriority w:val="0"/>
    <w:pPr>
      <w:widowControl/>
      <w:spacing w:before="240" w:after="60"/>
      <w:jc w:val="left"/>
      <w:outlineLvl w:val="4"/>
    </w:pPr>
    <w:rPr>
      <w:rFonts w:ascii="MS Sans Serif" w:hAnsi="Arial" w:eastAsia="MS Sans Serif"/>
      <w:kern w:val="0"/>
      <w:sz w:val="24"/>
    </w:rPr>
  </w:style>
  <w:style w:type="paragraph" w:styleId="7">
    <w:name w:val="heading 6"/>
    <w:basedOn w:val="1"/>
    <w:next w:val="8"/>
    <w:link w:val="56"/>
    <w:autoRedefine/>
    <w:qFormat/>
    <w:uiPriority w:val="0"/>
    <w:pPr>
      <w:keepNext/>
      <w:keepLines/>
      <w:spacing w:before="240" w:after="64" w:line="320" w:lineRule="auto"/>
      <w:outlineLvl w:val="5"/>
    </w:pPr>
    <w:rPr>
      <w:rFonts w:ascii="黑体" w:hAnsi="黑体" w:eastAsia="楷体"/>
      <w:b/>
      <w:sz w:val="24"/>
    </w:rPr>
  </w:style>
  <w:style w:type="paragraph" w:styleId="9">
    <w:name w:val="heading 7"/>
    <w:basedOn w:val="1"/>
    <w:next w:val="8"/>
    <w:link w:val="88"/>
    <w:autoRedefine/>
    <w:qFormat/>
    <w:uiPriority w:val="0"/>
    <w:pPr>
      <w:keepNext/>
      <w:keepLines/>
      <w:spacing w:before="240" w:after="64" w:line="320" w:lineRule="auto"/>
      <w:outlineLvl w:val="6"/>
    </w:pPr>
    <w:rPr>
      <w:rFonts w:ascii="Arial" w:hAnsi="Arial"/>
      <w:b/>
      <w:sz w:val="24"/>
    </w:rPr>
  </w:style>
  <w:style w:type="paragraph" w:styleId="10">
    <w:name w:val="heading 8"/>
    <w:basedOn w:val="1"/>
    <w:next w:val="8"/>
    <w:link w:val="75"/>
    <w:autoRedefine/>
    <w:qFormat/>
    <w:uiPriority w:val="0"/>
    <w:pPr>
      <w:keepNext/>
      <w:keepLines/>
      <w:spacing w:before="240" w:after="64" w:line="320" w:lineRule="auto"/>
      <w:outlineLvl w:val="7"/>
    </w:pPr>
    <w:rPr>
      <w:rFonts w:ascii="黑体" w:hAnsi="黑体" w:eastAsia="楷体"/>
      <w:sz w:val="24"/>
    </w:rPr>
  </w:style>
  <w:style w:type="paragraph" w:styleId="11">
    <w:name w:val="heading 9"/>
    <w:basedOn w:val="1"/>
    <w:next w:val="8"/>
    <w:link w:val="113"/>
    <w:autoRedefine/>
    <w:qFormat/>
    <w:uiPriority w:val="0"/>
    <w:pPr>
      <w:keepNext/>
      <w:keepLines/>
      <w:spacing w:before="240" w:after="64" w:line="320" w:lineRule="auto"/>
      <w:outlineLvl w:val="8"/>
    </w:pPr>
    <w:rPr>
      <w:rFonts w:ascii="黑体" w:hAnsi="黑体" w:eastAsia="楷体"/>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55"/>
    <w:autoRedefine/>
    <w:qFormat/>
    <w:uiPriority w:val="0"/>
    <w:pPr>
      <w:adjustRightInd w:val="0"/>
      <w:spacing w:line="315" w:lineRule="atLeast"/>
      <w:ind w:firstLine="420"/>
      <w:jc w:val="left"/>
      <w:textAlignment w:val="baseline"/>
    </w:pPr>
    <w:rPr>
      <w:rFonts w:ascii="宋体"/>
      <w:kern w:val="0"/>
    </w:rPr>
  </w:style>
  <w:style w:type="paragraph" w:styleId="12">
    <w:name w:val="toc 7"/>
    <w:basedOn w:val="1"/>
    <w:next w:val="1"/>
    <w:autoRedefine/>
    <w:qFormat/>
    <w:uiPriority w:val="0"/>
    <w:pPr>
      <w:ind w:left="2520" w:leftChars="1200"/>
    </w:pPr>
    <w:rPr>
      <w:szCs w:val="24"/>
    </w:rPr>
  </w:style>
  <w:style w:type="paragraph" w:styleId="13">
    <w:name w:val="List Number"/>
    <w:basedOn w:val="1"/>
    <w:autoRedefine/>
    <w:qFormat/>
    <w:uiPriority w:val="0"/>
    <w:pPr>
      <w:widowControl/>
      <w:tabs>
        <w:tab w:val="left" w:pos="420"/>
        <w:tab w:val="left" w:pos="454"/>
      </w:tabs>
      <w:spacing w:afterLines="50"/>
      <w:ind w:left="454" w:hanging="284"/>
      <w:jc w:val="left"/>
    </w:pPr>
    <w:rPr>
      <w:rFonts w:ascii="Arial" w:hAnsi="Arial" w:cs="Arial"/>
      <w:kern w:val="0"/>
      <w:sz w:val="24"/>
    </w:rPr>
  </w:style>
  <w:style w:type="paragraph" w:styleId="14">
    <w:name w:val="caption"/>
    <w:basedOn w:val="1"/>
    <w:next w:val="1"/>
    <w:autoRedefine/>
    <w:qFormat/>
    <w:uiPriority w:val="0"/>
    <w:rPr>
      <w:rFonts w:ascii="黑体" w:hAnsi="黑体" w:eastAsia="楷体" w:cs="黑体"/>
      <w:sz w:val="20"/>
    </w:rPr>
  </w:style>
  <w:style w:type="paragraph" w:styleId="15">
    <w:name w:val="Document Map"/>
    <w:basedOn w:val="1"/>
    <w:link w:val="67"/>
    <w:autoRedefine/>
    <w:qFormat/>
    <w:uiPriority w:val="0"/>
    <w:pPr>
      <w:shd w:val="clear" w:color="auto" w:fill="000080"/>
    </w:pPr>
  </w:style>
  <w:style w:type="paragraph" w:styleId="16">
    <w:name w:val="annotation text"/>
    <w:basedOn w:val="1"/>
    <w:link w:val="122"/>
    <w:autoRedefine/>
    <w:qFormat/>
    <w:uiPriority w:val="0"/>
    <w:pPr>
      <w:jc w:val="left"/>
    </w:pPr>
  </w:style>
  <w:style w:type="paragraph" w:styleId="17">
    <w:name w:val="Body Text"/>
    <w:basedOn w:val="1"/>
    <w:link w:val="101"/>
    <w:autoRedefine/>
    <w:qFormat/>
    <w:uiPriority w:val="0"/>
    <w:pPr>
      <w:spacing w:after="120"/>
    </w:pPr>
  </w:style>
  <w:style w:type="paragraph" w:styleId="18">
    <w:name w:val="Body Text Indent"/>
    <w:basedOn w:val="1"/>
    <w:next w:val="1"/>
    <w:link w:val="82"/>
    <w:autoRedefine/>
    <w:qFormat/>
    <w:uiPriority w:val="0"/>
    <w:pPr>
      <w:spacing w:line="380" w:lineRule="exact"/>
      <w:ind w:firstLine="480"/>
    </w:pPr>
    <w:rPr>
      <w:rFonts w:eastAsia="方正书宋简体"/>
      <w:sz w:val="24"/>
    </w:rPr>
  </w:style>
  <w:style w:type="paragraph" w:styleId="19">
    <w:name w:val="List Number 3"/>
    <w:basedOn w:val="1"/>
    <w:autoRedefine/>
    <w:qFormat/>
    <w:uiPriority w:val="0"/>
    <w:pPr>
      <w:widowControl/>
      <w:tabs>
        <w:tab w:val="left" w:pos="482"/>
        <w:tab w:val="left" w:pos="1157"/>
      </w:tabs>
      <w:spacing w:afterLines="50"/>
      <w:ind w:left="482" w:hanging="340"/>
      <w:jc w:val="left"/>
    </w:pPr>
    <w:rPr>
      <w:rFonts w:ascii="Arial" w:hAnsi="Arial" w:cs="Arial"/>
      <w:kern w:val="0"/>
      <w:sz w:val="24"/>
    </w:rPr>
  </w:style>
  <w:style w:type="paragraph" w:styleId="20">
    <w:name w:val="Block Text"/>
    <w:basedOn w:val="1"/>
    <w:autoRedefine/>
    <w:qFormat/>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1">
    <w:name w:val="toc 5"/>
    <w:basedOn w:val="1"/>
    <w:next w:val="1"/>
    <w:autoRedefine/>
    <w:qFormat/>
    <w:uiPriority w:val="0"/>
    <w:pPr>
      <w:ind w:left="1680" w:leftChars="800"/>
    </w:pPr>
    <w:rPr>
      <w:szCs w:val="24"/>
    </w:rPr>
  </w:style>
  <w:style w:type="paragraph" w:styleId="22">
    <w:name w:val="toc 3"/>
    <w:basedOn w:val="1"/>
    <w:next w:val="1"/>
    <w:autoRedefine/>
    <w:qFormat/>
    <w:uiPriority w:val="0"/>
    <w:pPr>
      <w:tabs>
        <w:tab w:val="left" w:pos="1236"/>
        <w:tab w:val="right" w:leader="dot" w:pos="8789"/>
      </w:tabs>
      <w:ind w:left="840" w:leftChars="400"/>
    </w:pPr>
  </w:style>
  <w:style w:type="paragraph" w:styleId="23">
    <w:name w:val="Plain Text"/>
    <w:basedOn w:val="1"/>
    <w:link w:val="119"/>
    <w:autoRedefine/>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4">
    <w:name w:val="toc 8"/>
    <w:basedOn w:val="1"/>
    <w:next w:val="1"/>
    <w:autoRedefine/>
    <w:qFormat/>
    <w:uiPriority w:val="0"/>
    <w:pPr>
      <w:ind w:left="2940" w:leftChars="1400"/>
    </w:pPr>
    <w:rPr>
      <w:szCs w:val="24"/>
    </w:rPr>
  </w:style>
  <w:style w:type="paragraph" w:styleId="25">
    <w:name w:val="Date"/>
    <w:basedOn w:val="1"/>
    <w:next w:val="1"/>
    <w:link w:val="105"/>
    <w:autoRedefine/>
    <w:qFormat/>
    <w:uiPriority w:val="0"/>
    <w:pPr>
      <w:adjustRightInd w:val="0"/>
      <w:spacing w:line="312" w:lineRule="atLeast"/>
      <w:jc w:val="right"/>
      <w:textAlignment w:val="baseline"/>
    </w:pPr>
    <w:rPr>
      <w:rFonts w:ascii="宋体"/>
      <w:kern w:val="0"/>
      <w:sz w:val="24"/>
    </w:rPr>
  </w:style>
  <w:style w:type="paragraph" w:styleId="26">
    <w:name w:val="Body Text Indent 2"/>
    <w:basedOn w:val="1"/>
    <w:link w:val="126"/>
    <w:autoRedefine/>
    <w:qFormat/>
    <w:uiPriority w:val="0"/>
    <w:pPr>
      <w:spacing w:line="380" w:lineRule="exact"/>
      <w:ind w:left="840" w:hanging="45"/>
    </w:pPr>
    <w:rPr>
      <w:rFonts w:ascii="宋体"/>
      <w:sz w:val="24"/>
    </w:rPr>
  </w:style>
  <w:style w:type="paragraph" w:styleId="27">
    <w:name w:val="Balloon Text"/>
    <w:basedOn w:val="1"/>
    <w:link w:val="76"/>
    <w:autoRedefine/>
    <w:qFormat/>
    <w:uiPriority w:val="99"/>
    <w:rPr>
      <w:sz w:val="18"/>
      <w:szCs w:val="18"/>
    </w:rPr>
  </w:style>
  <w:style w:type="paragraph" w:styleId="28">
    <w:name w:val="footer"/>
    <w:basedOn w:val="1"/>
    <w:link w:val="98"/>
    <w:autoRedefine/>
    <w:qFormat/>
    <w:uiPriority w:val="99"/>
    <w:pPr>
      <w:tabs>
        <w:tab w:val="center" w:pos="4153"/>
        <w:tab w:val="right" w:pos="8306"/>
      </w:tabs>
      <w:snapToGrid w:val="0"/>
      <w:jc w:val="left"/>
    </w:pPr>
    <w:rPr>
      <w:sz w:val="18"/>
      <w:szCs w:val="18"/>
    </w:rPr>
  </w:style>
  <w:style w:type="paragraph" w:styleId="29">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middleDot" w:pos="8789"/>
      </w:tabs>
      <w:spacing w:line="360" w:lineRule="auto"/>
    </w:pPr>
    <w:rPr>
      <w:sz w:val="24"/>
    </w:rPr>
  </w:style>
  <w:style w:type="paragraph" w:styleId="31">
    <w:name w:val="toc 4"/>
    <w:basedOn w:val="1"/>
    <w:next w:val="1"/>
    <w:autoRedefine/>
    <w:qFormat/>
    <w:uiPriority w:val="0"/>
    <w:pPr>
      <w:ind w:left="1260" w:leftChars="600"/>
    </w:pPr>
    <w:rPr>
      <w:szCs w:val="24"/>
    </w:rPr>
  </w:style>
  <w:style w:type="paragraph" w:styleId="32">
    <w:name w:val="List"/>
    <w:basedOn w:val="1"/>
    <w:autoRedefine/>
    <w:qFormat/>
    <w:uiPriority w:val="0"/>
    <w:pPr>
      <w:ind w:left="200" w:hanging="200" w:hangingChars="200"/>
    </w:pPr>
  </w:style>
  <w:style w:type="paragraph" w:styleId="33">
    <w:name w:val="toc 6"/>
    <w:basedOn w:val="1"/>
    <w:next w:val="1"/>
    <w:autoRedefine/>
    <w:qFormat/>
    <w:uiPriority w:val="0"/>
    <w:pPr>
      <w:ind w:left="2100" w:leftChars="1000"/>
    </w:pPr>
    <w:rPr>
      <w:szCs w:val="24"/>
    </w:rPr>
  </w:style>
  <w:style w:type="paragraph" w:styleId="34">
    <w:name w:val="List 5"/>
    <w:basedOn w:val="1"/>
    <w:autoRedefine/>
    <w:qFormat/>
    <w:uiPriority w:val="0"/>
    <w:pPr>
      <w:ind w:left="100" w:leftChars="800" w:hanging="200" w:hangingChars="200"/>
    </w:pPr>
    <w:rPr>
      <w:rFonts w:ascii="Arial" w:hAnsi="Arial" w:cs="Arial"/>
    </w:rPr>
  </w:style>
  <w:style w:type="paragraph" w:styleId="35">
    <w:name w:val="Body Text Indent 3"/>
    <w:basedOn w:val="1"/>
    <w:link w:val="70"/>
    <w:autoRedefine/>
    <w:qFormat/>
    <w:uiPriority w:val="0"/>
    <w:pPr>
      <w:spacing w:line="380" w:lineRule="exact"/>
      <w:ind w:left="525"/>
    </w:pPr>
    <w:rPr>
      <w:rFonts w:ascii="宋体"/>
      <w:sz w:val="24"/>
    </w:rPr>
  </w:style>
  <w:style w:type="paragraph" w:styleId="36">
    <w:name w:val="toc 2"/>
    <w:basedOn w:val="1"/>
    <w:next w:val="1"/>
    <w:autoRedefine/>
    <w:qFormat/>
    <w:uiPriority w:val="39"/>
    <w:pPr>
      <w:tabs>
        <w:tab w:val="right" w:leader="middleDot" w:pos="8789"/>
      </w:tabs>
      <w:spacing w:after="60"/>
      <w:ind w:left="420" w:leftChars="200"/>
    </w:pPr>
  </w:style>
  <w:style w:type="paragraph" w:styleId="37">
    <w:name w:val="toc 9"/>
    <w:basedOn w:val="1"/>
    <w:next w:val="1"/>
    <w:autoRedefine/>
    <w:qFormat/>
    <w:uiPriority w:val="0"/>
    <w:pPr>
      <w:ind w:left="3360" w:leftChars="1600"/>
    </w:pPr>
    <w:rPr>
      <w:szCs w:val="24"/>
    </w:rPr>
  </w:style>
  <w:style w:type="paragraph" w:styleId="38">
    <w:name w:val="Body Text 2"/>
    <w:basedOn w:val="1"/>
    <w:link w:val="99"/>
    <w:autoRedefine/>
    <w:qFormat/>
    <w:uiPriority w:val="0"/>
    <w:rPr>
      <w:rFonts w:ascii="Arial" w:hAnsi="Arial"/>
      <w:kern w:val="0"/>
      <w:sz w:val="24"/>
      <w:szCs w:val="24"/>
    </w:rPr>
  </w:style>
  <w:style w:type="paragraph" w:styleId="39">
    <w:name w:val="HTML Preformatted"/>
    <w:basedOn w:val="1"/>
    <w:link w:val="54"/>
    <w:autoRedefine/>
    <w:qFormat/>
    <w:uiPriority w:val="0"/>
    <w:rPr>
      <w:rFonts w:ascii="Courier New" w:hAnsi="Courier New"/>
      <w:sz w:val="20"/>
    </w:rPr>
  </w:style>
  <w:style w:type="paragraph" w:styleId="40">
    <w:name w:val="Normal (Web)"/>
    <w:basedOn w:val="1"/>
    <w:autoRedefine/>
    <w:qFormat/>
    <w:uiPriority w:val="0"/>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41">
    <w:name w:val="Title"/>
    <w:basedOn w:val="1"/>
    <w:next w:val="1"/>
    <w:link w:val="71"/>
    <w:autoRedefine/>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106"/>
    <w:autoRedefine/>
    <w:qFormat/>
    <w:uiPriority w:val="99"/>
    <w:rPr>
      <w:b/>
      <w:bCs/>
    </w:rPr>
  </w:style>
  <w:style w:type="paragraph" w:styleId="43">
    <w:name w:val="Body Text First Indent"/>
    <w:basedOn w:val="17"/>
    <w:next w:val="1"/>
    <w:link w:val="117"/>
    <w:autoRedefine/>
    <w:qFormat/>
    <w:uiPriority w:val="0"/>
    <w:pPr>
      <w:ind w:firstLine="420" w:firstLineChars="100"/>
    </w:pPr>
    <w:rPr>
      <w:szCs w:val="24"/>
    </w:rPr>
  </w:style>
  <w:style w:type="paragraph" w:styleId="44">
    <w:name w:val="Body Text First Indent 2"/>
    <w:basedOn w:val="18"/>
    <w:next w:val="43"/>
    <w:link w:val="74"/>
    <w:autoRedefine/>
    <w:qFormat/>
    <w:uiPriority w:val="0"/>
    <w:pPr>
      <w:spacing w:after="120" w:line="240" w:lineRule="auto"/>
      <w:ind w:left="420" w:leftChars="200" w:firstLine="420" w:firstLineChars="200"/>
    </w:pPr>
    <w:rPr>
      <w:sz w:val="21"/>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Hyperlink"/>
    <w:basedOn w:val="47"/>
    <w:autoRedefine/>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4 Char"/>
    <w:link w:val="5"/>
    <w:autoRedefine/>
    <w:qFormat/>
    <w:uiPriority w:val="0"/>
    <w:rPr>
      <w:rFonts w:ascii="Cambria" w:hAnsi="Cambria" w:eastAsia="宋体"/>
      <w:b/>
      <w:bCs/>
      <w:kern w:val="2"/>
      <w:sz w:val="28"/>
      <w:szCs w:val="28"/>
      <w:lang w:val="en-US" w:eastAsia="zh-CN" w:bidi="ar-SA"/>
    </w:rPr>
  </w:style>
  <w:style w:type="character" w:customStyle="1" w:styleId="53">
    <w:name w:val="标题 3 Char"/>
    <w:link w:val="4"/>
    <w:autoRedefine/>
    <w:qFormat/>
    <w:uiPriority w:val="0"/>
    <w:rPr>
      <w:rFonts w:eastAsia="宋体"/>
      <w:b/>
      <w:bCs/>
      <w:kern w:val="2"/>
      <w:sz w:val="32"/>
      <w:szCs w:val="32"/>
      <w:lang w:val="en-US" w:eastAsia="zh-CN" w:bidi="ar-SA"/>
    </w:rPr>
  </w:style>
  <w:style w:type="character" w:customStyle="1" w:styleId="54">
    <w:name w:val="HTML 预设格式 Char"/>
    <w:link w:val="39"/>
    <w:autoRedefine/>
    <w:qFormat/>
    <w:uiPriority w:val="0"/>
    <w:rPr>
      <w:rFonts w:ascii="Courier New" w:hAnsi="Courier New" w:cs="Courier New"/>
      <w:kern w:val="2"/>
    </w:rPr>
  </w:style>
  <w:style w:type="character" w:customStyle="1" w:styleId="55">
    <w:name w:val="正文缩进 Char"/>
    <w:link w:val="8"/>
    <w:autoRedefine/>
    <w:qFormat/>
    <w:uiPriority w:val="0"/>
    <w:rPr>
      <w:rFonts w:ascii="宋体"/>
      <w:sz w:val="21"/>
    </w:rPr>
  </w:style>
  <w:style w:type="character" w:customStyle="1" w:styleId="56">
    <w:name w:val="标题 6 Char"/>
    <w:link w:val="7"/>
    <w:autoRedefine/>
    <w:qFormat/>
    <w:uiPriority w:val="0"/>
    <w:rPr>
      <w:rFonts w:ascii="黑体" w:hAnsi="黑体" w:eastAsia="楷体"/>
      <w:b/>
      <w:kern w:val="2"/>
      <w:sz w:val="24"/>
    </w:rPr>
  </w:style>
  <w:style w:type="character" w:customStyle="1" w:styleId="57">
    <w:name w:val="文档结构图 Char Char"/>
    <w:link w:val="58"/>
    <w:autoRedefine/>
    <w:qFormat/>
    <w:uiPriority w:val="0"/>
    <w:rPr>
      <w:rFonts w:ascii="Tahoma" w:hAnsi="Tahoma"/>
      <w:sz w:val="16"/>
      <w:szCs w:val="16"/>
    </w:rPr>
  </w:style>
  <w:style w:type="paragraph" w:customStyle="1" w:styleId="58">
    <w:name w:val="文档结构图1"/>
    <w:basedOn w:val="1"/>
    <w:link w:val="57"/>
    <w:autoRedefine/>
    <w:qFormat/>
    <w:uiPriority w:val="0"/>
    <w:rPr>
      <w:rFonts w:ascii="Tahoma" w:hAnsi="Tahoma"/>
      <w:kern w:val="0"/>
      <w:sz w:val="16"/>
      <w:szCs w:val="16"/>
    </w:rPr>
  </w:style>
  <w:style w:type="character" w:customStyle="1" w:styleId="59">
    <w:name w:val="标题 1 Char Char"/>
    <w:autoRedefine/>
    <w:qFormat/>
    <w:uiPriority w:val="0"/>
    <w:rPr>
      <w:rFonts w:eastAsia="宋体"/>
      <w:b/>
      <w:spacing w:val="-2"/>
      <w:sz w:val="24"/>
      <w:lang w:val="en-US" w:eastAsia="zh-CN" w:bidi="ar-SA"/>
    </w:rPr>
  </w:style>
  <w:style w:type="character" w:customStyle="1" w:styleId="60">
    <w:name w:val="段 Char Char"/>
    <w:link w:val="61"/>
    <w:autoRedefine/>
    <w:qFormat/>
    <w:uiPriority w:val="0"/>
    <w:rPr>
      <w:rFonts w:ascii="宋体"/>
      <w:sz w:val="21"/>
      <w:lang w:val="en-US" w:eastAsia="zh-CN" w:bidi="ar-SA"/>
    </w:rPr>
  </w:style>
  <w:style w:type="paragraph" w:customStyle="1" w:styleId="61">
    <w:name w:val="段"/>
    <w:link w:val="6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2">
    <w:name w:val="Char Char18"/>
    <w:autoRedefine/>
    <w:qFormat/>
    <w:uiPriority w:val="0"/>
    <w:rPr>
      <w:rFonts w:ascii="Arial" w:hAnsi="Arial" w:eastAsia="Century Gothic" w:cs="Times New Roman"/>
      <w:b/>
      <w:bCs/>
      <w:kern w:val="44"/>
      <w:sz w:val="44"/>
      <w:szCs w:val="44"/>
    </w:rPr>
  </w:style>
  <w:style w:type="character" w:customStyle="1" w:styleId="63">
    <w:name w:val="批注引用1"/>
    <w:autoRedefine/>
    <w:qFormat/>
    <w:uiPriority w:val="0"/>
    <w:rPr>
      <w:sz w:val="21"/>
      <w:szCs w:val="21"/>
    </w:rPr>
  </w:style>
  <w:style w:type="character" w:customStyle="1" w:styleId="64">
    <w:name w:val="已访问的超链接1"/>
    <w:autoRedefine/>
    <w:qFormat/>
    <w:uiPriority w:val="0"/>
    <w:rPr>
      <w:color w:val="800080"/>
      <w:u w:val="single"/>
    </w:rPr>
  </w:style>
  <w:style w:type="character" w:customStyle="1" w:styleId="65">
    <w:name w:val="Char Char12"/>
    <w:autoRedefine/>
    <w:qFormat/>
    <w:uiPriority w:val="0"/>
    <w:rPr>
      <w:rFonts w:ascii="Century Gothic" w:hAnsi="Century Gothic" w:eastAsia="Century Gothic" w:cs="Arial"/>
      <w:sz w:val="24"/>
    </w:rPr>
  </w:style>
  <w:style w:type="character" w:customStyle="1" w:styleId="66">
    <w:name w:val="纯文本 Char Char"/>
    <w:autoRedefine/>
    <w:qFormat/>
    <w:uiPriority w:val="0"/>
    <w:rPr>
      <w:rFonts w:ascii="宋体" w:hAnsi="Courier New" w:cs="Courier New"/>
      <w:kern w:val="2"/>
      <w:sz w:val="21"/>
      <w:szCs w:val="21"/>
    </w:rPr>
  </w:style>
  <w:style w:type="character" w:customStyle="1" w:styleId="67">
    <w:name w:val="文档结构图 Char"/>
    <w:link w:val="15"/>
    <w:autoRedefine/>
    <w:qFormat/>
    <w:uiPriority w:val="0"/>
    <w:rPr>
      <w:kern w:val="2"/>
      <w:sz w:val="21"/>
      <w:shd w:val="clear" w:color="auto" w:fill="000080"/>
    </w:rPr>
  </w:style>
  <w:style w:type="character" w:customStyle="1" w:styleId="68">
    <w:name w:val="H4 Char1"/>
    <w:autoRedefine/>
    <w:qFormat/>
    <w:uiPriority w:val="0"/>
    <w:rPr>
      <w:rFonts w:ascii="MS Sans Serif" w:hAnsi="仿宋_GB2312" w:eastAsia="MS Sans Serif" w:cs="Times New Roman"/>
      <w:snapToGrid w:val="0"/>
      <w:kern w:val="0"/>
      <w:sz w:val="24"/>
      <w:szCs w:val="20"/>
    </w:rPr>
  </w:style>
  <w:style w:type="character" w:customStyle="1" w:styleId="69">
    <w:name w:val="页眉 Char"/>
    <w:link w:val="29"/>
    <w:autoRedefine/>
    <w:qFormat/>
    <w:uiPriority w:val="99"/>
    <w:rPr>
      <w:rFonts w:eastAsia="宋体"/>
      <w:kern w:val="2"/>
      <w:sz w:val="18"/>
      <w:szCs w:val="18"/>
      <w:lang w:val="en-US" w:eastAsia="zh-CN" w:bidi="ar-SA"/>
    </w:rPr>
  </w:style>
  <w:style w:type="character" w:customStyle="1" w:styleId="70">
    <w:name w:val="正文文本缩进 3 Char"/>
    <w:link w:val="35"/>
    <w:autoRedefine/>
    <w:qFormat/>
    <w:uiPriority w:val="0"/>
    <w:rPr>
      <w:rFonts w:ascii="宋体" w:eastAsia="宋体"/>
      <w:kern w:val="2"/>
      <w:sz w:val="24"/>
      <w:lang w:val="en-US" w:eastAsia="zh-CN" w:bidi="ar-SA"/>
    </w:rPr>
  </w:style>
  <w:style w:type="character" w:customStyle="1" w:styleId="71">
    <w:name w:val="标题 Char"/>
    <w:link w:val="41"/>
    <w:autoRedefine/>
    <w:qFormat/>
    <w:uiPriority w:val="0"/>
    <w:rPr>
      <w:rFonts w:ascii="Cambria" w:hAnsi="Cambria" w:cs="Times New Roman"/>
      <w:b/>
      <w:bCs/>
      <w:kern w:val="2"/>
      <w:sz w:val="32"/>
      <w:szCs w:val="32"/>
    </w:rPr>
  </w:style>
  <w:style w:type="character" w:customStyle="1" w:styleId="72">
    <w:name w:val="zbggtop11 style5"/>
    <w:basedOn w:val="47"/>
    <w:autoRedefine/>
    <w:qFormat/>
    <w:uiPriority w:val="0"/>
  </w:style>
  <w:style w:type="character" w:customStyle="1" w:styleId="73">
    <w:name w:val="BOD 0 Char"/>
    <w:autoRedefine/>
    <w:qFormat/>
    <w:uiPriority w:val="0"/>
    <w:rPr>
      <w:rFonts w:ascii="Calibri" w:hAnsi="Calibri" w:eastAsia="宋体" w:cs="Times New Roman"/>
      <w:b/>
      <w:bCs/>
      <w:sz w:val="32"/>
      <w:szCs w:val="32"/>
    </w:rPr>
  </w:style>
  <w:style w:type="character" w:customStyle="1" w:styleId="74">
    <w:name w:val="正文首行缩进 2 Char"/>
    <w:link w:val="44"/>
    <w:autoRedefine/>
    <w:qFormat/>
    <w:uiPriority w:val="0"/>
    <w:rPr>
      <w:rFonts w:eastAsia="方正书宋简体"/>
      <w:kern w:val="2"/>
      <w:sz w:val="21"/>
      <w:lang w:val="en-US" w:eastAsia="zh-CN" w:bidi="ar-SA"/>
    </w:rPr>
  </w:style>
  <w:style w:type="character" w:customStyle="1" w:styleId="75">
    <w:name w:val="标题 8 Char"/>
    <w:link w:val="10"/>
    <w:autoRedefine/>
    <w:qFormat/>
    <w:uiPriority w:val="0"/>
    <w:rPr>
      <w:rFonts w:ascii="黑体" w:hAnsi="黑体" w:eastAsia="楷体"/>
      <w:kern w:val="2"/>
      <w:sz w:val="24"/>
    </w:rPr>
  </w:style>
  <w:style w:type="character" w:customStyle="1" w:styleId="76">
    <w:name w:val="批注框文本 Char"/>
    <w:link w:val="27"/>
    <w:autoRedefine/>
    <w:qFormat/>
    <w:uiPriority w:val="99"/>
    <w:rPr>
      <w:rFonts w:eastAsia="宋体"/>
      <w:kern w:val="2"/>
      <w:sz w:val="18"/>
      <w:szCs w:val="18"/>
      <w:lang w:val="en-US" w:eastAsia="zh-CN" w:bidi="ar-SA"/>
    </w:rPr>
  </w:style>
  <w:style w:type="character" w:customStyle="1" w:styleId="77">
    <w:name w:val="表格抬头 Char Char"/>
    <w:link w:val="78"/>
    <w:autoRedefine/>
    <w:qFormat/>
    <w:uiPriority w:val="0"/>
    <w:rPr>
      <w:rFonts w:ascii="黑体" w:eastAsia="黑体"/>
      <w:b/>
    </w:rPr>
  </w:style>
  <w:style w:type="paragraph" w:customStyle="1" w:styleId="78">
    <w:name w:val="表格抬头"/>
    <w:basedOn w:val="1"/>
    <w:link w:val="77"/>
    <w:autoRedefine/>
    <w:qFormat/>
    <w:uiPriority w:val="0"/>
    <w:pPr>
      <w:jc w:val="center"/>
    </w:pPr>
    <w:rPr>
      <w:rFonts w:ascii="黑体" w:eastAsia="黑体"/>
      <w:b/>
      <w:kern w:val="0"/>
      <w:sz w:val="20"/>
    </w:rPr>
  </w:style>
  <w:style w:type="character" w:customStyle="1" w:styleId="79">
    <w:name w:val="Char Char Char"/>
    <w:autoRedefine/>
    <w:qFormat/>
    <w:uiPriority w:val="0"/>
    <w:rPr>
      <w:rFonts w:ascii="Courier New" w:eastAsia="Courier New"/>
      <w:color w:val="FF0000"/>
      <w:kern w:val="2"/>
      <w:sz w:val="24"/>
      <w:szCs w:val="24"/>
      <w:u w:val="single"/>
      <w:lang w:val="en-US" w:eastAsia="zh-CN" w:bidi="ar-SA"/>
    </w:rPr>
  </w:style>
  <w:style w:type="character" w:customStyle="1" w:styleId="80">
    <w:name w:val="font11"/>
    <w:autoRedefine/>
    <w:qFormat/>
    <w:uiPriority w:val="0"/>
    <w:rPr>
      <w:rFonts w:hint="default" w:ascii="Arial" w:hAnsi="Arial" w:cs="Arial"/>
      <w:color w:val="000000"/>
      <w:sz w:val="20"/>
      <w:szCs w:val="20"/>
      <w:u w:val="none"/>
    </w:rPr>
  </w:style>
  <w:style w:type="character" w:customStyle="1" w:styleId="81">
    <w:name w:val="标题 3 Char Char"/>
    <w:autoRedefine/>
    <w:qFormat/>
    <w:uiPriority w:val="0"/>
    <w:rPr>
      <w:rFonts w:ascii="Times New Roman" w:hAnsi="Times New Roman" w:eastAsia="宋体" w:cs="Times New Roman"/>
      <w:kern w:val="0"/>
      <w:sz w:val="24"/>
      <w:szCs w:val="20"/>
    </w:rPr>
  </w:style>
  <w:style w:type="character" w:customStyle="1" w:styleId="82">
    <w:name w:val="正文文本缩进 Char"/>
    <w:link w:val="18"/>
    <w:autoRedefine/>
    <w:qFormat/>
    <w:uiPriority w:val="0"/>
    <w:rPr>
      <w:rFonts w:eastAsia="方正书宋简体"/>
      <w:kern w:val="2"/>
      <w:sz w:val="24"/>
      <w:lang w:val="en-US" w:eastAsia="zh-CN" w:bidi="ar-SA"/>
    </w:rPr>
  </w:style>
  <w:style w:type="character" w:customStyle="1" w:styleId="83">
    <w:name w:val="标题 2 Char"/>
    <w:link w:val="3"/>
    <w:autoRedefine/>
    <w:qFormat/>
    <w:uiPriority w:val="9"/>
    <w:rPr>
      <w:rFonts w:ascii="Arial" w:hAnsi="Arial" w:eastAsia="黑体"/>
      <w:b/>
      <w:bCs/>
      <w:kern w:val="2"/>
      <w:sz w:val="32"/>
      <w:szCs w:val="32"/>
      <w:lang w:val="en-US" w:eastAsia="zh-CN" w:bidi="ar-SA"/>
    </w:rPr>
  </w:style>
  <w:style w:type="character" w:customStyle="1" w:styleId="84">
    <w:name w:val="font01"/>
    <w:autoRedefine/>
    <w:qFormat/>
    <w:uiPriority w:val="0"/>
    <w:rPr>
      <w:rFonts w:hint="eastAsia" w:ascii="宋体" w:hAnsi="宋体" w:eastAsia="宋体" w:cs="宋体"/>
      <w:color w:val="000000"/>
      <w:sz w:val="24"/>
      <w:szCs w:val="24"/>
      <w:u w:val="none"/>
    </w:rPr>
  </w:style>
  <w:style w:type="character" w:customStyle="1" w:styleId="85">
    <w:name w:val="批注框文本 Char Char"/>
    <w:autoRedefine/>
    <w:qFormat/>
    <w:uiPriority w:val="0"/>
    <w:rPr>
      <w:rFonts w:ascii="Calibri" w:hAnsi="Calibri" w:eastAsia="宋体" w:cs="Times New Roman"/>
      <w:sz w:val="16"/>
      <w:szCs w:val="16"/>
    </w:rPr>
  </w:style>
  <w:style w:type="character" w:customStyle="1" w:styleId="86">
    <w:name w:val="正文文本缩进 2 Char Char"/>
    <w:autoRedefine/>
    <w:qFormat/>
    <w:uiPriority w:val="0"/>
    <w:rPr>
      <w:rFonts w:ascii="宋体" w:eastAsia="宋体"/>
      <w:kern w:val="2"/>
      <w:sz w:val="24"/>
      <w:lang w:val="en-US" w:eastAsia="zh-CN" w:bidi="ar-SA"/>
    </w:rPr>
  </w:style>
  <w:style w:type="character" w:customStyle="1" w:styleId="87">
    <w:name w:val="正文文本 Char Char"/>
    <w:autoRedefine/>
    <w:qFormat/>
    <w:uiPriority w:val="0"/>
    <w:rPr>
      <w:rFonts w:ascii="Calibri" w:hAnsi="Calibri" w:eastAsia="宋体" w:cs="Times New Roman"/>
    </w:rPr>
  </w:style>
  <w:style w:type="character" w:customStyle="1" w:styleId="88">
    <w:name w:val="标题 7 Char"/>
    <w:link w:val="9"/>
    <w:autoRedefine/>
    <w:qFormat/>
    <w:uiPriority w:val="0"/>
    <w:rPr>
      <w:rFonts w:ascii="Arial" w:hAnsi="Arial"/>
      <w:b/>
      <w:kern w:val="2"/>
      <w:sz w:val="24"/>
    </w:rPr>
  </w:style>
  <w:style w:type="character" w:customStyle="1" w:styleId="89">
    <w:name w:val="H4 Char"/>
    <w:autoRedefine/>
    <w:qFormat/>
    <w:uiPriority w:val="0"/>
    <w:rPr>
      <w:rFonts w:ascii="Arial" w:hAnsi="Arial" w:eastAsia="黑体" w:cs="Times New Roman"/>
      <w:b/>
      <w:bCs/>
      <w:sz w:val="28"/>
      <w:szCs w:val="28"/>
    </w:rPr>
  </w:style>
  <w:style w:type="character" w:customStyle="1" w:styleId="90">
    <w:name w:val="Char Char10"/>
    <w:autoRedefine/>
    <w:qFormat/>
    <w:uiPriority w:val="0"/>
    <w:rPr>
      <w:rFonts w:ascii="宋体" w:eastAsia="宋体"/>
      <w:kern w:val="2"/>
      <w:sz w:val="24"/>
      <w:lang w:val="en-US" w:eastAsia="zh-CN" w:bidi="ar-SA"/>
    </w:rPr>
  </w:style>
  <w:style w:type="character" w:customStyle="1" w:styleId="91">
    <w:name w:val="标题 1 Char"/>
    <w:link w:val="2"/>
    <w:autoRedefine/>
    <w:qFormat/>
    <w:uiPriority w:val="0"/>
    <w:rPr>
      <w:rFonts w:ascii="宋体" w:eastAsia="宋体"/>
      <w:b/>
      <w:bCs/>
      <w:kern w:val="2"/>
      <w:sz w:val="28"/>
      <w:lang w:val="en-US" w:eastAsia="zh-CN" w:bidi="ar-SA"/>
    </w:rPr>
  </w:style>
  <w:style w:type="character" w:customStyle="1" w:styleId="92">
    <w:name w:val="tpc_content1"/>
    <w:autoRedefine/>
    <w:qFormat/>
    <w:uiPriority w:val="0"/>
    <w:rPr>
      <w:sz w:val="20"/>
      <w:szCs w:val="20"/>
    </w:rPr>
  </w:style>
  <w:style w:type="character" w:customStyle="1" w:styleId="93">
    <w:name w:val="标题 4 Char Char"/>
    <w:autoRedefine/>
    <w:qFormat/>
    <w:uiPriority w:val="0"/>
    <w:rPr>
      <w:rFonts w:ascii="Times New Roman" w:hAnsi="Times New Roman" w:eastAsia="宋体" w:cs="Times New Roman"/>
      <w:sz w:val="24"/>
      <w:szCs w:val="20"/>
    </w:rPr>
  </w:style>
  <w:style w:type="character" w:customStyle="1" w:styleId="94">
    <w:name w:val="标题 5 Char"/>
    <w:link w:val="6"/>
    <w:autoRedefine/>
    <w:qFormat/>
    <w:uiPriority w:val="0"/>
    <w:rPr>
      <w:rFonts w:ascii="MS Sans Serif" w:hAnsi="Arial" w:eastAsia="MS Sans Serif"/>
      <w:sz w:val="24"/>
    </w:rPr>
  </w:style>
  <w:style w:type="character" w:customStyle="1" w:styleId="95">
    <w:name w:val="标题 Char Char"/>
    <w:autoRedefine/>
    <w:qFormat/>
    <w:uiPriority w:val="0"/>
    <w:rPr>
      <w:rFonts w:ascii="Cambria" w:hAnsi="Cambria" w:eastAsia="宋体" w:cs="Times New Roman"/>
      <w:b/>
      <w:bCs/>
      <w:sz w:val="32"/>
      <w:szCs w:val="32"/>
    </w:rPr>
  </w:style>
  <w:style w:type="character" w:customStyle="1" w:styleId="96">
    <w:name w:val="Char Char13"/>
    <w:autoRedefine/>
    <w:qFormat/>
    <w:uiPriority w:val="0"/>
    <w:rPr>
      <w:rFonts w:eastAsia="方正书宋简体"/>
      <w:kern w:val="2"/>
      <w:sz w:val="24"/>
      <w:lang w:val="en-US" w:eastAsia="zh-CN" w:bidi="ar-SA"/>
    </w:rPr>
  </w:style>
  <w:style w:type="character" w:customStyle="1" w:styleId="97">
    <w:name w:val="Char Char Char Char Char Char"/>
    <w:autoRedefine/>
    <w:qFormat/>
    <w:uiPriority w:val="0"/>
    <w:rPr>
      <w:rFonts w:ascii="宋体" w:hAnsi="Courier New"/>
      <w:kern w:val="2"/>
      <w:sz w:val="24"/>
      <w:szCs w:val="24"/>
    </w:rPr>
  </w:style>
  <w:style w:type="character" w:customStyle="1" w:styleId="98">
    <w:name w:val="页脚 Char"/>
    <w:link w:val="28"/>
    <w:autoRedefine/>
    <w:qFormat/>
    <w:uiPriority w:val="99"/>
    <w:rPr>
      <w:rFonts w:eastAsia="宋体"/>
      <w:kern w:val="2"/>
      <w:sz w:val="18"/>
      <w:szCs w:val="18"/>
      <w:lang w:val="en-US" w:eastAsia="zh-CN" w:bidi="ar-SA"/>
    </w:rPr>
  </w:style>
  <w:style w:type="character" w:customStyle="1" w:styleId="99">
    <w:name w:val="正文文本 2 Char"/>
    <w:link w:val="38"/>
    <w:autoRedefine/>
    <w:qFormat/>
    <w:uiPriority w:val="0"/>
    <w:rPr>
      <w:rFonts w:ascii="Arial" w:hAnsi="Arial"/>
      <w:sz w:val="24"/>
      <w:szCs w:val="24"/>
    </w:rPr>
  </w:style>
  <w:style w:type="character" w:customStyle="1" w:styleId="100">
    <w:name w:val="页眉 Char Char"/>
    <w:autoRedefine/>
    <w:qFormat/>
    <w:uiPriority w:val="0"/>
    <w:rPr>
      <w:rFonts w:ascii="Calibri" w:hAnsi="Calibri" w:eastAsia="宋体" w:cs="Times New Roman"/>
      <w:sz w:val="18"/>
      <w:szCs w:val="18"/>
    </w:rPr>
  </w:style>
  <w:style w:type="character" w:customStyle="1" w:styleId="101">
    <w:name w:val="正文文本 Char"/>
    <w:link w:val="17"/>
    <w:autoRedefine/>
    <w:qFormat/>
    <w:uiPriority w:val="0"/>
    <w:rPr>
      <w:kern w:val="2"/>
      <w:sz w:val="21"/>
    </w:rPr>
  </w:style>
  <w:style w:type="character" w:customStyle="1" w:styleId="102">
    <w:name w:val="pagename"/>
    <w:basedOn w:val="47"/>
    <w:autoRedefine/>
    <w:qFormat/>
    <w:uiPriority w:val="0"/>
  </w:style>
  <w:style w:type="character" w:customStyle="1" w:styleId="103">
    <w:name w:val="正文文本缩进 Char Char"/>
    <w:autoRedefine/>
    <w:qFormat/>
    <w:uiPriority w:val="0"/>
    <w:rPr>
      <w:kern w:val="2"/>
      <w:sz w:val="21"/>
      <w:szCs w:val="24"/>
    </w:rPr>
  </w:style>
  <w:style w:type="character" w:customStyle="1" w:styleId="104">
    <w:name w:val="Char Char21"/>
    <w:autoRedefine/>
    <w:qFormat/>
    <w:uiPriority w:val="0"/>
    <w:rPr>
      <w:rFonts w:eastAsia="Century Gothic"/>
      <w:b/>
      <w:bCs/>
      <w:kern w:val="44"/>
      <w:sz w:val="32"/>
      <w:szCs w:val="44"/>
      <w:lang w:val="en-US" w:eastAsia="zh-CN" w:bidi="ar-SA"/>
    </w:rPr>
  </w:style>
  <w:style w:type="character" w:customStyle="1" w:styleId="105">
    <w:name w:val="日期 Char"/>
    <w:link w:val="25"/>
    <w:autoRedefine/>
    <w:qFormat/>
    <w:uiPriority w:val="0"/>
    <w:rPr>
      <w:rFonts w:ascii="宋体" w:eastAsia="宋体"/>
      <w:sz w:val="24"/>
      <w:lang w:val="en-US" w:eastAsia="zh-CN" w:bidi="ar-SA"/>
    </w:rPr>
  </w:style>
  <w:style w:type="character" w:customStyle="1" w:styleId="106">
    <w:name w:val="批注主题 Char"/>
    <w:link w:val="42"/>
    <w:autoRedefine/>
    <w:qFormat/>
    <w:uiPriority w:val="99"/>
    <w:rPr>
      <w:rFonts w:eastAsia="宋体"/>
      <w:b/>
      <w:bCs/>
      <w:kern w:val="2"/>
      <w:sz w:val="21"/>
      <w:lang w:val="en-US" w:eastAsia="zh-CN" w:bidi="ar-SA"/>
    </w:rPr>
  </w:style>
  <w:style w:type="character" w:customStyle="1" w:styleId="107">
    <w:name w:val="普通文字 Char Char1"/>
    <w:autoRedefine/>
    <w:qFormat/>
    <w:uiPriority w:val="0"/>
    <w:rPr>
      <w:rFonts w:ascii="Century Gothic" w:hAnsi="楷体_GB2312" w:eastAsia="Century Gothic" w:cs="楷体_GB2312"/>
      <w:kern w:val="2"/>
      <w:sz w:val="21"/>
      <w:szCs w:val="21"/>
      <w:lang w:val="en-US" w:eastAsia="zh-CN" w:bidi="ar-SA"/>
    </w:rPr>
  </w:style>
  <w:style w:type="character" w:customStyle="1" w:styleId="108">
    <w:name w:val="页脚 Char Char"/>
    <w:autoRedefine/>
    <w:qFormat/>
    <w:uiPriority w:val="0"/>
    <w:rPr>
      <w:rFonts w:ascii="Calibri" w:hAnsi="Calibri" w:eastAsia="宋体" w:cs="Times New Roman"/>
      <w:sz w:val="18"/>
      <w:szCs w:val="18"/>
    </w:rPr>
  </w:style>
  <w:style w:type="character" w:customStyle="1" w:styleId="109">
    <w:name w:val="标准文本 Char Char"/>
    <w:link w:val="110"/>
    <w:autoRedefine/>
    <w:qFormat/>
    <w:uiPriority w:val="0"/>
    <w:rPr>
      <w:rFonts w:ascii="Arial" w:hAnsi="Arial"/>
      <w:sz w:val="24"/>
    </w:rPr>
  </w:style>
  <w:style w:type="paragraph" w:customStyle="1" w:styleId="110">
    <w:name w:val="标准文本"/>
    <w:basedOn w:val="1"/>
    <w:link w:val="109"/>
    <w:autoRedefine/>
    <w:qFormat/>
    <w:uiPriority w:val="0"/>
    <w:pPr>
      <w:spacing w:line="360" w:lineRule="auto"/>
      <w:ind w:firstLine="480" w:firstLineChars="200"/>
    </w:pPr>
    <w:rPr>
      <w:rFonts w:ascii="Arial" w:hAnsi="Arial"/>
      <w:kern w:val="0"/>
      <w:sz w:val="24"/>
    </w:rPr>
  </w:style>
  <w:style w:type="character" w:customStyle="1" w:styleId="111">
    <w:name w:val="正文标准 Char Char"/>
    <w:link w:val="112"/>
    <w:autoRedefine/>
    <w:qFormat/>
    <w:uiPriority w:val="0"/>
    <w:rPr>
      <w:rFonts w:ascii="Arial" w:hAnsi="Arial"/>
      <w:sz w:val="24"/>
      <w:szCs w:val="21"/>
    </w:rPr>
  </w:style>
  <w:style w:type="paragraph" w:customStyle="1" w:styleId="112">
    <w:name w:val="正文标准"/>
    <w:basedOn w:val="1"/>
    <w:link w:val="111"/>
    <w:autoRedefine/>
    <w:qFormat/>
    <w:uiPriority w:val="0"/>
    <w:pPr>
      <w:spacing w:beforeLines="50"/>
      <w:ind w:firstLine="200" w:firstLineChars="200"/>
    </w:pPr>
    <w:rPr>
      <w:rFonts w:ascii="Arial" w:hAnsi="Arial"/>
      <w:kern w:val="0"/>
      <w:sz w:val="24"/>
      <w:szCs w:val="21"/>
    </w:rPr>
  </w:style>
  <w:style w:type="character" w:customStyle="1" w:styleId="113">
    <w:name w:val="标题 9 Char"/>
    <w:link w:val="11"/>
    <w:autoRedefine/>
    <w:qFormat/>
    <w:uiPriority w:val="0"/>
    <w:rPr>
      <w:rFonts w:ascii="黑体" w:hAnsi="黑体" w:eastAsia="楷体"/>
      <w:kern w:val="2"/>
      <w:sz w:val="21"/>
    </w:rPr>
  </w:style>
  <w:style w:type="character" w:customStyle="1" w:styleId="114">
    <w:name w:val="bulletintext1"/>
    <w:autoRedefine/>
    <w:qFormat/>
    <w:uiPriority w:val="0"/>
    <w:rPr>
      <w:color w:val="000000"/>
      <w:sz w:val="18"/>
    </w:rPr>
  </w:style>
  <w:style w:type="character" w:customStyle="1" w:styleId="115">
    <w:name w:val="无间隔 Char"/>
    <w:link w:val="116"/>
    <w:autoRedefine/>
    <w:qFormat/>
    <w:uiPriority w:val="1"/>
    <w:rPr>
      <w:rFonts w:ascii="Calibri" w:hAnsi="Calibri"/>
      <w:sz w:val="22"/>
      <w:szCs w:val="22"/>
      <w:lang w:val="en-US" w:eastAsia="zh-CN" w:bidi="ar-SA"/>
    </w:rPr>
  </w:style>
  <w:style w:type="paragraph" w:styleId="116">
    <w:name w:val="No Spacing"/>
    <w:link w:val="115"/>
    <w:autoRedefine/>
    <w:qFormat/>
    <w:uiPriority w:val="1"/>
    <w:rPr>
      <w:rFonts w:ascii="Calibri" w:hAnsi="Calibri" w:eastAsia="宋体" w:cs="Times New Roman"/>
      <w:sz w:val="22"/>
      <w:szCs w:val="22"/>
      <w:lang w:val="en-US" w:eastAsia="zh-CN" w:bidi="ar-SA"/>
    </w:rPr>
  </w:style>
  <w:style w:type="character" w:customStyle="1" w:styleId="117">
    <w:name w:val="正文首行缩进 Char"/>
    <w:link w:val="43"/>
    <w:autoRedefine/>
    <w:qFormat/>
    <w:uiPriority w:val="0"/>
    <w:rPr>
      <w:kern w:val="2"/>
      <w:sz w:val="21"/>
      <w:szCs w:val="24"/>
    </w:rPr>
  </w:style>
  <w:style w:type="character" w:customStyle="1" w:styleId="118">
    <w:name w:val="段 Char"/>
    <w:autoRedefine/>
    <w:qFormat/>
    <w:uiPriority w:val="0"/>
    <w:rPr>
      <w:rFonts w:ascii="宋体" w:eastAsia="宋体"/>
      <w:sz w:val="21"/>
      <w:lang w:val="en-US" w:eastAsia="zh-CN" w:bidi="ar-SA"/>
    </w:rPr>
  </w:style>
  <w:style w:type="character" w:customStyle="1" w:styleId="119">
    <w:name w:val="纯文本 Char"/>
    <w:link w:val="23"/>
    <w:autoRedefine/>
    <w:qFormat/>
    <w:uiPriority w:val="0"/>
    <w:rPr>
      <w:rFonts w:ascii="宋体" w:hAnsi="Courier New"/>
    </w:rPr>
  </w:style>
  <w:style w:type="character" w:customStyle="1" w:styleId="120">
    <w:name w:val="批注主题 Char Char"/>
    <w:link w:val="121"/>
    <w:autoRedefine/>
    <w:qFormat/>
    <w:uiPriority w:val="0"/>
    <w:rPr>
      <w:rFonts w:ascii="Calibri" w:hAnsi="Calibri"/>
      <w:b/>
      <w:bCs/>
    </w:rPr>
  </w:style>
  <w:style w:type="paragraph" w:customStyle="1" w:styleId="121">
    <w:name w:val="批注主题1"/>
    <w:basedOn w:val="16"/>
    <w:next w:val="16"/>
    <w:link w:val="120"/>
    <w:autoRedefine/>
    <w:qFormat/>
    <w:uiPriority w:val="0"/>
    <w:rPr>
      <w:rFonts w:ascii="Calibri" w:hAnsi="Calibri"/>
      <w:b/>
      <w:bCs/>
      <w:kern w:val="0"/>
      <w:sz w:val="20"/>
    </w:rPr>
  </w:style>
  <w:style w:type="character" w:customStyle="1" w:styleId="122">
    <w:name w:val="批注文字 Char"/>
    <w:link w:val="16"/>
    <w:autoRedefine/>
    <w:qFormat/>
    <w:uiPriority w:val="0"/>
    <w:rPr>
      <w:rFonts w:eastAsia="宋体"/>
      <w:kern w:val="2"/>
      <w:sz w:val="21"/>
      <w:lang w:val="en-US" w:eastAsia="zh-CN" w:bidi="ar-SA"/>
    </w:rPr>
  </w:style>
  <w:style w:type="character" w:customStyle="1" w:styleId="123">
    <w:name w:val="Char Char121"/>
    <w:autoRedefine/>
    <w:qFormat/>
    <w:uiPriority w:val="0"/>
    <w:rPr>
      <w:rFonts w:ascii="Century Gothic" w:hAnsi="楷体_GB2312" w:eastAsia="Century Gothic" w:cs="楷体_GB2312"/>
      <w:kern w:val="2"/>
      <w:sz w:val="21"/>
      <w:szCs w:val="21"/>
      <w:lang w:val="en-US" w:eastAsia="zh-CN" w:bidi="ar-SA"/>
    </w:rPr>
  </w:style>
  <w:style w:type="character" w:customStyle="1" w:styleId="124">
    <w:name w:val="批注文字 Char Char"/>
    <w:autoRedefine/>
    <w:qFormat/>
    <w:uiPriority w:val="0"/>
    <w:rPr>
      <w:rFonts w:ascii="Calibri" w:hAnsi="Calibri" w:eastAsia="宋体" w:cs="Times New Roman"/>
    </w:rPr>
  </w:style>
  <w:style w:type="character" w:customStyle="1" w:styleId="125">
    <w:name w:val="style1"/>
    <w:basedOn w:val="47"/>
    <w:autoRedefine/>
    <w:qFormat/>
    <w:uiPriority w:val="0"/>
  </w:style>
  <w:style w:type="character" w:customStyle="1" w:styleId="126">
    <w:name w:val="正文文本缩进 2 Char"/>
    <w:link w:val="26"/>
    <w:autoRedefine/>
    <w:qFormat/>
    <w:uiPriority w:val="0"/>
    <w:rPr>
      <w:rFonts w:ascii="宋体" w:eastAsia="宋体"/>
      <w:kern w:val="2"/>
      <w:sz w:val="24"/>
      <w:lang w:val="en-US" w:eastAsia="zh-CN" w:bidi="ar-SA"/>
    </w:rPr>
  </w:style>
  <w:style w:type="character" w:customStyle="1" w:styleId="127">
    <w:name w:val="BOD 0 Char1"/>
    <w:autoRedefine/>
    <w:qFormat/>
    <w:uiPriority w:val="0"/>
    <w:rPr>
      <w:rFonts w:ascii="Arial" w:hAnsi="Arial" w:eastAsia="宋体" w:cs="Times New Roman"/>
      <w:b/>
      <w:bCs/>
      <w:sz w:val="32"/>
      <w:szCs w:val="32"/>
    </w:rPr>
  </w:style>
  <w:style w:type="character" w:customStyle="1" w:styleId="128">
    <w:name w:val="zbggmain style9"/>
    <w:autoRedefine/>
    <w:qFormat/>
    <w:uiPriority w:val="0"/>
    <w:rPr>
      <w:rFonts w:ascii="Courier New" w:eastAsia="Courier New"/>
      <w:b/>
      <w:kern w:val="2"/>
      <w:sz w:val="32"/>
      <w:szCs w:val="32"/>
      <w:lang w:val="en-US" w:eastAsia="zh-CN" w:bidi="ar-SA"/>
    </w:rPr>
  </w:style>
  <w:style w:type="paragraph" w:customStyle="1" w:styleId="12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30">
    <w:name w:val="Char Char9 Char Char"/>
    <w:basedOn w:val="1"/>
    <w:autoRedefine/>
    <w:qFormat/>
    <w:uiPriority w:val="0"/>
    <w:pPr>
      <w:ind w:firstLine="200" w:firstLineChars="200"/>
    </w:pPr>
  </w:style>
  <w:style w:type="paragraph" w:customStyle="1" w:styleId="131">
    <w:name w:val="正文图标题"/>
    <w:next w:val="61"/>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二级无"/>
    <w:basedOn w:val="133"/>
    <w:autoRedefine/>
    <w:qFormat/>
    <w:uiPriority w:val="0"/>
    <w:rPr>
      <w:rFonts w:ascii="宋体" w:eastAsia="宋体"/>
    </w:rPr>
  </w:style>
  <w:style w:type="paragraph" w:customStyle="1" w:styleId="133">
    <w:name w:val="二级条标题"/>
    <w:basedOn w:val="134"/>
    <w:next w:val="61"/>
    <w:autoRedefine/>
    <w:qFormat/>
    <w:uiPriority w:val="0"/>
    <w:pPr>
      <w:spacing w:beforeLines="0" w:afterLines="0"/>
      <w:ind w:left="1236"/>
      <w:outlineLvl w:val="3"/>
    </w:pPr>
  </w:style>
  <w:style w:type="paragraph" w:customStyle="1" w:styleId="134">
    <w:name w:val="一级条标题"/>
    <w:next w:val="61"/>
    <w:autoRedefine/>
    <w:qFormat/>
    <w:uiPriority w:val="0"/>
    <w:pPr>
      <w:spacing w:beforeLines="50" w:afterLines="50"/>
      <w:ind w:left="824"/>
      <w:outlineLvl w:val="2"/>
    </w:pPr>
    <w:rPr>
      <w:rFonts w:ascii="黑体" w:hAnsi="Times New Roman" w:eastAsia="黑体" w:cs="Times New Roman"/>
      <w:sz w:val="21"/>
      <w:szCs w:val="21"/>
      <w:lang w:val="en-US" w:eastAsia="zh-CN" w:bidi="ar-SA"/>
    </w:rPr>
  </w:style>
  <w:style w:type="paragraph" w:customStyle="1" w:styleId="135">
    <w:name w:val="p21"/>
    <w:basedOn w:val="1"/>
    <w:autoRedefine/>
    <w:qFormat/>
    <w:uiPriority w:val="0"/>
    <w:pPr>
      <w:widowControl/>
      <w:jc w:val="left"/>
    </w:pPr>
    <w:rPr>
      <w:rFonts w:ascii="Calibri" w:hAnsi="Calibri" w:cs="宋体"/>
      <w:kern w:val="0"/>
      <w:sz w:val="18"/>
      <w:szCs w:val="18"/>
    </w:rPr>
  </w:style>
  <w:style w:type="paragraph" w:customStyle="1" w:styleId="136">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styleId="137">
    <w:name w:val="List Paragraph"/>
    <w:basedOn w:val="1"/>
    <w:autoRedefine/>
    <w:qFormat/>
    <w:uiPriority w:val="34"/>
    <w:pPr>
      <w:ind w:firstLine="420" w:firstLineChars="200"/>
    </w:pPr>
    <w:rPr>
      <w:rFonts w:ascii="Calibri" w:hAnsi="Calibri"/>
      <w:szCs w:val="22"/>
    </w:rPr>
  </w:style>
  <w:style w:type="paragraph" w:customStyle="1" w:styleId="138">
    <w:name w:val="样式 表格正文 + 两端对齐"/>
    <w:basedOn w:val="1"/>
    <w:autoRedefine/>
    <w:qFormat/>
    <w:uiPriority w:val="0"/>
    <w:pPr>
      <w:spacing w:line="300" w:lineRule="auto"/>
    </w:pPr>
    <w:rPr>
      <w:sz w:val="24"/>
    </w:rPr>
  </w:style>
  <w:style w:type="paragraph" w:customStyle="1" w:styleId="139">
    <w:name w:val="一级无"/>
    <w:basedOn w:val="134"/>
    <w:autoRedefine/>
    <w:qFormat/>
    <w:uiPriority w:val="0"/>
    <w:pPr>
      <w:spacing w:beforeLines="0" w:afterLines="0"/>
    </w:pPr>
    <w:rPr>
      <w:rFonts w:ascii="宋体" w:eastAsia="宋体"/>
    </w:rPr>
  </w:style>
  <w:style w:type="paragraph" w:customStyle="1" w:styleId="140">
    <w:name w:val="p18"/>
    <w:basedOn w:val="1"/>
    <w:autoRedefine/>
    <w:qFormat/>
    <w:uiPriority w:val="0"/>
    <w:pPr>
      <w:widowControl/>
      <w:ind w:firstLine="420"/>
    </w:pPr>
    <w:rPr>
      <w:rFonts w:ascii="Calibri" w:hAnsi="Calibri" w:cs="宋体"/>
      <w:kern w:val="0"/>
      <w:szCs w:val="21"/>
    </w:rPr>
  </w:style>
  <w:style w:type="paragraph" w:customStyle="1" w:styleId="141">
    <w:name w:val="标书标题2"/>
    <w:basedOn w:val="3"/>
    <w:autoRedefine/>
    <w:qFormat/>
    <w:uiPriority w:val="0"/>
    <w:pPr>
      <w:keepLines w:val="0"/>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142">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43">
    <w:name w:val="章标题"/>
    <w:next w:val="6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4">
    <w:name w:val="五级条标题"/>
    <w:basedOn w:val="145"/>
    <w:next w:val="61"/>
    <w:autoRedefine/>
    <w:qFormat/>
    <w:uiPriority w:val="0"/>
    <w:pPr>
      <w:outlineLvl w:val="6"/>
    </w:pPr>
  </w:style>
  <w:style w:type="paragraph" w:customStyle="1" w:styleId="145">
    <w:name w:val="四级条标题"/>
    <w:basedOn w:val="146"/>
    <w:next w:val="61"/>
    <w:autoRedefine/>
    <w:qFormat/>
    <w:uiPriority w:val="0"/>
    <w:pPr>
      <w:outlineLvl w:val="5"/>
    </w:pPr>
  </w:style>
  <w:style w:type="paragraph" w:customStyle="1" w:styleId="146">
    <w:name w:val="三级条标题"/>
    <w:basedOn w:val="133"/>
    <w:next w:val="61"/>
    <w:autoRedefine/>
    <w:qFormat/>
    <w:uiPriority w:val="0"/>
    <w:pPr>
      <w:ind w:left="0"/>
      <w:outlineLvl w:val="4"/>
    </w:pPr>
  </w:style>
  <w:style w:type="paragraph" w:customStyle="1" w:styleId="147">
    <w:name w:val="p0"/>
    <w:basedOn w:val="1"/>
    <w:autoRedefine/>
    <w:qFormat/>
    <w:uiPriority w:val="0"/>
    <w:pPr>
      <w:widowControl/>
    </w:pPr>
    <w:rPr>
      <w:rFonts w:ascii="Calibri" w:hAnsi="Calibri" w:cs="宋体"/>
      <w:kern w:val="0"/>
      <w:szCs w:val="21"/>
    </w:rPr>
  </w:style>
  <w:style w:type="paragraph" w:customStyle="1" w:styleId="148">
    <w:name w:val="正文首行缩进1"/>
    <w:basedOn w:val="1"/>
    <w:autoRedefine/>
    <w:qFormat/>
    <w:uiPriority w:val="0"/>
    <w:pPr>
      <w:autoSpaceDE w:val="0"/>
      <w:autoSpaceDN w:val="0"/>
      <w:adjustRightInd w:val="0"/>
      <w:snapToGrid w:val="0"/>
      <w:spacing w:line="360" w:lineRule="auto"/>
      <w:ind w:firstLine="425"/>
    </w:pPr>
    <w:rPr>
      <w:rFonts w:ascii="Calibri" w:hAnsi="Calibri"/>
      <w:kern w:val="0"/>
      <w:sz w:val="20"/>
    </w:rPr>
  </w:style>
  <w:style w:type="paragraph" w:customStyle="1" w:styleId="149">
    <w:name w:val="正文文字格式"/>
    <w:basedOn w:val="1"/>
    <w:autoRedefine/>
    <w:qFormat/>
    <w:uiPriority w:val="0"/>
    <w:pPr>
      <w:spacing w:line="460" w:lineRule="exact"/>
      <w:ind w:firstLine="505"/>
      <w:jc w:val="left"/>
    </w:pPr>
    <w:rPr>
      <w:rFonts w:ascii="Century Gothic" w:hAnsi="Arial" w:cs="Arial"/>
      <w:kern w:val="24"/>
      <w:sz w:val="24"/>
    </w:rPr>
  </w:style>
  <w:style w:type="paragraph" w:customStyle="1" w:styleId="150">
    <w:name w:val="其他发布日期"/>
    <w:basedOn w:val="1"/>
    <w:autoRedefine/>
    <w:qFormat/>
    <w:uiPriority w:val="0"/>
    <w:pPr>
      <w:widowControl/>
      <w:jc w:val="left"/>
    </w:pPr>
    <w:rPr>
      <w:rFonts w:eastAsia="黑体"/>
      <w:kern w:val="0"/>
      <w:sz w:val="28"/>
    </w:rPr>
  </w:style>
  <w:style w:type="paragraph" w:customStyle="1" w:styleId="151">
    <w:name w:val="font5"/>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5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153">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4">
    <w:name w:val="font1"/>
    <w:basedOn w:val="1"/>
    <w:autoRedefine/>
    <w:qFormat/>
    <w:uiPriority w:val="0"/>
    <w:pPr>
      <w:widowControl/>
      <w:spacing w:before="100" w:beforeAutospacing="1" w:after="100" w:afterAutospacing="1"/>
      <w:jc w:val="left"/>
    </w:pPr>
    <w:rPr>
      <w:rFonts w:ascii="Century Gothic" w:hAnsi="Century Gothic" w:cs="Arial"/>
      <w:kern w:val="0"/>
      <w:sz w:val="24"/>
    </w:rPr>
  </w:style>
  <w:style w:type="paragraph" w:customStyle="1" w:styleId="155">
    <w:name w:val="List Paragraph1"/>
    <w:basedOn w:val="1"/>
    <w:autoRedefine/>
    <w:qFormat/>
    <w:uiPriority w:val="0"/>
    <w:pPr>
      <w:ind w:firstLine="420" w:firstLineChars="200"/>
    </w:pPr>
    <w:rPr>
      <w:rFonts w:ascii="Calibri" w:hAnsi="Calibri"/>
      <w:szCs w:val="22"/>
    </w:rPr>
  </w:style>
  <w:style w:type="paragraph" w:customStyle="1" w:styleId="156">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7">
    <w:name w:val="p16"/>
    <w:basedOn w:val="1"/>
    <w:autoRedefine/>
    <w:qFormat/>
    <w:uiPriority w:val="0"/>
    <w:pPr>
      <w:widowControl/>
      <w:ind w:firstLine="420"/>
    </w:pPr>
    <w:rPr>
      <w:rFonts w:ascii="Calibri" w:hAnsi="Calibri" w:cs="宋体"/>
      <w:kern w:val="0"/>
      <w:szCs w:val="21"/>
    </w:rPr>
  </w:style>
  <w:style w:type="paragraph" w:customStyle="1" w:styleId="158">
    <w:name w:val="Char Char Char Char Char Char Char Char"/>
    <w:basedOn w:val="1"/>
    <w:autoRedefine/>
    <w:qFormat/>
    <w:uiPriority w:val="0"/>
    <w:pPr>
      <w:tabs>
        <w:tab w:val="left" w:pos="360"/>
      </w:tabs>
    </w:pPr>
    <w:rPr>
      <w:rFonts w:ascii="Calibri" w:hAnsi="Calibri"/>
    </w:rPr>
  </w:style>
  <w:style w:type="paragraph" w:customStyle="1" w:styleId="159">
    <w:name w:val="1."/>
    <w:basedOn w:val="1"/>
    <w:autoRedefine/>
    <w:qFormat/>
    <w:uiPriority w:val="0"/>
    <w:pPr>
      <w:spacing w:line="360" w:lineRule="auto"/>
      <w:ind w:firstLine="480" w:firstLineChars="200"/>
    </w:pPr>
    <w:rPr>
      <w:rFonts w:ascii="宋体" w:hAnsi="宋体"/>
      <w:sz w:val="24"/>
      <w:szCs w:val="24"/>
    </w:rPr>
  </w:style>
  <w:style w:type="paragraph" w:customStyle="1" w:styleId="160">
    <w:name w:val="正文1"/>
    <w:basedOn w:val="1"/>
    <w:autoRedefine/>
    <w:qFormat/>
    <w:uiPriority w:val="0"/>
    <w:pPr>
      <w:tabs>
        <w:tab w:val="left" w:pos="306"/>
      </w:tabs>
      <w:spacing w:line="360" w:lineRule="auto"/>
      <w:ind w:left="306" w:hanging="360"/>
      <w:jc w:val="left"/>
    </w:pPr>
    <w:rPr>
      <w:rFonts w:ascii="宋体" w:hAnsi="宋体"/>
      <w:spacing w:val="4"/>
      <w:sz w:val="18"/>
    </w:rPr>
  </w:style>
  <w:style w:type="paragraph" w:customStyle="1" w:styleId="161">
    <w:name w:val="Char Char Char Char"/>
    <w:basedOn w:val="1"/>
    <w:autoRedefine/>
    <w:qFormat/>
    <w:uiPriority w:val="0"/>
    <w:rPr>
      <w:rFonts w:ascii="Arial" w:hAnsi="Arial"/>
    </w:rPr>
  </w:style>
  <w:style w:type="paragraph" w:customStyle="1" w:styleId="162">
    <w:name w:val="Char"/>
    <w:basedOn w:val="1"/>
    <w:autoRedefine/>
    <w:qFormat/>
    <w:uiPriority w:val="0"/>
    <w:rPr>
      <w:rFonts w:ascii="Arial" w:hAnsi="Arial" w:cs="Arial"/>
      <w:szCs w:val="24"/>
    </w:rPr>
  </w:style>
  <w:style w:type="paragraph" w:customStyle="1" w:styleId="163">
    <w:name w:val="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4">
    <w:name w:val="Char Char Char Char Char Char Char"/>
    <w:basedOn w:val="1"/>
    <w:autoRedefine/>
    <w:qFormat/>
    <w:uiPriority w:val="0"/>
    <w:pPr>
      <w:tabs>
        <w:tab w:val="left" w:pos="432"/>
      </w:tabs>
      <w:ind w:left="432" w:hanging="432"/>
    </w:pPr>
    <w:rPr>
      <w:rFonts w:ascii="Tahoma" w:hAnsi="Tahoma"/>
      <w:sz w:val="24"/>
    </w:rPr>
  </w:style>
  <w:style w:type="paragraph" w:customStyle="1" w:styleId="165">
    <w:name w:val="四级无"/>
    <w:basedOn w:val="1"/>
    <w:autoRedefine/>
    <w:qFormat/>
    <w:uiPriority w:val="0"/>
    <w:pPr>
      <w:widowControl/>
      <w:tabs>
        <w:tab w:val="left" w:pos="2551"/>
      </w:tabs>
      <w:ind w:left="2551" w:hanging="850"/>
      <w:jc w:val="left"/>
      <w:outlineLvl w:val="5"/>
    </w:pPr>
    <w:rPr>
      <w:rFonts w:ascii="宋体"/>
      <w:kern w:val="0"/>
      <w:szCs w:val="21"/>
    </w:rPr>
  </w:style>
  <w:style w:type="paragraph" w:customStyle="1" w:styleId="166">
    <w:name w:val="正文文本 21"/>
    <w:basedOn w:val="1"/>
    <w:autoRedefine/>
    <w:qFormat/>
    <w:uiPriority w:val="0"/>
    <w:pPr>
      <w:adjustRightInd w:val="0"/>
      <w:spacing w:line="300" w:lineRule="auto"/>
      <w:jc w:val="center"/>
    </w:pPr>
    <w:rPr>
      <w:rFonts w:hint="eastAsia" w:ascii="Century Gothic" w:hAnsi="Century Gothic"/>
      <w:sz w:val="24"/>
    </w:rPr>
  </w:style>
  <w:style w:type="paragraph" w:customStyle="1" w:styleId="167">
    <w:name w:val="标书标题4"/>
    <w:basedOn w:val="5"/>
    <w:autoRedefine/>
    <w:qFormat/>
    <w:uiPriority w:val="0"/>
    <w:pPr>
      <w:keepLines w:val="0"/>
      <w:adjustRightInd w:val="0"/>
      <w:snapToGrid w:val="0"/>
      <w:spacing w:before="0" w:after="0" w:line="300" w:lineRule="auto"/>
    </w:pPr>
    <w:rPr>
      <w:rFonts w:ascii="MS Sans Serif" w:hAnsi="仿宋_GB2312" w:eastAsia="Courier New"/>
      <w:bCs w:val="0"/>
      <w:color w:val="000000"/>
      <w:kern w:val="0"/>
      <w:szCs w:val="32"/>
    </w:rPr>
  </w:style>
  <w:style w:type="paragraph" w:customStyle="1" w:styleId="168">
    <w:name w:val="font6"/>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169">
    <w:name w:val="p20"/>
    <w:basedOn w:val="1"/>
    <w:autoRedefine/>
    <w:qFormat/>
    <w:uiPriority w:val="0"/>
    <w:pPr>
      <w:widowControl/>
      <w:ind w:firstLine="420"/>
    </w:pPr>
    <w:rPr>
      <w:rFonts w:ascii="Calibri" w:hAnsi="Calibri" w:cs="宋体"/>
      <w:kern w:val="0"/>
      <w:szCs w:val="21"/>
    </w:rPr>
  </w:style>
  <w:style w:type="paragraph" w:customStyle="1" w:styleId="170">
    <w:name w:val="p17"/>
    <w:basedOn w:val="1"/>
    <w:autoRedefine/>
    <w:qFormat/>
    <w:uiPriority w:val="0"/>
    <w:pPr>
      <w:widowControl/>
      <w:ind w:firstLine="420"/>
    </w:pPr>
    <w:rPr>
      <w:rFonts w:ascii="Calibri" w:hAnsi="Calibri" w:cs="宋体"/>
      <w:kern w:val="0"/>
      <w:szCs w:val="21"/>
    </w:rPr>
  </w:style>
  <w:style w:type="paragraph" w:customStyle="1" w:styleId="171">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2">
    <w:name w:val="正文表标题"/>
    <w:next w:val="61"/>
    <w:autoRedefine/>
    <w:qFormat/>
    <w:uiPriority w:val="0"/>
    <w:pPr>
      <w:tabs>
        <w:tab w:val="left" w:pos="360"/>
        <w:tab w:val="left" w:pos="846"/>
      </w:tabs>
      <w:spacing w:beforeLines="50" w:afterLines="50"/>
      <w:ind w:left="846" w:hanging="420"/>
      <w:jc w:val="center"/>
    </w:pPr>
    <w:rPr>
      <w:rFonts w:ascii="黑体" w:hAnsi="Times New Roman" w:eastAsia="黑体" w:cs="Times New Roman"/>
      <w:sz w:val="21"/>
      <w:lang w:val="en-US" w:eastAsia="zh-CN" w:bidi="ar-SA"/>
    </w:rPr>
  </w:style>
  <w:style w:type="paragraph" w:customStyle="1" w:styleId="173">
    <w:name w:val="列出段落1"/>
    <w:basedOn w:val="1"/>
    <w:link w:val="214"/>
    <w:autoRedefine/>
    <w:qFormat/>
    <w:uiPriority w:val="0"/>
    <w:pPr>
      <w:ind w:firstLine="420" w:firstLineChars="200"/>
    </w:pPr>
    <w:rPr>
      <w:rFonts w:ascii="Calibri" w:hAnsi="Calibri"/>
      <w:szCs w:val="22"/>
    </w:rPr>
  </w:style>
  <w:style w:type="paragraph" w:customStyle="1" w:styleId="174">
    <w:name w:val="Char1"/>
    <w:basedOn w:val="1"/>
    <w:autoRedefine/>
    <w:qFormat/>
    <w:uiPriority w:val="0"/>
    <w:rPr>
      <w:szCs w:val="24"/>
    </w:rPr>
  </w:style>
  <w:style w:type="paragraph" w:customStyle="1" w:styleId="175">
    <w:name w:val="表头文本"/>
    <w:basedOn w:val="1"/>
    <w:autoRedefine/>
    <w:qFormat/>
    <w:uiPriority w:val="0"/>
    <w:pPr>
      <w:autoSpaceDE w:val="0"/>
      <w:autoSpaceDN w:val="0"/>
      <w:adjustRightInd w:val="0"/>
      <w:jc w:val="center"/>
    </w:pPr>
    <w:rPr>
      <w:b/>
      <w:kern w:val="0"/>
      <w:sz w:val="24"/>
    </w:rPr>
  </w:style>
  <w:style w:type="paragraph" w:customStyle="1" w:styleId="176">
    <w:name w:val="正文缩进1"/>
    <w:basedOn w:val="1"/>
    <w:autoRedefine/>
    <w:qFormat/>
    <w:uiPriority w:val="0"/>
    <w:pPr>
      <w:ind w:firstLine="420" w:firstLineChars="200"/>
    </w:pPr>
    <w:rPr>
      <w:rFonts w:ascii="Calibri" w:hAnsi="Calibri"/>
      <w:szCs w:val="22"/>
    </w:rPr>
  </w:style>
  <w:style w:type="paragraph" w:customStyle="1" w:styleId="177">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8">
    <w:name w:val="xl27"/>
    <w:basedOn w:val="1"/>
    <w:autoRedefine/>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79">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8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1">
    <w:name w:val="标书标题3"/>
    <w:basedOn w:val="4"/>
    <w:autoRedefine/>
    <w:qFormat/>
    <w:uiPriority w:val="0"/>
    <w:pPr>
      <w:keepLines w:val="0"/>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182">
    <w:name w:val="Default"/>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83">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4">
    <w:name w:val="小节"/>
    <w:basedOn w:val="4"/>
    <w:autoRedefine/>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185">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86">
    <w:name w:val="Char2"/>
    <w:basedOn w:val="1"/>
    <w:autoRedefine/>
    <w:qFormat/>
    <w:uiPriority w:val="0"/>
    <w:rPr>
      <w:rFonts w:ascii="Courier New" w:hAnsi="Arial" w:eastAsia="Courier New" w:cs="Arial"/>
      <w:b/>
      <w:sz w:val="32"/>
      <w:szCs w:val="32"/>
    </w:rPr>
  </w:style>
  <w:style w:type="paragraph" w:customStyle="1" w:styleId="187">
    <w:name w:val="Char3 Char Char Char"/>
    <w:basedOn w:val="1"/>
    <w:autoRedefine/>
    <w:qFormat/>
    <w:uiPriority w:val="0"/>
    <w:pPr>
      <w:widowControl/>
      <w:spacing w:after="160" w:line="240" w:lineRule="exact"/>
      <w:jc w:val="left"/>
    </w:pPr>
    <w:rPr>
      <w:rFonts w:ascii="Arial" w:hAnsi="Arial" w:cs="Arial"/>
    </w:rPr>
  </w:style>
  <w:style w:type="paragraph" w:customStyle="1" w:styleId="1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9">
    <w:name w:val="正文段"/>
    <w:basedOn w:val="1"/>
    <w:autoRedefine/>
    <w:qFormat/>
    <w:uiPriority w:val="0"/>
    <w:pPr>
      <w:widowControl/>
      <w:snapToGrid w:val="0"/>
      <w:spacing w:afterLines="50"/>
      <w:ind w:firstLine="200" w:firstLineChars="200"/>
    </w:pPr>
    <w:rPr>
      <w:rFonts w:ascii="Arial" w:hAnsi="Arial" w:cs="Arial"/>
      <w:kern w:val="0"/>
      <w:sz w:val="24"/>
    </w:rPr>
  </w:style>
  <w:style w:type="paragraph" w:customStyle="1" w:styleId="190">
    <w:name w:val="xl38"/>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91">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92">
    <w:name w:val="Body Text 21"/>
    <w:basedOn w:val="1"/>
    <w:autoRedefine/>
    <w:qFormat/>
    <w:uiPriority w:val="0"/>
    <w:pPr>
      <w:adjustRightInd w:val="0"/>
      <w:spacing w:line="300" w:lineRule="auto"/>
      <w:jc w:val="center"/>
    </w:pPr>
    <w:rPr>
      <w:rFonts w:hint="eastAsia" w:ascii="Century Gothic" w:hAnsi="Century Gothic" w:cs="Arial"/>
      <w:sz w:val="24"/>
    </w:rPr>
  </w:style>
  <w:style w:type="paragraph" w:customStyle="1" w:styleId="193">
    <w:name w:val="Char3"/>
    <w:basedOn w:val="1"/>
    <w:autoRedefine/>
    <w:qFormat/>
    <w:uiPriority w:val="0"/>
    <w:rPr>
      <w:rFonts w:ascii="仿宋_GB2312" w:eastAsia="仿宋_GB2312"/>
      <w:b/>
      <w:sz w:val="32"/>
      <w:szCs w:val="32"/>
    </w:rPr>
  </w:style>
  <w:style w:type="paragraph" w:customStyle="1" w:styleId="1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95">
    <w:name w:val="_Style 2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19"/>
    <w:basedOn w:val="1"/>
    <w:autoRedefine/>
    <w:qFormat/>
    <w:uiPriority w:val="0"/>
    <w:pPr>
      <w:widowControl/>
      <w:pBdr>
        <w:bottom w:val="single" w:color="000000" w:sz="6" w:space="1"/>
      </w:pBdr>
      <w:jc w:val="center"/>
    </w:pPr>
    <w:rPr>
      <w:rFonts w:ascii="Calibri" w:hAnsi="Calibri" w:cs="宋体"/>
      <w:kern w:val="0"/>
      <w:sz w:val="18"/>
      <w:szCs w:val="18"/>
    </w:rPr>
  </w:style>
  <w:style w:type="paragraph" w:customStyle="1" w:styleId="197">
    <w:name w:val="默认段落字体 Para Char Char Char Char"/>
    <w:basedOn w:val="1"/>
    <w:qFormat/>
    <w:uiPriority w:val="0"/>
    <w:pPr>
      <w:adjustRightInd w:val="0"/>
      <w:spacing w:line="360" w:lineRule="auto"/>
    </w:pPr>
    <w:rPr>
      <w:szCs w:val="24"/>
    </w:rPr>
  </w:style>
  <w:style w:type="paragraph" w:customStyle="1" w:styleId="198">
    <w:name w:val="_Style 61"/>
    <w:basedOn w:val="1"/>
    <w:qFormat/>
    <w:uiPriority w:val="0"/>
    <w:pPr>
      <w:widowControl/>
      <w:spacing w:after="160" w:line="240" w:lineRule="exact"/>
      <w:jc w:val="left"/>
    </w:pPr>
    <w:rPr>
      <w:szCs w:val="24"/>
    </w:rPr>
  </w:style>
  <w:style w:type="paragraph" w:customStyle="1" w:styleId="19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0">
    <w:name w:val="样式5"/>
    <w:basedOn w:val="5"/>
    <w:qFormat/>
    <w:uiPriority w:val="0"/>
    <w:pPr>
      <w:jc w:val="center"/>
    </w:pPr>
    <w:rPr>
      <w:rFonts w:ascii="Century Gothic" w:hAnsi="Century Gothic" w:eastAsia="Century Gothic"/>
      <w:sz w:val="32"/>
      <w:szCs w:val="32"/>
    </w:rPr>
  </w:style>
  <w:style w:type="paragraph" w:customStyle="1" w:styleId="201">
    <w:name w:val="Blockquote"/>
    <w:basedOn w:val="1"/>
    <w:qFormat/>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02">
    <w:name w:val="Char Char Char Char Char Char1"/>
    <w:basedOn w:val="1"/>
    <w:qFormat/>
    <w:uiPriority w:val="0"/>
    <w:pPr>
      <w:widowControl/>
      <w:ind w:firstLine="200" w:firstLineChars="200"/>
      <w:jc w:val="left"/>
    </w:pPr>
    <w:rPr>
      <w:rFonts w:ascii="Tahoma" w:hAnsi="Tahoma" w:cs="宋体"/>
      <w:kern w:val="0"/>
      <w:sz w:val="24"/>
    </w:rPr>
  </w:style>
  <w:style w:type="paragraph" w:customStyle="1" w:styleId="203">
    <w:name w:val="目次、标准名称标题"/>
    <w:basedOn w:val="1"/>
    <w:next w:val="6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04">
    <w:name w:val="Char1 Char Char Char"/>
    <w:basedOn w:val="1"/>
    <w:qFormat/>
    <w:uiPriority w:val="0"/>
    <w:rPr>
      <w:rFonts w:ascii="仿宋_GB2312" w:eastAsia="仿宋_GB2312" w:cs="仿宋_GB2312"/>
      <w:b/>
      <w:bCs/>
      <w:sz w:val="32"/>
      <w:szCs w:val="32"/>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20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8">
    <w:name w:val="p15"/>
    <w:basedOn w:val="1"/>
    <w:autoRedefine/>
    <w:qFormat/>
    <w:uiPriority w:val="0"/>
    <w:pPr>
      <w:widowControl/>
      <w:snapToGrid w:val="0"/>
      <w:spacing w:line="360" w:lineRule="auto"/>
      <w:ind w:firstLine="420"/>
      <w:jc w:val="left"/>
    </w:pPr>
    <w:rPr>
      <w:rFonts w:ascii="Arial" w:hAnsi="Arial" w:cs="Arial"/>
      <w:kern w:val="0"/>
      <w:sz w:val="24"/>
      <w:szCs w:val="24"/>
    </w:rPr>
  </w:style>
  <w:style w:type="character" w:customStyle="1" w:styleId="209">
    <w:name w:val="bookmark-item"/>
    <w:basedOn w:val="47"/>
    <w:qFormat/>
    <w:uiPriority w:val="0"/>
  </w:style>
  <w:style w:type="character" w:customStyle="1" w:styleId="210">
    <w:name w:val="纯文本 Char2"/>
    <w:qFormat/>
    <w:uiPriority w:val="0"/>
    <w:rPr>
      <w:rFonts w:ascii="宋体" w:hAnsi="Courier New" w:eastAsia="宋体"/>
      <w:kern w:val="2"/>
      <w:sz w:val="24"/>
      <w:szCs w:val="24"/>
      <w:lang w:val="en-US" w:eastAsia="zh-CN" w:bidi="ar-SA"/>
    </w:rPr>
  </w:style>
  <w:style w:type="character" w:customStyle="1" w:styleId="211">
    <w:name w:val="font31"/>
    <w:basedOn w:val="47"/>
    <w:qFormat/>
    <w:uiPriority w:val="0"/>
    <w:rPr>
      <w:rFonts w:hint="eastAsia" w:ascii="宋体" w:hAnsi="宋体" w:eastAsia="宋体" w:cs="宋体"/>
      <w:color w:val="000000"/>
      <w:sz w:val="24"/>
      <w:szCs w:val="24"/>
      <w:u w:val="none"/>
    </w:rPr>
  </w:style>
  <w:style w:type="character" w:customStyle="1" w:styleId="212">
    <w:name w:val="font21"/>
    <w:basedOn w:val="47"/>
    <w:qFormat/>
    <w:uiPriority w:val="0"/>
    <w:rPr>
      <w:rFonts w:hint="eastAsia" w:ascii="宋体" w:hAnsi="宋体" w:eastAsia="宋体" w:cs="宋体"/>
      <w:color w:val="000000"/>
      <w:sz w:val="24"/>
      <w:szCs w:val="24"/>
      <w:u w:val="none"/>
      <w:vertAlign w:val="superscript"/>
    </w:rPr>
  </w:style>
  <w:style w:type="paragraph" w:customStyle="1" w:styleId="213">
    <w:name w:val="列出段落2"/>
    <w:basedOn w:val="1"/>
    <w:qFormat/>
    <w:uiPriority w:val="0"/>
    <w:pPr>
      <w:spacing w:line="360" w:lineRule="auto"/>
      <w:ind w:firstLine="420" w:firstLineChars="200"/>
    </w:pPr>
    <w:rPr>
      <w:rFonts w:ascii="Calibri" w:hAnsi="Calibri"/>
      <w:kern w:val="0"/>
      <w:sz w:val="20"/>
    </w:rPr>
  </w:style>
  <w:style w:type="character" w:customStyle="1" w:styleId="214">
    <w:name w:val="列出段落 Char"/>
    <w:link w:val="173"/>
    <w:qFormat/>
    <w:uiPriority w:val="0"/>
    <w:rPr>
      <w:rFonts w:cs="Times New Roman"/>
      <w:kern w:val="2"/>
      <w:sz w:val="21"/>
      <w:szCs w:val="22"/>
    </w:rPr>
  </w:style>
  <w:style w:type="character" w:customStyle="1" w:styleId="215">
    <w:name w:val="font51"/>
    <w:basedOn w:val="47"/>
    <w:qFormat/>
    <w:uiPriority w:val="0"/>
    <w:rPr>
      <w:rFonts w:hint="eastAsia" w:ascii="宋体" w:hAnsi="宋体" w:eastAsia="宋体" w:cs="宋体"/>
      <w:color w:val="000000"/>
      <w:sz w:val="20"/>
      <w:szCs w:val="20"/>
      <w:u w:val="none"/>
    </w:rPr>
  </w:style>
  <w:style w:type="character" w:customStyle="1" w:styleId="216">
    <w:name w:val="font71"/>
    <w:basedOn w:val="47"/>
    <w:qFormat/>
    <w:uiPriority w:val="0"/>
    <w:rPr>
      <w:rFonts w:hint="eastAsia" w:ascii="宋体" w:hAnsi="宋体" w:eastAsia="宋体" w:cs="宋体"/>
      <w:color w:val="FF0000"/>
      <w:sz w:val="20"/>
      <w:szCs w:val="20"/>
      <w:u w:val="none"/>
    </w:rPr>
  </w:style>
  <w:style w:type="paragraph" w:customStyle="1" w:styleId="217">
    <w:name w:val="Comment"/>
    <w:basedOn w:val="1"/>
    <w:autoRedefine/>
    <w:qFormat/>
    <w:uiPriority w:val="0"/>
    <w:pPr>
      <w:widowControl/>
      <w:spacing w:after="120"/>
      <w:jc w:val="left"/>
    </w:pPr>
    <w:rPr>
      <w:i/>
      <w:color w:val="000080"/>
      <w:kern w:val="0"/>
      <w:sz w:val="22"/>
    </w:rPr>
  </w:style>
  <w:style w:type="paragraph" w:customStyle="1" w:styleId="218">
    <w:name w:val="默认"/>
    <w:qFormat/>
    <w:uiPriority w:val="0"/>
    <w:rPr>
      <w:rFonts w:ascii="Helvetica Neue" w:hAnsi="Helvetica Neue" w:eastAsia="Helvetica Neue" w:cs="Helvetica Neue"/>
      <w:color w:val="000000"/>
      <w:sz w:val="22"/>
      <w:szCs w:val="22"/>
      <w:lang w:val="en-US" w:eastAsia="zh-CN" w:bidi="ar-SA"/>
    </w:rPr>
  </w:style>
  <w:style w:type="character" w:customStyle="1" w:styleId="219">
    <w:name w:val="font41"/>
    <w:basedOn w:val="47"/>
    <w:autoRedefine/>
    <w:qFormat/>
    <w:uiPriority w:val="0"/>
    <w:rPr>
      <w:rFonts w:hint="eastAsia" w:ascii="宋体" w:hAnsi="宋体" w:eastAsia="宋体" w:cs="宋体"/>
      <w:color w:val="000000"/>
      <w:sz w:val="20"/>
      <w:szCs w:val="20"/>
      <w:u w:val="none"/>
    </w:rPr>
  </w:style>
  <w:style w:type="paragraph" w:customStyle="1" w:styleId="220">
    <w:name w:val="招标内容"/>
    <w:basedOn w:val="4"/>
    <w:qFormat/>
    <w:uiPriority w:val="0"/>
    <w:pPr>
      <w:keepNext w:val="0"/>
      <w:keepLines w:val="0"/>
      <w:widowControl/>
      <w:autoSpaceDE w:val="0"/>
      <w:autoSpaceDN w:val="0"/>
      <w:spacing w:before="120" w:after="120" w:line="300" w:lineRule="auto"/>
    </w:pPr>
    <w:rPr>
      <w:b w:val="0"/>
      <w:bCs w:val="0"/>
      <w:sz w:val="24"/>
      <w:szCs w:val="20"/>
    </w:rPr>
  </w:style>
  <w:style w:type="character" w:customStyle="1" w:styleId="221">
    <w:name w:val="样式 宋体 小四"/>
    <w:qFormat/>
    <w:uiPriority w:val="0"/>
    <w:rPr>
      <w:rFonts w:hint="eastAsia" w:ascii="宋体" w:hAnsi="宋体" w:eastAsia="宋体"/>
      <w:sz w:val="21"/>
    </w:rPr>
  </w:style>
  <w:style w:type="paragraph" w:customStyle="1" w:styleId="22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3">
    <w:name w:val="Table Text"/>
    <w:basedOn w:val="1"/>
    <w:semiHidden/>
    <w:qFormat/>
    <w:uiPriority w:val="0"/>
    <w:rPr>
      <w:rFonts w:ascii="宋体" w:hAnsi="宋体" w:eastAsia="宋体" w:cs="宋体"/>
      <w:sz w:val="20"/>
      <w:szCs w:val="20"/>
      <w:lang w:val="en-US" w:eastAsia="en-US" w:bidi="ar-SA"/>
    </w:rPr>
  </w:style>
  <w:style w:type="table" w:customStyle="1" w:styleId="224">
    <w:name w:val="Table Normal"/>
    <w:unhideWhenUsed/>
    <w:qFormat/>
    <w:uiPriority w:val="0"/>
    <w:tblPr>
      <w:tblCellMar>
        <w:top w:w="0" w:type="dxa"/>
        <w:left w:w="0" w:type="dxa"/>
        <w:bottom w:w="0" w:type="dxa"/>
        <w:right w:w="0" w:type="dxa"/>
      </w:tblCellMar>
    </w:tblPr>
  </w:style>
  <w:style w:type="paragraph" w:customStyle="1" w:styleId="225">
    <w:name w:val="首行缩进"/>
    <w:basedOn w:val="1"/>
    <w:qFormat/>
    <w:uiPriority w:val="0"/>
    <w:pPr>
      <w:spacing w:line="360" w:lineRule="auto"/>
      <w:ind w:firstLine="480" w:firstLineChars="200"/>
    </w:pPr>
    <w:rPr>
      <w:rFonts w:ascii="Times New Roman" w:hAnsi="Times New Roman" w:eastAsia="宋体" w:cs="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10" textRotate="1"/>
    <customShpInfo spid="_x0000_s4111" textRotate="1"/>
    <customShpInfo spid="_x0000_s4098" textRotate="1"/>
    <customShpInfo spid="_x0000_s4097"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CD638-75A6-4A23-9E17-777B2092C956}">
  <ds:schemaRefs/>
</ds:datastoreItem>
</file>

<file path=docProps/app.xml><?xml version="1.0" encoding="utf-8"?>
<Properties xmlns="http://schemas.openxmlformats.org/officeDocument/2006/extended-properties" xmlns:vt="http://schemas.openxmlformats.org/officeDocument/2006/docPropsVTypes">
  <Template>Normal</Template>
  <Company>中冠</Company>
  <Pages>44</Pages>
  <Words>23201</Words>
  <Characters>24366</Characters>
  <Lines>319</Lines>
  <Paragraphs>89</Paragraphs>
  <TotalTime>0</TotalTime>
  <ScaleCrop>false</ScaleCrop>
  <LinksUpToDate>false</LinksUpToDate>
  <CharactersWithSpaces>24754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2022-04-15T08:52:00Z</dcterms:created>
  <dc:creator>周全</dc:creator>
  <cp:lastModifiedBy>周全</cp:lastModifiedBy>
  <cp:lastPrinted>2022-04-07T00:16:00Z</cp:lastPrinted>
  <dcterms:modified xsi:type="dcterms:W3CDTF">2025-07-03T08:58:59Z</dcterms:modified>
  <dc:title>服务类文件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5409440808994325A619FE7336E52CFD_12</vt:lpwstr>
  </property>
  <property fmtid="{D5CDD505-2E9C-101B-9397-08002B2CF9AE}" pid="4" name="KSOTemplateDocerSaveRecord">
    <vt:lpwstr>eyJoZGlkIjoiYzA3MmQ2YmQxNjk3MzEyYjViMWQ0OTFiNDBlNjAxYjgiLCJ1c2VySWQiOiI1MDU1MTU3NTkifQ==</vt:lpwstr>
  </property>
</Properties>
</file>