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黑体" w:hAnsi="黑体" w:eastAsia="黑体"/>
          <w:b/>
          <w:sz w:val="44"/>
          <w:szCs w:val="44"/>
        </w:rPr>
      </w:pPr>
      <w:r>
        <w:rPr>
          <w:rFonts w:hint="eastAsia" w:ascii="黑体" w:hAnsi="黑体" w:eastAsia="黑体"/>
          <w:b/>
          <w:sz w:val="44"/>
          <w:szCs w:val="44"/>
        </w:rPr>
        <w:t>采购须知</w:t>
      </w:r>
    </w:p>
    <w:p>
      <w:pPr>
        <w:widowControl/>
        <w:spacing w:after="0" w:line="24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b/>
          <w:sz w:val="24"/>
        </w:rPr>
        <w:t>总则</w:t>
      </w:r>
      <w:r>
        <w:rPr>
          <w:rFonts w:hint="eastAsia" w:asciiTheme="minorEastAsia" w:hAnsiTheme="minorEastAsia" w:eastAsiaTheme="minorEastAsia"/>
          <w:sz w:val="24"/>
        </w:rPr>
        <w:t>：</w:t>
      </w:r>
      <w:r>
        <w:rPr>
          <w:rFonts w:hint="eastAsia" w:asciiTheme="minorEastAsia" w:hAnsiTheme="minorEastAsia" w:eastAsiaTheme="minorEastAsia"/>
          <w:sz w:val="24"/>
          <w:u w:val="single"/>
        </w:rPr>
        <w:t>浙江省十里丰监狱</w:t>
      </w:r>
      <w:r>
        <w:rPr>
          <w:rFonts w:hint="eastAsia" w:asciiTheme="minorEastAsia" w:hAnsiTheme="minorEastAsia" w:eastAsiaTheme="minorEastAsia"/>
          <w:sz w:val="24"/>
          <w:u w:val="single"/>
          <w:lang w:eastAsia="zh-CN"/>
        </w:rPr>
        <w:t>警用装备采购</w:t>
      </w:r>
      <w:r>
        <w:rPr>
          <w:rFonts w:hint="eastAsia" w:asciiTheme="minorEastAsia" w:hAnsiTheme="minorEastAsia" w:eastAsiaTheme="minorEastAsia"/>
          <w:sz w:val="24"/>
        </w:rPr>
        <w:t>项目，采购人为浙江省十里丰监狱，采购部门为</w:t>
      </w:r>
      <w:r>
        <w:rPr>
          <w:rFonts w:hint="eastAsia" w:asciiTheme="minorEastAsia" w:hAnsiTheme="minorEastAsia" w:eastAsiaTheme="minorEastAsia"/>
          <w:sz w:val="24"/>
          <w:u w:val="single"/>
        </w:rPr>
        <w:t>狱政管理支队</w:t>
      </w:r>
      <w:r>
        <w:rPr>
          <w:rFonts w:hint="eastAsia" w:asciiTheme="minorEastAsia" w:hAnsiTheme="minorEastAsia" w:eastAsiaTheme="minorEastAsia"/>
          <w:sz w:val="24"/>
        </w:rPr>
        <w:t>,采购编号为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SLF-2025079</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。资金来源为行政资金，资金已落实。现采用竞比采购方式确定供货人。本项目最高限价为</w:t>
      </w:r>
      <w:r>
        <w:rPr>
          <w:rFonts w:hint="eastAsia" w:asciiTheme="minorEastAsia" w:hAnsiTheme="minorEastAsia" w:eastAsiaTheme="minorEastAsia"/>
          <w:sz w:val="24"/>
          <w:lang w:val="en-US" w:eastAsia="zh-CN"/>
        </w:rPr>
        <w:t>95</w:t>
      </w:r>
      <w:r>
        <w:rPr>
          <w:rFonts w:hint="eastAsia" w:asciiTheme="minorEastAsia" w:hAnsiTheme="minorEastAsia" w:eastAsiaTheme="minorEastAsia"/>
          <w:sz w:val="24"/>
        </w:rPr>
        <w:t>00</w:t>
      </w:r>
      <w:r>
        <w:rPr>
          <w:rFonts w:hint="eastAsia" w:asciiTheme="minorEastAsia" w:hAnsiTheme="minorEastAsia" w:eastAsiaTheme="minorEastAsia"/>
          <w:sz w:val="24"/>
          <w:lang w:val="en-US" w:eastAsia="zh-CN"/>
        </w:rPr>
        <w:t>0.0</w:t>
      </w:r>
      <w:r>
        <w:rPr>
          <w:rFonts w:hint="eastAsia" w:asciiTheme="minorEastAsia" w:hAnsiTheme="minorEastAsia" w:eastAsiaTheme="minorEastAsia"/>
          <w:sz w:val="24"/>
        </w:rPr>
        <w:t>0元。</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b/>
          <w:sz w:val="24"/>
        </w:rPr>
        <w:t>时间和地点</w:t>
      </w:r>
      <w:r>
        <w:rPr>
          <w:rFonts w:hint="eastAsia" w:asciiTheme="minorEastAsia" w:hAnsiTheme="minorEastAsia" w:eastAsiaTheme="minorEastAsia"/>
          <w:sz w:val="24"/>
        </w:rPr>
        <w:t>：请于2025年</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日9时30分前，将响应文件以在线递交方式，上传至招天下招投标交易平台（jypt.zhaotx.cn）（项目管理-投标项目管理-本项目流程内）。</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此项目公开唱标。将采用不见面开标方式，响应人可在2025年</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日14时30分后自行登录不见面开标大厅，在线参与开标，并在开标期间保持通讯畅通（不见面开标大厅网址为：https://yckb.zhaotx.cn）</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b/>
          <w:sz w:val="24"/>
        </w:rPr>
        <w:t>三、项目要求</w:t>
      </w:r>
      <w:r>
        <w:rPr>
          <w:rFonts w:hint="eastAsia" w:asciiTheme="minorEastAsia" w:hAnsiTheme="minorEastAsia" w:eastAsiaTheme="minorEastAsia"/>
          <w:sz w:val="24"/>
        </w:rPr>
        <w:t>：</w:t>
      </w:r>
    </w:p>
    <w:p>
      <w:pPr>
        <w:spacing w:after="0" w:line="24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、设备名称、规格、技术参数及采购数量；</w:t>
      </w:r>
    </w:p>
    <w:tbl>
      <w:tblPr>
        <w:tblStyle w:val="15"/>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61"/>
        <w:gridCol w:w="4705"/>
        <w:gridCol w:w="881"/>
        <w:gridCol w:w="786"/>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tcBorders>
              <w:top w:val="single" w:color="auto" w:sz="4" w:space="0"/>
              <w:left w:val="single" w:color="auto" w:sz="4" w:space="0"/>
              <w:bottom w:val="single" w:color="auto" w:sz="4" w:space="0"/>
              <w:right w:val="single" w:color="auto" w:sz="4" w:space="0"/>
              <w:tl2br w:val="nil"/>
            </w:tcBorders>
            <w:vAlign w:val="center"/>
          </w:tcPr>
          <w:p>
            <w:pPr>
              <w:spacing w:line="480" w:lineRule="auto"/>
              <w:jc w:val="center"/>
              <w:rPr>
                <w:rFonts w:ascii="宋体" w:hAnsi="宋体"/>
                <w:b/>
                <w:color w:val="000000"/>
                <w:sz w:val="24"/>
                <w:szCs w:val="21"/>
              </w:rPr>
            </w:pPr>
            <w:r>
              <w:rPr>
                <w:rFonts w:ascii="宋体" w:hAnsi="宋体"/>
                <w:b/>
                <w:color w:val="000000"/>
                <w:sz w:val="24"/>
                <w:szCs w:val="21"/>
              </w:rPr>
              <w:t>序号</w:t>
            </w:r>
          </w:p>
        </w:tc>
        <w:tc>
          <w:tcPr>
            <w:tcW w:w="76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b/>
                <w:color w:val="000000"/>
                <w:sz w:val="24"/>
                <w:szCs w:val="21"/>
              </w:rPr>
            </w:pPr>
            <w:r>
              <w:rPr>
                <w:rFonts w:ascii="宋体" w:hAnsi="宋体"/>
                <w:b/>
                <w:color w:val="000000"/>
                <w:sz w:val="24"/>
                <w:szCs w:val="21"/>
              </w:rPr>
              <w:t>名称</w:t>
            </w:r>
          </w:p>
        </w:tc>
        <w:tc>
          <w:tcPr>
            <w:tcW w:w="4705" w:type="dxa"/>
            <w:tcBorders>
              <w:top w:val="single" w:color="auto" w:sz="4" w:space="0"/>
              <w:left w:val="single" w:color="auto" w:sz="4" w:space="0"/>
              <w:bottom w:val="single" w:color="auto" w:sz="4" w:space="0"/>
              <w:right w:val="single" w:color="auto" w:sz="4" w:space="0"/>
            </w:tcBorders>
            <w:vAlign w:val="center"/>
          </w:tcPr>
          <w:p>
            <w:pPr>
              <w:tabs>
                <w:tab w:val="left" w:pos="2711"/>
              </w:tabs>
              <w:spacing w:line="480" w:lineRule="auto"/>
              <w:jc w:val="left"/>
              <w:rPr>
                <w:rFonts w:ascii="宋体" w:hAnsi="宋体"/>
                <w:b/>
                <w:color w:val="000000"/>
                <w:sz w:val="24"/>
                <w:szCs w:val="21"/>
              </w:rPr>
            </w:pPr>
            <w:r>
              <w:rPr>
                <w:rFonts w:hint="eastAsia" w:ascii="宋体" w:hAnsi="宋体"/>
                <w:b/>
                <w:color w:val="000000"/>
                <w:sz w:val="24"/>
                <w:szCs w:val="21"/>
              </w:rPr>
              <w:tab/>
            </w:r>
            <w:r>
              <w:rPr>
                <w:rFonts w:hint="eastAsia" w:ascii="宋体" w:hAnsi="宋体"/>
                <w:b/>
                <w:color w:val="000000"/>
                <w:sz w:val="24"/>
                <w:szCs w:val="21"/>
              </w:rPr>
              <w:t>参数</w:t>
            </w:r>
          </w:p>
        </w:tc>
        <w:tc>
          <w:tcPr>
            <w:tcW w:w="88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color w:val="000000"/>
                <w:sz w:val="24"/>
                <w:szCs w:val="21"/>
              </w:rPr>
            </w:pPr>
            <w:r>
              <w:rPr>
                <w:rFonts w:hint="eastAsia" w:ascii="宋体" w:hAnsi="宋体"/>
                <w:b/>
                <w:color w:val="000000"/>
                <w:sz w:val="24"/>
                <w:szCs w:val="21"/>
              </w:rPr>
              <w:t>数量</w:t>
            </w:r>
          </w:p>
        </w:tc>
        <w:tc>
          <w:tcPr>
            <w:tcW w:w="786"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FangSong_GB2312"/>
                <w:b/>
                <w:color w:val="000000"/>
                <w:sz w:val="24"/>
                <w:szCs w:val="21"/>
                <w:lang w:val="en-US" w:eastAsia="zh-CN"/>
              </w:rPr>
            </w:pPr>
            <w:r>
              <w:rPr>
                <w:rFonts w:hint="eastAsia" w:ascii="宋体" w:hAnsi="宋体"/>
                <w:b/>
                <w:color w:val="000000"/>
                <w:sz w:val="24"/>
                <w:szCs w:val="21"/>
                <w:lang w:val="en-US" w:eastAsia="zh-CN"/>
              </w:rPr>
              <w:t>单位</w:t>
            </w:r>
          </w:p>
        </w:tc>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宋体" w:cs="Times New Roman"/>
                <w:b/>
                <w:color w:val="000000"/>
                <w:sz w:val="24"/>
                <w:szCs w:val="21"/>
                <w:lang w:val="en-US" w:eastAsia="zh-CN"/>
              </w:rPr>
            </w:pPr>
            <w:r>
              <w:rPr>
                <w:rFonts w:hint="eastAsia" w:ascii="宋体" w:hAnsi="宋体" w:eastAsia="宋体" w:cs="Times New Roman"/>
                <w:b/>
                <w:color w:val="000000"/>
                <w:sz w:val="24"/>
                <w:szCs w:val="21"/>
                <w:lang w:val="en-US" w:eastAsia="zh-CN"/>
              </w:rPr>
              <w:t>单价</w:t>
            </w:r>
            <w:r>
              <w:rPr>
                <w:rFonts w:hint="eastAsia" w:ascii="宋体" w:hAnsi="宋体" w:eastAsia="宋体" w:cs="宋体"/>
                <w:b w:val="0"/>
                <w:bCs w:val="0"/>
                <w:kern w:val="2"/>
                <w:sz w:val="18"/>
                <w:szCs w:val="18"/>
                <w:lang w:val="en-US" w:eastAsia="zh-CN" w:bidi="ar"/>
              </w:rPr>
              <w:t>（元）</w:t>
            </w:r>
          </w:p>
        </w:tc>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宋体" w:cs="Times New Roman"/>
                <w:b/>
                <w:color w:val="000000"/>
                <w:sz w:val="24"/>
                <w:szCs w:val="21"/>
                <w:lang w:val="en-US" w:eastAsia="zh-CN"/>
              </w:rPr>
            </w:pPr>
            <w:r>
              <w:rPr>
                <w:rFonts w:hint="eastAsia" w:ascii="宋体" w:hAnsi="宋体" w:eastAsia="宋体" w:cs="Times New Roman"/>
                <w:b/>
                <w:color w:val="000000"/>
                <w:sz w:val="24"/>
                <w:szCs w:val="21"/>
                <w:lang w:val="en-US" w:eastAsia="zh-CN"/>
              </w:rPr>
              <w:t>金额</w:t>
            </w:r>
            <w:r>
              <w:rPr>
                <w:rFonts w:hint="eastAsia" w:ascii="宋体" w:hAnsi="宋体" w:eastAsia="宋体" w:cs="宋体"/>
                <w:b w:val="0"/>
                <w:bCs w:val="0"/>
                <w:kern w:val="2"/>
                <w:sz w:val="18"/>
                <w:szCs w:val="18"/>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szCs w:val="21"/>
              </w:rPr>
            </w:pPr>
            <w:r>
              <w:rPr>
                <w:rFonts w:hint="eastAsia" w:ascii="宋体" w:hAnsi="宋体"/>
                <w:szCs w:val="21"/>
              </w:rPr>
              <w:t>1</w:t>
            </w:r>
          </w:p>
        </w:tc>
        <w:tc>
          <w:tcPr>
            <w:tcW w:w="761"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szCs w:val="21"/>
              </w:rPr>
            </w:pPr>
            <w:r>
              <w:rPr>
                <w:rFonts w:hint="eastAsia" w:ascii="宋体" w:hAnsi="宋体"/>
                <w:szCs w:val="21"/>
              </w:rPr>
              <w:t>新标多功能腰带</w:t>
            </w:r>
          </w:p>
        </w:tc>
        <w:tc>
          <w:tcPr>
            <w:tcW w:w="4705"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1.符合《GA890-2018 多功能腰带》相关标准；</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2.规格:按带体总长度分为XL、L、M、S、SS等5种规格；</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3.组成:多功能腰带由主腰带、内带、斜挂带和装具套组成，装具套含警棍套、强光手电套、工作包、手铐套、催泪喷射器套、对讲机套；</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装具套为尼龙面料，面料应结实耐磨，性能应符合以下要求：</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▲断裂伸长率：经向≥6.8%，纬向≥4.8%</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断裂强力：经向≥10000N，纬向≥9900N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顶破强力：＞1340N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▲耐磨性能: ≥45000次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4.重量：≤1.2kg（不含选配件)；</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5.腰带钎子使用温度:-30°C~50°C；</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6.抗拉性能:斜挂带卡扣在扣合状态下,拉力为500N并保持30S,卡扣不破损,能正常使用,腰带钎子在扣合状态下,拉力为750N并保持30S,钎子不破损,能正常使用；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7.装具套甲醇含量:≤300mg/kg；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8.腰带钎子插拔性能：插拔3000次后,能正常使用；</w:t>
            </w:r>
          </w:p>
          <w:p>
            <w:pPr>
              <w:pStyle w:val="2"/>
              <w:ind w:left="0" w:leftChars="0" w:firstLine="0" w:firstLineChars="0"/>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9.需再配备新标多功能腰带插扣100只；</w:t>
            </w:r>
          </w:p>
          <w:p>
            <w:pPr>
              <w:pStyle w:val="2"/>
              <w:ind w:left="0" w:leftChars="0" w:firstLine="0" w:firstLineChars="0"/>
              <w:rPr>
                <w:rFonts w:hint="eastAsia" w:ascii="宋体" w:hAnsi="宋体" w:eastAsia="FangSong_GB2312"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10.多功能腰带需按甲方要求在腰带右侧缝制民警警号；</w:t>
            </w:r>
          </w:p>
          <w:p>
            <w:pPr>
              <w:tabs>
                <w:tab w:val="left" w:pos="288"/>
              </w:tabs>
              <w:spacing w:line="276" w:lineRule="auto"/>
              <w:jc w:val="left"/>
              <w:rPr>
                <w:rFonts w:hint="default" w:ascii="宋体" w:hAnsi="宋体" w:eastAsia="宋体"/>
                <w:sz w:val="18"/>
                <w:szCs w:val="18"/>
                <w:lang w:val="en-US" w:eastAsia="zh-CN"/>
              </w:rPr>
            </w:pPr>
            <w:r>
              <w:rPr>
                <w:rFonts w:hint="eastAsia" w:ascii="宋体" w:hAnsi="宋体" w:eastAsia="宋体" w:cs="宋体"/>
                <w:sz w:val="18"/>
                <w:szCs w:val="18"/>
                <w:vertAlign w:val="baseline"/>
                <w:lang w:val="en-US" w:eastAsia="zh-CN"/>
              </w:rPr>
              <w:t>▲需提供国家级检验检测机构出具的面料检验报告复印件加盖制造商公章（报告应具有CNAS和CMA标识）</w:t>
            </w:r>
          </w:p>
        </w:tc>
        <w:tc>
          <w:tcPr>
            <w:tcW w:w="881"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szCs w:val="21"/>
              </w:rPr>
            </w:pPr>
            <w:r>
              <w:rPr>
                <w:rFonts w:hint="eastAsia" w:ascii="宋体" w:hAnsi="宋体"/>
                <w:szCs w:val="21"/>
              </w:rPr>
              <w:t>2</w:t>
            </w:r>
          </w:p>
        </w:tc>
        <w:tc>
          <w:tcPr>
            <w:tcW w:w="761" w:type="dxa"/>
            <w:vAlign w:val="center"/>
          </w:tcPr>
          <w:p>
            <w:pPr>
              <w:spacing w:line="276" w:lineRule="auto"/>
              <w:jc w:val="center"/>
              <w:rPr>
                <w:rFonts w:hint="eastAsia" w:ascii="宋体" w:hAnsi="宋体"/>
                <w:szCs w:val="21"/>
              </w:rPr>
            </w:pPr>
            <w:r>
              <w:rPr>
                <w:rFonts w:hint="eastAsia" w:ascii="宋体" w:hAnsi="宋体"/>
                <w:szCs w:val="21"/>
              </w:rPr>
              <w:t>催泪喷射器</w:t>
            </w:r>
          </w:p>
        </w:tc>
        <w:tc>
          <w:tcPr>
            <w:tcW w:w="4705" w:type="dxa"/>
            <w:vAlign w:val="center"/>
          </w:tcPr>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符合《GA884-2018 公安单警装备 催泪喷射器》相关标准；催泪喷射器由保险盖、横梁、压柄、喷嘴、支撑盖、锥形弹簧、内罐、囊袋组件、催泪剂溶液、外罐等零部件组成。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尺寸:催泪喷射器的高度为 176mm±2mm，最大外径为 39mm±1mm ，罐体外径为37.5mm±0.5mm。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观察窗尺寸：宽 8mm±1mm，高 80mm±1mm。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颜色：催泪喷射器主体颜色为黑色，喷嘴颜色为白色，催泪剂溶液颜色为蓝色。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质量:催泪喷射器满罐质量为 195g±15g。</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催泪剂:灌液量为70ml±3ml；催泪喷射器中的催泪剂为合成辣椒素溶液，其含量为 1.5％～2.0％。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▲催泪剂眼睛刺激安全性要求：安全性符合 GB/T21609-2008；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眼刺激性分级：符合 GB/T 21609-2008 规定的 3 级（有轻微刺激性）；眼睛刺激反应症状持续时间：≤24 小时。 </w:t>
            </w:r>
          </w:p>
          <w:p>
            <w:pPr>
              <w:rPr>
                <w:rFonts w:hint="eastAsia" w:ascii="宋体" w:hAnsi="宋体" w:eastAsia="宋体" w:cs="宋体"/>
                <w:b w:val="0"/>
                <w:bCs w:val="0"/>
                <w:snapToGrid w:val="0"/>
                <w:color w:val="000000"/>
                <w:kern w:val="0"/>
                <w:sz w:val="18"/>
                <w:szCs w:val="18"/>
                <w:lang w:val="en-US" w:eastAsia="zh-CN" w:bidi="ar"/>
              </w:rPr>
            </w:pPr>
            <w:r>
              <w:rPr>
                <w:rFonts w:hint="eastAsia" w:ascii="宋体" w:hAnsi="宋体" w:eastAsia="宋体" w:cs="宋体"/>
                <w:sz w:val="18"/>
                <w:szCs w:val="18"/>
                <w:vertAlign w:val="baseline"/>
                <w:lang w:val="en-US" w:eastAsia="zh-CN"/>
              </w:rPr>
              <w:t>▲</w:t>
            </w:r>
            <w:r>
              <w:rPr>
                <w:rFonts w:hint="eastAsia" w:ascii="宋体" w:hAnsi="宋体" w:eastAsia="宋体" w:cs="宋体"/>
                <w:b w:val="0"/>
                <w:bCs w:val="0"/>
                <w:snapToGrid w:val="0"/>
                <w:color w:val="000000"/>
                <w:kern w:val="0"/>
                <w:sz w:val="18"/>
                <w:szCs w:val="18"/>
                <w:lang w:val="en-US" w:eastAsia="zh-CN" w:bidi="ar"/>
              </w:rPr>
              <w:t>提供公安部产品质量检验中心出具的产品检验报告复印件加盖制造商公章。</w:t>
            </w:r>
          </w:p>
          <w:p>
            <w:pPr>
              <w:pStyle w:val="10"/>
              <w:widowControl/>
              <w:shd w:val="clear" w:color="auto" w:fill="FFFFFF"/>
              <w:spacing w:beforeAutospacing="0" w:afterAutospacing="0" w:line="276" w:lineRule="auto"/>
              <w:rPr>
                <w:rFonts w:ascii="宋体" w:hAnsi="宋体"/>
                <w:sz w:val="18"/>
                <w:szCs w:val="18"/>
              </w:rPr>
            </w:pPr>
            <w:r>
              <w:rPr>
                <w:rFonts w:hint="eastAsia" w:ascii="宋体" w:hAnsi="宋体" w:eastAsia="宋体" w:cs="宋体"/>
                <w:sz w:val="18"/>
                <w:szCs w:val="18"/>
                <w:vertAlign w:val="baseline"/>
                <w:lang w:val="en-US" w:eastAsia="zh-CN"/>
              </w:rPr>
              <w:t>▲</w:t>
            </w:r>
            <w:r>
              <w:rPr>
                <w:rFonts w:hint="eastAsia" w:ascii="宋体" w:hAnsi="宋体" w:eastAsia="宋体" w:cs="宋体"/>
                <w:b w:val="0"/>
                <w:bCs w:val="0"/>
                <w:snapToGrid w:val="0"/>
                <w:color w:val="000000"/>
                <w:kern w:val="0"/>
                <w:sz w:val="18"/>
                <w:szCs w:val="18"/>
                <w:lang w:val="en-US" w:eastAsia="zh-CN" w:bidi="ar"/>
              </w:rPr>
              <w:t>提供国家级产品质量监督检验中心出具的</w:t>
            </w:r>
            <w:r>
              <w:rPr>
                <w:rFonts w:hint="eastAsia" w:ascii="宋体" w:hAnsi="宋体" w:cs="宋体"/>
                <w:b w:val="0"/>
                <w:bCs w:val="0"/>
                <w:snapToGrid w:val="0"/>
                <w:color w:val="000000"/>
                <w:kern w:val="0"/>
                <w:sz w:val="18"/>
                <w:szCs w:val="18"/>
                <w:lang w:val="en-US" w:eastAsia="zh-CN" w:bidi="ar"/>
              </w:rPr>
              <w:t>催泪剂安全性</w:t>
            </w:r>
            <w:r>
              <w:rPr>
                <w:rFonts w:hint="eastAsia" w:ascii="宋体" w:hAnsi="宋体" w:eastAsia="宋体" w:cs="宋体"/>
                <w:b w:val="0"/>
                <w:bCs w:val="0"/>
                <w:snapToGrid w:val="0"/>
                <w:color w:val="000000"/>
                <w:kern w:val="0"/>
                <w:sz w:val="18"/>
                <w:szCs w:val="18"/>
                <w:lang w:val="en-US" w:eastAsia="zh-CN" w:bidi="ar"/>
              </w:rPr>
              <w:t>检测报告加盖制造商公章</w:t>
            </w:r>
            <w:r>
              <w:rPr>
                <w:rFonts w:hint="eastAsia"/>
                <w:sz w:val="18"/>
                <w:szCs w:val="18"/>
                <w:vertAlign w:val="baseline"/>
                <w:lang w:val="en-US" w:eastAsia="zh-CN"/>
              </w:rPr>
              <w:t>（报告应具有CNAS和CMA标识）</w:t>
            </w:r>
            <w:r>
              <w:rPr>
                <w:rFonts w:hint="eastAsia" w:ascii="宋体" w:hAnsi="宋体" w:eastAsia="宋体" w:cs="宋体"/>
                <w:b w:val="0"/>
                <w:bCs w:val="0"/>
                <w:snapToGrid w:val="0"/>
                <w:color w:val="000000"/>
                <w:kern w:val="0"/>
                <w:sz w:val="18"/>
                <w:szCs w:val="18"/>
                <w:lang w:val="en-US" w:eastAsia="zh-CN" w:bidi="ar"/>
              </w:rPr>
              <w:t>。</w:t>
            </w:r>
          </w:p>
        </w:tc>
        <w:tc>
          <w:tcPr>
            <w:tcW w:w="881"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300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3</w:t>
            </w:r>
          </w:p>
        </w:tc>
        <w:tc>
          <w:tcPr>
            <w:tcW w:w="761" w:type="dxa"/>
            <w:vAlign w:val="center"/>
          </w:tcPr>
          <w:p>
            <w:pPr>
              <w:spacing w:line="276" w:lineRule="auto"/>
              <w:jc w:val="center"/>
              <w:rPr>
                <w:rFonts w:hint="eastAsia" w:ascii="宋体" w:hAnsi="宋体"/>
                <w:szCs w:val="21"/>
              </w:rPr>
            </w:pPr>
            <w:r>
              <w:rPr>
                <w:rFonts w:hint="eastAsia" w:ascii="宋体" w:hAnsi="宋体"/>
                <w:szCs w:val="21"/>
              </w:rPr>
              <w:t>伸缩警棍</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1.执行标准：《GA 886-2018公安单警装备伸缩警棍》</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2.结构：伸缩警棍由小管组件、中管组件、握把组件和开关组件组成</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3.颜色：金属部件为亚光黑色，握把橡胶套为黑色</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4.质量：≤325g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5.尺寸：收回长度：224±1.5mm，伸展长度：508±2mm，握把外径：φ26.5±0.15mm，中管外径：φ20.5±0.1mm，小管外径：φ16.0±0.1mm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6.伸缩可靠性：可有效循环 ≥3000次；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7.耐击打性能：在完全伸展并锁定状态下，固定在专用击打试验机上，可耐 3000N 的击打力度，连续击打≥3000 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8.极限击打性能：在完全伸展并锁定状态下，按GA 886-2018中规定的击打力值进行试验，击打后伸缩警棍未断裂，棍头未脱落，能正常伸展和收回。</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9.握把橡胶套防脱性能：在收回状态下，在警棍套中进行插拔试验≥3000次后，握把橡胶套无卷边、翘边、鼓包、龟裂、移位等现象；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10.耐腐蚀性：经8小时盐雾试验，耐腐蚀等级应≥9 级</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11.适用温度：-40℃ ～60℃</w:t>
            </w:r>
          </w:p>
        </w:tc>
        <w:tc>
          <w:tcPr>
            <w:tcW w:w="881"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根</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4</w:t>
            </w:r>
          </w:p>
        </w:tc>
        <w:tc>
          <w:tcPr>
            <w:tcW w:w="761" w:type="dxa"/>
            <w:vAlign w:val="center"/>
          </w:tcPr>
          <w:p>
            <w:pPr>
              <w:spacing w:line="276" w:lineRule="auto"/>
              <w:jc w:val="center"/>
              <w:rPr>
                <w:rFonts w:hint="eastAsia" w:ascii="宋体" w:hAnsi="宋体"/>
                <w:szCs w:val="21"/>
              </w:rPr>
            </w:pPr>
            <w:r>
              <w:rPr>
                <w:rFonts w:hint="eastAsia" w:ascii="宋体" w:hAnsi="宋体"/>
                <w:szCs w:val="21"/>
              </w:rPr>
              <w:t>塑料手铐</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1.可重复使用约束带，采用PA66材料注塑，可解锁循环使用，非一次性。</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2.约束带总长40cm，宽度＜1.5cm，整体重量＜50g。既可手腕部位约束，也可以脚腕部位约束。</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3.可重复使用约束带由5个组件组成，一个塑料盒、两条塑料扎带、金属加强环、一个金属质解锁钥匙。</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4.塑料盒的作用主要用于固定两条塑料扎带，2个钥匙孔独立设置，分别用于解锁左右2条约束扎带。</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5.约束带齿条部分，可以实现对折收合，收合后长度＜25cm。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6.重金属含量（铅、镉、汞、六价铬）含量＜10mg/kg。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7.常温下拉力1191N，低温-30℃拉力1411N，高温50℃拉力1140N。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8.常温下，约束带锁定状态，施加100kg拉力3秒后，可以使用金属质钥匙解锁，循环次数大于10次。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cs="宋体"/>
                <w:b w:val="0"/>
                <w:bCs w:val="0"/>
                <w:kern w:val="2"/>
                <w:sz w:val="18"/>
                <w:szCs w:val="18"/>
                <w:lang w:val="en-US" w:eastAsia="zh-CN" w:bidi="ar"/>
              </w:rPr>
              <w:t>9</w:t>
            </w:r>
            <w:r>
              <w:rPr>
                <w:rFonts w:hint="eastAsia" w:ascii="宋体" w:hAnsi="宋体" w:eastAsia="宋体" w:cs="宋体"/>
                <w:b w:val="0"/>
                <w:bCs w:val="0"/>
                <w:kern w:val="2"/>
                <w:sz w:val="18"/>
                <w:szCs w:val="18"/>
                <w:lang w:val="en-US" w:eastAsia="zh-CN" w:bidi="ar"/>
              </w:rPr>
              <w:t>.使用温度在-10℃-50℃之间，锁合拉力＞100kg。</w:t>
            </w:r>
          </w:p>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约束带颜色:黑色、白色、黄色、绿色可选</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300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5</w:t>
            </w:r>
          </w:p>
        </w:tc>
        <w:tc>
          <w:tcPr>
            <w:tcW w:w="761" w:type="dxa"/>
            <w:vAlign w:val="center"/>
          </w:tcPr>
          <w:p>
            <w:pPr>
              <w:spacing w:line="276" w:lineRule="auto"/>
              <w:jc w:val="center"/>
              <w:rPr>
                <w:rFonts w:hint="eastAsia" w:ascii="宋体" w:hAnsi="宋体"/>
                <w:szCs w:val="21"/>
              </w:rPr>
            </w:pPr>
            <w:r>
              <w:rPr>
                <w:rFonts w:hint="eastAsia" w:ascii="宋体" w:hAnsi="宋体"/>
                <w:szCs w:val="21"/>
              </w:rPr>
              <w:t>金属连体铐</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1.拷、撩体结构：板式；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2.手铐最大内径：75±5mm，脚镣最大内径：100±5mm，总重量：1230±50g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3.防拨性能：防拨净时间：2min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4.反锁定位性能：反锁定位时1500N静压力下不出现啮合松动或失效</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5.手铐、脚镣钥匙互开性：否</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6.连接件抗拉强度：＞2940N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7.拷、镣体在横向与纵向均施加2200N静压力下，不被打开，不变形，不裂缝</w:t>
            </w:r>
          </w:p>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8.外包装：牛津布包装</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tabs>
                <w:tab w:val="left" w:pos="462"/>
              </w:tabs>
              <w:spacing w:line="276" w:lineRule="auto"/>
              <w:jc w:val="center"/>
              <w:rPr>
                <w:rFonts w:hint="eastAsia" w:ascii="宋体" w:hAnsi="宋体" w:eastAsia="仿宋_GB2312"/>
                <w:szCs w:val="21"/>
                <w:lang w:eastAsia="zh-CN"/>
              </w:rPr>
            </w:pPr>
            <w:r>
              <w:rPr>
                <w:rFonts w:hint="eastAsia" w:ascii="宋体" w:hAnsi="宋体"/>
                <w:szCs w:val="21"/>
                <w:lang w:val="en-US" w:eastAsia="zh-CN"/>
              </w:rPr>
              <w:t>6</w:t>
            </w:r>
          </w:p>
        </w:tc>
        <w:tc>
          <w:tcPr>
            <w:tcW w:w="761" w:type="dxa"/>
            <w:vAlign w:val="center"/>
          </w:tcPr>
          <w:p>
            <w:pPr>
              <w:spacing w:line="276" w:lineRule="auto"/>
              <w:jc w:val="center"/>
              <w:rPr>
                <w:rFonts w:ascii="宋体" w:hAnsi="宋体"/>
                <w:szCs w:val="21"/>
              </w:rPr>
            </w:pPr>
            <w:r>
              <w:rPr>
                <w:rFonts w:hint="eastAsia" w:ascii="宋体" w:hAnsi="宋体"/>
                <w:szCs w:val="21"/>
              </w:rPr>
              <w:t>多功能警用口哨</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1.结构要求:电子警哨壳体采用黑色圆柱体铝合金材质制成，哨体有控制开关和音效切换键</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 xml:space="preserve">▲2.外观要求:电子警哨表面应光滑、无划痕、无磨损、无毛刺、无油渍，不应有机械损伤，表面涂层经300h人工老化后不应起泡、不脱落、不开裂、不粉化、不发霉、不生锈，变色≤1级，失光≤1级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3.尺寸要求:电子警哨哨体长度:133±2mm，直径:中24.5±2mm。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4.重量要求:电子警哨主机重量应小于70g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5.报警声级要求:电子警哨报警声级应为120±3dB(A)。</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6.工作时间要求:主机连续工作时间应大于等于10.5小时。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7.环境适应性能要求:在60℃±3℃~-20℃±3℃环境下放置2h后，试样应能正常工作。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8.自由跌落要求:主机自由跌落，跌落高度3m，试样应能正常工作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▲9.提供通过国家级产品质量监督检验中心出具的油漆涂层的检测报告复印件加盖制造商公章。（报告应具有CNAS和CMA标识）。</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tabs>
                <w:tab w:val="left" w:pos="462"/>
              </w:tabs>
              <w:spacing w:line="276" w:lineRule="auto"/>
              <w:jc w:val="left"/>
              <w:rPr>
                <w:rFonts w:ascii="宋体" w:hAnsi="宋体"/>
                <w:szCs w:val="21"/>
              </w:rPr>
            </w:pPr>
          </w:p>
        </w:tc>
        <w:tc>
          <w:tcPr>
            <w:tcW w:w="761" w:type="dxa"/>
            <w:vAlign w:val="center"/>
          </w:tcPr>
          <w:p>
            <w:pPr>
              <w:spacing w:line="276" w:lineRule="auto"/>
              <w:rPr>
                <w:rFonts w:ascii="宋体" w:hAnsi="宋体"/>
                <w:szCs w:val="21"/>
              </w:rPr>
            </w:pPr>
          </w:p>
        </w:tc>
        <w:tc>
          <w:tcPr>
            <w:tcW w:w="6372" w:type="dxa"/>
            <w:gridSpan w:val="3"/>
            <w:vAlign w:val="center"/>
          </w:tcPr>
          <w:p>
            <w:pPr>
              <w:keepNext w:val="0"/>
              <w:keepLines w:val="0"/>
              <w:widowControl w:val="0"/>
              <w:suppressLineNumbers w:val="0"/>
              <w:spacing w:before="0" w:beforeAutospacing="0" w:after="0" w:afterAutospacing="0"/>
              <w:ind w:left="0" w:right="0"/>
              <w:jc w:val="both"/>
              <w:rPr>
                <w:rFonts w:hint="eastAsia"/>
                <w:lang w:eastAsia="zh-CN"/>
              </w:rPr>
            </w:pPr>
            <w:r>
              <w:rPr>
                <w:rFonts w:hint="eastAsia" w:ascii="宋体" w:hAnsi="宋体" w:eastAsia="宋体" w:cs="宋体"/>
                <w:b w:val="0"/>
                <w:bCs w:val="0"/>
                <w:kern w:val="2"/>
                <w:sz w:val="18"/>
                <w:szCs w:val="18"/>
                <w:lang w:val="en-US" w:eastAsia="zh-CN" w:bidi="ar"/>
              </w:rPr>
              <w:t>▲为核心产品参数要求提供检测报告的，在投标文件中可查，未提供检测报告的按废标处理。</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bl>
    <w:p>
      <w:pPr>
        <w:spacing w:after="0" w:line="24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3、</w:t>
      </w:r>
      <w:r>
        <w:rPr>
          <w:rFonts w:hint="eastAsia" w:cs="Times New Roman" w:asciiTheme="minorEastAsia" w:hAnsiTheme="minorEastAsia" w:eastAsiaTheme="minorEastAsia"/>
          <w:sz w:val="24"/>
        </w:rPr>
        <w:t>材质与制作要求</w:t>
      </w:r>
      <w:r>
        <w:rPr>
          <w:rFonts w:hint="eastAsia"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rPr>
        <w:t>符合产品质量标准</w:t>
      </w:r>
      <w:r>
        <w:rPr>
          <w:rFonts w:hint="eastAsia" w:cs="Times New Roman" w:asciiTheme="minorEastAsia" w:hAnsiTheme="minorEastAsia" w:eastAsiaTheme="minorEastAsia"/>
          <w:sz w:val="24"/>
          <w:lang w:eastAsia="zh-CN"/>
        </w:rPr>
        <w:t>、行业标准、国家标准。</w:t>
      </w:r>
    </w:p>
    <w:p>
      <w:pPr>
        <w:spacing w:after="0" w:line="24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w:t>
      </w:r>
      <w:r>
        <w:rPr>
          <w:rFonts w:hint="eastAsia" w:cs="Times New Roman" w:asciiTheme="minorEastAsia" w:hAnsiTheme="minorEastAsia" w:eastAsiaTheme="minorEastAsia"/>
          <w:sz w:val="24"/>
        </w:rPr>
        <w:t>、要求供货的时间及地点：合同签订后</w:t>
      </w:r>
      <w:r>
        <w:rPr>
          <w:rFonts w:hint="eastAsia" w:cs="Times New Roman" w:asciiTheme="minorEastAsia" w:hAnsiTheme="minorEastAsia" w:eastAsiaTheme="minorEastAsia"/>
          <w:sz w:val="24"/>
          <w:lang w:val="en-US" w:eastAsia="zh-CN"/>
        </w:rPr>
        <w:t>10日</w:t>
      </w:r>
      <w:r>
        <w:rPr>
          <w:rFonts w:hint="eastAsia" w:cs="Times New Roman" w:asciiTheme="minorEastAsia" w:hAnsiTheme="minorEastAsia" w:eastAsiaTheme="minorEastAsia"/>
          <w:sz w:val="24"/>
        </w:rPr>
        <w:t>内送达</w:t>
      </w:r>
      <w:r>
        <w:rPr>
          <w:rFonts w:hint="eastAsia" w:cs="Times New Roman" w:asciiTheme="minorEastAsia" w:hAnsiTheme="minorEastAsia" w:eastAsiaTheme="minorEastAsia"/>
          <w:sz w:val="24"/>
          <w:lang w:val="en-US" w:eastAsia="zh-CN"/>
        </w:rPr>
        <w:t>。</w:t>
      </w:r>
      <w:r>
        <w:rPr>
          <w:rFonts w:hint="eastAsia" w:cs="Times New Roman" w:asciiTheme="minorEastAsia" w:hAnsiTheme="minorEastAsia" w:eastAsiaTheme="minorEastAsia"/>
          <w:sz w:val="24"/>
          <w:lang w:eastAsia="zh-CN"/>
        </w:rPr>
        <w:t>交货地点：十里丰监狱狱政支队</w:t>
      </w:r>
      <w:r>
        <w:rPr>
          <w:rFonts w:hint="eastAsia" w:cs="Times New Roman" w:asciiTheme="minorEastAsia" w:hAnsiTheme="minorEastAsia" w:eastAsiaTheme="minorEastAsia"/>
          <w:sz w:val="24"/>
        </w:rPr>
        <w:t>。</w:t>
      </w:r>
    </w:p>
    <w:p>
      <w:pPr>
        <w:spacing w:after="0" w:line="24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5</w:t>
      </w:r>
      <w:r>
        <w:rPr>
          <w:rFonts w:hint="eastAsia" w:cs="Times New Roman" w:asciiTheme="minorEastAsia" w:hAnsiTheme="minorEastAsia" w:eastAsiaTheme="minorEastAsia"/>
          <w:sz w:val="24"/>
        </w:rPr>
        <w:t>、保质期</w:t>
      </w:r>
      <w:r>
        <w:rPr>
          <w:rFonts w:hint="eastAsia"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rPr>
        <w:t>安装</w:t>
      </w:r>
      <w:r>
        <w:rPr>
          <w:rFonts w:hint="eastAsia" w:cs="Times New Roman" w:asciiTheme="minorEastAsia" w:hAnsiTheme="minorEastAsia" w:eastAsiaTheme="minorEastAsia"/>
          <w:sz w:val="24"/>
          <w:lang w:eastAsia="zh-CN"/>
        </w:rPr>
        <w:t>调试</w:t>
      </w:r>
      <w:r>
        <w:rPr>
          <w:rFonts w:hint="eastAsia" w:cs="Times New Roman" w:asciiTheme="minorEastAsia" w:hAnsiTheme="minorEastAsia" w:eastAsiaTheme="minorEastAsia"/>
          <w:sz w:val="24"/>
        </w:rPr>
        <w:t>完毕验收合格后</w:t>
      </w:r>
      <w:r>
        <w:rPr>
          <w:rFonts w:hint="eastAsia" w:cs="Times New Roman" w:asciiTheme="minorEastAsia" w:hAnsiTheme="minorEastAsia" w:eastAsiaTheme="minorEastAsia"/>
          <w:sz w:val="24"/>
          <w:lang w:eastAsia="zh-CN"/>
        </w:rPr>
        <w:t>一</w:t>
      </w:r>
      <w:r>
        <w:rPr>
          <w:rFonts w:hint="eastAsia" w:cs="Times New Roman" w:asciiTheme="minorEastAsia" w:hAnsiTheme="minorEastAsia" w:eastAsiaTheme="minorEastAsia"/>
          <w:sz w:val="24"/>
        </w:rPr>
        <w:t>年。</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四、</w:t>
      </w:r>
      <w:r>
        <w:rPr>
          <w:rFonts w:hint="eastAsia" w:asciiTheme="minorEastAsia" w:hAnsiTheme="minorEastAsia" w:eastAsiaTheme="minorEastAsia"/>
          <w:b/>
          <w:sz w:val="24"/>
        </w:rPr>
        <w:t>报价金额</w:t>
      </w:r>
      <w:r>
        <w:rPr>
          <w:rFonts w:hint="eastAsia" w:asciiTheme="minorEastAsia" w:hAnsiTheme="minorEastAsia" w:eastAsiaTheme="minorEastAsia"/>
          <w:sz w:val="24"/>
        </w:rPr>
        <w:t>：响应人应对全部内容进行报价。报价应包括单价、总价、运输费、安装费、售后服务费用、各种税金等全部费用。响应人应充分考虑项目实施过程中可能发生的一切费用。无论报价过程中的作法和结果如何，响应人应自行承担所有与采购有关的全部费用。</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五、</w:t>
      </w:r>
      <w:r>
        <w:rPr>
          <w:rFonts w:hint="eastAsia" w:asciiTheme="minorEastAsia" w:hAnsiTheme="minorEastAsia" w:eastAsiaTheme="minorEastAsia"/>
          <w:b/>
          <w:sz w:val="24"/>
        </w:rPr>
        <w:t>报价修正原则</w:t>
      </w:r>
      <w:r>
        <w:rPr>
          <w:rFonts w:hint="eastAsia" w:asciiTheme="minorEastAsia" w:hAnsiTheme="minorEastAsia" w:eastAsiaTheme="minorEastAsia"/>
          <w:sz w:val="24"/>
        </w:rPr>
        <w:t>：</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1、如果数字表示的金额和用文字表示的金额不一致时，应以文字表示的金额为准；</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2、当单价与数量的乘积与合价不一致时，以合价为准，并调整单价。</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按上述修正原则，响应人同意的，调整后的报价对相应人起约束作用。若不接受修正后的金额，则其报价将被拒绝做无效处理，并不影响其他评审工作。</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六、评审：</w:t>
      </w:r>
      <w:r>
        <w:rPr>
          <w:rFonts w:hint="eastAsia" w:asciiTheme="minorEastAsia" w:hAnsiTheme="minorEastAsia" w:eastAsiaTheme="minorEastAsia"/>
          <w:sz w:val="24"/>
        </w:rPr>
        <w:t>采购申请单位成立的三人采购小组进行评审，文件中直接规定最高限价，超最高限价的做无效处理，最终推荐有效报价中，</w:t>
      </w:r>
      <w:r>
        <w:rPr>
          <w:rFonts w:hint="eastAsia" w:asciiTheme="minorEastAsia" w:hAnsiTheme="minorEastAsia" w:eastAsiaTheme="minorEastAsia"/>
          <w:sz w:val="24"/>
          <w:lang w:eastAsia="zh-CN"/>
        </w:rPr>
        <w:t>报价最低</w:t>
      </w:r>
      <w:r>
        <w:rPr>
          <w:rFonts w:hint="eastAsia" w:asciiTheme="minorEastAsia" w:hAnsiTheme="minorEastAsia" w:eastAsiaTheme="minorEastAsia"/>
          <w:sz w:val="24"/>
        </w:rPr>
        <w:t>的为供货人。</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评分标准:最低价评审法。如出现最低报价相同情况，则通过现场摇号方式确定中标单位。</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响应人存在下列情形之一且无法合理解释的，视为响应人串通投标，其投标（响应）文件无效,并列入不良信用记录：</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1.不同响应人的电子投标（响应）文件上传计算机的IP地址或网卡MAC地址或硬盘序列号等信息相同的；</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2.上传的电子投标（响应）文件加盖本项目其他响应人的电子印章的；</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3.不同响应人的投标（响应）文件的内容存在3处（含）以上错误一致的；</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4.不同响应人联系人为同一人或不同联系人的联系电话一致的。</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七、</w:t>
      </w:r>
      <w:r>
        <w:rPr>
          <w:rFonts w:hint="eastAsia" w:asciiTheme="minorEastAsia" w:hAnsiTheme="minorEastAsia" w:eastAsiaTheme="minorEastAsia"/>
          <w:b/>
          <w:sz w:val="24"/>
        </w:rPr>
        <w:t>投诉说明</w:t>
      </w:r>
      <w:r>
        <w:rPr>
          <w:rFonts w:hint="eastAsia" w:asciiTheme="minorEastAsia" w:hAnsiTheme="minorEastAsia" w:eastAsiaTheme="minorEastAsia"/>
          <w:sz w:val="24"/>
        </w:rPr>
        <w:t>：响应人若认为本次采购活动违反法律、法规和规章规定的，可以书面形式（函、传真）向采购人纪检监察部门投诉。联系电话：0570-2926516。</w:t>
      </w:r>
    </w:p>
    <w:p>
      <w:pPr>
        <w:pStyle w:val="2"/>
        <w:rPr>
          <w:rFonts w:hint="eastAsia" w:asciiTheme="minorEastAsia" w:hAnsiTheme="minorEastAsia" w:eastAsiaTheme="minorEastAsia"/>
          <w:sz w:val="24"/>
        </w:rPr>
      </w:pPr>
    </w:p>
    <w:p/>
    <w:p>
      <w:pPr>
        <w:pStyle w:val="2"/>
      </w:pPr>
    </w:p>
    <w:p>
      <w:pPr>
        <w:spacing w:after="0" w:line="240" w:lineRule="auto"/>
        <w:jc w:val="center"/>
        <w:rPr>
          <w:rFonts w:hint="eastAsia" w:ascii="仿宋" w:hAnsi="仿宋" w:eastAsia="仿宋"/>
          <w:b/>
          <w:bCs/>
          <w:sz w:val="28"/>
          <w:szCs w:val="28"/>
        </w:rPr>
      </w:pPr>
      <w:r>
        <w:rPr>
          <w:rFonts w:hint="eastAsia" w:ascii="仿宋" w:hAnsi="仿宋" w:eastAsia="仿宋"/>
          <w:b/>
          <w:bCs/>
          <w:sz w:val="28"/>
          <w:szCs w:val="28"/>
        </w:rPr>
        <w:t>合同主要</w:t>
      </w:r>
      <w:r>
        <w:rPr>
          <w:rFonts w:hint="eastAsia" w:ascii="仿宋" w:hAnsi="仿宋" w:eastAsia="仿宋" w:cs="宋体"/>
          <w:b/>
          <w:bCs/>
          <w:sz w:val="28"/>
          <w:szCs w:val="28"/>
        </w:rPr>
        <w:t>条</w:t>
      </w:r>
      <w:r>
        <w:rPr>
          <w:rFonts w:hint="eastAsia" w:ascii="仿宋" w:hAnsi="仿宋" w:eastAsia="仿宋"/>
          <w:b/>
          <w:bCs/>
          <w:sz w:val="28"/>
          <w:szCs w:val="28"/>
        </w:rPr>
        <w:t>款</w:t>
      </w:r>
    </w:p>
    <w:p>
      <w:pPr>
        <w:spacing w:after="0" w:line="240" w:lineRule="auto"/>
        <w:rPr>
          <w:rFonts w:hint="eastAsia" w:ascii="仿宋" w:hAnsi="仿宋" w:eastAsia="仿宋"/>
          <w:b/>
          <w:bCs/>
          <w:sz w:val="28"/>
          <w:szCs w:val="28"/>
        </w:rPr>
      </w:pPr>
    </w:p>
    <w:p>
      <w:pPr>
        <w:spacing w:after="0" w:line="24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说明：本项目合同将根据</w:t>
      </w:r>
      <w:r>
        <w:rPr>
          <w:rFonts w:hint="eastAsia" w:asciiTheme="minorEastAsia" w:hAnsiTheme="minorEastAsia" w:eastAsiaTheme="minorEastAsia"/>
          <w:sz w:val="24"/>
        </w:rPr>
        <w:t>采购</w:t>
      </w:r>
      <w:r>
        <w:rPr>
          <w:rFonts w:asciiTheme="minorEastAsia" w:hAnsiTheme="minorEastAsia" w:eastAsiaTheme="minorEastAsia"/>
          <w:sz w:val="24"/>
        </w:rPr>
        <w:t>结果签订。</w:t>
      </w:r>
      <w:r>
        <w:rPr>
          <w:rFonts w:hint="eastAsia" w:asciiTheme="minorEastAsia" w:hAnsiTheme="minorEastAsia" w:eastAsiaTheme="minorEastAsia"/>
          <w:sz w:val="24"/>
        </w:rPr>
        <w:t>响应人</w:t>
      </w:r>
      <w:r>
        <w:rPr>
          <w:rFonts w:asciiTheme="minorEastAsia" w:hAnsiTheme="minorEastAsia" w:eastAsiaTheme="minorEastAsia"/>
          <w:sz w:val="24"/>
        </w:rPr>
        <w:t>在其</w:t>
      </w:r>
      <w:r>
        <w:rPr>
          <w:rFonts w:hint="eastAsia" w:asciiTheme="minorEastAsia" w:hAnsiTheme="minorEastAsia" w:eastAsiaTheme="minorEastAsia"/>
          <w:sz w:val="24"/>
        </w:rPr>
        <w:t>竞比响应</w:t>
      </w:r>
      <w:r>
        <w:rPr>
          <w:rFonts w:asciiTheme="minorEastAsia" w:hAnsiTheme="minorEastAsia" w:eastAsiaTheme="minorEastAsia"/>
          <w:sz w:val="24"/>
        </w:rPr>
        <w:t>文件</w:t>
      </w:r>
      <w:r>
        <w:rPr>
          <w:rFonts w:hint="eastAsia" w:asciiTheme="minorEastAsia" w:hAnsiTheme="minorEastAsia" w:eastAsiaTheme="minorEastAsia"/>
          <w:sz w:val="24"/>
        </w:rPr>
        <w:t>中</w:t>
      </w:r>
      <w:r>
        <w:rPr>
          <w:rFonts w:asciiTheme="minorEastAsia" w:hAnsiTheme="minorEastAsia" w:eastAsiaTheme="minorEastAsia"/>
          <w:sz w:val="24"/>
        </w:rPr>
        <w:t>无异议，则视作认同。</w:t>
      </w:r>
      <w:r>
        <w:rPr>
          <w:rFonts w:hint="eastAsia" w:asciiTheme="minorEastAsia" w:hAnsiTheme="minorEastAsia" w:eastAsiaTheme="minorEastAsia"/>
          <w:sz w:val="24"/>
        </w:rPr>
        <w:t>若有优于该合同主要条款的内容，则随响应文件的约定修改本合同主要条款。</w:t>
      </w:r>
    </w:p>
    <w:p>
      <w:pPr>
        <w:spacing w:after="0" w:line="240" w:lineRule="auto"/>
        <w:ind w:firstLine="480" w:firstLineChars="200"/>
        <w:rPr>
          <w:rFonts w:hint="eastAsia" w:asciiTheme="minorEastAsia" w:hAnsiTheme="minorEastAsia" w:eastAsiaTheme="minorEastAsia"/>
          <w:sz w:val="24"/>
        </w:rPr>
      </w:pPr>
    </w:p>
    <w:p>
      <w:pPr>
        <w:spacing w:after="0" w:line="240" w:lineRule="auto"/>
        <w:ind w:right="720"/>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浙江省十里丰监狱</w:t>
      </w:r>
      <w:r>
        <w:rPr>
          <w:rFonts w:hint="eastAsia" w:asciiTheme="minorEastAsia" w:hAnsiTheme="minorEastAsia" w:eastAsiaTheme="minorEastAsia"/>
          <w:b/>
          <w:bCs/>
          <w:sz w:val="24"/>
          <w:lang w:eastAsia="zh-CN"/>
        </w:rPr>
        <w:t>警用装备</w:t>
      </w:r>
      <w:r>
        <w:rPr>
          <w:rFonts w:hint="eastAsia" w:asciiTheme="minorEastAsia" w:hAnsiTheme="minorEastAsia" w:eastAsiaTheme="minorEastAsia"/>
          <w:b/>
          <w:bCs/>
          <w:sz w:val="24"/>
        </w:rPr>
        <w:t>采购合同</w:t>
      </w:r>
    </w:p>
    <w:p>
      <w:pPr>
        <w:spacing w:after="0" w:line="240" w:lineRule="auto"/>
        <w:ind w:left="5779" w:leftChars="2752" w:right="72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合同编号：    </w:t>
      </w:r>
    </w:p>
    <w:p>
      <w:pPr>
        <w:pStyle w:val="16"/>
        <w:snapToGrid/>
        <w:spacing w:after="0" w:line="240" w:lineRule="auto"/>
        <w:ind w:firstLine="480" w:firstLineChars="200"/>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 xml:space="preserve">甲方：                         </w:t>
      </w:r>
    </w:p>
    <w:p>
      <w:pPr>
        <w:pStyle w:val="16"/>
        <w:snapToGrid/>
        <w:spacing w:after="0" w:line="240" w:lineRule="auto"/>
        <w:ind w:firstLine="480" w:firstLineChars="200"/>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 xml:space="preserve">乙方： </w:t>
      </w:r>
    </w:p>
    <w:p>
      <w:p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根据《中华人民共和国民法典》及有关法规，为明确甲、乙双方的权利义务关系，经双方协商一致，签订本合同。</w:t>
      </w:r>
    </w:p>
    <w:p>
      <w:pPr>
        <w:numPr>
          <w:ilvl w:val="0"/>
          <w:numId w:val="1"/>
        </w:numPr>
        <w:spacing w:after="0" w:line="24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采购内容及金额：</w:t>
      </w:r>
    </w:p>
    <w:tbl>
      <w:tblPr>
        <w:tblStyle w:val="15"/>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61"/>
        <w:gridCol w:w="4705"/>
        <w:gridCol w:w="881"/>
        <w:gridCol w:w="786"/>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tcBorders>
              <w:top w:val="single" w:color="auto" w:sz="4" w:space="0"/>
              <w:left w:val="single" w:color="auto" w:sz="4" w:space="0"/>
              <w:bottom w:val="single" w:color="auto" w:sz="4" w:space="0"/>
              <w:right w:val="single" w:color="auto" w:sz="4" w:space="0"/>
              <w:tl2br w:val="nil"/>
            </w:tcBorders>
            <w:vAlign w:val="center"/>
          </w:tcPr>
          <w:p>
            <w:pPr>
              <w:spacing w:line="480" w:lineRule="auto"/>
              <w:jc w:val="center"/>
              <w:rPr>
                <w:rFonts w:ascii="宋体" w:hAnsi="宋体"/>
                <w:b/>
                <w:color w:val="000000"/>
                <w:sz w:val="24"/>
                <w:szCs w:val="21"/>
              </w:rPr>
            </w:pPr>
            <w:r>
              <w:rPr>
                <w:rFonts w:ascii="宋体" w:hAnsi="宋体"/>
                <w:b/>
                <w:color w:val="000000"/>
                <w:sz w:val="24"/>
                <w:szCs w:val="21"/>
              </w:rPr>
              <w:t>序号</w:t>
            </w:r>
          </w:p>
        </w:tc>
        <w:tc>
          <w:tcPr>
            <w:tcW w:w="76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b/>
                <w:color w:val="000000"/>
                <w:sz w:val="24"/>
                <w:szCs w:val="21"/>
              </w:rPr>
            </w:pPr>
            <w:r>
              <w:rPr>
                <w:rFonts w:ascii="宋体" w:hAnsi="宋体"/>
                <w:b/>
                <w:color w:val="000000"/>
                <w:sz w:val="24"/>
                <w:szCs w:val="21"/>
              </w:rPr>
              <w:t>名称</w:t>
            </w:r>
          </w:p>
        </w:tc>
        <w:tc>
          <w:tcPr>
            <w:tcW w:w="4705" w:type="dxa"/>
            <w:tcBorders>
              <w:top w:val="single" w:color="auto" w:sz="4" w:space="0"/>
              <w:left w:val="single" w:color="auto" w:sz="4" w:space="0"/>
              <w:bottom w:val="single" w:color="auto" w:sz="4" w:space="0"/>
              <w:right w:val="single" w:color="auto" w:sz="4" w:space="0"/>
            </w:tcBorders>
            <w:vAlign w:val="center"/>
          </w:tcPr>
          <w:p>
            <w:pPr>
              <w:tabs>
                <w:tab w:val="left" w:pos="2711"/>
              </w:tabs>
              <w:spacing w:line="480" w:lineRule="auto"/>
              <w:jc w:val="left"/>
              <w:rPr>
                <w:rFonts w:ascii="宋体" w:hAnsi="宋体"/>
                <w:b/>
                <w:color w:val="000000"/>
                <w:sz w:val="24"/>
                <w:szCs w:val="21"/>
              </w:rPr>
            </w:pPr>
            <w:r>
              <w:rPr>
                <w:rFonts w:hint="eastAsia" w:ascii="宋体" w:hAnsi="宋体"/>
                <w:b/>
                <w:color w:val="000000"/>
                <w:sz w:val="24"/>
                <w:szCs w:val="21"/>
              </w:rPr>
              <w:tab/>
            </w:r>
            <w:r>
              <w:rPr>
                <w:rFonts w:hint="eastAsia" w:ascii="宋体" w:hAnsi="宋体"/>
                <w:b/>
                <w:color w:val="000000"/>
                <w:sz w:val="24"/>
                <w:szCs w:val="21"/>
              </w:rPr>
              <w:t>参数</w:t>
            </w:r>
          </w:p>
        </w:tc>
        <w:tc>
          <w:tcPr>
            <w:tcW w:w="88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b/>
                <w:color w:val="000000"/>
                <w:sz w:val="24"/>
                <w:szCs w:val="21"/>
              </w:rPr>
            </w:pPr>
            <w:r>
              <w:rPr>
                <w:rFonts w:hint="eastAsia" w:ascii="宋体" w:hAnsi="宋体"/>
                <w:b/>
                <w:color w:val="000000"/>
                <w:sz w:val="24"/>
                <w:szCs w:val="21"/>
              </w:rPr>
              <w:t>数量</w:t>
            </w:r>
          </w:p>
        </w:tc>
        <w:tc>
          <w:tcPr>
            <w:tcW w:w="786"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FangSong_GB2312"/>
                <w:b/>
                <w:color w:val="000000"/>
                <w:sz w:val="24"/>
                <w:szCs w:val="21"/>
                <w:lang w:val="en-US" w:eastAsia="zh-CN"/>
              </w:rPr>
            </w:pPr>
            <w:r>
              <w:rPr>
                <w:rFonts w:hint="eastAsia" w:ascii="宋体" w:hAnsi="宋体"/>
                <w:b/>
                <w:color w:val="000000"/>
                <w:sz w:val="24"/>
                <w:szCs w:val="21"/>
                <w:lang w:val="en-US" w:eastAsia="zh-CN"/>
              </w:rPr>
              <w:t>单位</w:t>
            </w:r>
          </w:p>
        </w:tc>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宋体" w:cs="Times New Roman"/>
                <w:b/>
                <w:color w:val="000000"/>
                <w:sz w:val="24"/>
                <w:szCs w:val="21"/>
                <w:lang w:val="en-US" w:eastAsia="zh-CN"/>
              </w:rPr>
            </w:pPr>
            <w:r>
              <w:rPr>
                <w:rFonts w:hint="eastAsia" w:ascii="宋体" w:hAnsi="宋体" w:eastAsia="宋体" w:cs="Times New Roman"/>
                <w:b/>
                <w:color w:val="000000"/>
                <w:sz w:val="24"/>
                <w:szCs w:val="21"/>
                <w:lang w:val="en-US" w:eastAsia="zh-CN"/>
              </w:rPr>
              <w:t>单价</w:t>
            </w:r>
            <w:r>
              <w:rPr>
                <w:rFonts w:hint="eastAsia" w:ascii="宋体" w:hAnsi="宋体" w:eastAsia="宋体" w:cs="宋体"/>
                <w:b w:val="0"/>
                <w:bCs w:val="0"/>
                <w:kern w:val="2"/>
                <w:sz w:val="18"/>
                <w:szCs w:val="18"/>
                <w:lang w:val="en-US" w:eastAsia="zh-CN" w:bidi="ar"/>
              </w:rPr>
              <w:t>（元）</w:t>
            </w:r>
          </w:p>
        </w:tc>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rPr>
                <w:rFonts w:hint="eastAsia" w:ascii="宋体" w:hAnsi="宋体" w:eastAsia="宋体" w:cs="Times New Roman"/>
                <w:b/>
                <w:color w:val="000000"/>
                <w:sz w:val="24"/>
                <w:szCs w:val="21"/>
                <w:lang w:val="en-US" w:eastAsia="zh-CN"/>
              </w:rPr>
            </w:pPr>
            <w:r>
              <w:rPr>
                <w:rFonts w:hint="eastAsia" w:ascii="宋体" w:hAnsi="宋体" w:eastAsia="宋体" w:cs="Times New Roman"/>
                <w:b/>
                <w:color w:val="000000"/>
                <w:sz w:val="24"/>
                <w:szCs w:val="21"/>
                <w:lang w:val="en-US" w:eastAsia="zh-CN"/>
              </w:rPr>
              <w:t>金额</w:t>
            </w:r>
            <w:r>
              <w:rPr>
                <w:rFonts w:hint="eastAsia" w:ascii="宋体" w:hAnsi="宋体" w:eastAsia="宋体" w:cs="宋体"/>
                <w:b w:val="0"/>
                <w:bCs w:val="0"/>
                <w:kern w:val="2"/>
                <w:sz w:val="18"/>
                <w:szCs w:val="18"/>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szCs w:val="21"/>
              </w:rPr>
            </w:pPr>
            <w:r>
              <w:rPr>
                <w:rFonts w:hint="eastAsia" w:ascii="宋体" w:hAnsi="宋体"/>
                <w:szCs w:val="21"/>
              </w:rPr>
              <w:t>1</w:t>
            </w:r>
          </w:p>
        </w:tc>
        <w:tc>
          <w:tcPr>
            <w:tcW w:w="761"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szCs w:val="21"/>
              </w:rPr>
            </w:pPr>
            <w:r>
              <w:rPr>
                <w:rFonts w:hint="eastAsia" w:ascii="宋体" w:hAnsi="宋体"/>
                <w:szCs w:val="21"/>
              </w:rPr>
              <w:t>新标多功能腰带</w:t>
            </w:r>
          </w:p>
        </w:tc>
        <w:tc>
          <w:tcPr>
            <w:tcW w:w="4705"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1.符合《GA890-2018 多功能腰带》相关标准；</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2.规格:按带体总长度分为XL、L、M、S、SS等5种规格；</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3.组成:多功能腰带由主腰带、内带、斜挂带和装具套组成，装具套含警棍套、强光手电套、工作包、手铐套、催泪喷射器套、对讲机套；</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装具套为尼龙面料，面料应结实耐磨，性能应符合以下要求：</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▲断裂伸长率：经向≥6.8%，纬向≥4.8%</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断裂强力：经向≥10000N，纬向≥9900N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顶破强力：＞1340N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▲耐磨性能: ≥45000次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4.重量：≤1.2kg（不含选配件)；</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5.腰带钎子使用温度:-30°C~50°C；</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6.抗拉性能:斜挂带卡扣在扣合状态下,拉力为500N并保持30S,卡扣不破损,能正常使用,腰带钎子在扣合状态下,拉力为750N并保持30S,钎子不破损,能正常使用；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7.装具套甲醇含量:≤300mg/kg；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8.腰带钎子插拔性能：插拔3000次后,能正常使用；</w:t>
            </w:r>
          </w:p>
          <w:p>
            <w:pPr>
              <w:pStyle w:val="2"/>
              <w:ind w:left="0" w:leftChars="0" w:firstLine="0" w:firstLineChars="0"/>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9.需再配备新标多功能腰带插扣100只；</w:t>
            </w:r>
          </w:p>
          <w:p>
            <w:pPr>
              <w:pStyle w:val="2"/>
              <w:ind w:left="0" w:leftChars="0" w:firstLine="0" w:firstLineChars="0"/>
              <w:rPr>
                <w:rFonts w:hint="eastAsia" w:ascii="宋体" w:hAnsi="宋体" w:eastAsia="FangSong_GB2312"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10.多功能腰带需按甲方要求在腰带右侧缝制民警警号；</w:t>
            </w:r>
          </w:p>
          <w:p>
            <w:pPr>
              <w:tabs>
                <w:tab w:val="left" w:pos="288"/>
              </w:tabs>
              <w:spacing w:line="276" w:lineRule="auto"/>
              <w:jc w:val="left"/>
              <w:rPr>
                <w:rFonts w:hint="default" w:ascii="宋体" w:hAnsi="宋体" w:eastAsia="宋体"/>
                <w:sz w:val="18"/>
                <w:szCs w:val="18"/>
                <w:lang w:val="en-US" w:eastAsia="zh-CN"/>
              </w:rPr>
            </w:pPr>
            <w:r>
              <w:rPr>
                <w:rFonts w:hint="eastAsia" w:ascii="宋体" w:hAnsi="宋体" w:eastAsia="宋体" w:cs="宋体"/>
                <w:sz w:val="18"/>
                <w:szCs w:val="18"/>
                <w:vertAlign w:val="baseline"/>
                <w:lang w:val="en-US" w:eastAsia="zh-CN"/>
              </w:rPr>
              <w:t>▲需提供国家级检验检测机构出具的面料检验报告复印件加盖制造商公章（报告应具有CNAS和CMA标识）</w:t>
            </w:r>
          </w:p>
        </w:tc>
        <w:tc>
          <w:tcPr>
            <w:tcW w:w="881"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szCs w:val="21"/>
              </w:rPr>
            </w:pPr>
            <w:r>
              <w:rPr>
                <w:rFonts w:hint="eastAsia" w:ascii="宋体" w:hAnsi="宋体"/>
                <w:szCs w:val="21"/>
              </w:rPr>
              <w:t>2</w:t>
            </w:r>
          </w:p>
        </w:tc>
        <w:tc>
          <w:tcPr>
            <w:tcW w:w="761" w:type="dxa"/>
            <w:vAlign w:val="center"/>
          </w:tcPr>
          <w:p>
            <w:pPr>
              <w:spacing w:line="276" w:lineRule="auto"/>
              <w:jc w:val="center"/>
              <w:rPr>
                <w:rFonts w:hint="eastAsia" w:ascii="宋体" w:hAnsi="宋体"/>
                <w:szCs w:val="21"/>
              </w:rPr>
            </w:pPr>
            <w:r>
              <w:rPr>
                <w:rFonts w:hint="eastAsia" w:ascii="宋体" w:hAnsi="宋体"/>
                <w:szCs w:val="21"/>
              </w:rPr>
              <w:t>催泪喷射器</w:t>
            </w:r>
          </w:p>
        </w:tc>
        <w:tc>
          <w:tcPr>
            <w:tcW w:w="4705" w:type="dxa"/>
            <w:vAlign w:val="center"/>
          </w:tcPr>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符合《GA884-2018 公安单警装备 催泪喷射器》相关标准；催泪喷射器由保险盖、横梁、压柄、喷嘴、支撑盖、锥形弹簧、内罐、囊袋组件、催泪剂溶液、外罐等零部件组成。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尺寸:催泪喷射器的高度为 176mm±2mm，最大外径为 39mm±1mm ，罐体外径为37.5mm±0.5mm。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观察窗尺寸：宽 8mm±1mm，高 80mm±1mm。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颜色：催泪喷射器主体颜色为黑色，喷嘴颜色为白色，催泪剂溶液颜色为蓝色。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质量:催泪喷射器满罐质量为 195g±15g。</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催泪剂:灌液量为70ml±3ml；催泪喷射器中的催泪剂为合成辣椒素溶液，其含量为 1.5％～2.0％。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▲催泪剂眼睛刺激安全性要求：安全性符合 GB/T21609-2008； </w:t>
            </w:r>
          </w:p>
          <w:p>
            <w:pPr>
              <w:keepNext w:val="0"/>
              <w:keepLines w:val="0"/>
              <w:widowControl/>
              <w:suppressLineNumbers w:val="0"/>
              <w:jc w:val="left"/>
              <w:rPr>
                <w:rFonts w:hint="eastAsia" w:ascii="宋体" w:hAnsi="宋体" w:eastAsia="宋体" w:cs="宋体"/>
                <w:b w:val="0"/>
                <w:bCs w:val="0"/>
                <w:sz w:val="18"/>
                <w:szCs w:val="18"/>
              </w:rPr>
            </w:pPr>
            <w:r>
              <w:rPr>
                <w:rFonts w:hint="eastAsia" w:ascii="宋体" w:hAnsi="宋体" w:eastAsia="宋体" w:cs="宋体"/>
                <w:b w:val="0"/>
                <w:bCs w:val="0"/>
                <w:snapToGrid w:val="0"/>
                <w:color w:val="000000"/>
                <w:kern w:val="0"/>
                <w:sz w:val="18"/>
                <w:szCs w:val="18"/>
                <w:lang w:val="en-US" w:eastAsia="zh-CN" w:bidi="ar"/>
              </w:rPr>
              <w:t xml:space="preserve">眼刺激性分级：符合 GB/T 21609-2008 规定的 3 级（有轻微刺激性）；眼睛刺激反应症状持续时间：≤24 小时。 </w:t>
            </w:r>
          </w:p>
          <w:p>
            <w:pPr>
              <w:rPr>
                <w:rFonts w:hint="eastAsia" w:ascii="宋体" w:hAnsi="宋体" w:eastAsia="宋体" w:cs="宋体"/>
                <w:b w:val="0"/>
                <w:bCs w:val="0"/>
                <w:snapToGrid w:val="0"/>
                <w:color w:val="000000"/>
                <w:kern w:val="0"/>
                <w:sz w:val="18"/>
                <w:szCs w:val="18"/>
                <w:lang w:val="en-US" w:eastAsia="zh-CN" w:bidi="ar"/>
              </w:rPr>
            </w:pPr>
            <w:r>
              <w:rPr>
                <w:rFonts w:hint="eastAsia" w:ascii="宋体" w:hAnsi="宋体" w:eastAsia="宋体" w:cs="宋体"/>
                <w:sz w:val="18"/>
                <w:szCs w:val="18"/>
                <w:vertAlign w:val="baseline"/>
                <w:lang w:val="en-US" w:eastAsia="zh-CN"/>
              </w:rPr>
              <w:t>▲</w:t>
            </w:r>
            <w:r>
              <w:rPr>
                <w:rFonts w:hint="eastAsia" w:ascii="宋体" w:hAnsi="宋体" w:eastAsia="宋体" w:cs="宋体"/>
                <w:b w:val="0"/>
                <w:bCs w:val="0"/>
                <w:snapToGrid w:val="0"/>
                <w:color w:val="000000"/>
                <w:kern w:val="0"/>
                <w:sz w:val="18"/>
                <w:szCs w:val="18"/>
                <w:lang w:val="en-US" w:eastAsia="zh-CN" w:bidi="ar"/>
              </w:rPr>
              <w:t>提供公安部产品质量检验中心出具的产品检验报告复印件加盖制造商公章。</w:t>
            </w:r>
          </w:p>
          <w:p>
            <w:pPr>
              <w:pStyle w:val="10"/>
              <w:widowControl/>
              <w:shd w:val="clear" w:color="auto" w:fill="FFFFFF"/>
              <w:spacing w:beforeAutospacing="0" w:afterAutospacing="0" w:line="276" w:lineRule="auto"/>
              <w:rPr>
                <w:rFonts w:ascii="宋体" w:hAnsi="宋体"/>
                <w:sz w:val="18"/>
                <w:szCs w:val="18"/>
              </w:rPr>
            </w:pPr>
            <w:r>
              <w:rPr>
                <w:rFonts w:hint="eastAsia" w:ascii="宋体" w:hAnsi="宋体" w:eastAsia="宋体" w:cs="宋体"/>
                <w:sz w:val="18"/>
                <w:szCs w:val="18"/>
                <w:vertAlign w:val="baseline"/>
                <w:lang w:val="en-US" w:eastAsia="zh-CN"/>
              </w:rPr>
              <w:t>▲</w:t>
            </w:r>
            <w:r>
              <w:rPr>
                <w:rFonts w:hint="eastAsia" w:ascii="宋体" w:hAnsi="宋体" w:eastAsia="宋体" w:cs="宋体"/>
                <w:b w:val="0"/>
                <w:bCs w:val="0"/>
                <w:snapToGrid w:val="0"/>
                <w:color w:val="000000"/>
                <w:kern w:val="0"/>
                <w:sz w:val="18"/>
                <w:szCs w:val="18"/>
                <w:lang w:val="en-US" w:eastAsia="zh-CN" w:bidi="ar"/>
              </w:rPr>
              <w:t>提供国家级产品质量监督检验中心出具的</w:t>
            </w:r>
            <w:r>
              <w:rPr>
                <w:rFonts w:hint="eastAsia" w:ascii="宋体" w:hAnsi="宋体" w:cs="宋体"/>
                <w:b w:val="0"/>
                <w:bCs w:val="0"/>
                <w:snapToGrid w:val="0"/>
                <w:color w:val="000000"/>
                <w:kern w:val="0"/>
                <w:sz w:val="18"/>
                <w:szCs w:val="18"/>
                <w:lang w:val="en-US" w:eastAsia="zh-CN" w:bidi="ar"/>
              </w:rPr>
              <w:t>催泪剂安全性</w:t>
            </w:r>
            <w:r>
              <w:rPr>
                <w:rFonts w:hint="eastAsia" w:ascii="宋体" w:hAnsi="宋体" w:eastAsia="宋体" w:cs="宋体"/>
                <w:b w:val="0"/>
                <w:bCs w:val="0"/>
                <w:snapToGrid w:val="0"/>
                <w:color w:val="000000"/>
                <w:kern w:val="0"/>
                <w:sz w:val="18"/>
                <w:szCs w:val="18"/>
                <w:lang w:val="en-US" w:eastAsia="zh-CN" w:bidi="ar"/>
              </w:rPr>
              <w:t>检测报告加盖制造商公章</w:t>
            </w:r>
            <w:r>
              <w:rPr>
                <w:rFonts w:hint="eastAsia"/>
                <w:sz w:val="18"/>
                <w:szCs w:val="18"/>
                <w:vertAlign w:val="baseline"/>
                <w:lang w:val="en-US" w:eastAsia="zh-CN"/>
              </w:rPr>
              <w:t>（报告应具有CNAS和CMA标识）</w:t>
            </w:r>
            <w:r>
              <w:rPr>
                <w:rFonts w:hint="eastAsia" w:ascii="宋体" w:hAnsi="宋体" w:eastAsia="宋体" w:cs="宋体"/>
                <w:b w:val="0"/>
                <w:bCs w:val="0"/>
                <w:snapToGrid w:val="0"/>
                <w:color w:val="000000"/>
                <w:kern w:val="0"/>
                <w:sz w:val="18"/>
                <w:szCs w:val="18"/>
                <w:lang w:val="en-US" w:eastAsia="zh-CN" w:bidi="ar"/>
              </w:rPr>
              <w:t>。</w:t>
            </w:r>
          </w:p>
        </w:tc>
        <w:tc>
          <w:tcPr>
            <w:tcW w:w="881"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300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3</w:t>
            </w:r>
          </w:p>
        </w:tc>
        <w:tc>
          <w:tcPr>
            <w:tcW w:w="761" w:type="dxa"/>
            <w:vAlign w:val="center"/>
          </w:tcPr>
          <w:p>
            <w:pPr>
              <w:spacing w:line="276" w:lineRule="auto"/>
              <w:jc w:val="center"/>
              <w:rPr>
                <w:rFonts w:hint="eastAsia" w:ascii="宋体" w:hAnsi="宋体"/>
                <w:szCs w:val="21"/>
              </w:rPr>
            </w:pPr>
            <w:r>
              <w:rPr>
                <w:rFonts w:hint="eastAsia" w:ascii="宋体" w:hAnsi="宋体"/>
                <w:szCs w:val="21"/>
              </w:rPr>
              <w:t>伸缩警棍</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1.执行标准：《GA 886-2018公安单警装备伸缩警棍》</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2.结构：伸缩警棍由小管组件、中管组件、握把组件和开关组件组成</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3.颜色：金属部件为亚光黑色，握把橡胶套为黑色</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4.质量：≤325g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5.尺寸：收回长度：224±1.5mm，伸展长度：508±2mm，握把外径：φ26.5±0.15mm，中管外径：φ20.5±0.1mm，小管外径：φ16.0±0.1mm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6.伸缩可靠性：可有效循环 ≥3000次；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7.耐击打性能：在完全伸展并锁定状态下，固定在专用击打试验机上，可耐 3000N 的击打力度，连续击打≥3000 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8.极限击打性能：在完全伸展并锁定状态下，按GA 886-2018中规定的击打力值进行试验，击打后伸缩警棍未断裂，棍头未脱落，能正常伸展和收回。</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9.握把橡胶套防脱性能：在收回状态下，在警棍套中进行插拔试验≥3000次后，握把橡胶套无卷边、翘边、鼓包、龟裂、移位等现象；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10.耐腐蚀性：经8小时盐雾试验，耐腐蚀等级应≥9 级</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11.适用温度：-40℃ ～60℃</w:t>
            </w:r>
          </w:p>
        </w:tc>
        <w:tc>
          <w:tcPr>
            <w:tcW w:w="881"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根</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4</w:t>
            </w:r>
          </w:p>
        </w:tc>
        <w:tc>
          <w:tcPr>
            <w:tcW w:w="761" w:type="dxa"/>
            <w:vAlign w:val="center"/>
          </w:tcPr>
          <w:p>
            <w:pPr>
              <w:spacing w:line="276" w:lineRule="auto"/>
              <w:jc w:val="center"/>
              <w:rPr>
                <w:rFonts w:hint="eastAsia" w:ascii="宋体" w:hAnsi="宋体"/>
                <w:szCs w:val="21"/>
              </w:rPr>
            </w:pPr>
            <w:r>
              <w:rPr>
                <w:rFonts w:hint="eastAsia" w:ascii="宋体" w:hAnsi="宋体"/>
                <w:szCs w:val="21"/>
              </w:rPr>
              <w:t>塑料手铐</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1.可重复使用约束带，采用PA66材料注塑，可解锁循环使用，非一次性。</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2.约束带总长40cm，宽度＜1.5cm，整体重量＜50g。既可手腕部位约束，也可以脚腕部位约束。</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3.可重复使用约束带由5个组件组成，一个塑料盒、两条塑料扎带、金属加强环、一个金属质解锁钥匙。</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4.塑料盒的作用主要用于固定两条塑料扎带，2个钥匙孔独立设置，分别用于解锁左右2条约束扎带。</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5.约束带齿条部分，可以实现对折收合，收合后长度＜25cm。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6.重金属含量（铅、镉、汞、六价铬）含量＜10mg/kg。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7.常温下拉力1191N，低温-30℃拉力1411N，高温50℃拉力1140N。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8.常温下，约束带锁定状态，施加100kg拉力3秒后，可以使用金属质钥匙解锁，循环次数大于10次。</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cs="宋体"/>
                <w:b w:val="0"/>
                <w:bCs w:val="0"/>
                <w:kern w:val="2"/>
                <w:sz w:val="18"/>
                <w:szCs w:val="18"/>
                <w:lang w:val="en-US" w:eastAsia="zh-CN" w:bidi="ar"/>
              </w:rPr>
              <w:t>9</w:t>
            </w:r>
            <w:r>
              <w:rPr>
                <w:rFonts w:hint="eastAsia" w:ascii="宋体" w:hAnsi="宋体" w:eastAsia="宋体" w:cs="宋体"/>
                <w:b w:val="0"/>
                <w:bCs w:val="0"/>
                <w:kern w:val="2"/>
                <w:sz w:val="18"/>
                <w:szCs w:val="18"/>
                <w:lang w:val="en-US" w:eastAsia="zh-CN" w:bidi="ar"/>
              </w:rPr>
              <w:t>.使用温度在-10℃-50</w:t>
            </w:r>
            <w:bookmarkStart w:id="2" w:name="_GoBack"/>
            <w:bookmarkEnd w:id="2"/>
            <w:r>
              <w:rPr>
                <w:rFonts w:hint="eastAsia" w:ascii="宋体" w:hAnsi="宋体" w:eastAsia="宋体" w:cs="宋体"/>
                <w:b w:val="0"/>
                <w:bCs w:val="0"/>
                <w:kern w:val="2"/>
                <w:sz w:val="18"/>
                <w:szCs w:val="18"/>
                <w:lang w:val="en-US" w:eastAsia="zh-CN" w:bidi="ar"/>
              </w:rPr>
              <w:t>℃之间，锁合拉力＞100kg。</w:t>
            </w:r>
          </w:p>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约束带颜色:黑色、白色、黄色、绿色可选</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300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spacing w:line="276" w:lineRule="auto"/>
              <w:jc w:val="center"/>
              <w:rPr>
                <w:rFonts w:hint="eastAsia" w:ascii="宋体" w:hAnsi="宋体" w:eastAsia="仿宋_GB2312"/>
                <w:szCs w:val="21"/>
                <w:lang w:eastAsia="zh-CN"/>
              </w:rPr>
            </w:pPr>
            <w:r>
              <w:rPr>
                <w:rFonts w:hint="eastAsia" w:ascii="宋体" w:hAnsi="宋体"/>
                <w:szCs w:val="21"/>
                <w:lang w:val="en-US" w:eastAsia="zh-CN"/>
              </w:rPr>
              <w:t>5</w:t>
            </w:r>
          </w:p>
        </w:tc>
        <w:tc>
          <w:tcPr>
            <w:tcW w:w="761" w:type="dxa"/>
            <w:vAlign w:val="center"/>
          </w:tcPr>
          <w:p>
            <w:pPr>
              <w:spacing w:line="276" w:lineRule="auto"/>
              <w:jc w:val="center"/>
              <w:rPr>
                <w:rFonts w:hint="eastAsia" w:ascii="宋体" w:hAnsi="宋体"/>
                <w:szCs w:val="21"/>
              </w:rPr>
            </w:pPr>
            <w:r>
              <w:rPr>
                <w:rFonts w:hint="eastAsia" w:ascii="宋体" w:hAnsi="宋体"/>
                <w:szCs w:val="21"/>
              </w:rPr>
              <w:t>金属连体铐</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1.拷、撩体结构：板式；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2.手铐最大内径：75±5mm，脚镣最大内径：100±5mm，总重量：1230±50g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3.防拨性能：防拨净时间：2min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4.反锁定位性能：反锁定位时1500N静压力下不出现啮合松动或失效</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5.手铐、脚镣钥匙互开性：否</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6.连接件抗拉强度：＞2940N</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7.拷、镣体在横向与纵向均施加2200N静压力下，不被打开，不变形，不裂缝</w:t>
            </w:r>
          </w:p>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8.外包装：牛津布包装</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80</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06" w:type="dxa"/>
            <w:vAlign w:val="center"/>
          </w:tcPr>
          <w:p>
            <w:pPr>
              <w:tabs>
                <w:tab w:val="left" w:pos="462"/>
              </w:tabs>
              <w:spacing w:line="276" w:lineRule="auto"/>
              <w:jc w:val="center"/>
              <w:rPr>
                <w:rFonts w:hint="eastAsia" w:ascii="宋体" w:hAnsi="宋体" w:eastAsia="仿宋_GB2312"/>
                <w:szCs w:val="21"/>
                <w:lang w:eastAsia="zh-CN"/>
              </w:rPr>
            </w:pPr>
            <w:r>
              <w:rPr>
                <w:rFonts w:hint="eastAsia" w:ascii="宋体" w:hAnsi="宋体"/>
                <w:szCs w:val="21"/>
                <w:lang w:val="en-US" w:eastAsia="zh-CN"/>
              </w:rPr>
              <w:t>6</w:t>
            </w:r>
          </w:p>
        </w:tc>
        <w:tc>
          <w:tcPr>
            <w:tcW w:w="761" w:type="dxa"/>
            <w:vAlign w:val="center"/>
          </w:tcPr>
          <w:p>
            <w:pPr>
              <w:spacing w:line="276" w:lineRule="auto"/>
              <w:jc w:val="center"/>
              <w:rPr>
                <w:rFonts w:ascii="宋体" w:hAnsi="宋体"/>
                <w:szCs w:val="21"/>
              </w:rPr>
            </w:pPr>
            <w:r>
              <w:rPr>
                <w:rFonts w:hint="eastAsia" w:ascii="宋体" w:hAnsi="宋体"/>
                <w:szCs w:val="21"/>
              </w:rPr>
              <w:t>多功能警用口哨</w:t>
            </w:r>
          </w:p>
        </w:tc>
        <w:tc>
          <w:tcPr>
            <w:tcW w:w="4705"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1.结构要求:电子警哨壳体采用黑色圆柱体铝合金材质制成，哨体有控制开关和音效切换键</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 xml:space="preserve">▲2.外观要求:电子警哨表面应光滑、无划痕、无磨损、无毛刺、无油渍，不应有机械损伤，表面涂层经300h人工老化后不应起泡、不脱落、不开裂、不粉化、不发霉、不生锈，变色≤1级，失光≤1级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3.尺寸要求:电子警哨哨体长度:133±2mm，直径:中24.5±2mm。</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4.重量要求:电子警哨主机重量应小于70g</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5.报警声级要求:电子警哨报警声级应为120±3dB(A)。</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6.工作时间要求:主机连续工作时间应大于等于10.5小时。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7.环境适应性能要求:在60℃±3℃~-20℃±3℃环境下放置2h后，试样应能正常工作。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8.自由跌落要求:主机自由跌落，跌落高度3m，试样应能正常工作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▲9.提供通过国家级产品质量监督检验中心出具的油漆涂层的检测报告复印件加盖制造商公章。（报告应具有CNAS和CMA标识）。</w:t>
            </w:r>
          </w:p>
        </w:tc>
        <w:tc>
          <w:tcPr>
            <w:tcW w:w="881"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215</w:t>
            </w:r>
          </w:p>
        </w:tc>
        <w:tc>
          <w:tcPr>
            <w:tcW w:w="786"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val="0"/>
                <w:bCs w:val="0"/>
                <w:kern w:val="2"/>
                <w:sz w:val="18"/>
                <w:szCs w:val="18"/>
                <w:lang w:val="en-US" w:eastAsia="zh-CN" w:bidi="ar"/>
              </w:rPr>
            </w:pPr>
            <w:r>
              <w:rPr>
                <w:rFonts w:hint="eastAsia" w:ascii="宋体" w:hAnsi="宋体" w:eastAsia="宋体" w:cs="宋体"/>
                <w:b w:val="0"/>
                <w:bCs w:val="0"/>
                <w:kern w:val="2"/>
                <w:sz w:val="18"/>
                <w:szCs w:val="18"/>
                <w:lang w:val="en-US" w:eastAsia="zh-CN" w:bidi="ar"/>
              </w:rPr>
              <w:t>支</w:t>
            </w: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c>
          <w:tcPr>
            <w:tcW w:w="780"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lang w:val="en-US" w:eastAsia="zh-CN" w:bidi="ar"/>
              </w:rPr>
            </w:pPr>
          </w:p>
        </w:tc>
      </w:tr>
    </w:tbl>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合同总价款人民币大写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元（¥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元），结算时以实际采购数量为   准。  </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二、交货时间、方式和地点</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交货时间：合同签订后，40个工作日内供货至指定地点并负责安装调试到位，交货前的货物灭失风险由乙方承担。</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交货地点：</w:t>
      </w:r>
      <w:r>
        <w:rPr>
          <w:rFonts w:hint="eastAsia" w:asciiTheme="minorEastAsia" w:hAnsiTheme="minorEastAsia" w:eastAsiaTheme="minorEastAsia"/>
          <w:sz w:val="24"/>
          <w:u w:val="single"/>
        </w:rPr>
        <w:t xml:space="preserve">  浙江省十里丰监狱  </w:t>
      </w:r>
      <w:r>
        <w:rPr>
          <w:rFonts w:hint="eastAsia" w:asciiTheme="minorEastAsia" w:hAnsiTheme="minorEastAsia" w:eastAsiaTheme="minorEastAsia"/>
          <w:sz w:val="24"/>
        </w:rPr>
        <w:t>。</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三、质保期：</w:t>
      </w:r>
      <w:r>
        <w:rPr>
          <w:rFonts w:hint="eastAsia" w:asciiTheme="minorEastAsia" w:hAnsiTheme="minorEastAsia" w:eastAsiaTheme="minorEastAsia"/>
          <w:sz w:val="24"/>
          <w:u w:val="single"/>
        </w:rPr>
        <w:t xml:space="preserve">   1年 </w:t>
      </w:r>
      <w:r>
        <w:rPr>
          <w:rFonts w:hint="eastAsia" w:asciiTheme="minorEastAsia" w:hAnsiTheme="minorEastAsia" w:eastAsiaTheme="minorEastAsia"/>
          <w:sz w:val="24"/>
        </w:rPr>
        <w:t>（自验收通过之日起计算）。（中标方承诺高于1年的，按中标方承诺）</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四、验收货方式</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采购人在响应人交货完毕后，对所供产品进行检查验收，若采购人随时发现货物与项目要求不符等问题的，响应人应按采购人要求在15个工作日内采取更换等处理措施，并由响应人承担由此产生的一切损失和费用，否则，采购人有权拒绝支付全部货款。验收合格后采购人指定人员在送货单上签字确认。</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五、货款结算方式                                     </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响应人所供最后一批物资保质期满后无质量问题以及无违反廉政制度等事宜的，响应人完成供货后经甲方验收合格，按照实际供货数量据实结算，并开具增值税</w:t>
      </w:r>
      <w:r>
        <w:rPr>
          <w:rFonts w:hint="eastAsia" w:asciiTheme="minorEastAsia" w:hAnsiTheme="minorEastAsia" w:eastAsiaTheme="minorEastAsia"/>
          <w:sz w:val="24"/>
          <w:lang w:eastAsia="zh-CN"/>
        </w:rPr>
        <w:t>普通</w:t>
      </w:r>
      <w:r>
        <w:rPr>
          <w:rFonts w:hint="eastAsia" w:asciiTheme="minorEastAsia" w:hAnsiTheme="minorEastAsia" w:eastAsiaTheme="minorEastAsia"/>
          <w:sz w:val="24"/>
        </w:rPr>
        <w:t>发票及提供甲方签收的送货单，响应人交纳总费用5%的质保金，采购人贰个月内一次性支付货款，同时一次性无息返还履约保证金。</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六、质量要求</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材质与制作要求：严格按照合同规格参数采购，按照监狱要求送到指定位置，响应人负责卸货、安装、施工、维保等相关服务。</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七、履约保证金</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乙方须在合同签订后3个工作日内向甲方交纳总费用</w:t>
      </w:r>
      <w:r>
        <w:rPr>
          <w:rFonts w:hint="eastAsia" w:asciiTheme="minorEastAsia" w:hAnsiTheme="minorEastAsia" w:eastAsiaTheme="minorEastAsia"/>
          <w:sz w:val="24"/>
          <w:u w:val="single"/>
        </w:rPr>
        <w:t>5 %</w:t>
      </w:r>
      <w:r>
        <w:rPr>
          <w:rFonts w:hint="eastAsia" w:asciiTheme="minorEastAsia" w:hAnsiTheme="minorEastAsia" w:eastAsiaTheme="minorEastAsia"/>
          <w:sz w:val="24"/>
        </w:rPr>
        <w:t>的履约保证金；乙方所供最后一批物资保质期满后无质量问题以及无违反廉政制度等事宜的。乙方完成供货后经甲方验收合格，交纳总费用5%的质量保证金，并开具增值税发票及提供甲方签收的送货单后贰个月内一次性全额付款，并一次性无息返还履约保证金。</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八、违约责任：</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1）响应人未按时交货或产品规格质量与采购要求不符的，响应人应当承担违约责任。承担方式和违约金额如下：每超期 </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天，扣总金额的</w:t>
      </w:r>
      <w:r>
        <w:rPr>
          <w:rFonts w:hint="eastAsia" w:asciiTheme="minorEastAsia" w:hAnsiTheme="minorEastAsia" w:eastAsiaTheme="minorEastAsia"/>
          <w:sz w:val="24"/>
          <w:u w:val="single"/>
        </w:rPr>
        <w:t xml:space="preserve"> 0.5  </w:t>
      </w:r>
      <w:r>
        <w:rPr>
          <w:rFonts w:hint="eastAsia" w:asciiTheme="minorEastAsia" w:hAnsiTheme="minorEastAsia" w:eastAsiaTheme="minorEastAsia"/>
          <w:sz w:val="24"/>
        </w:rPr>
        <w:t>%；累计超期</w:t>
      </w:r>
      <w:r>
        <w:rPr>
          <w:rFonts w:hint="eastAsia" w:asciiTheme="minorEastAsia" w:hAnsiTheme="minorEastAsia" w:eastAsiaTheme="minorEastAsia"/>
          <w:sz w:val="24"/>
          <w:u w:val="single"/>
        </w:rPr>
        <w:t xml:space="preserve"> 3 </w:t>
      </w:r>
      <w:r>
        <w:rPr>
          <w:rFonts w:hint="eastAsia" w:asciiTheme="minorEastAsia" w:hAnsiTheme="minorEastAsia" w:eastAsiaTheme="minorEastAsia"/>
          <w:sz w:val="24"/>
        </w:rPr>
        <w:t>天，扣合同金额的</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%，采购人并有权终止执行合同或要求响应人继续履行合同。产品规格质量与采购要求不符的，响应人负责无偿调换符合中标要求的合格产品，并负责承担由此引起的供货超期责任。</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2）响应人必须严格遵守采购人的管理制度和廉政规定，如果发生响应人向采购人工作人员行贿或其他违反管理制度规定的事项，一次扣</w:t>
      </w:r>
      <w:r>
        <w:rPr>
          <w:rFonts w:hint="eastAsia" w:asciiTheme="minorEastAsia" w:hAnsiTheme="minorEastAsia" w:eastAsiaTheme="minorEastAsia"/>
          <w:sz w:val="24"/>
          <w:u w:val="single"/>
        </w:rPr>
        <w:t xml:space="preserve">  2000</w:t>
      </w:r>
      <w:r>
        <w:rPr>
          <w:rFonts w:hint="eastAsia" w:asciiTheme="minorEastAsia" w:hAnsiTheme="minorEastAsia" w:eastAsiaTheme="minorEastAsia"/>
          <w:sz w:val="24"/>
        </w:rPr>
        <w:t>元，响应人承诺采购人有权从合同款中直接扣除。</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3）响应人在货物质保期内发生的非人为故意造成的设备损坏，响应人需在采购人告知后 24小时（按中标承诺填写）内安排维保，发生的一切费用由响应人负责，如质量问题等不可恢复的情形发生，响应人需按照合同原价或重新配送相应货物作为赔偿。如不能履行，将从质保金中按照合同原价予以扣除。</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4）采购人逾期支付货款的，自逾期之日起，响应人方每日偿付合同总价0.2‰的违约金；采购人无正当理由拒付货款的，应向响应人偿付合同总价3%的违约金。</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5）响应人质保期内未按承诺时间履行的，每次扣500元，从质保金中扣除。</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九、免责条件</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采购期间因遇国家和公司重大政策调整或严重自然灾害等不可抗力造成合同中断的，双方互不承担责任。</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十、纠纷解决方式</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合同履行期内，双方均不得随意变更或解除。如有未尽事宜，经双方共同协商，协商不成的由采购人住所地的法院诉讼解决。</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十一、本合同一式 陆  份，甲方 肆  份，乙方  贰  份，双方签字盖章生效。</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甲方（公章）：                       乙方（公章）： </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或授权委托人（签名或盖章）：         或授权委托人（签名或盖章）：       </w:t>
      </w:r>
    </w:p>
    <w:p>
      <w:pPr>
        <w:spacing w:after="0" w:line="240" w:lineRule="auto"/>
        <w:rPr>
          <w:rFonts w:hint="eastAsia" w:asciiTheme="minorEastAsia" w:hAnsiTheme="minorEastAsia" w:eastAsiaTheme="minorEastAsia"/>
          <w:sz w:val="24"/>
        </w:rPr>
      </w:pPr>
    </w:p>
    <w:p>
      <w:pPr>
        <w:spacing w:after="0" w:line="24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年    月   日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年   月   日       </w:t>
      </w:r>
      <w:bookmarkStart w:id="0" w:name="bodyStart"/>
      <w:bookmarkEnd w:id="0"/>
    </w:p>
    <w:p>
      <w:pPr>
        <w:widowControl/>
        <w:spacing w:after="0" w:line="240" w:lineRule="auto"/>
        <w:jc w:val="left"/>
        <w:rPr>
          <w:rFonts w:hint="eastAsia" w:ascii="黑体" w:hAnsi="黑体" w:eastAsia="黑体"/>
          <w:b/>
          <w:sz w:val="44"/>
          <w:szCs w:val="44"/>
        </w:rPr>
      </w:pPr>
      <w:r>
        <w:rPr>
          <w:rFonts w:hint="eastAsia" w:ascii="黑体" w:hAnsi="黑体" w:eastAsia="黑体"/>
          <w:b/>
          <w:sz w:val="44"/>
          <w:szCs w:val="44"/>
        </w:rPr>
        <w:br w:type="page"/>
      </w:r>
    </w:p>
    <w:p>
      <w:pPr>
        <w:spacing w:after="0" w:line="240" w:lineRule="auto"/>
        <w:jc w:val="center"/>
        <w:rPr>
          <w:rFonts w:hint="eastAsia" w:ascii="黑体" w:hAnsi="黑体" w:eastAsia="黑体"/>
          <w:b/>
          <w:sz w:val="44"/>
          <w:szCs w:val="44"/>
        </w:rPr>
      </w:pPr>
      <w:r>
        <w:rPr>
          <w:rFonts w:hint="eastAsia" w:ascii="黑体" w:hAnsi="黑体" w:eastAsia="黑体"/>
          <w:b/>
          <w:sz w:val="44"/>
          <w:szCs w:val="44"/>
        </w:rPr>
        <w:t>报价书</w:t>
      </w:r>
    </w:p>
    <w:p>
      <w:pPr>
        <w:spacing w:line="4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根据贵方采购编号为</w:t>
      </w:r>
      <w:r>
        <w:rPr>
          <w:rFonts w:hint="eastAsia" w:asciiTheme="minorEastAsia" w:hAnsiTheme="minorEastAsia" w:eastAsiaTheme="minorEastAsia"/>
          <w:sz w:val="28"/>
          <w:szCs w:val="28"/>
          <w:u w:val="single"/>
        </w:rPr>
        <w:t xml:space="preserve"> SLF-2025079 </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 xml:space="preserve"> 浙江省十里丰监狱警用装备</w:t>
      </w:r>
      <w:r>
        <w:rPr>
          <w:rFonts w:hint="eastAsia" w:asciiTheme="minorEastAsia" w:hAnsiTheme="minorEastAsia" w:eastAsiaTheme="minorEastAsia"/>
          <w:sz w:val="28"/>
          <w:szCs w:val="28"/>
        </w:rPr>
        <w:t>采购项目竞比文件，</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（投标单位全称）法定代表人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授权</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（全权代表名称）为全权代表，全权处理竞比活动中的一切事宜。</w:t>
      </w:r>
    </w:p>
    <w:p>
      <w:pPr>
        <w:spacing w:line="440" w:lineRule="exact"/>
        <w:ind w:firstLine="560" w:firstLineChars="200"/>
        <w:jc w:val="left"/>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委托期限</w:t>
      </w:r>
      <w:r>
        <w:rPr>
          <w:rFonts w:hint="eastAsia" w:asciiTheme="minorEastAsia" w:hAnsiTheme="minorEastAsia" w:eastAsiaTheme="minorEastAsia"/>
          <w:sz w:val="28"/>
          <w:szCs w:val="28"/>
          <w:u w:val="single"/>
        </w:rPr>
        <w:t>：       年   月   日</w:t>
      </w:r>
      <w:r>
        <w:rPr>
          <w:rFonts w:hint="eastAsia" w:asciiTheme="minorEastAsia" w:hAnsiTheme="minorEastAsia" w:eastAsiaTheme="minorEastAsia"/>
          <w:sz w:val="28"/>
          <w:szCs w:val="28"/>
        </w:rPr>
        <w:t>至</w:t>
      </w:r>
      <w:r>
        <w:rPr>
          <w:rFonts w:hint="eastAsia" w:asciiTheme="minorEastAsia" w:hAnsiTheme="minorEastAsia" w:eastAsiaTheme="minorEastAsia"/>
          <w:sz w:val="28"/>
          <w:szCs w:val="28"/>
          <w:u w:val="single"/>
        </w:rPr>
        <w:t xml:space="preserve">        年   月   日</w:t>
      </w:r>
    </w:p>
    <w:p>
      <w:pPr>
        <w:spacing w:after="0" w:line="240" w:lineRule="auto"/>
        <w:ind w:left="140" w:leftChars="67"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现报价及承诺如下：</w:t>
      </w:r>
    </w:p>
    <w:p>
      <w:pPr>
        <w:numPr>
          <w:ilvl w:val="0"/>
          <w:numId w:val="2"/>
        </w:numPr>
        <w:spacing w:after="0" w:line="240" w:lineRule="auto"/>
        <w:ind w:left="140" w:leftChars="67" w:firstLine="640" w:firstLineChars="200"/>
        <w:rPr>
          <w:rFonts w:hint="eastAsia" w:asciiTheme="minorEastAsia" w:hAnsiTheme="minorEastAsia" w:eastAsiaTheme="minorEastAsia"/>
          <w:sz w:val="32"/>
          <w:szCs w:val="32"/>
          <w:u w:val="single"/>
          <w:lang w:val="en-US" w:eastAsia="zh-CN"/>
        </w:rPr>
      </w:pPr>
      <w:r>
        <w:rPr>
          <w:rFonts w:hint="eastAsia" w:asciiTheme="minorEastAsia" w:hAnsiTheme="minorEastAsia" w:eastAsiaTheme="minorEastAsia"/>
          <w:sz w:val="32"/>
          <w:szCs w:val="32"/>
        </w:rPr>
        <w:t>根据用户方的相关要求，报价为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大写</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p>
    <w:p>
      <w:pPr>
        <w:numPr>
          <w:ilvl w:val="0"/>
          <w:numId w:val="0"/>
        </w:numPr>
        <w:spacing w:after="0" w:line="240" w:lineRule="auto"/>
        <w:ind w:leftChars="267"/>
        <w:rPr>
          <w:rFonts w:hint="eastAsia" w:asciiTheme="minorEastAsia" w:hAnsiTheme="minorEastAsia" w:eastAsiaTheme="minorEastAsia"/>
          <w:sz w:val="32"/>
          <w:szCs w:val="32"/>
        </w:rPr>
      </w:pP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整</w:t>
      </w:r>
      <w:r>
        <w:rPr>
          <w:rFonts w:hint="eastAsia" w:asciiTheme="minorEastAsia" w:hAnsiTheme="minorEastAsia" w:eastAsiaTheme="minorEastAsia"/>
          <w:sz w:val="32"/>
          <w:szCs w:val="32"/>
        </w:rPr>
        <w:t>（</w:t>
      </w:r>
      <w:r>
        <w:rPr>
          <w:rFonts w:hint="eastAsia" w:ascii="宋体" w:hAnsi="宋体" w:eastAsia="宋体" w:cs="宋体"/>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rPr>
        <w:t>）。</w:t>
      </w:r>
    </w:p>
    <w:p>
      <w:pPr>
        <w:spacing w:after="0" w:line="240" w:lineRule="auto"/>
        <w:ind w:left="140" w:leftChars="67"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2、我方同意按照贵方文件的要求执行，若我方有优于贵方的承诺则以优于的条款执行。</w:t>
      </w:r>
    </w:p>
    <w:p>
      <w:pPr>
        <w:spacing w:after="0" w:line="240" w:lineRule="auto"/>
        <w:ind w:left="140" w:leftChars="67"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3、其他承诺：</w:t>
      </w:r>
    </w:p>
    <w:p>
      <w:pPr>
        <w:spacing w:after="0" w:line="240" w:lineRule="auto"/>
        <w:ind w:right="480" w:firstLine="6440" w:firstLineChars="23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after="0" w:line="240" w:lineRule="auto"/>
        <w:ind w:right="480" w:firstLine="5040" w:firstLineChars="18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after="0" w:line="240" w:lineRule="auto"/>
        <w:ind w:right="480"/>
        <w:rPr>
          <w:rFonts w:hint="eastAsia" w:asciiTheme="minorEastAsia" w:hAnsiTheme="minorEastAsia" w:eastAsiaTheme="minorEastAsia"/>
          <w:sz w:val="28"/>
          <w:szCs w:val="28"/>
        </w:rPr>
      </w:pPr>
    </w:p>
    <w:p>
      <w:pPr>
        <w:spacing w:after="0" w:line="240" w:lineRule="auto"/>
        <w:ind w:right="48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报价人（公章）：</w:t>
      </w:r>
    </w:p>
    <w:p>
      <w:pPr>
        <w:spacing w:after="0" w:line="240" w:lineRule="auto"/>
        <w:ind w:right="480" w:firstLine="5040" w:firstLineChars="18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spacing w:after="0" w:line="240" w:lineRule="auto"/>
        <w:ind w:right="480" w:firstLine="5040" w:firstLineChars="18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授权委托人（签字或盖章）：</w:t>
      </w:r>
    </w:p>
    <w:p>
      <w:pPr>
        <w:spacing w:after="0" w:line="240" w:lineRule="auto"/>
        <w:ind w:right="480" w:firstLine="140" w:firstLineChars="50"/>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日期：2025年    月    日     </w:t>
      </w:r>
    </w:p>
    <w:p>
      <w:pPr>
        <w:spacing w:after="0" w:line="240" w:lineRule="auto"/>
        <w:rPr>
          <w:rFonts w:hint="eastAsia" w:asciiTheme="minorEastAsia" w:hAnsiTheme="minorEastAsia" w:eastAsiaTheme="minorEastAsia"/>
          <w:sz w:val="28"/>
          <w:szCs w:val="28"/>
        </w:rPr>
      </w:pPr>
    </w:p>
    <w:p>
      <w:pPr>
        <w:spacing w:after="0" w:line="240" w:lineRule="auto"/>
        <w:rPr>
          <w:rFonts w:hint="eastAsia" w:asciiTheme="minorEastAsia" w:hAnsiTheme="minorEastAsia" w:eastAsiaTheme="minorEastAsia"/>
          <w:sz w:val="28"/>
          <w:szCs w:val="28"/>
        </w:rPr>
      </w:pPr>
    </w:p>
    <w:p>
      <w:pPr>
        <w:spacing w:after="0" w:line="240" w:lineRule="auto"/>
        <w:rPr>
          <w:rFonts w:hint="eastAsia" w:asciiTheme="minorEastAsia" w:hAnsiTheme="minorEastAsia" w:eastAsiaTheme="minorEastAsia"/>
        </w:rPr>
      </w:pPr>
    </w:p>
    <w:p>
      <w:pPr>
        <w:spacing w:after="0" w:line="240" w:lineRule="auto"/>
        <w:rPr>
          <w:rFonts w:hint="eastAsia" w:asciiTheme="minorEastAsia" w:hAnsiTheme="minorEastAsia" w:eastAsiaTheme="minorEastAsia"/>
        </w:rPr>
      </w:pPr>
    </w:p>
    <w:p>
      <w:pPr>
        <w:spacing w:after="0" w:line="240" w:lineRule="auto"/>
        <w:rPr>
          <w:rFonts w:hint="eastAsia" w:asciiTheme="minorEastAsia" w:hAnsiTheme="minorEastAsia" w:eastAsiaTheme="minorEastAsia"/>
        </w:rPr>
      </w:pPr>
    </w:p>
    <w:p>
      <w:pPr>
        <w:widowControl/>
        <w:jc w:val="left"/>
        <w:rPr>
          <w:rFonts w:hint="eastAsia" w:ascii="仿宋" w:hAnsi="仿宋" w:eastAsia="仿宋"/>
          <w:b/>
          <w:bCs/>
          <w:sz w:val="28"/>
          <w:szCs w:val="28"/>
        </w:rPr>
      </w:pPr>
      <w:r>
        <w:rPr>
          <w:rFonts w:hint="eastAsia" w:ascii="仿宋" w:hAnsi="仿宋" w:eastAsia="仿宋"/>
          <w:b/>
          <w:bCs/>
          <w:sz w:val="28"/>
          <w:szCs w:val="28"/>
        </w:rPr>
        <w:br w:type="page"/>
      </w:r>
    </w:p>
    <w:p>
      <w:pPr>
        <w:spacing w:after="0" w:line="240" w:lineRule="auto"/>
        <w:ind w:firstLine="3920" w:firstLineChars="1400"/>
        <w:rPr>
          <w:rFonts w:hint="eastAsia" w:ascii="仿宋" w:hAnsi="仿宋" w:eastAsia="仿宋"/>
          <w:b/>
          <w:bCs/>
          <w:sz w:val="28"/>
          <w:szCs w:val="28"/>
        </w:rPr>
      </w:pPr>
      <w:r>
        <w:rPr>
          <w:rFonts w:hint="eastAsia" w:ascii="仿宋" w:hAnsi="仿宋" w:eastAsia="仿宋"/>
          <w:b/>
          <w:bCs/>
          <w:sz w:val="28"/>
          <w:szCs w:val="28"/>
        </w:rPr>
        <w:t>资料书</w:t>
      </w:r>
    </w:p>
    <w:p>
      <w:pPr>
        <w:spacing w:after="0" w:line="240" w:lineRule="auto"/>
        <w:jc w:val="left"/>
        <w:rPr>
          <w:rFonts w:hint="eastAsia" w:ascii="仿宋" w:hAnsi="仿宋" w:eastAsia="仿宋"/>
          <w:b/>
          <w:bCs/>
          <w:sz w:val="28"/>
          <w:szCs w:val="28"/>
        </w:rPr>
      </w:pPr>
    </w:p>
    <w:p>
      <w:pPr>
        <w:spacing w:after="0" w:line="240" w:lineRule="auto"/>
        <w:jc w:val="left"/>
        <w:rPr>
          <w:rFonts w:hint="eastAsia" w:ascii="仿宋" w:hAnsi="仿宋" w:eastAsia="仿宋"/>
          <w:b/>
          <w:bCs/>
          <w:sz w:val="28"/>
          <w:szCs w:val="28"/>
        </w:rPr>
      </w:pPr>
      <w:r>
        <w:rPr>
          <w:rFonts w:hint="eastAsia" w:ascii="仿宋" w:hAnsi="仿宋" w:eastAsia="仿宋"/>
          <w:b/>
          <w:bCs/>
          <w:sz w:val="28"/>
          <w:szCs w:val="28"/>
        </w:rPr>
        <w:t>采购申请部门要求竞比人上传的资料（扫描件）：</w:t>
      </w:r>
    </w:p>
    <w:p>
      <w:pPr>
        <w:spacing w:after="0" w:line="240" w:lineRule="auto"/>
        <w:jc w:val="left"/>
        <w:rPr>
          <w:rFonts w:hint="eastAsia" w:ascii="仿宋" w:hAnsi="仿宋" w:eastAsia="仿宋"/>
          <w:b/>
          <w:bCs/>
          <w:sz w:val="28"/>
          <w:szCs w:val="28"/>
        </w:rPr>
      </w:pPr>
    </w:p>
    <w:p>
      <w:pPr>
        <w:numPr>
          <w:ilvl w:val="0"/>
          <w:numId w:val="3"/>
        </w:numPr>
        <w:spacing w:after="0" w:line="240" w:lineRule="auto"/>
        <w:jc w:val="left"/>
        <w:rPr>
          <w:rFonts w:hint="eastAsia" w:ascii="仿宋" w:hAnsi="仿宋" w:eastAsia="仿宋"/>
          <w:b/>
          <w:bCs/>
          <w:sz w:val="28"/>
          <w:szCs w:val="28"/>
        </w:rPr>
      </w:pPr>
      <w:r>
        <w:rPr>
          <w:rFonts w:hint="eastAsia" w:ascii="仿宋" w:hAnsi="仿宋" w:eastAsia="仿宋"/>
          <w:b/>
          <w:bCs/>
          <w:sz w:val="28"/>
          <w:szCs w:val="28"/>
        </w:rPr>
        <w:t>有效营业执照</w:t>
      </w:r>
      <w:bookmarkStart w:id="1" w:name="_Hlk195278250"/>
      <w:r>
        <w:rPr>
          <w:rFonts w:hint="eastAsia" w:ascii="仿宋" w:hAnsi="仿宋" w:eastAsia="仿宋"/>
          <w:b/>
          <w:bCs/>
          <w:sz w:val="28"/>
          <w:szCs w:val="28"/>
        </w:rPr>
        <w:t>复印件并加盖公章</w:t>
      </w:r>
      <w:bookmarkEnd w:id="1"/>
      <w:r>
        <w:rPr>
          <w:rFonts w:hint="eastAsia" w:ascii="仿宋" w:hAnsi="仿宋" w:eastAsia="仿宋"/>
          <w:b/>
          <w:bCs/>
          <w:sz w:val="28"/>
          <w:szCs w:val="28"/>
        </w:rPr>
        <w:t>。</w:t>
      </w:r>
    </w:p>
    <w:p>
      <w:pPr>
        <w:numPr>
          <w:ilvl w:val="0"/>
          <w:numId w:val="3"/>
        </w:numPr>
        <w:spacing w:after="0" w:line="240" w:lineRule="auto"/>
        <w:jc w:val="left"/>
        <w:rPr>
          <w:rFonts w:hint="eastAsia" w:ascii="仿宋" w:hAnsi="仿宋" w:eastAsia="仿宋"/>
          <w:b/>
          <w:bCs/>
          <w:sz w:val="28"/>
          <w:szCs w:val="28"/>
        </w:rPr>
      </w:pPr>
      <w:r>
        <w:rPr>
          <w:rFonts w:hint="eastAsia" w:ascii="仿宋" w:hAnsi="仿宋" w:eastAsia="仿宋"/>
          <w:b/>
          <w:bCs/>
          <w:sz w:val="28"/>
          <w:szCs w:val="28"/>
        </w:rPr>
        <w:t>法定代表人（经营者）身份证复印件并加盖公章； 如有委托人的，同时提供委托人身份证复印件。</w:t>
      </w:r>
    </w:p>
    <w:p>
      <w:pPr>
        <w:numPr>
          <w:ilvl w:val="0"/>
          <w:numId w:val="3"/>
        </w:numPr>
        <w:spacing w:after="0" w:line="240" w:lineRule="auto"/>
        <w:jc w:val="left"/>
        <w:rPr>
          <w:rFonts w:hint="eastAsia" w:ascii="仿宋" w:hAnsi="仿宋" w:eastAsia="仿宋"/>
          <w:b/>
          <w:bCs/>
          <w:sz w:val="28"/>
          <w:szCs w:val="28"/>
        </w:rPr>
      </w:pPr>
      <w:r>
        <w:rPr>
          <w:rFonts w:hint="eastAsia" w:ascii="仿宋" w:hAnsi="仿宋" w:eastAsia="仿宋"/>
          <w:b/>
          <w:bCs/>
          <w:sz w:val="28"/>
          <w:szCs w:val="28"/>
        </w:rPr>
        <w:t>报价书。</w:t>
      </w:r>
    </w:p>
    <w:sectPr>
      <w:pgSz w:w="11906" w:h="16838"/>
      <w:pgMar w:top="1418" w:right="1134"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0A489"/>
    <w:multiLevelType w:val="singleLevel"/>
    <w:tmpl w:val="9CF0A489"/>
    <w:lvl w:ilvl="0" w:tentative="0">
      <w:start w:val="1"/>
      <w:numFmt w:val="decimal"/>
      <w:suff w:val="nothing"/>
      <w:lvlText w:val="%1、"/>
      <w:lvlJc w:val="left"/>
    </w:lvl>
  </w:abstractNum>
  <w:abstractNum w:abstractNumId="1">
    <w:nsid w:val="C0B6336C"/>
    <w:multiLevelType w:val="singleLevel"/>
    <w:tmpl w:val="C0B6336C"/>
    <w:lvl w:ilvl="0" w:tentative="0">
      <w:start w:val="1"/>
      <w:numFmt w:val="decimal"/>
      <w:suff w:val="nothing"/>
      <w:lvlText w:val="%1、"/>
      <w:lvlJc w:val="left"/>
    </w:lvl>
  </w:abstractNum>
  <w:abstractNum w:abstractNumId="2">
    <w:nsid w:val="456FBF8A"/>
    <w:multiLevelType w:val="singleLevel"/>
    <w:tmpl w:val="456FBF8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5D"/>
    <w:rsid w:val="000119E8"/>
    <w:rsid w:val="00011D91"/>
    <w:rsid w:val="0001597A"/>
    <w:rsid w:val="00025912"/>
    <w:rsid w:val="000268C8"/>
    <w:rsid w:val="00040138"/>
    <w:rsid w:val="0005229A"/>
    <w:rsid w:val="0007209B"/>
    <w:rsid w:val="00084DAA"/>
    <w:rsid w:val="000971D0"/>
    <w:rsid w:val="000A2161"/>
    <w:rsid w:val="000A34AB"/>
    <w:rsid w:val="000A55BA"/>
    <w:rsid w:val="000A7B26"/>
    <w:rsid w:val="000B5C6E"/>
    <w:rsid w:val="000C6EED"/>
    <w:rsid w:val="000D75CA"/>
    <w:rsid w:val="000F6188"/>
    <w:rsid w:val="000F779B"/>
    <w:rsid w:val="0010499A"/>
    <w:rsid w:val="001169F6"/>
    <w:rsid w:val="0015583C"/>
    <w:rsid w:val="00170541"/>
    <w:rsid w:val="001742C0"/>
    <w:rsid w:val="00190E1C"/>
    <w:rsid w:val="001919B3"/>
    <w:rsid w:val="001943D1"/>
    <w:rsid w:val="001946CA"/>
    <w:rsid w:val="00194B3A"/>
    <w:rsid w:val="001A2EB6"/>
    <w:rsid w:val="001B01C9"/>
    <w:rsid w:val="001C2D26"/>
    <w:rsid w:val="001C4ED0"/>
    <w:rsid w:val="001D52BE"/>
    <w:rsid w:val="001D6FD0"/>
    <w:rsid w:val="00206BE5"/>
    <w:rsid w:val="00217D16"/>
    <w:rsid w:val="00224F1C"/>
    <w:rsid w:val="00243C83"/>
    <w:rsid w:val="00247A36"/>
    <w:rsid w:val="00256CCB"/>
    <w:rsid w:val="00260559"/>
    <w:rsid w:val="00264D0F"/>
    <w:rsid w:val="0027049D"/>
    <w:rsid w:val="00270EEC"/>
    <w:rsid w:val="00271550"/>
    <w:rsid w:val="002803DB"/>
    <w:rsid w:val="002831A1"/>
    <w:rsid w:val="002974BB"/>
    <w:rsid w:val="00297872"/>
    <w:rsid w:val="002978B1"/>
    <w:rsid w:val="002B484F"/>
    <w:rsid w:val="002D5875"/>
    <w:rsid w:val="002E22FB"/>
    <w:rsid w:val="002E775B"/>
    <w:rsid w:val="0030563D"/>
    <w:rsid w:val="0030599D"/>
    <w:rsid w:val="00306C93"/>
    <w:rsid w:val="003230D9"/>
    <w:rsid w:val="00337322"/>
    <w:rsid w:val="00337AC1"/>
    <w:rsid w:val="00341C6E"/>
    <w:rsid w:val="00346150"/>
    <w:rsid w:val="00351CA9"/>
    <w:rsid w:val="00352897"/>
    <w:rsid w:val="0036162F"/>
    <w:rsid w:val="003644BC"/>
    <w:rsid w:val="0037060D"/>
    <w:rsid w:val="00372AAB"/>
    <w:rsid w:val="003907F2"/>
    <w:rsid w:val="003920D6"/>
    <w:rsid w:val="00392305"/>
    <w:rsid w:val="00395293"/>
    <w:rsid w:val="003A4937"/>
    <w:rsid w:val="003B3B93"/>
    <w:rsid w:val="003D18F3"/>
    <w:rsid w:val="003E2255"/>
    <w:rsid w:val="003E3DF7"/>
    <w:rsid w:val="00400F9E"/>
    <w:rsid w:val="00401A04"/>
    <w:rsid w:val="00406A0B"/>
    <w:rsid w:val="00412026"/>
    <w:rsid w:val="00424F2C"/>
    <w:rsid w:val="004256C6"/>
    <w:rsid w:val="00444411"/>
    <w:rsid w:val="0044592C"/>
    <w:rsid w:val="004560FC"/>
    <w:rsid w:val="0046325A"/>
    <w:rsid w:val="00464CBE"/>
    <w:rsid w:val="00470A2A"/>
    <w:rsid w:val="0047135E"/>
    <w:rsid w:val="004742D5"/>
    <w:rsid w:val="0048092A"/>
    <w:rsid w:val="00486994"/>
    <w:rsid w:val="004A1838"/>
    <w:rsid w:val="004A38F7"/>
    <w:rsid w:val="004A605D"/>
    <w:rsid w:val="004A6062"/>
    <w:rsid w:val="004B05B3"/>
    <w:rsid w:val="004C07AF"/>
    <w:rsid w:val="004C178B"/>
    <w:rsid w:val="004D4662"/>
    <w:rsid w:val="004E289E"/>
    <w:rsid w:val="004E379D"/>
    <w:rsid w:val="0050010C"/>
    <w:rsid w:val="00515631"/>
    <w:rsid w:val="00516716"/>
    <w:rsid w:val="005176E7"/>
    <w:rsid w:val="00531025"/>
    <w:rsid w:val="00550ED7"/>
    <w:rsid w:val="00550F7A"/>
    <w:rsid w:val="00560ED2"/>
    <w:rsid w:val="00566717"/>
    <w:rsid w:val="00597B10"/>
    <w:rsid w:val="005A564E"/>
    <w:rsid w:val="005C7C60"/>
    <w:rsid w:val="005D14C1"/>
    <w:rsid w:val="005D2F4D"/>
    <w:rsid w:val="005F0EE7"/>
    <w:rsid w:val="005F7B07"/>
    <w:rsid w:val="00606903"/>
    <w:rsid w:val="00617D69"/>
    <w:rsid w:val="00635827"/>
    <w:rsid w:val="00635D43"/>
    <w:rsid w:val="00643CEE"/>
    <w:rsid w:val="0065351F"/>
    <w:rsid w:val="00656765"/>
    <w:rsid w:val="006702E1"/>
    <w:rsid w:val="0067619D"/>
    <w:rsid w:val="00681F03"/>
    <w:rsid w:val="00690AF3"/>
    <w:rsid w:val="00691069"/>
    <w:rsid w:val="00691D33"/>
    <w:rsid w:val="006C0001"/>
    <w:rsid w:val="006D2E49"/>
    <w:rsid w:val="006D3C1F"/>
    <w:rsid w:val="006D654A"/>
    <w:rsid w:val="006D7BCA"/>
    <w:rsid w:val="006E3B39"/>
    <w:rsid w:val="00705833"/>
    <w:rsid w:val="0071130D"/>
    <w:rsid w:val="007267F0"/>
    <w:rsid w:val="00732AE2"/>
    <w:rsid w:val="00741981"/>
    <w:rsid w:val="00742018"/>
    <w:rsid w:val="0074277B"/>
    <w:rsid w:val="00747913"/>
    <w:rsid w:val="00747E94"/>
    <w:rsid w:val="00752FF7"/>
    <w:rsid w:val="00756C4C"/>
    <w:rsid w:val="0076098B"/>
    <w:rsid w:val="00762383"/>
    <w:rsid w:val="0077097D"/>
    <w:rsid w:val="00780784"/>
    <w:rsid w:val="007957C9"/>
    <w:rsid w:val="007A32E5"/>
    <w:rsid w:val="007B0BB7"/>
    <w:rsid w:val="007B2A46"/>
    <w:rsid w:val="007C70AE"/>
    <w:rsid w:val="007D4911"/>
    <w:rsid w:val="007D6F2E"/>
    <w:rsid w:val="007E723C"/>
    <w:rsid w:val="007F141D"/>
    <w:rsid w:val="007F7A29"/>
    <w:rsid w:val="0080716F"/>
    <w:rsid w:val="008145A0"/>
    <w:rsid w:val="008215CC"/>
    <w:rsid w:val="00830E09"/>
    <w:rsid w:val="00831AEE"/>
    <w:rsid w:val="00831F3A"/>
    <w:rsid w:val="00836B6D"/>
    <w:rsid w:val="00840044"/>
    <w:rsid w:val="0085666A"/>
    <w:rsid w:val="00857DD2"/>
    <w:rsid w:val="0087006C"/>
    <w:rsid w:val="00870CE1"/>
    <w:rsid w:val="008A1212"/>
    <w:rsid w:val="008A448B"/>
    <w:rsid w:val="008E6A18"/>
    <w:rsid w:val="008E6DF0"/>
    <w:rsid w:val="008F3B63"/>
    <w:rsid w:val="008F6AEF"/>
    <w:rsid w:val="00904EC1"/>
    <w:rsid w:val="00905296"/>
    <w:rsid w:val="00906D46"/>
    <w:rsid w:val="009128EC"/>
    <w:rsid w:val="00914D8A"/>
    <w:rsid w:val="00914E27"/>
    <w:rsid w:val="0091627C"/>
    <w:rsid w:val="009256F7"/>
    <w:rsid w:val="00962612"/>
    <w:rsid w:val="00966E2A"/>
    <w:rsid w:val="00984789"/>
    <w:rsid w:val="0099354F"/>
    <w:rsid w:val="009A63EF"/>
    <w:rsid w:val="009A71A8"/>
    <w:rsid w:val="009B637C"/>
    <w:rsid w:val="009C086E"/>
    <w:rsid w:val="009E1566"/>
    <w:rsid w:val="009E6B30"/>
    <w:rsid w:val="009F61E8"/>
    <w:rsid w:val="009F7C89"/>
    <w:rsid w:val="00A00976"/>
    <w:rsid w:val="00A037DF"/>
    <w:rsid w:val="00A165B7"/>
    <w:rsid w:val="00A21527"/>
    <w:rsid w:val="00A307F3"/>
    <w:rsid w:val="00A309F1"/>
    <w:rsid w:val="00A34C19"/>
    <w:rsid w:val="00A4548F"/>
    <w:rsid w:val="00A52A49"/>
    <w:rsid w:val="00A65829"/>
    <w:rsid w:val="00A818AE"/>
    <w:rsid w:val="00A823E3"/>
    <w:rsid w:val="00A84F2E"/>
    <w:rsid w:val="00A90890"/>
    <w:rsid w:val="00A94E04"/>
    <w:rsid w:val="00A97FAF"/>
    <w:rsid w:val="00AA7ADF"/>
    <w:rsid w:val="00AB0B5C"/>
    <w:rsid w:val="00AC20B2"/>
    <w:rsid w:val="00AC426E"/>
    <w:rsid w:val="00AE5C7A"/>
    <w:rsid w:val="00AF5E47"/>
    <w:rsid w:val="00AF657A"/>
    <w:rsid w:val="00B02FB0"/>
    <w:rsid w:val="00B2036D"/>
    <w:rsid w:val="00B305A9"/>
    <w:rsid w:val="00B41BF3"/>
    <w:rsid w:val="00B95EB1"/>
    <w:rsid w:val="00BB7023"/>
    <w:rsid w:val="00BB77FE"/>
    <w:rsid w:val="00BE6507"/>
    <w:rsid w:val="00BF765A"/>
    <w:rsid w:val="00C04829"/>
    <w:rsid w:val="00C0537C"/>
    <w:rsid w:val="00C077CF"/>
    <w:rsid w:val="00C10F09"/>
    <w:rsid w:val="00C3211B"/>
    <w:rsid w:val="00C35D54"/>
    <w:rsid w:val="00C3652C"/>
    <w:rsid w:val="00C41428"/>
    <w:rsid w:val="00C43899"/>
    <w:rsid w:val="00C552CC"/>
    <w:rsid w:val="00C65983"/>
    <w:rsid w:val="00C707DE"/>
    <w:rsid w:val="00C7434A"/>
    <w:rsid w:val="00C96F20"/>
    <w:rsid w:val="00CA099D"/>
    <w:rsid w:val="00CD4649"/>
    <w:rsid w:val="00CF04B6"/>
    <w:rsid w:val="00CF2643"/>
    <w:rsid w:val="00CF2817"/>
    <w:rsid w:val="00CF5770"/>
    <w:rsid w:val="00D1542C"/>
    <w:rsid w:val="00D160FD"/>
    <w:rsid w:val="00D162DC"/>
    <w:rsid w:val="00D376FC"/>
    <w:rsid w:val="00D42926"/>
    <w:rsid w:val="00D5050B"/>
    <w:rsid w:val="00D7394B"/>
    <w:rsid w:val="00D85EA2"/>
    <w:rsid w:val="00D92C1A"/>
    <w:rsid w:val="00DA459F"/>
    <w:rsid w:val="00DA628E"/>
    <w:rsid w:val="00DA7C09"/>
    <w:rsid w:val="00DC1397"/>
    <w:rsid w:val="00DE382F"/>
    <w:rsid w:val="00DF156B"/>
    <w:rsid w:val="00DF630D"/>
    <w:rsid w:val="00E0034E"/>
    <w:rsid w:val="00E0223D"/>
    <w:rsid w:val="00E320F9"/>
    <w:rsid w:val="00E37017"/>
    <w:rsid w:val="00E43151"/>
    <w:rsid w:val="00E4625A"/>
    <w:rsid w:val="00E5278D"/>
    <w:rsid w:val="00E52E46"/>
    <w:rsid w:val="00E62536"/>
    <w:rsid w:val="00E67323"/>
    <w:rsid w:val="00E715E6"/>
    <w:rsid w:val="00EA20B6"/>
    <w:rsid w:val="00EA2EB5"/>
    <w:rsid w:val="00EA2F18"/>
    <w:rsid w:val="00EA5293"/>
    <w:rsid w:val="00EB301F"/>
    <w:rsid w:val="00EB5A85"/>
    <w:rsid w:val="00EC6E1D"/>
    <w:rsid w:val="00EC7009"/>
    <w:rsid w:val="00EC7F69"/>
    <w:rsid w:val="00ED0CDF"/>
    <w:rsid w:val="00ED5942"/>
    <w:rsid w:val="00EF0C4E"/>
    <w:rsid w:val="00EF6A9A"/>
    <w:rsid w:val="00F06EF2"/>
    <w:rsid w:val="00F121D4"/>
    <w:rsid w:val="00F504E3"/>
    <w:rsid w:val="00F53AE3"/>
    <w:rsid w:val="00F74632"/>
    <w:rsid w:val="00F95EBF"/>
    <w:rsid w:val="00F97FD8"/>
    <w:rsid w:val="00FB019D"/>
    <w:rsid w:val="00FE6B91"/>
    <w:rsid w:val="00FF48BB"/>
    <w:rsid w:val="014F172E"/>
    <w:rsid w:val="026C776C"/>
    <w:rsid w:val="04521D41"/>
    <w:rsid w:val="05DA4723"/>
    <w:rsid w:val="09503B85"/>
    <w:rsid w:val="09CA549C"/>
    <w:rsid w:val="1048031C"/>
    <w:rsid w:val="104B2D78"/>
    <w:rsid w:val="1074757E"/>
    <w:rsid w:val="11C34B4D"/>
    <w:rsid w:val="167D3489"/>
    <w:rsid w:val="23D810B6"/>
    <w:rsid w:val="258027F0"/>
    <w:rsid w:val="297A4B5A"/>
    <w:rsid w:val="2A1034C5"/>
    <w:rsid w:val="2D653146"/>
    <w:rsid w:val="2F9A14C2"/>
    <w:rsid w:val="36590BBE"/>
    <w:rsid w:val="39A874BA"/>
    <w:rsid w:val="3AF45980"/>
    <w:rsid w:val="3F2D7CDA"/>
    <w:rsid w:val="4038606A"/>
    <w:rsid w:val="40CC4793"/>
    <w:rsid w:val="44B632BA"/>
    <w:rsid w:val="46D46F47"/>
    <w:rsid w:val="48B11316"/>
    <w:rsid w:val="4CE25405"/>
    <w:rsid w:val="4E9243B6"/>
    <w:rsid w:val="4F684AAA"/>
    <w:rsid w:val="550F2A82"/>
    <w:rsid w:val="558F2874"/>
    <w:rsid w:val="55D74677"/>
    <w:rsid w:val="5B443A07"/>
    <w:rsid w:val="5EFE506D"/>
    <w:rsid w:val="60547405"/>
    <w:rsid w:val="61274EF3"/>
    <w:rsid w:val="639D2EC0"/>
    <w:rsid w:val="64C826E8"/>
    <w:rsid w:val="64F54B02"/>
    <w:rsid w:val="6AB17E95"/>
    <w:rsid w:val="6AE23EC0"/>
    <w:rsid w:val="6BB62FEF"/>
    <w:rsid w:val="6EA64798"/>
    <w:rsid w:val="711872FF"/>
    <w:rsid w:val="7183594F"/>
    <w:rsid w:val="760A40D6"/>
    <w:rsid w:val="76FC2A9C"/>
    <w:rsid w:val="77565162"/>
    <w:rsid w:val="77D032E5"/>
    <w:rsid w:val="78203D99"/>
    <w:rsid w:val="78805FC6"/>
    <w:rsid w:val="7D3B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0" w:line="580" w:lineRule="exact"/>
      <w:ind w:left="0" w:leftChars="0" w:firstLine="420" w:firstLineChars="200"/>
    </w:pPr>
    <w:rPr>
      <w:rFonts w:ascii="仿宋_GB2312" w:eastAsia="仿宋_GB2312"/>
      <w:sz w:val="31"/>
    </w:rPr>
  </w:style>
  <w:style w:type="paragraph" w:styleId="3">
    <w:name w:val="Body Text Indent"/>
    <w:basedOn w:val="1"/>
    <w:next w:val="4"/>
    <w:link w:val="26"/>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Body Text"/>
    <w:basedOn w:val="1"/>
    <w:link w:val="18"/>
    <w:semiHidden/>
    <w:unhideWhenUsed/>
    <w:qFormat/>
    <w:uiPriority w:val="99"/>
    <w:pPr>
      <w:spacing w:after="120"/>
    </w:pPr>
  </w:style>
  <w:style w:type="paragraph" w:styleId="6">
    <w:name w:val="Plain Text"/>
    <w:basedOn w:val="1"/>
    <w:link w:val="23"/>
    <w:unhideWhenUsed/>
    <w:qFormat/>
    <w:uiPriority w:val="99"/>
    <w:rPr>
      <w:rFonts w:ascii="宋体" w:hAnsi="Courier New"/>
      <w:kern w:val="0"/>
      <w:sz w:val="20"/>
      <w:szCs w:val="20"/>
    </w:r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表正文"/>
    <w:next w:val="5"/>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17">
    <w:name w:val="默认段落字体 Para Char Char Char Char Char Char Char Char"/>
    <w:basedOn w:val="1"/>
    <w:qFormat/>
    <w:uiPriority w:val="0"/>
  </w:style>
  <w:style w:type="character" w:customStyle="1" w:styleId="18">
    <w:name w:val="正文文本 字符"/>
    <w:basedOn w:val="11"/>
    <w:link w:val="5"/>
    <w:semiHidden/>
    <w:qFormat/>
    <w:uiPriority w:val="99"/>
    <w:rPr>
      <w:rFonts w:ascii="Times New Roman" w:hAnsi="Times New Roman" w:eastAsia="宋体" w:cs="Times New Roman"/>
      <w:szCs w:val="24"/>
    </w:rPr>
  </w:style>
  <w:style w:type="character" w:customStyle="1" w:styleId="19">
    <w:name w:val="页眉 字符"/>
    <w:basedOn w:val="11"/>
    <w:link w:val="9"/>
    <w:qFormat/>
    <w:uiPriority w:val="99"/>
    <w:rPr>
      <w:rFonts w:ascii="Times New Roman" w:hAnsi="Times New Roman" w:eastAsia="宋体" w:cs="Times New Roman"/>
      <w:sz w:val="18"/>
      <w:szCs w:val="18"/>
    </w:rPr>
  </w:style>
  <w:style w:type="character" w:customStyle="1" w:styleId="20">
    <w:name w:val="页脚 字符"/>
    <w:basedOn w:val="11"/>
    <w:link w:val="8"/>
    <w:qFormat/>
    <w:uiPriority w:val="99"/>
    <w:rPr>
      <w:rFonts w:ascii="Times New Roman" w:hAnsi="Times New Roman" w:eastAsia="宋体" w:cs="Times New Roman"/>
      <w:sz w:val="18"/>
      <w:szCs w:val="18"/>
    </w:rPr>
  </w:style>
  <w:style w:type="character" w:customStyle="1" w:styleId="21">
    <w:name w:val="apple-converted-space"/>
    <w:basedOn w:val="11"/>
    <w:qFormat/>
    <w:uiPriority w:val="0"/>
  </w:style>
  <w:style w:type="character" w:customStyle="1" w:styleId="22">
    <w:name w:val="批注框文本 字符"/>
    <w:basedOn w:val="11"/>
    <w:link w:val="7"/>
    <w:semiHidden/>
    <w:qFormat/>
    <w:uiPriority w:val="99"/>
    <w:rPr>
      <w:rFonts w:ascii="Times New Roman" w:hAnsi="Times New Roman" w:eastAsia="宋体" w:cs="Times New Roman"/>
      <w:sz w:val="18"/>
      <w:szCs w:val="18"/>
    </w:rPr>
  </w:style>
  <w:style w:type="character" w:customStyle="1" w:styleId="23">
    <w:name w:val="纯文本 字符"/>
    <w:basedOn w:val="11"/>
    <w:link w:val="6"/>
    <w:qFormat/>
    <w:uiPriority w:val="99"/>
    <w:rPr>
      <w:rFonts w:ascii="宋体" w:hAnsi="Courier New" w:eastAsia="宋体" w:cs="Times New Roman"/>
      <w:kern w:val="0"/>
      <w:sz w:val="20"/>
      <w:szCs w:val="20"/>
    </w:rPr>
  </w:style>
  <w:style w:type="paragraph" w:customStyle="1" w:styleId="24">
    <w:name w:val="Char1"/>
    <w:basedOn w:val="1"/>
    <w:qFormat/>
    <w:uiPriority w:val="0"/>
    <w:pPr>
      <w:tabs>
        <w:tab w:val="left" w:pos="432"/>
      </w:tabs>
      <w:ind w:left="432" w:hanging="432"/>
    </w:pPr>
    <w:rPr>
      <w:rFonts w:ascii="Tahoma" w:hAnsi="Tahoma"/>
      <w:sz w:val="24"/>
      <w:szCs w:val="20"/>
    </w:rPr>
  </w:style>
  <w:style w:type="paragraph" w:customStyle="1" w:styleId="25">
    <w:name w:val="Char11"/>
    <w:basedOn w:val="1"/>
    <w:qFormat/>
    <w:uiPriority w:val="0"/>
    <w:pPr>
      <w:tabs>
        <w:tab w:val="left" w:pos="432"/>
      </w:tabs>
      <w:ind w:left="432" w:hanging="432"/>
    </w:pPr>
    <w:rPr>
      <w:rFonts w:ascii="Tahoma" w:hAnsi="Tahoma"/>
      <w:sz w:val="24"/>
      <w:szCs w:val="20"/>
    </w:rPr>
  </w:style>
  <w:style w:type="character" w:customStyle="1" w:styleId="26">
    <w:name w:val="正文文本缩进 字符"/>
    <w:basedOn w:val="11"/>
    <w:link w:val="3"/>
    <w:semiHidden/>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character" w:customStyle="1" w:styleId="28">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DC9C2-4C7E-4B74-87C0-0DECABAFF1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1575</Words>
  <Characters>1733</Characters>
  <Lines>133</Lines>
  <Paragraphs>132</Paragraphs>
  <TotalTime>3</TotalTime>
  <ScaleCrop>false</ScaleCrop>
  <LinksUpToDate>false</LinksUpToDate>
  <CharactersWithSpaces>3176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2018-02-23T06:58:00Z</dcterms:created>
  <dc:creator>SLF</dc:creator>
  <cp:lastModifiedBy>Administrator</cp:lastModifiedBy>
  <cp:lastPrinted>2021-04-30T02:11:00Z</cp:lastPrinted>
  <dcterms:modified xsi:type="dcterms:W3CDTF">2025-07-11T00:57:04Z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1B54964194CF4571A01B230F50CB4C53</vt:lpwstr>
  </property>
</Properties>
</file>