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23D4C4">
      <w:pPr>
        <w:adjustRightInd/>
        <w:spacing w:line="360" w:lineRule="auto"/>
        <w:jc w:val="center"/>
        <w:rPr>
          <w:rFonts w:hint="eastAsia" w:ascii="宋体" w:hAnsi="宋体" w:cs="宋体"/>
          <w:b/>
          <w:bCs/>
          <w:color w:val="auto"/>
          <w:sz w:val="48"/>
          <w:szCs w:val="48"/>
          <w:highlight w:val="none"/>
        </w:rPr>
      </w:pPr>
    </w:p>
    <w:p w14:paraId="185EC3EC">
      <w:pPr>
        <w:adjustRightInd/>
        <w:spacing w:line="360" w:lineRule="auto"/>
        <w:jc w:val="center"/>
        <w:rPr>
          <w:rFonts w:hint="eastAsia" w:ascii="宋体" w:hAnsi="宋体" w:cs="宋体"/>
          <w:b/>
          <w:bCs/>
          <w:color w:val="auto"/>
          <w:sz w:val="48"/>
          <w:szCs w:val="48"/>
          <w:highlight w:val="none"/>
          <w:lang w:eastAsia="zh-CN"/>
        </w:rPr>
      </w:pPr>
      <w:r>
        <w:rPr>
          <w:rFonts w:hint="eastAsia" w:ascii="宋体" w:hAnsi="宋体" w:cs="宋体"/>
          <w:b/>
          <w:bCs/>
          <w:color w:val="auto"/>
          <w:sz w:val="48"/>
          <w:szCs w:val="48"/>
          <w:highlight w:val="none"/>
          <w:lang w:eastAsia="zh-CN"/>
        </w:rPr>
        <w:t>杭州市美术职业学校</w:t>
      </w:r>
    </w:p>
    <w:p w14:paraId="00CFF16F">
      <w:pPr>
        <w:adjustRightInd/>
        <w:spacing w:line="360" w:lineRule="auto"/>
        <w:jc w:val="center"/>
        <w:rPr>
          <w:rFonts w:hint="eastAsia" w:ascii="宋体" w:hAnsi="宋体" w:eastAsia="宋体" w:cs="宋体"/>
          <w:b/>
          <w:bCs/>
          <w:color w:val="auto"/>
          <w:sz w:val="48"/>
          <w:szCs w:val="48"/>
          <w:highlight w:val="none"/>
          <w:lang w:eastAsia="zh-CN"/>
        </w:rPr>
      </w:pPr>
      <w:r>
        <w:rPr>
          <w:rFonts w:hint="eastAsia" w:ascii="宋体" w:hAnsi="宋体" w:cs="宋体"/>
          <w:b/>
          <w:bCs/>
          <w:color w:val="auto"/>
          <w:sz w:val="48"/>
          <w:szCs w:val="48"/>
          <w:highlight w:val="none"/>
          <w:lang w:eastAsia="zh-CN"/>
        </w:rPr>
        <w:t>（凤山校区）门卫楼及大礼堂外立面工程</w:t>
      </w:r>
    </w:p>
    <w:p w14:paraId="7F632303">
      <w:pPr>
        <w:adjustRightInd/>
        <w:spacing w:line="360" w:lineRule="auto"/>
        <w:jc w:val="center"/>
        <w:rPr>
          <w:rFonts w:ascii="宋体" w:hAnsi="宋体" w:cs="宋体"/>
          <w:color w:val="auto"/>
          <w:sz w:val="48"/>
          <w:szCs w:val="48"/>
          <w:highlight w:val="none"/>
        </w:rPr>
      </w:pPr>
    </w:p>
    <w:p w14:paraId="5F578567">
      <w:pPr>
        <w:pStyle w:val="3"/>
        <w:rPr>
          <w:rFonts w:ascii="宋体" w:hAnsi="宋体" w:cs="宋体"/>
          <w:color w:val="auto"/>
          <w:sz w:val="24"/>
          <w:szCs w:val="24"/>
          <w:highlight w:val="none"/>
        </w:rPr>
      </w:pPr>
    </w:p>
    <w:p w14:paraId="23170017">
      <w:pPr>
        <w:adjustRightInd/>
        <w:spacing w:line="360" w:lineRule="auto"/>
        <w:jc w:val="center"/>
        <w:rPr>
          <w:rFonts w:ascii="宋体" w:hAnsi="宋体" w:cs="宋体"/>
          <w:color w:val="auto"/>
          <w:sz w:val="56"/>
          <w:szCs w:val="56"/>
          <w:highlight w:val="none"/>
        </w:rPr>
      </w:pPr>
      <w:r>
        <w:rPr>
          <w:rFonts w:hint="eastAsia" w:ascii="宋体" w:hAnsi="宋体" w:cs="宋体"/>
          <w:b/>
          <w:bCs/>
          <w:color w:val="auto"/>
          <w:sz w:val="56"/>
          <w:szCs w:val="56"/>
          <w:highlight w:val="none"/>
        </w:rPr>
        <w:t>竞争性磋商文件</w:t>
      </w:r>
    </w:p>
    <w:p w14:paraId="2BBBCA68">
      <w:pPr>
        <w:adjustRightInd/>
        <w:spacing w:line="360" w:lineRule="auto"/>
        <w:jc w:val="center"/>
        <w:rPr>
          <w:rFonts w:hint="eastAsia" w:ascii="宋体" w:hAnsi="宋体" w:cs="宋体"/>
          <w:color w:val="auto"/>
          <w:sz w:val="30"/>
          <w:szCs w:val="30"/>
          <w:highlight w:val="none"/>
        </w:rPr>
      </w:pPr>
    </w:p>
    <w:p w14:paraId="363B1FE7">
      <w:pPr>
        <w:adjustRightInd/>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w:t>
      </w:r>
      <w:r>
        <w:rPr>
          <w:rFonts w:hint="eastAsia" w:ascii="宋体" w:hAnsi="宋体" w:cs="宋体"/>
          <w:color w:val="auto"/>
          <w:sz w:val="30"/>
          <w:szCs w:val="30"/>
          <w:highlight w:val="none"/>
          <w:lang w:val="en-US" w:eastAsia="zh-CN"/>
        </w:rPr>
        <w:t>非政府采购项目-</w:t>
      </w:r>
      <w:r>
        <w:rPr>
          <w:rFonts w:hint="eastAsia" w:ascii="宋体" w:hAnsi="宋体" w:cs="宋体"/>
          <w:color w:val="auto"/>
          <w:sz w:val="30"/>
          <w:szCs w:val="30"/>
          <w:highlight w:val="none"/>
        </w:rPr>
        <w:t>电子交易）</w:t>
      </w:r>
    </w:p>
    <w:p w14:paraId="2D6C8D4E">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项目编号：</w:t>
      </w:r>
      <w:r>
        <w:rPr>
          <w:rFonts w:hint="eastAsia" w:ascii="宋体" w:hAnsi="宋体" w:cs="宋体"/>
          <w:color w:val="auto"/>
          <w:sz w:val="30"/>
          <w:szCs w:val="30"/>
          <w:highlight w:val="none"/>
          <w:lang w:eastAsia="zh-CN"/>
        </w:rPr>
        <w:t>MSZX-2025-004</w:t>
      </w:r>
    </w:p>
    <w:p w14:paraId="34438A39">
      <w:pPr>
        <w:adjustRightInd/>
        <w:spacing w:line="360" w:lineRule="auto"/>
        <w:rPr>
          <w:rFonts w:ascii="宋体" w:hAnsi="宋体" w:cs="宋体"/>
          <w:color w:val="auto"/>
          <w:sz w:val="28"/>
          <w:szCs w:val="20"/>
          <w:highlight w:val="none"/>
        </w:rPr>
      </w:pPr>
    </w:p>
    <w:p w14:paraId="23C3266F">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4F5852C">
      <w:pPr>
        <w:spacing w:line="360" w:lineRule="auto"/>
        <w:jc w:val="center"/>
        <w:rPr>
          <w:rFonts w:ascii="宋体" w:hAnsi="宋体" w:cs="宋体"/>
          <w:color w:val="auto"/>
          <w:sz w:val="24"/>
          <w:highlight w:val="none"/>
        </w:rPr>
      </w:pPr>
    </w:p>
    <w:p w14:paraId="7B34E7D0">
      <w:pPr>
        <w:spacing w:line="360" w:lineRule="auto"/>
        <w:jc w:val="center"/>
        <w:rPr>
          <w:rFonts w:ascii="宋体" w:hAnsi="宋体" w:cs="宋体"/>
          <w:color w:val="auto"/>
          <w:sz w:val="24"/>
          <w:highlight w:val="none"/>
        </w:rPr>
      </w:pPr>
    </w:p>
    <w:p w14:paraId="7BD1EB7A">
      <w:pPr>
        <w:spacing w:line="360" w:lineRule="auto"/>
        <w:rPr>
          <w:rFonts w:ascii="宋体" w:hAnsi="宋体" w:cs="宋体"/>
          <w:color w:val="auto"/>
          <w:sz w:val="32"/>
          <w:szCs w:val="32"/>
          <w:highlight w:val="none"/>
        </w:rPr>
      </w:pPr>
    </w:p>
    <w:p w14:paraId="28C61009">
      <w:pPr>
        <w:pStyle w:val="25"/>
        <w:rPr>
          <w:rFonts w:cs="宋体"/>
          <w:color w:val="auto"/>
          <w:highlight w:val="none"/>
        </w:rPr>
      </w:pPr>
    </w:p>
    <w:p w14:paraId="1F1E377C">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杭州市美术职业学校</w:t>
      </w:r>
    </w:p>
    <w:p w14:paraId="448E1855">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杭州洲源招标代理有限公司</w:t>
      </w:r>
    </w:p>
    <w:p w14:paraId="14E30189">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p>
    <w:p w14:paraId="1DB32F82">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21416A7E">
      <w:pPr>
        <w:spacing w:line="360" w:lineRule="auto"/>
        <w:jc w:val="center"/>
        <w:rPr>
          <w:rFonts w:ascii="宋体" w:hAnsi="宋体" w:cs="宋体"/>
          <w:color w:val="auto"/>
          <w:sz w:val="24"/>
          <w:highlight w:val="none"/>
        </w:rPr>
      </w:pPr>
    </w:p>
    <w:p w14:paraId="5AA5ECAA">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D238233">
      <w:pPr>
        <w:spacing w:line="360" w:lineRule="auto"/>
        <w:rPr>
          <w:rFonts w:ascii="宋体" w:hAnsi="宋体" w:cs="宋体"/>
          <w:color w:val="auto"/>
          <w:sz w:val="32"/>
          <w:szCs w:val="32"/>
          <w:highlight w:val="none"/>
        </w:rPr>
      </w:pPr>
    </w:p>
    <w:p w14:paraId="35B3D7C4">
      <w:pPr>
        <w:spacing w:line="360" w:lineRule="auto"/>
        <w:rPr>
          <w:rFonts w:ascii="宋体" w:hAnsi="宋体" w:cs="宋体"/>
          <w:color w:val="auto"/>
          <w:sz w:val="32"/>
          <w:szCs w:val="32"/>
          <w:highlight w:val="none"/>
        </w:rPr>
      </w:pPr>
    </w:p>
    <w:p w14:paraId="10771A05">
      <w:pPr>
        <w:spacing w:line="360" w:lineRule="auto"/>
        <w:ind w:firstLine="2880" w:firstLineChars="900"/>
        <w:rPr>
          <w:rFonts w:ascii="宋体" w:hAnsi="宋体" w:cs="宋体"/>
          <w:color w:val="auto"/>
          <w:sz w:val="32"/>
          <w:szCs w:val="32"/>
          <w:highlight w:val="none"/>
        </w:rPr>
      </w:pPr>
      <w:r>
        <w:rPr>
          <w:rFonts w:hint="eastAsia" w:ascii="宋体" w:hAnsi="宋体" w:cs="宋体"/>
          <w:color w:val="auto"/>
          <w:sz w:val="32"/>
          <w:szCs w:val="32"/>
          <w:highlight w:val="none"/>
        </w:rPr>
        <w:t>第一部分      竞争性磋商公告</w:t>
      </w:r>
    </w:p>
    <w:p w14:paraId="7D68E379">
      <w:pPr>
        <w:spacing w:line="360" w:lineRule="auto"/>
        <w:ind w:firstLine="2880" w:firstLineChars="900"/>
        <w:rPr>
          <w:rFonts w:ascii="宋体" w:hAnsi="宋体" w:cs="宋体"/>
          <w:color w:val="auto"/>
          <w:sz w:val="32"/>
          <w:szCs w:val="32"/>
          <w:highlight w:val="none"/>
        </w:rPr>
      </w:pPr>
      <w:r>
        <w:rPr>
          <w:rFonts w:hint="eastAsia" w:ascii="宋体" w:hAnsi="宋体" w:cs="宋体"/>
          <w:color w:val="auto"/>
          <w:sz w:val="32"/>
          <w:szCs w:val="32"/>
          <w:highlight w:val="none"/>
        </w:rPr>
        <w:t>第二部分      供应商须知</w:t>
      </w:r>
    </w:p>
    <w:p w14:paraId="6CB0B778">
      <w:pPr>
        <w:spacing w:line="360" w:lineRule="auto"/>
        <w:ind w:firstLine="2880" w:firstLineChars="9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413CBD44">
      <w:pPr>
        <w:spacing w:line="360" w:lineRule="auto"/>
        <w:ind w:firstLine="2880" w:firstLineChars="900"/>
        <w:rPr>
          <w:rFonts w:ascii="宋体" w:hAnsi="宋体" w:cs="宋体"/>
          <w:color w:val="auto"/>
          <w:sz w:val="32"/>
          <w:szCs w:val="32"/>
          <w:highlight w:val="none"/>
        </w:rPr>
      </w:pPr>
      <w:r>
        <w:rPr>
          <w:rFonts w:hint="eastAsia" w:ascii="宋体" w:hAnsi="宋体" w:cs="宋体"/>
          <w:color w:val="auto"/>
          <w:sz w:val="32"/>
          <w:szCs w:val="32"/>
          <w:highlight w:val="none"/>
        </w:rPr>
        <w:t>第四部分      评审办法</w:t>
      </w:r>
    </w:p>
    <w:p w14:paraId="489BAD27">
      <w:pPr>
        <w:spacing w:line="360" w:lineRule="auto"/>
        <w:ind w:firstLine="2880" w:firstLineChars="9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61FE5600">
      <w:pPr>
        <w:spacing w:line="360" w:lineRule="auto"/>
        <w:ind w:firstLine="2880" w:firstLineChars="9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3717C70C">
      <w:pPr>
        <w:spacing w:line="360" w:lineRule="auto"/>
        <w:ind w:firstLine="1280" w:firstLineChars="400"/>
        <w:rPr>
          <w:rFonts w:ascii="宋体" w:hAnsi="宋体" w:cs="宋体"/>
          <w:color w:val="auto"/>
          <w:sz w:val="32"/>
          <w:szCs w:val="32"/>
          <w:highlight w:val="none"/>
        </w:rPr>
      </w:pPr>
    </w:p>
    <w:p w14:paraId="79310C82">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70DED5D6">
      <w:pPr>
        <w:spacing w:line="360" w:lineRule="auto"/>
        <w:ind w:firstLine="549" w:firstLineChars="229"/>
        <w:rPr>
          <w:rFonts w:ascii="宋体" w:hAnsi="宋体" w:cs="宋体"/>
          <w:color w:val="auto"/>
          <w:sz w:val="24"/>
          <w:highlight w:val="none"/>
        </w:rPr>
      </w:pPr>
    </w:p>
    <w:p w14:paraId="554CBFB3">
      <w:pPr>
        <w:spacing w:line="360" w:lineRule="auto"/>
        <w:ind w:firstLine="549" w:firstLineChars="229"/>
        <w:rPr>
          <w:rFonts w:ascii="宋体" w:hAnsi="宋体" w:cs="宋体"/>
          <w:color w:val="auto"/>
          <w:sz w:val="24"/>
          <w:highlight w:val="none"/>
        </w:rPr>
      </w:pPr>
    </w:p>
    <w:p w14:paraId="0C34E447">
      <w:pPr>
        <w:spacing w:line="360" w:lineRule="auto"/>
        <w:ind w:firstLine="549" w:firstLineChars="229"/>
        <w:rPr>
          <w:rFonts w:ascii="宋体" w:hAnsi="宋体" w:cs="宋体"/>
          <w:color w:val="auto"/>
          <w:sz w:val="24"/>
          <w:highlight w:val="none"/>
        </w:rPr>
      </w:pPr>
    </w:p>
    <w:p w14:paraId="1B5D779F">
      <w:pPr>
        <w:spacing w:line="360" w:lineRule="auto"/>
        <w:ind w:firstLine="549" w:firstLineChars="229"/>
        <w:rPr>
          <w:rFonts w:ascii="宋体" w:hAnsi="宋体" w:cs="宋体"/>
          <w:color w:val="auto"/>
          <w:sz w:val="24"/>
          <w:highlight w:val="none"/>
        </w:rPr>
      </w:pPr>
    </w:p>
    <w:p w14:paraId="7C281E5B">
      <w:pPr>
        <w:spacing w:line="360" w:lineRule="auto"/>
        <w:ind w:firstLine="549" w:firstLineChars="229"/>
        <w:rPr>
          <w:rFonts w:ascii="宋体" w:hAnsi="宋体" w:cs="宋体"/>
          <w:color w:val="auto"/>
          <w:sz w:val="24"/>
          <w:highlight w:val="none"/>
        </w:rPr>
      </w:pPr>
    </w:p>
    <w:p w14:paraId="2614374F">
      <w:pPr>
        <w:spacing w:line="360" w:lineRule="auto"/>
        <w:ind w:firstLine="549" w:firstLineChars="229"/>
        <w:rPr>
          <w:rFonts w:ascii="宋体" w:hAnsi="宋体" w:cs="宋体"/>
          <w:color w:val="auto"/>
          <w:sz w:val="24"/>
          <w:highlight w:val="none"/>
        </w:rPr>
      </w:pPr>
    </w:p>
    <w:p w14:paraId="6B7C4427">
      <w:pPr>
        <w:spacing w:line="360" w:lineRule="auto"/>
        <w:ind w:firstLine="549" w:firstLineChars="229"/>
        <w:rPr>
          <w:rFonts w:ascii="宋体" w:hAnsi="宋体" w:cs="宋体"/>
          <w:color w:val="auto"/>
          <w:sz w:val="24"/>
          <w:highlight w:val="none"/>
        </w:rPr>
      </w:pPr>
    </w:p>
    <w:p w14:paraId="74168228">
      <w:pPr>
        <w:spacing w:line="360" w:lineRule="auto"/>
        <w:ind w:firstLine="549" w:firstLineChars="229"/>
        <w:rPr>
          <w:rFonts w:ascii="宋体" w:hAnsi="宋体" w:cs="宋体"/>
          <w:color w:val="auto"/>
          <w:sz w:val="24"/>
          <w:highlight w:val="none"/>
        </w:rPr>
      </w:pPr>
    </w:p>
    <w:p w14:paraId="0D14352D">
      <w:pPr>
        <w:spacing w:line="360" w:lineRule="auto"/>
        <w:ind w:firstLine="549" w:firstLineChars="229"/>
        <w:rPr>
          <w:rFonts w:ascii="宋体" w:hAnsi="宋体" w:cs="宋体"/>
          <w:color w:val="auto"/>
          <w:sz w:val="24"/>
          <w:highlight w:val="none"/>
        </w:rPr>
      </w:pPr>
    </w:p>
    <w:p w14:paraId="648D991C">
      <w:pPr>
        <w:spacing w:line="360" w:lineRule="auto"/>
        <w:ind w:firstLine="549" w:firstLineChars="229"/>
        <w:rPr>
          <w:rFonts w:ascii="宋体" w:hAnsi="宋体" w:cs="宋体"/>
          <w:color w:val="auto"/>
          <w:sz w:val="24"/>
          <w:highlight w:val="none"/>
        </w:rPr>
      </w:pPr>
    </w:p>
    <w:p w14:paraId="5B5AA002">
      <w:pPr>
        <w:spacing w:line="360" w:lineRule="auto"/>
        <w:ind w:firstLine="549" w:firstLineChars="229"/>
        <w:rPr>
          <w:rFonts w:ascii="宋体" w:hAnsi="宋体" w:cs="宋体"/>
          <w:color w:val="auto"/>
          <w:sz w:val="24"/>
          <w:highlight w:val="none"/>
        </w:rPr>
      </w:pPr>
    </w:p>
    <w:p w14:paraId="25C3B5D1">
      <w:pPr>
        <w:spacing w:line="360" w:lineRule="auto"/>
        <w:ind w:firstLine="549" w:firstLineChars="229"/>
        <w:rPr>
          <w:rFonts w:ascii="宋体" w:hAnsi="宋体" w:cs="宋体"/>
          <w:color w:val="auto"/>
          <w:sz w:val="24"/>
          <w:highlight w:val="none"/>
        </w:rPr>
      </w:pPr>
    </w:p>
    <w:p w14:paraId="414C9990">
      <w:pPr>
        <w:spacing w:line="360" w:lineRule="auto"/>
        <w:rPr>
          <w:rFonts w:ascii="宋体" w:hAnsi="宋体" w:cs="宋体"/>
          <w:color w:val="auto"/>
          <w:sz w:val="24"/>
          <w:highlight w:val="none"/>
        </w:rPr>
      </w:pPr>
    </w:p>
    <w:p w14:paraId="24B0CA25">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649545"/>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竞争性磋商公告</w:t>
      </w:r>
    </w:p>
    <w:tbl>
      <w:tblPr>
        <w:tblStyle w:val="62"/>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8"/>
      </w:tblGrid>
      <w:tr w14:paraId="73C03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tcPr>
          <w:p w14:paraId="54685F95">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项目概况</w:t>
            </w:r>
          </w:p>
          <w:p w14:paraId="4F4942F9">
            <w:pPr>
              <w:pStyle w:val="25"/>
              <w:keepNext w:val="0"/>
              <w:keepLines w:val="0"/>
              <w:pageBreakBefore w:val="0"/>
              <w:kinsoku/>
              <w:wordWrap/>
              <w:overflowPunct/>
              <w:topLinePunct w:val="0"/>
              <w:autoSpaceDE/>
              <w:autoSpaceDN/>
              <w:bidi w:val="0"/>
              <w:adjustRightInd w:val="0"/>
              <w:spacing w:line="360" w:lineRule="auto"/>
              <w:textAlignment w:val="auto"/>
              <w:rPr>
                <w:rFonts w:cs="宋体"/>
                <w:color w:val="auto"/>
                <w:highlight w:val="none"/>
              </w:rPr>
            </w:pPr>
            <w:r>
              <w:rPr>
                <w:rFonts w:hint="eastAsia" w:cs="宋体"/>
                <w:color w:val="auto"/>
                <w:highlight w:val="none"/>
                <w:lang w:eastAsia="zh-CN"/>
              </w:rPr>
              <w:t>杭州市美术职业学校（凤山校区）门卫楼及大礼堂外立面工程</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项目的潜在供应商应在</w:t>
            </w:r>
            <w:r>
              <w:rPr>
                <w:rFonts w:hint="eastAsia" w:ascii="宋体" w:hAnsi="宋体" w:eastAsia="宋体" w:cs="宋体"/>
                <w:color w:val="auto"/>
                <w:highlight w:val="none"/>
                <w:lang w:val="en-US" w:eastAsia="zh-CN"/>
              </w:rPr>
              <w:t>乐采云平台（https://hzjyg.lecaiyun.com）获取采</w:t>
            </w:r>
            <w:r>
              <w:rPr>
                <w:rFonts w:hint="eastAsia" w:ascii="Times New Roman" w:hAnsi="Times New Roman" w:cs="Times New Roman"/>
                <w:color w:val="auto"/>
                <w:highlight w:val="none"/>
                <w:lang w:val="en-US" w:eastAsia="zh-CN"/>
              </w:rPr>
              <w:t>购文件，并于</w:t>
            </w:r>
            <w:r>
              <w:rPr>
                <w:rFonts w:hint="eastAsia" w:ascii="宋体" w:hAnsi="宋体" w:cs="宋体"/>
                <w:color w:val="FF0000"/>
                <w:sz w:val="24"/>
                <w:highlight w:val="none"/>
                <w:lang w:eastAsia="zh-CN"/>
              </w:rPr>
              <w:t>202</w:t>
            </w:r>
            <w:r>
              <w:rPr>
                <w:rFonts w:hint="eastAsia" w:cs="宋体"/>
                <w:color w:val="FF0000"/>
                <w:sz w:val="24"/>
                <w:highlight w:val="none"/>
                <w:lang w:val="en-US" w:eastAsia="zh-CN"/>
              </w:rPr>
              <w:t>5</w:t>
            </w:r>
            <w:r>
              <w:rPr>
                <w:rFonts w:hint="eastAsia" w:ascii="宋体" w:hAnsi="宋体" w:cs="宋体"/>
                <w:color w:val="FF0000"/>
                <w:sz w:val="24"/>
                <w:highlight w:val="none"/>
                <w:lang w:eastAsia="zh-CN"/>
              </w:rPr>
              <w:t>年</w:t>
            </w:r>
            <w:r>
              <w:rPr>
                <w:rFonts w:hint="eastAsia" w:cs="宋体"/>
                <w:color w:val="FF0000"/>
                <w:sz w:val="24"/>
                <w:highlight w:val="none"/>
                <w:lang w:val="en-US" w:eastAsia="zh-CN"/>
              </w:rPr>
              <w:t>07</w:t>
            </w:r>
            <w:r>
              <w:rPr>
                <w:rFonts w:hint="eastAsia" w:ascii="宋体" w:hAnsi="宋体" w:cs="宋体"/>
                <w:color w:val="FF0000"/>
                <w:sz w:val="24"/>
                <w:highlight w:val="none"/>
                <w:lang w:eastAsia="zh-CN"/>
              </w:rPr>
              <w:t>月</w:t>
            </w:r>
            <w:r>
              <w:rPr>
                <w:rFonts w:hint="eastAsia" w:cs="宋体"/>
                <w:color w:val="FF0000"/>
                <w:sz w:val="24"/>
                <w:highlight w:val="none"/>
                <w:lang w:val="en-US" w:eastAsia="zh-CN"/>
              </w:rPr>
              <w:t>08</w:t>
            </w:r>
            <w:r>
              <w:rPr>
                <w:rFonts w:hint="eastAsia" w:ascii="宋体" w:hAnsi="宋体" w:cs="宋体"/>
                <w:color w:val="FF0000"/>
                <w:sz w:val="24"/>
                <w:highlight w:val="none"/>
                <w:lang w:eastAsia="zh-CN"/>
              </w:rPr>
              <w:t>日</w:t>
            </w:r>
            <w:r>
              <w:rPr>
                <w:rFonts w:hint="eastAsia" w:cs="宋体"/>
                <w:color w:val="FF0000"/>
                <w:sz w:val="24"/>
                <w:highlight w:val="none"/>
                <w:lang w:val="en-US" w:eastAsia="zh-CN"/>
              </w:rPr>
              <w:t>15</w:t>
            </w:r>
            <w:r>
              <w:rPr>
                <w:rFonts w:hint="eastAsia" w:ascii="宋体" w:hAnsi="宋体" w:cs="宋体"/>
                <w:color w:val="FF0000"/>
                <w:sz w:val="24"/>
                <w:highlight w:val="none"/>
              </w:rPr>
              <w:t>:</w:t>
            </w:r>
            <w:r>
              <w:rPr>
                <w:rFonts w:hint="eastAsia" w:cs="宋体"/>
                <w:color w:val="FF0000"/>
                <w:sz w:val="24"/>
                <w:highlight w:val="none"/>
                <w:lang w:val="en-US" w:eastAsia="zh-CN"/>
              </w:rPr>
              <w:t>00</w:t>
            </w:r>
            <w:r>
              <w:rPr>
                <w:rFonts w:hint="eastAsia" w:cs="宋体"/>
                <w:color w:val="auto"/>
                <w:highlight w:val="none"/>
              </w:rPr>
              <w:t>（北京时间）前提交（上传）响应文件。 </w:t>
            </w:r>
          </w:p>
        </w:tc>
      </w:tr>
    </w:tbl>
    <w:p w14:paraId="4D8A00C8">
      <w:pPr>
        <w:widowControl/>
        <w:snapToGrid w:val="0"/>
        <w:spacing w:line="360" w:lineRule="auto"/>
        <w:jc w:val="left"/>
        <w:rPr>
          <w:rFonts w:ascii="宋体" w:hAnsi="宋体" w:cs="宋体"/>
          <w:color w:val="auto"/>
          <w:highlight w:val="none"/>
        </w:rPr>
      </w:pPr>
    </w:p>
    <w:p w14:paraId="76ACE377">
      <w:pPr>
        <w:widowControl/>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一、项目基本情况</w:t>
      </w:r>
    </w:p>
    <w:p w14:paraId="56B8112A">
      <w:pPr>
        <w:widowControl/>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MSZX-2025-004</w:t>
      </w:r>
    </w:p>
    <w:p w14:paraId="055E3950">
      <w:pPr>
        <w:widowControl/>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杭州市美术职业学校（凤山校区）门卫楼及大礼堂外立面工程</w:t>
      </w:r>
    </w:p>
    <w:p w14:paraId="6B4BD30C">
      <w:pPr>
        <w:pStyle w:val="25"/>
        <w:spacing w:line="360" w:lineRule="auto"/>
        <w:rPr>
          <w:rFonts w:cs="宋体"/>
          <w:color w:val="auto"/>
          <w:highlight w:val="none"/>
        </w:rPr>
      </w:pPr>
      <w:r>
        <w:rPr>
          <w:rFonts w:hint="eastAsia" w:cs="宋体"/>
          <w:color w:val="auto"/>
          <w:highlight w:val="none"/>
        </w:rPr>
        <w:t>采购方式：竞争性磋商</w:t>
      </w:r>
    </w:p>
    <w:p w14:paraId="4940FEC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预算金额（元）：</w:t>
      </w:r>
      <w:r>
        <w:rPr>
          <w:rFonts w:hint="eastAsia" w:ascii="宋体" w:hAnsi="宋体" w:cs="宋体"/>
          <w:color w:val="auto"/>
          <w:sz w:val="24"/>
          <w:highlight w:val="none"/>
          <w:lang w:eastAsia="zh-CN"/>
        </w:rPr>
        <w:t>950000</w:t>
      </w:r>
    </w:p>
    <w:p w14:paraId="0E916ADD">
      <w:pPr>
        <w:widowControl/>
        <w:spacing w:line="360" w:lineRule="auto"/>
        <w:ind w:firstLine="480" w:firstLineChars="200"/>
        <w:jc w:val="left"/>
        <w:rPr>
          <w:rFonts w:hint="eastAsia" w:ascii="宋体" w:hAnsi="宋体" w:eastAsia="宋体" w:cs="宋体"/>
          <w:color w:val="FF0000"/>
          <w:sz w:val="24"/>
          <w:highlight w:val="none"/>
          <w:lang w:eastAsia="zh-CN"/>
        </w:rPr>
      </w:pPr>
      <w:r>
        <w:rPr>
          <w:rFonts w:hint="eastAsia" w:ascii="宋体" w:hAnsi="宋体" w:cs="宋体"/>
          <w:color w:val="FF0000"/>
          <w:sz w:val="24"/>
          <w:highlight w:val="none"/>
        </w:rPr>
        <w:t>最高限价（元）：</w:t>
      </w:r>
      <w:r>
        <w:rPr>
          <w:rFonts w:hint="eastAsia" w:ascii="宋体" w:hAnsi="宋体" w:cs="宋体"/>
          <w:color w:val="FF0000"/>
          <w:sz w:val="24"/>
          <w:highlight w:val="none"/>
          <w:lang w:eastAsia="zh-CN"/>
        </w:rPr>
        <w:t>860311</w:t>
      </w:r>
    </w:p>
    <w:p w14:paraId="122BF96C">
      <w:pPr>
        <w:widowControl/>
        <w:spacing w:line="360" w:lineRule="auto"/>
        <w:ind w:firstLine="495"/>
        <w:jc w:val="left"/>
        <w:rPr>
          <w:rFonts w:ascii="宋体" w:hAnsi="宋体" w:cs="宋体"/>
          <w:color w:val="auto"/>
          <w:sz w:val="24"/>
          <w:highlight w:val="none"/>
        </w:rPr>
      </w:pPr>
      <w:r>
        <w:rPr>
          <w:rFonts w:hint="eastAsia" w:ascii="宋体" w:hAnsi="宋体" w:cs="宋体"/>
          <w:color w:val="auto"/>
          <w:sz w:val="24"/>
          <w:highlight w:val="none"/>
        </w:rPr>
        <w:t xml:space="preserve">采购需求： </w:t>
      </w:r>
    </w:p>
    <w:p w14:paraId="7FBE4197">
      <w:pPr>
        <w:pStyle w:val="25"/>
        <w:spacing w:line="360" w:lineRule="auto"/>
        <w:rPr>
          <w:rFonts w:cs="宋体"/>
          <w:color w:val="auto"/>
          <w:highlight w:val="none"/>
        </w:rPr>
      </w:pPr>
    </w:p>
    <w:p w14:paraId="2A363AAD">
      <w:pPr>
        <w:pStyle w:val="25"/>
        <w:spacing w:line="360" w:lineRule="auto"/>
        <w:rPr>
          <w:rFonts w:cs="宋体"/>
          <w:color w:val="auto"/>
          <w:highlight w:val="none"/>
        </w:rPr>
      </w:pPr>
      <w:r>
        <w:rPr>
          <w:rFonts w:hint="eastAsia" w:cs="宋体"/>
          <w:color w:val="auto"/>
          <w:highlight w:val="none"/>
        </w:rPr>
        <w:t>数量：1</w:t>
      </w:r>
    </w:p>
    <w:p w14:paraId="1B868E6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预算金额（元）：</w:t>
      </w:r>
      <w:r>
        <w:rPr>
          <w:rFonts w:hint="eastAsia" w:ascii="宋体" w:hAnsi="宋体" w:cs="宋体"/>
          <w:color w:val="auto"/>
          <w:sz w:val="24"/>
          <w:highlight w:val="none"/>
          <w:lang w:eastAsia="zh-CN"/>
        </w:rPr>
        <w:t>950000</w:t>
      </w:r>
      <w:r>
        <w:rPr>
          <w:rFonts w:hint="eastAsia" w:ascii="宋体" w:hAnsi="宋体" w:cs="宋体"/>
          <w:color w:val="auto"/>
          <w:sz w:val="24"/>
          <w:highlight w:val="none"/>
        </w:rPr>
        <w:t xml:space="preserve"> </w:t>
      </w:r>
    </w:p>
    <w:p w14:paraId="60B166B0">
      <w:pPr>
        <w:pStyle w:val="25"/>
        <w:spacing w:line="360" w:lineRule="auto"/>
        <w:rPr>
          <w:rFonts w:cs="宋体"/>
          <w:color w:val="auto"/>
          <w:highlight w:val="none"/>
        </w:rPr>
      </w:pPr>
      <w:r>
        <w:rPr>
          <w:rFonts w:hint="eastAsia" w:cs="宋体"/>
          <w:color w:val="auto"/>
          <w:highlight w:val="none"/>
        </w:rPr>
        <w:t>单位：项</w:t>
      </w:r>
    </w:p>
    <w:p w14:paraId="5F678FE9">
      <w:pPr>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简要规格描述：</w:t>
      </w:r>
      <w:r>
        <w:rPr>
          <w:rFonts w:hint="eastAsia" w:ascii="宋体" w:hAnsi="宋体" w:cs="宋体"/>
          <w:color w:val="auto"/>
          <w:sz w:val="24"/>
          <w:highlight w:val="none"/>
          <w:lang w:eastAsia="zh-CN"/>
        </w:rPr>
        <w:t>杭州市美术职业学校（凤山校区）门卫楼及大礼堂外立面工程，</w:t>
      </w:r>
      <w:r>
        <w:rPr>
          <w:rFonts w:hint="eastAsia" w:ascii="宋体" w:hAnsi="宋体" w:eastAsia="宋体" w:cs="Times New Roman"/>
          <w:color w:val="auto"/>
          <w:sz w:val="24"/>
          <w:highlight w:val="none"/>
          <w:lang w:val="en-US" w:eastAsia="zh-CN"/>
        </w:rPr>
        <w:t>主要内容为</w:t>
      </w:r>
      <w:r>
        <w:rPr>
          <w:rFonts w:hint="eastAsia" w:ascii="宋体" w:hAnsi="宋体" w:cs="Times New Roman"/>
          <w:color w:val="auto"/>
          <w:sz w:val="24"/>
          <w:highlight w:val="none"/>
          <w:lang w:val="en-US" w:eastAsia="zh-CN"/>
        </w:rPr>
        <w:t>凤山校区</w:t>
      </w:r>
      <w:r>
        <w:rPr>
          <w:rFonts w:hint="eastAsia" w:ascii="宋体" w:hAnsi="宋体" w:eastAsia="宋体" w:cs="Times New Roman"/>
          <w:color w:val="auto"/>
          <w:sz w:val="24"/>
          <w:highlight w:val="none"/>
          <w:lang w:val="en-US" w:eastAsia="zh-CN"/>
        </w:rPr>
        <w:t>门岗楼建筑外立面及室内改造翻新</w:t>
      </w:r>
      <w:r>
        <w:rPr>
          <w:rFonts w:hint="eastAsia" w:ascii="宋体" w:hAnsi="宋体" w:cs="Times New Roman"/>
          <w:color w:val="auto"/>
          <w:sz w:val="24"/>
          <w:highlight w:val="none"/>
          <w:lang w:val="en-US" w:eastAsia="zh-CN"/>
        </w:rPr>
        <w:t>，</w:t>
      </w:r>
      <w:r>
        <w:rPr>
          <w:rFonts w:hint="eastAsia" w:ascii="宋体" w:hAnsi="宋体" w:eastAsia="宋体" w:cs="Times New Roman"/>
          <w:color w:val="auto"/>
          <w:sz w:val="24"/>
          <w:highlight w:val="none"/>
          <w:lang w:val="en-US" w:eastAsia="zh-CN"/>
        </w:rPr>
        <w:t>礼堂外立面翻新等</w:t>
      </w:r>
      <w:r>
        <w:rPr>
          <w:rFonts w:hint="eastAsia" w:ascii="宋体" w:hAnsi="宋体" w:cs="宋体"/>
          <w:color w:val="auto"/>
          <w:sz w:val="24"/>
          <w:highlight w:val="none"/>
        </w:rPr>
        <w:t>。具体详见磋商文件、工程量清单、图纸等材料。</w:t>
      </w:r>
    </w:p>
    <w:p w14:paraId="663B5BAB">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备注：</w:t>
      </w:r>
    </w:p>
    <w:p w14:paraId="02607FD2">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合同履约期限：合同签订接采购人开工通知后</w:t>
      </w:r>
      <w:r>
        <w:rPr>
          <w:rFonts w:hint="eastAsia" w:ascii="宋体" w:hAnsi="宋体" w:cs="宋体"/>
          <w:color w:val="auto"/>
          <w:sz w:val="24"/>
          <w:highlight w:val="none"/>
          <w:lang w:val="en-US" w:eastAsia="zh-CN"/>
        </w:rPr>
        <w:t>40</w:t>
      </w:r>
      <w:r>
        <w:rPr>
          <w:rFonts w:hint="eastAsia" w:ascii="宋体" w:hAnsi="宋体" w:cs="宋体"/>
          <w:color w:val="auto"/>
          <w:sz w:val="24"/>
          <w:highlight w:val="none"/>
        </w:rPr>
        <w:t>日历天内完成工程施工。</w:t>
      </w:r>
    </w:p>
    <w:p w14:paraId="774038C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本项目（</w:t>
      </w:r>
      <w:r>
        <w:rPr>
          <w:rFonts w:hint="eastAsia" w:ascii="宋体" w:hAnsi="宋体" w:cs="宋体"/>
          <w:color w:val="auto"/>
          <w:sz w:val="24"/>
          <w:highlight w:val="none"/>
          <w:lang w:val="en-US" w:eastAsia="zh-CN"/>
        </w:rPr>
        <w:t>否</w:t>
      </w:r>
      <w:r>
        <w:rPr>
          <w:rFonts w:hint="eastAsia" w:ascii="宋体" w:hAnsi="宋体" w:cs="宋体"/>
          <w:color w:val="auto"/>
          <w:sz w:val="24"/>
          <w:highlight w:val="none"/>
        </w:rPr>
        <w:t>）接受联合体投标。</w:t>
      </w:r>
    </w:p>
    <w:p w14:paraId="4AD6CA71">
      <w:pPr>
        <w:widowControl/>
        <w:spacing w:line="360" w:lineRule="auto"/>
        <w:jc w:val="left"/>
        <w:rPr>
          <w:rFonts w:hint="eastAsia" w:ascii="宋体" w:hAnsi="宋体" w:cs="宋体"/>
          <w:b/>
          <w:bCs/>
          <w:color w:val="auto"/>
          <w:sz w:val="24"/>
          <w:highlight w:val="none"/>
        </w:rPr>
      </w:pPr>
    </w:p>
    <w:p w14:paraId="3EEB1B00">
      <w:pPr>
        <w:widowControl/>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二、申请人的资格要求</w:t>
      </w:r>
    </w:p>
    <w:p w14:paraId="5FC20438">
      <w:pPr>
        <w:spacing w:line="360" w:lineRule="auto"/>
        <w:jc w:val="left"/>
        <w:rPr>
          <w:rFonts w:ascii="宋体" w:hAnsi="宋体" w:cs="宋体"/>
          <w:color w:val="auto"/>
          <w:kern w:val="28"/>
          <w:sz w:val="24"/>
          <w:highlight w:val="none"/>
        </w:rPr>
      </w:pPr>
      <w:r>
        <w:rPr>
          <w:rFonts w:hint="eastAsia" w:ascii="宋体" w:hAnsi="宋体" w:cs="宋体"/>
          <w:color w:val="auto"/>
          <w:kern w:val="28"/>
          <w:sz w:val="24"/>
          <w:highlight w:val="none"/>
        </w:rPr>
        <w:t>  1</w:t>
      </w:r>
      <w:r>
        <w:rPr>
          <w:rFonts w:hint="eastAsia" w:ascii="宋体" w:hAnsi="宋体" w:cs="宋体"/>
          <w:color w:val="auto"/>
          <w:kern w:val="28"/>
          <w:sz w:val="24"/>
          <w:highlight w:val="none"/>
          <w:lang w:eastAsia="zh-CN"/>
        </w:rPr>
        <w:t>、</w:t>
      </w:r>
      <w:r>
        <w:rPr>
          <w:rFonts w:hint="eastAsia" w:ascii="宋体" w:hAnsi="宋体" w:cs="宋体"/>
          <w:color w:val="auto"/>
          <w:kern w:val="28"/>
          <w:sz w:val="24"/>
          <w:highlight w:val="none"/>
        </w:rPr>
        <w:t>满足《中华人民共和国政府采购法》第二十二条规定；未被“信用中国”（www.creditchina.gov.cn)、中国政府采购网（www.ccgp.gov.cn）列入失信被执行人、重大税收违法失信主体、政府采购严重违法失信行为记录名单。</w:t>
      </w:r>
    </w:p>
    <w:p w14:paraId="2AABBEB3">
      <w:pPr>
        <w:spacing w:line="360" w:lineRule="auto"/>
        <w:ind w:firstLine="240" w:firstLineChars="100"/>
        <w:rPr>
          <w:rFonts w:ascii="宋体" w:hAnsi="宋体" w:cs="宋体"/>
          <w:color w:val="auto"/>
          <w:kern w:val="28"/>
          <w:sz w:val="24"/>
          <w:highlight w:val="none"/>
        </w:rPr>
      </w:pPr>
      <w:r>
        <w:rPr>
          <w:rFonts w:hint="eastAsia" w:ascii="宋体" w:hAnsi="宋体" w:cs="宋体"/>
          <w:color w:val="auto"/>
          <w:kern w:val="28"/>
          <w:sz w:val="24"/>
          <w:highlight w:val="none"/>
        </w:rPr>
        <w:t xml:space="preserve">  2</w:t>
      </w:r>
      <w:r>
        <w:rPr>
          <w:rFonts w:hint="eastAsia" w:ascii="宋体" w:hAnsi="宋体" w:cs="宋体"/>
          <w:color w:val="auto"/>
          <w:kern w:val="28"/>
          <w:sz w:val="24"/>
          <w:highlight w:val="none"/>
          <w:lang w:eastAsia="zh-CN"/>
        </w:rPr>
        <w:t>、</w:t>
      </w:r>
      <w:r>
        <w:rPr>
          <w:rFonts w:hint="eastAsia" w:ascii="宋体" w:hAnsi="宋体" w:cs="宋体"/>
          <w:color w:val="auto"/>
          <w:kern w:val="28"/>
          <w:sz w:val="24"/>
          <w:highlight w:val="none"/>
        </w:rPr>
        <w:t>落实</w:t>
      </w:r>
      <w:r>
        <w:rPr>
          <w:rFonts w:hint="eastAsia" w:ascii="宋体" w:hAnsi="宋体" w:cs="宋体"/>
          <w:color w:val="auto"/>
          <w:kern w:val="28"/>
          <w:sz w:val="24"/>
          <w:highlight w:val="none"/>
          <w:lang w:eastAsia="zh-CN"/>
        </w:rPr>
        <w:t>采购</w:t>
      </w:r>
      <w:r>
        <w:rPr>
          <w:rFonts w:hint="eastAsia" w:ascii="宋体" w:hAnsi="宋体" w:cs="宋体"/>
          <w:color w:val="auto"/>
          <w:kern w:val="28"/>
          <w:sz w:val="24"/>
          <w:highlight w:val="none"/>
        </w:rPr>
        <w:t>政策需满足的资格要求：</w:t>
      </w:r>
    </w:p>
    <w:p w14:paraId="192B1BE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☐无；</w:t>
      </w:r>
    </w:p>
    <w:p w14:paraId="628787D3">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sym w:font="Wingdings" w:char="F0FE"/>
      </w:r>
      <w:r>
        <w:rPr>
          <w:rFonts w:hint="eastAsia" w:ascii="宋体" w:hAnsi="宋体" w:cs="宋体"/>
          <w:b/>
          <w:bCs/>
          <w:color w:val="auto"/>
          <w:sz w:val="24"/>
          <w:highlight w:val="none"/>
        </w:rPr>
        <w:t>专门面向中小企业</w:t>
      </w:r>
    </w:p>
    <w:p w14:paraId="31D53D6E">
      <w:pPr>
        <w:spacing w:line="360" w:lineRule="auto"/>
        <w:ind w:firstLine="849" w:firstLineChars="354"/>
        <w:rPr>
          <w:rFonts w:ascii="宋体" w:hAnsi="宋体" w:cs="宋体"/>
          <w:b w:val="0"/>
          <w:bCs w:val="0"/>
          <w:color w:val="auto"/>
          <w:sz w:val="24"/>
          <w:highlight w:val="none"/>
          <w:u w:val="single"/>
        </w:rPr>
      </w:pPr>
      <w:r>
        <w:rPr>
          <w:rFonts w:hint="eastAsia" w:ascii="宋体" w:hAnsi="宋体" w:cs="宋体"/>
          <w:b w:val="0"/>
          <w:bCs w:val="0"/>
          <w:color w:val="auto"/>
          <w:sz w:val="24"/>
          <w:highlight w:val="none"/>
        </w:rPr>
        <w:sym w:font="Wingdings" w:char="00A8"/>
      </w:r>
      <w:r>
        <w:rPr>
          <w:rFonts w:hint="eastAsia" w:ascii="宋体" w:hAnsi="宋体" w:cs="宋体"/>
          <w:b w:val="0"/>
          <w:bCs w:val="0"/>
          <w:color w:val="auto"/>
          <w:sz w:val="24"/>
          <w:highlight w:val="none"/>
        </w:rPr>
        <w:t>工程全部由符合政策要求的</w:t>
      </w:r>
      <w:r>
        <w:rPr>
          <w:rFonts w:hint="eastAsia" w:ascii="宋体" w:hAnsi="宋体" w:cs="宋体"/>
          <w:b w:val="0"/>
          <w:bCs w:val="0"/>
          <w:color w:val="auto"/>
          <w:sz w:val="24"/>
          <w:highlight w:val="none"/>
          <w:lang w:val="en-US" w:eastAsia="zh-CN"/>
        </w:rPr>
        <w:t>中小</w:t>
      </w:r>
      <w:r>
        <w:rPr>
          <w:rFonts w:hint="eastAsia" w:ascii="宋体" w:hAnsi="宋体" w:cs="宋体"/>
          <w:b w:val="0"/>
          <w:bCs w:val="0"/>
          <w:color w:val="auto"/>
          <w:sz w:val="24"/>
          <w:highlight w:val="none"/>
        </w:rPr>
        <w:t>企业承建，提供中小企业声明函；</w:t>
      </w:r>
    </w:p>
    <w:p w14:paraId="63E08708">
      <w:pPr>
        <w:spacing w:line="360" w:lineRule="auto"/>
        <w:ind w:firstLine="853" w:firstLineChars="354"/>
        <w:rPr>
          <w:rFonts w:ascii="宋体" w:hAnsi="宋体" w:cs="宋体"/>
          <w:b/>
          <w:bCs/>
          <w:color w:val="auto"/>
          <w:sz w:val="24"/>
          <w:highlight w:val="none"/>
        </w:rPr>
      </w:pPr>
      <w:r>
        <w:rPr>
          <w:rFonts w:hint="eastAsia" w:ascii="宋体" w:hAnsi="宋体" w:cs="宋体"/>
          <w:b/>
          <w:bCs/>
          <w:color w:val="auto"/>
          <w:sz w:val="24"/>
          <w:highlight w:val="none"/>
        </w:rPr>
        <w:sym w:font="Wingdings" w:char="00FE"/>
      </w:r>
      <w:r>
        <w:rPr>
          <w:rFonts w:hint="eastAsia" w:ascii="宋体" w:hAnsi="宋体" w:cs="宋体"/>
          <w:b/>
          <w:bCs/>
          <w:color w:val="auto"/>
          <w:sz w:val="24"/>
          <w:highlight w:val="none"/>
        </w:rPr>
        <w:t>工程全部由符合政策要求的小微企业承建，提供中小企业声明函；</w:t>
      </w:r>
    </w:p>
    <w:p w14:paraId="6625B1F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本项目的特定资格要求：</w:t>
      </w:r>
    </w:p>
    <w:p w14:paraId="5116DCF0">
      <w:pPr>
        <w:numPr>
          <w:ilvl w:val="0"/>
          <w:numId w:val="1"/>
        </w:numPr>
        <w:snapToGrid w:val="0"/>
        <w:spacing w:line="360" w:lineRule="auto"/>
        <w:ind w:firstLine="482" w:firstLineChars="200"/>
        <w:rPr>
          <w:rFonts w:hint="eastAsia" w:ascii="宋体" w:hAnsi="宋体" w:cs="宋体"/>
          <w:b/>
          <w:bCs/>
          <w:color w:val="auto"/>
          <w:sz w:val="24"/>
          <w:highlight w:val="none"/>
          <w:u w:val="single"/>
          <w:lang w:eastAsia="zh-CN"/>
        </w:rPr>
      </w:pPr>
      <w:r>
        <w:rPr>
          <w:rFonts w:hint="eastAsia" w:ascii="宋体" w:hAnsi="宋体" w:cs="宋体"/>
          <w:b/>
          <w:bCs/>
          <w:color w:val="auto"/>
          <w:sz w:val="24"/>
          <w:highlight w:val="none"/>
          <w:u w:val="single"/>
          <w:lang w:eastAsia="zh-CN"/>
        </w:rPr>
        <w:t>具备建筑工程施工总承包三级及以上资质，</w:t>
      </w:r>
      <w:r>
        <w:rPr>
          <w:rFonts w:hint="eastAsia" w:ascii="宋体" w:hAnsi="宋体" w:cs="宋体"/>
          <w:b/>
          <w:bCs/>
          <w:color w:val="auto"/>
          <w:sz w:val="24"/>
          <w:highlight w:val="none"/>
        </w:rPr>
        <w:t>该特定条件的法律法规依据：</w:t>
      </w:r>
      <w:r>
        <w:rPr>
          <w:rFonts w:hint="eastAsia" w:ascii="宋体" w:hAnsi="宋体" w:cs="宋体"/>
          <w:b/>
          <w:bCs/>
          <w:color w:val="auto"/>
          <w:sz w:val="24"/>
          <w:highlight w:val="none"/>
          <w:u w:val="single"/>
        </w:rPr>
        <w:t>《中华人民共和国建筑法》</w:t>
      </w:r>
      <w:r>
        <w:rPr>
          <w:rFonts w:hint="eastAsia" w:ascii="宋体" w:hAnsi="宋体" w:cs="宋体"/>
          <w:b/>
          <w:bCs/>
          <w:color w:val="auto"/>
          <w:sz w:val="24"/>
          <w:highlight w:val="none"/>
          <w:u w:val="single"/>
          <w:lang w:eastAsia="zh-CN"/>
        </w:rPr>
        <w:t>、</w:t>
      </w:r>
      <w:r>
        <w:rPr>
          <w:rFonts w:hint="eastAsia" w:ascii="宋体" w:hAnsi="宋体" w:cs="宋体"/>
          <w:b/>
          <w:bCs/>
          <w:color w:val="auto"/>
          <w:sz w:val="24"/>
          <w:highlight w:val="none"/>
          <w:u w:val="single"/>
        </w:rPr>
        <w:t>《建筑业企业资质管理规定》</w:t>
      </w:r>
      <w:r>
        <w:rPr>
          <w:rFonts w:hint="eastAsia" w:ascii="宋体" w:hAnsi="宋体" w:cs="宋体"/>
          <w:b/>
          <w:bCs/>
          <w:color w:val="auto"/>
          <w:sz w:val="24"/>
          <w:highlight w:val="none"/>
          <w:u w:val="none"/>
          <w:lang w:eastAsia="zh-CN"/>
        </w:rPr>
        <w:t>；</w:t>
      </w:r>
    </w:p>
    <w:p w14:paraId="6E1692DC">
      <w:pPr>
        <w:numPr>
          <w:ilvl w:val="0"/>
          <w:numId w:val="1"/>
        </w:numPr>
        <w:snapToGrid w:val="0"/>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highlight w:val="none"/>
          <w:u w:val="single"/>
          <w:lang w:val="en-US" w:eastAsia="zh-CN"/>
        </w:rPr>
        <w:t>有效期内的《安全生产许可证》，</w:t>
      </w:r>
      <w:r>
        <w:rPr>
          <w:rFonts w:hint="eastAsia" w:ascii="宋体" w:hAnsi="宋体" w:cs="宋体"/>
          <w:b/>
          <w:bCs/>
          <w:color w:val="auto"/>
          <w:sz w:val="24"/>
          <w:highlight w:val="none"/>
        </w:rPr>
        <w:t>该特定条件的法律法规依据：</w:t>
      </w:r>
      <w:r>
        <w:rPr>
          <w:rFonts w:hint="eastAsia" w:ascii="宋体" w:hAnsi="宋体" w:cs="宋体"/>
          <w:b/>
          <w:bCs/>
          <w:color w:val="auto"/>
          <w:sz w:val="24"/>
          <w:highlight w:val="none"/>
          <w:u w:val="single"/>
        </w:rPr>
        <w:t>《安全生产许可证条例》(国务院令第397号)</w:t>
      </w:r>
      <w:r>
        <w:rPr>
          <w:rFonts w:hint="eastAsia" w:ascii="宋体" w:hAnsi="宋体" w:cs="宋体"/>
          <w:b/>
          <w:bCs/>
          <w:color w:val="auto"/>
          <w:sz w:val="24"/>
          <w:highlight w:val="none"/>
        </w:rPr>
        <w:t>。</w:t>
      </w:r>
    </w:p>
    <w:p w14:paraId="5983517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4、单位负责人为同一人或者存在直接控股、管理关系或存在采购文件中明文限制的不同供应商，不得参加同一合同项下的</w:t>
      </w:r>
      <w:r>
        <w:rPr>
          <w:rFonts w:hint="eastAsia" w:ascii="宋体" w:hAnsi="宋体" w:cs="宋体"/>
          <w:color w:val="auto"/>
          <w:sz w:val="24"/>
          <w:highlight w:val="none"/>
          <w:lang w:eastAsia="zh-CN"/>
        </w:rPr>
        <w:t>采购</w:t>
      </w:r>
      <w:r>
        <w:rPr>
          <w:rFonts w:hint="eastAsia" w:ascii="宋体" w:hAnsi="宋体" w:cs="宋体"/>
          <w:color w:val="auto"/>
          <w:sz w:val="24"/>
          <w:highlight w:val="none"/>
        </w:rPr>
        <w:t>活动。为招标项目的前期准备或者监理工作提供设计、咨询服务的任何法人及其任何附属机构（单位），不得参与项目施工标竞标。</w:t>
      </w:r>
    </w:p>
    <w:p w14:paraId="0BBEA8BA">
      <w:pPr>
        <w:widowControl/>
        <w:spacing w:line="360" w:lineRule="auto"/>
        <w:jc w:val="left"/>
        <w:rPr>
          <w:rFonts w:hint="eastAsia" w:ascii="宋体" w:hAnsi="宋体" w:cs="宋体"/>
          <w:b/>
          <w:bCs/>
          <w:color w:val="auto"/>
          <w:sz w:val="24"/>
          <w:highlight w:val="none"/>
        </w:rPr>
      </w:pPr>
    </w:p>
    <w:p w14:paraId="59B1572F">
      <w:pPr>
        <w:widowControl/>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三、获取（下载）招标文件</w:t>
      </w:r>
    </w:p>
    <w:p w14:paraId="60D58DCC">
      <w:pPr>
        <w:widowControl/>
        <w:spacing w:line="360" w:lineRule="auto"/>
        <w:ind w:firstLine="495"/>
        <w:jc w:val="left"/>
        <w:rPr>
          <w:rFonts w:ascii="宋体" w:hAnsi="宋体" w:cs="宋体"/>
          <w:color w:val="auto"/>
          <w:sz w:val="24"/>
          <w:highlight w:val="none"/>
        </w:rPr>
      </w:pPr>
      <w:r>
        <w:rPr>
          <w:rFonts w:hint="eastAsia" w:ascii="宋体" w:hAnsi="宋体" w:cs="宋体"/>
          <w:color w:val="auto"/>
          <w:sz w:val="24"/>
          <w:highlight w:val="none"/>
        </w:rPr>
        <w:t>时间：</w:t>
      </w:r>
      <w:r>
        <w:rPr>
          <w:rFonts w:hint="eastAsia" w:ascii="宋体" w:hAnsi="宋体" w:cs="宋体"/>
          <w:bCs/>
          <w:color w:val="auto"/>
          <w:sz w:val="24"/>
          <w:highlight w:val="none"/>
          <w:lang w:val="en-US" w:eastAsia="zh-CN"/>
        </w:rPr>
        <w:t>即日起</w:t>
      </w:r>
      <w:r>
        <w:rPr>
          <w:rFonts w:hint="eastAsia" w:ascii="宋体" w:hAnsi="宋体" w:cs="宋体"/>
          <w:color w:val="auto"/>
          <w:sz w:val="24"/>
          <w:highlight w:val="none"/>
        </w:rPr>
        <w:t>至</w:t>
      </w:r>
      <w:r>
        <w:rPr>
          <w:rFonts w:hint="eastAsia" w:ascii="宋体" w:hAnsi="宋体" w:cs="宋体"/>
          <w:color w:val="auto"/>
          <w:sz w:val="24"/>
          <w:highlight w:val="none"/>
          <w:lang w:eastAsia="zh-CN"/>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年</w:t>
      </w:r>
      <w:r>
        <w:rPr>
          <w:rFonts w:hint="eastAsia" w:ascii="宋体" w:hAnsi="宋体" w:cs="宋体"/>
          <w:color w:val="auto"/>
          <w:sz w:val="24"/>
          <w:highlight w:val="none"/>
          <w:lang w:val="en-US" w:eastAsia="zh-CN"/>
        </w:rPr>
        <w:t>07</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08</w:t>
      </w:r>
      <w:r>
        <w:rPr>
          <w:rFonts w:hint="eastAsia" w:ascii="宋体" w:hAnsi="宋体" w:cs="宋体"/>
          <w:color w:val="auto"/>
          <w:sz w:val="24"/>
          <w:highlight w:val="none"/>
          <w:lang w:eastAsia="zh-CN"/>
        </w:rPr>
        <w:t>日</w:t>
      </w:r>
      <w:r>
        <w:rPr>
          <w:rFonts w:hint="eastAsia" w:ascii="宋体" w:hAnsi="宋体" w:cs="宋体"/>
          <w:color w:val="auto"/>
          <w:sz w:val="24"/>
          <w:highlight w:val="none"/>
        </w:rPr>
        <w:t>，每天上午00:00至12:00，下午12:00至23:59（北京时间，线上获取法定节假日均可，线下获取文件法定节假日除外）</w:t>
      </w:r>
    </w:p>
    <w:p w14:paraId="42145B98">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地点（网址）：</w:t>
      </w:r>
      <w:r>
        <w:rPr>
          <w:rFonts w:hint="eastAsia" w:ascii="宋体" w:hAnsi="宋体" w:cs="宋体"/>
          <w:color w:val="auto"/>
          <w:sz w:val="24"/>
          <w:highlight w:val="none"/>
        </w:rPr>
        <w:t>乐采云平台（https://hzjyg.lecaiyun.com）</w:t>
      </w:r>
      <w:r>
        <w:rPr>
          <w:rFonts w:hint="eastAsia" w:ascii="宋体" w:hAnsi="宋体" w:cs="宋体"/>
          <w:bCs/>
          <w:color w:val="auto"/>
          <w:sz w:val="24"/>
          <w:highlight w:val="none"/>
        </w:rPr>
        <w:t xml:space="preserve">线上获取 </w:t>
      </w:r>
    </w:p>
    <w:p w14:paraId="5B8308F8">
      <w:pPr>
        <w:spacing w:line="360" w:lineRule="auto"/>
        <w:ind w:firstLine="480" w:firstLineChars="200"/>
        <w:rPr>
          <w:rFonts w:hint="eastAsia" w:ascii="宋体" w:hAnsi="宋体" w:cs="宋体"/>
          <w:b/>
          <w:bCs/>
          <w:color w:val="auto"/>
          <w:sz w:val="24"/>
          <w:highlight w:val="none"/>
        </w:rPr>
      </w:pPr>
      <w:r>
        <w:rPr>
          <w:rFonts w:hint="eastAsia" w:ascii="宋体" w:hAnsi="宋体" w:cs="宋体"/>
          <w:bCs/>
          <w:color w:val="auto"/>
          <w:sz w:val="24"/>
          <w:highlight w:val="none"/>
        </w:rPr>
        <w:t>方式：供应商登录</w:t>
      </w:r>
      <w:r>
        <w:rPr>
          <w:rFonts w:hint="eastAsia" w:ascii="宋体" w:hAnsi="宋体" w:cs="宋体"/>
          <w:color w:val="auto"/>
          <w:sz w:val="24"/>
          <w:highlight w:val="none"/>
        </w:rPr>
        <w:t>乐采云平台</w:t>
      </w:r>
      <w:r>
        <w:rPr>
          <w:rFonts w:hint="eastAsia" w:ascii="宋体" w:hAnsi="宋体" w:cs="宋体"/>
          <w:bCs/>
          <w:color w:val="auto"/>
          <w:sz w:val="24"/>
          <w:highlight w:val="none"/>
        </w:rPr>
        <w:t>https://hzjyg.lecaiyun.com/在线申请获取采购文件（进入“项目采购”应用，在获取采购文件菜单中选择项目，申请获取采购文件）</w:t>
      </w:r>
    </w:p>
    <w:p w14:paraId="2FF4BDB7">
      <w:pPr>
        <w:widowControl/>
        <w:spacing w:line="360" w:lineRule="auto"/>
        <w:jc w:val="left"/>
        <w:rPr>
          <w:rFonts w:hint="eastAsia" w:ascii="宋体" w:hAnsi="宋体" w:cs="宋体"/>
          <w:b/>
          <w:bCs/>
          <w:color w:val="auto"/>
          <w:sz w:val="24"/>
          <w:highlight w:val="none"/>
        </w:rPr>
      </w:pPr>
    </w:p>
    <w:p w14:paraId="61D5049E">
      <w:pPr>
        <w:widowControl/>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四、响应文件提交（上传）</w:t>
      </w:r>
    </w:p>
    <w:p w14:paraId="36CABD5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截止时间：</w:t>
      </w:r>
      <w:r>
        <w:rPr>
          <w:rFonts w:hint="eastAsia" w:ascii="宋体" w:hAnsi="宋体" w:cs="宋体"/>
          <w:color w:val="FF0000"/>
          <w:sz w:val="24"/>
          <w:highlight w:val="none"/>
          <w:lang w:eastAsia="zh-CN"/>
        </w:rPr>
        <w:t>202</w:t>
      </w:r>
      <w:r>
        <w:rPr>
          <w:rFonts w:hint="eastAsia" w:ascii="宋体" w:hAnsi="宋体" w:cs="宋体"/>
          <w:color w:val="FF0000"/>
          <w:sz w:val="24"/>
          <w:highlight w:val="none"/>
          <w:lang w:val="en-US" w:eastAsia="zh-CN"/>
        </w:rPr>
        <w:t>5</w:t>
      </w:r>
      <w:r>
        <w:rPr>
          <w:rFonts w:hint="eastAsia" w:ascii="宋体" w:hAnsi="宋体" w:cs="宋体"/>
          <w:color w:val="FF0000"/>
          <w:sz w:val="24"/>
          <w:highlight w:val="none"/>
          <w:lang w:eastAsia="zh-CN"/>
        </w:rPr>
        <w:t>年</w:t>
      </w:r>
      <w:r>
        <w:rPr>
          <w:rFonts w:hint="eastAsia" w:ascii="宋体" w:hAnsi="宋体" w:cs="宋体"/>
          <w:color w:val="FF0000"/>
          <w:sz w:val="24"/>
          <w:highlight w:val="none"/>
          <w:lang w:val="en-US" w:eastAsia="zh-CN"/>
        </w:rPr>
        <w:t>07</w:t>
      </w:r>
      <w:r>
        <w:rPr>
          <w:rFonts w:hint="eastAsia" w:ascii="宋体" w:hAnsi="宋体" w:cs="宋体"/>
          <w:color w:val="FF0000"/>
          <w:sz w:val="24"/>
          <w:highlight w:val="none"/>
          <w:lang w:eastAsia="zh-CN"/>
        </w:rPr>
        <w:t>月</w:t>
      </w:r>
      <w:r>
        <w:rPr>
          <w:rFonts w:hint="eastAsia" w:ascii="宋体" w:hAnsi="宋体" w:cs="宋体"/>
          <w:color w:val="FF0000"/>
          <w:sz w:val="24"/>
          <w:highlight w:val="none"/>
          <w:lang w:val="en-US" w:eastAsia="zh-CN"/>
        </w:rPr>
        <w:t>08</w:t>
      </w:r>
      <w:r>
        <w:rPr>
          <w:rFonts w:hint="eastAsia" w:ascii="宋体" w:hAnsi="宋体" w:cs="宋体"/>
          <w:color w:val="FF0000"/>
          <w:sz w:val="24"/>
          <w:highlight w:val="none"/>
          <w:lang w:eastAsia="zh-CN"/>
        </w:rPr>
        <w:t>日</w:t>
      </w:r>
      <w:r>
        <w:rPr>
          <w:rFonts w:hint="eastAsia" w:ascii="宋体" w:hAnsi="宋体" w:cs="宋体"/>
          <w:color w:val="FF0000"/>
          <w:sz w:val="24"/>
          <w:highlight w:val="none"/>
          <w:lang w:val="en-US" w:eastAsia="zh-CN"/>
        </w:rPr>
        <w:t>15</w:t>
      </w:r>
      <w:r>
        <w:rPr>
          <w:rFonts w:hint="eastAsia" w:ascii="宋体" w:hAnsi="宋体" w:cs="宋体"/>
          <w:color w:val="FF0000"/>
          <w:sz w:val="24"/>
          <w:highlight w:val="none"/>
          <w:lang w:eastAsia="zh-CN"/>
        </w:rPr>
        <w:t>:</w:t>
      </w:r>
      <w:r>
        <w:rPr>
          <w:rFonts w:hint="eastAsia" w:ascii="宋体" w:hAnsi="宋体" w:cs="宋体"/>
          <w:color w:val="FF0000"/>
          <w:sz w:val="24"/>
          <w:highlight w:val="none"/>
          <w:lang w:val="en-US" w:eastAsia="zh-CN"/>
        </w:rPr>
        <w:t>0</w:t>
      </w:r>
      <w:r>
        <w:rPr>
          <w:rFonts w:hint="eastAsia" w:ascii="宋体" w:hAnsi="宋体" w:cs="宋体"/>
          <w:color w:val="FF0000"/>
          <w:sz w:val="24"/>
          <w:highlight w:val="none"/>
          <w:lang w:eastAsia="zh-CN"/>
        </w:rPr>
        <w:t>0</w:t>
      </w:r>
      <w:r>
        <w:rPr>
          <w:rFonts w:hint="eastAsia" w:ascii="宋体" w:hAnsi="宋体" w:cs="宋体"/>
          <w:color w:val="auto"/>
          <w:sz w:val="24"/>
          <w:highlight w:val="none"/>
        </w:rPr>
        <w:t>（北京时间）</w:t>
      </w:r>
    </w:p>
    <w:p w14:paraId="1EDEE97A">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   地点（网址）：通过</w:t>
      </w:r>
      <w:r>
        <w:rPr>
          <w:rFonts w:hint="eastAsia" w:ascii="宋体" w:hAnsi="宋体" w:cs="宋体"/>
          <w:color w:val="auto"/>
          <w:sz w:val="24"/>
          <w:highlight w:val="none"/>
          <w:lang w:eastAsia="zh-CN"/>
        </w:rPr>
        <w:t>乐采云平台（https://hzjyg.lecaiyun.com）</w:t>
      </w:r>
      <w:r>
        <w:rPr>
          <w:rFonts w:hint="eastAsia" w:ascii="宋体" w:hAnsi="宋体" w:cs="宋体"/>
          <w:color w:val="auto"/>
          <w:sz w:val="24"/>
          <w:highlight w:val="none"/>
        </w:rPr>
        <w:t>在线递交</w:t>
      </w:r>
    </w:p>
    <w:p w14:paraId="0CF53897">
      <w:pPr>
        <w:widowControl/>
        <w:spacing w:line="360" w:lineRule="auto"/>
        <w:jc w:val="left"/>
        <w:rPr>
          <w:rFonts w:hint="eastAsia" w:ascii="宋体" w:hAnsi="宋体" w:cs="宋体"/>
          <w:b/>
          <w:bCs/>
          <w:color w:val="auto"/>
          <w:sz w:val="24"/>
          <w:highlight w:val="none"/>
        </w:rPr>
      </w:pPr>
    </w:p>
    <w:p w14:paraId="6BE99392">
      <w:pPr>
        <w:widowControl/>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五、响应文件开启</w:t>
      </w:r>
    </w:p>
    <w:p w14:paraId="2630E910">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   开启时间：</w:t>
      </w:r>
      <w:r>
        <w:rPr>
          <w:rFonts w:hint="eastAsia" w:ascii="宋体" w:hAnsi="宋体" w:cs="宋体"/>
          <w:color w:val="FF0000"/>
          <w:sz w:val="24"/>
          <w:highlight w:val="none"/>
          <w:lang w:eastAsia="zh-CN"/>
        </w:rPr>
        <w:t>202</w:t>
      </w:r>
      <w:r>
        <w:rPr>
          <w:rFonts w:hint="eastAsia" w:ascii="宋体" w:hAnsi="宋体" w:cs="宋体"/>
          <w:color w:val="FF0000"/>
          <w:sz w:val="24"/>
          <w:highlight w:val="none"/>
          <w:lang w:val="en-US" w:eastAsia="zh-CN"/>
        </w:rPr>
        <w:t>5</w:t>
      </w:r>
      <w:r>
        <w:rPr>
          <w:rFonts w:hint="eastAsia" w:ascii="宋体" w:hAnsi="宋体" w:cs="宋体"/>
          <w:color w:val="FF0000"/>
          <w:sz w:val="24"/>
          <w:highlight w:val="none"/>
          <w:lang w:eastAsia="zh-CN"/>
        </w:rPr>
        <w:t>年</w:t>
      </w:r>
      <w:r>
        <w:rPr>
          <w:rFonts w:hint="eastAsia" w:ascii="宋体" w:hAnsi="宋体" w:cs="宋体"/>
          <w:color w:val="FF0000"/>
          <w:sz w:val="24"/>
          <w:highlight w:val="none"/>
          <w:lang w:val="en-US" w:eastAsia="zh-CN"/>
        </w:rPr>
        <w:t>07</w:t>
      </w:r>
      <w:r>
        <w:rPr>
          <w:rFonts w:hint="eastAsia" w:ascii="宋体" w:hAnsi="宋体" w:cs="宋体"/>
          <w:color w:val="FF0000"/>
          <w:sz w:val="24"/>
          <w:highlight w:val="none"/>
          <w:lang w:eastAsia="zh-CN"/>
        </w:rPr>
        <w:t>月</w:t>
      </w:r>
      <w:r>
        <w:rPr>
          <w:rFonts w:hint="eastAsia" w:ascii="宋体" w:hAnsi="宋体" w:cs="宋体"/>
          <w:color w:val="FF0000"/>
          <w:sz w:val="24"/>
          <w:highlight w:val="none"/>
          <w:lang w:val="en-US" w:eastAsia="zh-CN"/>
        </w:rPr>
        <w:t>08</w:t>
      </w:r>
      <w:r>
        <w:rPr>
          <w:rFonts w:hint="eastAsia" w:ascii="宋体" w:hAnsi="宋体" w:cs="宋体"/>
          <w:color w:val="FF0000"/>
          <w:sz w:val="24"/>
          <w:highlight w:val="none"/>
          <w:lang w:eastAsia="zh-CN"/>
        </w:rPr>
        <w:t>日</w:t>
      </w:r>
      <w:r>
        <w:rPr>
          <w:rFonts w:hint="eastAsia" w:ascii="宋体" w:hAnsi="宋体" w:cs="宋体"/>
          <w:color w:val="FF0000"/>
          <w:sz w:val="24"/>
          <w:highlight w:val="none"/>
          <w:lang w:val="en-US" w:eastAsia="zh-CN"/>
        </w:rPr>
        <w:t>15</w:t>
      </w:r>
      <w:r>
        <w:rPr>
          <w:rFonts w:hint="eastAsia" w:ascii="宋体" w:hAnsi="宋体" w:cs="宋体"/>
          <w:color w:val="FF0000"/>
          <w:sz w:val="24"/>
          <w:highlight w:val="none"/>
          <w:lang w:eastAsia="zh-CN"/>
        </w:rPr>
        <w:t>:</w:t>
      </w:r>
      <w:r>
        <w:rPr>
          <w:rFonts w:hint="eastAsia" w:ascii="宋体" w:hAnsi="宋体" w:cs="宋体"/>
          <w:color w:val="FF0000"/>
          <w:sz w:val="24"/>
          <w:highlight w:val="none"/>
          <w:lang w:val="en-US" w:eastAsia="zh-CN"/>
        </w:rPr>
        <w:t>0</w:t>
      </w:r>
      <w:r>
        <w:rPr>
          <w:rFonts w:hint="eastAsia" w:ascii="宋体" w:hAnsi="宋体" w:cs="宋体"/>
          <w:color w:val="FF0000"/>
          <w:sz w:val="24"/>
          <w:highlight w:val="none"/>
          <w:lang w:eastAsia="zh-CN"/>
        </w:rPr>
        <w:t>0</w:t>
      </w:r>
      <w:r>
        <w:rPr>
          <w:rFonts w:hint="eastAsia" w:ascii="宋体" w:hAnsi="宋体" w:cs="宋体"/>
          <w:color w:val="auto"/>
          <w:sz w:val="24"/>
          <w:highlight w:val="none"/>
        </w:rPr>
        <w:t>（北京时间）</w:t>
      </w:r>
    </w:p>
    <w:p w14:paraId="2A348CDC">
      <w:pPr>
        <w:pStyle w:val="25"/>
        <w:spacing w:line="360" w:lineRule="auto"/>
        <w:rPr>
          <w:rFonts w:cs="宋体"/>
          <w:color w:val="auto"/>
          <w:highlight w:val="none"/>
        </w:rPr>
      </w:pPr>
      <w:r>
        <w:rPr>
          <w:rFonts w:hint="eastAsia" w:cs="宋体"/>
          <w:color w:val="auto"/>
          <w:highlight w:val="none"/>
          <w:lang w:val="en-US" w:eastAsia="zh-CN"/>
        </w:rPr>
        <w:t>开标</w:t>
      </w:r>
      <w:r>
        <w:rPr>
          <w:rFonts w:hint="eastAsia" w:cs="宋体"/>
          <w:color w:val="auto"/>
          <w:highlight w:val="none"/>
        </w:rPr>
        <w:t>地点（网址）：</w:t>
      </w:r>
      <w:r>
        <w:rPr>
          <w:rFonts w:hint="eastAsia" w:cs="宋体"/>
          <w:color w:val="auto"/>
          <w:sz w:val="24"/>
          <w:highlight w:val="none"/>
          <w:lang w:eastAsia="zh-CN"/>
        </w:rPr>
        <w:t>乐采云</w:t>
      </w:r>
      <w:r>
        <w:rPr>
          <w:rFonts w:hint="eastAsia" w:ascii="宋体" w:hAnsi="宋体" w:cs="宋体"/>
          <w:color w:val="auto"/>
          <w:sz w:val="24"/>
          <w:highlight w:val="none"/>
          <w:lang w:eastAsia="zh-CN"/>
        </w:rPr>
        <w:t>平台（https://hzjyg.lecaiyun.com）</w:t>
      </w:r>
      <w:r>
        <w:rPr>
          <w:rFonts w:hint="eastAsia" w:cs="宋体"/>
          <w:color w:val="auto"/>
          <w:highlight w:val="none"/>
        </w:rPr>
        <w:t>；（线下：杭州市</w:t>
      </w:r>
      <w:r>
        <w:rPr>
          <w:rFonts w:hint="eastAsia" w:cs="宋体"/>
          <w:color w:val="auto"/>
          <w:highlight w:val="none"/>
          <w:lang w:eastAsia="zh-CN"/>
        </w:rPr>
        <w:t>环站东路99号</w:t>
      </w:r>
      <w:r>
        <w:rPr>
          <w:rFonts w:hint="eastAsia" w:cs="宋体"/>
          <w:color w:val="auto"/>
          <w:highlight w:val="none"/>
        </w:rPr>
        <w:t>云峰大厦1</w:t>
      </w:r>
      <w:r>
        <w:rPr>
          <w:rFonts w:hint="eastAsia" w:cs="宋体"/>
          <w:color w:val="auto"/>
          <w:highlight w:val="none"/>
          <w:lang w:val="en-US" w:eastAsia="zh-CN"/>
        </w:rPr>
        <w:t>号楼16</w:t>
      </w:r>
      <w:r>
        <w:rPr>
          <w:rFonts w:hint="eastAsia" w:cs="宋体"/>
          <w:color w:val="auto"/>
          <w:highlight w:val="none"/>
        </w:rPr>
        <w:t>楼</w:t>
      </w:r>
      <w:r>
        <w:rPr>
          <w:rFonts w:hint="eastAsia" w:cs="宋体"/>
          <w:color w:val="auto"/>
          <w:highlight w:val="none"/>
          <w:lang w:val="en-US" w:eastAsia="zh-CN"/>
        </w:rPr>
        <w:t>1608</w:t>
      </w:r>
      <w:r>
        <w:rPr>
          <w:rFonts w:hint="eastAsia" w:cs="宋体"/>
          <w:color w:val="auto"/>
          <w:highlight w:val="none"/>
        </w:rPr>
        <w:t>开标室）</w:t>
      </w:r>
    </w:p>
    <w:p w14:paraId="433B8764">
      <w:pPr>
        <w:widowControl/>
        <w:spacing w:line="360" w:lineRule="auto"/>
        <w:jc w:val="left"/>
        <w:rPr>
          <w:rFonts w:hint="eastAsia" w:ascii="宋体" w:hAnsi="宋体" w:cs="宋体"/>
          <w:b/>
          <w:bCs/>
          <w:color w:val="auto"/>
          <w:sz w:val="24"/>
          <w:highlight w:val="none"/>
        </w:rPr>
      </w:pPr>
    </w:p>
    <w:p w14:paraId="58BC5129">
      <w:pPr>
        <w:widowControl/>
        <w:spacing w:line="360" w:lineRule="auto"/>
        <w:jc w:val="left"/>
        <w:rPr>
          <w:rFonts w:ascii="宋体" w:hAnsi="宋体" w:cs="宋体"/>
          <w:b/>
          <w:bCs/>
          <w:color w:val="auto"/>
          <w:sz w:val="24"/>
          <w:highlight w:val="none"/>
        </w:rPr>
      </w:pPr>
      <w:r>
        <w:rPr>
          <w:rFonts w:hint="eastAsia" w:ascii="宋体" w:hAnsi="宋体" w:cs="宋体"/>
          <w:b/>
          <w:bCs/>
          <w:strike w:val="0"/>
          <w:color w:val="auto"/>
          <w:sz w:val="24"/>
          <w:highlight w:val="none"/>
        </w:rPr>
        <w:t>六、</w:t>
      </w:r>
      <w:r>
        <w:rPr>
          <w:rFonts w:hint="eastAsia" w:ascii="宋体" w:hAnsi="宋体" w:cs="宋体"/>
          <w:b/>
          <w:bCs/>
          <w:color w:val="auto"/>
          <w:sz w:val="24"/>
          <w:highlight w:val="none"/>
        </w:rPr>
        <w:t>公告期限</w:t>
      </w:r>
    </w:p>
    <w:p w14:paraId="20A08DA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自本公告发布之日起3个工作日。</w:t>
      </w:r>
    </w:p>
    <w:p w14:paraId="47D6FFCE">
      <w:pPr>
        <w:widowControl/>
        <w:spacing w:line="360" w:lineRule="auto"/>
        <w:jc w:val="left"/>
        <w:rPr>
          <w:rFonts w:hint="eastAsia" w:ascii="宋体" w:hAnsi="宋体" w:cs="宋体"/>
          <w:b/>
          <w:bCs/>
          <w:color w:val="auto"/>
          <w:sz w:val="24"/>
          <w:highlight w:val="none"/>
        </w:rPr>
      </w:pPr>
    </w:p>
    <w:p w14:paraId="66AAEBB8">
      <w:pPr>
        <w:widowControl/>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lang w:val="en-US" w:eastAsia="zh-CN"/>
        </w:rPr>
        <w:t>七</w:t>
      </w:r>
      <w:r>
        <w:rPr>
          <w:rFonts w:hint="eastAsia" w:ascii="宋体" w:hAnsi="宋体" w:cs="宋体"/>
          <w:b/>
          <w:bCs/>
          <w:color w:val="auto"/>
          <w:sz w:val="24"/>
          <w:highlight w:val="none"/>
        </w:rPr>
        <w:t>、其他补充事宜</w:t>
      </w:r>
    </w:p>
    <w:p w14:paraId="51E1AE5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15个工作日内向同级采购监督管理部门投诉。质疑函范本、投诉书范本请到浙江政府采购网下载专区下载。</w:t>
      </w:r>
    </w:p>
    <w:p w14:paraId="418B931A">
      <w:pPr>
        <w:widowControl/>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其他事项：</w:t>
      </w:r>
    </w:p>
    <w:p w14:paraId="4C7F70C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需要落实的政府采购政策：包括节约资源、保护环境、支持创新、促进中小企业发展等。详见招标文件的第二部分总则。</w:t>
      </w:r>
    </w:p>
    <w:p w14:paraId="510C10F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电子交易的说明：①电子交易：本项目以数据电文形式，依托“乐采云平台（https://hzjyg.lecaiyun.com）”进行招投标活动，不接受纸质响应文件；②投标准备：注册账号--点击“商家入驻”，进行政府采购供应商资料填写；申领CA数字证书---申领流程详见“乐采云平台-下载专区-电子交易客户端-CA驱动和申领流程”；安装“乐采云平台客户端”----前往“https://hzjyg.lecaiyun.com）”进行下载并安装；③采购文件的获取：使用账号登录或者使用CA登录乐采云平台；进入“项目采购”应用，在获取采购文件菜单中选择项目，获取采购文件；④响应文件的制作：在“乐采云电子交易客户端”中完成“填写基本信息”、“导入投标文件”、“标书关联”、“标书检查”、“电子签名”、“生成电子标书”等操作；⑤采购人、采购代理机构将依托乐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乐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乐采云平台”上传递交的响应文件无法按时解密，供应商递交了备份响应文件的，以备份响应文件为依据，否则视为响应文件撤回。通过“乐采云平台”上传递交的响应文件已按时解密的，备份响应文件自动失效。供应商仅提交备份响应文件，未在电子交易平台传输递交响应文件的，响应文件无效；⑩具体操作指南：详见乐采云平台“服务中心-帮助文档-项目采购-操作流程-电子招投标-乐采云管理操作指南-供应商”</w:t>
      </w:r>
      <w:r>
        <w:rPr>
          <w:rFonts w:hint="eastAsia" w:ascii="宋体" w:hAnsi="宋体" w:cs="宋体"/>
          <w:color w:val="auto"/>
          <w:sz w:val="24"/>
          <w:highlight w:val="none"/>
        </w:rPr>
        <w:t>。</w:t>
      </w:r>
    </w:p>
    <w:p w14:paraId="15CBD2C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磋商文件公告期限届等同招标公告期限。</w:t>
      </w:r>
    </w:p>
    <w:p w14:paraId="306C988F">
      <w:pPr>
        <w:widowControl/>
        <w:spacing w:line="360" w:lineRule="auto"/>
        <w:jc w:val="left"/>
        <w:rPr>
          <w:rFonts w:hint="eastAsia" w:ascii="宋体" w:hAnsi="宋体" w:cs="宋体"/>
          <w:b/>
          <w:bCs/>
          <w:color w:val="auto"/>
          <w:sz w:val="24"/>
          <w:highlight w:val="none"/>
        </w:rPr>
      </w:pPr>
    </w:p>
    <w:p w14:paraId="51BA1C5A">
      <w:pPr>
        <w:widowControl/>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lang w:val="en-US" w:eastAsia="zh-CN"/>
        </w:rPr>
        <w:t>八</w:t>
      </w:r>
      <w:r>
        <w:rPr>
          <w:rFonts w:hint="eastAsia" w:ascii="宋体" w:hAnsi="宋体" w:cs="宋体"/>
          <w:b/>
          <w:bCs/>
          <w:color w:val="auto"/>
          <w:sz w:val="24"/>
          <w:highlight w:val="none"/>
        </w:rPr>
        <w:t>、凡对本次招标提出询问、质疑、投诉，请按以下方式联系</w:t>
      </w:r>
    </w:p>
    <w:p w14:paraId="7D96EFF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1.采购人信息</w:t>
      </w:r>
    </w:p>
    <w:p w14:paraId="27350E31">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杭州市美术职业学校</w:t>
      </w:r>
    </w:p>
    <w:p w14:paraId="7029347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lang w:eastAsia="zh-CN"/>
        </w:rPr>
        <w:t>杭州市拱墅区莫干山路142号、杭州市上城区凤凰山脚路166号</w:t>
      </w:r>
      <w:r>
        <w:rPr>
          <w:rFonts w:hint="eastAsia" w:ascii="宋体" w:hAnsi="宋体" w:cs="宋体"/>
          <w:color w:val="auto"/>
          <w:sz w:val="24"/>
          <w:highlight w:val="none"/>
        </w:rPr>
        <w:t xml:space="preserve">                  </w:t>
      </w:r>
    </w:p>
    <w:p w14:paraId="5B7C593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传  真：</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  </w:t>
      </w:r>
      <w:r>
        <w:rPr>
          <w:rFonts w:hint="eastAsia"/>
          <w:color w:val="auto"/>
          <w:sz w:val="24"/>
          <w:highlight w:val="none"/>
        </w:rPr>
        <w:t xml:space="preserve">                                </w:t>
      </w:r>
    </w:p>
    <w:p w14:paraId="450223D6">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项目联系人（询问）：诸葛</w:t>
      </w:r>
      <w:r>
        <w:rPr>
          <w:rFonts w:hint="eastAsia" w:ascii="宋体" w:hAnsi="宋体" w:cs="宋体"/>
          <w:color w:val="auto"/>
          <w:sz w:val="24"/>
          <w:highlight w:val="none"/>
          <w:lang w:eastAsia="zh-CN"/>
        </w:rPr>
        <w:t>老师</w:t>
      </w:r>
    </w:p>
    <w:p w14:paraId="3554B095">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eastAsia="zh-CN"/>
        </w:rPr>
        <w:t>0571-</w:t>
      </w:r>
      <w:r>
        <w:rPr>
          <w:rFonts w:hint="eastAsia" w:ascii="宋体" w:hAnsi="宋体" w:cs="宋体"/>
          <w:color w:val="auto"/>
          <w:sz w:val="24"/>
          <w:highlight w:val="none"/>
        </w:rPr>
        <w:t>86069207</w:t>
      </w:r>
    </w:p>
    <w:p w14:paraId="21CF3DC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周老师</w:t>
      </w:r>
    </w:p>
    <w:p w14:paraId="66EA0E73">
      <w:pPr>
        <w:spacing w:line="360" w:lineRule="auto"/>
        <w:ind w:firstLine="480" w:firstLineChars="200"/>
        <w:rPr>
          <w:rFonts w:hint="default" w:ascii="宋体" w:hAnsi="宋体" w:eastAsia="宋体" w:cs="宋体"/>
          <w:color w:val="auto"/>
          <w:sz w:val="24"/>
          <w:highlight w:val="none"/>
          <w:lang w:eastAsia="zh-CN"/>
        </w:rPr>
      </w:pPr>
      <w:r>
        <w:rPr>
          <w:rFonts w:hint="eastAsia" w:ascii="宋体" w:hAnsi="宋体" w:cs="宋体"/>
          <w:color w:val="auto"/>
          <w:sz w:val="24"/>
          <w:highlight w:val="none"/>
        </w:rPr>
        <w:t>质疑联系方式：</w:t>
      </w:r>
      <w:r>
        <w:rPr>
          <w:rFonts w:hint="eastAsia" w:ascii="宋体" w:hAnsi="宋体" w:cs="宋体"/>
          <w:color w:val="auto"/>
          <w:sz w:val="24"/>
          <w:highlight w:val="none"/>
          <w:lang w:eastAsia="zh-CN"/>
        </w:rPr>
        <w:t>0571-87606375</w:t>
      </w:r>
    </w:p>
    <w:p w14:paraId="58CB9DF0">
      <w:pPr>
        <w:spacing w:line="360" w:lineRule="auto"/>
        <w:ind w:firstLine="480" w:firstLineChars="200"/>
        <w:rPr>
          <w:rFonts w:hint="eastAsia" w:ascii="宋体" w:hAnsi="宋体" w:cs="宋体"/>
          <w:color w:val="auto"/>
          <w:sz w:val="24"/>
          <w:highlight w:val="none"/>
        </w:rPr>
      </w:pPr>
    </w:p>
    <w:p w14:paraId="75B9E4E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2.采购代理机构信息</w:t>
      </w:r>
    </w:p>
    <w:p w14:paraId="617E758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名  称：杭州洲源招标代理有限公司</w:t>
      </w:r>
    </w:p>
    <w:p w14:paraId="2B171AD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  址：杭州市上城区环站东路99号云峰大厦1号楼</w:t>
      </w:r>
      <w:r>
        <w:rPr>
          <w:rFonts w:hint="eastAsia" w:ascii="宋体" w:hAnsi="宋体" w:cs="宋体"/>
          <w:color w:val="auto"/>
          <w:sz w:val="24"/>
          <w:highlight w:val="none"/>
          <w:lang w:val="en-US" w:eastAsia="zh-CN"/>
        </w:rPr>
        <w:t>16</w:t>
      </w:r>
      <w:r>
        <w:rPr>
          <w:rFonts w:hint="eastAsia" w:ascii="宋体" w:hAnsi="宋体" w:cs="宋体"/>
          <w:color w:val="auto"/>
          <w:sz w:val="24"/>
          <w:highlight w:val="none"/>
        </w:rPr>
        <w:t>楼</w:t>
      </w:r>
    </w:p>
    <w:p w14:paraId="296AFFB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传  真：0571-85292825</w:t>
      </w:r>
    </w:p>
    <w:p w14:paraId="41B4BBA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项目联系人（询问）：陈工、羊工</w:t>
      </w:r>
    </w:p>
    <w:p w14:paraId="71004B4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项目联系方式（询问）：0571-85292825</w:t>
      </w:r>
    </w:p>
    <w:p w14:paraId="604AC5E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质疑联系人：蓝工</w:t>
      </w:r>
    </w:p>
    <w:p w14:paraId="12614A31">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质疑联系方式：0571-85292825</w:t>
      </w:r>
    </w:p>
    <w:p w14:paraId="3C5DE64C">
      <w:pPr>
        <w:snapToGrid w:val="0"/>
        <w:spacing w:line="360" w:lineRule="auto"/>
        <w:ind w:firstLine="480" w:firstLineChars="200"/>
        <w:rPr>
          <w:rFonts w:hint="eastAsia" w:ascii="宋体" w:hAnsi="宋体" w:cs="宋体"/>
          <w:color w:val="auto"/>
          <w:sz w:val="24"/>
          <w:highlight w:val="none"/>
        </w:rPr>
      </w:pPr>
    </w:p>
    <w:p w14:paraId="070A5E2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3.同级采购监督管理部门            </w:t>
      </w:r>
    </w:p>
    <w:p w14:paraId="49C614A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名称：</w:t>
      </w:r>
      <w:r>
        <w:rPr>
          <w:rFonts w:hint="eastAsia" w:ascii="宋体" w:hAnsi="宋体" w:cs="宋体"/>
          <w:color w:val="auto"/>
          <w:sz w:val="24"/>
          <w:highlight w:val="none"/>
          <w:lang w:eastAsia="zh-CN"/>
        </w:rPr>
        <w:t>杭州市美术职业学校</w:t>
      </w:r>
    </w:p>
    <w:p w14:paraId="6D9AE5A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地址：</w:t>
      </w:r>
      <w:r>
        <w:rPr>
          <w:rFonts w:hint="eastAsia" w:ascii="宋体" w:hAnsi="宋体" w:cs="宋体"/>
          <w:color w:val="auto"/>
          <w:sz w:val="24"/>
          <w:highlight w:val="none"/>
          <w:lang w:eastAsia="zh-CN"/>
        </w:rPr>
        <w:t>杭州市拱墅区莫干山路142号、杭州市上城区凤凰山脚路166号</w:t>
      </w:r>
      <w:r>
        <w:rPr>
          <w:rFonts w:hint="eastAsia" w:ascii="宋体" w:hAnsi="宋体" w:cs="宋体"/>
          <w:color w:val="auto"/>
          <w:sz w:val="24"/>
          <w:highlight w:val="none"/>
        </w:rPr>
        <w:t xml:space="preserve"> </w:t>
      </w:r>
    </w:p>
    <w:p w14:paraId="4F3E309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传真：/</w:t>
      </w:r>
    </w:p>
    <w:p w14:paraId="6F8C32CF">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联系人：</w:t>
      </w:r>
      <w:r>
        <w:rPr>
          <w:rFonts w:hint="eastAsia" w:ascii="宋体" w:hAnsi="宋体" w:cs="宋体"/>
          <w:color w:val="auto"/>
          <w:sz w:val="24"/>
          <w:highlight w:val="none"/>
          <w:lang w:val="en-US" w:eastAsia="zh-CN"/>
        </w:rPr>
        <w:t>赵老师</w:t>
      </w:r>
    </w:p>
    <w:p w14:paraId="2E7F8A0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监督投诉电话：0571-8</w:t>
      </w:r>
      <w:r>
        <w:rPr>
          <w:rFonts w:hint="eastAsia" w:ascii="宋体" w:hAnsi="宋体" w:cs="宋体"/>
          <w:color w:val="auto"/>
          <w:sz w:val="24"/>
          <w:highlight w:val="none"/>
          <w:lang w:eastAsia="zh-CN"/>
        </w:rPr>
        <w:t>6</w:t>
      </w:r>
      <w:r>
        <w:rPr>
          <w:rFonts w:hint="eastAsia" w:ascii="宋体" w:hAnsi="宋体" w:cs="宋体"/>
          <w:color w:val="auto"/>
          <w:sz w:val="24"/>
          <w:highlight w:val="none"/>
          <w:lang w:val="en-US" w:eastAsia="zh-CN"/>
        </w:rPr>
        <w:t>070960</w:t>
      </w:r>
    </w:p>
    <w:p w14:paraId="73916EBD">
      <w:pPr>
        <w:snapToGrid w:val="0"/>
        <w:spacing w:line="360" w:lineRule="auto"/>
        <w:ind w:firstLine="480" w:firstLineChars="200"/>
        <w:rPr>
          <w:rFonts w:ascii="宋体" w:hAnsi="宋体" w:cs="宋体"/>
          <w:color w:val="auto"/>
          <w:sz w:val="24"/>
          <w:highlight w:val="none"/>
        </w:rPr>
      </w:pPr>
    </w:p>
    <w:p w14:paraId="2991CE1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w:t>
      </w:r>
      <w:r>
        <w:rPr>
          <w:rFonts w:hint="eastAsia" w:ascii="宋体" w:hAnsi="宋体" w:cs="宋体"/>
          <w:color w:val="auto"/>
          <w:sz w:val="24"/>
          <w:highlight w:val="none"/>
          <w:lang w:eastAsia="zh-CN"/>
        </w:rPr>
        <w:t>乐采云平台（https://hzjyg.lecaiyun.com）</w:t>
      </w:r>
      <w:r>
        <w:rPr>
          <w:rFonts w:hint="eastAsia" w:ascii="宋体" w:hAnsi="宋体" w:cs="宋体"/>
          <w:color w:val="auto"/>
          <w:sz w:val="24"/>
          <w:highlight w:val="none"/>
        </w:rPr>
        <w:t>，点击右侧咨询小采，获取采小蜜智能服务管家帮助，或拨打</w:t>
      </w:r>
      <w:r>
        <w:rPr>
          <w:rFonts w:hint="eastAsia" w:ascii="宋体" w:hAnsi="宋体" w:cs="宋体"/>
          <w:color w:val="auto"/>
          <w:sz w:val="24"/>
          <w:highlight w:val="none"/>
          <w:lang w:val="en-US" w:eastAsia="zh-CN"/>
        </w:rPr>
        <w:t>乐</w:t>
      </w:r>
      <w:r>
        <w:rPr>
          <w:rFonts w:hint="eastAsia" w:ascii="宋体" w:hAnsi="宋体" w:cs="宋体"/>
          <w:color w:val="auto"/>
          <w:sz w:val="24"/>
          <w:highlight w:val="none"/>
        </w:rPr>
        <w:t>采云服务热线95763 获取热线服务帮助。</w:t>
      </w:r>
    </w:p>
    <w:p w14:paraId="655657FF">
      <w:pPr>
        <w:snapToGrid w:val="0"/>
        <w:spacing w:line="360" w:lineRule="auto"/>
        <w:ind w:firstLine="480" w:firstLineChars="200"/>
        <w:rPr>
          <w:rFonts w:hint="default" w:ascii="宋体" w:hAnsi="宋体" w:eastAsia="宋体" w:cs="宋体"/>
          <w:color w:val="auto"/>
          <w:sz w:val="24"/>
          <w:highlight w:val="none"/>
          <w:lang w:val="en-US" w:eastAsia="zh-CN"/>
        </w:rPr>
        <w:sectPr>
          <w:headerReference r:id="rId4" w:type="first"/>
          <w:footerReference r:id="rId7" w:type="first"/>
          <w:headerReference r:id="rId3" w:type="default"/>
          <w:footerReference r:id="rId5" w:type="default"/>
          <w:footerReference r:id="rId6" w:type="even"/>
          <w:pgSz w:w="11906" w:h="16838"/>
          <w:pgMar w:top="1440" w:right="1417" w:bottom="1440" w:left="141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ascii="宋体" w:hAnsi="宋体" w:cs="宋体"/>
          <w:color w:val="auto"/>
          <w:sz w:val="24"/>
          <w:highlight w:val="none"/>
        </w:rPr>
        <w:t>CA问题联系电话（人工）：汇信CA 400-888-4636；天谷CA 400-087-8198。</w:t>
      </w:r>
      <w:r>
        <w:rPr>
          <w:rFonts w:hint="eastAsia" w:ascii="宋体" w:hAnsi="宋体" w:cs="宋体"/>
          <w:color w:val="auto"/>
          <w:sz w:val="24"/>
          <w:highlight w:val="none"/>
          <w:lang w:val="en-US" w:eastAsia="zh-CN"/>
        </w:rPr>
        <w:t xml:space="preserve">  </w:t>
      </w:r>
    </w:p>
    <w:p w14:paraId="09F36598">
      <w:pPr>
        <w:pStyle w:val="33"/>
        <w:spacing w:line="360" w:lineRule="auto"/>
        <w:jc w:val="center"/>
        <w:rPr>
          <w:rFonts w:hAnsi="宋体" w:cs="宋体"/>
          <w:b/>
          <w:snapToGrid/>
          <w:color w:val="auto"/>
          <w:sz w:val="36"/>
          <w:szCs w:val="20"/>
          <w:highlight w:val="none"/>
        </w:rPr>
      </w:pPr>
      <w:r>
        <w:rPr>
          <w:rFonts w:hint="eastAsia" w:hAnsi="宋体" w:cs="宋体"/>
          <w:b/>
          <w:snapToGrid/>
          <w:color w:val="auto"/>
          <w:sz w:val="36"/>
          <w:szCs w:val="20"/>
          <w:highlight w:val="none"/>
        </w:rPr>
        <w:t>第二部分</w:t>
      </w:r>
      <w:bookmarkEnd w:id="8"/>
      <w:r>
        <w:rPr>
          <w:rFonts w:hint="eastAsia" w:hAnsi="宋体" w:cs="宋体"/>
          <w:b/>
          <w:snapToGrid/>
          <w:color w:val="auto"/>
          <w:sz w:val="36"/>
          <w:szCs w:val="20"/>
          <w:highlight w:val="none"/>
        </w:rPr>
        <w:t xml:space="preserve"> 供应商须知</w:t>
      </w:r>
      <w:bookmarkEnd w:id="9"/>
    </w:p>
    <w:p w14:paraId="63A5DCB9">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9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1890"/>
        <w:gridCol w:w="7130"/>
      </w:tblGrid>
      <w:tr w14:paraId="3699F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jc w:val="center"/>
        </w:trPr>
        <w:tc>
          <w:tcPr>
            <w:tcW w:w="714" w:type="dxa"/>
          </w:tcPr>
          <w:p w14:paraId="4126BB7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90" w:type="dxa"/>
            <w:vAlign w:val="center"/>
          </w:tcPr>
          <w:p w14:paraId="22A4FB0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7130" w:type="dxa"/>
            <w:vAlign w:val="center"/>
          </w:tcPr>
          <w:p w14:paraId="5BE1761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12503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jc w:val="center"/>
        </w:trPr>
        <w:tc>
          <w:tcPr>
            <w:tcW w:w="714" w:type="dxa"/>
            <w:vAlign w:val="center"/>
          </w:tcPr>
          <w:p w14:paraId="104394A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w:t>
            </w:r>
          </w:p>
        </w:tc>
        <w:tc>
          <w:tcPr>
            <w:tcW w:w="1890" w:type="dxa"/>
            <w:vAlign w:val="center"/>
          </w:tcPr>
          <w:p w14:paraId="058DD47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项目概述</w:t>
            </w:r>
          </w:p>
        </w:tc>
        <w:tc>
          <w:tcPr>
            <w:tcW w:w="7130" w:type="dxa"/>
            <w:vAlign w:val="center"/>
          </w:tcPr>
          <w:p w14:paraId="7C6AF873">
            <w:pPr>
              <w:pStyle w:val="969"/>
              <w:numPr>
                <w:ilvl w:val="0"/>
                <w:numId w:val="2"/>
              </w:numPr>
              <w:snapToGrid w:val="0"/>
              <w:spacing w:line="360" w:lineRule="auto"/>
              <w:ind w:firstLine="0" w:firstLineChars="0"/>
              <w:jc w:val="left"/>
              <w:rPr>
                <w:rFonts w:ascii="宋体" w:hAnsi="宋体" w:cs="宋体"/>
                <w:color w:val="auto"/>
                <w:sz w:val="24"/>
                <w:highlight w:val="none"/>
              </w:rPr>
            </w:pPr>
            <w:r>
              <w:rPr>
                <w:rFonts w:hint="eastAsia" w:ascii="宋体" w:hAnsi="宋体" w:cs="宋体"/>
                <w:bCs/>
                <w:color w:val="auto"/>
                <w:sz w:val="24"/>
                <w:highlight w:val="none"/>
              </w:rPr>
              <w:t>项目名称：</w:t>
            </w:r>
            <w:r>
              <w:rPr>
                <w:rFonts w:hint="eastAsia" w:ascii="宋体" w:hAnsi="宋体" w:cs="宋体"/>
                <w:color w:val="auto"/>
                <w:sz w:val="24"/>
                <w:highlight w:val="none"/>
                <w:lang w:eastAsia="zh-CN"/>
              </w:rPr>
              <w:t>杭州市美术职业学校（凤山校区）门卫楼及大礼堂外立面工程</w:t>
            </w:r>
          </w:p>
          <w:p w14:paraId="09793B8A">
            <w:pPr>
              <w:pStyle w:val="969"/>
              <w:numPr>
                <w:ilvl w:val="0"/>
                <w:numId w:val="2"/>
              </w:numPr>
              <w:snapToGrid w:val="0"/>
              <w:spacing w:line="360" w:lineRule="auto"/>
              <w:ind w:firstLine="0" w:firstLineChars="0"/>
              <w:jc w:val="left"/>
              <w:rPr>
                <w:rFonts w:ascii="宋体" w:hAnsi="宋体" w:cs="宋体"/>
                <w:color w:val="auto"/>
                <w:sz w:val="24"/>
                <w:highlight w:val="none"/>
              </w:rPr>
            </w:pP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MSZX-2025-004</w:t>
            </w:r>
          </w:p>
          <w:p w14:paraId="3AF94F5E">
            <w:pPr>
              <w:pStyle w:val="969"/>
              <w:numPr>
                <w:ilvl w:val="0"/>
                <w:numId w:val="2"/>
              </w:numPr>
              <w:snapToGrid w:val="0"/>
              <w:spacing w:line="360" w:lineRule="auto"/>
              <w:ind w:firstLine="0" w:firstLineChars="0"/>
              <w:jc w:val="left"/>
              <w:rPr>
                <w:rFonts w:ascii="宋体" w:hAnsi="宋体" w:cs="宋体"/>
                <w:color w:val="auto"/>
                <w:sz w:val="24"/>
                <w:highlight w:val="none"/>
                <w:shd w:val="clear" w:fill="FFFFFF" w:themeFill="background1"/>
              </w:rPr>
            </w:pPr>
            <w:r>
              <w:rPr>
                <w:rFonts w:hint="eastAsia" w:ascii="宋体" w:hAnsi="宋体" w:cs="宋体"/>
                <w:color w:val="auto"/>
                <w:sz w:val="24"/>
                <w:highlight w:val="none"/>
              </w:rPr>
              <w:t>项目主要内容</w:t>
            </w:r>
            <w:r>
              <w:rPr>
                <w:rFonts w:hint="eastAsia" w:ascii="宋体" w:hAnsi="宋体" w:cs="宋体"/>
                <w:color w:val="auto"/>
                <w:sz w:val="24"/>
                <w:highlight w:val="none"/>
                <w:lang w:eastAsia="zh-CN"/>
              </w:rPr>
              <w:t>：</w:t>
            </w:r>
            <w:r>
              <w:rPr>
                <w:rFonts w:hint="eastAsia" w:ascii="宋体" w:hAnsi="宋体" w:cs="Times New Roman"/>
                <w:color w:val="auto"/>
                <w:sz w:val="24"/>
                <w:highlight w:val="none"/>
                <w:lang w:val="en-US" w:eastAsia="zh-CN"/>
              </w:rPr>
              <w:t>凤山校区</w:t>
            </w:r>
            <w:r>
              <w:rPr>
                <w:rFonts w:hint="eastAsia" w:ascii="宋体" w:hAnsi="宋体" w:eastAsia="宋体" w:cs="Times New Roman"/>
                <w:color w:val="auto"/>
                <w:sz w:val="24"/>
                <w:highlight w:val="none"/>
                <w:lang w:val="en-US" w:eastAsia="zh-CN"/>
              </w:rPr>
              <w:t>门岗楼建筑外立面及室内改造翻新</w:t>
            </w:r>
            <w:r>
              <w:rPr>
                <w:rFonts w:hint="eastAsia" w:ascii="宋体" w:hAnsi="宋体" w:cs="Times New Roman"/>
                <w:color w:val="auto"/>
                <w:sz w:val="24"/>
                <w:highlight w:val="none"/>
                <w:lang w:val="en-US" w:eastAsia="zh-CN"/>
              </w:rPr>
              <w:t>，</w:t>
            </w:r>
            <w:r>
              <w:rPr>
                <w:rFonts w:hint="eastAsia" w:ascii="宋体" w:hAnsi="宋体" w:eastAsia="宋体" w:cs="Times New Roman"/>
                <w:color w:val="auto"/>
                <w:sz w:val="24"/>
                <w:highlight w:val="none"/>
                <w:lang w:val="en-US" w:eastAsia="zh-CN"/>
              </w:rPr>
              <w:t>礼堂外立面翻新等</w:t>
            </w:r>
            <w:r>
              <w:rPr>
                <w:rFonts w:hint="eastAsia" w:ascii="宋体" w:hAnsi="宋体" w:cs="宋体"/>
                <w:color w:val="auto"/>
                <w:sz w:val="24"/>
                <w:highlight w:val="none"/>
                <w:shd w:val="clear" w:fill="FFFFFF" w:themeFill="background1"/>
              </w:rPr>
              <w:t>，具体详见磋商文件、工程量清单、图纸等材料。</w:t>
            </w:r>
          </w:p>
          <w:p w14:paraId="28DEC4A2">
            <w:pPr>
              <w:pStyle w:val="969"/>
              <w:numPr>
                <w:ilvl w:val="0"/>
                <w:numId w:val="2"/>
              </w:numPr>
              <w:snapToGrid w:val="0"/>
              <w:spacing w:line="360" w:lineRule="auto"/>
              <w:ind w:firstLine="0" w:firstLineChars="0"/>
              <w:jc w:val="left"/>
              <w:rPr>
                <w:rFonts w:ascii="宋体" w:hAnsi="宋体" w:cs="宋体"/>
                <w:color w:val="auto"/>
                <w:sz w:val="24"/>
                <w:highlight w:val="none"/>
              </w:rPr>
            </w:pPr>
            <w:r>
              <w:rPr>
                <w:rFonts w:hint="eastAsia" w:ascii="宋体" w:hAnsi="宋体" w:cs="宋体"/>
                <w:bCs/>
                <w:color w:val="auto"/>
                <w:sz w:val="24"/>
                <w:highlight w:val="none"/>
              </w:rPr>
              <w:t>项</w:t>
            </w:r>
            <w:r>
              <w:rPr>
                <w:rFonts w:hint="eastAsia" w:ascii="宋体" w:hAnsi="宋体" w:cs="宋体"/>
                <w:color w:val="auto"/>
                <w:sz w:val="24"/>
                <w:highlight w:val="none"/>
              </w:rPr>
              <w:t>目</w:t>
            </w:r>
            <w:r>
              <w:rPr>
                <w:rFonts w:hint="eastAsia" w:ascii="宋体" w:hAnsi="宋体" w:cs="宋体"/>
                <w:color w:val="auto"/>
                <w:sz w:val="24"/>
                <w:highlight w:val="none"/>
                <w:u w:val="none"/>
              </w:rPr>
              <w:t>预算：</w:t>
            </w:r>
            <w:r>
              <w:rPr>
                <w:rFonts w:hint="eastAsia" w:ascii="宋体" w:hAnsi="宋体" w:cs="宋体"/>
                <w:color w:val="auto"/>
                <w:sz w:val="24"/>
                <w:highlight w:val="none"/>
                <w:u w:val="none"/>
                <w:lang w:eastAsia="zh-CN"/>
              </w:rPr>
              <w:t>950000</w:t>
            </w:r>
            <w:r>
              <w:rPr>
                <w:rFonts w:hint="eastAsia" w:ascii="宋体" w:hAnsi="宋体" w:cs="宋体"/>
                <w:color w:val="auto"/>
                <w:sz w:val="24"/>
                <w:highlight w:val="none"/>
                <w:u w:val="none"/>
              </w:rPr>
              <w:t>元；</w:t>
            </w:r>
            <w:r>
              <w:rPr>
                <w:rFonts w:hint="eastAsia" w:ascii="宋体" w:hAnsi="宋体" w:cs="宋体"/>
                <w:color w:val="FF0000"/>
                <w:sz w:val="24"/>
                <w:highlight w:val="none"/>
                <w:u w:val="none"/>
                <w:lang w:val="en-US" w:eastAsia="zh-CN"/>
              </w:rPr>
              <w:t>招标控制价：</w:t>
            </w:r>
            <w:r>
              <w:rPr>
                <w:rFonts w:hint="eastAsia" w:ascii="宋体" w:hAnsi="宋体" w:cs="宋体"/>
                <w:color w:val="FF0000"/>
                <w:sz w:val="24"/>
                <w:highlight w:val="none"/>
                <w:lang w:eastAsia="zh-CN"/>
              </w:rPr>
              <w:t>860311</w:t>
            </w:r>
            <w:r>
              <w:rPr>
                <w:rFonts w:hint="eastAsia" w:ascii="宋体" w:hAnsi="宋体" w:cs="宋体"/>
                <w:color w:val="FF0000"/>
                <w:sz w:val="24"/>
                <w:highlight w:val="none"/>
                <w:u w:val="none"/>
                <w:lang w:val="en-US" w:eastAsia="zh-CN"/>
              </w:rPr>
              <w:t>元，</w:t>
            </w:r>
            <w:r>
              <w:rPr>
                <w:rFonts w:hint="eastAsia" w:ascii="宋体" w:hAnsi="宋体" w:cs="宋体"/>
                <w:color w:val="FF0000"/>
                <w:sz w:val="24"/>
                <w:highlight w:val="none"/>
                <w:u w:val="none"/>
              </w:rPr>
              <w:t>最高限价</w:t>
            </w:r>
            <w:r>
              <w:rPr>
                <w:rFonts w:hint="eastAsia" w:ascii="宋体" w:hAnsi="宋体" w:cs="宋体"/>
                <w:color w:val="FF0000"/>
                <w:sz w:val="24"/>
                <w:highlight w:val="none"/>
                <w:u w:val="none"/>
                <w:lang w:eastAsia="zh-CN"/>
              </w:rPr>
              <w:t>：</w:t>
            </w:r>
            <w:r>
              <w:rPr>
                <w:rFonts w:hint="eastAsia" w:ascii="宋体" w:hAnsi="宋体" w:cs="宋体"/>
                <w:color w:val="FF0000"/>
                <w:sz w:val="24"/>
                <w:highlight w:val="none"/>
                <w:u w:val="none"/>
                <w:lang w:val="en-US" w:eastAsia="zh-CN"/>
              </w:rPr>
              <w:t xml:space="preserve"> </w:t>
            </w:r>
            <w:r>
              <w:rPr>
                <w:rFonts w:hint="eastAsia" w:ascii="宋体" w:hAnsi="宋体" w:cs="宋体"/>
                <w:color w:val="FF0000"/>
                <w:sz w:val="24"/>
                <w:highlight w:val="none"/>
                <w:lang w:eastAsia="zh-CN"/>
              </w:rPr>
              <w:t>860311</w:t>
            </w:r>
            <w:r>
              <w:rPr>
                <w:rFonts w:hint="eastAsia" w:ascii="宋体" w:hAnsi="宋体" w:cs="宋体"/>
                <w:color w:val="FF0000"/>
                <w:sz w:val="24"/>
                <w:highlight w:val="none"/>
                <w:u w:val="none"/>
              </w:rPr>
              <w:t>元</w:t>
            </w:r>
            <w:r>
              <w:rPr>
                <w:rFonts w:hint="eastAsia" w:ascii="宋体" w:hAnsi="宋体" w:cs="宋体"/>
                <w:color w:val="auto"/>
                <w:sz w:val="24"/>
                <w:highlight w:val="none"/>
                <w:u w:val="none"/>
              </w:rPr>
              <w:t>，</w:t>
            </w:r>
            <w:r>
              <w:rPr>
                <w:rFonts w:hint="eastAsia" w:ascii="宋体" w:hAnsi="宋体" w:cs="宋体"/>
                <w:color w:val="auto"/>
                <w:sz w:val="24"/>
                <w:highlight w:val="none"/>
              </w:rPr>
              <w:t>超过</w:t>
            </w:r>
            <w:bookmarkStart w:id="404" w:name="_GoBack"/>
            <w:bookmarkEnd w:id="404"/>
            <w:r>
              <w:rPr>
                <w:rFonts w:hint="eastAsia" w:ascii="宋体" w:hAnsi="宋体" w:cs="宋体"/>
                <w:color w:val="auto"/>
                <w:sz w:val="24"/>
                <w:highlight w:val="none"/>
              </w:rPr>
              <w:t>最高限价的磋商报价将作为无效响应。</w:t>
            </w:r>
          </w:p>
          <w:p w14:paraId="7C79FDD9">
            <w:pPr>
              <w:pStyle w:val="969"/>
              <w:numPr>
                <w:ilvl w:val="0"/>
                <w:numId w:val="2"/>
              </w:numPr>
              <w:snapToGrid w:val="0"/>
              <w:spacing w:line="360" w:lineRule="auto"/>
              <w:ind w:firstLine="0" w:firstLineChars="0"/>
              <w:jc w:val="left"/>
              <w:rPr>
                <w:rFonts w:ascii="宋体" w:hAnsi="宋体" w:cs="宋体"/>
                <w:b w:val="0"/>
                <w:bCs w:val="0"/>
                <w:color w:val="auto"/>
                <w:sz w:val="24"/>
                <w:highlight w:val="none"/>
              </w:rPr>
            </w:pPr>
            <w:r>
              <w:rPr>
                <w:rFonts w:hint="eastAsia" w:ascii="宋体" w:hAnsi="宋体" w:cs="宋体"/>
                <w:b w:val="0"/>
                <w:bCs w:val="0"/>
                <w:color w:val="auto"/>
                <w:sz w:val="24"/>
                <w:highlight w:val="none"/>
              </w:rPr>
              <w:t>工期：合同签订接采购人开工通知后</w:t>
            </w:r>
            <w:r>
              <w:rPr>
                <w:rFonts w:hint="eastAsia" w:ascii="宋体" w:hAnsi="宋体" w:cs="宋体"/>
                <w:b w:val="0"/>
                <w:bCs w:val="0"/>
                <w:color w:val="auto"/>
                <w:sz w:val="24"/>
                <w:highlight w:val="none"/>
                <w:lang w:val="en-US" w:eastAsia="zh-CN"/>
              </w:rPr>
              <w:t>40</w:t>
            </w:r>
            <w:r>
              <w:rPr>
                <w:rFonts w:hint="eastAsia" w:ascii="宋体" w:hAnsi="宋体" w:cs="宋体"/>
                <w:b w:val="0"/>
                <w:bCs w:val="0"/>
                <w:color w:val="auto"/>
                <w:sz w:val="24"/>
                <w:highlight w:val="none"/>
              </w:rPr>
              <w:t>日历天内完成工程施工。</w:t>
            </w:r>
          </w:p>
          <w:p w14:paraId="0587D59E">
            <w:pPr>
              <w:pStyle w:val="969"/>
              <w:numPr>
                <w:ilvl w:val="0"/>
                <w:numId w:val="2"/>
              </w:numPr>
              <w:snapToGrid w:val="0"/>
              <w:spacing w:line="360" w:lineRule="auto"/>
              <w:ind w:left="420" w:hanging="420" w:firstLineChars="0"/>
              <w:jc w:val="left"/>
              <w:rPr>
                <w:rFonts w:ascii="宋体" w:hAnsi="宋体" w:cs="宋体"/>
                <w:b/>
                <w:color w:val="auto"/>
                <w:sz w:val="24"/>
                <w:highlight w:val="none"/>
              </w:rPr>
            </w:pPr>
            <w:r>
              <w:rPr>
                <w:rFonts w:hint="eastAsia" w:ascii="宋体" w:hAnsi="宋体" w:cs="宋体"/>
                <w:b w:val="0"/>
                <w:bCs w:val="0"/>
                <w:color w:val="auto"/>
                <w:sz w:val="24"/>
                <w:highlight w:val="none"/>
              </w:rPr>
              <w:t>质量标准：按国家施工验收规范验收合格。</w:t>
            </w:r>
          </w:p>
        </w:tc>
      </w:tr>
      <w:tr w14:paraId="609CC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jc w:val="center"/>
        </w:trPr>
        <w:tc>
          <w:tcPr>
            <w:tcW w:w="714" w:type="dxa"/>
            <w:vAlign w:val="center"/>
          </w:tcPr>
          <w:p w14:paraId="0A42034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90" w:type="dxa"/>
            <w:vAlign w:val="center"/>
          </w:tcPr>
          <w:p w14:paraId="38F6C92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7130" w:type="dxa"/>
            <w:vAlign w:val="center"/>
          </w:tcPr>
          <w:p w14:paraId="29AF6AAA">
            <w:pPr>
              <w:spacing w:line="360" w:lineRule="auto"/>
              <w:rPr>
                <w:rFonts w:ascii="宋体" w:hAnsi="宋体" w:cs="宋体"/>
                <w:color w:val="auto"/>
                <w:sz w:val="24"/>
                <w:highlight w:val="none"/>
              </w:rPr>
            </w:pPr>
            <w:r>
              <w:rPr>
                <w:rFonts w:hint="eastAsia" w:ascii="宋体" w:hAnsi="宋体" w:cs="宋体"/>
                <w:color w:val="auto"/>
                <w:kern w:val="0"/>
                <w:sz w:val="24"/>
                <w:highlight w:val="none"/>
              </w:rPr>
              <w:t>工程</w:t>
            </w:r>
            <w:r>
              <w:rPr>
                <w:rFonts w:hint="eastAsia" w:ascii="宋体" w:hAnsi="宋体" w:cs="宋体"/>
                <w:color w:val="auto"/>
                <w:sz w:val="24"/>
                <w:highlight w:val="none"/>
              </w:rPr>
              <w:t>类</w:t>
            </w:r>
          </w:p>
        </w:tc>
      </w:tr>
      <w:tr w14:paraId="1B06F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jc w:val="center"/>
        </w:trPr>
        <w:tc>
          <w:tcPr>
            <w:tcW w:w="714" w:type="dxa"/>
            <w:vAlign w:val="center"/>
          </w:tcPr>
          <w:p w14:paraId="26E66A4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90" w:type="dxa"/>
            <w:vAlign w:val="center"/>
          </w:tcPr>
          <w:p w14:paraId="43E9948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7130" w:type="dxa"/>
            <w:vAlign w:val="center"/>
          </w:tcPr>
          <w:p w14:paraId="74541750">
            <w:pPr>
              <w:shd w:val="clear" w:fill="FFFFFF" w:themeFill="background1"/>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杭州市美术职业学校</w:t>
            </w:r>
            <w:r>
              <w:rPr>
                <w:rFonts w:hint="eastAsia" w:ascii="宋体" w:hAnsi="宋体" w:cs="宋体"/>
                <w:color w:val="auto"/>
                <w:kern w:val="0"/>
                <w:sz w:val="24"/>
                <w:highlight w:val="none"/>
                <w:u w:val="single"/>
                <w:lang w:eastAsia="zh-CN"/>
              </w:rPr>
              <w:t>（凤山校区）门卫楼及大礼堂外立面工程</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建筑业 </w:t>
            </w:r>
            <w:r>
              <w:rPr>
                <w:rFonts w:hint="eastAsia" w:ascii="宋体" w:hAnsi="宋体" w:cs="宋体"/>
                <w:color w:val="auto"/>
                <w:kern w:val="0"/>
                <w:sz w:val="24"/>
                <w:highlight w:val="none"/>
              </w:rPr>
              <w:t>行业；</w:t>
            </w:r>
          </w:p>
          <w:p w14:paraId="2E3ADC81">
            <w:pPr>
              <w:snapToGrid w:val="0"/>
              <w:spacing w:line="360" w:lineRule="auto"/>
              <w:rPr>
                <w:rFonts w:ascii="宋体" w:hAnsi="宋体" w:cs="宋体"/>
                <w:color w:val="auto"/>
                <w:highlight w:val="none"/>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根据《关于印发中小企业划型标准规定的通知》（工信部联企业〔2011〕300号）第四条第（三）项规定：</w:t>
            </w:r>
            <w:r>
              <w:rPr>
                <w:rFonts w:hint="eastAsia" w:ascii="宋体" w:hAnsi="宋体" w:eastAsia="宋体" w:cs="宋体"/>
                <w:b w:val="0"/>
                <w:bCs w:val="0"/>
                <w:color w:val="auto"/>
                <w:kern w:val="0"/>
                <w:sz w:val="24"/>
                <w:szCs w:val="24"/>
                <w:highlight w:val="none"/>
                <w:u w:val="single"/>
                <w:lang w:val="en-US" w:eastAsia="zh-CN" w:bidi="ar-SA"/>
              </w:rPr>
              <w:t>建筑业行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47563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jc w:val="center"/>
        </w:trPr>
        <w:tc>
          <w:tcPr>
            <w:tcW w:w="714" w:type="dxa"/>
            <w:vAlign w:val="center"/>
          </w:tcPr>
          <w:p w14:paraId="240DCFB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90" w:type="dxa"/>
            <w:vAlign w:val="center"/>
          </w:tcPr>
          <w:p w14:paraId="30DC5DB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7130" w:type="dxa"/>
            <w:vAlign w:val="center"/>
          </w:tcPr>
          <w:p w14:paraId="394DB32F">
            <w:pPr>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sym w:font="Wingdings" w:char="F0FE"/>
            </w:r>
            <w:r>
              <w:rPr>
                <w:rFonts w:hint="eastAsia" w:ascii="宋体" w:hAnsi="宋体" w:cs="宋体"/>
                <w:b/>
                <w:bCs/>
                <w:color w:val="auto"/>
                <w:kern w:val="0"/>
                <w:sz w:val="24"/>
                <w:highlight w:val="none"/>
              </w:rPr>
              <w:t>本项目不允许采购进口产品。</w:t>
            </w:r>
          </w:p>
          <w:p w14:paraId="0E9D9F96">
            <w:pPr>
              <w:spacing w:line="360" w:lineRule="auto"/>
              <w:rPr>
                <w:rFonts w:ascii="宋体" w:hAnsi="宋体" w:cs="宋体"/>
                <w:color w:val="auto"/>
                <w:highlight w:val="none"/>
              </w:rPr>
            </w:pPr>
            <w:r>
              <w:rPr>
                <w:rFonts w:hint="eastAsia" w:ascii="宋体" w:hAnsi="宋体" w:cs="宋体"/>
                <w:color w:val="auto"/>
                <w:kern w:val="0"/>
                <w:sz w:val="24"/>
                <w:highlight w:val="none"/>
              </w:rPr>
              <w:sym w:font="Wingdings" w:char="00A8"/>
            </w:r>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38DEB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jc w:val="center"/>
        </w:trPr>
        <w:tc>
          <w:tcPr>
            <w:tcW w:w="714" w:type="dxa"/>
            <w:vAlign w:val="center"/>
          </w:tcPr>
          <w:p w14:paraId="462373B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90" w:type="dxa"/>
            <w:vAlign w:val="center"/>
          </w:tcPr>
          <w:p w14:paraId="2CF9A67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分包</w:t>
            </w:r>
          </w:p>
        </w:tc>
        <w:tc>
          <w:tcPr>
            <w:tcW w:w="7130" w:type="dxa"/>
            <w:vAlign w:val="center"/>
          </w:tcPr>
          <w:p w14:paraId="60E3C648">
            <w:pPr>
              <w:spacing w:line="360" w:lineRule="auto"/>
              <w:rPr>
                <w:rFonts w:ascii="宋体" w:hAnsi="宋体" w:cs="宋体"/>
                <w:color w:val="auto"/>
                <w:sz w:val="24"/>
                <w:highlight w:val="none"/>
              </w:rPr>
            </w:pPr>
            <w:r>
              <w:rPr>
                <w:rFonts w:hint="eastAsia" w:ascii="宋体" w:hAnsi="宋体" w:cs="宋体"/>
                <w:b/>
                <w:bCs/>
                <w:color w:val="auto"/>
                <w:kern w:val="0"/>
                <w:sz w:val="24"/>
                <w:highlight w:val="none"/>
              </w:rPr>
              <w:sym w:font="Wingdings" w:char="00FE"/>
            </w:r>
            <w:r>
              <w:rPr>
                <w:rFonts w:hint="eastAsia" w:ascii="宋体" w:hAnsi="宋体" w:cs="宋体"/>
                <w:b/>
                <w:bCs/>
                <w:color w:val="auto"/>
                <w:kern w:val="0"/>
                <w:sz w:val="24"/>
                <w:highlight w:val="none"/>
              </w:rPr>
              <w:t xml:space="preserve"> A</w:t>
            </w:r>
            <w:r>
              <w:rPr>
                <w:rFonts w:hint="eastAsia" w:ascii="宋体" w:hAnsi="宋体" w:cs="宋体"/>
                <w:b/>
                <w:bCs/>
                <w:color w:val="auto"/>
                <w:sz w:val="24"/>
                <w:highlight w:val="none"/>
              </w:rPr>
              <w:t>同意将非主体、非关键性的</w:t>
            </w:r>
            <w:r>
              <w:rPr>
                <w:rFonts w:hint="eastAsia" w:ascii="宋体" w:hAnsi="宋体" w:cs="宋体"/>
                <w:b/>
                <w:bCs/>
                <w:color w:val="auto"/>
                <w:sz w:val="24"/>
                <w:highlight w:val="none"/>
                <w:u w:val="single"/>
              </w:rPr>
              <w:t xml:space="preserve">  运输 </w:t>
            </w:r>
            <w:r>
              <w:rPr>
                <w:rFonts w:hint="eastAsia" w:ascii="宋体" w:hAnsi="宋体" w:cs="宋体"/>
                <w:b/>
                <w:bCs/>
                <w:color w:val="auto"/>
                <w:sz w:val="24"/>
                <w:highlight w:val="none"/>
              </w:rPr>
              <w:t>工作分包。</w:t>
            </w:r>
          </w:p>
          <w:p w14:paraId="78DB68D8">
            <w:pPr>
              <w:spacing w:line="360" w:lineRule="auto"/>
              <w:rPr>
                <w:rFonts w:ascii="宋体" w:hAnsi="宋体" w:cs="宋体"/>
                <w:color w:val="auto"/>
                <w:sz w:val="24"/>
                <w:highlight w:val="none"/>
              </w:rPr>
            </w:pPr>
            <w:r>
              <w:rPr>
                <w:rFonts w:hint="eastAsia" w:ascii="宋体" w:hAnsi="宋体" w:cs="宋体"/>
                <w:color w:val="auto"/>
                <w:kern w:val="0"/>
                <w:sz w:val="24"/>
                <w:highlight w:val="none"/>
              </w:rPr>
              <w:sym w:font="Wingdings" w:char="00A8"/>
            </w:r>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3D992F92">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34A12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jc w:val="center"/>
        </w:trPr>
        <w:tc>
          <w:tcPr>
            <w:tcW w:w="714" w:type="dxa"/>
            <w:vAlign w:val="center"/>
          </w:tcPr>
          <w:p w14:paraId="7DCEF49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90" w:type="dxa"/>
            <w:vAlign w:val="center"/>
          </w:tcPr>
          <w:p w14:paraId="33DB3DD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磋商前答疑会或现场考察</w:t>
            </w:r>
          </w:p>
        </w:tc>
        <w:tc>
          <w:tcPr>
            <w:tcW w:w="7130" w:type="dxa"/>
            <w:vAlign w:val="center"/>
          </w:tcPr>
          <w:p w14:paraId="74CEB301">
            <w:pPr>
              <w:pStyle w:val="79"/>
              <w:spacing w:line="360" w:lineRule="auto"/>
              <w:ind w:firstLine="0" w:firstLineChars="0"/>
              <w:rPr>
                <w:rFonts w:hint="eastAsia" w:ascii="宋体" w:hAnsi="宋体" w:eastAsia="宋体" w:cs="宋体"/>
                <w:b w:val="0"/>
                <w:bCs w:val="0"/>
                <w:color w:val="auto"/>
                <w:sz w:val="24"/>
                <w:highlight w:val="none"/>
              </w:rPr>
            </w:pPr>
            <w:sdt>
              <w:sdtPr>
                <w:rPr>
                  <w:rFonts w:hint="eastAsia" w:ascii="宋体" w:hAnsi="宋体" w:cs="宋体"/>
                  <w:color w:val="auto"/>
                  <w:kern w:val="0"/>
                  <w:sz w:val="24"/>
                  <w:highlight w:val="none"/>
                </w:rPr>
                <w:id w:val="688692135"/>
                <w14:checkbox>
                  <w14:checked w14:val="0"/>
                  <w14:checkedState w14:val="00FE" w14:font="Wingdings"/>
                  <w14:uncheckedState w14:val="2610" w14:font="MS Gothic"/>
                </w14:checkbox>
              </w:sdtPr>
              <w:sdtEndPr>
                <w:rPr>
                  <w:rFonts w:hint="eastAsia" w:ascii="宋体" w:hAnsi="宋体" w:eastAsia="宋体" w:cs="宋体"/>
                  <w:b w:val="0"/>
                  <w:bCs w:val="0"/>
                  <w:color w:val="auto"/>
                  <w:kern w:val="0"/>
                  <w:sz w:val="24"/>
                  <w:highlight w:val="none"/>
                </w:rPr>
              </w:sdtEndPr>
              <w:sdtContent>
                <w:r>
                  <w:rPr>
                    <w:rFonts w:hint="eastAsia" w:ascii="宋体" w:hAnsi="宋体" w:eastAsia="宋体" w:cs="宋体"/>
                    <w:b w:val="0"/>
                    <w:bCs w:val="0"/>
                    <w:color w:val="auto"/>
                    <w:kern w:val="0"/>
                    <w:sz w:val="24"/>
                    <w:szCs w:val="21"/>
                    <w:highlight w:val="none"/>
                    <w:lang w:val="en-US" w:eastAsia="zh-CN" w:bidi="ar-SA"/>
                  </w:rPr>
                  <w:t>☐</w:t>
                </w:r>
              </w:sdtContent>
            </w:sdt>
            <w:r>
              <w:rPr>
                <w:rFonts w:hint="eastAsia" w:ascii="宋体" w:hAnsi="宋体" w:eastAsia="宋体" w:cs="宋体"/>
                <w:b w:val="0"/>
                <w:bCs w:val="0"/>
                <w:color w:val="auto"/>
                <w:kern w:val="0"/>
                <w:sz w:val="24"/>
                <w:highlight w:val="none"/>
                <w:lang w:val="en-US" w:eastAsia="zh-CN"/>
              </w:rPr>
              <w:t xml:space="preserve"> </w:t>
            </w:r>
            <w:r>
              <w:rPr>
                <w:rFonts w:hint="eastAsia" w:ascii="宋体" w:hAnsi="宋体" w:eastAsia="宋体" w:cs="宋体"/>
                <w:b w:val="0"/>
                <w:bCs w:val="0"/>
                <w:color w:val="auto"/>
                <w:kern w:val="0"/>
                <w:sz w:val="24"/>
                <w:highlight w:val="none"/>
              </w:rPr>
              <w:t>A</w:t>
            </w:r>
            <w:r>
              <w:rPr>
                <w:rFonts w:hint="eastAsia" w:ascii="宋体" w:hAnsi="宋体" w:eastAsia="宋体" w:cs="宋体"/>
                <w:b w:val="0"/>
                <w:bCs w:val="0"/>
                <w:color w:val="auto"/>
                <w:sz w:val="24"/>
                <w:highlight w:val="none"/>
              </w:rPr>
              <w:t>不组织。</w:t>
            </w:r>
          </w:p>
          <w:p w14:paraId="29D64DF4">
            <w:pPr>
              <w:pStyle w:val="79"/>
              <w:spacing w:line="360" w:lineRule="auto"/>
              <w:ind w:firstLine="0" w:firstLineChars="0"/>
              <w:rPr>
                <w:rFonts w:hint="eastAsia" w:ascii="宋体" w:hAnsi="宋体" w:eastAsia="宋体" w:cs="宋体"/>
                <w:b w:val="0"/>
                <w:bCs w:val="0"/>
                <w:color w:val="auto"/>
                <w:sz w:val="24"/>
                <w:szCs w:val="20"/>
                <w:highlight w:val="none"/>
              </w:rPr>
            </w:pPr>
            <w:sdt>
              <w:sdtPr>
                <w:rPr>
                  <w:rFonts w:hint="eastAsia" w:ascii="宋体" w:hAnsi="宋体" w:eastAsia="宋体" w:cs="宋体"/>
                  <w:b w:val="0"/>
                  <w:bCs w:val="0"/>
                  <w:color w:val="auto"/>
                  <w:kern w:val="0"/>
                  <w:sz w:val="24"/>
                  <w:highlight w:val="none"/>
                </w:rPr>
                <w:id w:val="374731186"/>
                <w14:checkbox>
                  <w14:checked w14:val="0"/>
                  <w14:checkedState w14:val="00FE" w14:font="Wingdings"/>
                  <w14:uncheckedState w14:val="2610" w14:font="MS Gothic"/>
                </w14:checkbox>
              </w:sdtPr>
              <w:sdtEndPr>
                <w:rPr>
                  <w:rFonts w:hint="eastAsia" w:ascii="宋体" w:hAnsi="宋体" w:eastAsia="宋体" w:cs="宋体"/>
                  <w:b w:val="0"/>
                  <w:bCs w:val="0"/>
                  <w:color w:val="auto"/>
                  <w:kern w:val="0"/>
                  <w:sz w:val="24"/>
                  <w:highlight w:val="none"/>
                </w:rPr>
              </w:sdtEndPr>
              <w:sdtContent>
                <w:r>
                  <w:rPr>
                    <w:rFonts w:hint="eastAsia" w:ascii="宋体" w:hAnsi="宋体" w:eastAsia="宋体" w:cs="宋体"/>
                    <w:b w:val="0"/>
                    <w:bCs w:val="0"/>
                    <w:color w:val="auto"/>
                    <w:kern w:val="0"/>
                    <w:sz w:val="24"/>
                    <w:highlight w:val="none"/>
                  </w:rPr>
                  <w:t>☐</w:t>
                </w:r>
              </w:sdtContent>
            </w:sdt>
            <w:r>
              <w:rPr>
                <w:rFonts w:hint="eastAsia" w:ascii="宋体" w:hAnsi="宋体" w:eastAsia="宋体" w:cs="宋体"/>
                <w:b w:val="0"/>
                <w:bCs w:val="0"/>
                <w:color w:val="auto"/>
                <w:kern w:val="0"/>
                <w:sz w:val="24"/>
                <w:highlight w:val="none"/>
                <w:lang w:val="en-US" w:eastAsia="zh-CN"/>
              </w:rPr>
              <w:t xml:space="preserve"> </w:t>
            </w:r>
            <w:r>
              <w:rPr>
                <w:rFonts w:hint="eastAsia" w:ascii="宋体" w:hAnsi="宋体" w:eastAsia="宋体" w:cs="宋体"/>
                <w:b w:val="0"/>
                <w:bCs w:val="0"/>
                <w:color w:val="auto"/>
                <w:kern w:val="0"/>
                <w:sz w:val="24"/>
                <w:highlight w:val="none"/>
              </w:rPr>
              <w:t>B组织，</w:t>
            </w:r>
            <w:r>
              <w:rPr>
                <w:rFonts w:hint="eastAsia" w:ascii="宋体" w:hAnsi="宋体" w:eastAsia="宋体" w:cs="宋体"/>
                <w:b w:val="0"/>
                <w:bCs w:val="0"/>
                <w:color w:val="auto"/>
                <w:sz w:val="24"/>
                <w:highlight w:val="none"/>
              </w:rPr>
              <w:t>时间：</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rPr>
              <w:t>,地点：</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rPr>
              <w:t>，联系人：</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rPr>
              <w:t>，联系方式：</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szCs w:val="20"/>
                <w:highlight w:val="none"/>
              </w:rPr>
              <w:t>。</w:t>
            </w:r>
          </w:p>
          <w:p w14:paraId="2DA51EF7">
            <w:pPr>
              <w:pStyle w:val="79"/>
              <w:spacing w:line="360" w:lineRule="auto"/>
              <w:ind w:firstLine="0" w:firstLineChars="0"/>
              <w:rPr>
                <w:rFonts w:hint="eastAsia" w:ascii="宋体" w:hAnsi="宋体" w:eastAsia="宋体" w:cs="宋体"/>
                <w:b/>
                <w:bCs/>
                <w:color w:val="auto"/>
                <w:kern w:val="0"/>
                <w:sz w:val="24"/>
                <w:highlight w:val="none"/>
              </w:rPr>
            </w:pPr>
            <w:sdt>
              <w:sdtPr>
                <w:rPr>
                  <w:rFonts w:hint="eastAsia" w:ascii="宋体" w:hAnsi="宋体" w:eastAsia="宋体" w:cs="宋体"/>
                  <w:color w:val="auto"/>
                  <w:kern w:val="0"/>
                  <w:sz w:val="24"/>
                  <w:highlight w:val="none"/>
                </w:rPr>
                <w:id w:val="147476514"/>
                <w14:checkbox>
                  <w14:checked w14:val="1"/>
                  <w14:checkedState w14:val="00FE" w14:font="Wingdings"/>
                  <w14:uncheckedState w14:val="2610" w14:font="MS Gothic"/>
                </w14:checkbox>
              </w:sdtPr>
              <w:sdtEndPr>
                <w:rPr>
                  <w:rFonts w:hint="eastAsia" w:ascii="宋体" w:hAnsi="宋体" w:eastAsia="宋体" w:cs="宋体"/>
                  <w:b w:val="0"/>
                  <w:bCs w:val="0"/>
                  <w:color w:val="auto"/>
                  <w:kern w:val="0"/>
                  <w:sz w:val="24"/>
                  <w:highlight w:val="none"/>
                </w:rPr>
              </w:sdtEndPr>
              <w:sdtContent>
                <w:r>
                  <w:rPr>
                    <w:rFonts w:hint="eastAsia" w:ascii="Wingdings" w:hAnsi="Wingdings" w:eastAsia="宋体" w:cs="宋体"/>
                    <w:b w:val="0"/>
                    <w:bCs w:val="0"/>
                    <w:color w:val="auto"/>
                    <w:kern w:val="0"/>
                    <w:sz w:val="24"/>
                    <w:szCs w:val="21"/>
                    <w:highlight w:val="none"/>
                    <w:lang w:val="en-US" w:eastAsia="zh-CN" w:bidi="ar-SA"/>
                  </w:rPr>
                  <w:t>þ</w:t>
                </w:r>
              </w:sdtContent>
            </w:sdt>
            <w:r>
              <w:rPr>
                <w:rFonts w:hint="eastAsia" w:ascii="宋体" w:hAnsi="宋体" w:eastAsia="宋体" w:cs="宋体"/>
                <w:b w:val="0"/>
                <w:bCs w:val="0"/>
                <w:color w:val="auto"/>
                <w:kern w:val="0"/>
                <w:sz w:val="24"/>
                <w:highlight w:val="none"/>
                <w:lang w:val="en-US" w:eastAsia="zh-CN"/>
              </w:rPr>
              <w:t xml:space="preserve"> </w:t>
            </w:r>
            <w:r>
              <w:rPr>
                <w:rFonts w:hint="eastAsia" w:ascii="宋体" w:hAnsi="宋体" w:eastAsia="宋体" w:cs="宋体"/>
                <w:b/>
                <w:bCs/>
                <w:color w:val="auto"/>
                <w:kern w:val="0"/>
                <w:sz w:val="24"/>
                <w:highlight w:val="none"/>
              </w:rPr>
              <w:t>C不统一组织，供应商在获取采购文件后，自行至项目现场考察。以充分了解工地位置、情况、道路、储存空间、装卸限制及任何其他足以影响承包价的情况，任何因忽视或误解工地情况而导致的索赔或工期延长申请将不被批准。</w:t>
            </w:r>
          </w:p>
          <w:p w14:paraId="1484B6FF">
            <w:pPr>
              <w:spacing w:line="360" w:lineRule="auto"/>
              <w:rPr>
                <w:rFonts w:ascii="宋体" w:hAnsi="宋体" w:cs="宋体"/>
                <w:color w:val="auto"/>
                <w:sz w:val="24"/>
                <w:szCs w:val="20"/>
                <w:highlight w:val="none"/>
              </w:rPr>
            </w:pPr>
            <w:r>
              <w:rPr>
                <w:rFonts w:hint="eastAsia" w:ascii="宋体" w:hAnsi="宋体" w:eastAsia="宋体" w:cs="宋体"/>
                <w:b/>
                <w:bCs/>
                <w:color w:val="auto"/>
                <w:kern w:val="0"/>
                <w:sz w:val="24"/>
                <w:highlight w:val="none"/>
              </w:rPr>
              <w:t>地点：</w:t>
            </w:r>
            <w:r>
              <w:rPr>
                <w:rFonts w:hint="eastAsia" w:ascii="宋体" w:hAnsi="宋体" w:eastAsia="宋体" w:cs="宋体"/>
                <w:b/>
                <w:bCs/>
                <w:color w:val="auto"/>
                <w:kern w:val="0"/>
                <w:sz w:val="24"/>
                <w:highlight w:val="none"/>
                <w:u w:val="single"/>
                <w:lang w:eastAsia="zh-CN"/>
              </w:rPr>
              <w:t>杭州市上城区凤凰山脚路166号</w:t>
            </w:r>
            <w:r>
              <w:rPr>
                <w:rFonts w:hint="eastAsia" w:ascii="宋体" w:hAnsi="宋体" w:eastAsia="宋体" w:cs="宋体"/>
                <w:b/>
                <w:bCs/>
                <w:color w:val="auto"/>
                <w:kern w:val="0"/>
                <w:sz w:val="24"/>
                <w:highlight w:val="none"/>
                <w:u w:val="single"/>
              </w:rPr>
              <w:t xml:space="preserve"> </w:t>
            </w:r>
            <w:r>
              <w:rPr>
                <w:rFonts w:hint="eastAsia" w:ascii="宋体" w:hAnsi="宋体" w:eastAsia="宋体" w:cs="宋体"/>
                <w:b/>
                <w:bCs/>
                <w:color w:val="auto"/>
                <w:kern w:val="0"/>
                <w:sz w:val="24"/>
                <w:highlight w:val="none"/>
              </w:rPr>
              <w:t>，联系人：</w:t>
            </w:r>
            <w:r>
              <w:rPr>
                <w:rFonts w:hint="eastAsia" w:ascii="宋体" w:hAnsi="宋体" w:eastAsia="宋体" w:cs="宋体"/>
                <w:b/>
                <w:bCs/>
                <w:color w:val="auto"/>
                <w:kern w:val="0"/>
                <w:sz w:val="24"/>
                <w:highlight w:val="none"/>
                <w:u w:val="single"/>
                <w:lang w:val="en-US" w:eastAsia="zh-CN"/>
              </w:rPr>
              <w:t xml:space="preserve">诸葛老师 </w:t>
            </w:r>
            <w:r>
              <w:rPr>
                <w:rFonts w:hint="eastAsia" w:ascii="宋体" w:hAnsi="宋体" w:eastAsia="宋体" w:cs="宋体"/>
                <w:b/>
                <w:bCs/>
                <w:color w:val="auto"/>
                <w:kern w:val="0"/>
                <w:sz w:val="24"/>
                <w:highlight w:val="none"/>
              </w:rPr>
              <w:t>，联系方式：</w:t>
            </w:r>
            <w:r>
              <w:rPr>
                <w:rFonts w:hint="eastAsia" w:ascii="宋体" w:hAnsi="宋体" w:eastAsia="宋体" w:cs="宋体"/>
                <w:b/>
                <w:bCs/>
                <w:color w:val="auto"/>
                <w:kern w:val="0"/>
                <w:sz w:val="24"/>
                <w:highlight w:val="none"/>
                <w:u w:val="single"/>
                <w:lang w:eastAsia="zh-CN"/>
              </w:rPr>
              <w:t>0571-86069207</w:t>
            </w:r>
            <w:r>
              <w:rPr>
                <w:rFonts w:hint="eastAsia" w:ascii="宋体" w:hAnsi="宋体" w:eastAsia="宋体" w:cs="宋体"/>
                <w:b/>
                <w:bCs/>
                <w:color w:val="auto"/>
                <w:kern w:val="0"/>
                <w:sz w:val="24"/>
                <w:highlight w:val="none"/>
                <w:u w:val="single"/>
                <w:lang w:val="en-US" w:eastAsia="zh-CN"/>
              </w:rPr>
              <w:t xml:space="preserve"> </w:t>
            </w:r>
          </w:p>
        </w:tc>
      </w:tr>
      <w:tr w14:paraId="5F493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jc w:val="center"/>
        </w:trPr>
        <w:tc>
          <w:tcPr>
            <w:tcW w:w="714" w:type="dxa"/>
            <w:vAlign w:val="center"/>
          </w:tcPr>
          <w:p w14:paraId="48328BC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90" w:type="dxa"/>
            <w:vAlign w:val="center"/>
          </w:tcPr>
          <w:p w14:paraId="01A114E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7130" w:type="dxa"/>
            <w:vAlign w:val="center"/>
          </w:tcPr>
          <w:p w14:paraId="6BA2E94E">
            <w:pPr>
              <w:spacing w:line="360" w:lineRule="auto"/>
              <w:rPr>
                <w:rFonts w:hint="eastAsia" w:ascii="宋体" w:hAnsi="宋体" w:eastAsia="宋体" w:cs="宋体"/>
                <w:b/>
                <w:bCs/>
                <w:color w:val="auto"/>
                <w:sz w:val="24"/>
                <w:highlight w:val="none"/>
                <w:lang w:eastAsia="zh-CN"/>
              </w:rPr>
            </w:pPr>
            <w:sdt>
              <w:sdtPr>
                <w:rPr>
                  <w:rFonts w:hint="eastAsia" w:ascii="宋体" w:hAnsi="宋体" w:cs="宋体"/>
                  <w:color w:val="auto"/>
                  <w:kern w:val="0"/>
                  <w:sz w:val="24"/>
                  <w:highlight w:val="none"/>
                </w:rPr>
                <w:id w:val="147474257"/>
                <w14:checkbox>
                  <w14:checked w14:val="0"/>
                  <w14:checkedState w14:val="00FE" w14:font="Wingdings"/>
                  <w14:uncheckedState w14:val="2610" w14:font="MS Gothic"/>
                </w14:checkbox>
              </w:sdtPr>
              <w:sdtEndPr>
                <w:rPr>
                  <w:rFonts w:hint="eastAsia" w:ascii="宋体" w:hAnsi="宋体" w:cs="宋体"/>
                  <w:b w:val="0"/>
                  <w:bCs w:val="0"/>
                  <w:color w:val="auto"/>
                  <w:kern w:val="0"/>
                  <w:sz w:val="24"/>
                  <w:highlight w:val="none"/>
                </w:rPr>
              </w:sdtEndPr>
              <w:sdtContent>
                <w:r>
                  <w:rPr>
                    <w:rFonts w:ascii="MS Gothic" w:hAnsi="MS Gothic" w:eastAsia="宋体" w:cs="宋体"/>
                    <w:b w:val="0"/>
                    <w:bCs w:val="0"/>
                    <w:color w:val="auto"/>
                    <w:kern w:val="0"/>
                    <w:sz w:val="24"/>
                    <w:szCs w:val="24"/>
                    <w:highlight w:val="none"/>
                    <w:lang w:val="en-US" w:eastAsia="zh-CN" w:bidi="ar-SA"/>
                  </w:rPr>
                  <w:t>☐</w:t>
                </w:r>
              </w:sdtContent>
            </w:sdt>
            <w:r>
              <w:rPr>
                <w:rFonts w:hint="eastAsia" w:ascii="宋体" w:hAnsi="宋体" w:cs="宋体"/>
                <w:b w:val="0"/>
                <w:bCs w:val="0"/>
                <w:color w:val="auto"/>
                <w:kern w:val="0"/>
                <w:sz w:val="24"/>
                <w:highlight w:val="none"/>
              </w:rPr>
              <w:t>A</w:t>
            </w:r>
            <w:r>
              <w:rPr>
                <w:rFonts w:hint="eastAsia" w:ascii="宋体" w:hAnsi="宋体" w:cs="宋体"/>
                <w:b w:val="0"/>
                <w:bCs w:val="0"/>
                <w:color w:val="auto"/>
                <w:sz w:val="24"/>
                <w:highlight w:val="none"/>
              </w:rPr>
              <w:t>不要求提供</w:t>
            </w:r>
            <w:r>
              <w:rPr>
                <w:rFonts w:hint="eastAsia" w:ascii="宋体" w:hAnsi="宋体" w:cs="宋体"/>
                <w:b w:val="0"/>
                <w:bCs w:val="0"/>
                <w:color w:val="auto"/>
                <w:sz w:val="24"/>
                <w:highlight w:val="none"/>
                <w:lang w:eastAsia="zh-CN"/>
              </w:rPr>
              <w:t>；</w:t>
            </w:r>
          </w:p>
          <w:p w14:paraId="3BD3535F">
            <w:pPr>
              <w:spacing w:line="360" w:lineRule="auto"/>
              <w:rPr>
                <w:rFonts w:hint="eastAsia" w:ascii="宋体" w:hAnsi="宋体" w:eastAsia="宋体" w:cs="宋体"/>
                <w:b/>
                <w:bCs/>
                <w:color w:val="auto"/>
                <w:kern w:val="0"/>
                <w:sz w:val="24"/>
                <w:highlight w:val="none"/>
                <w:lang w:eastAsia="zh-CN"/>
              </w:rPr>
            </w:pPr>
            <w:sdt>
              <w:sdtPr>
                <w:rPr>
                  <w:rFonts w:hint="eastAsia" w:ascii="宋体" w:hAnsi="宋体" w:cs="宋体"/>
                  <w:color w:val="auto"/>
                  <w:kern w:val="0"/>
                  <w:sz w:val="24"/>
                  <w:highlight w:val="none"/>
                </w:rPr>
                <w:id w:val="147475623"/>
                <w14:checkbox>
                  <w14:checked w14:val="1"/>
                  <w14:checkedState w14:val="00FE" w14:font="Wingdings"/>
                  <w14:uncheckedState w14:val="2610" w14:font="MS Gothic"/>
                </w14:checkbox>
              </w:sdtPr>
              <w:sdtEndPr>
                <w:rPr>
                  <w:rFonts w:hint="eastAsia" w:ascii="宋体" w:hAnsi="宋体" w:cs="宋体"/>
                  <w:b/>
                  <w:bCs/>
                  <w:color w:val="auto"/>
                  <w:kern w:val="0"/>
                  <w:sz w:val="24"/>
                  <w:highlight w:val="none"/>
                </w:rPr>
              </w:sdtEndPr>
              <w:sdtContent>
                <w:r>
                  <w:rPr>
                    <w:rFonts w:hint="eastAsia" w:ascii="Wingdings" w:hAnsi="Wingdings" w:eastAsia="宋体" w:cs="宋体"/>
                    <w:b/>
                    <w:bCs/>
                    <w:color w:val="auto"/>
                    <w:kern w:val="0"/>
                    <w:sz w:val="24"/>
                    <w:szCs w:val="24"/>
                    <w:highlight w:val="none"/>
                    <w:lang w:val="en-US" w:eastAsia="zh-CN" w:bidi="ar-SA"/>
                  </w:rPr>
                  <w:t>þ</w:t>
                </w:r>
              </w:sdtContent>
            </w:sdt>
            <w:r>
              <w:rPr>
                <w:rFonts w:hint="eastAsia" w:ascii="宋体" w:hAnsi="宋体" w:cs="宋体"/>
                <w:b/>
                <w:bCs/>
                <w:color w:val="auto"/>
                <w:kern w:val="0"/>
                <w:sz w:val="24"/>
                <w:highlight w:val="none"/>
              </w:rPr>
              <w:t>B要求提供</w:t>
            </w:r>
            <w:r>
              <w:rPr>
                <w:rFonts w:hint="eastAsia" w:ascii="宋体" w:hAnsi="宋体" w:cs="宋体"/>
                <w:b/>
                <w:bCs/>
                <w:color w:val="auto"/>
                <w:kern w:val="0"/>
                <w:sz w:val="24"/>
                <w:highlight w:val="none"/>
                <w:lang w:eastAsia="zh-CN"/>
              </w:rPr>
              <w:t>。</w:t>
            </w:r>
          </w:p>
          <w:p w14:paraId="4CDFACD2">
            <w:pPr>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（1）</w:t>
            </w:r>
            <w:r>
              <w:rPr>
                <w:rFonts w:hint="eastAsia" w:ascii="宋体" w:hAnsi="宋体" w:cs="宋体"/>
                <w:b/>
                <w:bCs/>
                <w:snapToGrid w:val="0"/>
                <w:color w:val="auto"/>
                <w:kern w:val="28"/>
                <w:sz w:val="24"/>
                <w:highlight w:val="none"/>
              </w:rPr>
              <w:t>样品：</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u w:val="single"/>
                <w:lang w:val="en-US" w:eastAsia="zh-CN"/>
              </w:rPr>
              <w:t>①</w:t>
            </w:r>
            <w:r>
              <w:rPr>
                <w:rFonts w:hint="eastAsia" w:ascii="宋体" w:hAnsi="宋体" w:cs="宋体"/>
                <w:b/>
                <w:bCs/>
                <w:color w:val="auto"/>
                <w:sz w:val="24"/>
                <w:highlight w:val="none"/>
                <w:u w:val="single"/>
              </w:rPr>
              <w:t>外墙真石漆涂料：提供不小于A4纸大小（21</w:t>
            </w:r>
            <w:r>
              <w:rPr>
                <w:rFonts w:hint="eastAsia" w:ascii="宋体" w:hAnsi="宋体" w:cs="宋体"/>
                <w:b/>
                <w:bCs/>
                <w:color w:val="auto"/>
                <w:sz w:val="24"/>
                <w:highlight w:val="none"/>
                <w:u w:val="single"/>
                <w:lang w:val="en-US" w:eastAsia="zh-CN"/>
              </w:rPr>
              <w:t>0</w:t>
            </w:r>
            <w:r>
              <w:rPr>
                <w:rFonts w:hint="eastAsia" w:ascii="宋体" w:hAnsi="宋体" w:cs="宋体"/>
                <w:b/>
                <w:bCs/>
                <w:color w:val="auto"/>
                <w:sz w:val="24"/>
                <w:highlight w:val="none"/>
                <w:u w:val="single"/>
              </w:rPr>
              <w:t>*297</w:t>
            </w:r>
            <w:r>
              <w:rPr>
                <w:rFonts w:hint="eastAsia" w:ascii="宋体" w:hAnsi="宋体" w:cs="宋体"/>
                <w:b/>
                <w:bCs/>
                <w:color w:val="auto"/>
                <w:sz w:val="24"/>
                <w:highlight w:val="none"/>
                <w:u w:val="single"/>
                <w:lang w:val="en-US" w:eastAsia="zh-CN"/>
              </w:rPr>
              <w:t>m</w:t>
            </w:r>
            <w:r>
              <w:rPr>
                <w:rFonts w:hint="eastAsia" w:ascii="宋体" w:hAnsi="宋体" w:cs="宋体"/>
                <w:b/>
                <w:bCs/>
                <w:color w:val="auto"/>
                <w:sz w:val="24"/>
                <w:highlight w:val="none"/>
                <w:u w:val="single"/>
              </w:rPr>
              <w:t>m)的样板（颜色不限）</w:t>
            </w:r>
            <w:r>
              <w:rPr>
                <w:rFonts w:hint="eastAsia" w:ascii="宋体" w:hAnsi="宋体" w:cs="宋体"/>
                <w:b/>
                <w:bCs/>
                <w:color w:val="auto"/>
                <w:sz w:val="24"/>
                <w:highlight w:val="none"/>
                <w:u w:val="single"/>
                <w:lang w:eastAsia="zh-CN"/>
              </w:rPr>
              <w:t>；</w:t>
            </w:r>
            <w:r>
              <w:rPr>
                <w:rFonts w:hint="eastAsia" w:ascii="宋体" w:hAnsi="宋体" w:cs="宋体"/>
                <w:b/>
                <w:bCs/>
                <w:color w:val="auto"/>
                <w:sz w:val="24"/>
                <w:highlight w:val="none"/>
                <w:u w:val="single"/>
                <w:lang w:val="en-US" w:eastAsia="zh-CN"/>
              </w:rPr>
              <w:t>②铝板（厚度按清单描述）：</w:t>
            </w:r>
            <w:r>
              <w:rPr>
                <w:rFonts w:hint="eastAsia" w:ascii="宋体" w:hAnsi="宋体" w:cs="宋体"/>
                <w:b/>
                <w:bCs/>
                <w:color w:val="auto"/>
                <w:sz w:val="24"/>
                <w:highlight w:val="none"/>
                <w:u w:val="single"/>
              </w:rPr>
              <w:t>提供不小于</w:t>
            </w:r>
            <w:r>
              <w:rPr>
                <w:rFonts w:hint="eastAsia" w:ascii="宋体" w:hAnsi="宋体" w:cs="宋体"/>
                <w:b/>
                <w:bCs/>
                <w:color w:val="auto"/>
                <w:sz w:val="24"/>
                <w:highlight w:val="none"/>
                <w:u w:val="single"/>
                <w:lang w:val="en-US" w:eastAsia="zh-CN"/>
              </w:rPr>
              <w:t>200</w:t>
            </w:r>
            <w:r>
              <w:rPr>
                <w:rFonts w:hint="eastAsia" w:ascii="宋体" w:hAnsi="宋体" w:cs="宋体"/>
                <w:b/>
                <w:bCs/>
                <w:color w:val="auto"/>
                <w:sz w:val="24"/>
                <w:highlight w:val="none"/>
                <w:u w:val="single"/>
              </w:rPr>
              <w:t>*</w:t>
            </w:r>
            <w:r>
              <w:rPr>
                <w:rFonts w:hint="eastAsia" w:ascii="宋体" w:hAnsi="宋体" w:cs="宋体"/>
                <w:b/>
                <w:bCs/>
                <w:color w:val="auto"/>
                <w:sz w:val="24"/>
                <w:highlight w:val="none"/>
                <w:u w:val="single"/>
                <w:lang w:val="en-US" w:eastAsia="zh-CN"/>
              </w:rPr>
              <w:t>300m</w:t>
            </w:r>
            <w:r>
              <w:rPr>
                <w:rFonts w:hint="eastAsia" w:ascii="宋体" w:hAnsi="宋体" w:cs="宋体"/>
                <w:b/>
                <w:bCs/>
                <w:color w:val="auto"/>
                <w:sz w:val="24"/>
                <w:highlight w:val="none"/>
                <w:u w:val="single"/>
              </w:rPr>
              <w:t>m的样板（颜色不限）</w:t>
            </w:r>
            <w:r>
              <w:rPr>
                <w:rFonts w:hint="eastAsia" w:ascii="宋体" w:hAnsi="宋体" w:cs="宋体"/>
                <w:b/>
                <w:bCs/>
                <w:color w:val="auto"/>
                <w:sz w:val="24"/>
                <w:highlight w:val="none"/>
                <w:u w:val="single"/>
                <w:lang w:eastAsia="zh-CN"/>
              </w:rPr>
              <w:t>。</w:t>
            </w:r>
          </w:p>
          <w:p w14:paraId="46E67F3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kern w:val="0"/>
                <w:sz w:val="24"/>
                <w:highlight w:val="none"/>
                <w:u w:val="single"/>
              </w:rPr>
              <w:t>详见需求</w:t>
            </w:r>
            <w:r>
              <w:rPr>
                <w:rFonts w:hint="eastAsia" w:ascii="宋体" w:hAnsi="宋体" w:cs="宋体"/>
                <w:color w:val="auto"/>
                <w:kern w:val="0"/>
                <w:sz w:val="24"/>
                <w:highlight w:val="none"/>
              </w:rPr>
              <w:t>；</w:t>
            </w:r>
          </w:p>
          <w:p w14:paraId="26E78882">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评审办法</w:t>
            </w:r>
            <w:r>
              <w:rPr>
                <w:rFonts w:hint="eastAsia" w:ascii="宋体" w:hAnsi="宋体" w:cs="宋体"/>
                <w:color w:val="auto"/>
                <w:kern w:val="0"/>
                <w:sz w:val="24"/>
                <w:highlight w:val="none"/>
              </w:rPr>
              <w:t>；</w:t>
            </w:r>
          </w:p>
          <w:p w14:paraId="24F24E7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4747401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474572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A09E892">
            <w:pPr>
              <w:spacing w:line="360" w:lineRule="auto"/>
              <w:rPr>
                <w:rFonts w:hint="eastAsia"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截止时间同项目投标截止时间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杭州市环站东路</w:t>
            </w:r>
            <w:r>
              <w:rPr>
                <w:rFonts w:hint="eastAsia" w:ascii="宋体" w:hAnsi="宋体" w:cs="宋体"/>
                <w:color w:val="auto"/>
                <w:sz w:val="24"/>
                <w:highlight w:val="none"/>
                <w:u w:val="single"/>
                <w:lang w:eastAsia="zh-CN"/>
              </w:rPr>
              <w:t>99号云峰大厦</w:t>
            </w:r>
            <w:r>
              <w:rPr>
                <w:rFonts w:hint="eastAsia" w:ascii="宋体" w:hAnsi="宋体" w:cs="宋体"/>
                <w:color w:val="auto"/>
                <w:sz w:val="24"/>
                <w:highlight w:val="none"/>
                <w:u w:val="single"/>
              </w:rPr>
              <w:t>1号楼</w:t>
            </w:r>
            <w:r>
              <w:rPr>
                <w:rFonts w:hint="eastAsia" w:ascii="宋体" w:hAnsi="宋体" w:cs="宋体"/>
                <w:color w:val="auto"/>
                <w:sz w:val="24"/>
                <w:highlight w:val="none"/>
                <w:u w:val="single"/>
                <w:lang w:val="en-US" w:eastAsia="zh-CN"/>
              </w:rPr>
              <w:t>16</w:t>
            </w:r>
            <w:r>
              <w:rPr>
                <w:rFonts w:hint="eastAsia" w:ascii="宋体" w:hAnsi="宋体" w:cs="宋体"/>
                <w:color w:val="auto"/>
                <w:sz w:val="24"/>
                <w:highlight w:val="none"/>
                <w:u w:val="single"/>
              </w:rPr>
              <w:t>楼</w:t>
            </w:r>
            <w:r>
              <w:rPr>
                <w:rFonts w:hint="eastAsia" w:ascii="宋体" w:hAnsi="宋体" w:cs="宋体"/>
                <w:color w:val="auto"/>
                <w:sz w:val="24"/>
                <w:highlight w:val="none"/>
                <w:u w:val="single"/>
                <w:lang w:val="en-US" w:eastAsia="zh-CN"/>
              </w:rPr>
              <w:t>1608开标室</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成晓松</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18221599746</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。请供应商在上述时间内提供样品并按规定位置安装完毕。超过截止时间的，采购人或采购代理机构将不予接收，并将清场并封闭样品现场。</w:t>
            </w:r>
          </w:p>
          <w:p w14:paraId="364A3343">
            <w:pPr>
              <w:spacing w:line="360" w:lineRule="auto"/>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eastAsia="zh-CN"/>
              </w:rPr>
              <w:t>）</w:t>
            </w:r>
            <w:r>
              <w:rPr>
                <w:rFonts w:hint="eastAsia" w:ascii="宋体" w:hAnsi="宋体" w:cs="宋体"/>
                <w:color w:val="auto"/>
                <w:sz w:val="24"/>
                <w:highlight w:val="none"/>
              </w:rPr>
              <w:t>采购活动结束后，对于未成交供应商提供的样品，采购人、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将通知未成交供应商在规定的时间内取回，逾期未取回的，采购人、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不负保管义务；对于成交供应商提供的样品，采购人将进行保管、封存，并作为履约验收的参考。</w:t>
            </w:r>
          </w:p>
          <w:p w14:paraId="6E150500">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（7）制作、运输、安装和保管样品所发生的一切费用由供应商自理。</w:t>
            </w:r>
          </w:p>
        </w:tc>
      </w:tr>
      <w:tr w14:paraId="4E570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jc w:val="center"/>
        </w:trPr>
        <w:tc>
          <w:tcPr>
            <w:tcW w:w="714" w:type="dxa"/>
            <w:vAlign w:val="center"/>
          </w:tcPr>
          <w:p w14:paraId="3CE5A59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90" w:type="dxa"/>
            <w:vAlign w:val="center"/>
          </w:tcPr>
          <w:p w14:paraId="1C04173D">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7130" w:type="dxa"/>
            <w:vAlign w:val="center"/>
          </w:tcPr>
          <w:p w14:paraId="0E26439E">
            <w:pPr>
              <w:spacing w:line="360" w:lineRule="auto"/>
              <w:rPr>
                <w:rFonts w:ascii="宋体" w:hAnsi="宋体" w:cs="宋体"/>
                <w:color w:val="auto"/>
                <w:sz w:val="24"/>
                <w:highlight w:val="none"/>
              </w:rPr>
            </w:pPr>
            <w:r>
              <w:rPr>
                <w:rFonts w:hint="eastAsia" w:ascii="宋体" w:hAnsi="宋体" w:cs="宋体"/>
                <w:color w:val="auto"/>
                <w:kern w:val="0"/>
                <w:sz w:val="24"/>
                <w:highlight w:val="none"/>
              </w:rPr>
              <w:sym w:font="Wingdings" w:char="00FE"/>
            </w:r>
            <w:r>
              <w:rPr>
                <w:rFonts w:hint="eastAsia" w:ascii="宋体" w:hAnsi="宋体" w:cs="宋体"/>
                <w:b/>
                <w:bCs/>
                <w:color w:val="auto"/>
                <w:kern w:val="0"/>
                <w:sz w:val="24"/>
                <w:highlight w:val="none"/>
              </w:rPr>
              <w:t>A</w:t>
            </w:r>
            <w:r>
              <w:rPr>
                <w:rFonts w:hint="eastAsia" w:ascii="宋体" w:hAnsi="宋体" w:cs="宋体"/>
                <w:b/>
                <w:bCs/>
                <w:color w:val="auto"/>
                <w:sz w:val="24"/>
                <w:highlight w:val="none"/>
              </w:rPr>
              <w:t>不组织。</w:t>
            </w:r>
          </w:p>
          <w:p w14:paraId="6E990224">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sym w:font="Wingdings" w:char="00A8"/>
            </w:r>
            <w:r>
              <w:rPr>
                <w:rFonts w:hint="eastAsia" w:ascii="宋体" w:hAnsi="宋体" w:cs="宋体"/>
                <w:color w:val="auto"/>
                <w:kern w:val="0"/>
                <w:sz w:val="24"/>
                <w:highlight w:val="none"/>
              </w:rPr>
              <w:t>B组织。</w:t>
            </w:r>
          </w:p>
          <w:p w14:paraId="5A6E8E6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（1）在评审时安排每个供应商进行方案讲解演示。每个供应商时间不超过20分钟，讲解次序以响应文件解密时间先后次序为准，讲解演示人员不超过3人。讲解演示结束后按要求解答磋商小组提问。</w:t>
            </w:r>
          </w:p>
          <w:p w14:paraId="6E17540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52C87C79">
            <w:pPr>
              <w:snapToGrid w:val="0"/>
              <w:spacing w:line="360" w:lineRule="auto"/>
              <w:ind w:right="143" w:rightChars="68" w:firstLine="81" w:firstLineChars="34"/>
              <w:jc w:val="left"/>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方式一：录屏演示：</w:t>
            </w:r>
            <w:r>
              <w:rPr>
                <w:rFonts w:ascii="宋体" w:hAnsi="宋体"/>
                <w:bCs/>
                <w:color w:val="auto"/>
                <w:sz w:val="24"/>
                <w:szCs w:val="24"/>
                <w:highlight w:val="none"/>
              </w:rPr>
              <w:t>若</w:t>
            </w:r>
            <w:r>
              <w:rPr>
                <w:rFonts w:hint="eastAsia" w:ascii="宋体" w:hAnsi="宋体"/>
                <w:bCs/>
                <w:color w:val="auto"/>
                <w:sz w:val="24"/>
                <w:szCs w:val="24"/>
                <w:highlight w:val="none"/>
                <w:lang w:eastAsia="zh-CN"/>
              </w:rPr>
              <w:t>投标人</w:t>
            </w:r>
            <w:r>
              <w:rPr>
                <w:rFonts w:ascii="宋体" w:hAnsi="宋体"/>
                <w:bCs/>
                <w:color w:val="auto"/>
                <w:sz w:val="24"/>
                <w:szCs w:val="24"/>
                <w:highlight w:val="none"/>
              </w:rPr>
              <w:t>不到现场，提供演示录屏（视频格式为非常规格式提供</w:t>
            </w:r>
            <w:r>
              <w:rPr>
                <w:rFonts w:hint="eastAsia" w:ascii="宋体" w:hAnsi="宋体"/>
                <w:bCs/>
                <w:color w:val="auto"/>
                <w:sz w:val="24"/>
                <w:szCs w:val="24"/>
                <w:highlight w:val="none"/>
              </w:rPr>
              <w:t>视频</w:t>
            </w:r>
            <w:r>
              <w:rPr>
                <w:rFonts w:ascii="宋体" w:hAnsi="宋体"/>
                <w:bCs/>
                <w:color w:val="auto"/>
                <w:sz w:val="24"/>
                <w:szCs w:val="24"/>
                <w:highlight w:val="none"/>
              </w:rPr>
              <w:t>安装软件，以免无法播放），可与备份文件一起邮寄</w:t>
            </w:r>
            <w:r>
              <w:rPr>
                <w:rFonts w:hint="eastAsia" w:ascii="宋体" w:hAnsi="宋体"/>
                <w:bCs/>
                <w:color w:val="auto"/>
                <w:sz w:val="24"/>
                <w:szCs w:val="24"/>
                <w:highlight w:val="none"/>
              </w:rPr>
              <w:t>，需明确备注</w:t>
            </w:r>
            <w:r>
              <w:rPr>
                <w:rFonts w:ascii="宋体" w:hAnsi="宋体"/>
                <w:bCs/>
                <w:color w:val="auto"/>
                <w:sz w:val="24"/>
                <w:szCs w:val="24"/>
                <w:highlight w:val="none"/>
              </w:rPr>
              <w:t>。</w:t>
            </w:r>
          </w:p>
          <w:p w14:paraId="65258D5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，讲解演示所用电脑等设备由供应商自备。现场讲解演示人员进场时提供讲解人员名单（加盖公章或授权代表签名）及身份证明，否则不得讲解演示。</w:t>
            </w:r>
          </w:p>
          <w:p w14:paraId="71AE7B3F">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注：因供应商自身原因导致无法演示或者演示效果不理想的，责任自负。</w:t>
            </w:r>
          </w:p>
        </w:tc>
      </w:tr>
      <w:tr w14:paraId="7ABAF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jc w:val="center"/>
        </w:trPr>
        <w:tc>
          <w:tcPr>
            <w:tcW w:w="714" w:type="dxa"/>
            <w:vAlign w:val="center"/>
          </w:tcPr>
          <w:p w14:paraId="5A6F0E9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90" w:type="dxa"/>
            <w:vAlign w:val="center"/>
          </w:tcPr>
          <w:p w14:paraId="21C200B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供应商应当提供的资格、资信证明文件</w:t>
            </w:r>
          </w:p>
        </w:tc>
        <w:tc>
          <w:tcPr>
            <w:tcW w:w="7130" w:type="dxa"/>
            <w:vAlign w:val="center"/>
          </w:tcPr>
          <w:p w14:paraId="673C97AA">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（1）资格证明文件：见采购文件第二部分11.1。</w:t>
            </w:r>
          </w:p>
          <w:p w14:paraId="4E0B7F60">
            <w:pPr>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供应商未提供有效的资格证明文件的，视为供应商不具备采购文件中规定的资格要求，响应文件无效。</w:t>
            </w:r>
          </w:p>
          <w:p w14:paraId="50A495CE">
            <w:pPr>
              <w:spacing w:line="360" w:lineRule="auto"/>
              <w:rPr>
                <w:rFonts w:ascii="宋体" w:hAnsi="宋体" w:cs="宋体"/>
                <w:snapToGrid w:val="0"/>
                <w:color w:val="auto"/>
                <w:kern w:val="0"/>
                <w:szCs w:val="21"/>
                <w:highlight w:val="none"/>
              </w:rPr>
            </w:pPr>
            <w:r>
              <w:rPr>
                <w:rFonts w:hint="eastAsia" w:ascii="宋体" w:hAnsi="宋体" w:cs="宋体"/>
                <w:color w:val="auto"/>
                <w:sz w:val="24"/>
                <w:highlight w:val="none"/>
              </w:rPr>
              <w:t>（2）资信证明文件：根据采购文件第四部分评审标准提供。</w:t>
            </w:r>
          </w:p>
        </w:tc>
      </w:tr>
      <w:tr w14:paraId="66052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jc w:val="center"/>
        </w:trPr>
        <w:tc>
          <w:tcPr>
            <w:tcW w:w="714" w:type="dxa"/>
            <w:vAlign w:val="center"/>
          </w:tcPr>
          <w:p w14:paraId="7000F7C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90" w:type="dxa"/>
            <w:vAlign w:val="center"/>
          </w:tcPr>
          <w:p w14:paraId="555A033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7130" w:type="dxa"/>
            <w:vAlign w:val="center"/>
          </w:tcPr>
          <w:p w14:paraId="6E7C5FC2">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w:t>
            </w:r>
            <w:r>
              <w:rPr>
                <w:rFonts w:hint="eastAsia" w:ascii="宋体" w:hAnsi="宋体" w:cs="宋体"/>
                <w:b w:val="0"/>
                <w:bCs w:val="0"/>
                <w:color w:val="auto"/>
                <w:kern w:val="0"/>
                <w:sz w:val="24"/>
                <w:highlight w:val="none"/>
              </w:rPr>
              <w:t>购或强制采购。</w:t>
            </w:r>
          </w:p>
        </w:tc>
      </w:tr>
      <w:tr w14:paraId="34CCD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jc w:val="center"/>
        </w:trPr>
        <w:tc>
          <w:tcPr>
            <w:tcW w:w="714" w:type="dxa"/>
            <w:vAlign w:val="center"/>
          </w:tcPr>
          <w:p w14:paraId="5FD21C6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90" w:type="dxa"/>
            <w:vAlign w:val="center"/>
          </w:tcPr>
          <w:p w14:paraId="38AE185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7130" w:type="dxa"/>
            <w:vAlign w:val="center"/>
          </w:tcPr>
          <w:p w14:paraId="7712B8D2">
            <w:pPr>
              <w:snapToGrid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color w:val="auto"/>
                <w:sz w:val="24"/>
                <w:highlight w:val="none"/>
              </w:rPr>
              <w:t>报价单是报价的唯一载体</w:t>
            </w:r>
            <w:r>
              <w:rPr>
                <w:rFonts w:hint="eastAsia" w:ascii="宋体" w:hAnsi="宋体" w:cs="宋体"/>
                <w:color w:val="auto"/>
                <w:kern w:val="0"/>
                <w:sz w:val="24"/>
                <w:highlight w:val="none"/>
                <w:lang w:val="zh-CN"/>
              </w:rPr>
              <w:t>。响应文件中价格全部采用人民币报价。采购文件未列明，而供应商认为必需的费用也需列入报价。</w:t>
            </w:r>
          </w:p>
          <w:p w14:paraId="639AD45F">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最后报价出现下列情形的，响应文件无效：</w:t>
            </w:r>
          </w:p>
          <w:p w14:paraId="1DC93605">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响应文件出现不是唯一的、有选择性最后报价的；</w:t>
            </w:r>
          </w:p>
          <w:p w14:paraId="6B366D44">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最后报价超过采购文件中规定的预算金额或者最高限价的；</w:t>
            </w:r>
          </w:p>
          <w:p w14:paraId="0E97E10A">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7C375B57">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供应商对根据修正原则修正后的报价不确认的</w:t>
            </w:r>
            <w:r>
              <w:rPr>
                <w:rFonts w:hint="eastAsia" w:ascii="宋体" w:hAnsi="宋体" w:cs="宋体"/>
                <w:b/>
                <w:color w:val="auto"/>
                <w:sz w:val="24"/>
                <w:highlight w:val="none"/>
              </w:rPr>
              <w:t>。</w:t>
            </w:r>
          </w:p>
        </w:tc>
      </w:tr>
      <w:tr w14:paraId="3875E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jc w:val="center"/>
        </w:trPr>
        <w:tc>
          <w:tcPr>
            <w:tcW w:w="714" w:type="dxa"/>
            <w:vAlign w:val="center"/>
          </w:tcPr>
          <w:p w14:paraId="1551436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90" w:type="dxa"/>
            <w:vAlign w:val="center"/>
          </w:tcPr>
          <w:p w14:paraId="29A52B2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7130" w:type="dxa"/>
            <w:vAlign w:val="center"/>
          </w:tcPr>
          <w:p w14:paraId="2D49E390">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供应商成交后也可在“</w:t>
            </w:r>
            <w:r>
              <w:rPr>
                <w:rFonts w:hint="eastAsia" w:ascii="宋体" w:hAnsi="宋体" w:cs="宋体"/>
                <w:snapToGrid w:val="0"/>
                <w:color w:val="auto"/>
                <w:kern w:val="28"/>
                <w:sz w:val="24"/>
                <w:highlight w:val="none"/>
                <w:lang w:eastAsia="zh-CN"/>
              </w:rPr>
              <w:t>乐</w:t>
            </w:r>
            <w:r>
              <w:rPr>
                <w:rFonts w:hint="eastAsia" w:ascii="宋体" w:hAnsi="宋体" w:cs="宋体"/>
                <w:snapToGrid w:val="0"/>
                <w:color w:val="auto"/>
                <w:kern w:val="28"/>
                <w:sz w:val="24"/>
                <w:highlight w:val="none"/>
                <w:lang w:val="en-US" w:eastAsia="zh-CN"/>
              </w:rPr>
              <w:t>采</w:t>
            </w:r>
            <w:r>
              <w:rPr>
                <w:rFonts w:hint="eastAsia" w:ascii="宋体" w:hAnsi="宋体" w:cs="宋体"/>
                <w:snapToGrid w:val="0"/>
                <w:color w:val="auto"/>
                <w:kern w:val="28"/>
                <w:sz w:val="24"/>
                <w:highlight w:val="none"/>
                <w:lang w:eastAsia="zh-CN"/>
              </w:rPr>
              <w:t>云</w:t>
            </w:r>
            <w:r>
              <w:rPr>
                <w:rFonts w:hint="eastAsia" w:ascii="宋体" w:hAnsi="宋体" w:cs="宋体"/>
                <w:snapToGrid w:val="0"/>
                <w:color w:val="auto"/>
                <w:kern w:val="28"/>
                <w:sz w:val="24"/>
                <w:highlight w:val="none"/>
              </w:rPr>
              <w:t>”平台申请政采贷：操作路径：登录</w:t>
            </w:r>
            <w:r>
              <w:rPr>
                <w:rFonts w:hint="eastAsia" w:ascii="宋体" w:hAnsi="宋体" w:cs="宋体"/>
                <w:snapToGrid w:val="0"/>
                <w:color w:val="auto"/>
                <w:kern w:val="28"/>
                <w:sz w:val="24"/>
                <w:highlight w:val="none"/>
                <w:lang w:eastAsia="zh-CN"/>
              </w:rPr>
              <w:t>乐采云</w:t>
            </w:r>
            <w:r>
              <w:rPr>
                <w:rFonts w:hint="eastAsia" w:ascii="宋体" w:hAnsi="宋体" w:cs="宋体"/>
                <w:snapToGrid w:val="0"/>
                <w:color w:val="auto"/>
                <w:kern w:val="28"/>
                <w:sz w:val="24"/>
                <w:highlight w:val="none"/>
              </w:rPr>
              <w:t>平台 - 金融服务中心 -【融资服务】，可在热门申请中选择产品直接申请，也可点击云智贷匹配适合产品进行申请，或者在可申请项目中根据该项目进行申请。</w:t>
            </w:r>
          </w:p>
        </w:tc>
      </w:tr>
      <w:tr w14:paraId="65677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jc w:val="center"/>
        </w:trPr>
        <w:tc>
          <w:tcPr>
            <w:tcW w:w="714" w:type="dxa"/>
            <w:vAlign w:val="center"/>
          </w:tcPr>
          <w:p w14:paraId="20CAF18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90" w:type="dxa"/>
            <w:vAlign w:val="center"/>
          </w:tcPr>
          <w:p w14:paraId="75EF387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备份响应文件送达地点和签收人员</w:t>
            </w:r>
          </w:p>
        </w:tc>
        <w:tc>
          <w:tcPr>
            <w:tcW w:w="7130" w:type="dxa"/>
            <w:vAlign w:val="center"/>
          </w:tcPr>
          <w:p w14:paraId="0ECB4842">
            <w:pPr>
              <w:pStyle w:val="33"/>
              <w:spacing w:line="360" w:lineRule="auto"/>
              <w:rPr>
                <w:rFonts w:hAnsi="宋体" w:cs="宋体"/>
                <w:color w:val="auto"/>
                <w:kern w:val="28"/>
                <w:sz w:val="24"/>
                <w:szCs w:val="24"/>
                <w:highlight w:val="none"/>
              </w:rPr>
            </w:pPr>
            <w:r>
              <w:rPr>
                <w:rFonts w:hint="eastAsia" w:hAnsi="宋体" w:cs="宋体"/>
                <w:color w:val="auto"/>
                <w:kern w:val="28"/>
                <w:sz w:val="24"/>
                <w:szCs w:val="24"/>
                <w:highlight w:val="none"/>
              </w:rPr>
              <w:t>备份响应文件送达地点：</w:t>
            </w:r>
            <w:r>
              <w:rPr>
                <w:rFonts w:hint="eastAsia" w:hAnsi="宋体" w:cs="宋体"/>
                <w:color w:val="auto"/>
                <w:sz w:val="24"/>
                <w:highlight w:val="none"/>
                <w:u w:val="single"/>
              </w:rPr>
              <w:t>杭州市</w:t>
            </w:r>
            <w:r>
              <w:rPr>
                <w:rFonts w:hint="eastAsia" w:hAnsi="宋体" w:cs="宋体"/>
                <w:color w:val="auto"/>
                <w:sz w:val="24"/>
                <w:highlight w:val="none"/>
                <w:u w:val="single"/>
                <w:lang w:eastAsia="zh-CN"/>
              </w:rPr>
              <w:t>环站东路99号</w:t>
            </w:r>
            <w:r>
              <w:rPr>
                <w:rFonts w:hint="eastAsia" w:hAnsi="宋体" w:cs="宋体"/>
                <w:color w:val="auto"/>
                <w:sz w:val="24"/>
                <w:highlight w:val="none"/>
                <w:u w:val="single"/>
              </w:rPr>
              <w:t>云峰大厦1号楼</w:t>
            </w:r>
            <w:r>
              <w:rPr>
                <w:rFonts w:hint="eastAsia" w:hAnsi="宋体" w:cs="宋体"/>
                <w:color w:val="auto"/>
                <w:sz w:val="24"/>
                <w:highlight w:val="none"/>
                <w:u w:val="single"/>
                <w:lang w:val="en-US" w:eastAsia="zh-CN"/>
              </w:rPr>
              <w:t>16</w:t>
            </w:r>
            <w:r>
              <w:rPr>
                <w:rFonts w:hint="eastAsia" w:hAnsi="宋体" w:cs="宋体"/>
                <w:color w:val="auto"/>
                <w:sz w:val="24"/>
                <w:highlight w:val="none"/>
                <w:u w:val="single"/>
              </w:rPr>
              <w:t>楼</w:t>
            </w:r>
            <w:r>
              <w:rPr>
                <w:rFonts w:hint="eastAsia" w:hAnsi="宋体" w:cs="宋体"/>
                <w:color w:val="auto"/>
                <w:kern w:val="28"/>
                <w:sz w:val="24"/>
                <w:szCs w:val="24"/>
                <w:highlight w:val="none"/>
              </w:rPr>
              <w:t>；</w:t>
            </w:r>
          </w:p>
          <w:p w14:paraId="6A8CD4E0">
            <w:pPr>
              <w:pStyle w:val="33"/>
              <w:spacing w:line="360" w:lineRule="auto"/>
              <w:rPr>
                <w:rFonts w:hAnsi="宋体" w:cs="宋体"/>
                <w:color w:val="auto"/>
                <w:sz w:val="24"/>
                <w:szCs w:val="24"/>
                <w:highlight w:val="none"/>
              </w:rPr>
            </w:pPr>
            <w:r>
              <w:rPr>
                <w:rFonts w:hint="eastAsia" w:hAnsi="宋体" w:cs="宋体"/>
                <w:color w:val="auto"/>
                <w:kern w:val="28"/>
                <w:sz w:val="24"/>
                <w:szCs w:val="24"/>
                <w:highlight w:val="none"/>
              </w:rPr>
              <w:t>备份响应文件签收人员联系电话：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u w:val="single"/>
                <w:lang w:eastAsia="zh-CN"/>
              </w:rPr>
              <w:t>成晓松</w:t>
            </w:r>
            <w:r>
              <w:rPr>
                <w:rFonts w:hint="eastAsia" w:hAnsi="宋体" w:cs="宋体"/>
                <w:color w:val="auto"/>
                <w:sz w:val="24"/>
                <w:highlight w:val="none"/>
                <w:u w:val="single"/>
              </w:rPr>
              <w:t xml:space="preserve"> </w:t>
            </w:r>
            <w:r>
              <w:rPr>
                <w:rFonts w:hint="eastAsia" w:hAnsi="宋体" w:cs="宋体"/>
                <w:color w:val="auto"/>
                <w:sz w:val="24"/>
                <w:highlight w:val="none"/>
                <w:u w:val="single"/>
                <w:lang w:eastAsia="zh-CN"/>
              </w:rPr>
              <w:t>18221599746</w:t>
            </w:r>
            <w:r>
              <w:rPr>
                <w:rFonts w:hint="eastAsia" w:hAnsi="宋体" w:cs="宋体"/>
                <w:color w:val="auto"/>
                <w:sz w:val="24"/>
                <w:highlight w:val="none"/>
                <w:u w:val="single"/>
              </w:rPr>
              <w:t xml:space="preserve">  </w:t>
            </w:r>
            <w:r>
              <w:rPr>
                <w:rFonts w:hint="eastAsia" w:hAnsi="宋体" w:cs="宋体"/>
                <w:color w:val="auto"/>
                <w:sz w:val="24"/>
                <w:szCs w:val="24"/>
                <w:highlight w:val="none"/>
              </w:rPr>
              <w:t>。</w:t>
            </w:r>
          </w:p>
          <w:p w14:paraId="76773533">
            <w:pPr>
              <w:pStyle w:val="33"/>
              <w:spacing w:line="360" w:lineRule="auto"/>
              <w:rPr>
                <w:rFonts w:hAnsi="宋体" w:cs="宋体"/>
                <w:color w:val="auto"/>
                <w:kern w:val="28"/>
                <w:sz w:val="24"/>
                <w:highlight w:val="none"/>
              </w:rPr>
            </w:pPr>
            <w:r>
              <w:rPr>
                <w:rFonts w:hint="eastAsia" w:hAnsi="宋体" w:cs="宋体"/>
                <w:b/>
                <w:color w:val="auto"/>
                <w:sz w:val="24"/>
                <w:szCs w:val="24"/>
                <w:highlight w:val="none"/>
              </w:rPr>
              <w:t>采购人、采购代理机构不强制或变相强制供应商提交备份响应文件。</w:t>
            </w:r>
          </w:p>
        </w:tc>
      </w:tr>
      <w:tr w14:paraId="083AC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jc w:val="center"/>
        </w:trPr>
        <w:tc>
          <w:tcPr>
            <w:tcW w:w="714" w:type="dxa"/>
            <w:vAlign w:val="center"/>
          </w:tcPr>
          <w:p w14:paraId="54F62DB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90" w:type="dxa"/>
            <w:vAlign w:val="center"/>
          </w:tcPr>
          <w:p w14:paraId="6E6FA69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其它说明</w:t>
            </w:r>
          </w:p>
        </w:tc>
        <w:tc>
          <w:tcPr>
            <w:tcW w:w="7130" w:type="dxa"/>
            <w:vAlign w:val="center"/>
          </w:tcPr>
          <w:p w14:paraId="645B5950">
            <w:pPr>
              <w:snapToGrid w:val="0"/>
              <w:spacing w:line="360" w:lineRule="auto"/>
              <w:rPr>
                <w:rFonts w:ascii="宋体" w:hAnsi="宋体" w:cs="宋体"/>
                <w:color w:val="auto"/>
                <w:kern w:val="28"/>
                <w:sz w:val="24"/>
                <w:highlight w:val="none"/>
              </w:rPr>
            </w:pPr>
            <w:r>
              <w:rPr>
                <w:rFonts w:hint="eastAsia" w:ascii="宋体" w:hAnsi="宋体" w:cs="宋体"/>
                <w:color w:val="auto"/>
                <w:sz w:val="24"/>
                <w:highlight w:val="none"/>
              </w:rPr>
              <w:t>（1）中标通知书发出后30日（鼓励有条件的缩短至10个工作日）内，中标供应商持中标通知书与采购人签订合同；合同签订后需在2个工作日内进行备案公示。</w:t>
            </w:r>
          </w:p>
          <w:p w14:paraId="4AA04714">
            <w:pPr>
              <w:snapToGrid w:val="0"/>
              <w:spacing w:line="360" w:lineRule="auto"/>
              <w:rPr>
                <w:rFonts w:ascii="宋体" w:hAnsi="宋体" w:cs="宋体"/>
                <w:color w:val="auto"/>
                <w:kern w:val="28"/>
                <w:sz w:val="24"/>
                <w:highlight w:val="none"/>
              </w:rPr>
            </w:pPr>
            <w:r>
              <w:rPr>
                <w:rFonts w:hint="eastAsia" w:ascii="宋体" w:hAnsi="宋体" w:cs="宋体"/>
                <w:color w:val="auto"/>
                <w:kern w:val="28"/>
                <w:sz w:val="24"/>
                <w:highlight w:val="none"/>
              </w:rPr>
              <w:t>（2）</w:t>
            </w:r>
            <w:r>
              <w:rPr>
                <w:rFonts w:hint="eastAsia" w:ascii="宋体" w:hAnsi="宋体" w:cs="宋体"/>
                <w:color w:val="auto"/>
                <w:sz w:val="24"/>
                <w:highlight w:val="none"/>
              </w:rPr>
              <w:t>中标供应商在收到中标通知后7个工作日内提交纸质版投标文件（内容同电子投标文件）一正两副或系统解密版三份，用于项目资料存档。（邮寄地址：杭州市</w:t>
            </w:r>
            <w:r>
              <w:rPr>
                <w:rFonts w:hint="eastAsia" w:ascii="宋体" w:hAnsi="宋体" w:cs="宋体"/>
                <w:color w:val="auto"/>
                <w:sz w:val="24"/>
                <w:highlight w:val="none"/>
                <w:lang w:eastAsia="zh-CN"/>
              </w:rPr>
              <w:t>环站东路99号</w:t>
            </w:r>
            <w:r>
              <w:rPr>
                <w:rFonts w:hint="eastAsia" w:ascii="宋体" w:hAnsi="宋体" w:cs="宋体"/>
                <w:color w:val="auto"/>
                <w:sz w:val="24"/>
                <w:highlight w:val="none"/>
              </w:rPr>
              <w:t>云峰大厦1</w:t>
            </w:r>
            <w:r>
              <w:rPr>
                <w:rFonts w:hint="eastAsia" w:ascii="宋体" w:hAnsi="宋体" w:cs="宋体"/>
                <w:color w:val="auto"/>
                <w:sz w:val="24"/>
                <w:highlight w:val="none"/>
                <w:lang w:val="en-US" w:eastAsia="zh-CN"/>
              </w:rPr>
              <w:t>号楼16</w:t>
            </w:r>
            <w:r>
              <w:rPr>
                <w:rFonts w:hint="eastAsia" w:ascii="宋体" w:hAnsi="宋体" w:cs="宋体"/>
                <w:color w:val="auto"/>
                <w:sz w:val="24"/>
                <w:highlight w:val="none"/>
              </w:rPr>
              <w:t xml:space="preserve">楼 </w:t>
            </w:r>
            <w:r>
              <w:rPr>
                <w:rFonts w:hint="eastAsia" w:ascii="宋体" w:hAnsi="宋体" w:cs="宋体"/>
                <w:color w:val="auto"/>
                <w:sz w:val="24"/>
                <w:highlight w:val="none"/>
                <w:lang w:eastAsia="zh-CN"/>
              </w:rPr>
              <w:t>成晓松</w:t>
            </w: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18221599746</w:t>
            </w:r>
            <w:r>
              <w:rPr>
                <w:rFonts w:hint="eastAsia" w:ascii="宋体" w:hAnsi="宋体" w:cs="宋体"/>
                <w:color w:val="auto"/>
                <w:sz w:val="24"/>
                <w:highlight w:val="none"/>
              </w:rPr>
              <w:t>收）</w:t>
            </w:r>
          </w:p>
          <w:p w14:paraId="20312B94">
            <w:pPr>
              <w:snapToGrid w:val="0"/>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（3）</w:t>
            </w:r>
            <w:r>
              <w:rPr>
                <w:rFonts w:hint="eastAsia" w:ascii="宋体" w:hAnsi="宋体" w:cs="宋体"/>
                <w:color w:val="auto"/>
                <w:sz w:val="24"/>
                <w:highlight w:val="none"/>
              </w:rPr>
              <w:t>若联合体投标的，联合体各方均应当具备规定的相应资格条件。不同投标人组成联合体投标的，联合体各方应当签订共同投标协议，明确约定各方拟承担的工作和责任，并且要求在联合体协议中明确联合体的主体方（牵头人）。</w:t>
            </w:r>
          </w:p>
          <w:p w14:paraId="270E7CC8">
            <w:pPr>
              <w:spacing w:line="360" w:lineRule="auto"/>
              <w:rPr>
                <w:rFonts w:ascii="宋体" w:hAnsi="宋体" w:cs="宋体"/>
                <w:b/>
                <w:color w:val="auto"/>
                <w:kern w:val="0"/>
                <w:sz w:val="24"/>
                <w:highlight w:val="none"/>
              </w:rPr>
            </w:pPr>
            <w:r>
              <w:rPr>
                <w:rFonts w:hint="eastAsia" w:ascii="宋体" w:hAnsi="宋体" w:cs="宋体"/>
                <w:snapToGrid w:val="0"/>
                <w:color w:val="auto"/>
                <w:kern w:val="28"/>
                <w:sz w:val="24"/>
                <w:highlight w:val="none"/>
              </w:rPr>
              <w:t>（4）联合体或者以分包方式履行合同的，联合体各方（供应商与分包供应商）分别提供与联合体协议（分包意向协议）中规定的分工内容相应的业绩证明材料，业绩数量以提供材料较少的一方为准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cs="宋体"/>
                <w:b/>
                <w:color w:val="auto"/>
                <w:kern w:val="0"/>
                <w:sz w:val="24"/>
                <w:highlight w:val="none"/>
              </w:rPr>
              <w:t>。</w:t>
            </w:r>
          </w:p>
          <w:p w14:paraId="2A7CB732">
            <w:pPr>
              <w:spacing w:line="360" w:lineRule="auto"/>
              <w:rPr>
                <w:rFonts w:ascii="宋体" w:hAnsi="宋体" w:cs="宋体"/>
                <w:bCs/>
                <w:color w:val="auto"/>
                <w:sz w:val="24"/>
                <w:highlight w:val="none"/>
              </w:rPr>
            </w:pPr>
            <w:r>
              <w:rPr>
                <w:rFonts w:hint="eastAsia" w:ascii="宋体" w:hAnsi="宋体" w:cs="宋体"/>
                <w:bCs/>
                <w:color w:val="auto"/>
                <w:kern w:val="0"/>
                <w:sz w:val="24"/>
                <w:highlight w:val="none"/>
              </w:rPr>
              <w:t>（5）</w:t>
            </w:r>
            <w:r>
              <w:rPr>
                <w:rFonts w:hint="eastAsia" w:ascii="宋体" w:hAnsi="宋体" w:cs="宋体"/>
                <w:bCs/>
                <w:color w:val="auto"/>
                <w:sz w:val="24"/>
                <w:highlight w:val="none"/>
              </w:rPr>
              <w:t>若联合体中标，联合体成员应按联合体协议签订的实施范围进行项目实施，不得私自调整项目实施范围，不得将属于高资质实施范围内工作分包给低资质的成员单位实施，一经发现，采购人有权终止合同，并保留向中标单位追究违约责任的权利，由此产生的损失由中标单位承担。</w:t>
            </w:r>
          </w:p>
        </w:tc>
      </w:tr>
      <w:tr w14:paraId="0EF30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jc w:val="center"/>
        </w:trPr>
        <w:tc>
          <w:tcPr>
            <w:tcW w:w="714" w:type="dxa"/>
            <w:vAlign w:val="center"/>
          </w:tcPr>
          <w:p w14:paraId="759D78F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1890" w:type="dxa"/>
            <w:vAlign w:val="center"/>
          </w:tcPr>
          <w:p w14:paraId="0BDEB28E">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7130" w:type="dxa"/>
            <w:vAlign w:val="center"/>
          </w:tcPr>
          <w:p w14:paraId="4DBD90D9">
            <w:pPr>
              <w:widowControl/>
              <w:spacing w:line="360" w:lineRule="auto"/>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1</w:t>
            </w:r>
            <w:r>
              <w:rPr>
                <w:rFonts w:hint="eastAsia" w:ascii="宋体" w:hAnsi="宋体" w:cs="宋体"/>
                <w:b/>
                <w:color w:val="auto"/>
                <w:sz w:val="24"/>
                <w:highlight w:val="none"/>
                <w:lang w:eastAsia="zh-CN"/>
              </w:rPr>
              <w:t>）</w:t>
            </w:r>
            <w:r>
              <w:rPr>
                <w:rFonts w:hint="eastAsia" w:ascii="宋体" w:hAnsi="宋体" w:cs="宋体"/>
                <w:b/>
                <w:color w:val="auto"/>
                <w:sz w:val="24"/>
                <w:highlight w:val="none"/>
              </w:rPr>
              <w:t>本项目招标服务费收费标准</w:t>
            </w:r>
            <w:r>
              <w:rPr>
                <w:rFonts w:hint="eastAsia" w:ascii="宋体" w:hAnsi="宋体" w:cs="宋体"/>
                <w:b/>
                <w:color w:val="auto"/>
                <w:sz w:val="24"/>
                <w:highlight w:val="none"/>
                <w:lang w:eastAsia="zh-CN"/>
              </w:rPr>
              <w:t>：</w:t>
            </w:r>
          </w:p>
          <w:p w14:paraId="4A55DEB5">
            <w:pPr>
              <w:widowControl/>
              <w:spacing w:line="360" w:lineRule="auto"/>
              <w:rPr>
                <w:rFonts w:ascii="宋体" w:hAnsi="宋体" w:cs="宋体"/>
                <w:b/>
                <w:color w:val="auto"/>
                <w:sz w:val="24"/>
                <w:highlight w:val="none"/>
              </w:rPr>
            </w:pPr>
            <w:r>
              <w:rPr>
                <w:rFonts w:hint="eastAsia" w:ascii="宋体" w:hAnsi="宋体" w:cs="宋体"/>
                <w:b/>
                <w:color w:val="auto"/>
                <w:sz w:val="24"/>
                <w:highlight w:val="none"/>
              </w:rPr>
              <w:t>招标代理费：参照计价格[2002]1980号文规定八折计取，不足</w:t>
            </w:r>
            <w:r>
              <w:rPr>
                <w:rFonts w:hint="eastAsia" w:ascii="宋体" w:hAnsi="宋体" w:cs="宋体"/>
                <w:b/>
                <w:color w:val="auto"/>
                <w:sz w:val="24"/>
                <w:highlight w:val="none"/>
                <w:lang w:val="en-US" w:eastAsia="zh-CN"/>
              </w:rPr>
              <w:t>陆</w:t>
            </w:r>
            <w:r>
              <w:rPr>
                <w:rFonts w:hint="eastAsia" w:ascii="宋体" w:hAnsi="宋体" w:cs="宋体"/>
                <w:b/>
                <w:color w:val="auto"/>
                <w:sz w:val="24"/>
                <w:highlight w:val="none"/>
              </w:rPr>
              <w:t>仟元按</w:t>
            </w:r>
            <w:r>
              <w:rPr>
                <w:rFonts w:hint="eastAsia" w:ascii="宋体" w:hAnsi="宋体" w:cs="宋体"/>
                <w:b/>
                <w:color w:val="auto"/>
                <w:sz w:val="24"/>
                <w:highlight w:val="none"/>
                <w:lang w:val="en-US" w:eastAsia="zh-CN"/>
              </w:rPr>
              <w:t>陆</w:t>
            </w:r>
            <w:r>
              <w:rPr>
                <w:rFonts w:hint="eastAsia" w:ascii="宋体" w:hAnsi="宋体" w:cs="宋体"/>
                <w:b/>
                <w:color w:val="auto"/>
                <w:sz w:val="24"/>
                <w:highlight w:val="none"/>
              </w:rPr>
              <w:t>仟元计。</w:t>
            </w:r>
          </w:p>
          <w:p w14:paraId="31524414">
            <w:pPr>
              <w:widowControl/>
              <w:spacing w:line="360" w:lineRule="auto"/>
              <w:rPr>
                <w:rFonts w:ascii="宋体" w:hAnsi="宋体" w:cs="宋体"/>
                <w:b/>
                <w:color w:val="auto"/>
                <w:sz w:val="24"/>
                <w:highlight w:val="none"/>
              </w:rPr>
            </w:pPr>
            <w:r>
              <w:rPr>
                <w:rFonts w:hint="eastAsia" w:ascii="宋体" w:hAnsi="宋体" w:cs="宋体"/>
                <w:b/>
                <w:color w:val="auto"/>
                <w:sz w:val="24"/>
                <w:highlight w:val="none"/>
              </w:rPr>
              <w:t>工程造价咨询费：</w:t>
            </w:r>
            <w:r>
              <w:rPr>
                <w:rFonts w:hint="eastAsia" w:ascii="宋体" w:hAnsi="宋体" w:cs="宋体"/>
                <w:b w:val="0"/>
                <w:bCs/>
                <w:color w:val="auto"/>
                <w:sz w:val="24"/>
                <w:highlight w:val="none"/>
              </w:rPr>
              <w:sym w:font="Wingdings" w:char="00A8"/>
            </w:r>
            <w:r>
              <w:rPr>
                <w:rFonts w:hint="eastAsia" w:ascii="宋体" w:hAnsi="宋体" w:cs="宋体"/>
                <w:b w:val="0"/>
                <w:bCs/>
                <w:color w:val="auto"/>
                <w:sz w:val="24"/>
                <w:highlight w:val="none"/>
              </w:rPr>
              <w:t>无；</w:t>
            </w:r>
            <w:r>
              <w:rPr>
                <w:rFonts w:hint="eastAsia" w:ascii="宋体" w:hAnsi="宋体" w:cs="宋体"/>
                <w:b/>
                <w:color w:val="auto"/>
                <w:sz w:val="24"/>
                <w:highlight w:val="none"/>
              </w:rPr>
              <w:sym w:font="Wingdings" w:char="00FE"/>
            </w:r>
            <w:r>
              <w:rPr>
                <w:rFonts w:hint="eastAsia" w:ascii="宋体" w:hAnsi="宋体" w:cs="宋体"/>
                <w:b/>
                <w:bCs/>
                <w:color w:val="auto"/>
                <w:kern w:val="0"/>
                <w:sz w:val="24"/>
                <w:highlight w:val="none"/>
              </w:rPr>
              <w:t>浙建价协〔2021〕13号文件八折，不足叁仟元按叁仟元计</w:t>
            </w:r>
            <w:r>
              <w:rPr>
                <w:rFonts w:hint="eastAsia" w:ascii="宋体" w:hAnsi="宋体" w:cs="宋体"/>
                <w:b/>
                <w:color w:val="auto"/>
                <w:sz w:val="24"/>
                <w:highlight w:val="none"/>
              </w:rPr>
              <w:t>。</w:t>
            </w:r>
          </w:p>
          <w:p w14:paraId="32E5AD03">
            <w:pPr>
              <w:widowControl/>
              <w:spacing w:line="360" w:lineRule="auto"/>
              <w:rPr>
                <w:rFonts w:ascii="宋体" w:hAnsi="宋体" w:cs="宋体"/>
                <w:b/>
                <w:bCs/>
                <w:color w:val="auto"/>
                <w:sz w:val="24"/>
                <w:highlight w:val="none"/>
              </w:rPr>
            </w:pP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2</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支付方：</w:t>
            </w:r>
          </w:p>
          <w:p w14:paraId="7A692973">
            <w:pPr>
              <w:widowControl/>
              <w:spacing w:line="360" w:lineRule="auto"/>
              <w:rPr>
                <w:rFonts w:ascii="宋体" w:hAnsi="宋体" w:cs="宋体"/>
                <w:b w:val="0"/>
                <w:bCs w:val="0"/>
                <w:color w:val="auto"/>
                <w:sz w:val="24"/>
                <w:highlight w:val="none"/>
              </w:rPr>
            </w:pPr>
            <w:r>
              <w:rPr>
                <w:rFonts w:hint="eastAsia" w:ascii="宋体" w:hAnsi="宋体" w:cs="宋体"/>
                <w:b w:val="0"/>
                <w:bCs w:val="0"/>
                <w:color w:val="auto"/>
                <w:sz w:val="24"/>
                <w:highlight w:val="none"/>
              </w:rPr>
              <w:sym w:font="Wingdings" w:char="00A8"/>
            </w:r>
            <w:r>
              <w:rPr>
                <w:rFonts w:hint="eastAsia" w:ascii="宋体" w:hAnsi="宋体" w:cs="宋体"/>
                <w:b w:val="0"/>
                <w:bCs w:val="0"/>
                <w:color w:val="auto"/>
                <w:sz w:val="24"/>
                <w:highlight w:val="none"/>
              </w:rPr>
              <w:t>由采购人在项目招标完成后一次性支付；</w:t>
            </w:r>
          </w:p>
          <w:p w14:paraId="6F15476E">
            <w:pPr>
              <w:widowControl/>
              <w:spacing w:line="360" w:lineRule="auto"/>
              <w:rPr>
                <w:rFonts w:ascii="宋体" w:hAnsi="宋体" w:cs="宋体"/>
                <w:b/>
                <w:bCs/>
                <w:color w:val="auto"/>
                <w:sz w:val="24"/>
                <w:highlight w:val="none"/>
              </w:rPr>
            </w:pPr>
            <w:r>
              <w:rPr>
                <w:rFonts w:hint="eastAsia" w:ascii="宋体" w:hAnsi="宋体" w:cs="宋体"/>
                <w:b/>
                <w:bCs/>
                <w:color w:val="auto"/>
                <w:sz w:val="24"/>
                <w:highlight w:val="none"/>
              </w:rPr>
              <w:sym w:font="Wingdings" w:char="00FE"/>
            </w:r>
            <w:r>
              <w:rPr>
                <w:rFonts w:hint="eastAsia" w:ascii="宋体" w:hAnsi="宋体" w:cs="宋体"/>
                <w:b/>
                <w:bCs/>
                <w:color w:val="auto"/>
                <w:sz w:val="24"/>
                <w:highlight w:val="none"/>
              </w:rPr>
              <w:t>由中标人在领取中标通知书后7个工作日内一次性缴纳。</w:t>
            </w:r>
          </w:p>
          <w:p w14:paraId="2C6CAB84">
            <w:pPr>
              <w:widowControl/>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收款单位：</w:t>
            </w:r>
            <w:r>
              <w:rPr>
                <w:rFonts w:hint="eastAsia" w:ascii="宋体" w:hAnsi="宋体" w:cs="宋体"/>
                <w:color w:val="auto"/>
                <w:sz w:val="24"/>
                <w:highlight w:val="none"/>
                <w:lang w:eastAsia="zh-CN"/>
              </w:rPr>
              <w:t>杭州洲源招标代理有限公司</w:t>
            </w:r>
          </w:p>
          <w:p w14:paraId="4150322C">
            <w:pPr>
              <w:snapToGrid w:val="0"/>
              <w:spacing w:line="360" w:lineRule="auto"/>
              <w:ind w:right="143" w:rightChars="68"/>
              <w:jc w:val="left"/>
              <w:rPr>
                <w:rFonts w:hint="eastAsia" w:ascii="宋体" w:hAnsi="宋体"/>
                <w:bCs/>
                <w:color w:val="auto"/>
                <w:sz w:val="24"/>
                <w:highlight w:val="none"/>
              </w:rPr>
            </w:pPr>
            <w:r>
              <w:rPr>
                <w:rFonts w:hint="eastAsia" w:ascii="宋体" w:hAnsi="宋体"/>
                <w:bCs/>
                <w:color w:val="auto"/>
                <w:sz w:val="24"/>
                <w:highlight w:val="none"/>
              </w:rPr>
              <w:t>开户银行：</w:t>
            </w:r>
            <w:r>
              <w:rPr>
                <w:rFonts w:hint="eastAsia" w:ascii="宋体" w:hAnsi="宋体" w:cs="宋体"/>
                <w:color w:val="auto"/>
                <w:sz w:val="24"/>
                <w:highlight w:val="none"/>
              </w:rPr>
              <w:t>中信银行杭州西湖支行</w:t>
            </w:r>
          </w:p>
          <w:p w14:paraId="7EC1A89A">
            <w:pPr>
              <w:spacing w:line="360" w:lineRule="auto"/>
              <w:rPr>
                <w:rFonts w:hint="eastAsia" w:ascii="宋体" w:hAnsi="宋体" w:cs="宋体"/>
                <w:color w:val="auto"/>
                <w:sz w:val="24"/>
                <w:highlight w:val="none"/>
              </w:rPr>
            </w:pPr>
            <w:r>
              <w:rPr>
                <w:rFonts w:hint="eastAsia" w:ascii="宋体" w:hAnsi="宋体"/>
                <w:bCs/>
                <w:color w:val="auto"/>
                <w:sz w:val="24"/>
                <w:highlight w:val="none"/>
                <w:lang w:val="en-US" w:eastAsia="zh-CN"/>
              </w:rPr>
              <w:t>账</w:t>
            </w:r>
            <w:r>
              <w:rPr>
                <w:rFonts w:hint="eastAsia" w:ascii="宋体" w:hAnsi="宋体"/>
                <w:bCs/>
                <w:color w:val="auto"/>
                <w:sz w:val="24"/>
                <w:highlight w:val="none"/>
              </w:rPr>
              <w:t xml:space="preserve">    号：</w:t>
            </w:r>
            <w:r>
              <w:rPr>
                <w:rFonts w:hint="eastAsia" w:ascii="宋体" w:hAnsi="宋体" w:cs="宋体"/>
                <w:color w:val="auto"/>
                <w:sz w:val="24"/>
                <w:highlight w:val="none"/>
              </w:rPr>
              <w:t>8110801012701859954</w:t>
            </w:r>
          </w:p>
          <w:p w14:paraId="629E18E0">
            <w:pPr>
              <w:spacing w:line="360" w:lineRule="auto"/>
              <w:rPr>
                <w:rFonts w:ascii="宋体" w:hAnsi="宋体" w:cs="宋体"/>
                <w:snapToGrid w:val="0"/>
                <w:color w:val="auto"/>
                <w:kern w:val="28"/>
                <w:sz w:val="24"/>
                <w:highlight w:val="none"/>
              </w:rPr>
            </w:pPr>
            <w:r>
              <w:rPr>
                <w:rFonts w:hint="eastAsia" w:ascii="宋体" w:hAnsi="宋体" w:cs="宋体"/>
                <w:color w:val="auto"/>
                <w:sz w:val="24"/>
                <w:highlight w:val="none"/>
              </w:rPr>
              <w:t>注：打款时备注项目编号，项目名称等信息。</w:t>
            </w:r>
          </w:p>
        </w:tc>
      </w:tr>
    </w:tbl>
    <w:p w14:paraId="41CF42DA">
      <w:pPr>
        <w:snapToGrid w:val="0"/>
        <w:spacing w:line="360" w:lineRule="auto"/>
        <w:jc w:val="center"/>
        <w:rPr>
          <w:rFonts w:ascii="宋体" w:hAnsi="宋体" w:cs="宋体"/>
          <w:b/>
          <w:color w:val="auto"/>
          <w:sz w:val="32"/>
          <w:szCs w:val="20"/>
          <w:highlight w:val="none"/>
        </w:rPr>
      </w:pPr>
    </w:p>
    <w:bookmarkEnd w:id="10"/>
    <w:p w14:paraId="12648A9A">
      <w:pPr>
        <w:widowControl/>
        <w:adjustRightInd/>
        <w:jc w:val="left"/>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br w:type="page"/>
      </w:r>
    </w:p>
    <w:p w14:paraId="0A3EA92B">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18F909D0">
      <w:pPr>
        <w:snapToGrid w:val="0"/>
        <w:spacing w:line="360" w:lineRule="auto"/>
        <w:jc w:val="left"/>
        <w:outlineLvl w:val="1"/>
        <w:rPr>
          <w:rFonts w:ascii="宋体" w:hAnsi="宋体" w:cs="宋体"/>
          <w:b/>
          <w:color w:val="auto"/>
          <w:sz w:val="24"/>
          <w:highlight w:val="none"/>
        </w:rPr>
      </w:pPr>
      <w:r>
        <w:rPr>
          <w:rFonts w:hint="eastAsia" w:ascii="宋体" w:hAnsi="宋体" w:cs="宋体"/>
          <w:b/>
          <w:color w:val="auto"/>
          <w:sz w:val="24"/>
          <w:highlight w:val="none"/>
        </w:rPr>
        <w:t>1.适用范围</w:t>
      </w:r>
    </w:p>
    <w:p w14:paraId="7E7EC953">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本采购文件适用于该项目的采购邀请、响应文件提交、响应文件开启、资格审查及信用信息查询、磋商、评审、成交供应商确定、合同、验收等行为（法律、法规另有规定的，从其规定）。</w:t>
      </w:r>
    </w:p>
    <w:p w14:paraId="10BE2532">
      <w:pPr>
        <w:snapToGrid w:val="0"/>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2.定义</w:t>
      </w:r>
    </w:p>
    <w:p w14:paraId="45B796F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“采购人”系指竞争性磋商公告中载明的本项目的采购人。</w:t>
      </w:r>
    </w:p>
    <w:p w14:paraId="45DE2C5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“采购代理机构”系指竞争性磋商公告中载明的本项目的采购代理机构。</w:t>
      </w:r>
    </w:p>
    <w:p w14:paraId="6C27FA3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“供应商”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投标人</w:t>
      </w:r>
      <w:r>
        <w:rPr>
          <w:rFonts w:hint="eastAsia" w:ascii="宋体" w:hAnsi="宋体" w:cs="宋体"/>
          <w:color w:val="auto"/>
          <w:sz w:val="24"/>
          <w:highlight w:val="none"/>
          <w:lang w:eastAsia="zh-CN"/>
        </w:rPr>
        <w:t>”</w:t>
      </w:r>
      <w:r>
        <w:rPr>
          <w:rFonts w:hint="eastAsia" w:ascii="宋体" w:hAnsi="宋体" w:cs="宋体"/>
          <w:color w:val="auto"/>
          <w:sz w:val="24"/>
          <w:highlight w:val="none"/>
        </w:rPr>
        <w:t>系指是指提交响应文件和报价、参与竞争性磋商采购活动的法人、其他组织或者自然人。</w:t>
      </w:r>
    </w:p>
    <w:p w14:paraId="5738C6B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51B985C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20AFD29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2.6“电子交易平台”是指本项目采购活动所依托的</w:t>
      </w:r>
      <w:r>
        <w:rPr>
          <w:rFonts w:hint="eastAsia" w:ascii="宋体" w:hAnsi="宋体" w:cs="宋体"/>
          <w:color w:val="auto"/>
          <w:sz w:val="24"/>
          <w:highlight w:val="none"/>
          <w:lang w:eastAsia="zh-CN"/>
        </w:rPr>
        <w:t>乐采云平台（https://hzjyg.lecaiyun.com）</w:t>
      </w:r>
      <w:r>
        <w:rPr>
          <w:rFonts w:hint="eastAsia" w:ascii="宋体" w:hAnsi="宋体" w:cs="宋体"/>
          <w:color w:val="auto"/>
          <w:sz w:val="24"/>
          <w:highlight w:val="none"/>
        </w:rPr>
        <w:t>。</w:t>
      </w:r>
    </w:p>
    <w:p w14:paraId="5919AAB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r>
        <w:rPr>
          <w:rFonts w:hint="eastAsia" w:ascii="宋体" w:hAnsi="宋体" w:cs="宋体"/>
          <w:b/>
          <w:bCs/>
          <w:color w:val="auto"/>
          <w:sz w:val="24"/>
          <w:highlight w:val="none"/>
        </w:rPr>
        <w:sym w:font="Wingdings" w:char="00FE"/>
      </w:r>
      <w:r>
        <w:rPr>
          <w:rFonts w:hint="eastAsia" w:ascii="宋体" w:hAnsi="宋体" w:cs="宋体"/>
          <w:color w:val="auto"/>
          <w:sz w:val="24"/>
          <w:highlight w:val="none"/>
        </w:rPr>
        <w:t>” 系指适用本项目的要求，“</w:t>
      </w:r>
      <w:r>
        <w:rPr>
          <w:rFonts w:hint="eastAsia" w:ascii="宋体" w:hAnsi="宋体" w:cs="宋体"/>
          <w:color w:val="auto"/>
          <w:kern w:val="0"/>
          <w:sz w:val="24"/>
          <w:highlight w:val="none"/>
        </w:rPr>
        <w:t>☐</w:t>
      </w:r>
      <w:r>
        <w:rPr>
          <w:rFonts w:hint="eastAsia" w:ascii="宋体" w:hAnsi="宋体" w:cs="宋体"/>
          <w:color w:val="auto"/>
          <w:sz w:val="24"/>
          <w:highlight w:val="none"/>
        </w:rPr>
        <w:t>” 系指不适用本项目的要求，“※”系指磋商过程中可能实质性变动的内容。</w:t>
      </w:r>
    </w:p>
    <w:p w14:paraId="2ED934B1">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397FB0F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3D75692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 支持绿色发展</w:t>
      </w:r>
    </w:p>
    <w:p w14:paraId="5577EF2E">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p>
    <w:p w14:paraId="088A8C7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修缮、装修类项目采购建材的，采购人应将绿色建筑和绿色建材性能、指标等作为实质性条件纳入采购文件和合同。</w:t>
      </w:r>
    </w:p>
    <w:p w14:paraId="5E38FF7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1ED7DE40">
      <w:pPr>
        <w:pStyle w:val="4"/>
        <w:tabs>
          <w:tab w:val="left" w:pos="0"/>
          <w:tab w:val="clear" w:pos="432"/>
        </w:tabs>
        <w:ind w:left="0" w:firstLine="480" w:firstLineChars="200"/>
        <w:rPr>
          <w:color w:val="auto"/>
          <w:highlight w:val="none"/>
          <w:lang w:val="en-US"/>
        </w:rPr>
      </w:pPr>
      <w:r>
        <w:rPr>
          <w:rFonts w:ascii="宋体" w:hAnsi="宋体" w:eastAsia="宋体" w:cs="宋体"/>
          <w:b w:val="0"/>
          <w:bCs w:val="0"/>
          <w:color w:val="auto"/>
          <w:sz w:val="24"/>
          <w:szCs w:val="24"/>
          <w:highlight w:val="none"/>
          <w:lang w:val="en-US"/>
        </w:rPr>
        <w:t xml:space="preserve">3.2.4 </w:t>
      </w:r>
      <w:r>
        <w:rPr>
          <w:rFonts w:hint="eastAsia" w:ascii="宋体" w:hAnsi="宋体" w:eastAsia="宋体" w:cs="宋体"/>
          <w:b w:val="0"/>
          <w:bCs w:val="0"/>
          <w:color w:val="auto"/>
          <w:sz w:val="24"/>
          <w:szCs w:val="24"/>
          <w:highlight w:val="none"/>
          <w:lang w:val="en-US"/>
        </w:rPr>
        <w:t>鼓励供应商在参加</w:t>
      </w:r>
      <w:r>
        <w:rPr>
          <w:rFonts w:hint="eastAsia" w:ascii="宋体" w:hAnsi="宋体" w:eastAsia="宋体" w:cs="宋体"/>
          <w:b w:val="0"/>
          <w:bCs w:val="0"/>
          <w:color w:val="auto"/>
          <w:sz w:val="24"/>
          <w:szCs w:val="24"/>
          <w:highlight w:val="none"/>
          <w:lang w:val="en-US" w:eastAsia="zh-CN"/>
        </w:rPr>
        <w:t>采购</w:t>
      </w:r>
      <w:r>
        <w:rPr>
          <w:rFonts w:hint="eastAsia" w:ascii="宋体" w:hAnsi="宋体" w:eastAsia="宋体" w:cs="宋体"/>
          <w:b w:val="0"/>
          <w:bCs w:val="0"/>
          <w:color w:val="auto"/>
          <w:sz w:val="24"/>
          <w:szCs w:val="24"/>
          <w:highlight w:val="none"/>
          <w:lang w:val="en-US"/>
        </w:rPr>
        <w:t>过程中开展绿色设计、选择绿色材料、打造绿色制造工艺、开展绿色运输、做好废弃产品回收处理，实现产品全周期的绿色环保。鼓励采购单位对其提高预付款比例、免收履约保证金。</w:t>
      </w:r>
    </w:p>
    <w:p w14:paraId="2806EEB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3.3支持中小企业发展</w:t>
      </w:r>
    </w:p>
    <w:p w14:paraId="66A229B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3EE879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w:t>
      </w:r>
      <w:r>
        <w:rPr>
          <w:rFonts w:hint="eastAsia" w:ascii="宋体" w:hAnsi="宋体" w:cs="宋体"/>
          <w:color w:val="auto"/>
          <w:sz w:val="24"/>
          <w:highlight w:val="none"/>
          <w:lang w:eastAsia="zh-CN"/>
        </w:rPr>
        <w:t>采购</w:t>
      </w:r>
      <w:r>
        <w:rPr>
          <w:rFonts w:hint="eastAsia" w:ascii="宋体" w:hAnsi="宋体" w:cs="宋体"/>
          <w:color w:val="auto"/>
          <w:sz w:val="24"/>
          <w:highlight w:val="none"/>
        </w:rPr>
        <w:t>活动中视同中小企业。</w:t>
      </w:r>
    </w:p>
    <w:p w14:paraId="0670D1F1">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bCs/>
          <w:color w:val="auto"/>
          <w:sz w:val="24"/>
          <w:highlight w:val="none"/>
        </w:rPr>
        <w:t>3.3.2</w:t>
      </w:r>
      <w:r>
        <w:rPr>
          <w:rFonts w:hint="eastAsia" w:ascii="宋体" w:hAnsi="宋体" w:cs="宋体"/>
          <w:color w:val="auto"/>
          <w:kern w:val="0"/>
          <w:sz w:val="24"/>
          <w:highlight w:val="none"/>
        </w:rPr>
        <w:t>在</w:t>
      </w:r>
      <w:r>
        <w:rPr>
          <w:rFonts w:hint="eastAsia" w:ascii="宋体" w:hAnsi="宋体" w:cs="宋体"/>
          <w:color w:val="auto"/>
          <w:kern w:val="0"/>
          <w:sz w:val="24"/>
          <w:highlight w:val="none"/>
          <w:lang w:eastAsia="zh-CN"/>
        </w:rPr>
        <w:t>采购</w:t>
      </w:r>
      <w:r>
        <w:rPr>
          <w:rFonts w:hint="eastAsia" w:ascii="宋体" w:hAnsi="宋体" w:cs="宋体"/>
          <w:color w:val="auto"/>
          <w:kern w:val="0"/>
          <w:sz w:val="24"/>
          <w:highlight w:val="none"/>
        </w:rPr>
        <w:t>活动中，供应商提供的工程符合下列情形的，享受中小企业扶持政策：</w:t>
      </w:r>
      <w:r>
        <w:rPr>
          <w:rFonts w:hint="eastAsia" w:ascii="宋体" w:hAnsi="宋体" w:cs="宋体"/>
          <w:color w:val="auto"/>
          <w:sz w:val="24"/>
          <w:highlight w:val="none"/>
        </w:rPr>
        <w:t>在工程采购项目中，工程由中小企业承建，即工程施工单位为中小企业</w:t>
      </w:r>
      <w:r>
        <w:rPr>
          <w:rFonts w:hint="eastAsia" w:ascii="宋体" w:hAnsi="宋体" w:cs="宋体"/>
          <w:color w:val="auto"/>
          <w:kern w:val="0"/>
          <w:sz w:val="24"/>
          <w:highlight w:val="none"/>
        </w:rPr>
        <w:t>。</w:t>
      </w:r>
    </w:p>
    <w:p w14:paraId="602ADBA2">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w:t>
      </w:r>
      <w:r>
        <w:rPr>
          <w:rFonts w:hint="eastAsia" w:ascii="宋体" w:hAnsi="宋体" w:cs="宋体"/>
          <w:color w:val="auto"/>
          <w:kern w:val="0"/>
          <w:sz w:val="24"/>
          <w:highlight w:val="none"/>
          <w:lang w:eastAsia="zh-CN"/>
        </w:rPr>
        <w:t>采购</w:t>
      </w:r>
      <w:r>
        <w:rPr>
          <w:rFonts w:hint="eastAsia" w:ascii="宋体" w:hAnsi="宋体" w:cs="宋体"/>
          <w:color w:val="auto"/>
          <w:kern w:val="0"/>
          <w:sz w:val="24"/>
          <w:highlight w:val="none"/>
        </w:rPr>
        <w:t>活动，联合体各方均为中小企业的，联合体视同中小企业。其中，联合体各方均为小微企业的，联合体视同小微企业。</w:t>
      </w:r>
    </w:p>
    <w:p w14:paraId="30338C7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w:t>
      </w:r>
      <w:r>
        <w:rPr>
          <w:rFonts w:hint="eastAsia" w:ascii="宋体" w:hAnsi="宋体" w:cs="宋体"/>
          <w:color w:val="auto"/>
          <w:sz w:val="24"/>
          <w:highlight w:val="none"/>
          <w:lang w:eastAsia="zh-CN"/>
        </w:rPr>
        <w:t>采购</w:t>
      </w:r>
      <w:r>
        <w:rPr>
          <w:rFonts w:hint="eastAsia" w:ascii="宋体" w:hAnsi="宋体" w:cs="宋体"/>
          <w:color w:val="auto"/>
          <w:sz w:val="24"/>
          <w:highlight w:val="none"/>
        </w:rPr>
        <w:t>工程项目，以及预留份额</w:t>
      </w:r>
      <w:r>
        <w:rPr>
          <w:rFonts w:hint="eastAsia" w:ascii="宋体" w:hAnsi="宋体" w:cs="宋体"/>
          <w:color w:val="auto"/>
          <w:sz w:val="24"/>
          <w:highlight w:val="none"/>
          <w:lang w:eastAsia="zh-CN"/>
        </w:rPr>
        <w:t>采购</w:t>
      </w:r>
      <w:r>
        <w:rPr>
          <w:rFonts w:hint="eastAsia" w:ascii="宋体" w:hAnsi="宋体" w:cs="宋体"/>
          <w:color w:val="auto"/>
          <w:sz w:val="24"/>
          <w:highlight w:val="none"/>
        </w:rPr>
        <w:t>工程项目中的非预留部分标项，对小型和微型企业的最后报价给予5%的扣除，用扣除后的价格参与评审。接受大中型企业与小微企业组成联合体或者允许大中型企业向一家或者多家小微企业分包的</w:t>
      </w:r>
      <w:r>
        <w:rPr>
          <w:rFonts w:hint="eastAsia" w:ascii="宋体" w:hAnsi="宋体" w:cs="宋体"/>
          <w:color w:val="auto"/>
          <w:sz w:val="24"/>
          <w:highlight w:val="none"/>
          <w:lang w:eastAsia="zh-CN"/>
        </w:rPr>
        <w:t>采购</w:t>
      </w:r>
      <w:r>
        <w:rPr>
          <w:rFonts w:hint="eastAsia" w:ascii="宋体" w:hAnsi="宋体" w:cs="宋体"/>
          <w:color w:val="auto"/>
          <w:sz w:val="24"/>
          <w:highlight w:val="none"/>
        </w:rPr>
        <w:t>工程项目，对于</w:t>
      </w:r>
      <w:bookmarkStart w:id="13" w:name="_Hlk101132181"/>
      <w:r>
        <w:rPr>
          <w:rFonts w:hint="eastAsia" w:ascii="宋体" w:hAnsi="宋体" w:cs="宋体"/>
          <w:color w:val="auto"/>
          <w:sz w:val="24"/>
          <w:highlight w:val="none"/>
        </w:rPr>
        <w:t>联合协议或者分包意向协议约定小微企业的合同份额占到合同总金额30%以上的</w:t>
      </w:r>
      <w:bookmarkEnd w:id="13"/>
      <w:r>
        <w:rPr>
          <w:rFonts w:hint="eastAsia" w:ascii="宋体" w:hAnsi="宋体" w:cs="宋体"/>
          <w:color w:val="auto"/>
          <w:sz w:val="24"/>
          <w:highlight w:val="none"/>
        </w:rPr>
        <w:t>，对联合体或者大中型企业的报价给予2%的扣除，用扣除后的价格参加评审。组成联合体或者接受分包的小微企业与联合体内其他企业、分包企业之间存在直接控股、管理关系的，不享受价格扣除优惠政策。</w:t>
      </w:r>
    </w:p>
    <w:p w14:paraId="35FF759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4AB24BC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B4BD031">
      <w:pPr>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lang w:val="en" w:eastAsia="zh-CN"/>
        </w:rPr>
        <w:t>3.3.6可享受中小企业扶持政策的投标人应按照招标文件格式要求提供《中小企业声明函》，《中小企业声明函》填写企业类型错误，导致该企业享受本不能享受的中小企业扶持政策，投标无效并依法承担法律责任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b/>
          <w:bCs/>
          <w:color w:val="auto"/>
          <w:sz w:val="24"/>
          <w:highlight w:val="none"/>
        </w:rPr>
        <w:t>。</w:t>
      </w:r>
    </w:p>
    <w:p w14:paraId="6E71ABB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w:t>
      </w:r>
      <w:r>
        <w:rPr>
          <w:rFonts w:hint="eastAsia" w:ascii="宋体" w:hAnsi="宋体" w:cs="宋体"/>
          <w:color w:val="auto"/>
          <w:sz w:val="24"/>
          <w:highlight w:val="none"/>
          <w:lang w:eastAsia="zh-CN"/>
        </w:rPr>
        <w:t>采购</w:t>
      </w:r>
      <w:r>
        <w:rPr>
          <w:rFonts w:hint="eastAsia" w:ascii="宋体" w:hAnsi="宋体" w:cs="宋体"/>
          <w:color w:val="auto"/>
          <w:sz w:val="24"/>
          <w:highlight w:val="none"/>
        </w:rPr>
        <w:t>合同的，小微企业不得将合同分包给大中型企业，中型企业不得将合同分包给大型企业。</w:t>
      </w:r>
    </w:p>
    <w:p w14:paraId="249FC64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6D93980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3.4.</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05AD4EF8">
      <w:pPr>
        <w:pStyle w:val="4"/>
        <w:adjustRightInd w:val="0"/>
        <w:snapToGrid w:val="0"/>
        <w:ind w:left="0" w:firstLine="480" w:firstLineChars="200"/>
        <w:rPr>
          <w:rFonts w:hint="eastAsia" w:ascii="宋体" w:hAnsi="宋体" w:eastAsia="宋体" w:cs="仿宋"/>
          <w:b w:val="0"/>
          <w:bCs w:val="0"/>
          <w:color w:val="auto"/>
          <w:sz w:val="24"/>
          <w:szCs w:val="24"/>
          <w:highlight w:val="none"/>
          <w:lang w:val="en-US"/>
        </w:rPr>
      </w:pPr>
      <w:r>
        <w:rPr>
          <w:rFonts w:hint="eastAsia" w:ascii="宋体" w:hAnsi="宋体" w:eastAsia="宋体" w:cs="仿宋"/>
          <w:b w:val="0"/>
          <w:bCs w:val="0"/>
          <w:color w:val="auto"/>
          <w:sz w:val="24"/>
          <w:szCs w:val="24"/>
          <w:highlight w:val="none"/>
          <w:lang w:val="en-US"/>
        </w:rPr>
        <w:t xml:space="preserve">3.4.3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50E1FC5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5F8A72E4">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cs="宋体"/>
          <w:b/>
          <w:color w:val="auto"/>
          <w:sz w:val="24"/>
          <w:highlight w:val="none"/>
          <w:lang w:eastAsia="zh-CN"/>
        </w:rPr>
        <w:t>、</w:t>
      </w:r>
      <w:r>
        <w:rPr>
          <w:rFonts w:hint="eastAsia" w:ascii="宋体" w:hAnsi="宋体" w:cs="宋体"/>
          <w:b/>
          <w:color w:val="auto"/>
          <w:sz w:val="24"/>
          <w:highlight w:val="none"/>
        </w:rPr>
        <w:t>补偿救济</w:t>
      </w:r>
    </w:p>
    <w:p w14:paraId="6CF1088C">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4.1在线询问、质疑、投诉</w:t>
      </w:r>
    </w:p>
    <w:p w14:paraId="5E0B582A">
      <w:pPr>
        <w:pStyle w:val="889"/>
        <w:shd w:val="clear" w:color="auto" w:fill="FFFFFF"/>
        <w:adjustRightInd w:val="0"/>
        <w:snapToGrid w:val="0"/>
        <w:spacing w:before="0" w:beforeAutospacing="0" w:after="0" w:afterAutospacing="0" w:line="360" w:lineRule="auto"/>
        <w:ind w:firstLine="480" w:firstLineChars="200"/>
        <w:contextualSpacing/>
        <w:rPr>
          <w:rFonts w:ascii="宋体" w:hAnsi="宋体" w:cs="宋体"/>
          <w:color w:val="auto"/>
          <w:kern w:val="0"/>
          <w:sz w:val="24"/>
          <w:highlight w:val="none"/>
          <w:lang w:val="zh-CN"/>
        </w:rPr>
      </w:pPr>
      <w:r>
        <w:rPr>
          <w:rFonts w:hint="eastAsia"/>
          <w:color w:val="auto"/>
          <w:highlight w:val="none"/>
        </w:rPr>
        <w:t>鼓励供应商在线提起询问，路径为：</w:t>
      </w:r>
      <w:r>
        <w:rPr>
          <w:rFonts w:hint="eastAsia"/>
          <w:color w:val="auto"/>
          <w:highlight w:val="none"/>
          <w:lang w:eastAsia="zh-CN"/>
        </w:rPr>
        <w:t>乐采云</w:t>
      </w:r>
      <w:r>
        <w:rPr>
          <w:rFonts w:hint="eastAsia"/>
          <w:color w:val="auto"/>
          <w:highlight w:val="none"/>
        </w:rPr>
        <w:t>-项目采购-询问质疑投诉-询问列表；鼓励供应商在线提起质疑，路径为：</w:t>
      </w:r>
      <w:r>
        <w:rPr>
          <w:rFonts w:hint="eastAsia"/>
          <w:color w:val="auto"/>
          <w:highlight w:val="none"/>
          <w:lang w:eastAsia="zh-CN"/>
        </w:rPr>
        <w:t>乐采云</w:t>
      </w:r>
      <w:r>
        <w:rPr>
          <w:rFonts w:hint="eastAsia"/>
          <w:color w:val="auto"/>
          <w:highlight w:val="none"/>
        </w:rPr>
        <w:t>-项目采购-询问质疑投诉-质疑列表。质疑供应商对在线质疑答复不满意的，可</w:t>
      </w:r>
      <w:r>
        <w:rPr>
          <w:rFonts w:hint="eastAsia"/>
          <w:color w:val="auto"/>
          <w:highlight w:val="none"/>
          <w:lang w:val="en-US" w:eastAsia="zh-CN"/>
        </w:rPr>
        <w:t>向</w:t>
      </w:r>
      <w:r>
        <w:rPr>
          <w:rFonts w:hint="eastAsia" w:ascii="宋体" w:hAnsi="宋体" w:cs="宋体"/>
          <w:color w:val="auto"/>
          <w:sz w:val="24"/>
          <w:highlight w:val="none"/>
        </w:rPr>
        <w:t>同级采购监督管理部门</w:t>
      </w:r>
      <w:r>
        <w:rPr>
          <w:rFonts w:hint="eastAsia"/>
          <w:color w:val="auto"/>
          <w:highlight w:val="none"/>
        </w:rPr>
        <w:t>提起投诉。</w:t>
      </w:r>
    </w:p>
    <w:p w14:paraId="61264E78">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19197665">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96812D8">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736BC4E5">
      <w:pPr>
        <w:pStyle w:val="33"/>
        <w:snapToGrid w:val="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.1提出质疑的供应商应当是参与所质疑项目采购活动的供应商。潜在供应商已依法获取其可质疑的采购文件的，可以对该文件提出质疑。</w:t>
      </w:r>
    </w:p>
    <w:p w14:paraId="14895877">
      <w:pPr>
        <w:pStyle w:val="33"/>
        <w:snapToGrid w:val="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4F5F1307">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4.3.2.1对采购文件提出质疑的，质疑期限为供应商获得采购文件之日或者采购文件公告期限届满之日起计算。</w:t>
      </w:r>
    </w:p>
    <w:p w14:paraId="64389310">
      <w:pPr>
        <w:pStyle w:val="33"/>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w:t>
      </w:r>
    </w:p>
    <w:p w14:paraId="3087DA62">
      <w:pPr>
        <w:pStyle w:val="33"/>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4.3.2.3对采购结果提出质疑的，质疑期限自采购结果公告期限届满之日起计算。</w:t>
      </w:r>
    </w:p>
    <w:p w14:paraId="2531CA38">
      <w:pPr>
        <w:pStyle w:val="33"/>
        <w:snapToGrid w:val="0"/>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654FD836">
      <w:pPr>
        <w:pStyle w:val="33"/>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4.3.3.1供应商的姓名或者名称、地址、邮编、联系人及联系电话；</w:t>
      </w:r>
    </w:p>
    <w:p w14:paraId="48F28921">
      <w:pPr>
        <w:pStyle w:val="33"/>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4.3.3.2质疑项目的名称、编号；</w:t>
      </w:r>
    </w:p>
    <w:p w14:paraId="07CA5915">
      <w:pPr>
        <w:pStyle w:val="33"/>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4.3.3.3具体、明确的质疑事项和与质疑事项相关的请求；</w:t>
      </w:r>
    </w:p>
    <w:p w14:paraId="0B9133E9">
      <w:pPr>
        <w:pStyle w:val="33"/>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4.3.3.4事实依据；</w:t>
      </w:r>
    </w:p>
    <w:p w14:paraId="1443EB85">
      <w:pPr>
        <w:pStyle w:val="33"/>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4.3.3.5必要的法律依据；</w:t>
      </w:r>
    </w:p>
    <w:p w14:paraId="08B03D74">
      <w:pPr>
        <w:pStyle w:val="33"/>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02D377DA">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211536FE">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质疑函范本及制作说明详见附件2。</w:t>
      </w:r>
    </w:p>
    <w:p w14:paraId="5B1488B9">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4.3.4对同一采购程序环节的质疑，供应商须在法定质疑期内一次性提出。</w:t>
      </w:r>
    </w:p>
    <w:p w14:paraId="6201DAAF">
      <w:pPr>
        <w:pStyle w:val="889"/>
        <w:shd w:val="clear" w:color="auto" w:fill="FFFFFF"/>
        <w:adjustRightInd w:val="0"/>
        <w:snapToGrid w:val="0"/>
        <w:spacing w:before="0" w:beforeAutospacing="0" w:after="0" w:afterAutospacing="0" w:line="360" w:lineRule="auto"/>
        <w:ind w:firstLine="480" w:firstLineChars="200"/>
        <w:contextualSpacing/>
        <w:rPr>
          <w:strike/>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w:t>
      </w:r>
      <w:r>
        <w:rPr>
          <w:rFonts w:hint="eastAsia"/>
          <w:color w:val="auto"/>
          <w:highlight w:val="none"/>
          <w:lang w:eastAsia="zh-CN"/>
        </w:rPr>
        <w:t>采购</w:t>
      </w:r>
      <w:r>
        <w:rPr>
          <w:rFonts w:hint="eastAsia"/>
          <w:color w:val="auto"/>
          <w:highlight w:val="none"/>
        </w:rPr>
        <w:t>当事人，但答复的内容不得涉及商业秘密。</w:t>
      </w:r>
    </w:p>
    <w:p w14:paraId="48D37D22">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1C011D21">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4301E605">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w:t>
      </w:r>
      <w:r>
        <w:rPr>
          <w:rFonts w:hint="eastAsia"/>
          <w:color w:val="auto"/>
          <w:highlight w:val="none"/>
          <w:lang w:eastAsia="zh-CN"/>
        </w:rPr>
        <w:t>采购</w:t>
      </w:r>
      <w:r>
        <w:rPr>
          <w:rFonts w:hint="eastAsia"/>
          <w:color w:val="auto"/>
          <w:highlight w:val="none"/>
        </w:rPr>
        <w:t>监督管理部门提出投诉。</w:t>
      </w:r>
    </w:p>
    <w:p w14:paraId="03598145">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2D8E97E1">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4.4.3供应商投诉应当有明确的请求和必要的证明材料。</w:t>
      </w:r>
    </w:p>
    <w:p w14:paraId="6DD6D987">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4.4.4以联合体形式参加</w:t>
      </w:r>
      <w:r>
        <w:rPr>
          <w:rFonts w:hint="eastAsia"/>
          <w:color w:val="auto"/>
          <w:highlight w:val="none"/>
          <w:lang w:eastAsia="zh-CN"/>
        </w:rPr>
        <w:t>采购</w:t>
      </w:r>
      <w:r>
        <w:rPr>
          <w:rFonts w:hint="eastAsia"/>
          <w:color w:val="auto"/>
          <w:highlight w:val="none"/>
        </w:rPr>
        <w:t>活动的，其投诉应当由组成联合体的所有供应商共同提出。</w:t>
      </w:r>
    </w:p>
    <w:p w14:paraId="2FC43938">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投诉书范本及制作说明详见附件3。</w:t>
      </w:r>
    </w:p>
    <w:p w14:paraId="4A874DB5">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二、采购文件的构成、澄清、修改</w:t>
      </w:r>
    </w:p>
    <w:p w14:paraId="65231C69">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5．采购文件的构成</w:t>
      </w:r>
    </w:p>
    <w:p w14:paraId="74EF7B93">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采购文件包括下列文件及附件：</w:t>
      </w:r>
    </w:p>
    <w:p w14:paraId="0B9060AE">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5.1.1竞争性磋商公告；</w:t>
      </w:r>
    </w:p>
    <w:p w14:paraId="41985908">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5.1.2供应商须知；</w:t>
      </w:r>
    </w:p>
    <w:p w14:paraId="1878DACE">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1DAE3C8C">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5.1.4评审办法；</w:t>
      </w:r>
    </w:p>
    <w:p w14:paraId="0DF2761C">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6C4E6A63">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5AFCBF1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澄清或者修改的内容为采购文件的组成部分</w:t>
      </w:r>
      <w:r>
        <w:rPr>
          <w:rFonts w:hint="eastAsia" w:ascii="宋体" w:hAnsi="宋体" w:cs="宋体"/>
          <w:color w:val="auto"/>
          <w:sz w:val="24"/>
          <w:highlight w:val="none"/>
        </w:rPr>
        <w:t>。</w:t>
      </w:r>
    </w:p>
    <w:p w14:paraId="31F53F4E">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采购文件的澄清、修改</w:t>
      </w:r>
    </w:p>
    <w:p w14:paraId="6EF44022">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6.1已获取采购文件的潜在供应商，若有问题需要澄清，应于响应文件提交（上传）截止时间前，以书面形式向采购代理机构提出。</w:t>
      </w:r>
    </w:p>
    <w:p w14:paraId="12148502">
      <w:pPr>
        <w:pStyle w:val="131"/>
        <w:snapToGrid w:val="0"/>
        <w:spacing w:before="0"/>
        <w:ind w:firstLine="480"/>
        <w:rPr>
          <w:rFonts w:hint="eastAsia" w:ascii="宋体" w:hAnsi="宋体" w:cs="宋体"/>
          <w:b/>
          <w:color w:val="auto"/>
          <w:sz w:val="32"/>
          <w:szCs w:val="20"/>
          <w:highlight w:val="none"/>
        </w:rPr>
      </w:pPr>
      <w:r>
        <w:rPr>
          <w:rFonts w:hint="eastAsia" w:ascii="宋体" w:hAnsi="宋体" w:cs="宋体"/>
          <w:color w:val="auto"/>
          <w:highlight w:val="none"/>
        </w:rPr>
        <w:t>6.2 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0A53FAA4">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三、提交响应文件</w:t>
      </w:r>
    </w:p>
    <w:p w14:paraId="0BE70BBA">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采购文件的获取</w:t>
      </w:r>
    </w:p>
    <w:p w14:paraId="2128339D">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详见竞争性磋商公告中获取采购文件的时间期限、地点、方式及采购文件售价。</w:t>
      </w:r>
    </w:p>
    <w:p w14:paraId="0CE2E45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8.磋商前答疑会或现场考察</w:t>
      </w:r>
    </w:p>
    <w:p w14:paraId="73F46FC6">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采购人组织潜在供应商现场考察或者召开磋商前答疑会的，潜在供应商按第二部分供应商须知前附表的规定参加现场考察或者磋商前答疑会。</w:t>
      </w:r>
    </w:p>
    <w:p w14:paraId="49E74C39">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9.磋商保证金</w:t>
      </w:r>
    </w:p>
    <w:p w14:paraId="57D96BAF">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本项目不需缴纳磋商保证金。</w:t>
      </w:r>
    </w:p>
    <w:p w14:paraId="1567EC20">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响应文件的语言</w:t>
      </w:r>
    </w:p>
    <w:p w14:paraId="45CC42DC">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响应文件及供应商与采购有关的来往通知、函件和文件均应使用中文。</w:t>
      </w:r>
    </w:p>
    <w:p w14:paraId="1DB59D7F">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响应文件的组成</w:t>
      </w:r>
    </w:p>
    <w:p w14:paraId="762CEA69">
      <w:pPr>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11.1资格文件</w:t>
      </w:r>
    </w:p>
    <w:p w14:paraId="4D7BE2E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w:t>
      </w:r>
      <w:r>
        <w:rPr>
          <w:rFonts w:hint="eastAsia" w:ascii="宋体" w:hAnsi="宋体" w:cs="宋体"/>
          <w:color w:val="auto"/>
          <w:sz w:val="24"/>
          <w:highlight w:val="none"/>
          <w:lang w:eastAsia="zh-CN"/>
        </w:rPr>
        <w:t>采购</w:t>
      </w:r>
      <w:r>
        <w:rPr>
          <w:rFonts w:hint="eastAsia" w:ascii="宋体" w:hAnsi="宋体" w:cs="宋体"/>
          <w:color w:val="auto"/>
          <w:sz w:val="24"/>
          <w:highlight w:val="none"/>
        </w:rPr>
        <w:t>活动应当具备的一般条件的承诺函；</w:t>
      </w:r>
    </w:p>
    <w:p w14:paraId="472F787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11.1.2</w:t>
      </w:r>
      <w:bookmarkStart w:id="14" w:name="_Hlk101259339"/>
      <w:r>
        <w:rPr>
          <w:rFonts w:hint="eastAsia" w:ascii="宋体" w:hAnsi="宋体" w:cs="宋体"/>
          <w:snapToGrid w:val="0"/>
          <w:color w:val="auto"/>
          <w:kern w:val="28"/>
          <w:sz w:val="24"/>
          <w:szCs w:val="20"/>
          <w:highlight w:val="none"/>
        </w:rPr>
        <w:t>联合协议</w:t>
      </w:r>
      <w:bookmarkStart w:id="15" w:name="_Hlk101257010"/>
      <w:r>
        <w:rPr>
          <w:rFonts w:hint="eastAsia" w:ascii="宋体" w:hAnsi="宋体" w:cs="宋体"/>
          <w:snapToGrid w:val="0"/>
          <w:color w:val="auto"/>
          <w:kern w:val="28"/>
          <w:sz w:val="24"/>
          <w:szCs w:val="20"/>
          <w:highlight w:val="none"/>
        </w:rPr>
        <w:t>（如果有)</w:t>
      </w:r>
      <w:bookmarkEnd w:id="14"/>
      <w:bookmarkEnd w:id="15"/>
      <w:r>
        <w:rPr>
          <w:rFonts w:hint="eastAsia" w:ascii="宋体" w:hAnsi="宋体" w:cs="宋体"/>
          <w:snapToGrid w:val="0"/>
          <w:color w:val="auto"/>
          <w:kern w:val="28"/>
          <w:sz w:val="24"/>
          <w:szCs w:val="20"/>
          <w:highlight w:val="none"/>
        </w:rPr>
        <w:t>；</w:t>
      </w:r>
    </w:p>
    <w:p w14:paraId="5B04DC1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11.1.3落实</w:t>
      </w:r>
      <w:r>
        <w:rPr>
          <w:rFonts w:hint="eastAsia" w:ascii="宋体" w:hAnsi="宋体" w:cs="宋体"/>
          <w:color w:val="auto"/>
          <w:sz w:val="24"/>
          <w:highlight w:val="none"/>
          <w:lang w:eastAsia="zh-CN"/>
        </w:rPr>
        <w:t>采购</w:t>
      </w:r>
      <w:r>
        <w:rPr>
          <w:rFonts w:hint="eastAsia" w:ascii="宋体" w:hAnsi="宋体" w:cs="宋体"/>
          <w:color w:val="auto"/>
          <w:sz w:val="24"/>
          <w:highlight w:val="none"/>
        </w:rPr>
        <w:t>政策需满足的资格要求；</w:t>
      </w:r>
    </w:p>
    <w:p w14:paraId="1AE1FF5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11.1.4本项目的特定资格要求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BAE91D7">
      <w:pPr>
        <w:snapToGrid w:val="0"/>
        <w:spacing w:line="360" w:lineRule="auto"/>
        <w:ind w:firstLine="482" w:firstLineChars="200"/>
        <w:rPr>
          <w:rFonts w:ascii="宋体" w:hAnsi="宋体" w:cs="宋体"/>
          <w:b/>
          <w:bCs/>
          <w:color w:val="auto"/>
          <w:sz w:val="24"/>
          <w:highlight w:val="none"/>
          <w:lang w:val="zh-CN"/>
        </w:rPr>
      </w:pPr>
      <w:r>
        <w:rPr>
          <w:rFonts w:hint="eastAsia" w:ascii="宋体" w:hAnsi="宋体" w:cs="宋体"/>
          <w:b/>
          <w:bCs/>
          <w:color w:val="auto"/>
          <w:sz w:val="24"/>
          <w:highlight w:val="none"/>
          <w:lang w:val="zh-CN"/>
        </w:rPr>
        <w:t>11.</w:t>
      </w:r>
      <w:r>
        <w:rPr>
          <w:rFonts w:hint="eastAsia" w:ascii="宋体" w:hAnsi="宋体" w:cs="宋体"/>
          <w:b/>
          <w:bCs/>
          <w:color w:val="auto"/>
          <w:sz w:val="24"/>
          <w:highlight w:val="none"/>
        </w:rPr>
        <w:t>2商务技术</w:t>
      </w:r>
      <w:r>
        <w:rPr>
          <w:rFonts w:hint="eastAsia" w:ascii="宋体" w:hAnsi="宋体" w:cs="宋体"/>
          <w:b/>
          <w:bCs/>
          <w:color w:val="auto"/>
          <w:sz w:val="24"/>
          <w:highlight w:val="none"/>
          <w:lang w:val="zh-CN"/>
        </w:rPr>
        <w:t>文件</w:t>
      </w:r>
    </w:p>
    <w:p w14:paraId="56A0531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11.2.1响应函；</w:t>
      </w:r>
      <w:r>
        <w:rPr>
          <w:rFonts w:hint="eastAsia" w:ascii="宋体" w:hAnsi="宋体" w:cs="宋体"/>
          <w:color w:val="auto"/>
          <w:sz w:val="24"/>
          <w:highlight w:val="none"/>
          <w:lang w:val="zh-CN"/>
        </w:rPr>
        <w:t xml:space="preserve"> </w:t>
      </w:r>
    </w:p>
    <w:p w14:paraId="4646466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1399C29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11.2.3分包意向协议（如果有)；</w:t>
      </w:r>
    </w:p>
    <w:p w14:paraId="0CC2C0B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11.2.4符合性审查资料；</w:t>
      </w:r>
    </w:p>
    <w:p w14:paraId="28CEAA5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11.2.5评审标准相应的商务技术资料；</w:t>
      </w:r>
    </w:p>
    <w:p w14:paraId="257765E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11.2.6商务技术偏离表；</w:t>
      </w:r>
    </w:p>
    <w:p w14:paraId="689DA6A6">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采购供应商廉洁自律承诺书；</w:t>
      </w:r>
    </w:p>
    <w:p w14:paraId="31B22628">
      <w:pPr>
        <w:snapToGrid w:val="0"/>
        <w:spacing w:line="360" w:lineRule="auto"/>
        <w:ind w:firstLine="482" w:firstLineChars="200"/>
        <w:rPr>
          <w:rFonts w:ascii="宋体" w:hAnsi="宋体" w:cs="宋体"/>
          <w:b/>
          <w:bCs/>
          <w:color w:val="auto"/>
          <w:sz w:val="24"/>
          <w:highlight w:val="none"/>
          <w:u w:val="single"/>
          <w:lang w:val="zh-CN"/>
        </w:rPr>
      </w:pPr>
      <w:r>
        <w:rPr>
          <w:rFonts w:hint="eastAsia" w:ascii="宋体" w:hAnsi="宋体" w:cs="宋体"/>
          <w:b/>
          <w:bCs/>
          <w:color w:val="auto"/>
          <w:kern w:val="0"/>
          <w:sz w:val="24"/>
          <w:highlight w:val="none"/>
          <w:lang w:val="zh-CN"/>
        </w:rPr>
        <w:t>11.</w:t>
      </w:r>
      <w:r>
        <w:rPr>
          <w:rFonts w:hint="eastAsia" w:ascii="宋体" w:hAnsi="宋体" w:cs="宋体"/>
          <w:b/>
          <w:bCs/>
          <w:color w:val="auto"/>
          <w:kern w:val="0"/>
          <w:sz w:val="24"/>
          <w:highlight w:val="none"/>
        </w:rPr>
        <w:t>3</w:t>
      </w:r>
      <w:r>
        <w:rPr>
          <w:rFonts w:hint="eastAsia" w:ascii="宋体" w:hAnsi="宋体" w:cs="宋体"/>
          <w:b/>
          <w:bCs/>
          <w:color w:val="auto"/>
          <w:sz w:val="24"/>
          <w:highlight w:val="none"/>
        </w:rPr>
        <w:t>报价文件</w:t>
      </w:r>
    </w:p>
    <w:p w14:paraId="73B87CE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11.3.1报价单；</w:t>
      </w:r>
    </w:p>
    <w:p w14:paraId="2183934E">
      <w:pPr>
        <w:snapToGrid w:val="0"/>
        <w:spacing w:line="360" w:lineRule="auto"/>
        <w:ind w:firstLine="960" w:firstLineChars="4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5C5B2D0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已标价工程量清单；</w:t>
      </w:r>
    </w:p>
    <w:p w14:paraId="399936FD">
      <w:pPr>
        <w:snapToGrid w:val="0"/>
        <w:spacing w:line="360" w:lineRule="auto"/>
        <w:ind w:firstLine="960" w:firstLineChars="400"/>
        <w:rPr>
          <w:rFonts w:hint="eastAsia" w:ascii="宋体" w:hAnsi="宋体" w:cs="宋体"/>
          <w:b/>
          <w:color w:val="auto"/>
          <w:sz w:val="24"/>
          <w:highlight w:val="none"/>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中小企业声明函（如果有）。</w:t>
      </w:r>
    </w:p>
    <w:p w14:paraId="7BF915B8">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响应文件含有采购人不能接受的附加条件的，响应文件无效；</w:t>
      </w:r>
    </w:p>
    <w:p w14:paraId="2519C4B3">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供应商提供虚假材料的，响应文件无效。</w:t>
      </w:r>
    </w:p>
    <w:p w14:paraId="00F206D8">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lang w:val="en-US" w:eastAsia="zh-CN"/>
        </w:rPr>
        <w:t>投标人可事先在公开官网查询、核对相关证书和报告内容，确保投标（响应）文件资料准确无误。投标人应对投标文件中材料的真实性、合法性负责</w:t>
      </w:r>
      <w:r>
        <w:rPr>
          <w:rFonts w:hint="eastAsia" w:ascii="宋体" w:hAnsi="宋体" w:cs="宋体"/>
          <w:b/>
          <w:color w:val="auto"/>
          <w:sz w:val="24"/>
          <w:highlight w:val="none"/>
        </w:rPr>
        <w:t>。</w:t>
      </w:r>
    </w:p>
    <w:p w14:paraId="660DEF5A">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响应文件的编制</w:t>
      </w:r>
    </w:p>
    <w:p w14:paraId="4E888556">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38049814">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12.2供应商进行电子投标应安装客户端软件—“乐采云电子交易客户端”，并按照采购文件和电子交易平台的要求编制并加密响应文件。供应商未按规定加密的响应文件，电子交易平台将拒收并提示。</w:t>
      </w:r>
    </w:p>
    <w:p w14:paraId="77742252">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12.3使用“乐采云电子交易客户端”需要提前申领CA数字证书，申领流程请自行前往“浙江政府采购网-下载专区-电子交易客户端-CA驱动和申领流程”进行查阅。</w:t>
      </w:r>
    </w:p>
    <w:p w14:paraId="50D0FCB3">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13.响应文件的签署、盖章</w:t>
      </w:r>
    </w:p>
    <w:p w14:paraId="66C41600">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13.1响应文件按照采购文件第六部分格式要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▲供应商的响应文件未按照采购文件要求签署、盖章的，其响应文件无效</w:t>
      </w:r>
      <w:r>
        <w:rPr>
          <w:rFonts w:hint="eastAsia" w:ascii="宋体" w:hAnsi="宋体" w:cs="宋体"/>
          <w:color w:val="auto"/>
          <w:szCs w:val="24"/>
          <w:highlight w:val="none"/>
        </w:rPr>
        <w:t>。</w:t>
      </w:r>
    </w:p>
    <w:p w14:paraId="3B359875">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13.2为确保网上操作合法、有效和安全，供应商应当在响应文件提交（上传）截止时间前完成在“</w:t>
      </w:r>
      <w:r>
        <w:rPr>
          <w:rFonts w:hint="eastAsia" w:ascii="宋体" w:hAnsi="宋体" w:cs="宋体"/>
          <w:color w:val="auto"/>
          <w:highlight w:val="none"/>
          <w:lang w:eastAsia="zh-CN"/>
        </w:rPr>
        <w:t>乐采云平台</w:t>
      </w:r>
      <w:r>
        <w:rPr>
          <w:rFonts w:hint="eastAsia" w:ascii="宋体" w:hAnsi="宋体" w:cs="宋体"/>
          <w:color w:val="auto"/>
          <w:highlight w:val="none"/>
        </w:rPr>
        <w:t>”的身份认证，确保在电子投标过程中能够对相关数据电文进行加密和使用电子签名。</w:t>
      </w:r>
    </w:p>
    <w:p w14:paraId="193F504A">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13.3采购文件对响应文件签署、盖章的要求适用于电子签名。</w:t>
      </w:r>
    </w:p>
    <w:p w14:paraId="030CCD5C">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响应文件的提交、补充、修改、撤回</w:t>
      </w:r>
    </w:p>
    <w:p w14:paraId="745842D7">
      <w:pPr>
        <w:pStyle w:val="131"/>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15EF1766">
      <w:pPr>
        <w:pStyle w:val="131"/>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14.2电子交易平台收到响应文件，将妥善保存并即时向供应商发出确认回执通知。在响应文件提交（上传）截止时间前，除供应商补充、修改或者撤回响应文件外，任何单位和个人不得解密或提取响应文件。</w:t>
      </w:r>
    </w:p>
    <w:p w14:paraId="3A436BDA">
      <w:pPr>
        <w:pStyle w:val="131"/>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响应文件提交的截止时间。在上述情况下，采购代理机构与供应商以前在响应文件提交截止时间方面的全部权利、责任和义务，将适用于延长至新的响应文件提交截止时间。</w:t>
      </w:r>
    </w:p>
    <w:p w14:paraId="1A5B2FCE">
      <w:pPr>
        <w:pStyle w:val="33"/>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15.备份响应文件</w:t>
      </w:r>
    </w:p>
    <w:p w14:paraId="010A9253">
      <w:pPr>
        <w:pStyle w:val="33"/>
        <w:snapToGrid w:val="0"/>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15.1供应商在电子交易平台传输递交响应文件后，还可以在响应文件提交（上传）截止时间前直接提交或者以邮政快递方式递交备份响应文件1份，</w:t>
      </w:r>
      <w:r>
        <w:rPr>
          <w:rFonts w:hint="eastAsia" w:hAnsi="宋体" w:cs="宋体"/>
          <w:b/>
          <w:color w:val="auto"/>
          <w:sz w:val="24"/>
          <w:szCs w:val="24"/>
          <w:highlight w:val="none"/>
        </w:rPr>
        <w:t>但采购人、采购代理机构不强制或变相强制供应商提交备份响应文件。</w:t>
      </w:r>
    </w:p>
    <w:p w14:paraId="14252717">
      <w:pPr>
        <w:pStyle w:val="33"/>
        <w:snapToGrid w:val="0"/>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15.2备份响应文件须在“</w:t>
      </w:r>
      <w:r>
        <w:rPr>
          <w:rFonts w:hint="eastAsia" w:hAnsi="宋体" w:cs="宋体"/>
          <w:color w:val="auto"/>
          <w:sz w:val="24"/>
          <w:szCs w:val="24"/>
          <w:highlight w:val="none"/>
          <w:lang w:eastAsia="zh-CN"/>
        </w:rPr>
        <w:t>乐采云</w:t>
      </w:r>
      <w:r>
        <w:rPr>
          <w:rFonts w:hint="eastAsia" w:hAnsi="宋体" w:cs="宋体"/>
          <w:color w:val="auto"/>
          <w:sz w:val="24"/>
          <w:szCs w:val="24"/>
          <w:highlight w:val="none"/>
        </w:rPr>
        <w:t>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存储、密封规定的备份响应文件将被视为无效或者被拒绝接收。</w:t>
      </w:r>
    </w:p>
    <w:p w14:paraId="097552AB">
      <w:pPr>
        <w:pStyle w:val="33"/>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响应文件的，供应商应于响应文件提交（上传）截止时间前在竞争性磋商公告中载明的响应文件开启地点将备份响应文件提交给采购代理机构，采购代理机构将拒绝接受逾期送达的备份响应文件。</w:t>
      </w:r>
    </w:p>
    <w:p w14:paraId="0E009C29">
      <w:pPr>
        <w:pStyle w:val="33"/>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color w:val="auto"/>
          <w:sz w:val="24"/>
          <w:szCs w:val="24"/>
          <w:highlight w:val="none"/>
        </w:rPr>
        <w:t>采购文件第二部分供应商须知前附表规定的备份响应文件送达地点；</w:t>
      </w:r>
      <w:r>
        <w:rPr>
          <w:rFonts w:hint="eastAsia" w:hAnsi="宋体" w:cs="宋体"/>
          <w:color w:val="auto"/>
          <w:sz w:val="24"/>
          <w:szCs w:val="24"/>
          <w:highlight w:val="none"/>
        </w:rPr>
        <w:t>送达时间以签收人签收时间为准。采购代理机构将拒绝接受逾期送达的备份响应文件。邮寄过程中，电子备份响应文件发生泄露、遗失、损坏或延期送达等情况的，由供应商自行负责。</w:t>
      </w:r>
    </w:p>
    <w:p w14:paraId="2CC2B4DB">
      <w:pPr>
        <w:pStyle w:val="33"/>
        <w:snapToGrid w:val="0"/>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15.5供应商仅提交备份响应文件，未在电子交易平台传输递交响应文件的，响应文件无效。</w:t>
      </w:r>
    </w:p>
    <w:p w14:paraId="7B5FAD07">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16.响应文件的无效处理</w:t>
      </w:r>
    </w:p>
    <w:p w14:paraId="1921E665">
      <w:pPr>
        <w:pStyle w:val="25"/>
        <w:spacing w:line="360" w:lineRule="auto"/>
        <w:ind w:firstLine="360" w:firstLineChars="150"/>
        <w:rPr>
          <w:rFonts w:cs="宋体"/>
          <w:color w:val="auto"/>
          <w:szCs w:val="21"/>
          <w:highlight w:val="none"/>
        </w:rPr>
      </w:pPr>
      <w:r>
        <w:rPr>
          <w:rFonts w:hint="eastAsia" w:cs="宋体"/>
          <w:color w:val="auto"/>
          <w:szCs w:val="21"/>
          <w:highlight w:val="none"/>
        </w:rPr>
        <w:t>有采购文件第四部分</w:t>
      </w:r>
      <w:r>
        <w:rPr>
          <w:rFonts w:hint="eastAsia" w:cs="宋体"/>
          <w:color w:val="auto"/>
          <w:highlight w:val="none"/>
        </w:rPr>
        <w:t>4.2规定</w:t>
      </w:r>
      <w:r>
        <w:rPr>
          <w:rFonts w:hint="eastAsia" w:cs="宋体"/>
          <w:color w:val="auto"/>
          <w:szCs w:val="21"/>
          <w:highlight w:val="none"/>
        </w:rPr>
        <w:t>的情形之一的，响应文件无效：</w:t>
      </w:r>
    </w:p>
    <w:p w14:paraId="2D10A13C">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17.响应文件有效期</w:t>
      </w:r>
    </w:p>
    <w:p w14:paraId="4B75B1DD">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17.1响应文件有效期为从提交响应文件的截止之日起90天。▲</w:t>
      </w:r>
      <w:r>
        <w:rPr>
          <w:rFonts w:hint="eastAsia" w:ascii="宋体" w:hAnsi="宋体" w:cs="宋体"/>
          <w:b/>
          <w:color w:val="auto"/>
          <w:sz w:val="24"/>
          <w:szCs w:val="20"/>
          <w:highlight w:val="none"/>
        </w:rPr>
        <w:t>供应商的响应文件中承</w:t>
      </w:r>
      <w:r>
        <w:rPr>
          <w:rFonts w:hint="eastAsia" w:ascii="宋体" w:hAnsi="宋体" w:cs="宋体"/>
          <w:b/>
          <w:color w:val="auto"/>
          <w:sz w:val="24"/>
          <w:szCs w:val="21"/>
          <w:highlight w:val="none"/>
        </w:rPr>
        <w:t>诺的响应文件有效期少于采购文件中载明的响应文件有效期的，响应文件无效。</w:t>
      </w:r>
    </w:p>
    <w:p w14:paraId="66FD3FE0">
      <w:pPr>
        <w:pStyle w:val="131"/>
        <w:spacing w:before="0"/>
        <w:ind w:firstLine="480"/>
        <w:rPr>
          <w:rFonts w:ascii="宋体" w:hAnsi="宋体" w:cs="宋体"/>
          <w:color w:val="auto"/>
          <w:highlight w:val="none"/>
        </w:rPr>
      </w:pPr>
      <w:r>
        <w:rPr>
          <w:rFonts w:hint="eastAsia" w:ascii="宋体" w:hAnsi="宋体" w:cs="宋体"/>
          <w:color w:val="auto"/>
          <w:highlight w:val="none"/>
        </w:rPr>
        <w:t>17.2响应文件合格投递后，自响应文件提交截止时间起，在响应文件有效期内有效。</w:t>
      </w:r>
    </w:p>
    <w:p w14:paraId="785FE383">
      <w:pPr>
        <w:pStyle w:val="131"/>
        <w:spacing w:before="0"/>
        <w:ind w:firstLine="480"/>
        <w:rPr>
          <w:rFonts w:ascii="宋体" w:hAnsi="宋体" w:cs="宋体"/>
          <w:b/>
          <w:color w:val="auto"/>
          <w:sz w:val="32"/>
          <w:highlight w:val="none"/>
        </w:rPr>
      </w:pPr>
      <w:r>
        <w:rPr>
          <w:rFonts w:hint="eastAsia" w:ascii="宋体" w:hAnsi="宋体" w:cs="宋体"/>
          <w:color w:val="auto"/>
          <w:highlight w:val="none"/>
        </w:rPr>
        <w:t>17.3在原定响应文件有效期满之前，如果出现特殊情况，采购代理机构可以以书面形式通知供应商延长响应文件有效期。供应商同意延长的，不得要求或被允许修改其响应文件，供应商拒绝延长的，其响应文件无效。</w:t>
      </w:r>
    </w:p>
    <w:p w14:paraId="2671FB76">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四、响应文件开启、资格审查与信用信息查询</w:t>
      </w:r>
    </w:p>
    <w:p w14:paraId="4EC23D0D">
      <w:pPr>
        <w:pStyle w:val="557"/>
        <w:spacing w:before="0" w:line="360" w:lineRule="auto"/>
        <w:ind w:left="0" w:firstLine="0"/>
        <w:contextualSpacing/>
        <w:rPr>
          <w:rFonts w:ascii="宋体" w:hAnsi="宋体" w:cs="宋体"/>
          <w:color w:val="auto"/>
          <w:sz w:val="24"/>
          <w:highlight w:val="none"/>
        </w:rPr>
      </w:pPr>
      <w:r>
        <w:rPr>
          <w:rFonts w:hint="eastAsia" w:ascii="宋体" w:hAnsi="宋体" w:cs="宋体"/>
          <w:b/>
          <w:color w:val="auto"/>
          <w:sz w:val="24"/>
          <w:szCs w:val="24"/>
          <w:highlight w:val="none"/>
        </w:rPr>
        <w:t>18.响应文件开启</w:t>
      </w:r>
      <w:r>
        <w:rPr>
          <w:rFonts w:hint="eastAsia" w:ascii="宋体" w:hAnsi="宋体" w:cs="宋体"/>
          <w:color w:val="auto"/>
          <w:sz w:val="24"/>
          <w:highlight w:val="none"/>
        </w:rPr>
        <w:t xml:space="preserve"> </w:t>
      </w:r>
    </w:p>
    <w:p w14:paraId="2C61BC5F">
      <w:pPr>
        <w:pStyle w:val="557"/>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18.1采购代理机构按照采购文件规定的时间通过电子交易平台组织响应文件开启，所有供应商均应当准时在线参加。供应商不足3家的，不得开启。</w:t>
      </w:r>
    </w:p>
    <w:p w14:paraId="027060B3">
      <w:pPr>
        <w:pStyle w:val="557"/>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18.2响应文件开启时，电子交易平台按响应文件开启时间自动提取所有响应文件。采购代理机构依托电子交易平台发起开始解密指令，供应商按照平台提示和采购文件的规定在半小时内完成在线解密。</w:t>
      </w:r>
    </w:p>
    <w:p w14:paraId="710DD648">
      <w:pPr>
        <w:pStyle w:val="557"/>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18.3</w:t>
      </w:r>
      <w:r>
        <w:rPr>
          <w:rFonts w:hint="eastAsia" w:ascii="宋体" w:hAnsi="宋体" w:cs="宋体"/>
          <w:b/>
          <w:bCs/>
          <w:color w:val="auto"/>
          <w:sz w:val="24"/>
          <w:highlight w:val="none"/>
        </w:rPr>
        <w:t>响应文件未按时解密，供应商提供了备份响应文件的，以备份响应文件作为依据，否则视为响应文件撤回。响应文件已按时解密的，备份响应文件自动失效。</w:t>
      </w:r>
    </w:p>
    <w:p w14:paraId="4B7FE7DA">
      <w:pPr>
        <w:pStyle w:val="557"/>
        <w:spacing w:before="0" w:line="360" w:lineRule="auto"/>
        <w:ind w:left="0" w:firstLine="0"/>
        <w:contextualSpacing/>
        <w:rPr>
          <w:rFonts w:ascii="宋体" w:hAnsi="宋体" w:cs="宋体"/>
          <w:b/>
          <w:color w:val="auto"/>
          <w:sz w:val="24"/>
          <w:szCs w:val="24"/>
          <w:highlight w:val="none"/>
        </w:rPr>
      </w:pPr>
      <w:r>
        <w:rPr>
          <w:rFonts w:hint="eastAsia" w:ascii="宋体" w:hAnsi="宋体" w:cs="宋体"/>
          <w:b/>
          <w:color w:val="auto"/>
          <w:sz w:val="24"/>
          <w:szCs w:val="24"/>
          <w:highlight w:val="none"/>
        </w:rPr>
        <w:t>19、资格审查</w:t>
      </w:r>
    </w:p>
    <w:p w14:paraId="4A9F1DC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采购人、采购代理机构或磋商小组依据法律法规和采购文件的规定，对供应商的资格进行审查。</w:t>
      </w:r>
    </w:p>
    <w:p w14:paraId="7C6942E1">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19.2供应商未按照采购文件要求提供与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供应商不具备采购文件中规定的资格要求，其响应文件无效。</w:t>
      </w:r>
    </w:p>
    <w:p w14:paraId="35649EB5">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3对未通过资格审查的供应商，采购人或采购代理机构告知其未通过的原因。</w:t>
      </w:r>
    </w:p>
    <w:p w14:paraId="567432BE">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4合格供应商不足3家的，不再评审。</w:t>
      </w:r>
    </w:p>
    <w:p w14:paraId="08CEEDAC">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69912604">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20.1信用信息查询渠道及截止时间：采购代理机构将在资格审查时通过“信用中国”网站(www.creditchina.gov.cn)、中国政府采购网(www.ccgp.gov.cn)渠道查询供应商接受资格审查时的信用记录。</w:t>
      </w:r>
    </w:p>
    <w:p w14:paraId="3BED3D90">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20.2信用信息查询记录和证据留存的具体方式：现场查询的供应商的信用记录、查询结果经确认后将与采购文件一起存档。</w:t>
      </w:r>
    </w:p>
    <w:p w14:paraId="2B270E3F">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20.3信用信息的使用规则：经查询列入失信被执行人名单、重大税收违法案件当事人名单、政府采购严重违法失信行为记录名单的供应商将被拒绝参与</w:t>
      </w:r>
      <w:r>
        <w:rPr>
          <w:rFonts w:hint="eastAsia" w:ascii="宋体" w:hAnsi="宋体" w:cs="宋体"/>
          <w:color w:val="auto"/>
          <w:kern w:val="0"/>
          <w:szCs w:val="24"/>
          <w:highlight w:val="none"/>
          <w:lang w:eastAsia="zh-CN"/>
        </w:rPr>
        <w:t>采购</w:t>
      </w:r>
      <w:r>
        <w:rPr>
          <w:rFonts w:hint="eastAsia" w:ascii="宋体" w:hAnsi="宋体" w:cs="宋体"/>
          <w:color w:val="auto"/>
          <w:kern w:val="0"/>
          <w:szCs w:val="24"/>
          <w:highlight w:val="none"/>
        </w:rPr>
        <w:t>活动。</w:t>
      </w:r>
    </w:p>
    <w:p w14:paraId="22843F62">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w:t>
      </w:r>
      <w:r>
        <w:rPr>
          <w:rFonts w:hint="eastAsia" w:ascii="宋体" w:hAnsi="宋体" w:cs="宋体"/>
          <w:color w:val="auto"/>
          <w:kern w:val="0"/>
          <w:szCs w:val="24"/>
          <w:highlight w:val="none"/>
          <w:lang w:eastAsia="zh-CN"/>
        </w:rPr>
        <w:t>采购</w:t>
      </w:r>
      <w:r>
        <w:rPr>
          <w:rFonts w:hint="eastAsia" w:ascii="宋体" w:hAnsi="宋体" w:cs="宋体"/>
          <w:color w:val="auto"/>
          <w:kern w:val="0"/>
          <w:szCs w:val="24"/>
          <w:highlight w:val="none"/>
        </w:rPr>
        <w:t>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2354FBE2">
      <w:pPr>
        <w:pStyle w:val="131"/>
        <w:spacing w:before="0"/>
        <w:ind w:firstLine="0" w:firstLineChars="0"/>
        <w:rPr>
          <w:rFonts w:ascii="宋体" w:hAnsi="宋体" w:cs="宋体"/>
          <w:color w:val="auto"/>
          <w:kern w:val="0"/>
          <w:szCs w:val="24"/>
          <w:highlight w:val="none"/>
        </w:rPr>
      </w:pPr>
    </w:p>
    <w:p w14:paraId="1DABD936">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五、评审</w:t>
      </w:r>
    </w:p>
    <w:p w14:paraId="26E9D438">
      <w:pPr>
        <w:spacing w:line="360" w:lineRule="auto"/>
        <w:rPr>
          <w:rFonts w:ascii="宋体" w:hAnsi="宋体" w:cs="宋体"/>
          <w:b/>
          <w:color w:val="auto"/>
          <w:sz w:val="24"/>
          <w:highlight w:val="none"/>
        </w:rPr>
      </w:pPr>
      <w:bookmarkStart w:id="16"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color w:val="auto"/>
          <w:sz w:val="24"/>
          <w:highlight w:val="none"/>
        </w:rPr>
        <w:t>详见采购文件第四部分评审办法。</w:t>
      </w:r>
    </w:p>
    <w:p w14:paraId="797C3547">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六、成交供应商确定</w:t>
      </w:r>
    </w:p>
    <w:p w14:paraId="4B3D4D0C">
      <w:pPr>
        <w:pStyle w:val="25"/>
        <w:spacing w:line="360" w:lineRule="auto"/>
        <w:ind w:left="479" w:hanging="479" w:hangingChars="199"/>
        <w:rPr>
          <w:rFonts w:cs="宋体"/>
          <w:b/>
          <w:color w:val="auto"/>
          <w:highlight w:val="none"/>
        </w:rPr>
      </w:pPr>
      <w:r>
        <w:rPr>
          <w:rFonts w:hint="eastAsia" w:cs="宋体"/>
          <w:b/>
          <w:color w:val="auto"/>
          <w:highlight w:val="none"/>
        </w:rPr>
        <w:t>22. 确定成交供应商</w:t>
      </w:r>
    </w:p>
    <w:p w14:paraId="28A59EEA">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lang w:eastAsia="zh-CN"/>
        </w:rPr>
        <w:t>采购</w:t>
      </w:r>
      <w:r>
        <w:rPr>
          <w:rFonts w:hint="eastAsia" w:ascii="宋体" w:hAnsi="宋体" w:cs="宋体"/>
          <w:color w:val="auto"/>
          <w:szCs w:val="24"/>
          <w:highlight w:val="none"/>
        </w:rPr>
        <w:t>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color w:val="auto"/>
          <w:szCs w:val="24"/>
          <w:highlight w:val="none"/>
          <w:lang w:eastAsia="zh-CN"/>
        </w:rPr>
        <w:t>，</w:t>
      </w:r>
      <w:r>
        <w:rPr>
          <w:rFonts w:hint="eastAsia" w:ascii="宋体" w:hAnsi="宋体" w:cs="宋体"/>
          <w:color w:val="auto"/>
          <w:szCs w:val="24"/>
          <w:highlight w:val="none"/>
        </w:rPr>
        <w:t>为提高</w:t>
      </w:r>
      <w:r>
        <w:rPr>
          <w:rFonts w:hint="eastAsia" w:ascii="宋体" w:hAnsi="宋体" w:cs="宋体"/>
          <w:color w:val="auto"/>
          <w:szCs w:val="24"/>
          <w:highlight w:val="none"/>
          <w:lang w:eastAsia="zh-CN"/>
        </w:rPr>
        <w:t>采购</w:t>
      </w:r>
      <w:r>
        <w:rPr>
          <w:rFonts w:hint="eastAsia" w:ascii="宋体" w:hAnsi="宋体" w:cs="宋体"/>
          <w:color w:val="auto"/>
          <w:szCs w:val="24"/>
          <w:highlight w:val="none"/>
        </w:rPr>
        <w:t>效率，一般在收到评审报告当天确定中标或者成交供应商。中标、成交通知书和中标、成交结果公告应当在规定时间内同时发出。</w:t>
      </w:r>
    </w:p>
    <w:p w14:paraId="30C5365C">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成交通知与成交结果公告</w:t>
      </w:r>
    </w:p>
    <w:p w14:paraId="257A9BB0">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23.1自成交供应商确定之日起1个工作日内，采购代理机构通过电子交易平台向成交供应商发出成交通知书，同时编制发布采购结果公告。采购代理机构也可以以纸质形式进行成交通知。</w:t>
      </w:r>
    </w:p>
    <w:p w14:paraId="43162072">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成交结果公告内容包括采购人及其委托的采购代理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23FDC183">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06574D25">
      <w:pPr>
        <w:widowControl/>
        <w:shd w:val="clear" w:color="auto" w:fill="FFFFFF"/>
        <w:spacing w:line="360" w:lineRule="auto"/>
        <w:ind w:firstLine="480"/>
        <w:rPr>
          <w:rFonts w:ascii="宋体" w:hAnsi="宋体" w:cs="宋体"/>
          <w:color w:val="auto"/>
          <w:sz w:val="24"/>
          <w:highlight w:val="none"/>
        </w:rPr>
      </w:pPr>
      <w:r>
        <w:rPr>
          <w:rFonts w:ascii="宋体" w:hAnsi="宋体" w:cs="宋体"/>
          <w:bCs/>
          <w:color w:val="auto"/>
          <w:sz w:val="24"/>
          <w:highlight w:val="none"/>
        </w:rPr>
        <w:t>23.4</w:t>
      </w:r>
      <w:r>
        <w:rPr>
          <w:rFonts w:hint="eastAsia" w:ascii="宋体" w:hAnsi="宋体" w:cs="宋体"/>
          <w:bCs/>
          <w:color w:val="auto"/>
          <w:sz w:val="24"/>
          <w:highlight w:val="none"/>
        </w:rPr>
        <w:t>由于成交供应商原因导致重新采购的，应当承担支付代理费和专家评审费等费用在内的赔偿责任。</w:t>
      </w:r>
    </w:p>
    <w:p w14:paraId="7615A7EE">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七、合同授予</w:t>
      </w:r>
    </w:p>
    <w:p w14:paraId="6F6BA969">
      <w:pPr>
        <w:pStyle w:val="25"/>
        <w:snapToGrid w:val="0"/>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5C4BDB7B">
      <w:pPr>
        <w:pStyle w:val="25"/>
        <w:snapToGrid w:val="0"/>
        <w:spacing w:line="360" w:lineRule="auto"/>
        <w:ind w:left="479" w:hanging="479" w:hangingChars="199"/>
        <w:rPr>
          <w:rFonts w:cs="宋体"/>
          <w:b/>
          <w:color w:val="auto"/>
          <w:highlight w:val="none"/>
        </w:rPr>
      </w:pPr>
      <w:r>
        <w:rPr>
          <w:rFonts w:hint="eastAsia" w:cs="宋体"/>
          <w:b/>
          <w:color w:val="auto"/>
          <w:highlight w:val="none"/>
        </w:rPr>
        <w:t>25. 合同的签订</w:t>
      </w:r>
    </w:p>
    <w:p w14:paraId="6430BB74">
      <w:pPr>
        <w:widowControl/>
        <w:shd w:val="clear" w:color="auto" w:fill="FFFFFF"/>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采购人与成交供应商应当通过电子交易平台在成交通知书发出之日起三十日内</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鼓励有条件的采购人视情缩减采购合同签订时限，提高采购效率，杜绝“冷、硬、横、推”等不当行为。除不可抗力等特殊情况外，原则上应当在成交通知书发出之日起10个工作日内，与成交供应商按照采购文件确定的事项签订</w:t>
      </w:r>
      <w:r>
        <w:rPr>
          <w:rFonts w:hint="eastAsia" w:ascii="宋体" w:hAnsi="宋体" w:cs="宋体"/>
          <w:color w:val="auto"/>
          <w:kern w:val="0"/>
          <w:sz w:val="24"/>
          <w:highlight w:val="none"/>
          <w:lang w:eastAsia="zh-CN"/>
        </w:rPr>
        <w:t>采购</w:t>
      </w:r>
      <w:r>
        <w:rPr>
          <w:rFonts w:hint="eastAsia" w:ascii="宋体" w:hAnsi="宋体" w:cs="宋体"/>
          <w:color w:val="auto"/>
          <w:kern w:val="0"/>
          <w:sz w:val="24"/>
          <w:highlight w:val="none"/>
        </w:rPr>
        <w:t>合同。</w:t>
      </w:r>
    </w:p>
    <w:p w14:paraId="140581A5">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25.2成交供应商按规定的日期、时间、地点，由法定代表人或其授权代表与采购人代表签订合同。如成交供应商为联合体的，由联合体成员各方法定代表人或其授权代表与采购人代表签订合同。</w:t>
      </w:r>
    </w:p>
    <w:p w14:paraId="7F9854D8">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19DAC263">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25.4成交供应商拒绝与采购人签订合同的，采购人可以按照评审报告推荐的成交候选人名单排序，确定下一候选人为成交供应商，也可以重新开展</w:t>
      </w:r>
      <w:r>
        <w:rPr>
          <w:rFonts w:hint="eastAsia" w:ascii="宋体" w:hAnsi="宋体" w:cs="宋体"/>
          <w:color w:val="auto"/>
          <w:highlight w:val="none"/>
          <w:lang w:eastAsia="zh-CN"/>
        </w:rPr>
        <w:t>采购</w:t>
      </w:r>
      <w:r>
        <w:rPr>
          <w:rFonts w:hint="eastAsia" w:ascii="宋体" w:hAnsi="宋体" w:cs="宋体"/>
          <w:color w:val="auto"/>
          <w:highlight w:val="none"/>
        </w:rPr>
        <w:t>活动。</w:t>
      </w:r>
    </w:p>
    <w:p w14:paraId="3C573546">
      <w:pPr>
        <w:pStyle w:val="25"/>
        <w:snapToGrid w:val="0"/>
        <w:spacing w:line="360" w:lineRule="auto"/>
        <w:ind w:left="479" w:hanging="479" w:hangingChars="199"/>
        <w:rPr>
          <w:rFonts w:cs="宋体"/>
          <w:b/>
          <w:color w:val="auto"/>
          <w:highlight w:val="none"/>
        </w:rPr>
      </w:pPr>
      <w:r>
        <w:rPr>
          <w:rFonts w:hint="eastAsia" w:cs="宋体"/>
          <w:b/>
          <w:color w:val="auto"/>
          <w:highlight w:val="none"/>
        </w:rPr>
        <w:t>26. 履约保证金</w:t>
      </w:r>
    </w:p>
    <w:p w14:paraId="45274CC5">
      <w:pPr>
        <w:tabs>
          <w:tab w:val="left" w:pos="0"/>
        </w:tabs>
        <w:snapToGrid w:val="0"/>
        <w:spacing w:line="360" w:lineRule="auto"/>
        <w:ind w:firstLine="482"/>
        <w:rPr>
          <w:rFonts w:hint="eastAsia" w:ascii="宋体" w:hAnsi="宋体" w:cs="宋体"/>
          <w:color w:val="auto"/>
          <w:sz w:val="24"/>
          <w:highlight w:val="none"/>
        </w:rPr>
      </w:pPr>
      <w:r>
        <w:rPr>
          <w:rFonts w:hint="eastAsia" w:ascii="宋体" w:hAnsi="宋体" w:cs="宋体"/>
          <w:color w:val="auto"/>
          <w:sz w:val="24"/>
          <w:highlight w:val="none"/>
        </w:rPr>
        <w:t>拟签订的合同文本要求成交供应商提交履约保证金的，供应商应当以支票、汇票、本票或者金融机构、担保机构出具的保函等非现金形式提交。确需收取履约保证金的，履约保证金缴纳最高比例由不超过合同金额的1%。采购单位鼓励供应商采取履约保函形式提供信用保证；供应商提供保函的，采购单位不得拒收。项目验收结束后应及时退还，延迟退还的，应当按照合同约定和法律规定承担相应的赔偿责任。</w:t>
      </w:r>
    </w:p>
    <w:p w14:paraId="7BC0EA4C">
      <w:pPr>
        <w:tabs>
          <w:tab w:val="left" w:pos="0"/>
        </w:tabs>
        <w:snapToGrid w:val="0"/>
        <w:spacing w:line="360" w:lineRule="auto"/>
        <w:ind w:firstLine="482"/>
        <w:rPr>
          <w:rFonts w:ascii="宋体" w:hAnsi="宋体" w:eastAsia="宋体" w:cs="宋体"/>
          <w:color w:val="auto"/>
          <w:highlight w:val="none"/>
          <w:lang w:val="en-US"/>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w:t>
      </w:r>
      <w:r>
        <w:rPr>
          <w:rFonts w:hint="eastAsia" w:ascii="宋体" w:hAnsi="宋体" w:cs="宋体"/>
          <w:b w:val="0"/>
          <w:bCs w:val="0"/>
          <w:snapToGrid w:val="0"/>
          <w:color w:val="auto"/>
          <w:kern w:val="28"/>
          <w:sz w:val="24"/>
          <w:highlight w:val="none"/>
          <w:lang w:eastAsia="zh-CN"/>
        </w:rPr>
        <w:t>乐采云平台</w:t>
      </w:r>
      <w:r>
        <w:rPr>
          <w:rFonts w:hint="eastAsia" w:ascii="宋体" w:hAnsi="宋体" w:eastAsia="宋体" w:cs="宋体"/>
          <w:b w:val="0"/>
          <w:bCs w:val="0"/>
          <w:snapToGrid w:val="0"/>
          <w:color w:val="auto"/>
          <w:kern w:val="28"/>
          <w:sz w:val="24"/>
          <w:highlight w:val="none"/>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w:t>
      </w:r>
    </w:p>
    <w:p w14:paraId="2A253E5B">
      <w:pPr>
        <w:pStyle w:val="4"/>
        <w:rPr>
          <w:color w:val="auto"/>
          <w:highlight w:val="none"/>
        </w:rPr>
      </w:pPr>
      <w:r>
        <w:rPr>
          <w:rFonts w:ascii="宋体" w:hAnsi="宋体" w:eastAsia="宋体"/>
          <w:color w:val="auto"/>
          <w:sz w:val="24"/>
          <w:highlight w:val="none"/>
          <w:lang w:val="en-US"/>
        </w:rPr>
        <w:t>27.预付款</w:t>
      </w:r>
    </w:p>
    <w:p w14:paraId="3BF3D089">
      <w:pPr>
        <w:adjustRightInd/>
        <w:spacing w:line="360" w:lineRule="auto"/>
        <w:ind w:firstLine="480" w:firstLineChars="200"/>
        <w:rPr>
          <w:color w:val="auto"/>
          <w:highlight w:val="none"/>
        </w:rPr>
      </w:pPr>
      <w:r>
        <w:rPr>
          <w:rFonts w:hint="eastAsia" w:ascii="宋体" w:hAnsi="宋体"/>
          <w:color w:val="auto"/>
          <w:sz w:val="24"/>
          <w:highlight w:val="none"/>
        </w:rPr>
        <w:t>采购单位应当在</w:t>
      </w:r>
      <w:r>
        <w:rPr>
          <w:rFonts w:hint="eastAsia" w:ascii="宋体" w:hAnsi="宋体"/>
          <w:color w:val="auto"/>
          <w:sz w:val="24"/>
          <w:highlight w:val="none"/>
          <w:lang w:eastAsia="zh-CN"/>
        </w:rPr>
        <w:t>采购</w:t>
      </w:r>
      <w:r>
        <w:rPr>
          <w:rFonts w:hint="eastAsia" w:ascii="宋体" w:hAnsi="宋体"/>
          <w:color w:val="auto"/>
          <w:sz w:val="24"/>
          <w:highlight w:val="none"/>
        </w:rPr>
        <w:t>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w:t>
      </w:r>
      <w:r>
        <w:rPr>
          <w:rFonts w:hint="eastAsia" w:ascii="宋体" w:hAnsi="宋体"/>
          <w:color w:val="auto"/>
          <w:sz w:val="24"/>
          <w:highlight w:val="none"/>
          <w:lang w:eastAsia="zh-CN"/>
        </w:rPr>
        <w:t>采购</w:t>
      </w:r>
      <w:r>
        <w:rPr>
          <w:rFonts w:ascii="宋体" w:hAnsi="宋体"/>
          <w:color w:val="auto"/>
          <w:sz w:val="24"/>
          <w:highlight w:val="none"/>
        </w:rPr>
        <w:t>预付款应在合同生效以及具备实施条件后5个工作日内支付。</w:t>
      </w:r>
      <w:r>
        <w:rPr>
          <w:rFonts w:hint="eastAsia" w:ascii="宋体" w:hAnsi="宋体"/>
          <w:color w:val="auto"/>
          <w:sz w:val="24"/>
          <w:highlight w:val="none"/>
          <w:lang w:eastAsia="zh-CN"/>
        </w:rPr>
        <w:t>采购</w:t>
      </w:r>
      <w:r>
        <w:rPr>
          <w:rFonts w:hint="eastAsia" w:ascii="宋体" w:hAnsi="宋体"/>
          <w:color w:val="auto"/>
          <w:sz w:val="24"/>
          <w:highlight w:val="none"/>
        </w:rPr>
        <w:t>工程以及与工程建设有关的货物、服务，采用招标方式采购的，预付款从其相关规定。供应商可登录</w:t>
      </w:r>
      <w:r>
        <w:rPr>
          <w:rFonts w:hint="eastAsia" w:ascii="宋体" w:hAnsi="宋体"/>
          <w:color w:val="auto"/>
          <w:sz w:val="24"/>
          <w:highlight w:val="none"/>
          <w:lang w:eastAsia="zh-CN"/>
        </w:rPr>
        <w:t>乐采云</w:t>
      </w:r>
      <w:r>
        <w:rPr>
          <w:rFonts w:hint="eastAsia" w:ascii="宋体" w:hAnsi="宋体"/>
          <w:color w:val="auto"/>
          <w:sz w:val="24"/>
          <w:highlight w:val="none"/>
        </w:rPr>
        <w:t>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w:t>
      </w:r>
    </w:p>
    <w:p w14:paraId="7A210A29">
      <w:pPr>
        <w:rPr>
          <w:color w:val="auto"/>
          <w:highlight w:val="none"/>
        </w:rPr>
      </w:pPr>
    </w:p>
    <w:p w14:paraId="514D0957">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八、电子交易活动的中止</w:t>
      </w:r>
    </w:p>
    <w:p w14:paraId="273E3667">
      <w:pPr>
        <w:pStyle w:val="131"/>
        <w:snapToGrid w:val="0"/>
        <w:spacing w:before="0"/>
        <w:ind w:firstLine="0" w:firstLineChars="0"/>
        <w:rPr>
          <w:rFonts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4A87C101">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68850AD4">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22B000B9">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2525E7AD">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0F974709">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2468D8D9">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08E8506C">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九、验收</w:t>
      </w:r>
    </w:p>
    <w:bookmarkEnd w:id="11"/>
    <w:bookmarkEnd w:id="12"/>
    <w:bookmarkEnd w:id="16"/>
    <w:p w14:paraId="4F3E38AE">
      <w:pPr>
        <w:pStyle w:val="25"/>
        <w:spacing w:line="360" w:lineRule="auto"/>
        <w:ind w:firstLine="0" w:firstLineChars="0"/>
        <w:rPr>
          <w:rFonts w:cs="宋体"/>
          <w:b/>
          <w:color w:val="auto"/>
          <w:highlight w:val="none"/>
        </w:rPr>
      </w:pPr>
      <w:bookmarkStart w:id="17" w:name="第四部分"/>
      <w:r>
        <w:rPr>
          <w:rFonts w:hint="eastAsia" w:cs="宋体"/>
          <w:b/>
          <w:color w:val="auto"/>
          <w:highlight w:val="none"/>
        </w:rPr>
        <w:t>30.验收</w:t>
      </w:r>
    </w:p>
    <w:p w14:paraId="50F1DEC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05134C3">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30.2采购人可以邀请参加本项目的其他供应商或者第三方机构参与验收。参与验收的供应商或者第三方机构的意见作为验收书的参考资料一并存档。</w:t>
      </w:r>
    </w:p>
    <w:p w14:paraId="1417915C">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DBFB689">
      <w:pPr>
        <w:tabs>
          <w:tab w:val="left" w:pos="0"/>
        </w:tabs>
        <w:spacing w:line="360" w:lineRule="auto"/>
        <w:ind w:firstLine="480"/>
        <w:rPr>
          <w:rFonts w:ascii="宋体" w:hAnsi="宋体" w:cs="宋体"/>
          <w:strike/>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w:t>
      </w:r>
    </w:p>
    <w:p w14:paraId="47080B4E">
      <w:pPr>
        <w:pStyle w:val="4"/>
        <w:rPr>
          <w:strike/>
          <w:color w:val="auto"/>
          <w:highlight w:val="none"/>
          <w:lang w:val="en-US"/>
        </w:rPr>
        <w:sectPr>
          <w:pgSz w:w="11906" w:h="16838"/>
          <w:pgMar w:top="1440" w:right="1417" w:bottom="1440" w:left="141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bookmarkStart w:id="18" w:name="_Hlt68403820"/>
      <w:bookmarkEnd w:id="18"/>
      <w:bookmarkStart w:id="19" w:name="_Hlt75236101"/>
      <w:bookmarkEnd w:id="19"/>
      <w:bookmarkStart w:id="20" w:name="_Hlt74729768"/>
      <w:bookmarkEnd w:id="20"/>
      <w:bookmarkStart w:id="21" w:name="_Hlt75236290"/>
      <w:bookmarkEnd w:id="21"/>
      <w:bookmarkStart w:id="22" w:name="_Hlt68072990"/>
      <w:bookmarkEnd w:id="22"/>
      <w:bookmarkStart w:id="23" w:name="_Hlt68057669"/>
      <w:bookmarkEnd w:id="23"/>
      <w:bookmarkStart w:id="24" w:name="_Hlt74707468"/>
      <w:bookmarkEnd w:id="24"/>
      <w:bookmarkStart w:id="25" w:name="_Hlt75236011"/>
      <w:bookmarkEnd w:id="25"/>
      <w:bookmarkStart w:id="26" w:name="_Hlt74730295"/>
      <w:bookmarkEnd w:id="26"/>
      <w:bookmarkStart w:id="27" w:name="_Hlt68072998"/>
      <w:bookmarkEnd w:id="27"/>
      <w:bookmarkStart w:id="28" w:name="_Hlt68073093"/>
      <w:bookmarkEnd w:id="28"/>
      <w:bookmarkStart w:id="29" w:name="_Hlt74714665"/>
      <w:bookmarkEnd w:id="29"/>
    </w:p>
    <w:p w14:paraId="430A7F67">
      <w:pPr>
        <w:pStyle w:val="33"/>
        <w:spacing w:line="360" w:lineRule="auto"/>
        <w:jc w:val="center"/>
        <w:rPr>
          <w:rFonts w:hAnsi="宋体" w:cs="宋体"/>
          <w:b/>
          <w:snapToGrid/>
          <w:color w:val="auto"/>
          <w:sz w:val="36"/>
          <w:szCs w:val="20"/>
          <w:highlight w:val="none"/>
        </w:rPr>
      </w:pPr>
      <w:r>
        <w:rPr>
          <w:rFonts w:hint="eastAsia" w:hAnsi="宋体" w:cs="宋体"/>
          <w:b/>
          <w:snapToGrid/>
          <w:color w:val="auto"/>
          <w:sz w:val="36"/>
          <w:szCs w:val="20"/>
          <w:highlight w:val="none"/>
        </w:rPr>
        <w:t>第三部分 采购需求</w:t>
      </w:r>
    </w:p>
    <w:p w14:paraId="7A58FD3F">
      <w:pPr>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一、工程概况</w:t>
      </w:r>
    </w:p>
    <w:p w14:paraId="147CEAA2">
      <w:pPr>
        <w:spacing w:line="360" w:lineRule="auto"/>
        <w:ind w:firstLine="420"/>
        <w:jc w:val="left"/>
        <w:rPr>
          <w:rFonts w:ascii="宋体" w:hAnsi="宋体" w:cs="宋体"/>
          <w:color w:val="auto"/>
          <w:sz w:val="24"/>
          <w:highlight w:val="none"/>
        </w:rPr>
      </w:pPr>
      <w:r>
        <w:rPr>
          <w:rFonts w:hint="eastAsia" w:ascii="宋体" w:hAnsi="宋体" w:cs="宋体"/>
          <w:color w:val="auto"/>
          <w:sz w:val="24"/>
          <w:highlight w:val="none"/>
        </w:rPr>
        <w:t>本项目为</w:t>
      </w:r>
      <w:r>
        <w:rPr>
          <w:rFonts w:hint="eastAsia" w:ascii="宋体" w:hAnsi="宋体" w:cs="宋体"/>
          <w:color w:val="auto"/>
          <w:sz w:val="24"/>
          <w:highlight w:val="none"/>
          <w:lang w:eastAsia="zh-CN"/>
        </w:rPr>
        <w:t>杭州市美术职业学校（凤山校区）门卫楼及大礼堂外立面工程</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主要内容为</w:t>
      </w:r>
      <w:r>
        <w:rPr>
          <w:rFonts w:hint="eastAsia" w:ascii="宋体" w:hAnsi="宋体" w:cs="Times New Roman"/>
          <w:color w:val="auto"/>
          <w:sz w:val="24"/>
          <w:highlight w:val="none"/>
          <w:lang w:val="en-US" w:eastAsia="zh-CN"/>
        </w:rPr>
        <w:t>凤山校区</w:t>
      </w:r>
      <w:r>
        <w:rPr>
          <w:rFonts w:hint="eastAsia" w:ascii="宋体" w:hAnsi="宋体" w:eastAsia="宋体" w:cs="Times New Roman"/>
          <w:color w:val="auto"/>
          <w:sz w:val="24"/>
          <w:highlight w:val="none"/>
          <w:lang w:val="en-US" w:eastAsia="zh-CN"/>
        </w:rPr>
        <w:t>门岗楼建筑外立面及室内改造翻新</w:t>
      </w:r>
      <w:r>
        <w:rPr>
          <w:rFonts w:hint="eastAsia" w:ascii="宋体" w:hAnsi="宋体" w:cs="Times New Roman"/>
          <w:color w:val="auto"/>
          <w:sz w:val="24"/>
          <w:highlight w:val="none"/>
          <w:lang w:val="en-US" w:eastAsia="zh-CN"/>
        </w:rPr>
        <w:t>，</w:t>
      </w:r>
      <w:r>
        <w:rPr>
          <w:rFonts w:hint="eastAsia" w:ascii="宋体" w:hAnsi="宋体" w:eastAsia="宋体" w:cs="Times New Roman"/>
          <w:color w:val="auto"/>
          <w:sz w:val="24"/>
          <w:highlight w:val="none"/>
          <w:lang w:val="en-US" w:eastAsia="zh-CN"/>
        </w:rPr>
        <w:t>礼堂外立面翻新等</w:t>
      </w:r>
      <w:r>
        <w:rPr>
          <w:rFonts w:hint="eastAsia" w:ascii="宋体" w:hAnsi="宋体" w:cs="宋体"/>
          <w:color w:val="auto"/>
          <w:sz w:val="24"/>
          <w:highlight w:val="none"/>
        </w:rPr>
        <w:t>。具体详见工程量清单、图纸等材料</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另附，清单工程量仅做参考，以现场实际数量为准</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14:paraId="51C04058">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23FCC716">
      <w:pPr>
        <w:spacing w:line="360" w:lineRule="auto"/>
        <w:jc w:val="left"/>
        <w:rPr>
          <w:rFonts w:ascii="宋体" w:hAnsi="宋体" w:cs="宋体"/>
          <w:color w:val="auto"/>
          <w:sz w:val="24"/>
          <w:highlight w:val="none"/>
        </w:rPr>
      </w:pPr>
      <w:r>
        <w:rPr>
          <w:rFonts w:hint="eastAsia" w:ascii="宋体" w:hAnsi="宋体" w:cs="宋体"/>
          <w:b/>
          <w:bCs/>
          <w:color w:val="auto"/>
          <w:sz w:val="24"/>
          <w:highlight w:val="none"/>
        </w:rPr>
        <w:t xml:space="preserve">二、工程内容 </w:t>
      </w:r>
    </w:p>
    <w:p w14:paraId="2E45558E">
      <w:pPr>
        <w:spacing w:line="360" w:lineRule="auto"/>
        <w:ind w:left="210" w:leftChars="100"/>
        <w:jc w:val="left"/>
        <w:rPr>
          <w:rFonts w:ascii="宋体" w:hAnsi="宋体" w:cs="宋体"/>
          <w:color w:val="auto"/>
          <w:sz w:val="24"/>
          <w:highlight w:val="none"/>
        </w:rPr>
      </w:pPr>
      <w:r>
        <w:rPr>
          <w:rFonts w:hint="eastAsia" w:ascii="宋体" w:hAnsi="宋体" w:cs="宋体"/>
          <w:color w:val="auto"/>
          <w:sz w:val="24"/>
          <w:highlight w:val="none"/>
        </w:rPr>
        <w:t>1.工程名称</w:t>
      </w:r>
    </w:p>
    <w:p w14:paraId="13DBEF99">
      <w:pPr>
        <w:spacing w:line="360" w:lineRule="auto"/>
        <w:ind w:firstLine="420"/>
        <w:jc w:val="left"/>
        <w:rPr>
          <w:rFonts w:ascii="宋体" w:hAnsi="宋体" w:cs="宋体"/>
          <w:color w:val="auto"/>
          <w:sz w:val="24"/>
          <w:highlight w:val="none"/>
        </w:rPr>
      </w:pPr>
      <w:r>
        <w:rPr>
          <w:rFonts w:hint="eastAsia" w:ascii="宋体" w:hAnsi="宋体" w:cs="宋体"/>
          <w:color w:val="auto"/>
          <w:sz w:val="24"/>
          <w:highlight w:val="none"/>
          <w:lang w:eastAsia="zh-CN"/>
        </w:rPr>
        <w:t>杭州市美术职业学校（凤山校区）门卫楼及大礼堂外立面工程</w:t>
      </w:r>
      <w:r>
        <w:rPr>
          <w:rFonts w:hint="eastAsia" w:ascii="宋体" w:hAnsi="宋体" w:cs="宋体"/>
          <w:color w:val="auto"/>
          <w:sz w:val="24"/>
          <w:highlight w:val="none"/>
        </w:rPr>
        <w:t>。</w:t>
      </w:r>
    </w:p>
    <w:p w14:paraId="7D9FB8AA">
      <w:pPr>
        <w:spacing w:line="360" w:lineRule="auto"/>
        <w:ind w:left="210" w:leftChars="100"/>
        <w:jc w:val="left"/>
        <w:rPr>
          <w:rFonts w:ascii="宋体" w:hAnsi="宋体" w:cs="宋体"/>
          <w:color w:val="auto"/>
          <w:sz w:val="24"/>
          <w:highlight w:val="none"/>
        </w:rPr>
      </w:pPr>
      <w:r>
        <w:rPr>
          <w:rFonts w:hint="eastAsia" w:ascii="宋体" w:hAnsi="宋体" w:cs="宋体"/>
          <w:color w:val="auto"/>
          <w:sz w:val="24"/>
          <w:highlight w:val="none"/>
        </w:rPr>
        <w:t>2.现场条件</w:t>
      </w:r>
    </w:p>
    <w:p w14:paraId="60D50F41">
      <w:pPr>
        <w:spacing w:line="360" w:lineRule="auto"/>
        <w:ind w:firstLine="420"/>
        <w:jc w:val="left"/>
        <w:rPr>
          <w:rFonts w:ascii="宋体" w:hAnsi="宋体" w:cs="宋体"/>
          <w:color w:val="auto"/>
          <w:sz w:val="24"/>
          <w:highlight w:val="none"/>
        </w:rPr>
      </w:pPr>
      <w:r>
        <w:rPr>
          <w:rFonts w:hint="eastAsia" w:ascii="宋体" w:hAnsi="宋体" w:cs="宋体"/>
          <w:color w:val="auto"/>
          <w:sz w:val="24"/>
          <w:highlight w:val="none"/>
        </w:rPr>
        <w:t>目前施工现场通水、通电工作均已完成，具备项目施工条件。</w:t>
      </w:r>
    </w:p>
    <w:p w14:paraId="41FD6DA4">
      <w:pPr>
        <w:spacing w:line="360" w:lineRule="auto"/>
        <w:ind w:left="210" w:leftChars="100"/>
        <w:jc w:val="left"/>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工程承包范围</w:t>
      </w:r>
      <w:r>
        <w:rPr>
          <w:rFonts w:hint="eastAsia" w:ascii="宋体" w:hAnsi="宋体" w:cs="宋体"/>
          <w:color w:val="auto"/>
          <w:sz w:val="24"/>
          <w:highlight w:val="none"/>
          <w:lang w:eastAsia="zh-CN"/>
        </w:rPr>
        <w:t>：</w:t>
      </w:r>
    </w:p>
    <w:p w14:paraId="1E2B438E">
      <w:pPr>
        <w:numPr>
          <w:ilvl w:val="0"/>
          <w:numId w:val="0"/>
        </w:numPr>
        <w:spacing w:line="360" w:lineRule="auto"/>
        <w:ind w:firstLine="482" w:firstLineChars="200"/>
        <w:jc w:val="left"/>
        <w:rPr>
          <w:rFonts w:hint="default" w:ascii="宋体" w:hAnsi="宋体" w:eastAsia="宋体" w:cs="宋体"/>
          <w:b/>
          <w:bCs/>
          <w:color w:val="auto"/>
          <w:sz w:val="24"/>
          <w:highlight w:val="none"/>
          <w:lang w:val="en-US" w:eastAsia="zh-CN"/>
        </w:rPr>
      </w:pPr>
      <w:r>
        <w:rPr>
          <w:rFonts w:hint="eastAsia" w:ascii="宋体" w:hAnsi="宋体" w:cs="仿宋_GB2312"/>
          <w:b/>
          <w:bCs/>
          <w:color w:val="auto"/>
          <w:sz w:val="24"/>
          <w:highlight w:val="none"/>
          <w:u w:val="none"/>
        </w:rPr>
        <w:t>※</w:t>
      </w:r>
      <w:r>
        <w:rPr>
          <w:rFonts w:hint="eastAsia" w:ascii="宋体" w:hAnsi="宋体" w:cs="宋体"/>
          <w:b/>
          <w:bCs/>
          <w:color w:val="auto"/>
          <w:sz w:val="24"/>
          <w:highlight w:val="none"/>
        </w:rPr>
        <w:t>工程承包范围为磋商文件、磋商记录、施工图纸中包含的所有内容。</w:t>
      </w:r>
    </w:p>
    <w:p w14:paraId="5565EFAC">
      <w:pPr>
        <w:spacing w:line="360" w:lineRule="auto"/>
        <w:ind w:firstLine="420"/>
        <w:jc w:val="left"/>
        <w:rPr>
          <w:rFonts w:ascii="宋体" w:hAnsi="宋体" w:cs="宋体"/>
          <w:b/>
          <w:color w:val="auto"/>
          <w:sz w:val="24"/>
          <w:highlight w:val="none"/>
        </w:rPr>
      </w:pPr>
      <w:r>
        <w:rPr>
          <w:rFonts w:hint="eastAsia" w:ascii="宋体" w:hAnsi="宋体" w:cs="宋体"/>
          <w:b/>
          <w:color w:val="auto"/>
          <w:sz w:val="24"/>
          <w:highlight w:val="none"/>
        </w:rPr>
        <w:t>以上与施工相关的管理要求所需要的费用包含在各综合单价、合价和磋商响应总报价中。</w:t>
      </w:r>
    </w:p>
    <w:p w14:paraId="5875FFF8">
      <w:pPr>
        <w:spacing w:line="360" w:lineRule="auto"/>
        <w:ind w:firstLine="420"/>
        <w:jc w:val="left"/>
        <w:rPr>
          <w:rFonts w:ascii="宋体" w:hAnsi="宋体" w:cs="宋体"/>
          <w:b/>
          <w:color w:val="auto"/>
          <w:sz w:val="24"/>
          <w:highlight w:val="none"/>
        </w:rPr>
      </w:pPr>
      <w:r>
        <w:rPr>
          <w:rFonts w:hint="eastAsia" w:ascii="宋体" w:hAnsi="宋体" w:cs="宋体"/>
          <w:b/>
          <w:color w:val="auto"/>
          <w:sz w:val="24"/>
          <w:highlight w:val="none"/>
        </w:rPr>
        <w:t>本项目</w:t>
      </w:r>
      <w:r>
        <w:rPr>
          <w:rFonts w:hint="eastAsia" w:ascii="宋体" w:hAnsi="宋体" w:cs="宋体"/>
          <w:b/>
          <w:color w:val="auto"/>
          <w:sz w:val="24"/>
          <w:highlight w:val="none"/>
          <w:lang w:val="en-US" w:eastAsia="zh-CN"/>
        </w:rPr>
        <w:t>采用</w:t>
      </w:r>
      <w:r>
        <w:rPr>
          <w:rFonts w:hint="eastAsia" w:ascii="宋体" w:hAnsi="宋体" w:cs="宋体"/>
          <w:b/>
          <w:color w:val="auto"/>
          <w:sz w:val="24"/>
          <w:highlight w:val="none"/>
        </w:rPr>
        <w:t>综合单价，按实结算</w:t>
      </w:r>
      <w:r>
        <w:rPr>
          <w:rFonts w:hint="eastAsia" w:ascii="宋体" w:hAnsi="宋体" w:cs="宋体"/>
          <w:b/>
          <w:color w:val="auto"/>
          <w:sz w:val="24"/>
          <w:highlight w:val="none"/>
          <w:lang w:eastAsia="zh-CN"/>
        </w:rPr>
        <w:t>，</w:t>
      </w:r>
      <w:r>
        <w:rPr>
          <w:rFonts w:hint="eastAsia" w:ascii="宋体" w:hAnsi="宋体" w:cs="宋体"/>
          <w:b/>
          <w:color w:val="auto"/>
          <w:sz w:val="24"/>
          <w:highlight w:val="none"/>
        </w:rPr>
        <w:t>结算</w:t>
      </w:r>
      <w:r>
        <w:rPr>
          <w:rFonts w:hint="eastAsia" w:ascii="宋体" w:hAnsi="宋体" w:cs="宋体"/>
          <w:b/>
          <w:color w:val="auto"/>
          <w:sz w:val="24"/>
          <w:highlight w:val="none"/>
          <w:lang w:val="en-US" w:eastAsia="zh-CN"/>
        </w:rPr>
        <w:t>上报</w:t>
      </w:r>
      <w:r>
        <w:rPr>
          <w:rFonts w:hint="eastAsia" w:ascii="宋体" w:hAnsi="宋体" w:cs="宋体"/>
          <w:b/>
          <w:color w:val="auto"/>
          <w:sz w:val="24"/>
          <w:highlight w:val="none"/>
        </w:rPr>
        <w:t>金额不超过项目合同金额的110%且不超过项目预算。</w:t>
      </w:r>
    </w:p>
    <w:p w14:paraId="1332D150">
      <w:pPr>
        <w:spacing w:line="360" w:lineRule="auto"/>
        <w:ind w:left="210" w:leftChars="100"/>
        <w:jc w:val="left"/>
        <w:rPr>
          <w:rFonts w:ascii="宋体" w:hAnsi="宋体" w:cs="宋体"/>
          <w:color w:val="auto"/>
          <w:sz w:val="24"/>
          <w:highlight w:val="none"/>
        </w:rPr>
      </w:pPr>
      <w:r>
        <w:rPr>
          <w:rFonts w:hint="eastAsia" w:ascii="宋体" w:hAnsi="宋体" w:cs="宋体"/>
          <w:color w:val="auto"/>
          <w:sz w:val="24"/>
          <w:highlight w:val="none"/>
        </w:rPr>
        <w:t>4.工程质量标准</w:t>
      </w:r>
    </w:p>
    <w:p w14:paraId="5AAB29F4">
      <w:pPr>
        <w:spacing w:line="360" w:lineRule="auto"/>
        <w:ind w:firstLine="420"/>
        <w:jc w:val="left"/>
        <w:rPr>
          <w:rFonts w:hint="eastAsia" w:ascii="宋体" w:hAnsi="宋体" w:cs="宋体"/>
          <w:color w:val="auto"/>
          <w:sz w:val="24"/>
          <w:highlight w:val="none"/>
        </w:rPr>
      </w:pPr>
      <w:r>
        <w:rPr>
          <w:rFonts w:hint="eastAsia" w:ascii="宋体" w:hAnsi="宋体" w:cs="宋体"/>
          <w:color w:val="auto"/>
          <w:sz w:val="24"/>
          <w:highlight w:val="none"/>
        </w:rPr>
        <w:t>住建部现行工程质量验收规范以及合同规定的验收评定标准。</w:t>
      </w:r>
    </w:p>
    <w:p w14:paraId="6767613D">
      <w:pPr>
        <w:spacing w:line="360" w:lineRule="auto"/>
        <w:ind w:left="210" w:leftChars="100"/>
        <w:jc w:val="left"/>
        <w:rPr>
          <w:rFonts w:ascii="宋体" w:hAnsi="宋体" w:cs="宋体"/>
          <w:color w:val="auto"/>
          <w:sz w:val="24"/>
          <w:highlight w:val="none"/>
        </w:rPr>
      </w:pPr>
      <w:r>
        <w:rPr>
          <w:rFonts w:hint="eastAsia" w:ascii="宋体" w:hAnsi="宋体" w:cs="宋体"/>
          <w:color w:val="auto"/>
          <w:sz w:val="24"/>
          <w:highlight w:val="none"/>
        </w:rPr>
        <w:t>5.工程施工要求</w:t>
      </w:r>
    </w:p>
    <w:p w14:paraId="10EC2C73">
      <w:pPr>
        <w:pStyle w:val="20"/>
        <w:numPr>
          <w:ilvl w:val="0"/>
          <w:numId w:val="3"/>
        </w:numPr>
        <w:spacing w:line="360" w:lineRule="auto"/>
        <w:jc w:val="both"/>
        <w:rPr>
          <w:rFonts w:ascii="宋体" w:hAnsi="宋体" w:cs="宋体"/>
          <w:color w:val="auto"/>
          <w:sz w:val="24"/>
          <w:highlight w:val="none"/>
        </w:rPr>
      </w:pPr>
      <w:r>
        <w:rPr>
          <w:rFonts w:hint="eastAsia" w:ascii="宋体" w:hAnsi="宋体" w:cs="宋体"/>
          <w:color w:val="auto"/>
          <w:sz w:val="24"/>
          <w:highlight w:val="none"/>
        </w:rPr>
        <w:t>工程技术规范要求：</w:t>
      </w:r>
    </w:p>
    <w:p w14:paraId="2581021A">
      <w:pPr>
        <w:pStyle w:val="20"/>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本工程项目的材料、设备、施工必须达到现行中华人民共和国及省、市、行业的一切有关法规、规范的要求，如标准及规范要求有出入则以较严格者为准。</w:t>
      </w:r>
    </w:p>
    <w:p w14:paraId="29E99AC4">
      <w:pPr>
        <w:pStyle w:val="20"/>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对本工程所采用的标准或规范的任何部分，当成交供应商认为改用其他标准或规范，同样能够保证工程达到相同质量或更高的质量时，成交供应商可提出申请报经采购人审批后采用，但这种批准不免除成交供应商根据合同规定应承担的任何责任。申请报告中应对原采用的标准或规范与所建议改用的其他标准或规范之间的差异进行详细说明。获批之前成交供应商仍应执行原采用的标准或规范。</w:t>
      </w:r>
    </w:p>
    <w:p w14:paraId="14A5777F">
      <w:pPr>
        <w:pStyle w:val="20"/>
        <w:numPr>
          <w:ilvl w:val="0"/>
          <w:numId w:val="3"/>
        </w:numPr>
        <w:spacing w:line="360" w:lineRule="auto"/>
        <w:jc w:val="both"/>
        <w:rPr>
          <w:rFonts w:ascii="宋体" w:hAnsi="宋体" w:cs="宋体"/>
          <w:color w:val="auto"/>
          <w:sz w:val="24"/>
          <w:highlight w:val="none"/>
        </w:rPr>
      </w:pPr>
      <w:r>
        <w:rPr>
          <w:rFonts w:hint="eastAsia" w:ascii="宋体" w:hAnsi="宋体" w:cs="宋体"/>
          <w:color w:val="auto"/>
          <w:sz w:val="24"/>
          <w:highlight w:val="none"/>
        </w:rPr>
        <w:t>安全文明施工要求</w:t>
      </w:r>
    </w:p>
    <w:p w14:paraId="61D9AEB4">
      <w:pPr>
        <w:pStyle w:val="20"/>
        <w:numPr>
          <w:ilvl w:val="0"/>
          <w:numId w:val="4"/>
        </w:numPr>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成交供应商应对进度施工现场的施工人员进行安全文明施工教育，配备必要的劳动保护用具，保证工程的施工安全和人身安全。</w:t>
      </w:r>
    </w:p>
    <w:p w14:paraId="22F3D69D">
      <w:pPr>
        <w:pStyle w:val="20"/>
        <w:numPr>
          <w:ilvl w:val="0"/>
          <w:numId w:val="4"/>
        </w:numPr>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成交供应商应强化安全意识，抓好安全生产，杜绝事故发生，施工中若因供应商原因发生安全及人身事故由成交供应商自行负责处理，并承担全部费用。</w:t>
      </w:r>
    </w:p>
    <w:p w14:paraId="2ABB3E41">
      <w:pPr>
        <w:pStyle w:val="20"/>
        <w:numPr>
          <w:ilvl w:val="0"/>
          <w:numId w:val="4"/>
        </w:numPr>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成交供应商须遵守地方政府和有关部门及采购人对施工场地交通、环卫、安全和施工噪音等的管理规定，并按规定办理相关审批手续。</w:t>
      </w:r>
    </w:p>
    <w:p w14:paraId="50B68D59">
      <w:pPr>
        <w:pStyle w:val="20"/>
        <w:numPr>
          <w:ilvl w:val="0"/>
          <w:numId w:val="4"/>
        </w:numPr>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成交供应商应采取有效措施尽量减小尘土和噪音污染，需要进行夜间作业时应经有关部门批准。</w:t>
      </w:r>
    </w:p>
    <w:p w14:paraId="6CFE3AAD">
      <w:pPr>
        <w:pStyle w:val="20"/>
        <w:numPr>
          <w:ilvl w:val="0"/>
          <w:numId w:val="3"/>
        </w:numPr>
        <w:spacing w:line="360" w:lineRule="auto"/>
        <w:jc w:val="both"/>
        <w:rPr>
          <w:rFonts w:ascii="宋体" w:hAnsi="宋体" w:cs="宋体"/>
          <w:color w:val="auto"/>
          <w:sz w:val="24"/>
          <w:highlight w:val="none"/>
        </w:rPr>
      </w:pPr>
      <w:r>
        <w:rPr>
          <w:rFonts w:hint="eastAsia" w:ascii="宋体" w:hAnsi="宋体" w:cs="宋体"/>
          <w:color w:val="auto"/>
          <w:sz w:val="24"/>
          <w:highlight w:val="none"/>
        </w:rPr>
        <w:t>其它施工过程中需注意事项</w:t>
      </w:r>
    </w:p>
    <w:p w14:paraId="5429F037">
      <w:pPr>
        <w:pStyle w:val="20"/>
        <w:numPr>
          <w:ilvl w:val="0"/>
          <w:numId w:val="5"/>
        </w:numPr>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本工程在施工期间，成交供应商应注意保护好采购人周边现有成品，如有损坏，须无条件修复至采购人满意。</w:t>
      </w:r>
    </w:p>
    <w:p w14:paraId="6AE9793F">
      <w:pPr>
        <w:pStyle w:val="20"/>
        <w:numPr>
          <w:ilvl w:val="0"/>
          <w:numId w:val="5"/>
        </w:numPr>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废弃材料不得丢弃或随意堆放在校园内，清理产生的拆除费、搬运费、交通运输费等各项费用均由供应商自行考虑并计入响应总价且一次性包干</w:t>
      </w:r>
    </w:p>
    <w:p w14:paraId="1EA663CA">
      <w:pPr>
        <w:pStyle w:val="20"/>
        <w:numPr>
          <w:ilvl w:val="0"/>
          <w:numId w:val="5"/>
        </w:numPr>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工程完工后，成交供应商需对施工现场进行全面的清洁工作。</w:t>
      </w:r>
    </w:p>
    <w:p w14:paraId="0A699E2D">
      <w:pPr>
        <w:pStyle w:val="968"/>
        <w:spacing w:line="360" w:lineRule="auto"/>
        <w:ind w:left="210" w:firstLine="0" w:firstLineChars="0"/>
        <w:jc w:val="left"/>
        <w:rPr>
          <w:rFonts w:ascii="宋体" w:hAnsi="宋体" w:cs="宋体"/>
          <w:color w:val="auto"/>
          <w:sz w:val="24"/>
          <w:highlight w:val="none"/>
        </w:rPr>
      </w:pPr>
      <w:r>
        <w:rPr>
          <w:rFonts w:hint="eastAsia" w:ascii="宋体" w:hAnsi="宋体" w:cs="宋体"/>
          <w:color w:val="auto"/>
          <w:sz w:val="24"/>
          <w:highlight w:val="none"/>
        </w:rPr>
        <w:t>6.工程管理要求</w:t>
      </w:r>
    </w:p>
    <w:p w14:paraId="43E90224">
      <w:pPr>
        <w:pStyle w:val="20"/>
        <w:numPr>
          <w:ilvl w:val="0"/>
          <w:numId w:val="6"/>
        </w:numPr>
        <w:spacing w:line="360" w:lineRule="auto"/>
        <w:jc w:val="both"/>
        <w:rPr>
          <w:rFonts w:ascii="宋体" w:hAnsi="宋体" w:cs="宋体"/>
          <w:color w:val="auto"/>
          <w:sz w:val="24"/>
          <w:highlight w:val="none"/>
        </w:rPr>
      </w:pPr>
      <w:r>
        <w:rPr>
          <w:rFonts w:hint="eastAsia" w:ascii="宋体" w:hAnsi="宋体" w:cs="宋体"/>
          <w:color w:val="auto"/>
          <w:sz w:val="24"/>
          <w:highlight w:val="none"/>
        </w:rPr>
        <w:t>工程管理原则：</w:t>
      </w:r>
    </w:p>
    <w:p w14:paraId="63335424">
      <w:pPr>
        <w:pStyle w:val="968"/>
        <w:tabs>
          <w:tab w:val="left" w:pos="420"/>
        </w:tabs>
        <w:spacing w:line="360" w:lineRule="auto"/>
        <w:ind w:firstLineChars="175"/>
        <w:jc w:val="left"/>
        <w:rPr>
          <w:rFonts w:ascii="宋体" w:hAnsi="宋体" w:cs="宋体"/>
          <w:color w:val="auto"/>
          <w:sz w:val="24"/>
          <w:highlight w:val="none"/>
        </w:rPr>
      </w:pPr>
      <w:r>
        <w:rPr>
          <w:rFonts w:hint="eastAsia" w:ascii="宋体" w:hAnsi="宋体" w:cs="宋体"/>
          <w:color w:val="auto"/>
          <w:sz w:val="24"/>
          <w:highlight w:val="none"/>
        </w:rPr>
        <w:t>①本工程承包范围内的工程项目，成交供应商未经采购人同意，一律不得转包，一经发现采购人有权立即取消其承包资格，成交供应商应承担由此引起的一切经济责任和法律责任；</w:t>
      </w:r>
    </w:p>
    <w:p w14:paraId="5335AE18">
      <w:pPr>
        <w:pStyle w:val="968"/>
        <w:tabs>
          <w:tab w:val="left" w:pos="420"/>
        </w:tabs>
        <w:spacing w:line="360" w:lineRule="auto"/>
        <w:ind w:firstLineChars="175"/>
        <w:jc w:val="left"/>
        <w:rPr>
          <w:rFonts w:ascii="宋体" w:hAnsi="宋体" w:cs="宋体"/>
          <w:color w:val="auto"/>
          <w:sz w:val="24"/>
          <w:highlight w:val="none"/>
        </w:rPr>
      </w:pPr>
      <w:r>
        <w:rPr>
          <w:rFonts w:hint="eastAsia" w:ascii="宋体" w:hAnsi="宋体" w:cs="宋体"/>
          <w:color w:val="auto"/>
          <w:sz w:val="24"/>
          <w:highlight w:val="none"/>
        </w:rPr>
        <w:t>②在工程实施过程中，如发现成交供应商为挂靠单位，采购人可立即终止合同。成交供应商应承担由此引起的一切经济责任和法律责任。</w:t>
      </w:r>
    </w:p>
    <w:p w14:paraId="269F56F4">
      <w:pPr>
        <w:pStyle w:val="968"/>
        <w:tabs>
          <w:tab w:val="left" w:pos="420"/>
        </w:tabs>
        <w:spacing w:line="360" w:lineRule="auto"/>
        <w:ind w:firstLineChars="175"/>
        <w:jc w:val="left"/>
        <w:rPr>
          <w:rFonts w:ascii="宋体" w:hAnsi="宋体" w:cs="宋体"/>
          <w:color w:val="auto"/>
          <w:sz w:val="24"/>
          <w:highlight w:val="none"/>
        </w:rPr>
      </w:pPr>
      <w:r>
        <w:rPr>
          <w:rFonts w:hint="eastAsia" w:ascii="宋体" w:hAnsi="宋体" w:cs="宋体"/>
          <w:color w:val="auto"/>
          <w:sz w:val="24"/>
          <w:highlight w:val="none"/>
        </w:rPr>
        <w:t>③成交供应商须严格按照已确认的施工技术方案组织实施，并无条件接受采购人的项目管理部门的管理。</w:t>
      </w:r>
    </w:p>
    <w:p w14:paraId="3E98CE8D">
      <w:pPr>
        <w:pStyle w:val="968"/>
        <w:tabs>
          <w:tab w:val="left" w:pos="420"/>
        </w:tabs>
        <w:spacing w:line="360" w:lineRule="auto"/>
        <w:ind w:firstLineChars="175"/>
        <w:jc w:val="left"/>
        <w:rPr>
          <w:rFonts w:ascii="宋体" w:hAnsi="宋体" w:cs="宋体"/>
          <w:color w:val="auto"/>
          <w:sz w:val="24"/>
          <w:highlight w:val="none"/>
        </w:rPr>
      </w:pPr>
      <w:r>
        <w:rPr>
          <w:rFonts w:hint="eastAsia" w:ascii="宋体" w:hAnsi="宋体" w:cs="宋体"/>
          <w:color w:val="auto"/>
          <w:sz w:val="24"/>
          <w:highlight w:val="none"/>
        </w:rPr>
        <w:t>④成交供应商在响应文件中确定的工程</w:t>
      </w:r>
      <w:r>
        <w:rPr>
          <w:rFonts w:hint="eastAsia" w:ascii="宋体" w:hAnsi="宋体" w:cs="宋体"/>
          <w:color w:val="auto"/>
          <w:sz w:val="24"/>
          <w:highlight w:val="none"/>
          <w:lang w:eastAsia="zh-CN"/>
        </w:rPr>
        <w:t>项目经理</w:t>
      </w:r>
      <w:r>
        <w:rPr>
          <w:rFonts w:hint="eastAsia" w:ascii="宋体" w:hAnsi="宋体" w:cs="宋体"/>
          <w:color w:val="auto"/>
          <w:sz w:val="24"/>
          <w:highlight w:val="none"/>
        </w:rPr>
        <w:t>及项目管理班子人员，未经采购人同意，不得调换和撤离，本工程确定的成交人的项目管理班子成员，不得兼任其他工程职务并应完全到位。采购人有权要求成交供应商撤换工作不负责任、管理不力、贻误工期、违法乱纪及造成严重安全事故和工程质量事故的项目班子的任何人员，直至项目经理本人。如项目班子成员被采购人撤换，按项目班子成员不到位处罚额度进行处罚，成交供应商不得姑息迁就，拖延撤换和有碍工程进展，否则，采购人有权单方面终止合同，并对由此造成的采购人损失，予以追究赔偿。</w:t>
      </w:r>
    </w:p>
    <w:p w14:paraId="3D675DDD">
      <w:pPr>
        <w:pStyle w:val="20"/>
        <w:numPr>
          <w:ilvl w:val="0"/>
          <w:numId w:val="6"/>
        </w:numPr>
        <w:spacing w:line="360" w:lineRule="auto"/>
        <w:jc w:val="both"/>
        <w:rPr>
          <w:rFonts w:ascii="宋体" w:hAnsi="宋体" w:cs="宋体"/>
          <w:color w:val="auto"/>
          <w:sz w:val="24"/>
          <w:highlight w:val="none"/>
        </w:rPr>
      </w:pPr>
      <w:r>
        <w:rPr>
          <w:rFonts w:hint="eastAsia" w:ascii="宋体" w:hAnsi="宋体" w:cs="宋体"/>
          <w:color w:val="auto"/>
          <w:sz w:val="24"/>
          <w:highlight w:val="none"/>
        </w:rPr>
        <w:t>项目管理班子人员要求</w:t>
      </w:r>
      <w:r>
        <w:rPr>
          <w:rFonts w:hint="eastAsia" w:ascii="宋体" w:hAnsi="宋体" w:cs="宋体"/>
          <w:color w:val="auto"/>
          <w:sz w:val="24"/>
          <w:highlight w:val="none"/>
          <w:lang w:eastAsia="zh-CN"/>
        </w:rPr>
        <w:t>：</w:t>
      </w:r>
    </w:p>
    <w:p w14:paraId="068E7EAB">
      <w:pPr>
        <w:pStyle w:val="968"/>
        <w:spacing w:line="360" w:lineRule="auto"/>
        <w:ind w:firstLineChars="175"/>
        <w:jc w:val="left"/>
        <w:rPr>
          <w:rFonts w:ascii="宋体" w:hAnsi="宋体" w:cs="宋体"/>
          <w:b/>
          <w:bCs/>
          <w:color w:val="auto"/>
          <w:sz w:val="24"/>
          <w:highlight w:val="none"/>
        </w:rPr>
      </w:pPr>
      <w:r>
        <w:rPr>
          <w:rFonts w:hint="eastAsia" w:ascii="宋体" w:hAnsi="宋体" w:cs="宋体"/>
          <w:b/>
          <w:bCs/>
          <w:color w:val="auto"/>
          <w:sz w:val="24"/>
          <w:highlight w:val="none"/>
        </w:rPr>
        <w:t>①项目经理：本项目拟派项目经理</w:t>
      </w:r>
      <w:r>
        <w:rPr>
          <w:rFonts w:hint="eastAsia" w:ascii="宋体" w:hAnsi="宋体" w:cs="宋体"/>
          <w:b/>
          <w:bCs/>
          <w:color w:val="auto"/>
          <w:sz w:val="24"/>
          <w:highlight w:val="none"/>
          <w:u w:val="none"/>
        </w:rPr>
        <w:t>除具备建筑工程专业</w:t>
      </w:r>
      <w:r>
        <w:rPr>
          <w:rFonts w:hint="eastAsia" w:ascii="宋体" w:hAnsi="宋体" w:cs="宋体"/>
          <w:b/>
          <w:bCs/>
          <w:color w:val="auto"/>
          <w:sz w:val="24"/>
          <w:highlight w:val="none"/>
        </w:rPr>
        <w:t>注册建造师资格</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无在建项目外，还应具有类似施工经验以及相关专业技术职称，在施工过程中，应确保到位率达到</w:t>
      </w:r>
      <w:r>
        <w:rPr>
          <w:rFonts w:hint="eastAsia" w:ascii="宋体" w:hAnsi="宋体" w:cs="宋体"/>
          <w:b/>
          <w:bCs/>
          <w:color w:val="auto"/>
          <w:sz w:val="24"/>
          <w:highlight w:val="none"/>
          <w:lang w:val="en-US" w:eastAsia="zh-CN"/>
        </w:rPr>
        <w:t>80</w:t>
      </w:r>
      <w:r>
        <w:rPr>
          <w:rFonts w:hint="eastAsia" w:ascii="宋体" w:hAnsi="宋体" w:cs="宋体"/>
          <w:b/>
          <w:bCs/>
          <w:color w:val="auto"/>
          <w:sz w:val="24"/>
          <w:highlight w:val="none"/>
        </w:rPr>
        <w:t>%（含）以上</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提供承诺函，格式自拟</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w:t>
      </w:r>
    </w:p>
    <w:p w14:paraId="4FE1FA28">
      <w:pPr>
        <w:pStyle w:val="968"/>
        <w:spacing w:line="360" w:lineRule="auto"/>
        <w:ind w:firstLineChars="175"/>
        <w:jc w:val="left"/>
        <w:rPr>
          <w:rFonts w:ascii="宋体" w:hAnsi="宋体" w:cs="宋体"/>
          <w:color w:val="auto"/>
          <w:sz w:val="24"/>
          <w:highlight w:val="none"/>
        </w:rPr>
      </w:pPr>
      <w:r>
        <w:rPr>
          <w:rFonts w:hint="eastAsia" w:ascii="宋体" w:hAnsi="宋体" w:cs="宋体"/>
          <w:color w:val="auto"/>
          <w:sz w:val="24"/>
          <w:highlight w:val="none"/>
        </w:rPr>
        <w:t>②拟派技术负责人应具有</w:t>
      </w:r>
      <w:r>
        <w:rPr>
          <w:rFonts w:hint="eastAsia" w:ascii="宋体" w:hAnsi="宋体" w:cs="宋体"/>
          <w:color w:val="auto"/>
          <w:sz w:val="24"/>
          <w:highlight w:val="none"/>
          <w:lang w:val="en-US" w:eastAsia="zh-CN"/>
        </w:rPr>
        <w:t>中级</w:t>
      </w:r>
      <w:r>
        <w:rPr>
          <w:rFonts w:hint="eastAsia" w:ascii="宋体" w:hAnsi="宋体" w:cs="宋体"/>
          <w:color w:val="auto"/>
          <w:sz w:val="24"/>
          <w:highlight w:val="none"/>
        </w:rPr>
        <w:t>职称</w:t>
      </w:r>
      <w:r>
        <w:rPr>
          <w:rFonts w:hint="eastAsia" w:ascii="宋体" w:hAnsi="宋体" w:cs="宋体"/>
          <w:color w:val="auto"/>
          <w:sz w:val="24"/>
          <w:highlight w:val="none"/>
          <w:lang w:val="en-US" w:eastAsia="zh-CN"/>
        </w:rPr>
        <w:t>证书</w:t>
      </w:r>
      <w:r>
        <w:rPr>
          <w:rFonts w:hint="eastAsia" w:ascii="宋体" w:hAnsi="宋体" w:cs="宋体"/>
          <w:color w:val="auto"/>
          <w:sz w:val="24"/>
          <w:highlight w:val="none"/>
        </w:rPr>
        <w:t>；</w:t>
      </w:r>
    </w:p>
    <w:p w14:paraId="431DD293">
      <w:pPr>
        <w:pStyle w:val="968"/>
        <w:spacing w:line="360" w:lineRule="auto"/>
        <w:ind w:firstLineChars="175"/>
        <w:jc w:val="left"/>
        <w:rPr>
          <w:rFonts w:ascii="宋体" w:hAnsi="宋体" w:cs="宋体"/>
          <w:color w:val="auto"/>
          <w:sz w:val="24"/>
          <w:highlight w:val="none"/>
        </w:rPr>
      </w:pPr>
      <w:r>
        <w:rPr>
          <w:rFonts w:hint="eastAsia" w:ascii="宋体" w:hAnsi="宋体" w:cs="宋体"/>
          <w:color w:val="auto"/>
          <w:sz w:val="24"/>
          <w:highlight w:val="none"/>
        </w:rPr>
        <w:t>③拟派项目管理班子中施工员、安全员、质检员、材料员等重要岗位应人员配置齐全。</w:t>
      </w:r>
    </w:p>
    <w:p w14:paraId="7AFD256D">
      <w:pPr>
        <w:pStyle w:val="20"/>
        <w:numPr>
          <w:ilvl w:val="0"/>
          <w:numId w:val="6"/>
        </w:numPr>
        <w:spacing w:line="360" w:lineRule="auto"/>
        <w:jc w:val="both"/>
        <w:rPr>
          <w:rFonts w:ascii="宋体" w:hAnsi="宋体" w:cs="宋体"/>
          <w:color w:val="auto"/>
          <w:sz w:val="24"/>
          <w:highlight w:val="none"/>
        </w:rPr>
      </w:pPr>
      <w:r>
        <w:rPr>
          <w:rFonts w:hint="eastAsia" w:ascii="宋体" w:hAnsi="宋体" w:cs="宋体"/>
          <w:color w:val="auto"/>
          <w:sz w:val="24"/>
          <w:highlight w:val="none"/>
        </w:rPr>
        <w:t>工程管理其他要求</w:t>
      </w:r>
    </w:p>
    <w:p w14:paraId="79EE793F">
      <w:pPr>
        <w:pStyle w:val="968"/>
        <w:spacing w:line="360" w:lineRule="auto"/>
        <w:ind w:firstLineChars="175"/>
        <w:jc w:val="left"/>
        <w:rPr>
          <w:rFonts w:ascii="宋体" w:hAnsi="宋体" w:cs="宋体"/>
          <w:color w:val="auto"/>
          <w:sz w:val="24"/>
          <w:highlight w:val="none"/>
        </w:rPr>
      </w:pPr>
      <w:r>
        <w:rPr>
          <w:rFonts w:hint="eastAsia" w:ascii="宋体" w:hAnsi="宋体" w:cs="宋体"/>
          <w:color w:val="auto"/>
          <w:sz w:val="24"/>
          <w:highlight w:val="none"/>
        </w:rPr>
        <w:t>①本项目施工现场采购人不提供食宿，施工期间，所有施工人员的食宿均由成交供应商自行安排，材料的堆放及停车必须服从采购人的安排。</w:t>
      </w:r>
    </w:p>
    <w:p w14:paraId="057D7130">
      <w:pPr>
        <w:pStyle w:val="968"/>
        <w:spacing w:line="360" w:lineRule="auto"/>
        <w:ind w:firstLineChars="175"/>
        <w:jc w:val="left"/>
        <w:rPr>
          <w:rFonts w:ascii="宋体" w:hAnsi="宋体" w:cs="宋体"/>
          <w:color w:val="auto"/>
          <w:sz w:val="24"/>
          <w:highlight w:val="none"/>
        </w:rPr>
      </w:pPr>
      <w:r>
        <w:rPr>
          <w:rFonts w:hint="eastAsia" w:ascii="宋体" w:hAnsi="宋体" w:cs="宋体"/>
          <w:color w:val="auto"/>
          <w:sz w:val="24"/>
          <w:highlight w:val="none"/>
        </w:rPr>
        <w:t>②施工现场严禁吸烟。</w:t>
      </w:r>
    </w:p>
    <w:p w14:paraId="05B4E557">
      <w:pPr>
        <w:spacing w:line="360" w:lineRule="auto"/>
        <w:ind w:left="210" w:leftChars="100"/>
        <w:jc w:val="left"/>
        <w:rPr>
          <w:rFonts w:ascii="宋体" w:hAnsi="宋体" w:cs="宋体"/>
          <w:color w:val="auto"/>
          <w:sz w:val="24"/>
          <w:highlight w:val="none"/>
        </w:rPr>
      </w:pPr>
      <w:r>
        <w:rPr>
          <w:rFonts w:hint="eastAsia" w:ascii="宋体" w:hAnsi="宋体" w:cs="宋体"/>
          <w:color w:val="auto"/>
          <w:sz w:val="24"/>
          <w:highlight w:val="none"/>
        </w:rPr>
        <w:t xml:space="preserve">7.工程主要材料（设备）要求  </w:t>
      </w:r>
    </w:p>
    <w:p w14:paraId="0E8EFDE5">
      <w:pPr>
        <w:pStyle w:val="968"/>
        <w:numPr>
          <w:ilvl w:val="0"/>
          <w:numId w:val="7"/>
        </w:numPr>
        <w:snapToGrid w:val="0"/>
        <w:spacing w:line="360" w:lineRule="auto"/>
        <w:ind w:left="0" w:firstLine="420" w:firstLineChars="0"/>
        <w:jc w:val="left"/>
        <w:rPr>
          <w:rFonts w:ascii="宋体" w:hAnsi="宋体" w:cs="宋体"/>
          <w:color w:val="auto"/>
          <w:sz w:val="24"/>
          <w:highlight w:val="none"/>
        </w:rPr>
      </w:pPr>
      <w:r>
        <w:rPr>
          <w:rFonts w:hint="eastAsia" w:ascii="宋体" w:hAnsi="宋体" w:cs="宋体"/>
          <w:color w:val="auto"/>
          <w:sz w:val="24"/>
          <w:highlight w:val="none"/>
        </w:rPr>
        <w:t>本项目涉及的所有材料设备，必须经采购人/监理公司确认后方能采购、进场、加工、安装。否则一律不予承认，不予支付相应款项。</w:t>
      </w:r>
    </w:p>
    <w:p w14:paraId="2F2B6402">
      <w:pPr>
        <w:pStyle w:val="968"/>
        <w:numPr>
          <w:ilvl w:val="0"/>
          <w:numId w:val="7"/>
        </w:numPr>
        <w:snapToGrid w:val="0"/>
        <w:spacing w:line="360" w:lineRule="auto"/>
        <w:ind w:left="0" w:firstLine="420" w:firstLineChars="0"/>
        <w:jc w:val="left"/>
        <w:rPr>
          <w:rFonts w:ascii="宋体" w:hAnsi="宋体" w:cs="宋体"/>
          <w:b/>
          <w:color w:val="auto"/>
          <w:sz w:val="24"/>
          <w:highlight w:val="none"/>
        </w:rPr>
      </w:pPr>
      <w:r>
        <w:rPr>
          <w:rFonts w:hint="eastAsia" w:ascii="宋体" w:hAnsi="宋体" w:cs="宋体"/>
          <w:color w:val="auto"/>
          <w:sz w:val="24"/>
          <w:highlight w:val="none"/>
        </w:rPr>
        <w:t>材料规格：本磋商文件涉及的主要设备和材料，各供应商须根据磋商文件要求的用材规格进行选材并报价，并符合环保要求，严禁选择不符合施工图纸要求的低档材料进行响应报价及组织施工实施，如有其它国家强制性认证要求的也必须满足</w:t>
      </w:r>
      <w:r>
        <w:rPr>
          <w:rFonts w:hint="eastAsia" w:ascii="宋体" w:hAnsi="宋体" w:cs="宋体"/>
          <w:color w:val="auto"/>
          <w:sz w:val="24"/>
          <w:highlight w:val="none"/>
          <w:lang w:eastAsia="zh-CN"/>
        </w:rPr>
        <w:t>。</w:t>
      </w:r>
    </w:p>
    <w:p w14:paraId="13443C95">
      <w:pPr>
        <w:pStyle w:val="968"/>
        <w:numPr>
          <w:ilvl w:val="0"/>
          <w:numId w:val="7"/>
        </w:numPr>
        <w:snapToGrid w:val="0"/>
        <w:spacing w:line="360" w:lineRule="auto"/>
        <w:ind w:left="0" w:firstLine="420" w:firstLineChars="0"/>
        <w:jc w:val="left"/>
        <w:rPr>
          <w:rFonts w:ascii="宋体" w:hAnsi="宋体" w:cs="宋体"/>
          <w:color w:val="auto"/>
          <w:sz w:val="24"/>
          <w:highlight w:val="none"/>
        </w:rPr>
      </w:pPr>
      <w:r>
        <w:rPr>
          <w:rFonts w:hint="eastAsia" w:ascii="宋体" w:hAnsi="宋体" w:cs="宋体"/>
          <w:color w:val="auto"/>
          <w:sz w:val="24"/>
          <w:highlight w:val="none"/>
        </w:rPr>
        <w:t>供应商应在响应文件中写明各类主要材料（设备）的选用品牌、产地和规格，若未注明品牌的可由采购人自行选择。若成交后注明的品牌或采购人选择的品牌在施工期间市场上无现货供应，须进行订制，如该品牌无法订制时，采购人有权选择其它品牌。成交供应商不按该选用的材料和设备采购的，采购人有权拒绝验收。</w:t>
      </w:r>
    </w:p>
    <w:tbl>
      <w:tblPr>
        <w:tblStyle w:val="63"/>
        <w:tblW w:w="0" w:type="auto"/>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974"/>
        <w:gridCol w:w="3508"/>
        <w:gridCol w:w="4509"/>
      </w:tblGrid>
      <w:tr w14:paraId="2D4D1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74" w:type="dxa"/>
            <w:shd w:val="clear" w:color="auto" w:fill="auto"/>
            <w:vAlign w:val="center"/>
          </w:tcPr>
          <w:p w14:paraId="5C8624D3">
            <w:pPr>
              <w:pStyle w:val="968"/>
              <w:numPr>
                <w:ilvl w:val="0"/>
                <w:numId w:val="0"/>
              </w:numPr>
              <w:snapToGrid w:val="0"/>
              <w:spacing w:line="360" w:lineRule="auto"/>
              <w:jc w:val="center"/>
              <w:rPr>
                <w:rFonts w:hint="eastAsia" w:ascii="宋体" w:hAnsi="宋体" w:eastAsia="宋体" w:cs="宋体"/>
                <w:b/>
                <w:bCs/>
                <w:color w:val="auto"/>
                <w:sz w:val="24"/>
                <w:highlight w:val="none"/>
                <w:vertAlign w:val="baseline"/>
                <w:lang w:val="en-US" w:eastAsia="zh-CN"/>
              </w:rPr>
            </w:pPr>
            <w:r>
              <w:rPr>
                <w:rFonts w:hint="eastAsia" w:ascii="宋体" w:hAnsi="宋体" w:cs="宋体"/>
                <w:b/>
                <w:bCs/>
                <w:color w:val="auto"/>
                <w:sz w:val="24"/>
                <w:highlight w:val="none"/>
                <w:vertAlign w:val="baseline"/>
                <w:lang w:val="en-US" w:eastAsia="zh-CN"/>
              </w:rPr>
              <w:t>序号</w:t>
            </w:r>
          </w:p>
        </w:tc>
        <w:tc>
          <w:tcPr>
            <w:tcW w:w="3508" w:type="dxa"/>
            <w:shd w:val="clear" w:color="auto" w:fill="auto"/>
            <w:vAlign w:val="center"/>
          </w:tcPr>
          <w:p w14:paraId="2E39A94E">
            <w:pPr>
              <w:pStyle w:val="968"/>
              <w:numPr>
                <w:ilvl w:val="0"/>
                <w:numId w:val="0"/>
              </w:numPr>
              <w:snapToGrid w:val="0"/>
              <w:spacing w:line="360" w:lineRule="auto"/>
              <w:jc w:val="center"/>
              <w:rPr>
                <w:rFonts w:hint="default" w:ascii="宋体" w:hAnsi="宋体" w:eastAsia="宋体" w:cs="宋体"/>
                <w:b/>
                <w:bCs/>
                <w:color w:val="auto"/>
                <w:sz w:val="24"/>
                <w:highlight w:val="none"/>
                <w:vertAlign w:val="baseline"/>
                <w:lang w:val="en-US" w:eastAsia="zh-CN"/>
              </w:rPr>
            </w:pPr>
            <w:r>
              <w:rPr>
                <w:rFonts w:hint="eastAsia" w:ascii="宋体" w:hAnsi="宋体" w:cs="宋体"/>
                <w:b/>
                <w:bCs/>
                <w:color w:val="auto"/>
                <w:sz w:val="24"/>
                <w:highlight w:val="none"/>
                <w:vertAlign w:val="baseline"/>
                <w:lang w:val="en-US" w:eastAsia="zh-CN"/>
              </w:rPr>
              <w:t>主材名称</w:t>
            </w:r>
          </w:p>
        </w:tc>
        <w:tc>
          <w:tcPr>
            <w:tcW w:w="4509" w:type="dxa"/>
            <w:shd w:val="clear" w:color="auto" w:fill="auto"/>
            <w:vAlign w:val="center"/>
          </w:tcPr>
          <w:p w14:paraId="6C5B4A5B">
            <w:pPr>
              <w:pStyle w:val="968"/>
              <w:numPr>
                <w:ilvl w:val="0"/>
                <w:numId w:val="0"/>
              </w:numPr>
              <w:snapToGrid w:val="0"/>
              <w:spacing w:line="360" w:lineRule="auto"/>
              <w:jc w:val="center"/>
              <w:rPr>
                <w:rFonts w:hint="default" w:ascii="宋体" w:hAnsi="宋体" w:eastAsia="宋体" w:cs="宋体"/>
                <w:b/>
                <w:bCs/>
                <w:color w:val="auto"/>
                <w:sz w:val="24"/>
                <w:highlight w:val="none"/>
                <w:vertAlign w:val="baseline"/>
                <w:lang w:val="en-US" w:eastAsia="zh-CN"/>
              </w:rPr>
            </w:pPr>
            <w:r>
              <w:rPr>
                <w:rFonts w:hint="eastAsia" w:ascii="宋体" w:hAnsi="宋体" w:cs="宋体"/>
                <w:b/>
                <w:bCs/>
                <w:color w:val="auto"/>
                <w:sz w:val="24"/>
                <w:highlight w:val="none"/>
                <w:vertAlign w:val="baseline"/>
                <w:lang w:val="en-US" w:eastAsia="zh-CN"/>
              </w:rPr>
              <w:t>参考品牌</w:t>
            </w:r>
          </w:p>
        </w:tc>
      </w:tr>
      <w:tr w14:paraId="6CCE9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74" w:type="dxa"/>
            <w:shd w:val="clear" w:color="auto" w:fill="auto"/>
            <w:vAlign w:val="center"/>
          </w:tcPr>
          <w:p w14:paraId="6823AAEF">
            <w:pPr>
              <w:pStyle w:val="968"/>
              <w:numPr>
                <w:ilvl w:val="0"/>
                <w:numId w:val="0"/>
              </w:numPr>
              <w:snapToGrid w:val="0"/>
              <w:spacing w:line="360" w:lineRule="auto"/>
              <w:jc w:val="center"/>
              <w:rPr>
                <w:rFonts w:hint="eastAsia" w:ascii="宋体" w:hAnsi="宋体" w:eastAsia="宋体" w:cs="宋体"/>
                <w:color w:val="auto"/>
                <w:sz w:val="24"/>
                <w:highlight w:val="none"/>
                <w:vertAlign w:val="baseline"/>
                <w:lang w:val="en-US" w:eastAsia="zh-CN"/>
              </w:rPr>
            </w:pPr>
            <w:r>
              <w:rPr>
                <w:rFonts w:hint="eastAsia" w:ascii="宋体" w:hAnsi="宋体" w:cs="宋体"/>
                <w:color w:val="auto"/>
                <w:sz w:val="24"/>
                <w:highlight w:val="none"/>
                <w:vertAlign w:val="baseline"/>
                <w:lang w:val="en-US" w:eastAsia="zh-CN"/>
              </w:rPr>
              <w:t>1</w:t>
            </w:r>
          </w:p>
        </w:tc>
        <w:tc>
          <w:tcPr>
            <w:tcW w:w="3508" w:type="dxa"/>
            <w:shd w:val="clear" w:color="auto" w:fill="auto"/>
            <w:vAlign w:val="center"/>
          </w:tcPr>
          <w:p w14:paraId="38A4BE13">
            <w:pPr>
              <w:keepNext w:val="0"/>
              <w:keepLines w:val="0"/>
              <w:widowControl/>
              <w:suppressLineNumbers w:val="0"/>
              <w:jc w:val="center"/>
              <w:textAlignment w:val="center"/>
              <w:rPr>
                <w:rFonts w:ascii="宋体" w:hAnsi="宋体" w:cs="宋体"/>
                <w:color w:val="auto"/>
                <w:sz w:val="24"/>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外墙真石漆涂料</w:t>
            </w:r>
          </w:p>
        </w:tc>
        <w:tc>
          <w:tcPr>
            <w:tcW w:w="4509" w:type="dxa"/>
            <w:shd w:val="clear" w:color="auto" w:fill="auto"/>
            <w:vAlign w:val="center"/>
          </w:tcPr>
          <w:p w14:paraId="7375D8CF">
            <w:pPr>
              <w:keepNext w:val="0"/>
              <w:keepLines w:val="0"/>
              <w:widowControl/>
              <w:suppressLineNumbers w:val="0"/>
              <w:jc w:val="center"/>
              <w:textAlignment w:val="center"/>
              <w:rPr>
                <w:rFonts w:ascii="宋体" w:hAnsi="宋体" w:cs="宋体"/>
                <w:color w:val="auto"/>
                <w:sz w:val="24"/>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立邦、多乐士、三棵树或同等档次及以上</w:t>
            </w:r>
          </w:p>
        </w:tc>
      </w:tr>
      <w:tr w14:paraId="01AC6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 w:type="dxa"/>
            <w:shd w:val="clear" w:color="auto" w:fill="auto"/>
            <w:vAlign w:val="center"/>
          </w:tcPr>
          <w:p w14:paraId="5CCBE1DB">
            <w:pPr>
              <w:pStyle w:val="968"/>
              <w:numPr>
                <w:ilvl w:val="0"/>
                <w:numId w:val="0"/>
              </w:numPr>
              <w:snapToGrid w:val="0"/>
              <w:spacing w:line="360" w:lineRule="auto"/>
              <w:jc w:val="center"/>
              <w:rPr>
                <w:rFonts w:hint="eastAsia" w:ascii="宋体" w:hAnsi="宋体" w:eastAsia="宋体" w:cs="宋体"/>
                <w:color w:val="auto"/>
                <w:sz w:val="24"/>
                <w:highlight w:val="none"/>
                <w:vertAlign w:val="baseline"/>
                <w:lang w:val="en-US" w:eastAsia="zh-CN"/>
              </w:rPr>
            </w:pPr>
            <w:r>
              <w:rPr>
                <w:rFonts w:hint="eastAsia" w:ascii="宋体" w:hAnsi="宋体" w:cs="宋体"/>
                <w:color w:val="auto"/>
                <w:sz w:val="24"/>
                <w:highlight w:val="none"/>
                <w:vertAlign w:val="baseline"/>
                <w:lang w:val="en-US" w:eastAsia="zh-CN"/>
              </w:rPr>
              <w:t>2</w:t>
            </w:r>
          </w:p>
        </w:tc>
        <w:tc>
          <w:tcPr>
            <w:tcW w:w="3508" w:type="dxa"/>
            <w:shd w:val="clear" w:color="auto" w:fill="auto"/>
            <w:vAlign w:val="center"/>
          </w:tcPr>
          <w:p w14:paraId="3E1199B1">
            <w:pPr>
              <w:keepNext w:val="0"/>
              <w:keepLines w:val="0"/>
              <w:widowControl/>
              <w:suppressLineNumbers w:val="0"/>
              <w:jc w:val="center"/>
              <w:textAlignment w:val="center"/>
              <w:rPr>
                <w:rFonts w:ascii="宋体" w:hAnsi="宋体" w:cs="宋体"/>
                <w:color w:val="auto"/>
                <w:sz w:val="24"/>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铝板</w:t>
            </w:r>
          </w:p>
        </w:tc>
        <w:tc>
          <w:tcPr>
            <w:tcW w:w="4509" w:type="dxa"/>
            <w:shd w:val="clear" w:color="auto" w:fill="auto"/>
            <w:vAlign w:val="center"/>
          </w:tcPr>
          <w:p w14:paraId="05238C6F">
            <w:pPr>
              <w:keepNext w:val="0"/>
              <w:keepLines w:val="0"/>
              <w:widowControl/>
              <w:suppressLineNumbers w:val="0"/>
              <w:jc w:val="center"/>
              <w:textAlignment w:val="center"/>
              <w:rPr>
                <w:rFonts w:ascii="宋体" w:hAnsi="宋体" w:cs="宋体"/>
                <w:color w:val="auto"/>
                <w:sz w:val="24"/>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雅邦、列高、上海吉祥或同等档次及以上</w:t>
            </w:r>
          </w:p>
        </w:tc>
      </w:tr>
      <w:tr w14:paraId="20DEE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74" w:type="dxa"/>
            <w:shd w:val="clear" w:color="auto" w:fill="auto"/>
            <w:vAlign w:val="center"/>
          </w:tcPr>
          <w:p w14:paraId="23E194EC">
            <w:pPr>
              <w:pStyle w:val="968"/>
              <w:numPr>
                <w:ilvl w:val="0"/>
                <w:numId w:val="0"/>
              </w:numPr>
              <w:snapToGrid w:val="0"/>
              <w:spacing w:line="360" w:lineRule="auto"/>
              <w:jc w:val="center"/>
              <w:rPr>
                <w:rFonts w:hint="default" w:ascii="宋体" w:hAnsi="宋体" w:cs="宋体"/>
                <w:color w:val="auto"/>
                <w:sz w:val="24"/>
                <w:highlight w:val="none"/>
                <w:vertAlign w:val="baseline"/>
                <w:lang w:val="en-US" w:eastAsia="zh-CN"/>
              </w:rPr>
            </w:pPr>
            <w:r>
              <w:rPr>
                <w:rFonts w:hint="eastAsia" w:ascii="宋体" w:hAnsi="宋体" w:cs="宋体"/>
                <w:color w:val="auto"/>
                <w:sz w:val="24"/>
                <w:highlight w:val="none"/>
                <w:vertAlign w:val="baseline"/>
                <w:lang w:val="en-US" w:eastAsia="zh-CN"/>
              </w:rPr>
              <w:t>3</w:t>
            </w:r>
          </w:p>
        </w:tc>
        <w:tc>
          <w:tcPr>
            <w:tcW w:w="3508" w:type="dxa"/>
            <w:shd w:val="clear" w:color="auto" w:fill="auto"/>
            <w:vAlign w:val="center"/>
          </w:tcPr>
          <w:p w14:paraId="7AC25B1C">
            <w:pPr>
              <w:keepNext w:val="0"/>
              <w:keepLines w:val="0"/>
              <w:widowControl/>
              <w:suppressLineNumbers w:val="0"/>
              <w:jc w:val="center"/>
              <w:textAlignment w:val="center"/>
              <w:rPr>
                <w:rFonts w:ascii="宋体" w:hAnsi="宋体" w:cs="宋体"/>
                <w:color w:val="auto"/>
                <w:sz w:val="24"/>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铝合金型材</w:t>
            </w:r>
          </w:p>
        </w:tc>
        <w:tc>
          <w:tcPr>
            <w:tcW w:w="4509" w:type="dxa"/>
            <w:shd w:val="clear" w:color="auto" w:fill="auto"/>
            <w:vAlign w:val="center"/>
          </w:tcPr>
          <w:p w14:paraId="5E5D8E31">
            <w:pPr>
              <w:keepNext w:val="0"/>
              <w:keepLines w:val="0"/>
              <w:widowControl/>
              <w:suppressLineNumbers w:val="0"/>
              <w:jc w:val="center"/>
              <w:textAlignment w:val="center"/>
              <w:rPr>
                <w:rFonts w:ascii="宋体" w:hAnsi="宋体" w:cs="宋体"/>
                <w:color w:val="auto"/>
                <w:sz w:val="24"/>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广东凤铝、广东兴发、广东坚美或同等档次及以上</w:t>
            </w:r>
          </w:p>
        </w:tc>
      </w:tr>
      <w:tr w14:paraId="78033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74" w:type="dxa"/>
            <w:shd w:val="clear" w:color="auto" w:fill="auto"/>
            <w:vAlign w:val="center"/>
          </w:tcPr>
          <w:p w14:paraId="64F0EF69">
            <w:pPr>
              <w:pStyle w:val="968"/>
              <w:numPr>
                <w:ilvl w:val="0"/>
                <w:numId w:val="0"/>
              </w:numPr>
              <w:snapToGrid w:val="0"/>
              <w:spacing w:line="360" w:lineRule="auto"/>
              <w:jc w:val="center"/>
              <w:rPr>
                <w:rFonts w:hint="default" w:ascii="宋体" w:hAnsi="宋体" w:cs="宋体"/>
                <w:color w:val="auto"/>
                <w:sz w:val="24"/>
                <w:highlight w:val="none"/>
                <w:vertAlign w:val="baseline"/>
                <w:lang w:val="en-US" w:eastAsia="zh-CN"/>
              </w:rPr>
            </w:pPr>
            <w:r>
              <w:rPr>
                <w:rFonts w:hint="eastAsia" w:ascii="宋体" w:hAnsi="宋体" w:cs="宋体"/>
                <w:color w:val="auto"/>
                <w:sz w:val="24"/>
                <w:highlight w:val="none"/>
                <w:vertAlign w:val="baseline"/>
                <w:lang w:val="en-US" w:eastAsia="zh-CN"/>
              </w:rPr>
              <w:t>4</w:t>
            </w:r>
          </w:p>
        </w:tc>
        <w:tc>
          <w:tcPr>
            <w:tcW w:w="3508" w:type="dxa"/>
            <w:shd w:val="clear" w:color="auto" w:fill="auto"/>
            <w:vAlign w:val="center"/>
          </w:tcPr>
          <w:p w14:paraId="0E4367B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玻璃</w:t>
            </w:r>
          </w:p>
        </w:tc>
        <w:tc>
          <w:tcPr>
            <w:tcW w:w="4509" w:type="dxa"/>
            <w:shd w:val="clear" w:color="auto" w:fill="auto"/>
            <w:vAlign w:val="center"/>
          </w:tcPr>
          <w:p w14:paraId="06626F3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台玻、南玻、浙玻或同等档次及以上</w:t>
            </w:r>
          </w:p>
        </w:tc>
      </w:tr>
      <w:tr w14:paraId="4A314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 w:type="dxa"/>
            <w:shd w:val="clear" w:color="auto" w:fill="auto"/>
            <w:vAlign w:val="center"/>
          </w:tcPr>
          <w:p w14:paraId="566E415F">
            <w:pPr>
              <w:pStyle w:val="968"/>
              <w:numPr>
                <w:ilvl w:val="0"/>
                <w:numId w:val="0"/>
              </w:numPr>
              <w:snapToGrid w:val="0"/>
              <w:spacing w:line="360" w:lineRule="auto"/>
              <w:jc w:val="center"/>
              <w:rPr>
                <w:rFonts w:hint="default" w:ascii="宋体" w:hAnsi="宋体" w:cs="宋体"/>
                <w:color w:val="auto"/>
                <w:sz w:val="24"/>
                <w:highlight w:val="none"/>
                <w:vertAlign w:val="baseline"/>
                <w:lang w:val="en-US" w:eastAsia="zh-CN"/>
              </w:rPr>
            </w:pPr>
            <w:r>
              <w:rPr>
                <w:rFonts w:hint="eastAsia" w:ascii="宋体" w:hAnsi="宋体" w:cs="宋体"/>
                <w:color w:val="auto"/>
                <w:sz w:val="24"/>
                <w:highlight w:val="none"/>
                <w:vertAlign w:val="baseline"/>
                <w:lang w:val="en-US" w:eastAsia="zh-CN"/>
              </w:rPr>
              <w:t>5</w:t>
            </w:r>
          </w:p>
        </w:tc>
        <w:tc>
          <w:tcPr>
            <w:tcW w:w="3508" w:type="dxa"/>
            <w:shd w:val="clear" w:color="auto" w:fill="auto"/>
            <w:vAlign w:val="center"/>
          </w:tcPr>
          <w:p w14:paraId="1FC4D47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钢型材</w:t>
            </w:r>
          </w:p>
        </w:tc>
        <w:tc>
          <w:tcPr>
            <w:tcW w:w="4509" w:type="dxa"/>
            <w:shd w:val="clear" w:color="auto" w:fill="auto"/>
            <w:vAlign w:val="center"/>
          </w:tcPr>
          <w:p w14:paraId="77FDDA7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沙钢、永钢、宝钢或同等档次及以上</w:t>
            </w:r>
          </w:p>
        </w:tc>
      </w:tr>
    </w:tbl>
    <w:p w14:paraId="761746EA">
      <w:pPr>
        <w:pStyle w:val="968"/>
        <w:numPr>
          <w:ilvl w:val="0"/>
          <w:numId w:val="0"/>
        </w:numPr>
        <w:snapToGrid w:val="0"/>
        <w:spacing w:line="360" w:lineRule="auto"/>
        <w:ind w:left="420" w:leftChars="0"/>
        <w:jc w:val="left"/>
        <w:rPr>
          <w:rFonts w:ascii="宋体" w:hAnsi="宋体" w:cs="宋体"/>
          <w:color w:val="auto"/>
          <w:sz w:val="24"/>
          <w:highlight w:val="none"/>
        </w:rPr>
      </w:pPr>
    </w:p>
    <w:p w14:paraId="56962715">
      <w:pPr>
        <w:pStyle w:val="968"/>
        <w:numPr>
          <w:ilvl w:val="0"/>
          <w:numId w:val="7"/>
        </w:numPr>
        <w:snapToGrid w:val="0"/>
        <w:spacing w:line="360" w:lineRule="auto"/>
        <w:ind w:left="0" w:firstLine="420" w:firstLineChars="0"/>
        <w:jc w:val="left"/>
        <w:rPr>
          <w:rFonts w:ascii="宋体" w:hAnsi="宋体" w:cs="宋体"/>
          <w:color w:val="auto"/>
          <w:sz w:val="24"/>
          <w:highlight w:val="none"/>
        </w:rPr>
      </w:pPr>
      <w:r>
        <w:rPr>
          <w:rFonts w:hint="eastAsia" w:ascii="宋体" w:hAnsi="宋体" w:cs="宋体"/>
          <w:color w:val="auto"/>
          <w:sz w:val="24"/>
          <w:highlight w:val="none"/>
        </w:rPr>
        <w:t>供应商应当有详细的材料（设备）供应计划及质量保证措施</w:t>
      </w:r>
      <w:r>
        <w:rPr>
          <w:rFonts w:hint="eastAsia" w:ascii="宋体" w:hAnsi="宋体" w:cs="宋体"/>
          <w:color w:val="auto"/>
          <w:sz w:val="24"/>
          <w:highlight w:val="none"/>
          <w:lang w:eastAsia="zh-CN"/>
        </w:rPr>
        <w:t>。</w:t>
      </w:r>
    </w:p>
    <w:p w14:paraId="3C6E208F">
      <w:pPr>
        <w:pStyle w:val="968"/>
        <w:numPr>
          <w:ilvl w:val="0"/>
          <w:numId w:val="7"/>
        </w:numPr>
        <w:snapToGrid w:val="0"/>
        <w:spacing w:line="360" w:lineRule="auto"/>
        <w:ind w:left="0" w:firstLine="420" w:firstLineChars="0"/>
        <w:jc w:val="left"/>
        <w:rPr>
          <w:rFonts w:ascii="宋体" w:hAnsi="宋体" w:cs="宋体"/>
          <w:color w:val="auto"/>
          <w:sz w:val="24"/>
          <w:highlight w:val="none"/>
        </w:rPr>
      </w:pPr>
      <w:r>
        <w:rPr>
          <w:rFonts w:hint="eastAsia" w:ascii="宋体" w:hAnsi="宋体" w:cs="宋体"/>
          <w:color w:val="auto"/>
          <w:sz w:val="24"/>
          <w:highlight w:val="none"/>
        </w:rPr>
        <w:t>材料的质量要求：材料检验按法律、法规、文件规定的见证取样和送检规定的程序进行。凡检验结果证明其有害物质含量指标超标的产品不得在工程上使用。</w:t>
      </w:r>
    </w:p>
    <w:p w14:paraId="61862321">
      <w:pPr>
        <w:pStyle w:val="968"/>
        <w:numPr>
          <w:ilvl w:val="0"/>
          <w:numId w:val="7"/>
        </w:numPr>
        <w:snapToGrid w:val="0"/>
        <w:spacing w:line="360" w:lineRule="auto"/>
        <w:ind w:left="0" w:firstLine="420" w:firstLineChars="0"/>
        <w:jc w:val="left"/>
        <w:rPr>
          <w:rFonts w:ascii="宋体" w:hAnsi="宋体" w:cs="宋体"/>
          <w:color w:val="auto"/>
          <w:sz w:val="24"/>
          <w:highlight w:val="none"/>
        </w:rPr>
      </w:pPr>
      <w:r>
        <w:rPr>
          <w:rFonts w:ascii="宋体" w:hAnsi="宋体" w:cs="宋体"/>
          <w:color w:val="auto"/>
          <w:sz w:val="24"/>
          <w:highlight w:val="none"/>
        </w:rPr>
        <w:t>样品提供</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①</w:t>
      </w:r>
      <w:r>
        <w:rPr>
          <w:rFonts w:hint="eastAsia" w:ascii="宋体" w:hAnsi="宋体" w:cs="宋体"/>
          <w:color w:val="auto"/>
          <w:sz w:val="24"/>
          <w:highlight w:val="none"/>
        </w:rPr>
        <w:t>外墙真石漆涂料：提供不小于A4纸大小（21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*297</w:t>
      </w:r>
      <w:r>
        <w:rPr>
          <w:rFonts w:hint="eastAsia" w:ascii="宋体" w:hAnsi="宋体" w:cs="宋体"/>
          <w:color w:val="auto"/>
          <w:sz w:val="24"/>
          <w:highlight w:val="none"/>
          <w:lang w:val="en-US" w:eastAsia="zh-CN"/>
        </w:rPr>
        <w:t>m</w:t>
      </w:r>
      <w:r>
        <w:rPr>
          <w:rFonts w:hint="eastAsia" w:ascii="宋体" w:hAnsi="宋体" w:cs="宋体"/>
          <w:color w:val="auto"/>
          <w:sz w:val="24"/>
          <w:highlight w:val="none"/>
        </w:rPr>
        <w:t>m)的样板（颜色不限）</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②铝板（厚度按清单描述）：</w:t>
      </w:r>
      <w:r>
        <w:rPr>
          <w:rFonts w:hint="eastAsia" w:ascii="宋体" w:hAnsi="宋体" w:cs="宋体"/>
          <w:color w:val="auto"/>
          <w:sz w:val="24"/>
          <w:highlight w:val="none"/>
        </w:rPr>
        <w:t>提供不小于</w:t>
      </w:r>
      <w:r>
        <w:rPr>
          <w:rFonts w:hint="eastAsia" w:ascii="宋体" w:hAnsi="宋体" w:cs="宋体"/>
          <w:color w:val="auto"/>
          <w:sz w:val="24"/>
          <w:highlight w:val="none"/>
          <w:lang w:val="en-US" w:eastAsia="zh-CN"/>
        </w:rPr>
        <w:t>200</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300m</w:t>
      </w:r>
      <w:r>
        <w:rPr>
          <w:rFonts w:hint="eastAsia" w:ascii="宋体" w:hAnsi="宋体" w:cs="宋体"/>
          <w:color w:val="auto"/>
          <w:sz w:val="24"/>
          <w:highlight w:val="none"/>
        </w:rPr>
        <w:t>m的样板（颜色不限）</w:t>
      </w:r>
      <w:r>
        <w:rPr>
          <w:rFonts w:hint="eastAsia" w:ascii="宋体" w:hAnsi="宋体" w:cs="宋体"/>
          <w:color w:val="auto"/>
          <w:sz w:val="24"/>
          <w:highlight w:val="none"/>
          <w:lang w:eastAsia="zh-CN"/>
        </w:rPr>
        <w:t>。</w:t>
      </w:r>
    </w:p>
    <w:p w14:paraId="08920D5A">
      <w:pPr>
        <w:spacing w:line="360" w:lineRule="auto"/>
        <w:jc w:val="left"/>
        <w:rPr>
          <w:rFonts w:hint="eastAsia" w:ascii="宋体" w:hAnsi="宋体" w:cs="宋体"/>
          <w:b/>
          <w:bCs/>
          <w:color w:val="auto"/>
          <w:sz w:val="24"/>
          <w:highlight w:val="none"/>
        </w:rPr>
      </w:pPr>
    </w:p>
    <w:p w14:paraId="506E4496">
      <w:pPr>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三、商务要求</w:t>
      </w:r>
    </w:p>
    <w:p w14:paraId="4A838C08">
      <w:pPr>
        <w:spacing w:line="360" w:lineRule="auto"/>
        <w:ind w:left="210" w:leftChars="1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1.工期要求：合同签订接采购人开工通知后</w:t>
      </w:r>
      <w:r>
        <w:rPr>
          <w:rFonts w:hint="eastAsia" w:ascii="宋体" w:hAnsi="宋体" w:cs="宋体"/>
          <w:color w:val="auto"/>
          <w:sz w:val="24"/>
          <w:highlight w:val="none"/>
          <w:lang w:val="en-US" w:eastAsia="zh-CN"/>
        </w:rPr>
        <w:t>40</w:t>
      </w:r>
      <w:r>
        <w:rPr>
          <w:rFonts w:hint="eastAsia" w:ascii="宋体" w:hAnsi="宋体" w:cs="宋体"/>
          <w:color w:val="auto"/>
          <w:sz w:val="24"/>
          <w:highlight w:val="none"/>
        </w:rPr>
        <w:t>日历天内完成工程施工。</w:t>
      </w:r>
    </w:p>
    <w:p w14:paraId="5388E052">
      <w:pPr>
        <w:spacing w:line="360" w:lineRule="auto"/>
        <w:ind w:left="210" w:leftChars="1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2.工程地点：</w:t>
      </w:r>
      <w:r>
        <w:rPr>
          <w:rFonts w:hint="eastAsia" w:ascii="宋体" w:hAnsi="宋体" w:cs="宋体"/>
          <w:color w:val="auto"/>
          <w:sz w:val="24"/>
          <w:highlight w:val="none"/>
          <w:lang w:eastAsia="zh-CN"/>
        </w:rPr>
        <w:t>杭州市上城区凤凰山脚路166号</w:t>
      </w:r>
    </w:p>
    <w:p w14:paraId="08157367">
      <w:pPr>
        <w:spacing w:line="360" w:lineRule="auto"/>
        <w:ind w:left="210" w:leftChars="100"/>
        <w:jc w:val="left"/>
        <w:rPr>
          <w:rFonts w:ascii="宋体" w:hAnsi="宋体" w:cs="宋体"/>
          <w:color w:val="auto"/>
          <w:sz w:val="24"/>
          <w:highlight w:val="none"/>
        </w:rPr>
      </w:pPr>
      <w:r>
        <w:rPr>
          <w:rFonts w:hint="eastAsia" w:ascii="宋体" w:hAnsi="宋体" w:cs="宋体"/>
          <w:color w:val="auto"/>
          <w:sz w:val="24"/>
          <w:highlight w:val="none"/>
        </w:rPr>
        <w:t>3.付款条件（进度和方式）</w:t>
      </w:r>
    </w:p>
    <w:tbl>
      <w:tblPr>
        <w:tblStyle w:val="62"/>
        <w:tblW w:w="9000" w:type="dxa"/>
        <w:tblInd w:w="176"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75"/>
        <w:gridCol w:w="2150"/>
        <w:gridCol w:w="5875"/>
      </w:tblGrid>
      <w:tr w14:paraId="40696E6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14:paraId="7AF62AD4">
            <w:pPr>
              <w:spacing w:line="240" w:lineRule="auto"/>
              <w:jc w:val="center"/>
              <w:rPr>
                <w:rFonts w:ascii="宋体" w:hAnsi="宋体" w:cs="仿宋_GB2312"/>
                <w:color w:val="auto"/>
                <w:sz w:val="24"/>
                <w:highlight w:val="none"/>
              </w:rPr>
            </w:pPr>
            <w:r>
              <w:rPr>
                <w:rFonts w:hint="eastAsia" w:ascii="宋体" w:hAnsi="宋体" w:cs="仿宋_GB2312"/>
                <w:color w:val="auto"/>
                <w:sz w:val="24"/>
                <w:highlight w:val="none"/>
              </w:rPr>
              <w:t>序号</w:t>
            </w:r>
          </w:p>
        </w:tc>
        <w:tc>
          <w:tcPr>
            <w:tcW w:w="2150" w:type="dxa"/>
            <w:tcBorders>
              <w:top w:val="single" w:color="auto" w:sz="4" w:space="0"/>
              <w:left w:val="single" w:color="auto" w:sz="4" w:space="0"/>
              <w:bottom w:val="single" w:color="auto" w:sz="4" w:space="0"/>
              <w:right w:val="single" w:color="auto" w:sz="4" w:space="0"/>
            </w:tcBorders>
            <w:shd w:val="clear" w:color="auto" w:fill="auto"/>
            <w:vAlign w:val="center"/>
          </w:tcPr>
          <w:p w14:paraId="1B26B6AD">
            <w:pPr>
              <w:spacing w:line="240" w:lineRule="auto"/>
              <w:jc w:val="center"/>
              <w:rPr>
                <w:rFonts w:ascii="宋体" w:hAnsi="宋体" w:cs="仿宋_GB2312"/>
                <w:color w:val="auto"/>
                <w:sz w:val="24"/>
                <w:highlight w:val="none"/>
              </w:rPr>
            </w:pPr>
            <w:r>
              <w:rPr>
                <w:rFonts w:hint="eastAsia" w:ascii="宋体" w:hAnsi="宋体" w:cs="仿宋_GB2312"/>
                <w:color w:val="auto"/>
                <w:sz w:val="24"/>
                <w:highlight w:val="none"/>
              </w:rPr>
              <w:t>付款比例（%）</w:t>
            </w:r>
          </w:p>
        </w:tc>
        <w:tc>
          <w:tcPr>
            <w:tcW w:w="5875" w:type="dxa"/>
            <w:tcBorders>
              <w:top w:val="single" w:color="auto" w:sz="4" w:space="0"/>
              <w:left w:val="single" w:color="auto" w:sz="4" w:space="0"/>
              <w:bottom w:val="single" w:color="auto" w:sz="4" w:space="0"/>
              <w:right w:val="single" w:color="auto" w:sz="4" w:space="0"/>
            </w:tcBorders>
            <w:shd w:val="clear" w:color="auto" w:fill="auto"/>
            <w:vAlign w:val="center"/>
          </w:tcPr>
          <w:p w14:paraId="72728C78">
            <w:pPr>
              <w:spacing w:line="240" w:lineRule="auto"/>
              <w:jc w:val="center"/>
              <w:rPr>
                <w:rFonts w:ascii="宋体" w:hAnsi="宋体" w:cs="仿宋_GB2312"/>
                <w:color w:val="auto"/>
                <w:sz w:val="24"/>
                <w:highlight w:val="none"/>
              </w:rPr>
            </w:pPr>
            <w:r>
              <w:rPr>
                <w:rFonts w:hint="eastAsia" w:ascii="宋体" w:hAnsi="宋体" w:cs="仿宋_GB2312"/>
                <w:color w:val="auto"/>
                <w:sz w:val="24"/>
                <w:highlight w:val="none"/>
              </w:rPr>
              <w:t>付款方式</w:t>
            </w:r>
          </w:p>
        </w:tc>
      </w:tr>
      <w:tr w14:paraId="34D6CD1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747" w:hRule="atLeast"/>
        </w:trPr>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14:paraId="0948E837">
            <w:pPr>
              <w:spacing w:line="240" w:lineRule="auto"/>
              <w:jc w:val="center"/>
              <w:rPr>
                <w:rFonts w:ascii="宋体" w:hAnsi="宋体" w:cs="仿宋_GB2312"/>
                <w:color w:val="auto"/>
                <w:sz w:val="24"/>
                <w:highlight w:val="none"/>
              </w:rPr>
            </w:pPr>
            <w:r>
              <w:rPr>
                <w:rFonts w:hint="eastAsia" w:ascii="宋体" w:hAnsi="宋体" w:cs="宋体"/>
                <w:color w:val="auto"/>
                <w:sz w:val="24"/>
                <w:highlight w:val="none"/>
              </w:rPr>
              <w:t>1</w:t>
            </w:r>
          </w:p>
        </w:tc>
        <w:tc>
          <w:tcPr>
            <w:tcW w:w="2150" w:type="dxa"/>
            <w:tcBorders>
              <w:top w:val="single" w:color="auto" w:sz="4" w:space="0"/>
              <w:left w:val="single" w:color="auto" w:sz="4" w:space="0"/>
              <w:bottom w:val="single" w:color="auto" w:sz="4" w:space="0"/>
              <w:right w:val="single" w:color="auto" w:sz="4" w:space="0"/>
            </w:tcBorders>
            <w:shd w:val="clear" w:color="auto" w:fill="auto"/>
            <w:vAlign w:val="center"/>
          </w:tcPr>
          <w:p w14:paraId="273A10D0">
            <w:pPr>
              <w:spacing w:line="360" w:lineRule="auto"/>
              <w:jc w:val="center"/>
              <w:rPr>
                <w:rFonts w:ascii="宋体" w:hAnsi="宋体" w:cs="仿宋_GB2312"/>
                <w:color w:val="auto"/>
                <w:sz w:val="24"/>
                <w:highlight w:val="none"/>
              </w:rPr>
            </w:pPr>
            <w:r>
              <w:rPr>
                <w:rFonts w:hint="eastAsia" w:ascii="宋体" w:hAnsi="宋体" w:cs="宋体"/>
                <w:color w:val="auto"/>
                <w:sz w:val="24"/>
                <w:highlight w:val="none"/>
                <w:lang w:val="en-US" w:eastAsia="zh-CN"/>
              </w:rPr>
              <w:t>50</w:t>
            </w:r>
            <w:r>
              <w:rPr>
                <w:rFonts w:hint="eastAsia" w:ascii="宋体" w:hAnsi="宋体" w:cs="宋体"/>
                <w:color w:val="auto"/>
                <w:sz w:val="24"/>
                <w:highlight w:val="none"/>
              </w:rPr>
              <w:t>%</w:t>
            </w:r>
          </w:p>
        </w:tc>
        <w:tc>
          <w:tcPr>
            <w:tcW w:w="5875" w:type="dxa"/>
            <w:tcBorders>
              <w:top w:val="single" w:color="auto" w:sz="4" w:space="0"/>
              <w:left w:val="single" w:color="auto" w:sz="4" w:space="0"/>
              <w:bottom w:val="single" w:color="auto" w:sz="4" w:space="0"/>
              <w:right w:val="single" w:color="auto" w:sz="4" w:space="0"/>
            </w:tcBorders>
            <w:shd w:val="clear" w:color="auto" w:fill="auto"/>
            <w:vAlign w:val="center"/>
          </w:tcPr>
          <w:p w14:paraId="19FF2348">
            <w:pPr>
              <w:spacing w:line="360" w:lineRule="auto"/>
              <w:jc w:val="left"/>
              <w:rPr>
                <w:rFonts w:ascii="宋体" w:hAnsi="宋体" w:cs="仿宋_GB2312"/>
                <w:color w:val="auto"/>
                <w:sz w:val="24"/>
                <w:highlight w:val="none"/>
              </w:rPr>
            </w:pPr>
            <w:r>
              <w:rPr>
                <w:rFonts w:hint="eastAsia" w:ascii="宋体" w:hAnsi="宋体" w:cs="宋体"/>
                <w:color w:val="auto"/>
                <w:sz w:val="24"/>
                <w:highlight w:val="none"/>
              </w:rPr>
              <w:t>合同生效以及具备实施条件后5个工作日内，支付合同总价的</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0%预付款；</w:t>
            </w:r>
          </w:p>
        </w:tc>
      </w:tr>
      <w:tr w14:paraId="7ECB998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777" w:hRule="atLeast"/>
        </w:trPr>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14:paraId="5793951C">
            <w:pPr>
              <w:spacing w:line="240" w:lineRule="auto"/>
              <w:jc w:val="center"/>
              <w:rPr>
                <w:rFonts w:ascii="宋体" w:hAnsi="宋体" w:cs="仿宋_GB2312"/>
                <w:color w:val="auto"/>
                <w:sz w:val="24"/>
                <w:highlight w:val="none"/>
              </w:rPr>
            </w:pPr>
            <w:r>
              <w:rPr>
                <w:rFonts w:hint="eastAsia" w:ascii="宋体" w:hAnsi="宋体" w:cs="宋体"/>
                <w:color w:val="auto"/>
                <w:sz w:val="24"/>
                <w:highlight w:val="none"/>
              </w:rPr>
              <w:t>2</w:t>
            </w:r>
          </w:p>
        </w:tc>
        <w:tc>
          <w:tcPr>
            <w:tcW w:w="2150" w:type="dxa"/>
            <w:tcBorders>
              <w:top w:val="single" w:color="auto" w:sz="4" w:space="0"/>
              <w:left w:val="single" w:color="auto" w:sz="4" w:space="0"/>
              <w:bottom w:val="single" w:color="auto" w:sz="4" w:space="0"/>
              <w:right w:val="single" w:color="auto" w:sz="4" w:space="0"/>
            </w:tcBorders>
            <w:shd w:val="clear" w:color="auto" w:fill="auto"/>
            <w:vAlign w:val="center"/>
          </w:tcPr>
          <w:p w14:paraId="7BE55CC5">
            <w:pPr>
              <w:spacing w:line="360" w:lineRule="auto"/>
              <w:jc w:val="center"/>
              <w:rPr>
                <w:rFonts w:ascii="宋体" w:hAnsi="宋体" w:cs="仿宋_GB2312"/>
                <w:color w:val="auto"/>
                <w:sz w:val="24"/>
                <w:highlight w:val="none"/>
              </w:rPr>
            </w:pPr>
            <w:r>
              <w:rPr>
                <w:rFonts w:hint="eastAsia" w:ascii="宋体" w:hAnsi="宋体" w:cs="宋体"/>
                <w:color w:val="auto"/>
                <w:sz w:val="24"/>
                <w:highlight w:val="none"/>
                <w:lang w:val="en-US" w:eastAsia="zh-CN"/>
              </w:rPr>
              <w:t>40</w:t>
            </w:r>
            <w:r>
              <w:rPr>
                <w:rFonts w:hint="eastAsia" w:ascii="宋体" w:hAnsi="宋体" w:cs="宋体"/>
                <w:color w:val="auto"/>
                <w:sz w:val="24"/>
                <w:highlight w:val="none"/>
              </w:rPr>
              <w:t>%</w:t>
            </w:r>
          </w:p>
        </w:tc>
        <w:tc>
          <w:tcPr>
            <w:tcW w:w="5875" w:type="dxa"/>
            <w:tcBorders>
              <w:top w:val="single" w:color="auto" w:sz="4" w:space="0"/>
              <w:left w:val="single" w:color="auto" w:sz="4" w:space="0"/>
              <w:bottom w:val="single" w:color="auto" w:sz="4" w:space="0"/>
              <w:right w:val="single" w:color="auto" w:sz="4" w:space="0"/>
            </w:tcBorders>
            <w:shd w:val="clear" w:color="auto" w:fill="auto"/>
            <w:vAlign w:val="center"/>
          </w:tcPr>
          <w:p w14:paraId="0BD22378">
            <w:pPr>
              <w:spacing w:line="360" w:lineRule="auto"/>
              <w:jc w:val="left"/>
              <w:rPr>
                <w:rFonts w:ascii="宋体" w:hAnsi="宋体" w:cs="仿宋_GB2312"/>
                <w:color w:val="auto"/>
                <w:sz w:val="24"/>
                <w:highlight w:val="none"/>
              </w:rPr>
            </w:pPr>
            <w:r>
              <w:rPr>
                <w:rFonts w:hint="eastAsia" w:ascii="宋体" w:hAnsi="宋体" w:cs="宋体"/>
                <w:color w:val="auto"/>
                <w:sz w:val="24"/>
                <w:highlight w:val="none"/>
              </w:rPr>
              <w:t>项目完成施工交付验收且具备付款条件后5个工作日内，支付合同总价的</w:t>
            </w:r>
            <w:r>
              <w:rPr>
                <w:rFonts w:hint="eastAsia" w:ascii="宋体" w:hAnsi="宋体" w:cs="宋体"/>
                <w:color w:val="auto"/>
                <w:sz w:val="24"/>
                <w:highlight w:val="none"/>
                <w:lang w:val="en-US" w:eastAsia="zh-CN"/>
              </w:rPr>
              <w:t>40</w:t>
            </w:r>
            <w:r>
              <w:rPr>
                <w:rFonts w:hint="eastAsia" w:ascii="宋体" w:hAnsi="宋体" w:cs="宋体"/>
                <w:color w:val="auto"/>
                <w:sz w:val="24"/>
                <w:highlight w:val="none"/>
              </w:rPr>
              <w:t>%；</w:t>
            </w:r>
          </w:p>
        </w:tc>
      </w:tr>
      <w:tr w14:paraId="0566110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802" w:hRule="atLeast"/>
        </w:trPr>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14:paraId="0DFB2F06">
            <w:pPr>
              <w:spacing w:line="240" w:lineRule="auto"/>
              <w:jc w:val="center"/>
              <w:rPr>
                <w:rFonts w:ascii="宋体" w:hAnsi="宋体" w:cs="仿宋_GB2312"/>
                <w:color w:val="auto"/>
                <w:sz w:val="24"/>
                <w:highlight w:val="none"/>
              </w:rPr>
            </w:pPr>
            <w:r>
              <w:rPr>
                <w:rFonts w:hint="eastAsia" w:ascii="宋体" w:hAnsi="宋体" w:cs="宋体"/>
                <w:color w:val="auto"/>
                <w:sz w:val="24"/>
                <w:highlight w:val="none"/>
              </w:rPr>
              <w:t>3</w:t>
            </w:r>
          </w:p>
        </w:tc>
        <w:tc>
          <w:tcPr>
            <w:tcW w:w="2150" w:type="dxa"/>
            <w:tcBorders>
              <w:top w:val="single" w:color="auto" w:sz="4" w:space="0"/>
              <w:left w:val="single" w:color="auto" w:sz="4" w:space="0"/>
              <w:bottom w:val="single" w:color="auto" w:sz="4" w:space="0"/>
              <w:right w:val="single" w:color="auto" w:sz="4" w:space="0"/>
            </w:tcBorders>
            <w:shd w:val="clear" w:color="auto" w:fill="auto"/>
            <w:vAlign w:val="center"/>
          </w:tcPr>
          <w:p w14:paraId="0F5294FE">
            <w:pPr>
              <w:spacing w:line="360" w:lineRule="auto"/>
              <w:jc w:val="center"/>
              <w:rPr>
                <w:rFonts w:ascii="宋体" w:hAnsi="宋体" w:cs="仿宋_GB2312"/>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w:t>
            </w:r>
          </w:p>
        </w:tc>
        <w:tc>
          <w:tcPr>
            <w:tcW w:w="5875" w:type="dxa"/>
            <w:tcBorders>
              <w:top w:val="single" w:color="auto" w:sz="4" w:space="0"/>
              <w:left w:val="single" w:color="auto" w:sz="4" w:space="0"/>
              <w:bottom w:val="single" w:color="auto" w:sz="4" w:space="0"/>
              <w:right w:val="single" w:color="auto" w:sz="4" w:space="0"/>
            </w:tcBorders>
            <w:shd w:val="clear" w:color="auto" w:fill="auto"/>
            <w:vAlign w:val="center"/>
          </w:tcPr>
          <w:p w14:paraId="0F71B94E">
            <w:pPr>
              <w:spacing w:line="360" w:lineRule="auto"/>
              <w:jc w:val="left"/>
              <w:rPr>
                <w:rFonts w:ascii="宋体" w:hAnsi="宋体" w:cs="仿宋_GB2312"/>
                <w:color w:val="auto"/>
                <w:sz w:val="24"/>
                <w:highlight w:val="none"/>
              </w:rPr>
            </w:pPr>
            <w:r>
              <w:rPr>
                <w:rFonts w:hint="eastAsia" w:ascii="宋体" w:hAnsi="宋体" w:cs="宋体"/>
                <w:color w:val="auto"/>
                <w:sz w:val="24"/>
                <w:highlight w:val="none"/>
              </w:rPr>
              <w:t>项目验收合格并经有审价资质的机构审价，且具备付款条件后5个工作日内，支付剩余合同尾款。</w:t>
            </w:r>
          </w:p>
        </w:tc>
      </w:tr>
    </w:tbl>
    <w:p w14:paraId="66CD8AAE">
      <w:pPr>
        <w:keepNext w:val="0"/>
        <w:keepLines w:val="0"/>
        <w:pageBreakBefore w:val="0"/>
        <w:widowControl w:val="0"/>
        <w:kinsoku/>
        <w:wordWrap/>
        <w:overflowPunct/>
        <w:topLinePunct w:val="0"/>
        <w:autoSpaceDE/>
        <w:autoSpaceDN/>
        <w:bidi w:val="0"/>
        <w:adjustRightInd w:val="0"/>
        <w:snapToGrid w:val="0"/>
        <w:spacing w:before="0" w:beforeLines="50" w:line="360" w:lineRule="auto"/>
        <w:ind w:right="143" w:rightChars="68" w:firstLine="561" w:firstLineChars="234"/>
        <w:jc w:val="left"/>
        <w:textAlignment w:val="auto"/>
        <w:rPr>
          <w:rFonts w:ascii="宋体" w:hAnsi="宋体" w:cs="宋体"/>
          <w:color w:val="auto"/>
          <w:sz w:val="24"/>
          <w:highlight w:val="none"/>
        </w:rPr>
      </w:pPr>
      <w:r>
        <w:rPr>
          <w:rFonts w:hint="eastAsia" w:ascii="宋体" w:hAnsi="宋体" w:cs="宋体"/>
          <w:color w:val="auto"/>
          <w:sz w:val="24"/>
          <w:highlight w:val="none"/>
        </w:rPr>
        <w:t>4.本项目履约保证金最高收取1%，合同签订后5个工作日内缴纳，履约保证金以转账、金融机构、担保机构出具的保函等非现金形式缴纳。项目验收合格后无异议，30天内全额无息退回。</w:t>
      </w:r>
    </w:p>
    <w:p w14:paraId="62D2D5B7">
      <w:pPr>
        <w:spacing w:line="360" w:lineRule="auto"/>
        <w:jc w:val="left"/>
        <w:rPr>
          <w:rFonts w:ascii="宋体" w:hAnsi="宋体" w:cs="宋体"/>
          <w:color w:val="auto"/>
          <w:sz w:val="24"/>
          <w:highlight w:val="none"/>
        </w:rPr>
      </w:pPr>
      <w:r>
        <w:rPr>
          <w:rFonts w:hint="eastAsia" w:ascii="宋体" w:hAnsi="宋体" w:cs="宋体"/>
          <w:color w:val="auto"/>
          <w:sz w:val="24"/>
          <w:highlight w:val="none"/>
        </w:rPr>
        <w:t>5.工程售后服务要求</w:t>
      </w:r>
    </w:p>
    <w:p w14:paraId="1631818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（1）保修期：按工程质量保修书规定执行，质量保证期为本项目验收合格后不少于2年</w:t>
      </w:r>
      <w:r>
        <w:rPr>
          <w:rFonts w:hint="eastAsia" w:ascii="宋体" w:hAnsi="宋体"/>
          <w:color w:val="auto"/>
          <w:sz w:val="24"/>
          <w:highlight w:val="none"/>
          <w:u w:val="single"/>
        </w:rPr>
        <w:t>（具体详见工程质量保修书</w:t>
      </w:r>
      <w:r>
        <w:rPr>
          <w:rFonts w:hint="eastAsia" w:ascii="宋体" w:hAnsi="宋体"/>
          <w:color w:val="auto"/>
          <w:sz w:val="24"/>
          <w:highlight w:val="none"/>
          <w:u w:val="single"/>
          <w:lang w:eastAsia="zh-CN"/>
        </w:rPr>
        <w:t>，</w:t>
      </w:r>
      <w:r>
        <w:rPr>
          <w:rFonts w:hint="eastAsia" w:ascii="宋体" w:hAnsi="宋体"/>
          <w:color w:val="auto"/>
          <w:sz w:val="24"/>
          <w:highlight w:val="none"/>
          <w:u w:val="single"/>
          <w:lang w:val="en-US" w:eastAsia="zh-CN"/>
        </w:rPr>
        <w:t>装饰装修至少2年，防水至少5年</w:t>
      </w:r>
      <w:r>
        <w:rPr>
          <w:rFonts w:hint="eastAsia" w:ascii="宋体" w:hAnsi="宋体"/>
          <w:color w:val="auto"/>
          <w:sz w:val="24"/>
          <w:highlight w:val="none"/>
          <w:u w:val="single"/>
        </w:rPr>
        <w:t>）</w:t>
      </w:r>
      <w:r>
        <w:rPr>
          <w:rFonts w:hint="eastAsia" w:ascii="宋体" w:hAnsi="宋体" w:cs="宋体"/>
          <w:color w:val="auto"/>
          <w:sz w:val="24"/>
          <w:highlight w:val="none"/>
        </w:rPr>
        <w:t>。</w:t>
      </w:r>
    </w:p>
    <w:p w14:paraId="693C838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成交供应商应与采购人签订工程质量保修书，在质量保修期内，按照有关法律、法规、规章的管理规定和双方约定，承担本工程质量保修责任。</w:t>
      </w:r>
    </w:p>
    <w:p w14:paraId="0E7164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（2）在保修期内，成交供应商对有缺陷的部位必须无偿地给予修理与更换，并承担一切由此引起的对采购人或第三者的直接损失，除非该缺陷是由于人为破坏或合同规定的</w:t>
      </w:r>
      <w:r>
        <w:rPr>
          <w:rFonts w:hint="eastAsia" w:ascii="宋体" w:hAnsi="宋体" w:cs="宋体"/>
          <w:color w:val="auto"/>
          <w:sz w:val="24"/>
          <w:highlight w:val="none"/>
          <w:lang w:eastAsia="zh-CN"/>
        </w:rPr>
        <w:t>不可抗力</w:t>
      </w:r>
      <w:r>
        <w:rPr>
          <w:rFonts w:hint="eastAsia" w:ascii="宋体" w:hAnsi="宋体" w:cs="宋体"/>
          <w:color w:val="auto"/>
          <w:sz w:val="24"/>
          <w:highlight w:val="none"/>
        </w:rPr>
        <w:t>因素造成的损坏。</w:t>
      </w:r>
    </w:p>
    <w:p w14:paraId="74EC3B3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（3）成交供应商必须对所承包的工程的质量负全部责任，其责任不因其他材料生产商提供的</w:t>
      </w:r>
      <w:r>
        <w:rPr>
          <w:rFonts w:hint="eastAsia" w:ascii="宋体" w:hAnsi="宋体" w:cs="宋体"/>
          <w:color w:val="auto"/>
          <w:sz w:val="24"/>
          <w:highlight w:val="none"/>
          <w:lang w:val="en-US" w:eastAsia="zh-CN"/>
        </w:rPr>
        <w:t>质保书和合格证</w:t>
      </w:r>
      <w:r>
        <w:rPr>
          <w:rFonts w:hint="eastAsia" w:ascii="宋体" w:hAnsi="宋体" w:cs="宋体"/>
          <w:color w:val="auto"/>
          <w:sz w:val="24"/>
          <w:highlight w:val="none"/>
        </w:rPr>
        <w:t>而减轻或更改。</w:t>
      </w:r>
    </w:p>
    <w:p w14:paraId="1BF69EA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（4）供应商应当在缺陷责任期内具有完善的售后技术支持和服务体系，能够提供服务标准、服务流程、服务内容。</w:t>
      </w:r>
    </w:p>
    <w:p w14:paraId="0C9F7271">
      <w:pPr>
        <w:spacing w:line="360" w:lineRule="auto"/>
        <w:ind w:left="210" w:leftChars="100"/>
        <w:jc w:val="left"/>
        <w:rPr>
          <w:rFonts w:ascii="宋体" w:hAnsi="宋体" w:cs="宋体"/>
          <w:color w:val="auto"/>
          <w:sz w:val="24"/>
          <w:highlight w:val="none"/>
        </w:rPr>
      </w:pPr>
      <w:r>
        <w:rPr>
          <w:rFonts w:hint="eastAsia" w:ascii="宋体" w:hAnsi="宋体" w:cs="宋体"/>
          <w:color w:val="auto"/>
          <w:sz w:val="24"/>
          <w:highlight w:val="none"/>
        </w:rPr>
        <w:t>6.其他商务要求（包装和运输、保险等）</w:t>
      </w:r>
    </w:p>
    <w:p w14:paraId="2E880E43">
      <w:pPr>
        <w:spacing w:line="360" w:lineRule="auto"/>
        <w:ind w:firstLine="420"/>
        <w:jc w:val="left"/>
        <w:rPr>
          <w:rFonts w:ascii="宋体" w:hAnsi="宋体" w:cs="宋体"/>
          <w:color w:val="auto"/>
          <w:sz w:val="24"/>
          <w:highlight w:val="none"/>
        </w:rPr>
      </w:pPr>
      <w:r>
        <w:rPr>
          <w:rFonts w:hint="eastAsia" w:ascii="宋体" w:hAnsi="宋体" w:cs="宋体"/>
          <w:color w:val="auto"/>
          <w:sz w:val="24"/>
          <w:highlight w:val="none"/>
        </w:rPr>
        <w:t>（1）供应商应当将因校内搬运不便而产生的二次搬运费用计算在磋商报价中。</w:t>
      </w:r>
    </w:p>
    <w:p w14:paraId="5D51EE0F">
      <w:pPr>
        <w:spacing w:line="360" w:lineRule="auto"/>
        <w:ind w:firstLine="420"/>
        <w:jc w:val="left"/>
        <w:rPr>
          <w:rFonts w:hint="eastAsia" w:ascii="宋体" w:hAnsi="宋体" w:cs="宋体"/>
          <w:b/>
          <w:color w:val="auto"/>
          <w:sz w:val="24"/>
          <w:highlight w:val="none"/>
        </w:rPr>
      </w:pPr>
      <w:r>
        <w:rPr>
          <w:rFonts w:hint="eastAsia" w:ascii="宋体" w:hAnsi="宋体" w:cs="宋体"/>
          <w:color w:val="auto"/>
          <w:sz w:val="24"/>
          <w:highlight w:val="none"/>
        </w:rPr>
        <w:t>（2）供应商应当将与本项目有关的农民工工伤保险相关费用计算在磋商报价中。</w:t>
      </w:r>
    </w:p>
    <w:p w14:paraId="43C7DDC7">
      <w:pPr>
        <w:spacing w:line="360" w:lineRule="auto"/>
        <w:jc w:val="left"/>
        <w:rPr>
          <w:rFonts w:ascii="宋体" w:hAnsi="宋体" w:cs="宋体"/>
          <w:b/>
          <w:color w:val="auto"/>
          <w:sz w:val="24"/>
          <w:highlight w:val="none"/>
        </w:rPr>
      </w:pPr>
      <w:r>
        <w:rPr>
          <w:rFonts w:hint="eastAsia" w:ascii="宋体" w:hAnsi="宋体" w:cs="宋体"/>
          <w:b/>
          <w:color w:val="auto"/>
          <w:sz w:val="24"/>
          <w:highlight w:val="none"/>
        </w:rPr>
        <w:t>四、工程量清单报价要求</w:t>
      </w:r>
    </w:p>
    <w:p w14:paraId="6C5BECC8">
      <w:pPr>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根据工程量格式报价，投标报价文件编制页应有</w:t>
      </w:r>
      <w:r>
        <w:rPr>
          <w:rFonts w:hint="eastAsia" w:ascii="宋体" w:hAnsi="宋体" w:cs="宋体"/>
          <w:b/>
          <w:color w:val="auto"/>
          <w:sz w:val="24"/>
          <w:highlight w:val="none"/>
          <w:u w:val="single"/>
        </w:rPr>
        <w:t>具有编制造价师签字并盖执业章</w:t>
      </w:r>
      <w:r>
        <w:rPr>
          <w:rFonts w:hint="eastAsia" w:ascii="宋体" w:hAnsi="宋体" w:cs="宋体"/>
          <w:b/>
          <w:color w:val="auto"/>
          <w:sz w:val="24"/>
          <w:highlight w:val="none"/>
        </w:rPr>
        <w:t>；详细内容具体详见工程量清单（另附）。</w:t>
      </w:r>
    </w:p>
    <w:p w14:paraId="39AE8086">
      <w:pPr>
        <w:spacing w:line="360" w:lineRule="auto"/>
        <w:jc w:val="left"/>
        <w:rPr>
          <w:rFonts w:hint="eastAsia" w:ascii="宋体" w:hAnsi="宋体" w:cs="宋体"/>
          <w:b/>
          <w:color w:val="auto"/>
          <w:sz w:val="24"/>
          <w:highlight w:val="none"/>
        </w:rPr>
      </w:pPr>
    </w:p>
    <w:p w14:paraId="01EE5E5F">
      <w:pPr>
        <w:spacing w:line="360" w:lineRule="auto"/>
        <w:jc w:val="left"/>
        <w:rPr>
          <w:rFonts w:ascii="宋体" w:hAnsi="宋体" w:cs="宋体"/>
          <w:b/>
          <w:color w:val="auto"/>
          <w:sz w:val="24"/>
          <w:highlight w:val="none"/>
        </w:rPr>
      </w:pPr>
      <w:r>
        <w:rPr>
          <w:rFonts w:hint="eastAsia" w:ascii="宋体" w:hAnsi="宋体" w:cs="宋体"/>
          <w:b/>
          <w:color w:val="auto"/>
          <w:sz w:val="24"/>
          <w:highlight w:val="none"/>
        </w:rPr>
        <w:t>五、其他要求</w:t>
      </w:r>
    </w:p>
    <w:p w14:paraId="1C578077">
      <w:pPr>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1）各供应商应先到工地踏勘以充分了解工地位置、现状情况、及任何其它足以影响磋商报价的情况，任何因忽视或误解工地情况而导致的行政处罚、索赔或工期延长申请将不获批准。本项目为综合单价合同，除了清单和图纸（如有）外，可能涉及一些零星工程，请根据工地踏勘的实际情况进行综合考虑报价。在规定工期内完成采购范围全部工程内容的所有费用，包括完成本工程的直接费、间接费、利润、税金、风险费等，后期均不做调整。</w:t>
      </w:r>
    </w:p>
    <w:p w14:paraId="4DE9D185">
      <w:pPr>
        <w:snapToGrid w:val="0"/>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（2）因工程施工要求或工程管理要求而产生的各项潜在费用支出均由供应商自行考虑并计入响应总价且一次性包干。</w:t>
      </w:r>
    </w:p>
    <w:p w14:paraId="46899A21">
      <w:pPr>
        <w:snapToGrid w:val="0"/>
        <w:spacing w:line="360" w:lineRule="auto"/>
        <w:ind w:firstLine="422"/>
        <w:rPr>
          <w:rFonts w:ascii="宋体" w:hAnsi="宋体" w:cs="宋体"/>
          <w:color w:val="auto"/>
          <w:kern w:val="0"/>
          <w:sz w:val="24"/>
          <w:highlight w:val="none"/>
        </w:rPr>
      </w:pPr>
      <w:r>
        <w:rPr>
          <w:rFonts w:hint="eastAsia" w:ascii="宋体" w:hAnsi="宋体" w:cs="宋体"/>
          <w:color w:val="auto"/>
          <w:sz w:val="24"/>
          <w:highlight w:val="none"/>
        </w:rPr>
        <w:t>（3）</w:t>
      </w:r>
      <w:r>
        <w:rPr>
          <w:rFonts w:hint="eastAsia" w:ascii="宋体" w:hAnsi="宋体" w:cs="宋体"/>
          <w:color w:val="auto"/>
          <w:kern w:val="0"/>
          <w:sz w:val="24"/>
          <w:highlight w:val="none"/>
        </w:rPr>
        <w:t>本工程的组织措施费用为一次性包干使用，成交后不再作调整；技术措施费用中，按“项”计量的部分为一次性包干使用，成交后不再作调整。</w:t>
      </w:r>
    </w:p>
    <w:p w14:paraId="610EB0AF">
      <w:pPr>
        <w:snapToGrid w:val="0"/>
        <w:spacing w:line="360" w:lineRule="auto"/>
        <w:ind w:firstLine="422"/>
        <w:rPr>
          <w:rFonts w:ascii="宋体" w:hAnsi="宋体" w:cs="宋体"/>
          <w:color w:val="auto"/>
          <w:kern w:val="0"/>
          <w:sz w:val="24"/>
          <w:highlight w:val="none"/>
        </w:rPr>
      </w:pPr>
      <w:r>
        <w:rPr>
          <w:rFonts w:hint="eastAsia" w:ascii="宋体" w:hAnsi="宋体" w:cs="宋体"/>
          <w:color w:val="auto"/>
          <w:sz w:val="24"/>
          <w:highlight w:val="none"/>
        </w:rPr>
        <w:t>（4）</w:t>
      </w:r>
      <w:r>
        <w:rPr>
          <w:rFonts w:hint="eastAsia" w:ascii="宋体" w:hAnsi="宋体" w:cs="宋体"/>
          <w:color w:val="auto"/>
          <w:kern w:val="0"/>
          <w:sz w:val="24"/>
          <w:highlight w:val="none"/>
        </w:rPr>
        <w:t>与报价相关的其他事宜见本项目“工程量清单”。</w:t>
      </w:r>
    </w:p>
    <w:p w14:paraId="47046015">
      <w:pPr>
        <w:snapToGrid w:val="0"/>
        <w:spacing w:line="360" w:lineRule="auto"/>
        <w:ind w:firstLine="422"/>
        <w:rPr>
          <w:rFonts w:ascii="宋体" w:hAnsi="宋体" w:cs="宋体"/>
          <w:color w:val="auto"/>
          <w:kern w:val="0"/>
          <w:sz w:val="24"/>
          <w:highlight w:val="none"/>
        </w:rPr>
      </w:pPr>
      <w:r>
        <w:rPr>
          <w:rFonts w:hint="eastAsia" w:ascii="宋体" w:hAnsi="宋体" w:cs="宋体"/>
          <w:color w:val="auto"/>
          <w:kern w:val="0"/>
          <w:sz w:val="24"/>
          <w:highlight w:val="none"/>
        </w:rPr>
        <w:t>（5）技术响应要求：</w:t>
      </w:r>
    </w:p>
    <w:p w14:paraId="1200BFA7">
      <w:pPr>
        <w:pStyle w:val="968"/>
        <w:numPr>
          <w:ilvl w:val="0"/>
          <w:numId w:val="8"/>
        </w:numPr>
        <w:spacing w:line="360" w:lineRule="auto"/>
        <w:ind w:firstLineChars="0"/>
        <w:jc w:val="left"/>
        <w:rPr>
          <w:rFonts w:ascii="宋体" w:hAnsi="宋体" w:cs="宋体"/>
          <w:color w:val="auto"/>
          <w:sz w:val="24"/>
          <w:highlight w:val="none"/>
        </w:rPr>
      </w:pPr>
      <w:r>
        <w:rPr>
          <w:rFonts w:hint="eastAsia" w:ascii="宋体" w:hAnsi="宋体" w:cs="宋体"/>
          <w:color w:val="auto"/>
          <w:sz w:val="24"/>
          <w:highlight w:val="none"/>
        </w:rPr>
        <w:t>供应商应当有全面、合理、针对本项目的工程施工技术方案和措施，此工程施工技术方案应当具有明确的针对性和可操作性，各项施工措施应当明确、到位；</w:t>
      </w:r>
    </w:p>
    <w:p w14:paraId="14A01691">
      <w:pPr>
        <w:numPr>
          <w:ilvl w:val="0"/>
          <w:numId w:val="8"/>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供应商应当有全面、合理、针对本项目的施工组织设计，此施工组织设计应当具有明确的针对性和可操作性，施工组织设计应当明确、到位； </w:t>
      </w:r>
    </w:p>
    <w:p w14:paraId="114AE1B5">
      <w:pPr>
        <w:numPr>
          <w:ilvl w:val="0"/>
          <w:numId w:val="8"/>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供应商应当有全面、合理、针对本项目的主要施工方法，主要施工方法应当具有明确的针对性和可操作性，对施工的各道程序应当明确、到位；</w:t>
      </w:r>
    </w:p>
    <w:p w14:paraId="1BD8E6DC">
      <w:pPr>
        <w:numPr>
          <w:ilvl w:val="0"/>
          <w:numId w:val="8"/>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供应商应当有特殊施工环境的具体措施、预防自然灾害(台风及防汛等)的组织和技术措施；</w:t>
      </w:r>
    </w:p>
    <w:p w14:paraId="6CB0F237">
      <w:pPr>
        <w:numPr>
          <w:ilvl w:val="0"/>
          <w:numId w:val="8"/>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供应商应当有针对现场施工的具体降噪措施，包括针对教学的降噪措施和针对附近居民的降噪措施；</w:t>
      </w:r>
    </w:p>
    <w:p w14:paraId="684268F0">
      <w:pPr>
        <w:numPr>
          <w:ilvl w:val="0"/>
          <w:numId w:val="8"/>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供应商应当有针对材料设备进场计划及施工计划，材料设备的进场计划应当包含材料设备进场的包装、运输、进场验收等各个环节，施工计划应当包含施工的各个环节；</w:t>
      </w:r>
    </w:p>
    <w:p w14:paraId="1C1C8CEF">
      <w:pPr>
        <w:numPr>
          <w:ilvl w:val="0"/>
          <w:numId w:val="8"/>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供应商应当有针对工程特点、难点的分析，并根据本工程项目的特点、难点提出有针对性的施工方案与措施；</w:t>
      </w:r>
    </w:p>
    <w:p w14:paraId="335E4A4D">
      <w:pPr>
        <w:numPr>
          <w:ilvl w:val="0"/>
          <w:numId w:val="8"/>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供应商应当具有针对本项目施工特点的安全、文明施工及市政、市容、环保、消防等的保证措施；</w:t>
      </w:r>
    </w:p>
    <w:p w14:paraId="7C97AB81">
      <w:pPr>
        <w:numPr>
          <w:ilvl w:val="0"/>
          <w:numId w:val="8"/>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供应商应当具有针对本项目的具体成品保护措施，措施应当完善、到位；</w:t>
      </w:r>
    </w:p>
    <w:p w14:paraId="7D065A36">
      <w:pPr>
        <w:numPr>
          <w:ilvl w:val="0"/>
          <w:numId w:val="8"/>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供应商应当针对本项目施工工期要求编制进度计划及控制措施，包括人工的合理安排、工作量的前后分配等；</w:t>
      </w:r>
    </w:p>
    <w:p w14:paraId="4C5BEB4E">
      <w:pPr>
        <w:numPr>
          <w:ilvl w:val="0"/>
          <w:numId w:val="8"/>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供应商应具有针对本项目的具体施工质量控制措施，质量控制措施应当完善、到位；</w:t>
      </w:r>
    </w:p>
    <w:p w14:paraId="694D3B75">
      <w:pPr>
        <w:numPr>
          <w:ilvl w:val="0"/>
          <w:numId w:val="8"/>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供应商拟投入的施工机具和检验仪器应当满足施工工程现场的要求，其中施工机械和设备应当同时考虑小型建设施工和室内装饰的需要；</w:t>
      </w:r>
    </w:p>
    <w:p w14:paraId="6763D3F3">
      <w:pPr>
        <w:numPr>
          <w:ilvl w:val="0"/>
          <w:numId w:val="8"/>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供应商在缺陷责任期内应当具有完善的售后技术支持和服务体系，能够保证采购人在缺陷责任期内得到不少于本磋商文件所附工程质量保修书的相关服务要求。</w:t>
      </w:r>
    </w:p>
    <w:p w14:paraId="50F4D79C">
      <w:pPr>
        <w:numPr>
          <w:ilvl w:val="0"/>
          <w:numId w:val="0"/>
        </w:numPr>
        <w:snapToGrid w:val="0"/>
        <w:spacing w:line="360" w:lineRule="auto"/>
        <w:ind w:firstLine="480" w:firstLineChars="200"/>
        <w:rPr>
          <w:rFonts w:hint="eastAsia" w:ascii="宋体" w:hAnsi="宋体" w:cs="宋体"/>
          <w:b/>
          <w:color w:val="auto"/>
          <w:sz w:val="24"/>
          <w:highlight w:val="none"/>
          <w:lang w:val="en-US"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项目完成后，最终验收前，需要进行空气质量检测，并提供检测报告（检测费用包含在投标</w:t>
      </w:r>
      <w:r>
        <w:rPr>
          <w:rFonts w:hint="eastAsia" w:ascii="宋体" w:hAnsi="宋体" w:cs="宋体"/>
          <w:color w:val="auto"/>
          <w:kern w:val="0"/>
          <w:sz w:val="24"/>
          <w:highlight w:val="none"/>
          <w:lang w:val="en-US" w:eastAsia="zh-CN"/>
        </w:rPr>
        <w:t>总价</w:t>
      </w:r>
      <w:r>
        <w:rPr>
          <w:rFonts w:hint="eastAsia" w:ascii="宋体" w:hAnsi="宋体" w:cs="宋体"/>
          <w:color w:val="auto"/>
          <w:sz w:val="24"/>
          <w:highlight w:val="none"/>
          <w:lang w:val="en-US" w:eastAsia="zh-CN"/>
        </w:rPr>
        <w:t>内，请各投标人综合考虑）。</w:t>
      </w:r>
    </w:p>
    <w:p w14:paraId="4E640655">
      <w:pPr>
        <w:spacing w:line="360" w:lineRule="auto"/>
        <w:jc w:val="left"/>
        <w:rPr>
          <w:rFonts w:hint="eastAsia" w:ascii="宋体" w:hAnsi="宋体" w:cs="宋体"/>
          <w:b/>
          <w:color w:val="auto"/>
          <w:sz w:val="24"/>
          <w:highlight w:val="none"/>
          <w:lang w:val="en-US" w:eastAsia="zh-CN"/>
        </w:rPr>
      </w:pPr>
    </w:p>
    <w:p w14:paraId="09964FD3">
      <w:pPr>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lang w:val="en-US" w:eastAsia="zh-CN"/>
        </w:rPr>
        <w:t>六</w:t>
      </w:r>
      <w:r>
        <w:rPr>
          <w:rFonts w:hint="eastAsia" w:ascii="宋体" w:hAnsi="宋体" w:cs="宋体"/>
          <w:b/>
          <w:color w:val="auto"/>
          <w:sz w:val="24"/>
          <w:highlight w:val="none"/>
        </w:rPr>
        <w:t>、工程量清单（另附）</w:t>
      </w:r>
    </w:p>
    <w:p w14:paraId="25F51E79">
      <w:pPr>
        <w:spacing w:line="360" w:lineRule="auto"/>
        <w:jc w:val="left"/>
        <w:rPr>
          <w:rFonts w:hint="eastAsia" w:ascii="宋体" w:hAnsi="宋体" w:cs="宋体"/>
          <w:b/>
          <w:color w:val="auto"/>
          <w:sz w:val="24"/>
          <w:highlight w:val="none"/>
          <w:lang w:val="en-US" w:eastAsia="zh-CN"/>
        </w:rPr>
      </w:pPr>
    </w:p>
    <w:p w14:paraId="0068A130">
      <w:pPr>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lang w:val="en-US" w:eastAsia="zh-CN"/>
        </w:rPr>
        <w:t>七</w:t>
      </w:r>
      <w:r>
        <w:rPr>
          <w:rFonts w:hint="eastAsia" w:ascii="宋体" w:hAnsi="宋体" w:cs="宋体"/>
          <w:b/>
          <w:color w:val="auto"/>
          <w:sz w:val="24"/>
          <w:highlight w:val="none"/>
        </w:rPr>
        <w:t>、图纸（另附）</w:t>
      </w:r>
    </w:p>
    <w:p w14:paraId="17363AB2">
      <w:pPr>
        <w:snapToGrid w:val="0"/>
        <w:spacing w:line="360" w:lineRule="auto"/>
        <w:ind w:firstLine="422"/>
        <w:rPr>
          <w:rFonts w:hint="eastAsia" w:ascii="宋体" w:hAnsi="宋体" w:cs="宋体"/>
          <w:b/>
          <w:color w:val="auto"/>
          <w:sz w:val="24"/>
          <w:highlight w:val="none"/>
        </w:rPr>
      </w:pPr>
      <w:r>
        <w:rPr>
          <w:rFonts w:hint="eastAsia" w:ascii="宋体" w:hAnsi="宋体" w:cs="宋体"/>
          <w:b/>
          <w:color w:val="auto"/>
          <w:sz w:val="24"/>
          <w:highlight w:val="none"/>
        </w:rPr>
        <w:br w:type="page"/>
      </w:r>
    </w:p>
    <w:p w14:paraId="44B58932">
      <w:pPr>
        <w:numPr>
          <w:ilvl w:val="0"/>
          <w:numId w:val="0"/>
        </w:numPr>
        <w:snapToGrid w:val="0"/>
        <w:spacing w:line="360" w:lineRule="auto"/>
        <w:ind w:left="420" w:leftChars="0"/>
        <w:jc w:val="center"/>
        <w:rPr>
          <w:rFonts w:ascii="宋体" w:hAnsi="宋体" w:cs="宋体"/>
          <w:b/>
          <w:color w:val="auto"/>
          <w:sz w:val="36"/>
          <w:szCs w:val="20"/>
          <w:highlight w:val="none"/>
        </w:rPr>
      </w:pPr>
      <w:r>
        <w:rPr>
          <w:rFonts w:hint="eastAsia" w:ascii="宋体" w:hAnsi="宋体" w:cs="宋体"/>
          <w:b/>
          <w:color w:val="auto"/>
          <w:sz w:val="36"/>
          <w:szCs w:val="20"/>
          <w:highlight w:val="none"/>
        </w:rPr>
        <w:t>第四部分</w:t>
      </w:r>
      <w:bookmarkStart w:id="30" w:name="_Toc184314477"/>
      <w:bookmarkEnd w:id="30"/>
      <w:bookmarkStart w:id="31" w:name="_Toc184312132"/>
      <w:bookmarkEnd w:id="31"/>
      <w:bookmarkStart w:id="32" w:name="_Toc184310321"/>
      <w:bookmarkEnd w:id="32"/>
      <w:bookmarkStart w:id="33" w:name="_Toc184313302"/>
      <w:bookmarkEnd w:id="33"/>
      <w:bookmarkStart w:id="34" w:name="_Toc184313308"/>
      <w:bookmarkEnd w:id="34"/>
      <w:bookmarkStart w:id="35" w:name="_Toc184312109"/>
      <w:bookmarkEnd w:id="35"/>
      <w:bookmarkStart w:id="36" w:name="_Toc184313256"/>
      <w:bookmarkEnd w:id="36"/>
      <w:bookmarkStart w:id="37" w:name="_Toc184308080"/>
      <w:bookmarkEnd w:id="37"/>
      <w:bookmarkStart w:id="38" w:name="_Toc184313267"/>
      <w:bookmarkEnd w:id="38"/>
      <w:bookmarkStart w:id="39" w:name="_Toc184313306"/>
      <w:bookmarkEnd w:id="39"/>
      <w:bookmarkStart w:id="40" w:name="_Toc184310300"/>
      <w:bookmarkEnd w:id="40"/>
      <w:bookmarkStart w:id="41" w:name="_Toc184308058"/>
      <w:bookmarkEnd w:id="41"/>
      <w:bookmarkStart w:id="42" w:name="_Toc184313286"/>
      <w:bookmarkEnd w:id="42"/>
      <w:bookmarkStart w:id="43" w:name="_Toc184310310"/>
      <w:bookmarkEnd w:id="43"/>
      <w:bookmarkStart w:id="44" w:name="_Toc184310335"/>
      <w:bookmarkEnd w:id="44"/>
      <w:bookmarkStart w:id="45" w:name="_Toc184312088"/>
      <w:bookmarkEnd w:id="45"/>
      <w:bookmarkStart w:id="46" w:name="_Toc184313300"/>
      <w:bookmarkEnd w:id="46"/>
      <w:bookmarkStart w:id="47" w:name="_Toc184313310"/>
      <w:bookmarkEnd w:id="47"/>
      <w:bookmarkStart w:id="48" w:name="_Toc184312103"/>
      <w:bookmarkEnd w:id="48"/>
      <w:bookmarkStart w:id="49" w:name="_Toc184313262"/>
      <w:bookmarkEnd w:id="49"/>
      <w:bookmarkStart w:id="50" w:name="_Toc184314432"/>
      <w:bookmarkEnd w:id="50"/>
      <w:bookmarkStart w:id="51" w:name="_Toc184313292"/>
      <w:bookmarkEnd w:id="51"/>
      <w:bookmarkStart w:id="52" w:name="_Toc184313270"/>
      <w:bookmarkEnd w:id="52"/>
      <w:bookmarkStart w:id="53" w:name="_Toc184310292"/>
      <w:bookmarkEnd w:id="53"/>
      <w:bookmarkStart w:id="54" w:name="_Toc184312117"/>
      <w:bookmarkEnd w:id="54"/>
      <w:bookmarkStart w:id="55" w:name="_Toc184312074"/>
      <w:bookmarkEnd w:id="55"/>
      <w:bookmarkStart w:id="56" w:name="_Toc184313294"/>
      <w:bookmarkEnd w:id="56"/>
      <w:bookmarkStart w:id="57" w:name="_Toc184313253"/>
      <w:bookmarkEnd w:id="57"/>
      <w:bookmarkStart w:id="58" w:name="_Toc184314410"/>
      <w:bookmarkEnd w:id="58"/>
      <w:bookmarkStart w:id="59" w:name="_Toc184312131"/>
      <w:bookmarkEnd w:id="59"/>
      <w:bookmarkStart w:id="60" w:name="_Toc184313260"/>
      <w:bookmarkEnd w:id="60"/>
      <w:bookmarkStart w:id="61" w:name="_Toc184312086"/>
      <w:bookmarkEnd w:id="61"/>
      <w:bookmarkStart w:id="62" w:name="_Toc184313271"/>
      <w:bookmarkEnd w:id="62"/>
      <w:bookmarkStart w:id="63" w:name="_Toc184313269"/>
      <w:bookmarkEnd w:id="63"/>
      <w:bookmarkStart w:id="64" w:name="_Toc184308094"/>
      <w:bookmarkEnd w:id="64"/>
      <w:bookmarkStart w:id="65" w:name="_Toc184313299"/>
      <w:bookmarkEnd w:id="65"/>
      <w:bookmarkStart w:id="66" w:name="_Toc184310325"/>
      <w:bookmarkEnd w:id="66"/>
      <w:bookmarkStart w:id="67" w:name="_Toc184310297"/>
      <w:bookmarkEnd w:id="67"/>
      <w:bookmarkStart w:id="68" w:name="_Toc184308036"/>
      <w:bookmarkEnd w:id="68"/>
      <w:bookmarkStart w:id="69" w:name="_Toc184308098"/>
      <w:bookmarkEnd w:id="69"/>
      <w:bookmarkStart w:id="70" w:name="_Toc184314424"/>
      <w:bookmarkEnd w:id="70"/>
      <w:bookmarkStart w:id="71" w:name="_Toc184312100"/>
      <w:bookmarkEnd w:id="71"/>
      <w:bookmarkStart w:id="72" w:name="_Toc184313238"/>
      <w:bookmarkEnd w:id="72"/>
      <w:bookmarkStart w:id="73" w:name="_Toc184310279"/>
      <w:bookmarkEnd w:id="73"/>
      <w:bookmarkStart w:id="74" w:name="_Toc184308057"/>
      <w:bookmarkEnd w:id="74"/>
      <w:bookmarkStart w:id="75" w:name="_Toc184308106"/>
      <w:bookmarkEnd w:id="75"/>
      <w:bookmarkStart w:id="76" w:name="_Toc184310291"/>
      <w:bookmarkEnd w:id="76"/>
      <w:bookmarkStart w:id="77" w:name="_Toc184310332"/>
      <w:bookmarkEnd w:id="77"/>
      <w:bookmarkStart w:id="78" w:name="_Toc184312078"/>
      <w:bookmarkEnd w:id="78"/>
      <w:bookmarkStart w:id="79" w:name="_Toc184310275"/>
      <w:bookmarkEnd w:id="79"/>
      <w:bookmarkStart w:id="80" w:name="_Toc184314455"/>
      <w:bookmarkEnd w:id="80"/>
      <w:bookmarkStart w:id="81" w:name="_Toc184308069"/>
      <w:bookmarkEnd w:id="81"/>
      <w:bookmarkStart w:id="82" w:name="_Toc184310290"/>
      <w:bookmarkEnd w:id="82"/>
      <w:bookmarkStart w:id="83" w:name="_Toc184314417"/>
      <w:bookmarkEnd w:id="83"/>
      <w:bookmarkStart w:id="84" w:name="_Toc184312130"/>
      <w:bookmarkEnd w:id="84"/>
      <w:bookmarkStart w:id="85" w:name="_Toc184308068"/>
      <w:bookmarkEnd w:id="85"/>
      <w:bookmarkStart w:id="86" w:name="_Toc184312111"/>
      <w:bookmarkEnd w:id="86"/>
      <w:bookmarkStart w:id="87" w:name="_Toc184308037"/>
      <w:bookmarkEnd w:id="87"/>
      <w:bookmarkStart w:id="88" w:name="_Toc184314468"/>
      <w:bookmarkEnd w:id="88"/>
      <w:bookmarkStart w:id="89" w:name="_Toc184308067"/>
      <w:bookmarkEnd w:id="89"/>
      <w:bookmarkStart w:id="90" w:name="_Toc184313268"/>
      <w:bookmarkEnd w:id="90"/>
      <w:bookmarkStart w:id="91" w:name="_Toc184308046"/>
      <w:bookmarkEnd w:id="91"/>
      <w:bookmarkStart w:id="92" w:name="_Toc184312085"/>
      <w:bookmarkEnd w:id="92"/>
      <w:bookmarkStart w:id="93" w:name="_Toc184313290"/>
      <w:bookmarkEnd w:id="93"/>
      <w:bookmarkStart w:id="94" w:name="_Toc184312077"/>
      <w:bookmarkEnd w:id="94"/>
      <w:bookmarkStart w:id="95" w:name="_Toc184314418"/>
      <w:bookmarkEnd w:id="95"/>
      <w:bookmarkStart w:id="96" w:name="_Toc184313243"/>
      <w:bookmarkEnd w:id="96"/>
      <w:bookmarkStart w:id="97" w:name="_Toc184310329"/>
      <w:bookmarkEnd w:id="97"/>
      <w:bookmarkStart w:id="98" w:name="_Toc184310281"/>
      <w:bookmarkEnd w:id="98"/>
      <w:bookmarkStart w:id="99" w:name="_Toc184314464"/>
      <w:bookmarkEnd w:id="99"/>
      <w:bookmarkStart w:id="100" w:name="_Toc184313304"/>
      <w:bookmarkEnd w:id="100"/>
      <w:bookmarkStart w:id="101" w:name="_Toc184310308"/>
      <w:bookmarkEnd w:id="101"/>
      <w:bookmarkStart w:id="102" w:name="_Toc184314440"/>
      <w:bookmarkEnd w:id="102"/>
      <w:bookmarkStart w:id="103" w:name="_Toc184313251"/>
      <w:bookmarkEnd w:id="103"/>
      <w:bookmarkStart w:id="104" w:name="_Toc184308089"/>
      <w:bookmarkEnd w:id="104"/>
      <w:bookmarkStart w:id="105" w:name="_Toc184313240"/>
      <w:bookmarkEnd w:id="105"/>
      <w:bookmarkStart w:id="106" w:name="_Toc184314446"/>
      <w:bookmarkEnd w:id="106"/>
      <w:bookmarkStart w:id="107" w:name="_Toc184314479"/>
      <w:bookmarkEnd w:id="107"/>
      <w:bookmarkStart w:id="108" w:name="_Toc184308050"/>
      <w:bookmarkEnd w:id="108"/>
      <w:bookmarkStart w:id="109" w:name="_Toc184310339"/>
      <w:bookmarkEnd w:id="109"/>
      <w:bookmarkStart w:id="110" w:name="_Toc184312081"/>
      <w:bookmarkEnd w:id="110"/>
      <w:bookmarkStart w:id="111" w:name="_Toc184313296"/>
      <w:bookmarkEnd w:id="111"/>
      <w:bookmarkStart w:id="112" w:name="_Toc184313281"/>
      <w:bookmarkEnd w:id="112"/>
      <w:bookmarkStart w:id="113" w:name="_Toc184308108"/>
      <w:bookmarkEnd w:id="113"/>
      <w:bookmarkStart w:id="114" w:name="_Toc184314437"/>
      <w:bookmarkEnd w:id="114"/>
      <w:bookmarkStart w:id="115" w:name="_Toc184310338"/>
      <w:bookmarkEnd w:id="115"/>
      <w:bookmarkStart w:id="116" w:name="_Toc184312110"/>
      <w:bookmarkEnd w:id="116"/>
      <w:bookmarkStart w:id="117" w:name="_Toc184310343"/>
      <w:bookmarkEnd w:id="117"/>
      <w:bookmarkStart w:id="118" w:name="_Toc184314416"/>
      <w:bookmarkEnd w:id="118"/>
      <w:bookmarkStart w:id="119" w:name="_Toc184310313"/>
      <w:bookmarkEnd w:id="119"/>
      <w:bookmarkStart w:id="120" w:name="_Toc184308107"/>
      <w:bookmarkEnd w:id="120"/>
      <w:bookmarkStart w:id="121" w:name="_Toc184310287"/>
      <w:bookmarkEnd w:id="121"/>
      <w:bookmarkStart w:id="122" w:name="_Toc184312114"/>
      <w:bookmarkEnd w:id="122"/>
      <w:bookmarkStart w:id="123" w:name="_Toc184308047"/>
      <w:bookmarkEnd w:id="123"/>
      <w:bookmarkStart w:id="124" w:name="_Toc184312124"/>
      <w:bookmarkEnd w:id="124"/>
      <w:bookmarkStart w:id="125" w:name="_Toc184312126"/>
      <w:bookmarkEnd w:id="125"/>
      <w:bookmarkStart w:id="126" w:name="_Toc184310286"/>
      <w:bookmarkEnd w:id="126"/>
      <w:bookmarkStart w:id="127" w:name="_Toc184314448"/>
      <w:bookmarkEnd w:id="127"/>
      <w:bookmarkStart w:id="128" w:name="_Toc184308097"/>
      <w:bookmarkEnd w:id="128"/>
      <w:bookmarkStart w:id="129" w:name="_Toc184314470"/>
      <w:bookmarkEnd w:id="129"/>
      <w:bookmarkStart w:id="130" w:name="_Toc184313258"/>
      <w:bookmarkEnd w:id="130"/>
      <w:bookmarkStart w:id="131" w:name="_Toc184310294"/>
      <w:bookmarkEnd w:id="131"/>
      <w:bookmarkStart w:id="132" w:name="_Toc184313261"/>
      <w:bookmarkEnd w:id="132"/>
      <w:bookmarkStart w:id="133" w:name="_Toc184310277"/>
      <w:bookmarkEnd w:id="133"/>
      <w:bookmarkStart w:id="134" w:name="_Toc184308051"/>
      <w:bookmarkEnd w:id="134"/>
      <w:bookmarkStart w:id="135" w:name="_Toc184310322"/>
      <w:bookmarkEnd w:id="135"/>
      <w:bookmarkStart w:id="136" w:name="_Toc184313276"/>
      <w:bookmarkEnd w:id="136"/>
      <w:bookmarkStart w:id="137" w:name="_Toc184310317"/>
      <w:bookmarkEnd w:id="137"/>
      <w:bookmarkStart w:id="138" w:name="_Toc184310301"/>
      <w:bookmarkEnd w:id="138"/>
      <w:bookmarkStart w:id="139" w:name="_Toc184312104"/>
      <w:bookmarkEnd w:id="139"/>
      <w:bookmarkStart w:id="140" w:name="_Toc184312115"/>
      <w:bookmarkEnd w:id="140"/>
      <w:bookmarkStart w:id="141" w:name="_Toc184308088"/>
      <w:bookmarkEnd w:id="141"/>
      <w:bookmarkStart w:id="142" w:name="_Toc184308066"/>
      <w:bookmarkEnd w:id="142"/>
      <w:bookmarkStart w:id="143" w:name="_Toc184314456"/>
      <w:bookmarkEnd w:id="143"/>
      <w:bookmarkStart w:id="144" w:name="_Toc184312133"/>
      <w:bookmarkEnd w:id="144"/>
      <w:bookmarkStart w:id="145" w:name="_Toc184314413"/>
      <w:bookmarkEnd w:id="145"/>
      <w:bookmarkStart w:id="146" w:name="_Toc184313250"/>
      <w:bookmarkEnd w:id="146"/>
      <w:bookmarkStart w:id="147" w:name="_Toc184314457"/>
      <w:bookmarkEnd w:id="147"/>
      <w:bookmarkStart w:id="148" w:name="_Toc184308071"/>
      <w:bookmarkEnd w:id="148"/>
      <w:bookmarkStart w:id="149" w:name="_Toc184310303"/>
      <w:bookmarkEnd w:id="149"/>
      <w:bookmarkStart w:id="150" w:name="_Toc184308040"/>
      <w:bookmarkEnd w:id="150"/>
      <w:bookmarkStart w:id="151" w:name="_Toc184313279"/>
      <w:bookmarkEnd w:id="151"/>
      <w:bookmarkStart w:id="152" w:name="_Toc184310276"/>
      <w:bookmarkEnd w:id="152"/>
      <w:bookmarkStart w:id="153" w:name="_Toc184312134"/>
      <w:bookmarkEnd w:id="153"/>
      <w:bookmarkStart w:id="154" w:name="_Toc184310330"/>
      <w:bookmarkEnd w:id="154"/>
      <w:bookmarkStart w:id="155" w:name="_Toc184310295"/>
      <w:bookmarkEnd w:id="155"/>
      <w:bookmarkStart w:id="156" w:name="_Toc184312076"/>
      <w:bookmarkEnd w:id="156"/>
      <w:bookmarkStart w:id="157" w:name="_Toc184314435"/>
      <w:bookmarkEnd w:id="157"/>
      <w:bookmarkStart w:id="158" w:name="_Toc184314422"/>
      <w:bookmarkEnd w:id="158"/>
      <w:bookmarkStart w:id="159" w:name="_Toc184310334"/>
      <w:bookmarkEnd w:id="159"/>
      <w:bookmarkStart w:id="160" w:name="_Toc184312137"/>
      <w:bookmarkEnd w:id="160"/>
      <w:bookmarkStart w:id="161" w:name="_Toc184314466"/>
      <w:bookmarkEnd w:id="161"/>
      <w:bookmarkStart w:id="162" w:name="_Toc184313277"/>
      <w:bookmarkEnd w:id="162"/>
      <w:bookmarkStart w:id="163" w:name="_Toc184312138"/>
      <w:bookmarkEnd w:id="163"/>
      <w:bookmarkStart w:id="164" w:name="_Toc184312120"/>
      <w:bookmarkEnd w:id="164"/>
      <w:bookmarkStart w:id="165" w:name="_Toc184313247"/>
      <w:bookmarkEnd w:id="165"/>
      <w:bookmarkStart w:id="166" w:name="_Toc184308075"/>
      <w:bookmarkEnd w:id="166"/>
      <w:bookmarkStart w:id="167" w:name="_Toc184308090"/>
      <w:bookmarkEnd w:id="167"/>
      <w:bookmarkStart w:id="168" w:name="_Toc184314447"/>
      <w:bookmarkEnd w:id="168"/>
      <w:bookmarkStart w:id="169" w:name="_Toc184310323"/>
      <w:bookmarkEnd w:id="169"/>
      <w:bookmarkStart w:id="170" w:name="_Toc184314471"/>
      <w:bookmarkEnd w:id="170"/>
      <w:bookmarkStart w:id="171" w:name="_Toc184312072"/>
      <w:bookmarkEnd w:id="171"/>
      <w:bookmarkStart w:id="172" w:name="_Toc184308100"/>
      <w:bookmarkEnd w:id="172"/>
      <w:bookmarkStart w:id="173" w:name="_Toc184313248"/>
      <w:bookmarkEnd w:id="173"/>
      <w:bookmarkStart w:id="174" w:name="_Toc184313241"/>
      <w:bookmarkEnd w:id="174"/>
      <w:bookmarkStart w:id="175" w:name="_Toc184312123"/>
      <w:bookmarkEnd w:id="175"/>
      <w:bookmarkStart w:id="176" w:name="_Toc184312113"/>
      <w:bookmarkEnd w:id="176"/>
      <w:bookmarkStart w:id="177" w:name="_Toc184313309"/>
      <w:bookmarkEnd w:id="177"/>
      <w:bookmarkStart w:id="178" w:name="_Toc184313287"/>
      <w:bookmarkEnd w:id="178"/>
      <w:bookmarkStart w:id="179" w:name="_Toc184312108"/>
      <w:bookmarkEnd w:id="179"/>
      <w:bookmarkStart w:id="180" w:name="_Toc184310318"/>
      <w:bookmarkEnd w:id="180"/>
      <w:bookmarkStart w:id="181" w:name="_Toc184308045"/>
      <w:bookmarkEnd w:id="181"/>
      <w:bookmarkStart w:id="182" w:name="_Toc184308043"/>
      <w:bookmarkEnd w:id="182"/>
      <w:bookmarkStart w:id="183" w:name="_Toc184314467"/>
      <w:bookmarkEnd w:id="183"/>
      <w:bookmarkStart w:id="184" w:name="_Toc184313291"/>
      <w:bookmarkEnd w:id="184"/>
      <w:bookmarkStart w:id="185" w:name="_Toc184308039"/>
      <w:bookmarkEnd w:id="185"/>
      <w:bookmarkStart w:id="186" w:name="_Toc184312125"/>
      <w:bookmarkEnd w:id="186"/>
      <w:bookmarkStart w:id="187" w:name="_Toc184313298"/>
      <w:bookmarkEnd w:id="187"/>
      <w:bookmarkStart w:id="188" w:name="_Toc184314476"/>
      <w:bookmarkEnd w:id="188"/>
      <w:bookmarkStart w:id="189" w:name="_Toc184314463"/>
      <w:bookmarkEnd w:id="189"/>
      <w:bookmarkStart w:id="190" w:name="_Toc184314465"/>
      <w:bookmarkEnd w:id="190"/>
      <w:bookmarkStart w:id="191" w:name="_Toc184312096"/>
      <w:bookmarkEnd w:id="191"/>
      <w:bookmarkStart w:id="192" w:name="_Toc184310337"/>
      <w:bookmarkEnd w:id="192"/>
      <w:bookmarkStart w:id="193" w:name="_Toc184312139"/>
      <w:bookmarkEnd w:id="193"/>
      <w:bookmarkStart w:id="194" w:name="_Toc184308044"/>
      <w:bookmarkEnd w:id="194"/>
      <w:bookmarkStart w:id="195" w:name="_Toc184310319"/>
      <w:bookmarkEnd w:id="195"/>
      <w:bookmarkStart w:id="196" w:name="_Toc184312121"/>
      <w:bookmarkEnd w:id="196"/>
      <w:bookmarkStart w:id="197" w:name="_Toc184308074"/>
      <w:bookmarkEnd w:id="197"/>
      <w:bookmarkStart w:id="198" w:name="_Toc184314444"/>
      <w:bookmarkEnd w:id="198"/>
      <w:bookmarkStart w:id="199" w:name="_Toc184314427"/>
      <w:bookmarkEnd w:id="199"/>
      <w:bookmarkStart w:id="200" w:name="_Toc184308060"/>
      <w:bookmarkEnd w:id="200"/>
      <w:bookmarkStart w:id="201" w:name="_Toc184312127"/>
      <w:bookmarkEnd w:id="201"/>
      <w:bookmarkStart w:id="202" w:name="_Toc184308084"/>
      <w:bookmarkEnd w:id="202"/>
      <w:bookmarkStart w:id="203" w:name="_Toc184308055"/>
      <w:bookmarkEnd w:id="203"/>
      <w:bookmarkStart w:id="204" w:name="_Toc184314480"/>
      <w:bookmarkEnd w:id="204"/>
      <w:bookmarkStart w:id="205" w:name="_Toc184312091"/>
      <w:bookmarkEnd w:id="205"/>
      <w:bookmarkStart w:id="206" w:name="_Toc184312116"/>
      <w:bookmarkEnd w:id="206"/>
      <w:bookmarkStart w:id="207" w:name="_Toc184310299"/>
      <w:bookmarkEnd w:id="207"/>
      <w:bookmarkStart w:id="208" w:name="_Toc184310326"/>
      <w:bookmarkEnd w:id="208"/>
      <w:bookmarkStart w:id="209" w:name="_Toc184310304"/>
      <w:bookmarkEnd w:id="209"/>
      <w:bookmarkStart w:id="210" w:name="_Toc184313289"/>
      <w:bookmarkEnd w:id="210"/>
      <w:bookmarkStart w:id="211" w:name="_Toc184312101"/>
      <w:bookmarkEnd w:id="211"/>
      <w:bookmarkStart w:id="212" w:name="_Toc184312089"/>
      <w:bookmarkEnd w:id="212"/>
      <w:bookmarkStart w:id="213" w:name="_Toc184314423"/>
      <w:bookmarkEnd w:id="213"/>
      <w:bookmarkStart w:id="214" w:name="_Toc184308095"/>
      <w:bookmarkEnd w:id="214"/>
      <w:bookmarkStart w:id="215" w:name="_Toc184308061"/>
      <w:bookmarkEnd w:id="215"/>
      <w:bookmarkStart w:id="216" w:name="_Toc184310293"/>
      <w:bookmarkEnd w:id="216"/>
      <w:bookmarkStart w:id="217" w:name="_Toc184314411"/>
      <w:bookmarkEnd w:id="217"/>
      <w:bookmarkStart w:id="218" w:name="_Toc184308091"/>
      <w:bookmarkEnd w:id="218"/>
      <w:bookmarkStart w:id="219" w:name="_Toc184314469"/>
      <w:bookmarkEnd w:id="219"/>
      <w:bookmarkStart w:id="220" w:name="_Toc184308042"/>
      <w:bookmarkEnd w:id="220"/>
      <w:bookmarkStart w:id="221" w:name="_Toc184310336"/>
      <w:bookmarkEnd w:id="221"/>
      <w:bookmarkStart w:id="222" w:name="_Toc184314434"/>
      <w:bookmarkEnd w:id="222"/>
      <w:bookmarkStart w:id="223" w:name="_Toc184312071"/>
      <w:bookmarkEnd w:id="223"/>
      <w:bookmarkStart w:id="224" w:name="_Toc184312067"/>
      <w:bookmarkEnd w:id="224"/>
      <w:bookmarkStart w:id="225" w:name="_Toc184310278"/>
      <w:bookmarkEnd w:id="225"/>
      <w:bookmarkStart w:id="226" w:name="_Toc184308038"/>
      <w:bookmarkEnd w:id="226"/>
      <w:bookmarkStart w:id="227" w:name="_Toc184308082"/>
      <w:bookmarkEnd w:id="227"/>
      <w:bookmarkStart w:id="228" w:name="_Toc184313301"/>
      <w:bookmarkEnd w:id="228"/>
      <w:bookmarkStart w:id="229" w:name="_Toc184312106"/>
      <w:bookmarkEnd w:id="229"/>
      <w:bookmarkStart w:id="230" w:name="_Toc184310285"/>
      <w:bookmarkEnd w:id="230"/>
      <w:bookmarkStart w:id="231" w:name="_Toc184308092"/>
      <w:bookmarkEnd w:id="231"/>
      <w:bookmarkStart w:id="232" w:name="_Toc184314475"/>
      <w:bookmarkEnd w:id="232"/>
      <w:bookmarkStart w:id="233" w:name="_Toc184314449"/>
      <w:bookmarkEnd w:id="233"/>
      <w:bookmarkStart w:id="234" w:name="_Toc184313257"/>
      <w:bookmarkEnd w:id="234"/>
      <w:bookmarkStart w:id="235" w:name="_Toc184313266"/>
      <w:bookmarkEnd w:id="235"/>
      <w:bookmarkStart w:id="236" w:name="_Toc184313246"/>
      <w:bookmarkEnd w:id="236"/>
      <w:bookmarkStart w:id="237" w:name="_Toc184313252"/>
      <w:bookmarkEnd w:id="237"/>
      <w:bookmarkStart w:id="238" w:name="_Toc184314431"/>
      <w:bookmarkEnd w:id="238"/>
      <w:bookmarkStart w:id="239" w:name="_Toc184313293"/>
      <w:bookmarkEnd w:id="239"/>
      <w:bookmarkStart w:id="240" w:name="_Toc184313255"/>
      <w:bookmarkEnd w:id="240"/>
      <w:bookmarkStart w:id="241" w:name="_Toc184314412"/>
      <w:bookmarkEnd w:id="241"/>
      <w:bookmarkStart w:id="242" w:name="_Toc184314452"/>
      <w:bookmarkEnd w:id="242"/>
      <w:bookmarkStart w:id="243" w:name="_Toc184308081"/>
      <w:bookmarkEnd w:id="243"/>
      <w:bookmarkStart w:id="244" w:name="_Toc184313283"/>
      <w:bookmarkEnd w:id="244"/>
      <w:bookmarkStart w:id="245" w:name="_Toc184313282"/>
      <w:bookmarkEnd w:id="245"/>
      <w:bookmarkStart w:id="246" w:name="_Toc184310284"/>
      <w:bookmarkEnd w:id="246"/>
      <w:bookmarkStart w:id="247" w:name="_Toc184312136"/>
      <w:bookmarkEnd w:id="247"/>
      <w:bookmarkStart w:id="248" w:name="_Toc184312094"/>
      <w:bookmarkEnd w:id="248"/>
      <w:bookmarkStart w:id="249" w:name="_Toc184312128"/>
      <w:bookmarkEnd w:id="249"/>
      <w:bookmarkStart w:id="250" w:name="_Toc184308063"/>
      <w:bookmarkEnd w:id="250"/>
      <w:bookmarkStart w:id="251" w:name="_Toc184310296"/>
      <w:bookmarkEnd w:id="251"/>
      <w:bookmarkStart w:id="252" w:name="_Toc184308041"/>
      <w:bookmarkEnd w:id="252"/>
      <w:bookmarkStart w:id="253" w:name="_Toc184310328"/>
      <w:bookmarkEnd w:id="253"/>
      <w:bookmarkStart w:id="254" w:name="_Toc184308086"/>
      <w:bookmarkEnd w:id="254"/>
      <w:bookmarkStart w:id="255" w:name="_Toc184310316"/>
      <w:bookmarkEnd w:id="255"/>
      <w:bookmarkStart w:id="256" w:name="_Toc184314450"/>
      <w:bookmarkEnd w:id="256"/>
      <w:bookmarkStart w:id="257" w:name="_Toc184313297"/>
      <w:bookmarkEnd w:id="257"/>
      <w:bookmarkStart w:id="258" w:name="_Toc184308103"/>
      <w:bookmarkEnd w:id="258"/>
      <w:bookmarkStart w:id="259" w:name="_Toc184314436"/>
      <w:bookmarkEnd w:id="259"/>
      <w:bookmarkStart w:id="260" w:name="_Toc184313275"/>
      <w:bookmarkEnd w:id="260"/>
      <w:bookmarkStart w:id="261" w:name="_Toc184314482"/>
      <w:bookmarkEnd w:id="261"/>
      <w:bookmarkStart w:id="262" w:name="_Toc184310283"/>
      <w:bookmarkEnd w:id="262"/>
      <w:bookmarkStart w:id="263" w:name="_Toc184312099"/>
      <w:bookmarkEnd w:id="263"/>
      <w:bookmarkStart w:id="264" w:name="_Toc184308078"/>
      <w:bookmarkEnd w:id="264"/>
      <w:bookmarkStart w:id="265" w:name="_Toc184308099"/>
      <w:bookmarkEnd w:id="265"/>
      <w:bookmarkStart w:id="266" w:name="_Toc184314443"/>
      <w:bookmarkEnd w:id="266"/>
      <w:bookmarkStart w:id="267" w:name="_Toc184312079"/>
      <w:bookmarkEnd w:id="267"/>
      <w:bookmarkStart w:id="268" w:name="_Toc184314458"/>
      <w:bookmarkEnd w:id="268"/>
      <w:bookmarkStart w:id="269" w:name="_Toc184312083"/>
      <w:bookmarkEnd w:id="269"/>
      <w:bookmarkStart w:id="270" w:name="_Toc184312119"/>
      <w:bookmarkEnd w:id="270"/>
      <w:bookmarkStart w:id="271" w:name="_Toc184310305"/>
      <w:bookmarkEnd w:id="271"/>
      <w:bookmarkStart w:id="272" w:name="_Toc184312107"/>
      <w:bookmarkEnd w:id="272"/>
      <w:bookmarkStart w:id="273" w:name="_Toc184313245"/>
      <w:bookmarkEnd w:id="273"/>
      <w:bookmarkStart w:id="274" w:name="_Toc184308087"/>
      <w:bookmarkEnd w:id="274"/>
      <w:bookmarkStart w:id="275" w:name="_Toc184312118"/>
      <w:bookmarkEnd w:id="275"/>
      <w:bookmarkStart w:id="276" w:name="_Toc184308093"/>
      <w:bookmarkEnd w:id="276"/>
      <w:bookmarkStart w:id="277" w:name="_Toc184314430"/>
      <w:bookmarkEnd w:id="277"/>
      <w:bookmarkStart w:id="278" w:name="_Toc184308105"/>
      <w:bookmarkEnd w:id="278"/>
      <w:bookmarkStart w:id="279" w:name="_Toc184310327"/>
      <w:bookmarkEnd w:id="279"/>
      <w:bookmarkStart w:id="280" w:name="_Toc184308054"/>
      <w:bookmarkEnd w:id="280"/>
      <w:bookmarkStart w:id="281" w:name="_Toc184313273"/>
      <w:bookmarkEnd w:id="281"/>
      <w:bookmarkStart w:id="282" w:name="_Toc184308062"/>
      <w:bookmarkEnd w:id="282"/>
      <w:bookmarkStart w:id="283" w:name="_Toc184313305"/>
      <w:bookmarkEnd w:id="283"/>
      <w:bookmarkStart w:id="284" w:name="_Toc184312098"/>
      <w:bookmarkEnd w:id="284"/>
      <w:bookmarkStart w:id="285" w:name="_Toc184310344"/>
      <w:bookmarkEnd w:id="285"/>
      <w:bookmarkStart w:id="286" w:name="_Toc184308053"/>
      <w:bookmarkEnd w:id="286"/>
      <w:bookmarkStart w:id="287" w:name="_Toc184312087"/>
      <w:bookmarkEnd w:id="287"/>
      <w:bookmarkStart w:id="288" w:name="_Toc184313274"/>
      <w:bookmarkEnd w:id="288"/>
      <w:bookmarkStart w:id="289" w:name="_Toc184308059"/>
      <w:bookmarkEnd w:id="289"/>
      <w:bookmarkStart w:id="290" w:name="_Toc184308085"/>
      <w:bookmarkEnd w:id="290"/>
      <w:bookmarkStart w:id="291" w:name="_Toc184314420"/>
      <w:bookmarkEnd w:id="291"/>
      <w:bookmarkStart w:id="292" w:name="_Toc184314472"/>
      <w:bookmarkEnd w:id="292"/>
      <w:bookmarkStart w:id="293" w:name="_Toc184310307"/>
      <w:bookmarkEnd w:id="293"/>
      <w:bookmarkStart w:id="294" w:name="_Toc184314481"/>
      <w:bookmarkEnd w:id="294"/>
      <w:bookmarkStart w:id="295" w:name="_Toc184310282"/>
      <w:bookmarkEnd w:id="295"/>
      <w:bookmarkStart w:id="296" w:name="_Toc184308073"/>
      <w:bookmarkEnd w:id="296"/>
      <w:bookmarkStart w:id="297" w:name="_Toc184312080"/>
      <w:bookmarkEnd w:id="297"/>
      <w:bookmarkStart w:id="298" w:name="_Toc184310341"/>
      <w:bookmarkEnd w:id="298"/>
      <w:bookmarkStart w:id="299" w:name="_Toc184308065"/>
      <w:bookmarkEnd w:id="299"/>
      <w:bookmarkStart w:id="300" w:name="_Toc184312105"/>
      <w:bookmarkEnd w:id="300"/>
      <w:bookmarkStart w:id="301" w:name="_Toc184313303"/>
      <w:bookmarkEnd w:id="301"/>
      <w:bookmarkStart w:id="302" w:name="_Toc184312084"/>
      <w:bookmarkEnd w:id="302"/>
      <w:bookmarkStart w:id="303" w:name="_Toc184313265"/>
      <w:bookmarkEnd w:id="303"/>
      <w:bookmarkStart w:id="304" w:name="_Toc184312090"/>
      <w:bookmarkEnd w:id="304"/>
      <w:bookmarkStart w:id="305" w:name="_Toc184314429"/>
      <w:bookmarkEnd w:id="305"/>
      <w:bookmarkStart w:id="306" w:name="_Toc184310273"/>
      <w:bookmarkEnd w:id="306"/>
      <w:bookmarkStart w:id="307" w:name="_Toc184308096"/>
      <w:bookmarkEnd w:id="307"/>
      <w:bookmarkStart w:id="308" w:name="_Toc184312097"/>
      <w:bookmarkEnd w:id="308"/>
      <w:bookmarkStart w:id="309" w:name="_Toc184314421"/>
      <w:bookmarkEnd w:id="309"/>
      <w:bookmarkStart w:id="310" w:name="_Toc184314460"/>
      <w:bookmarkEnd w:id="310"/>
      <w:bookmarkStart w:id="311" w:name="_Toc184314441"/>
      <w:bookmarkEnd w:id="311"/>
      <w:bookmarkStart w:id="312" w:name="_Toc184313285"/>
      <w:bookmarkEnd w:id="312"/>
      <w:bookmarkStart w:id="313" w:name="_Toc184312129"/>
      <w:bookmarkEnd w:id="313"/>
      <w:bookmarkStart w:id="314" w:name="_Toc184308104"/>
      <w:bookmarkEnd w:id="314"/>
      <w:bookmarkStart w:id="315" w:name="_Toc184313264"/>
      <w:bookmarkEnd w:id="315"/>
      <w:bookmarkStart w:id="316" w:name="_Toc184310309"/>
      <w:bookmarkEnd w:id="316"/>
      <w:bookmarkStart w:id="317" w:name="_Toc184314453"/>
      <w:bookmarkEnd w:id="317"/>
      <w:bookmarkStart w:id="318" w:name="_Toc184314459"/>
      <w:bookmarkEnd w:id="318"/>
      <w:bookmarkStart w:id="319" w:name="_Toc184308052"/>
      <w:bookmarkEnd w:id="319"/>
      <w:bookmarkStart w:id="320" w:name="_Toc184313280"/>
      <w:bookmarkEnd w:id="320"/>
      <w:bookmarkStart w:id="321" w:name="_Toc184310306"/>
      <w:bookmarkEnd w:id="321"/>
      <w:bookmarkStart w:id="322" w:name="_Toc184308077"/>
      <w:bookmarkEnd w:id="322"/>
      <w:bookmarkStart w:id="323" w:name="_Toc184314454"/>
      <w:bookmarkEnd w:id="323"/>
      <w:bookmarkStart w:id="324" w:name="_Toc184312075"/>
      <w:bookmarkEnd w:id="324"/>
      <w:bookmarkStart w:id="325" w:name="_Toc184314478"/>
      <w:bookmarkEnd w:id="325"/>
      <w:bookmarkStart w:id="326" w:name="_Toc184313259"/>
      <w:bookmarkEnd w:id="326"/>
      <w:bookmarkStart w:id="327" w:name="_Toc184313284"/>
      <w:bookmarkEnd w:id="327"/>
      <w:bookmarkStart w:id="328" w:name="_Toc184314414"/>
      <w:bookmarkEnd w:id="328"/>
      <w:bookmarkStart w:id="329" w:name="_Toc184313249"/>
      <w:bookmarkEnd w:id="329"/>
      <w:bookmarkStart w:id="330" w:name="_Toc184310272"/>
      <w:bookmarkEnd w:id="330"/>
      <w:bookmarkStart w:id="331" w:name="_Toc184310333"/>
      <w:bookmarkEnd w:id="331"/>
      <w:bookmarkStart w:id="332" w:name="_Toc184312068"/>
      <w:bookmarkEnd w:id="332"/>
      <w:bookmarkStart w:id="333" w:name="_Toc184314445"/>
      <w:bookmarkEnd w:id="333"/>
      <w:bookmarkStart w:id="334" w:name="_Toc184314425"/>
      <w:bookmarkEnd w:id="334"/>
      <w:bookmarkStart w:id="335" w:name="_Toc184308102"/>
      <w:bookmarkEnd w:id="335"/>
      <w:bookmarkStart w:id="336" w:name="_Toc184310298"/>
      <w:bookmarkEnd w:id="336"/>
      <w:bookmarkStart w:id="337" w:name="_Toc184314428"/>
      <w:bookmarkEnd w:id="337"/>
      <w:bookmarkStart w:id="338" w:name="_Toc184310274"/>
      <w:bookmarkEnd w:id="338"/>
      <w:bookmarkStart w:id="339" w:name="_Toc184310280"/>
      <w:bookmarkEnd w:id="339"/>
      <w:bookmarkStart w:id="340" w:name="_Toc184313242"/>
      <w:bookmarkEnd w:id="340"/>
      <w:bookmarkStart w:id="341" w:name="_Toc184312093"/>
      <w:bookmarkEnd w:id="341"/>
      <w:bookmarkStart w:id="342" w:name="_Toc184310312"/>
      <w:bookmarkEnd w:id="342"/>
      <w:bookmarkStart w:id="343" w:name="_Toc184313254"/>
      <w:bookmarkEnd w:id="343"/>
      <w:bookmarkStart w:id="344" w:name="_Toc184310288"/>
      <w:bookmarkEnd w:id="344"/>
      <w:bookmarkStart w:id="345" w:name="_Toc184313272"/>
      <w:bookmarkEnd w:id="345"/>
      <w:bookmarkStart w:id="346" w:name="_Toc184310289"/>
      <w:bookmarkEnd w:id="346"/>
      <w:bookmarkStart w:id="347" w:name="_Toc184313244"/>
      <w:bookmarkEnd w:id="347"/>
      <w:bookmarkStart w:id="348" w:name="_Toc184313295"/>
      <w:bookmarkEnd w:id="348"/>
      <w:bookmarkStart w:id="349" w:name="_Toc184312082"/>
      <w:bookmarkEnd w:id="349"/>
      <w:bookmarkStart w:id="350" w:name="_Toc184314415"/>
      <w:bookmarkEnd w:id="350"/>
      <w:bookmarkStart w:id="351" w:name="_Toc184308079"/>
      <w:bookmarkEnd w:id="351"/>
      <w:bookmarkStart w:id="352" w:name="_Toc184312135"/>
      <w:bookmarkEnd w:id="352"/>
      <w:bookmarkStart w:id="353" w:name="_Toc184313307"/>
      <w:bookmarkEnd w:id="353"/>
      <w:bookmarkStart w:id="354" w:name="_Toc184310324"/>
      <w:bookmarkEnd w:id="354"/>
      <w:bookmarkStart w:id="355" w:name="_Toc184312122"/>
      <w:bookmarkEnd w:id="355"/>
      <w:bookmarkStart w:id="356" w:name="_Toc184314474"/>
      <w:bookmarkEnd w:id="356"/>
      <w:bookmarkStart w:id="357" w:name="_Toc184312092"/>
      <w:bookmarkEnd w:id="357"/>
      <w:bookmarkStart w:id="358" w:name="_Toc184308064"/>
      <w:bookmarkEnd w:id="358"/>
      <w:bookmarkStart w:id="359" w:name="_Toc184314462"/>
      <w:bookmarkEnd w:id="359"/>
      <w:bookmarkStart w:id="360" w:name="_Toc184314433"/>
      <w:bookmarkEnd w:id="360"/>
      <w:bookmarkStart w:id="361" w:name="_Toc184310315"/>
      <w:bookmarkEnd w:id="361"/>
      <w:bookmarkStart w:id="362" w:name="_Toc184314426"/>
      <w:bookmarkEnd w:id="362"/>
      <w:bookmarkStart w:id="363" w:name="_Toc184314439"/>
      <w:bookmarkEnd w:id="363"/>
      <w:bookmarkStart w:id="364" w:name="_Toc184313288"/>
      <w:bookmarkEnd w:id="364"/>
      <w:bookmarkStart w:id="365" w:name="_Toc184313263"/>
      <w:bookmarkEnd w:id="365"/>
      <w:bookmarkStart w:id="366" w:name="_Toc184308056"/>
      <w:bookmarkEnd w:id="366"/>
      <w:bookmarkStart w:id="367" w:name="_Toc184308072"/>
      <w:bookmarkEnd w:id="367"/>
      <w:bookmarkStart w:id="368" w:name="_Toc184308076"/>
      <w:bookmarkEnd w:id="368"/>
      <w:bookmarkStart w:id="369" w:name="_Toc184308048"/>
      <w:bookmarkEnd w:id="369"/>
      <w:bookmarkStart w:id="370" w:name="_Toc184310342"/>
      <w:bookmarkEnd w:id="370"/>
      <w:bookmarkStart w:id="371" w:name="_Toc184308049"/>
      <w:bookmarkEnd w:id="371"/>
      <w:bookmarkStart w:id="372" w:name="_Toc184314473"/>
      <w:bookmarkEnd w:id="372"/>
      <w:bookmarkStart w:id="373" w:name="_Toc184312112"/>
      <w:bookmarkEnd w:id="373"/>
      <w:bookmarkStart w:id="374" w:name="_Toc184314461"/>
      <w:bookmarkEnd w:id="374"/>
      <w:bookmarkStart w:id="375" w:name="_Toc184310314"/>
      <w:bookmarkEnd w:id="375"/>
      <w:bookmarkStart w:id="376" w:name="_Toc184308070"/>
      <w:bookmarkEnd w:id="376"/>
      <w:bookmarkStart w:id="377" w:name="_Toc184313278"/>
      <w:bookmarkEnd w:id="377"/>
      <w:bookmarkStart w:id="378" w:name="_Toc184310302"/>
      <w:bookmarkEnd w:id="378"/>
      <w:bookmarkStart w:id="379" w:name="_Toc184314419"/>
      <w:bookmarkEnd w:id="379"/>
      <w:bookmarkStart w:id="380" w:name="_Toc184314451"/>
      <w:bookmarkEnd w:id="380"/>
      <w:bookmarkStart w:id="381" w:name="_Toc184310311"/>
      <w:bookmarkEnd w:id="381"/>
      <w:bookmarkStart w:id="382" w:name="_Toc184312073"/>
      <w:bookmarkEnd w:id="382"/>
      <w:bookmarkStart w:id="383" w:name="_Toc184308083"/>
      <w:bookmarkEnd w:id="383"/>
      <w:bookmarkStart w:id="384" w:name="_Toc184310320"/>
      <w:bookmarkEnd w:id="384"/>
      <w:bookmarkStart w:id="385" w:name="_Toc184308101"/>
      <w:bookmarkEnd w:id="385"/>
      <w:bookmarkStart w:id="386" w:name="_Toc184314438"/>
      <w:bookmarkEnd w:id="386"/>
      <w:bookmarkStart w:id="387" w:name="_Toc184310340"/>
      <w:bookmarkEnd w:id="387"/>
      <w:bookmarkStart w:id="388" w:name="_Toc184312070"/>
      <w:bookmarkEnd w:id="388"/>
      <w:bookmarkStart w:id="389" w:name="_Toc184312095"/>
      <w:bookmarkEnd w:id="389"/>
      <w:bookmarkStart w:id="390" w:name="_Toc184310331"/>
      <w:bookmarkEnd w:id="390"/>
      <w:bookmarkStart w:id="391" w:name="_Toc184314442"/>
      <w:bookmarkEnd w:id="391"/>
      <w:bookmarkStart w:id="392" w:name="_Toc184313239"/>
      <w:bookmarkEnd w:id="392"/>
      <w:bookmarkStart w:id="393" w:name="_Toc184312069"/>
      <w:bookmarkEnd w:id="393"/>
      <w:bookmarkStart w:id="394" w:name="_Toc184312102"/>
      <w:bookmarkEnd w:id="394"/>
      <w:r>
        <w:rPr>
          <w:rFonts w:hint="eastAsia" w:ascii="宋体" w:hAnsi="宋体" w:cs="宋体"/>
          <w:b/>
          <w:color w:val="auto"/>
          <w:sz w:val="36"/>
          <w:szCs w:val="20"/>
          <w:highlight w:val="none"/>
        </w:rPr>
        <w:t xml:space="preserve"> 评审办法</w:t>
      </w:r>
    </w:p>
    <w:p w14:paraId="3D54D4E5">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评审办法前附表</w:t>
      </w:r>
    </w:p>
    <w:tbl>
      <w:tblPr>
        <w:tblStyle w:val="62"/>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8178"/>
        <w:gridCol w:w="875"/>
      </w:tblGrid>
      <w:tr w14:paraId="0ECFC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753" w:type="dxa"/>
            <w:vAlign w:val="center"/>
          </w:tcPr>
          <w:p w14:paraId="0363B869">
            <w:pPr>
              <w:snapToGrid w:val="0"/>
              <w:spacing w:line="360" w:lineRule="auto"/>
              <w:jc w:val="center"/>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8178" w:type="dxa"/>
            <w:vAlign w:val="center"/>
          </w:tcPr>
          <w:p w14:paraId="37BB3D0D">
            <w:pPr>
              <w:snapToGrid w:val="0"/>
              <w:spacing w:line="360" w:lineRule="auto"/>
              <w:jc w:val="center"/>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评审标准</w:t>
            </w:r>
          </w:p>
        </w:tc>
        <w:tc>
          <w:tcPr>
            <w:tcW w:w="875" w:type="dxa"/>
            <w:vAlign w:val="center"/>
          </w:tcPr>
          <w:p w14:paraId="27F1DB38">
            <w:pPr>
              <w:snapToGrid w:val="0"/>
              <w:spacing w:line="360" w:lineRule="auto"/>
              <w:jc w:val="center"/>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权重</w:t>
            </w:r>
          </w:p>
        </w:tc>
      </w:tr>
      <w:tr w14:paraId="37494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Align w:val="center"/>
          </w:tcPr>
          <w:p w14:paraId="6DDBFDF8">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c>
          <w:tcPr>
            <w:tcW w:w="8178" w:type="dxa"/>
          </w:tcPr>
          <w:p w14:paraId="3FBEE49C">
            <w:pPr>
              <w:snapToGrid w:val="0"/>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有效最后报价的最低价作为评审基准价，其最低报价为满分；按［最后报价得分=（评审基准价/最后报价）*30］的计算公式计算。</w:t>
            </w:r>
          </w:p>
          <w:p w14:paraId="10EB8338">
            <w:pPr>
              <w:widowControl/>
              <w:shd w:val="clear" w:color="auto" w:fill="FFFFFF"/>
              <w:adjustRightInd/>
              <w:snapToGrid w:val="0"/>
              <w:spacing w:line="360" w:lineRule="auto"/>
              <w:ind w:firstLine="34"/>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评审过程中，不得去掉报价中的最高报价和最低报价。</w:t>
            </w:r>
          </w:p>
          <w:p w14:paraId="40885C1C">
            <w:pPr>
              <w:widowControl/>
              <w:shd w:val="clear" w:color="auto" w:fill="FFFFFF"/>
              <w:adjustRightInd/>
              <w:snapToGrid w:val="0"/>
              <w:spacing w:line="360" w:lineRule="auto"/>
              <w:ind w:firstLine="34"/>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因落实政府采购政策需要进行价格调整的，以调整后的价格计算评审基准价和最后报价。</w:t>
            </w:r>
          </w:p>
        </w:tc>
        <w:tc>
          <w:tcPr>
            <w:tcW w:w="875" w:type="dxa"/>
            <w:vAlign w:val="center"/>
          </w:tcPr>
          <w:p w14:paraId="37B74202">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30</w:t>
            </w:r>
          </w:p>
        </w:tc>
      </w:tr>
      <w:tr w14:paraId="7A241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Align w:val="center"/>
          </w:tcPr>
          <w:p w14:paraId="63D61167">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8178" w:type="dxa"/>
            <w:vAlign w:val="center"/>
          </w:tcPr>
          <w:p w14:paraId="6A5950BE">
            <w:pPr>
              <w:snapToGrid w:val="0"/>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客观分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投标人具有质量管理体系、环境管理体系、职业健康安全管理体系，每证得0.5分，最高得1.5分，提供有效证书复印件加盖公章。</w:t>
            </w:r>
          </w:p>
        </w:tc>
        <w:tc>
          <w:tcPr>
            <w:tcW w:w="875" w:type="dxa"/>
            <w:vAlign w:val="center"/>
          </w:tcPr>
          <w:p w14:paraId="178AF063">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1.5</w:t>
            </w:r>
          </w:p>
        </w:tc>
      </w:tr>
      <w:tr w14:paraId="0BE9E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Align w:val="center"/>
          </w:tcPr>
          <w:p w14:paraId="6CD8F899">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p>
        </w:tc>
        <w:tc>
          <w:tcPr>
            <w:tcW w:w="8178" w:type="dxa"/>
            <w:vAlign w:val="center"/>
          </w:tcPr>
          <w:p w14:paraId="20E986D0">
            <w:pPr>
              <w:snapToGrid w:val="0"/>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客观分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对所投产品（主材）是否取得有效的政府采购节能、环境标志情况进行评价。本项目所投产品取得节能</w:t>
            </w:r>
            <w:r>
              <w:rPr>
                <w:rFonts w:hint="eastAsia" w:ascii="宋体" w:hAnsi="宋体" w:eastAsia="宋体" w:cs="宋体"/>
                <w:bCs/>
                <w:color w:val="auto"/>
                <w:sz w:val="24"/>
                <w:szCs w:val="24"/>
                <w:highlight w:val="none"/>
                <w:lang w:val="en-US" w:eastAsia="zh-CN"/>
              </w:rPr>
              <w:t>或</w:t>
            </w:r>
            <w:r>
              <w:rPr>
                <w:rFonts w:hint="eastAsia" w:ascii="宋体" w:hAnsi="宋体" w:eastAsia="宋体" w:cs="宋体"/>
                <w:bCs/>
                <w:color w:val="auto"/>
                <w:sz w:val="24"/>
                <w:szCs w:val="24"/>
                <w:highlight w:val="none"/>
              </w:rPr>
              <w:t>环境标志认证证书的，每个得0.5分，最高得1分。</w:t>
            </w:r>
          </w:p>
          <w:p w14:paraId="78E823C4">
            <w:pPr>
              <w:snapToGrid w:val="0"/>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证明材料：认证证书扫描件加盖公章（认证机构须在政府采购节能、环境标志认证机构名录中）</w:t>
            </w:r>
          </w:p>
        </w:tc>
        <w:tc>
          <w:tcPr>
            <w:tcW w:w="875" w:type="dxa"/>
            <w:vAlign w:val="center"/>
          </w:tcPr>
          <w:p w14:paraId="0513827A">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r>
      <w:tr w14:paraId="444B9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3" w:type="dxa"/>
            <w:vAlign w:val="center"/>
          </w:tcPr>
          <w:p w14:paraId="159718DD">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p>
        </w:tc>
        <w:tc>
          <w:tcPr>
            <w:tcW w:w="8178" w:type="dxa"/>
            <w:vAlign w:val="center"/>
          </w:tcPr>
          <w:p w14:paraId="3905834F">
            <w:pPr>
              <w:snapToGrid w:val="0"/>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客观分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截止投标近三年来（以签订合同时间为准），具有类似项目业绩，每个得0.5分，最高得1.5分，提供合同</w:t>
            </w:r>
            <w:r>
              <w:rPr>
                <w:rFonts w:hint="eastAsia" w:ascii="宋体" w:hAnsi="宋体" w:eastAsia="宋体" w:cs="宋体"/>
                <w:bCs/>
                <w:color w:val="auto"/>
                <w:sz w:val="24"/>
                <w:szCs w:val="24"/>
                <w:highlight w:val="none"/>
                <w:lang w:val="en-US" w:eastAsia="zh-CN"/>
              </w:rPr>
              <w:t>或</w:t>
            </w:r>
            <w:r>
              <w:rPr>
                <w:rFonts w:hint="eastAsia" w:ascii="宋体" w:hAnsi="宋体" w:eastAsia="宋体" w:cs="宋体"/>
                <w:bCs/>
                <w:color w:val="auto"/>
                <w:sz w:val="24"/>
                <w:szCs w:val="24"/>
                <w:highlight w:val="none"/>
              </w:rPr>
              <w:t>验收报告等相关材料，资料不全不得分。</w:t>
            </w:r>
          </w:p>
        </w:tc>
        <w:tc>
          <w:tcPr>
            <w:tcW w:w="875" w:type="dxa"/>
            <w:vAlign w:val="center"/>
          </w:tcPr>
          <w:p w14:paraId="7EB94FC2">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1.5</w:t>
            </w:r>
          </w:p>
        </w:tc>
      </w:tr>
      <w:tr w14:paraId="01228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753" w:type="dxa"/>
            <w:vAlign w:val="center"/>
          </w:tcPr>
          <w:p w14:paraId="359AC43F">
            <w:pPr>
              <w:snapToGrid w:val="0"/>
              <w:spacing w:line="360" w:lineRule="auto"/>
              <w:jc w:val="center"/>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w:t>
            </w:r>
          </w:p>
        </w:tc>
        <w:tc>
          <w:tcPr>
            <w:tcW w:w="8178" w:type="dxa"/>
            <w:vAlign w:val="center"/>
          </w:tcPr>
          <w:p w14:paraId="2A7C2044">
            <w:pPr>
              <w:snapToGrid w:val="0"/>
              <w:spacing w:line="360" w:lineRule="auto"/>
              <w:jc w:val="left"/>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需求分析</w:t>
            </w:r>
          </w:p>
        </w:tc>
        <w:tc>
          <w:tcPr>
            <w:tcW w:w="875" w:type="dxa"/>
            <w:vAlign w:val="center"/>
          </w:tcPr>
          <w:p w14:paraId="76D5D457">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r>
      <w:tr w14:paraId="6E8AD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Align w:val="center"/>
          </w:tcPr>
          <w:p w14:paraId="53EF2669">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.1</w:t>
            </w:r>
          </w:p>
        </w:tc>
        <w:tc>
          <w:tcPr>
            <w:tcW w:w="8178" w:type="dxa"/>
            <w:vAlign w:val="center"/>
          </w:tcPr>
          <w:p w14:paraId="21FCF2DE">
            <w:pPr>
              <w:snapToGrid w:val="0"/>
              <w:spacing w:line="360" w:lineRule="auto"/>
              <w:jc w:val="left"/>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针对本</w:t>
            </w:r>
            <w:r>
              <w:rPr>
                <w:rFonts w:hint="eastAsia" w:ascii="宋体" w:hAnsi="宋体" w:eastAsia="宋体" w:cs="宋体"/>
                <w:bCs/>
                <w:color w:val="auto"/>
                <w:sz w:val="24"/>
                <w:szCs w:val="24"/>
                <w:highlight w:val="none"/>
                <w:lang w:val="en-US" w:eastAsia="zh-CN"/>
              </w:rPr>
              <w:t>项目</w:t>
            </w:r>
            <w:r>
              <w:rPr>
                <w:rFonts w:hint="eastAsia" w:ascii="宋体" w:hAnsi="宋体" w:eastAsia="宋体" w:cs="宋体"/>
                <w:bCs/>
                <w:color w:val="auto"/>
                <w:sz w:val="24"/>
                <w:szCs w:val="24"/>
                <w:highlight w:val="none"/>
              </w:rPr>
              <w:t>改造内容，是否充分了解施工场地、实施内容等（提供相关说明或佐证材料）</w:t>
            </w:r>
            <w:r>
              <w:rPr>
                <w:rFonts w:hint="eastAsia" w:ascii="宋体" w:hAnsi="宋体" w:eastAsia="宋体" w:cs="宋体"/>
                <w:bCs/>
                <w:color w:val="auto"/>
                <w:sz w:val="24"/>
                <w:szCs w:val="24"/>
                <w:highlight w:val="none"/>
                <w:lang w:val="en-US" w:eastAsia="zh-CN"/>
              </w:rPr>
              <w:t>进行综合评审，未提供不得分。（打分范围：5,4,3,2,1,0)</w:t>
            </w:r>
          </w:p>
        </w:tc>
        <w:tc>
          <w:tcPr>
            <w:tcW w:w="875" w:type="dxa"/>
            <w:vAlign w:val="center"/>
          </w:tcPr>
          <w:p w14:paraId="59FDDC12">
            <w:pPr>
              <w:snapToGrid w:val="0"/>
              <w:spacing w:line="360" w:lineRule="auto"/>
              <w:jc w:val="center"/>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w:t>
            </w:r>
          </w:p>
        </w:tc>
      </w:tr>
      <w:tr w14:paraId="62577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Align w:val="center"/>
          </w:tcPr>
          <w:p w14:paraId="0008AF49">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.2</w:t>
            </w:r>
          </w:p>
        </w:tc>
        <w:tc>
          <w:tcPr>
            <w:tcW w:w="8178" w:type="dxa"/>
            <w:vAlign w:val="center"/>
          </w:tcPr>
          <w:p w14:paraId="411965EF">
            <w:pPr>
              <w:snapToGrid w:val="0"/>
              <w:spacing w:line="360" w:lineRule="auto"/>
              <w:jc w:val="left"/>
              <w:outlineLvl w:val="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工程施工的重、难点分析及施工保证措施是否具有针对性</w:t>
            </w:r>
            <w:r>
              <w:rPr>
                <w:rFonts w:hint="eastAsia" w:ascii="宋体" w:hAnsi="宋体" w:eastAsia="宋体" w:cs="宋体"/>
                <w:bCs/>
                <w:color w:val="auto"/>
                <w:sz w:val="24"/>
                <w:szCs w:val="24"/>
                <w:highlight w:val="none"/>
                <w:lang w:eastAsia="zh-CN"/>
              </w:rPr>
              <w:t>：</w:t>
            </w:r>
          </w:p>
          <w:p w14:paraId="4B650583">
            <w:pPr>
              <w:snapToGrid w:val="0"/>
              <w:spacing w:line="360" w:lineRule="auto"/>
              <w:jc w:val="left"/>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根据</w:t>
            </w:r>
            <w:r>
              <w:rPr>
                <w:rFonts w:hint="eastAsia" w:ascii="宋体" w:hAnsi="宋体" w:eastAsia="宋体" w:cs="宋体"/>
                <w:bCs/>
                <w:color w:val="auto"/>
                <w:sz w:val="24"/>
                <w:szCs w:val="24"/>
                <w:highlight w:val="none"/>
              </w:rPr>
              <w:t>重难点分析内容</w:t>
            </w:r>
            <w:r>
              <w:rPr>
                <w:rFonts w:hint="eastAsia" w:ascii="宋体" w:hAnsi="宋体" w:eastAsia="宋体" w:cs="宋体"/>
                <w:bCs/>
                <w:color w:val="auto"/>
                <w:sz w:val="24"/>
                <w:szCs w:val="24"/>
                <w:highlight w:val="none"/>
                <w:lang w:val="en-US" w:eastAsia="zh-CN"/>
              </w:rPr>
              <w:t>是否</w:t>
            </w:r>
            <w:r>
              <w:rPr>
                <w:rFonts w:hint="eastAsia" w:ascii="宋体" w:hAnsi="宋体" w:eastAsia="宋体" w:cs="宋体"/>
                <w:bCs/>
                <w:color w:val="auto"/>
                <w:sz w:val="24"/>
                <w:szCs w:val="24"/>
                <w:highlight w:val="none"/>
              </w:rPr>
              <w:t>完善</w:t>
            </w:r>
            <w:r>
              <w:rPr>
                <w:rFonts w:hint="eastAsia" w:ascii="宋体" w:hAnsi="宋体" w:eastAsia="宋体" w:cs="宋体"/>
                <w:bCs/>
                <w:color w:val="auto"/>
                <w:sz w:val="24"/>
                <w:szCs w:val="24"/>
                <w:highlight w:val="none"/>
                <w:lang w:val="en-US" w:eastAsia="zh-CN"/>
              </w:rPr>
              <w:t>及具有</w:t>
            </w:r>
            <w:r>
              <w:rPr>
                <w:rFonts w:hint="eastAsia" w:ascii="宋体" w:hAnsi="宋体" w:eastAsia="宋体" w:cs="宋体"/>
                <w:bCs/>
                <w:color w:val="auto"/>
                <w:sz w:val="24"/>
                <w:szCs w:val="24"/>
                <w:highlight w:val="none"/>
              </w:rPr>
              <w:t>针对性</w:t>
            </w:r>
            <w:r>
              <w:rPr>
                <w:rFonts w:hint="eastAsia" w:ascii="宋体" w:hAnsi="宋体" w:eastAsia="宋体" w:cs="宋体"/>
                <w:bCs/>
                <w:color w:val="auto"/>
                <w:sz w:val="24"/>
                <w:szCs w:val="24"/>
                <w:highlight w:val="none"/>
                <w:lang w:val="en-US" w:eastAsia="zh-CN"/>
              </w:rPr>
              <w:t>进行综合评审，</w:t>
            </w:r>
            <w:r>
              <w:rPr>
                <w:rFonts w:hint="eastAsia" w:ascii="宋体" w:hAnsi="宋体" w:eastAsia="宋体" w:cs="宋体"/>
                <w:bCs/>
                <w:color w:val="auto"/>
                <w:sz w:val="24"/>
                <w:szCs w:val="24"/>
                <w:highlight w:val="none"/>
              </w:rPr>
              <w:t>未提供不得分；</w:t>
            </w:r>
            <w:r>
              <w:rPr>
                <w:rFonts w:hint="eastAsia" w:ascii="宋体" w:hAnsi="宋体" w:eastAsia="宋体" w:cs="宋体"/>
                <w:bCs/>
                <w:color w:val="auto"/>
                <w:sz w:val="24"/>
                <w:szCs w:val="24"/>
                <w:highlight w:val="none"/>
                <w:lang w:val="en-US" w:eastAsia="zh-CN"/>
              </w:rPr>
              <w:t>（打分范围：3,2,1,0)</w:t>
            </w:r>
          </w:p>
          <w:p w14:paraId="41A7A484">
            <w:pPr>
              <w:snapToGrid w:val="0"/>
              <w:spacing w:line="360" w:lineRule="auto"/>
              <w:jc w:val="left"/>
              <w:outlineLvl w:val="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针对重难点问题，提出合理可行的解决措施，每条得</w:t>
            </w:r>
            <w:r>
              <w:rPr>
                <w:rFonts w:hint="eastAsia" w:ascii="宋体" w:hAnsi="宋体" w:eastAsia="宋体" w:cs="宋体"/>
                <w:bCs/>
                <w:color w:val="auto"/>
                <w:sz w:val="24"/>
                <w:szCs w:val="24"/>
                <w:highlight w:val="none"/>
                <w:lang w:val="en-US" w:eastAsia="zh-CN"/>
              </w:rPr>
              <w:t>0.5</w:t>
            </w:r>
            <w:r>
              <w:rPr>
                <w:rFonts w:hint="eastAsia" w:ascii="宋体" w:hAnsi="宋体" w:eastAsia="宋体" w:cs="宋体"/>
                <w:bCs/>
                <w:color w:val="auto"/>
                <w:sz w:val="24"/>
                <w:szCs w:val="24"/>
                <w:highlight w:val="none"/>
              </w:rPr>
              <w:t>分，最高得</w:t>
            </w: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val="en-US" w:eastAsia="zh-CN"/>
              </w:rPr>
              <w:t>（打分范围：2,1.5,1,0.5,0)</w:t>
            </w:r>
          </w:p>
        </w:tc>
        <w:tc>
          <w:tcPr>
            <w:tcW w:w="875" w:type="dxa"/>
            <w:vAlign w:val="center"/>
          </w:tcPr>
          <w:p w14:paraId="1DDF5E62">
            <w:pPr>
              <w:snapToGrid w:val="0"/>
              <w:spacing w:line="360" w:lineRule="auto"/>
              <w:jc w:val="center"/>
              <w:outlineLvl w:val="0"/>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5</w:t>
            </w:r>
          </w:p>
        </w:tc>
      </w:tr>
      <w:tr w14:paraId="5432E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Align w:val="center"/>
          </w:tcPr>
          <w:p w14:paraId="0B90B22B">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.3</w:t>
            </w:r>
          </w:p>
        </w:tc>
        <w:tc>
          <w:tcPr>
            <w:tcW w:w="8178" w:type="dxa"/>
            <w:vAlign w:val="center"/>
          </w:tcPr>
          <w:p w14:paraId="167E4D71">
            <w:pPr>
              <w:snapToGrid w:val="0"/>
              <w:spacing w:line="360" w:lineRule="auto"/>
              <w:jc w:val="left"/>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针对施工图，现场等，提供合理化建议，每条实质性意义的、有利于项目实施的建议得</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分，最高得</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val="en-US" w:eastAsia="zh-CN"/>
              </w:rPr>
              <w:t>（打分范围：4,3,2,1,0)</w:t>
            </w:r>
          </w:p>
        </w:tc>
        <w:tc>
          <w:tcPr>
            <w:tcW w:w="875" w:type="dxa"/>
            <w:vAlign w:val="center"/>
          </w:tcPr>
          <w:p w14:paraId="32E12E8F">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w:t>
            </w:r>
          </w:p>
        </w:tc>
      </w:tr>
      <w:tr w14:paraId="56A0D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Align w:val="center"/>
          </w:tcPr>
          <w:p w14:paraId="43D6B17B">
            <w:pPr>
              <w:snapToGrid w:val="0"/>
              <w:spacing w:line="360" w:lineRule="auto"/>
              <w:jc w:val="center"/>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w:t>
            </w:r>
          </w:p>
        </w:tc>
        <w:tc>
          <w:tcPr>
            <w:tcW w:w="8178" w:type="dxa"/>
            <w:vAlign w:val="center"/>
          </w:tcPr>
          <w:p w14:paraId="5EB502E6">
            <w:pPr>
              <w:snapToGrid w:val="0"/>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施工组织设计</w:t>
            </w:r>
          </w:p>
        </w:tc>
        <w:tc>
          <w:tcPr>
            <w:tcW w:w="875" w:type="dxa"/>
            <w:vAlign w:val="center"/>
          </w:tcPr>
          <w:p w14:paraId="4D8BF2BB">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r>
      <w:tr w14:paraId="489B9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Align w:val="center"/>
          </w:tcPr>
          <w:p w14:paraId="35EB04F4">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.1</w:t>
            </w:r>
          </w:p>
        </w:tc>
        <w:tc>
          <w:tcPr>
            <w:tcW w:w="8178" w:type="dxa"/>
            <w:vAlign w:val="center"/>
          </w:tcPr>
          <w:p w14:paraId="65D75787">
            <w:pPr>
              <w:snapToGrid w:val="0"/>
              <w:spacing w:line="360" w:lineRule="auto"/>
              <w:jc w:val="left"/>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结合项目情况，根据</w:t>
            </w:r>
            <w:r>
              <w:rPr>
                <w:rFonts w:hint="eastAsia" w:ascii="宋体" w:hAnsi="宋体" w:eastAsia="宋体" w:cs="宋体"/>
                <w:bCs/>
                <w:color w:val="auto"/>
                <w:sz w:val="24"/>
                <w:szCs w:val="24"/>
                <w:highlight w:val="none"/>
              </w:rPr>
              <w:t>施工组织设计内容是否全面合理，是否能够结合本项目特点进行整体施工组织计划</w:t>
            </w:r>
            <w:r>
              <w:rPr>
                <w:rFonts w:hint="eastAsia" w:ascii="宋体" w:hAnsi="宋体" w:eastAsia="宋体" w:cs="宋体"/>
                <w:bCs/>
                <w:color w:val="auto"/>
                <w:sz w:val="24"/>
                <w:szCs w:val="24"/>
                <w:highlight w:val="none"/>
                <w:lang w:val="en-US" w:eastAsia="zh-CN"/>
              </w:rPr>
              <w:t>进行综合评审，</w:t>
            </w:r>
            <w:r>
              <w:rPr>
                <w:rFonts w:hint="eastAsia" w:ascii="宋体" w:hAnsi="宋体" w:eastAsia="宋体" w:cs="宋体"/>
                <w:bCs/>
                <w:color w:val="auto"/>
                <w:sz w:val="24"/>
                <w:szCs w:val="24"/>
                <w:highlight w:val="none"/>
              </w:rPr>
              <w:t>未提供不得分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（打分范围：4,3,2,1,0)</w:t>
            </w:r>
          </w:p>
        </w:tc>
        <w:tc>
          <w:tcPr>
            <w:tcW w:w="875" w:type="dxa"/>
            <w:vAlign w:val="center"/>
          </w:tcPr>
          <w:p w14:paraId="6CD6E07B">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w:t>
            </w:r>
          </w:p>
        </w:tc>
      </w:tr>
      <w:tr w14:paraId="5678E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Align w:val="center"/>
          </w:tcPr>
          <w:p w14:paraId="5CF1780C">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.2</w:t>
            </w:r>
          </w:p>
        </w:tc>
        <w:tc>
          <w:tcPr>
            <w:tcW w:w="8178" w:type="dxa"/>
            <w:vAlign w:val="center"/>
          </w:tcPr>
          <w:p w14:paraId="7B55824C">
            <w:pPr>
              <w:snapToGrid w:val="0"/>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结合项目情况，阐述</w:t>
            </w:r>
            <w:r>
              <w:rPr>
                <w:rFonts w:hint="eastAsia" w:ascii="宋体" w:hAnsi="宋体" w:eastAsia="宋体" w:cs="宋体"/>
                <w:bCs/>
                <w:color w:val="auto"/>
                <w:sz w:val="24"/>
                <w:szCs w:val="24"/>
                <w:highlight w:val="none"/>
              </w:rPr>
              <w:t>主要施工方法、施工工艺，</w:t>
            </w:r>
            <w:r>
              <w:rPr>
                <w:rFonts w:hint="eastAsia" w:ascii="宋体" w:hAnsi="宋体" w:eastAsia="宋体" w:cs="宋体"/>
                <w:bCs/>
                <w:color w:val="auto"/>
                <w:sz w:val="24"/>
                <w:szCs w:val="24"/>
                <w:highlight w:val="none"/>
                <w:lang w:val="en-US" w:eastAsia="zh-CN"/>
              </w:rPr>
              <w:t>根据</w:t>
            </w:r>
            <w:r>
              <w:rPr>
                <w:rFonts w:hint="eastAsia" w:ascii="宋体" w:hAnsi="宋体" w:eastAsia="宋体" w:cs="宋体"/>
                <w:bCs/>
                <w:color w:val="auto"/>
                <w:sz w:val="24"/>
                <w:szCs w:val="24"/>
                <w:highlight w:val="none"/>
              </w:rPr>
              <w:t>内容</w:t>
            </w:r>
            <w:r>
              <w:rPr>
                <w:rFonts w:hint="eastAsia" w:ascii="宋体" w:hAnsi="宋体" w:eastAsia="宋体" w:cs="宋体"/>
                <w:bCs/>
                <w:color w:val="auto"/>
                <w:sz w:val="24"/>
                <w:szCs w:val="24"/>
                <w:highlight w:val="none"/>
                <w:lang w:val="en-US" w:eastAsia="zh-CN"/>
              </w:rPr>
              <w:t>是否</w:t>
            </w:r>
            <w:r>
              <w:rPr>
                <w:rFonts w:hint="eastAsia" w:ascii="宋体" w:hAnsi="宋体" w:eastAsia="宋体" w:cs="宋体"/>
                <w:bCs/>
                <w:color w:val="auto"/>
                <w:sz w:val="24"/>
                <w:szCs w:val="24"/>
                <w:highlight w:val="none"/>
              </w:rPr>
              <w:t>完善可实施性强</w:t>
            </w:r>
            <w:r>
              <w:rPr>
                <w:rFonts w:hint="eastAsia" w:ascii="宋体" w:hAnsi="宋体" w:eastAsia="宋体" w:cs="宋体"/>
                <w:bCs/>
                <w:color w:val="auto"/>
                <w:sz w:val="24"/>
                <w:szCs w:val="24"/>
                <w:highlight w:val="none"/>
                <w:lang w:val="en-US" w:eastAsia="zh-CN"/>
              </w:rPr>
              <w:t>进行综合评审，</w:t>
            </w:r>
            <w:r>
              <w:rPr>
                <w:rFonts w:hint="eastAsia" w:ascii="宋体" w:hAnsi="宋体" w:eastAsia="宋体" w:cs="宋体"/>
                <w:bCs/>
                <w:color w:val="auto"/>
                <w:sz w:val="24"/>
                <w:szCs w:val="24"/>
                <w:highlight w:val="none"/>
              </w:rPr>
              <w:t>未提供不得分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（打分范围：4,3,2,1,0)</w:t>
            </w:r>
          </w:p>
        </w:tc>
        <w:tc>
          <w:tcPr>
            <w:tcW w:w="875" w:type="dxa"/>
            <w:vAlign w:val="center"/>
          </w:tcPr>
          <w:p w14:paraId="31192961">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w:t>
            </w:r>
          </w:p>
        </w:tc>
      </w:tr>
      <w:tr w14:paraId="61A33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Align w:val="center"/>
          </w:tcPr>
          <w:p w14:paraId="4B03DD97">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.3</w:t>
            </w:r>
          </w:p>
        </w:tc>
        <w:tc>
          <w:tcPr>
            <w:tcW w:w="8178" w:type="dxa"/>
            <w:vAlign w:val="center"/>
          </w:tcPr>
          <w:p w14:paraId="74649F73">
            <w:pPr>
              <w:snapToGrid w:val="0"/>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结合项目情况，阐述</w:t>
            </w:r>
            <w:r>
              <w:rPr>
                <w:rFonts w:hint="eastAsia" w:ascii="宋体" w:hAnsi="宋体" w:eastAsia="宋体" w:cs="宋体"/>
                <w:bCs/>
                <w:color w:val="auto"/>
                <w:sz w:val="24"/>
                <w:szCs w:val="24"/>
                <w:highlight w:val="none"/>
              </w:rPr>
              <w:t>质量目标及质量控制措施，</w:t>
            </w:r>
            <w:r>
              <w:rPr>
                <w:rFonts w:hint="eastAsia" w:ascii="宋体" w:hAnsi="宋体" w:eastAsia="宋体" w:cs="宋体"/>
                <w:bCs/>
                <w:color w:val="auto"/>
                <w:sz w:val="24"/>
                <w:szCs w:val="24"/>
                <w:highlight w:val="none"/>
                <w:lang w:val="en-US" w:eastAsia="zh-CN"/>
              </w:rPr>
              <w:t>根据</w:t>
            </w:r>
            <w:r>
              <w:rPr>
                <w:rFonts w:hint="eastAsia" w:ascii="宋体" w:hAnsi="宋体" w:eastAsia="宋体" w:cs="宋体"/>
                <w:bCs/>
                <w:color w:val="auto"/>
                <w:sz w:val="24"/>
                <w:szCs w:val="24"/>
                <w:highlight w:val="none"/>
              </w:rPr>
              <w:t>内容</w:t>
            </w:r>
            <w:r>
              <w:rPr>
                <w:rFonts w:hint="eastAsia" w:ascii="宋体" w:hAnsi="宋体" w:eastAsia="宋体" w:cs="宋体"/>
                <w:bCs/>
                <w:color w:val="auto"/>
                <w:sz w:val="24"/>
                <w:szCs w:val="24"/>
                <w:highlight w:val="none"/>
                <w:lang w:val="en-US" w:eastAsia="zh-CN"/>
              </w:rPr>
              <w:t>是否</w:t>
            </w:r>
            <w:r>
              <w:rPr>
                <w:rFonts w:hint="eastAsia" w:ascii="宋体" w:hAnsi="宋体" w:eastAsia="宋体" w:cs="宋体"/>
                <w:bCs/>
                <w:color w:val="auto"/>
                <w:sz w:val="24"/>
                <w:szCs w:val="24"/>
                <w:highlight w:val="none"/>
              </w:rPr>
              <w:t>完善可实施性强</w:t>
            </w:r>
            <w:r>
              <w:rPr>
                <w:rFonts w:hint="eastAsia" w:ascii="宋体" w:hAnsi="宋体" w:eastAsia="宋体" w:cs="宋体"/>
                <w:bCs/>
                <w:color w:val="auto"/>
                <w:sz w:val="24"/>
                <w:szCs w:val="24"/>
                <w:highlight w:val="none"/>
                <w:lang w:val="en-US" w:eastAsia="zh-CN"/>
              </w:rPr>
              <w:t>进行综合评审，</w:t>
            </w:r>
            <w:r>
              <w:rPr>
                <w:rFonts w:hint="eastAsia" w:ascii="宋体" w:hAnsi="宋体" w:eastAsia="宋体" w:cs="宋体"/>
                <w:bCs/>
                <w:color w:val="auto"/>
                <w:sz w:val="24"/>
                <w:szCs w:val="24"/>
                <w:highlight w:val="none"/>
              </w:rPr>
              <w:t>未提供不得分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（打分范围：4,3,2,1,0)</w:t>
            </w:r>
          </w:p>
        </w:tc>
        <w:tc>
          <w:tcPr>
            <w:tcW w:w="875" w:type="dxa"/>
            <w:vAlign w:val="center"/>
          </w:tcPr>
          <w:p w14:paraId="50CCBC7E">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w:t>
            </w:r>
          </w:p>
        </w:tc>
      </w:tr>
      <w:tr w14:paraId="154A0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Align w:val="center"/>
          </w:tcPr>
          <w:p w14:paraId="22CE7D27">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.4</w:t>
            </w:r>
          </w:p>
        </w:tc>
        <w:tc>
          <w:tcPr>
            <w:tcW w:w="8178" w:type="dxa"/>
            <w:vAlign w:val="center"/>
          </w:tcPr>
          <w:p w14:paraId="3DF7C16B">
            <w:pPr>
              <w:snapToGrid w:val="0"/>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结合项目情况，阐述</w:t>
            </w:r>
            <w:r>
              <w:rPr>
                <w:rFonts w:hint="eastAsia" w:ascii="宋体" w:hAnsi="宋体" w:eastAsia="宋体" w:cs="宋体"/>
                <w:bCs/>
                <w:color w:val="auto"/>
                <w:sz w:val="24"/>
                <w:szCs w:val="24"/>
                <w:highlight w:val="none"/>
              </w:rPr>
              <w:t>成品保护措施，针对车辆进出路边、施工场地周边等采取的成品保护措施，</w:t>
            </w:r>
            <w:r>
              <w:rPr>
                <w:rFonts w:hint="eastAsia" w:ascii="宋体" w:hAnsi="宋体" w:eastAsia="宋体" w:cs="宋体"/>
                <w:bCs/>
                <w:color w:val="auto"/>
                <w:sz w:val="24"/>
                <w:szCs w:val="24"/>
                <w:highlight w:val="none"/>
                <w:lang w:val="en-US" w:eastAsia="zh-CN"/>
              </w:rPr>
              <w:t>根据</w:t>
            </w:r>
            <w:r>
              <w:rPr>
                <w:rFonts w:hint="eastAsia" w:ascii="宋体" w:hAnsi="宋体" w:eastAsia="宋体" w:cs="宋体"/>
                <w:bCs/>
                <w:color w:val="auto"/>
                <w:sz w:val="24"/>
                <w:szCs w:val="24"/>
                <w:highlight w:val="none"/>
              </w:rPr>
              <w:t>内容</w:t>
            </w:r>
            <w:r>
              <w:rPr>
                <w:rFonts w:hint="eastAsia" w:ascii="宋体" w:hAnsi="宋体" w:eastAsia="宋体" w:cs="宋体"/>
                <w:bCs/>
                <w:color w:val="auto"/>
                <w:sz w:val="24"/>
                <w:szCs w:val="24"/>
                <w:highlight w:val="none"/>
                <w:lang w:val="en-US" w:eastAsia="zh-CN"/>
              </w:rPr>
              <w:t>是否</w:t>
            </w:r>
            <w:r>
              <w:rPr>
                <w:rFonts w:hint="eastAsia" w:ascii="宋体" w:hAnsi="宋体" w:eastAsia="宋体" w:cs="宋体"/>
                <w:bCs/>
                <w:color w:val="auto"/>
                <w:sz w:val="24"/>
                <w:szCs w:val="24"/>
                <w:highlight w:val="none"/>
              </w:rPr>
              <w:t>完善可实施性强</w:t>
            </w:r>
            <w:r>
              <w:rPr>
                <w:rFonts w:hint="eastAsia" w:ascii="宋体" w:hAnsi="宋体" w:eastAsia="宋体" w:cs="宋体"/>
                <w:bCs/>
                <w:color w:val="auto"/>
                <w:sz w:val="24"/>
                <w:szCs w:val="24"/>
                <w:highlight w:val="none"/>
                <w:lang w:val="en-US" w:eastAsia="zh-CN"/>
              </w:rPr>
              <w:t>进行综合评审，</w:t>
            </w:r>
            <w:r>
              <w:rPr>
                <w:rFonts w:hint="eastAsia" w:ascii="宋体" w:hAnsi="宋体" w:eastAsia="宋体" w:cs="宋体"/>
                <w:bCs/>
                <w:color w:val="auto"/>
                <w:sz w:val="24"/>
                <w:szCs w:val="24"/>
                <w:highlight w:val="none"/>
              </w:rPr>
              <w:t>未提供不得分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（打分范围：4,3,2,1,0)</w:t>
            </w:r>
          </w:p>
        </w:tc>
        <w:tc>
          <w:tcPr>
            <w:tcW w:w="875" w:type="dxa"/>
            <w:vAlign w:val="center"/>
          </w:tcPr>
          <w:p w14:paraId="34A36434">
            <w:pPr>
              <w:snapToGrid w:val="0"/>
              <w:spacing w:line="360" w:lineRule="auto"/>
              <w:jc w:val="center"/>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w:t>
            </w:r>
          </w:p>
        </w:tc>
      </w:tr>
      <w:tr w14:paraId="545DA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Align w:val="center"/>
          </w:tcPr>
          <w:p w14:paraId="2F18107B">
            <w:pPr>
              <w:snapToGrid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5.5</w:t>
            </w:r>
          </w:p>
        </w:tc>
        <w:tc>
          <w:tcPr>
            <w:tcW w:w="8178" w:type="dxa"/>
            <w:vAlign w:val="center"/>
          </w:tcPr>
          <w:p w14:paraId="6E556F54">
            <w:pPr>
              <w:snapToGrid w:val="0"/>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结合</w:t>
            </w:r>
            <w:r>
              <w:rPr>
                <w:rFonts w:hint="eastAsia" w:ascii="宋体" w:hAnsi="宋体" w:eastAsia="宋体" w:cs="宋体"/>
                <w:bCs/>
                <w:color w:val="auto"/>
                <w:sz w:val="24"/>
                <w:szCs w:val="24"/>
                <w:highlight w:val="none"/>
              </w:rPr>
              <w:t>本项目实际</w:t>
            </w:r>
            <w:r>
              <w:rPr>
                <w:rFonts w:hint="eastAsia" w:ascii="宋体" w:hAnsi="宋体" w:eastAsia="宋体" w:cs="宋体"/>
                <w:bCs/>
                <w:color w:val="auto"/>
                <w:sz w:val="24"/>
                <w:szCs w:val="24"/>
                <w:highlight w:val="none"/>
                <w:lang w:val="en-US" w:eastAsia="zh-CN"/>
              </w:rPr>
              <w:t>情况，</w:t>
            </w:r>
            <w:r>
              <w:rPr>
                <w:rFonts w:hint="eastAsia" w:ascii="宋体" w:hAnsi="宋体" w:eastAsia="宋体" w:cs="宋体"/>
                <w:bCs/>
                <w:color w:val="auto"/>
                <w:sz w:val="24"/>
                <w:szCs w:val="24"/>
                <w:highlight w:val="none"/>
              </w:rPr>
              <w:t>阐述</w:t>
            </w:r>
            <w:r>
              <w:rPr>
                <w:rFonts w:hint="eastAsia" w:ascii="宋体" w:hAnsi="宋体" w:eastAsia="宋体" w:cs="宋体"/>
                <w:bCs/>
                <w:color w:val="auto"/>
                <w:sz w:val="24"/>
                <w:szCs w:val="24"/>
                <w:highlight w:val="none"/>
                <w:lang w:val="en-US" w:eastAsia="zh-CN"/>
              </w:rPr>
              <w:t>安全</w:t>
            </w:r>
            <w:r>
              <w:rPr>
                <w:rFonts w:hint="eastAsia" w:ascii="宋体" w:hAnsi="宋体" w:eastAsia="宋体" w:cs="宋体"/>
                <w:bCs/>
                <w:color w:val="auto"/>
                <w:sz w:val="24"/>
                <w:szCs w:val="24"/>
                <w:highlight w:val="none"/>
              </w:rPr>
              <w:t>文明施工</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绿色施工，</w:t>
            </w:r>
            <w:r>
              <w:rPr>
                <w:rFonts w:hint="eastAsia" w:ascii="宋体" w:hAnsi="宋体" w:eastAsia="宋体" w:cs="宋体"/>
                <w:bCs/>
                <w:color w:val="auto"/>
                <w:sz w:val="24"/>
                <w:szCs w:val="24"/>
                <w:highlight w:val="none"/>
              </w:rPr>
              <w:t>市政、市容</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环保</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消防等的保证措施：</w:t>
            </w:r>
            <w:r>
              <w:rPr>
                <w:rFonts w:hint="eastAsia" w:ascii="宋体" w:hAnsi="宋体" w:eastAsia="宋体" w:cs="宋体"/>
                <w:bCs/>
                <w:color w:val="auto"/>
                <w:sz w:val="24"/>
                <w:szCs w:val="24"/>
                <w:highlight w:val="none"/>
                <w:lang w:val="en-US" w:eastAsia="zh-CN"/>
              </w:rPr>
              <w:t>根据</w:t>
            </w:r>
            <w:r>
              <w:rPr>
                <w:rFonts w:hint="eastAsia" w:ascii="宋体" w:hAnsi="宋体" w:eastAsia="宋体" w:cs="宋体"/>
                <w:bCs/>
                <w:color w:val="auto"/>
                <w:sz w:val="24"/>
                <w:szCs w:val="24"/>
                <w:highlight w:val="none"/>
              </w:rPr>
              <w:t>以上</w:t>
            </w:r>
            <w:r>
              <w:rPr>
                <w:rFonts w:hint="eastAsia" w:ascii="宋体" w:hAnsi="宋体" w:eastAsia="宋体" w:cs="宋体"/>
                <w:bCs/>
                <w:color w:val="auto"/>
                <w:sz w:val="24"/>
                <w:szCs w:val="24"/>
                <w:highlight w:val="none"/>
                <w:lang w:val="en-US" w:eastAsia="zh-CN"/>
              </w:rPr>
              <w:t>全部方案或</w:t>
            </w:r>
            <w:r>
              <w:rPr>
                <w:rFonts w:hint="eastAsia" w:ascii="宋体" w:hAnsi="宋体" w:eastAsia="宋体" w:cs="宋体"/>
                <w:bCs/>
                <w:color w:val="auto"/>
                <w:sz w:val="24"/>
                <w:szCs w:val="24"/>
                <w:highlight w:val="none"/>
              </w:rPr>
              <w:t>措施</w:t>
            </w:r>
            <w:r>
              <w:rPr>
                <w:rFonts w:hint="eastAsia" w:ascii="宋体" w:hAnsi="宋体" w:eastAsia="宋体" w:cs="宋体"/>
                <w:bCs/>
                <w:color w:val="auto"/>
                <w:sz w:val="24"/>
                <w:szCs w:val="24"/>
                <w:highlight w:val="none"/>
                <w:lang w:val="en-US" w:eastAsia="zh-CN"/>
              </w:rPr>
              <w:t>内容</w:t>
            </w:r>
            <w:r>
              <w:rPr>
                <w:rFonts w:hint="eastAsia" w:ascii="宋体" w:hAnsi="宋体" w:eastAsia="宋体" w:cs="宋体"/>
                <w:bCs/>
                <w:color w:val="auto"/>
                <w:sz w:val="24"/>
                <w:szCs w:val="24"/>
                <w:highlight w:val="none"/>
              </w:rPr>
              <w:t>的科学性、合理性、与项目实际</w:t>
            </w:r>
            <w:r>
              <w:rPr>
                <w:rFonts w:hint="eastAsia" w:ascii="宋体" w:hAnsi="宋体" w:eastAsia="宋体" w:cs="宋体"/>
                <w:bCs/>
                <w:color w:val="auto"/>
                <w:sz w:val="24"/>
                <w:szCs w:val="24"/>
                <w:highlight w:val="none"/>
                <w:lang w:val="en-US" w:eastAsia="zh-CN"/>
              </w:rPr>
              <w:t>符合</w:t>
            </w:r>
            <w:r>
              <w:rPr>
                <w:rFonts w:hint="eastAsia" w:ascii="宋体" w:hAnsi="宋体" w:eastAsia="宋体" w:cs="宋体"/>
                <w:bCs/>
                <w:color w:val="auto"/>
                <w:sz w:val="24"/>
                <w:szCs w:val="24"/>
                <w:highlight w:val="none"/>
              </w:rPr>
              <w:t>情况</w:t>
            </w:r>
            <w:r>
              <w:rPr>
                <w:rFonts w:hint="eastAsia" w:ascii="宋体" w:hAnsi="宋体" w:eastAsia="宋体" w:cs="宋体"/>
                <w:bCs/>
                <w:color w:val="auto"/>
                <w:sz w:val="24"/>
                <w:szCs w:val="24"/>
                <w:highlight w:val="none"/>
                <w:lang w:val="en-US" w:eastAsia="zh-CN"/>
              </w:rPr>
              <w:t>进行综合评审，</w:t>
            </w:r>
            <w:r>
              <w:rPr>
                <w:rFonts w:hint="eastAsia" w:ascii="宋体" w:hAnsi="宋体" w:eastAsia="宋体" w:cs="宋体"/>
                <w:bCs/>
                <w:color w:val="auto"/>
                <w:sz w:val="24"/>
                <w:szCs w:val="24"/>
                <w:highlight w:val="none"/>
              </w:rPr>
              <w:t>未提供不得分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（打分范围：4,3,2,1,0)</w:t>
            </w:r>
          </w:p>
        </w:tc>
        <w:tc>
          <w:tcPr>
            <w:tcW w:w="875" w:type="dxa"/>
            <w:vAlign w:val="center"/>
          </w:tcPr>
          <w:p w14:paraId="41448605">
            <w:pPr>
              <w:snapToGrid w:val="0"/>
              <w:spacing w:line="360" w:lineRule="auto"/>
              <w:jc w:val="center"/>
              <w:outlineLvl w:val="0"/>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4</w:t>
            </w:r>
          </w:p>
        </w:tc>
      </w:tr>
      <w:tr w14:paraId="4911C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753" w:type="dxa"/>
            <w:vAlign w:val="center"/>
          </w:tcPr>
          <w:p w14:paraId="7FAB345B">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.6</w:t>
            </w:r>
          </w:p>
        </w:tc>
        <w:tc>
          <w:tcPr>
            <w:tcW w:w="8178" w:type="dxa"/>
            <w:vAlign w:val="center"/>
          </w:tcPr>
          <w:p w14:paraId="59AACBA4">
            <w:pPr>
              <w:snapToGrid w:val="0"/>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结合项目情况，根据</w:t>
            </w:r>
            <w:r>
              <w:rPr>
                <w:rFonts w:hint="eastAsia" w:ascii="宋体" w:hAnsi="宋体" w:eastAsia="宋体" w:cs="宋体"/>
                <w:bCs/>
                <w:color w:val="auto"/>
                <w:sz w:val="24"/>
                <w:szCs w:val="24"/>
                <w:highlight w:val="none"/>
              </w:rPr>
              <w:t>拟投入主要施工机械设备</w:t>
            </w:r>
            <w:r>
              <w:rPr>
                <w:rFonts w:hint="eastAsia" w:ascii="宋体" w:hAnsi="宋体" w:eastAsia="宋体" w:cs="宋体"/>
                <w:bCs/>
                <w:color w:val="auto"/>
                <w:sz w:val="24"/>
                <w:szCs w:val="24"/>
                <w:highlight w:val="none"/>
                <w:lang w:val="en-US" w:eastAsia="zh-CN"/>
              </w:rPr>
              <w:t>充足</w:t>
            </w:r>
            <w:r>
              <w:rPr>
                <w:rFonts w:hint="eastAsia" w:ascii="宋体" w:hAnsi="宋体" w:eastAsia="宋体" w:cs="宋体"/>
                <w:bCs/>
                <w:color w:val="auto"/>
                <w:sz w:val="24"/>
                <w:szCs w:val="24"/>
                <w:highlight w:val="none"/>
              </w:rPr>
              <w:t>情况</w:t>
            </w:r>
            <w:r>
              <w:rPr>
                <w:rFonts w:hint="eastAsia" w:ascii="宋体" w:hAnsi="宋体" w:eastAsia="宋体" w:cs="宋体"/>
                <w:bCs/>
                <w:color w:val="auto"/>
                <w:sz w:val="24"/>
                <w:szCs w:val="24"/>
                <w:highlight w:val="none"/>
                <w:lang w:val="en-US" w:eastAsia="zh-CN"/>
              </w:rPr>
              <w:t>及</w:t>
            </w:r>
            <w:r>
              <w:rPr>
                <w:rFonts w:hint="eastAsia" w:ascii="宋体" w:hAnsi="宋体" w:eastAsia="宋体" w:cs="宋体"/>
                <w:bCs/>
                <w:color w:val="auto"/>
                <w:sz w:val="24"/>
                <w:szCs w:val="24"/>
                <w:highlight w:val="none"/>
              </w:rPr>
              <w:t>进场安排</w:t>
            </w:r>
            <w:r>
              <w:rPr>
                <w:rFonts w:hint="eastAsia" w:ascii="宋体" w:hAnsi="宋体" w:eastAsia="宋体" w:cs="宋体"/>
                <w:bCs/>
                <w:color w:val="auto"/>
                <w:sz w:val="24"/>
                <w:szCs w:val="24"/>
                <w:highlight w:val="none"/>
                <w:lang w:val="en-US" w:eastAsia="zh-CN"/>
              </w:rPr>
              <w:t>情况进行综合评审</w:t>
            </w:r>
            <w:r>
              <w:rPr>
                <w:rFonts w:hint="eastAsia" w:ascii="宋体" w:hAnsi="宋体" w:eastAsia="宋体" w:cs="宋体"/>
                <w:bCs/>
                <w:color w:val="auto"/>
                <w:sz w:val="24"/>
                <w:szCs w:val="24"/>
                <w:highlight w:val="none"/>
              </w:rPr>
              <w:t>，明确器械名称、数量等信息，未提供不得分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（打分范围：4,3,2,1,0)</w:t>
            </w:r>
          </w:p>
        </w:tc>
        <w:tc>
          <w:tcPr>
            <w:tcW w:w="875" w:type="dxa"/>
            <w:vAlign w:val="center"/>
          </w:tcPr>
          <w:p w14:paraId="0CF323EF">
            <w:pPr>
              <w:snapToGrid w:val="0"/>
              <w:spacing w:line="360" w:lineRule="auto"/>
              <w:jc w:val="center"/>
              <w:outlineLvl w:val="0"/>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4</w:t>
            </w:r>
          </w:p>
        </w:tc>
      </w:tr>
      <w:tr w14:paraId="46398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Align w:val="center"/>
          </w:tcPr>
          <w:p w14:paraId="3024C15F">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.7</w:t>
            </w:r>
          </w:p>
        </w:tc>
        <w:tc>
          <w:tcPr>
            <w:tcW w:w="8178" w:type="dxa"/>
            <w:vAlign w:val="center"/>
          </w:tcPr>
          <w:p w14:paraId="4049B383">
            <w:pPr>
              <w:snapToGrid w:val="0"/>
              <w:spacing w:line="360" w:lineRule="auto"/>
              <w:outlineLvl w:val="0"/>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lang w:val="en-US" w:eastAsia="zh-CN"/>
              </w:rPr>
              <w:t>结合项目情况，阐述</w:t>
            </w:r>
            <w:r>
              <w:rPr>
                <w:rFonts w:hint="eastAsia" w:ascii="宋体" w:hAnsi="宋体" w:eastAsia="宋体" w:cs="宋体"/>
                <w:bCs/>
                <w:color w:val="auto"/>
                <w:sz w:val="24"/>
                <w:szCs w:val="24"/>
                <w:highlight w:val="none"/>
              </w:rPr>
              <w:t>主材选型说明，需明确品牌型号或相关信息，</w:t>
            </w:r>
            <w:r>
              <w:rPr>
                <w:rFonts w:hint="eastAsia" w:ascii="宋体" w:hAnsi="宋体" w:eastAsia="宋体" w:cs="宋体"/>
                <w:bCs/>
                <w:color w:val="auto"/>
                <w:sz w:val="24"/>
                <w:szCs w:val="24"/>
                <w:highlight w:val="none"/>
                <w:lang w:val="en-US" w:eastAsia="zh-CN"/>
              </w:rPr>
              <w:t>根据</w:t>
            </w:r>
            <w:r>
              <w:rPr>
                <w:rFonts w:hint="eastAsia" w:ascii="宋体" w:hAnsi="宋体" w:eastAsia="宋体" w:cs="宋体"/>
                <w:bCs/>
                <w:color w:val="auto"/>
                <w:sz w:val="24"/>
                <w:szCs w:val="24"/>
                <w:highlight w:val="none"/>
              </w:rPr>
              <w:t>选材环保、性能、品质</w:t>
            </w:r>
            <w:r>
              <w:rPr>
                <w:rFonts w:hint="eastAsia" w:ascii="宋体" w:hAnsi="宋体" w:eastAsia="宋体" w:cs="宋体"/>
                <w:bCs/>
                <w:color w:val="auto"/>
                <w:sz w:val="24"/>
                <w:szCs w:val="24"/>
                <w:highlight w:val="none"/>
                <w:lang w:val="en-US" w:eastAsia="zh-CN"/>
              </w:rPr>
              <w:t>进行综合评审，</w:t>
            </w:r>
            <w:r>
              <w:rPr>
                <w:rFonts w:hint="eastAsia" w:ascii="宋体" w:hAnsi="宋体" w:eastAsia="宋体" w:cs="宋体"/>
                <w:bCs/>
                <w:color w:val="auto"/>
                <w:sz w:val="24"/>
                <w:szCs w:val="24"/>
                <w:highlight w:val="none"/>
              </w:rPr>
              <w:t>未提供不得分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（打分范围：4,3,2,1,0)</w:t>
            </w:r>
          </w:p>
        </w:tc>
        <w:tc>
          <w:tcPr>
            <w:tcW w:w="875" w:type="dxa"/>
            <w:vAlign w:val="center"/>
          </w:tcPr>
          <w:p w14:paraId="547A8B74">
            <w:pPr>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bCs/>
                <w:color w:val="auto"/>
                <w:sz w:val="24"/>
                <w:szCs w:val="24"/>
                <w:highlight w:val="none"/>
                <w:lang w:val="en-US" w:eastAsia="zh-CN"/>
              </w:rPr>
              <w:t>4</w:t>
            </w:r>
          </w:p>
        </w:tc>
      </w:tr>
      <w:tr w14:paraId="7714E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53" w:type="dxa"/>
            <w:vAlign w:val="center"/>
          </w:tcPr>
          <w:p w14:paraId="63B9BFA5">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.8</w:t>
            </w:r>
          </w:p>
        </w:tc>
        <w:tc>
          <w:tcPr>
            <w:tcW w:w="8178" w:type="dxa"/>
            <w:vAlign w:val="center"/>
          </w:tcPr>
          <w:p w14:paraId="28C75F38">
            <w:pPr>
              <w:snapToGrid w:val="0"/>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结合项目情况，</w:t>
            </w:r>
            <w:r>
              <w:rPr>
                <w:rFonts w:hint="eastAsia" w:ascii="宋体" w:hAnsi="宋体" w:eastAsia="宋体" w:cs="宋体"/>
                <w:bCs/>
                <w:color w:val="auto"/>
                <w:sz w:val="24"/>
                <w:szCs w:val="24"/>
                <w:highlight w:val="none"/>
              </w:rPr>
              <w:t>突发应急保障能力，根据可能出现的突发事件，提出合理可行的应对措施，未提供不得分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（打分范围：3,2,1,0)</w:t>
            </w:r>
          </w:p>
        </w:tc>
        <w:tc>
          <w:tcPr>
            <w:tcW w:w="875" w:type="dxa"/>
            <w:vAlign w:val="center"/>
          </w:tcPr>
          <w:p w14:paraId="5D89F229">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3</w:t>
            </w:r>
          </w:p>
        </w:tc>
      </w:tr>
      <w:tr w14:paraId="17EB3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Align w:val="center"/>
          </w:tcPr>
          <w:p w14:paraId="5C11AC82">
            <w:pPr>
              <w:snapToGrid w:val="0"/>
              <w:spacing w:line="360" w:lineRule="auto"/>
              <w:jc w:val="center"/>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6</w:t>
            </w:r>
          </w:p>
        </w:tc>
        <w:tc>
          <w:tcPr>
            <w:tcW w:w="8178" w:type="dxa"/>
            <w:vAlign w:val="center"/>
          </w:tcPr>
          <w:p w14:paraId="364BC196">
            <w:pPr>
              <w:spacing w:line="360" w:lineRule="auto"/>
              <w:outlineLvl w:val="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项目进度安排（进度计划表、进度保障措施等）</w:t>
            </w:r>
            <w:r>
              <w:rPr>
                <w:rFonts w:hint="eastAsia" w:ascii="宋体" w:hAnsi="宋体" w:eastAsia="宋体" w:cs="宋体"/>
                <w:bCs/>
                <w:color w:val="auto"/>
                <w:sz w:val="24"/>
                <w:szCs w:val="24"/>
                <w:highlight w:val="none"/>
                <w:lang w:eastAsia="zh-CN"/>
              </w:rPr>
              <w:t>：</w:t>
            </w:r>
          </w:p>
          <w:p w14:paraId="1BC68BF9">
            <w:pPr>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具有合理可行的进度计划表得1分，不合理不得分；</w:t>
            </w:r>
          </w:p>
          <w:p w14:paraId="764F61BD">
            <w:pPr>
              <w:snapToGrid w:val="0"/>
              <w:spacing w:line="360" w:lineRule="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项目进度保障，工期提前措施，保障项目质量的前提，尽可能的提前工期，提供措施描述</w:t>
            </w:r>
            <w:r>
              <w:rPr>
                <w:rFonts w:hint="eastAsia" w:ascii="宋体" w:hAnsi="宋体" w:eastAsia="宋体" w:cs="宋体"/>
                <w:bCs/>
                <w:color w:val="auto"/>
                <w:sz w:val="24"/>
                <w:szCs w:val="24"/>
                <w:highlight w:val="none"/>
                <w:lang w:val="en-US" w:eastAsia="zh-CN"/>
              </w:rPr>
              <w:t>是否</w:t>
            </w:r>
            <w:r>
              <w:rPr>
                <w:rFonts w:hint="eastAsia" w:ascii="宋体" w:hAnsi="宋体" w:eastAsia="宋体" w:cs="宋体"/>
                <w:bCs/>
                <w:color w:val="auto"/>
                <w:sz w:val="24"/>
                <w:szCs w:val="24"/>
                <w:highlight w:val="none"/>
              </w:rPr>
              <w:t>合理可行</w:t>
            </w:r>
            <w:r>
              <w:rPr>
                <w:rFonts w:hint="eastAsia" w:ascii="宋体" w:hAnsi="宋体" w:eastAsia="宋体" w:cs="宋体"/>
                <w:bCs/>
                <w:color w:val="auto"/>
                <w:sz w:val="24"/>
                <w:szCs w:val="24"/>
                <w:highlight w:val="none"/>
                <w:lang w:val="en-US" w:eastAsia="zh-CN"/>
              </w:rPr>
              <w:t>进行综合评审，</w:t>
            </w:r>
            <w:r>
              <w:rPr>
                <w:rFonts w:hint="eastAsia" w:ascii="宋体" w:hAnsi="宋体" w:eastAsia="宋体" w:cs="宋体"/>
                <w:bCs/>
                <w:color w:val="auto"/>
                <w:sz w:val="24"/>
                <w:szCs w:val="24"/>
                <w:highlight w:val="none"/>
              </w:rPr>
              <w:t>未提供不得分；</w:t>
            </w:r>
            <w:r>
              <w:rPr>
                <w:rFonts w:hint="eastAsia" w:ascii="宋体" w:hAnsi="宋体" w:eastAsia="宋体" w:cs="宋体"/>
                <w:bCs/>
                <w:color w:val="auto"/>
                <w:sz w:val="24"/>
                <w:szCs w:val="24"/>
                <w:highlight w:val="none"/>
                <w:lang w:val="en-US" w:eastAsia="zh-CN"/>
              </w:rPr>
              <w:t>（打分范围：2,1,0)</w:t>
            </w:r>
          </w:p>
        </w:tc>
        <w:tc>
          <w:tcPr>
            <w:tcW w:w="875" w:type="dxa"/>
            <w:vAlign w:val="center"/>
          </w:tcPr>
          <w:p w14:paraId="49F06C4A">
            <w:pPr>
              <w:snapToGrid w:val="0"/>
              <w:spacing w:line="360" w:lineRule="auto"/>
              <w:jc w:val="center"/>
              <w:outlineLvl w:val="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3</w:t>
            </w:r>
          </w:p>
        </w:tc>
      </w:tr>
      <w:tr w14:paraId="547B0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Align w:val="center"/>
          </w:tcPr>
          <w:p w14:paraId="7538208E">
            <w:pPr>
              <w:snapToGrid w:val="0"/>
              <w:spacing w:line="360" w:lineRule="auto"/>
              <w:jc w:val="center"/>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7</w:t>
            </w:r>
          </w:p>
        </w:tc>
        <w:tc>
          <w:tcPr>
            <w:tcW w:w="8178" w:type="dxa"/>
            <w:vAlign w:val="center"/>
          </w:tcPr>
          <w:p w14:paraId="15E4F5B1">
            <w:pPr>
              <w:snapToGrid w:val="0"/>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项目团队</w:t>
            </w:r>
          </w:p>
        </w:tc>
        <w:tc>
          <w:tcPr>
            <w:tcW w:w="875" w:type="dxa"/>
            <w:vAlign w:val="center"/>
          </w:tcPr>
          <w:p w14:paraId="78BFBD94">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r>
      <w:tr w14:paraId="47AE6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Align w:val="center"/>
          </w:tcPr>
          <w:p w14:paraId="4BA6023E">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.1</w:t>
            </w:r>
          </w:p>
        </w:tc>
        <w:tc>
          <w:tcPr>
            <w:tcW w:w="8178" w:type="dxa"/>
            <w:vAlign w:val="center"/>
          </w:tcPr>
          <w:p w14:paraId="644AA73B">
            <w:pPr>
              <w:snapToGrid w:val="0"/>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客观分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项目经理（具备二级及以上建筑工程专业建造师且取得建安B证且无在建项目，否则本项不得分）：</w:t>
            </w:r>
          </w:p>
          <w:p w14:paraId="50308763">
            <w:pPr>
              <w:snapToGrid w:val="0"/>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（1）具有</w:t>
            </w:r>
            <w:r>
              <w:rPr>
                <w:rFonts w:hint="eastAsia" w:ascii="宋体" w:hAnsi="宋体" w:eastAsia="宋体" w:cs="宋体"/>
                <w:bCs/>
                <w:color w:val="auto"/>
                <w:sz w:val="24"/>
                <w:szCs w:val="24"/>
                <w:highlight w:val="none"/>
                <w:lang w:val="en-US" w:eastAsia="zh-CN"/>
              </w:rPr>
              <w:t>工程师</w:t>
            </w:r>
            <w:r>
              <w:rPr>
                <w:rFonts w:hint="eastAsia" w:ascii="宋体" w:hAnsi="宋体" w:cs="宋体"/>
                <w:bCs/>
                <w:color w:val="auto"/>
                <w:sz w:val="24"/>
                <w:szCs w:val="24"/>
                <w:highlight w:val="none"/>
                <w:lang w:val="en-US" w:eastAsia="zh-CN"/>
              </w:rPr>
              <w:t>及以上</w:t>
            </w:r>
            <w:r>
              <w:rPr>
                <w:rFonts w:hint="eastAsia" w:ascii="宋体" w:hAnsi="宋体" w:eastAsia="宋体" w:cs="宋体"/>
                <w:bCs/>
                <w:color w:val="auto"/>
                <w:sz w:val="24"/>
                <w:szCs w:val="24"/>
                <w:highlight w:val="none"/>
                <w:lang w:val="en-US" w:eastAsia="zh-CN"/>
              </w:rPr>
              <w:t>职称得</w:t>
            </w:r>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lang w:val="en-US" w:eastAsia="zh-CN"/>
              </w:rPr>
              <w:t>分，其余不得分</w:t>
            </w:r>
            <w:r>
              <w:rPr>
                <w:rFonts w:hint="eastAsia" w:ascii="宋体" w:hAnsi="宋体" w:eastAsia="宋体" w:cs="宋体"/>
                <w:bCs/>
                <w:color w:val="auto"/>
                <w:sz w:val="24"/>
                <w:szCs w:val="24"/>
                <w:highlight w:val="none"/>
              </w:rPr>
              <w:t>；</w:t>
            </w:r>
          </w:p>
          <w:p w14:paraId="412C1BA9">
            <w:pPr>
              <w:snapToGrid w:val="0"/>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（2）项目经理到位率承诺</w:t>
            </w:r>
            <w:r>
              <w:rPr>
                <w:rFonts w:hint="eastAsia" w:ascii="宋体" w:hAnsi="宋体" w:eastAsia="宋体" w:cs="宋体"/>
                <w:bCs/>
                <w:color w:val="auto"/>
                <w:sz w:val="24"/>
                <w:szCs w:val="24"/>
                <w:highlight w:val="none"/>
                <w:lang w:val="en-US" w:eastAsia="zh-CN"/>
              </w:rPr>
              <w:t>95</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以上</w:t>
            </w:r>
            <w:r>
              <w:rPr>
                <w:rFonts w:hint="eastAsia" w:ascii="宋体" w:hAnsi="宋体" w:eastAsia="宋体" w:cs="宋体"/>
                <w:bCs/>
                <w:color w:val="auto"/>
                <w:sz w:val="24"/>
                <w:szCs w:val="24"/>
                <w:highlight w:val="none"/>
              </w:rPr>
              <w:t>得</w:t>
            </w:r>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rPr>
              <w:t>分，到位率承诺80%及以上得</w:t>
            </w:r>
            <w:r>
              <w:rPr>
                <w:rFonts w:hint="eastAsia" w:ascii="宋体" w:hAnsi="宋体" w:cs="宋体"/>
                <w:bCs/>
                <w:color w:val="auto"/>
                <w:sz w:val="24"/>
                <w:szCs w:val="24"/>
                <w:highlight w:val="none"/>
                <w:lang w:val="en-US" w:eastAsia="zh-CN"/>
              </w:rPr>
              <w:t>0.5</w:t>
            </w:r>
            <w:r>
              <w:rPr>
                <w:rFonts w:hint="eastAsia" w:ascii="宋体" w:hAnsi="宋体" w:eastAsia="宋体" w:cs="宋体"/>
                <w:bCs/>
                <w:color w:val="auto"/>
                <w:sz w:val="24"/>
                <w:szCs w:val="24"/>
                <w:highlight w:val="none"/>
              </w:rPr>
              <w:t>分，到位率承诺低于80%不得分；</w:t>
            </w:r>
          </w:p>
          <w:p w14:paraId="3F758EED">
            <w:pPr>
              <w:snapToGrid w:val="0"/>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（3）具有类似项目管理实施经验得1分。</w:t>
            </w:r>
          </w:p>
          <w:p w14:paraId="363BBEB9">
            <w:pPr>
              <w:snapToGrid w:val="0"/>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提供履历、相关佐证、近三个月内</w:t>
            </w:r>
            <w:r>
              <w:rPr>
                <w:rFonts w:hint="eastAsia" w:ascii="宋体" w:hAnsi="宋体" w:cs="宋体"/>
                <w:bCs/>
                <w:color w:val="auto"/>
                <w:sz w:val="24"/>
                <w:szCs w:val="24"/>
                <w:highlight w:val="none"/>
                <w:lang w:val="en-US" w:eastAsia="zh-CN"/>
              </w:rPr>
              <w:t>任意一个月</w:t>
            </w:r>
            <w:r>
              <w:rPr>
                <w:rFonts w:hint="eastAsia" w:ascii="宋体" w:hAnsi="宋体" w:eastAsia="宋体" w:cs="宋体"/>
                <w:bCs/>
                <w:color w:val="auto"/>
                <w:sz w:val="24"/>
                <w:szCs w:val="24"/>
                <w:highlight w:val="none"/>
              </w:rPr>
              <w:t>的社保等材料。</w:t>
            </w:r>
          </w:p>
        </w:tc>
        <w:tc>
          <w:tcPr>
            <w:tcW w:w="875" w:type="dxa"/>
            <w:vAlign w:val="center"/>
          </w:tcPr>
          <w:p w14:paraId="7C8D2707">
            <w:pPr>
              <w:snapToGrid w:val="0"/>
              <w:spacing w:line="360" w:lineRule="auto"/>
              <w:jc w:val="center"/>
              <w:outlineLvl w:val="0"/>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3</w:t>
            </w:r>
          </w:p>
        </w:tc>
      </w:tr>
      <w:tr w14:paraId="2AB31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753" w:type="dxa"/>
            <w:vAlign w:val="center"/>
          </w:tcPr>
          <w:p w14:paraId="5D803A20">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.2</w:t>
            </w:r>
          </w:p>
        </w:tc>
        <w:tc>
          <w:tcPr>
            <w:tcW w:w="8178" w:type="dxa"/>
            <w:vAlign w:val="center"/>
          </w:tcPr>
          <w:p w14:paraId="184E283B">
            <w:pPr>
              <w:spacing w:line="360" w:lineRule="auto"/>
              <w:outlineLvl w:val="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客观分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技术负责人：具有</w:t>
            </w:r>
            <w:r>
              <w:rPr>
                <w:rFonts w:hint="eastAsia" w:ascii="宋体" w:hAnsi="宋体" w:eastAsia="宋体" w:cs="宋体"/>
                <w:bCs/>
                <w:color w:val="auto"/>
                <w:sz w:val="24"/>
                <w:szCs w:val="24"/>
                <w:highlight w:val="none"/>
                <w:lang w:val="en-US" w:eastAsia="zh-CN"/>
              </w:rPr>
              <w:t>工程师</w:t>
            </w:r>
            <w:r>
              <w:rPr>
                <w:rFonts w:hint="eastAsia" w:ascii="宋体" w:hAnsi="宋体" w:cs="宋体"/>
                <w:bCs/>
                <w:color w:val="auto"/>
                <w:sz w:val="24"/>
                <w:szCs w:val="24"/>
                <w:highlight w:val="none"/>
                <w:lang w:val="en-US" w:eastAsia="zh-CN"/>
              </w:rPr>
              <w:t>及以上</w:t>
            </w:r>
            <w:r>
              <w:rPr>
                <w:rFonts w:hint="eastAsia" w:ascii="宋体" w:hAnsi="宋体" w:eastAsia="宋体" w:cs="宋体"/>
                <w:bCs/>
                <w:color w:val="auto"/>
                <w:sz w:val="24"/>
                <w:szCs w:val="24"/>
                <w:highlight w:val="none"/>
              </w:rPr>
              <w:t>职称得</w:t>
            </w:r>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val="en-US" w:eastAsia="zh-CN"/>
              </w:rPr>
              <w:t>，其余不得分</w:t>
            </w:r>
            <w:r>
              <w:rPr>
                <w:rFonts w:hint="eastAsia" w:ascii="宋体" w:hAnsi="宋体" w:cs="宋体"/>
                <w:bCs/>
                <w:color w:val="auto"/>
                <w:sz w:val="24"/>
                <w:szCs w:val="24"/>
                <w:highlight w:val="none"/>
                <w:lang w:val="en-US" w:eastAsia="zh-CN"/>
              </w:rPr>
              <w:t>。</w:t>
            </w:r>
          </w:p>
          <w:p w14:paraId="2469A39C">
            <w:pPr>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提供履历、</w:t>
            </w:r>
            <w:r>
              <w:rPr>
                <w:rFonts w:hint="eastAsia" w:ascii="宋体" w:hAnsi="宋体" w:eastAsia="宋体" w:cs="宋体"/>
                <w:bCs/>
                <w:color w:val="auto"/>
                <w:sz w:val="24"/>
                <w:szCs w:val="24"/>
                <w:highlight w:val="none"/>
                <w:lang w:val="en-US" w:eastAsia="zh-CN"/>
              </w:rPr>
              <w:t>证书</w:t>
            </w:r>
            <w:r>
              <w:rPr>
                <w:rFonts w:hint="eastAsia" w:ascii="宋体" w:hAnsi="宋体" w:eastAsia="宋体" w:cs="宋体"/>
                <w:bCs/>
                <w:color w:val="auto"/>
                <w:sz w:val="24"/>
                <w:szCs w:val="24"/>
                <w:highlight w:val="none"/>
              </w:rPr>
              <w:t>、近三个月内</w:t>
            </w:r>
            <w:r>
              <w:rPr>
                <w:rFonts w:hint="eastAsia" w:ascii="宋体" w:hAnsi="宋体" w:cs="宋体"/>
                <w:bCs/>
                <w:color w:val="auto"/>
                <w:sz w:val="24"/>
                <w:szCs w:val="24"/>
                <w:highlight w:val="none"/>
                <w:lang w:val="en-US" w:eastAsia="zh-CN"/>
              </w:rPr>
              <w:t>任意一个月</w:t>
            </w:r>
            <w:r>
              <w:rPr>
                <w:rFonts w:hint="eastAsia" w:ascii="宋体" w:hAnsi="宋体" w:eastAsia="宋体" w:cs="宋体"/>
                <w:bCs/>
                <w:color w:val="auto"/>
                <w:sz w:val="24"/>
                <w:szCs w:val="24"/>
                <w:highlight w:val="none"/>
              </w:rPr>
              <w:t>的社保等材料。</w:t>
            </w:r>
          </w:p>
        </w:tc>
        <w:tc>
          <w:tcPr>
            <w:tcW w:w="875" w:type="dxa"/>
            <w:vAlign w:val="center"/>
          </w:tcPr>
          <w:p w14:paraId="7FB9CD40">
            <w:pPr>
              <w:spacing w:line="360" w:lineRule="auto"/>
              <w:ind w:firstLine="33" w:firstLineChars="14"/>
              <w:jc w:val="center"/>
              <w:outlineLvl w:val="0"/>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1</w:t>
            </w:r>
          </w:p>
        </w:tc>
      </w:tr>
      <w:tr w14:paraId="31965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Align w:val="center"/>
          </w:tcPr>
          <w:p w14:paraId="4CA644FC">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.3</w:t>
            </w:r>
          </w:p>
        </w:tc>
        <w:tc>
          <w:tcPr>
            <w:tcW w:w="8178" w:type="dxa"/>
            <w:vAlign w:val="center"/>
          </w:tcPr>
          <w:p w14:paraId="0BE64860">
            <w:pPr>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项目团队（至少包含主要管理人员）：</w:t>
            </w:r>
            <w:r>
              <w:rPr>
                <w:rFonts w:hint="eastAsia" w:ascii="宋体" w:hAnsi="宋体" w:eastAsia="宋体" w:cs="宋体"/>
                <w:bCs/>
                <w:color w:val="auto"/>
                <w:sz w:val="24"/>
                <w:szCs w:val="24"/>
                <w:highlight w:val="none"/>
                <w:lang w:val="en-US" w:eastAsia="zh-CN"/>
              </w:rPr>
              <w:t>根据</w:t>
            </w:r>
            <w:r>
              <w:rPr>
                <w:rFonts w:hint="eastAsia" w:ascii="宋体" w:hAnsi="宋体" w:eastAsia="宋体" w:cs="宋体"/>
                <w:bCs/>
                <w:color w:val="auto"/>
                <w:sz w:val="24"/>
                <w:szCs w:val="24"/>
                <w:highlight w:val="none"/>
              </w:rPr>
              <w:t>专业分工</w:t>
            </w:r>
            <w:r>
              <w:rPr>
                <w:rFonts w:hint="eastAsia" w:ascii="宋体" w:hAnsi="宋体" w:eastAsia="宋体" w:cs="宋体"/>
                <w:bCs/>
                <w:color w:val="auto"/>
                <w:sz w:val="24"/>
                <w:szCs w:val="24"/>
                <w:highlight w:val="none"/>
                <w:lang w:val="en-US" w:eastAsia="zh-CN"/>
              </w:rPr>
              <w:t>是否</w:t>
            </w:r>
            <w:r>
              <w:rPr>
                <w:rFonts w:hint="eastAsia" w:ascii="宋体" w:hAnsi="宋体" w:eastAsia="宋体" w:cs="宋体"/>
                <w:bCs/>
                <w:color w:val="auto"/>
                <w:sz w:val="24"/>
                <w:szCs w:val="24"/>
                <w:highlight w:val="none"/>
              </w:rPr>
              <w:t>合理，</w:t>
            </w:r>
            <w:r>
              <w:rPr>
                <w:rFonts w:hint="eastAsia" w:ascii="宋体" w:hAnsi="宋体" w:eastAsia="宋体" w:cs="宋体"/>
                <w:bCs/>
                <w:color w:val="auto"/>
                <w:sz w:val="24"/>
                <w:szCs w:val="24"/>
                <w:highlight w:val="none"/>
                <w:lang w:val="en-US" w:eastAsia="zh-CN"/>
              </w:rPr>
              <w:t>是否</w:t>
            </w:r>
            <w:r>
              <w:rPr>
                <w:rFonts w:hint="eastAsia" w:ascii="宋体" w:hAnsi="宋体" w:eastAsia="宋体" w:cs="宋体"/>
                <w:bCs/>
                <w:color w:val="auto"/>
                <w:sz w:val="24"/>
                <w:szCs w:val="24"/>
                <w:highlight w:val="none"/>
              </w:rPr>
              <w:t>配备专职安全员，人数满足</w:t>
            </w:r>
            <w:r>
              <w:rPr>
                <w:rFonts w:hint="eastAsia" w:ascii="宋体" w:hAnsi="宋体" w:eastAsia="宋体" w:cs="宋体"/>
                <w:bCs/>
                <w:color w:val="auto"/>
                <w:sz w:val="24"/>
                <w:szCs w:val="24"/>
                <w:highlight w:val="none"/>
                <w:lang w:val="en-US" w:eastAsia="zh-CN"/>
              </w:rPr>
              <w:t>是否</w:t>
            </w:r>
            <w:r>
              <w:rPr>
                <w:rFonts w:hint="eastAsia" w:ascii="宋体" w:hAnsi="宋体" w:eastAsia="宋体" w:cs="宋体"/>
                <w:bCs/>
                <w:color w:val="auto"/>
                <w:sz w:val="24"/>
                <w:szCs w:val="24"/>
                <w:highlight w:val="none"/>
              </w:rPr>
              <w:t>施工进度需求</w:t>
            </w:r>
            <w:r>
              <w:rPr>
                <w:rFonts w:hint="eastAsia" w:ascii="宋体" w:hAnsi="宋体" w:eastAsia="宋体" w:cs="宋体"/>
                <w:bCs/>
                <w:color w:val="auto"/>
                <w:sz w:val="24"/>
                <w:szCs w:val="24"/>
                <w:highlight w:val="none"/>
                <w:lang w:val="en-US" w:eastAsia="zh-CN"/>
              </w:rPr>
              <w:t>进行综合评审</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未提供</w:t>
            </w:r>
            <w:r>
              <w:rPr>
                <w:rFonts w:hint="eastAsia" w:ascii="宋体" w:hAnsi="宋体" w:eastAsia="宋体" w:cs="宋体"/>
                <w:bCs/>
                <w:color w:val="auto"/>
                <w:sz w:val="24"/>
                <w:szCs w:val="24"/>
                <w:highlight w:val="none"/>
              </w:rPr>
              <w:t>或无安全员不得分。</w:t>
            </w:r>
            <w:r>
              <w:rPr>
                <w:rFonts w:hint="eastAsia" w:ascii="宋体" w:hAnsi="宋体" w:eastAsia="宋体" w:cs="宋体"/>
                <w:bCs/>
                <w:color w:val="auto"/>
                <w:sz w:val="24"/>
                <w:szCs w:val="24"/>
                <w:highlight w:val="none"/>
                <w:lang w:val="en-US" w:eastAsia="zh-CN"/>
              </w:rPr>
              <w:t>（打分范围：2,1,0)</w:t>
            </w:r>
          </w:p>
        </w:tc>
        <w:tc>
          <w:tcPr>
            <w:tcW w:w="875" w:type="dxa"/>
            <w:vAlign w:val="center"/>
          </w:tcPr>
          <w:p w14:paraId="3B13AB39">
            <w:pPr>
              <w:spacing w:line="360" w:lineRule="auto"/>
              <w:ind w:firstLine="33" w:firstLineChars="14"/>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2</w:t>
            </w:r>
          </w:p>
        </w:tc>
      </w:tr>
      <w:tr w14:paraId="33FAA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Align w:val="center"/>
          </w:tcPr>
          <w:p w14:paraId="3D74D15E">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.4</w:t>
            </w:r>
          </w:p>
        </w:tc>
        <w:tc>
          <w:tcPr>
            <w:tcW w:w="8178" w:type="dxa"/>
            <w:vAlign w:val="center"/>
          </w:tcPr>
          <w:p w14:paraId="745ED533">
            <w:pPr>
              <w:snapToGrid w:val="0"/>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劳动力计划安排，根据进度，</w:t>
            </w:r>
            <w:r>
              <w:rPr>
                <w:rFonts w:hint="eastAsia" w:ascii="宋体" w:hAnsi="宋体" w:eastAsia="宋体" w:cs="宋体"/>
                <w:bCs/>
                <w:color w:val="auto"/>
                <w:sz w:val="24"/>
                <w:szCs w:val="24"/>
                <w:highlight w:val="none"/>
                <w:lang w:val="en-US" w:eastAsia="zh-CN"/>
              </w:rPr>
              <w:t>根据</w:t>
            </w:r>
            <w:r>
              <w:rPr>
                <w:rFonts w:hint="eastAsia" w:ascii="宋体" w:hAnsi="宋体" w:eastAsia="宋体" w:cs="宋体"/>
                <w:bCs/>
                <w:color w:val="auto"/>
                <w:sz w:val="24"/>
                <w:szCs w:val="24"/>
                <w:highlight w:val="none"/>
              </w:rPr>
              <w:t>劳动力投入</w:t>
            </w:r>
            <w:r>
              <w:rPr>
                <w:rFonts w:hint="eastAsia" w:ascii="宋体" w:hAnsi="宋体" w:eastAsia="宋体" w:cs="宋体"/>
                <w:bCs/>
                <w:color w:val="auto"/>
                <w:sz w:val="24"/>
                <w:szCs w:val="24"/>
                <w:highlight w:val="none"/>
                <w:lang w:val="en-US" w:eastAsia="zh-CN"/>
              </w:rPr>
              <w:t>的</w:t>
            </w:r>
            <w:r>
              <w:rPr>
                <w:rFonts w:hint="eastAsia" w:ascii="宋体" w:hAnsi="宋体" w:eastAsia="宋体" w:cs="宋体"/>
                <w:bCs/>
                <w:color w:val="auto"/>
                <w:sz w:val="24"/>
                <w:szCs w:val="24"/>
                <w:highlight w:val="none"/>
              </w:rPr>
              <w:t>合理</w:t>
            </w:r>
            <w:r>
              <w:rPr>
                <w:rFonts w:hint="eastAsia" w:ascii="宋体" w:hAnsi="宋体" w:eastAsia="宋体" w:cs="宋体"/>
                <w:bCs/>
                <w:color w:val="auto"/>
                <w:sz w:val="24"/>
                <w:szCs w:val="24"/>
                <w:highlight w:val="none"/>
                <w:lang w:val="en-US" w:eastAsia="zh-CN"/>
              </w:rPr>
              <w:t>性、</w:t>
            </w:r>
            <w:r>
              <w:rPr>
                <w:rFonts w:hint="eastAsia" w:ascii="宋体" w:hAnsi="宋体" w:eastAsia="宋体" w:cs="宋体"/>
                <w:bCs/>
                <w:color w:val="auto"/>
                <w:sz w:val="24"/>
                <w:szCs w:val="24"/>
                <w:highlight w:val="none"/>
              </w:rPr>
              <w:t>可行</w:t>
            </w:r>
            <w:r>
              <w:rPr>
                <w:rFonts w:hint="eastAsia" w:ascii="宋体" w:hAnsi="宋体" w:eastAsia="宋体" w:cs="宋体"/>
                <w:bCs/>
                <w:color w:val="auto"/>
                <w:sz w:val="24"/>
                <w:szCs w:val="24"/>
                <w:highlight w:val="none"/>
                <w:lang w:val="en-US" w:eastAsia="zh-CN"/>
              </w:rPr>
              <w:t>性进行综合评审，</w:t>
            </w:r>
            <w:r>
              <w:rPr>
                <w:rFonts w:hint="eastAsia" w:ascii="宋体" w:hAnsi="宋体" w:eastAsia="宋体" w:cs="宋体"/>
                <w:bCs/>
                <w:color w:val="auto"/>
                <w:sz w:val="24"/>
                <w:szCs w:val="24"/>
                <w:highlight w:val="none"/>
              </w:rPr>
              <w:t>未提供不得分；</w:t>
            </w:r>
            <w:r>
              <w:rPr>
                <w:rFonts w:hint="eastAsia" w:ascii="宋体" w:hAnsi="宋体" w:eastAsia="宋体" w:cs="宋体"/>
                <w:bCs/>
                <w:color w:val="auto"/>
                <w:sz w:val="24"/>
                <w:szCs w:val="24"/>
                <w:highlight w:val="none"/>
                <w:lang w:val="en-US" w:eastAsia="zh-CN"/>
              </w:rPr>
              <w:t>（打分范围：2,1,0)</w:t>
            </w:r>
          </w:p>
        </w:tc>
        <w:tc>
          <w:tcPr>
            <w:tcW w:w="875" w:type="dxa"/>
            <w:vAlign w:val="center"/>
          </w:tcPr>
          <w:p w14:paraId="5AC6BC92">
            <w:pPr>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p>
        </w:tc>
      </w:tr>
      <w:tr w14:paraId="61753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Align w:val="center"/>
          </w:tcPr>
          <w:p w14:paraId="2E91FC99">
            <w:pPr>
              <w:snapToGrid w:val="0"/>
              <w:spacing w:line="360" w:lineRule="auto"/>
              <w:jc w:val="center"/>
              <w:outlineLvl w:val="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8</w:t>
            </w:r>
          </w:p>
        </w:tc>
        <w:tc>
          <w:tcPr>
            <w:tcW w:w="8178" w:type="dxa"/>
            <w:vAlign w:val="center"/>
          </w:tcPr>
          <w:p w14:paraId="34EB84EB">
            <w:pPr>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售后服务承诺：</w:t>
            </w:r>
          </w:p>
          <w:p w14:paraId="1BD69C15">
            <w:pPr>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工程竣工后的保修服务承诺和保证措施，</w:t>
            </w:r>
            <w:r>
              <w:rPr>
                <w:rFonts w:hint="eastAsia" w:ascii="宋体" w:hAnsi="宋体" w:eastAsia="宋体" w:cs="宋体"/>
                <w:bCs/>
                <w:color w:val="auto"/>
                <w:sz w:val="24"/>
                <w:szCs w:val="24"/>
                <w:highlight w:val="none"/>
                <w:lang w:val="en-US" w:eastAsia="zh-CN"/>
              </w:rPr>
              <w:t>根据</w:t>
            </w:r>
            <w:r>
              <w:rPr>
                <w:rFonts w:hint="eastAsia" w:ascii="宋体" w:hAnsi="宋体" w:eastAsia="宋体" w:cs="宋体"/>
                <w:bCs/>
                <w:color w:val="auto"/>
                <w:sz w:val="24"/>
                <w:szCs w:val="24"/>
                <w:highlight w:val="none"/>
              </w:rPr>
              <w:t>内容</w:t>
            </w:r>
            <w:r>
              <w:rPr>
                <w:rFonts w:hint="eastAsia" w:ascii="宋体" w:hAnsi="宋体" w:eastAsia="宋体" w:cs="宋体"/>
                <w:bCs/>
                <w:color w:val="auto"/>
                <w:sz w:val="24"/>
                <w:szCs w:val="24"/>
                <w:highlight w:val="none"/>
                <w:lang w:val="en-US" w:eastAsia="zh-CN"/>
              </w:rPr>
              <w:t>是否</w:t>
            </w:r>
            <w:r>
              <w:rPr>
                <w:rFonts w:hint="eastAsia" w:ascii="宋体" w:hAnsi="宋体" w:eastAsia="宋体" w:cs="宋体"/>
                <w:bCs/>
                <w:color w:val="auto"/>
                <w:sz w:val="24"/>
                <w:szCs w:val="24"/>
                <w:highlight w:val="none"/>
              </w:rPr>
              <w:t>全面可行</w:t>
            </w:r>
            <w:r>
              <w:rPr>
                <w:rFonts w:hint="eastAsia" w:ascii="宋体" w:hAnsi="宋体" w:eastAsia="宋体" w:cs="宋体"/>
                <w:bCs/>
                <w:color w:val="auto"/>
                <w:sz w:val="24"/>
                <w:szCs w:val="24"/>
                <w:highlight w:val="none"/>
                <w:lang w:val="en-US" w:eastAsia="zh-CN"/>
              </w:rPr>
              <w:t>进行综合评审，</w:t>
            </w:r>
            <w:r>
              <w:rPr>
                <w:rFonts w:hint="eastAsia" w:ascii="宋体" w:hAnsi="宋体" w:eastAsia="宋体" w:cs="宋体"/>
                <w:bCs/>
                <w:color w:val="auto"/>
                <w:sz w:val="24"/>
                <w:szCs w:val="24"/>
                <w:highlight w:val="none"/>
              </w:rPr>
              <w:t>未提供不得分；</w:t>
            </w:r>
            <w:r>
              <w:rPr>
                <w:rFonts w:hint="eastAsia" w:ascii="宋体" w:hAnsi="宋体" w:eastAsia="宋体" w:cs="宋体"/>
                <w:bCs/>
                <w:color w:val="auto"/>
                <w:sz w:val="24"/>
                <w:szCs w:val="24"/>
                <w:highlight w:val="none"/>
                <w:lang w:val="en-US" w:eastAsia="zh-CN"/>
              </w:rPr>
              <w:t>（打分范围：2,1,0)</w:t>
            </w:r>
          </w:p>
          <w:p w14:paraId="48EBF271">
            <w:pPr>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根据</w:t>
            </w:r>
            <w:r>
              <w:rPr>
                <w:rFonts w:hint="eastAsia" w:ascii="宋体" w:hAnsi="宋体" w:eastAsia="宋体" w:cs="宋体"/>
                <w:bCs/>
                <w:color w:val="auto"/>
                <w:sz w:val="24"/>
                <w:szCs w:val="24"/>
                <w:highlight w:val="none"/>
              </w:rPr>
              <w:t>质保</w:t>
            </w:r>
            <w:r>
              <w:rPr>
                <w:rFonts w:hint="eastAsia" w:ascii="宋体" w:hAnsi="宋体" w:eastAsia="宋体" w:cs="宋体"/>
                <w:bCs/>
                <w:color w:val="auto"/>
                <w:sz w:val="24"/>
                <w:szCs w:val="24"/>
                <w:highlight w:val="none"/>
                <w:lang w:val="en-US" w:eastAsia="zh-CN"/>
              </w:rPr>
              <w:t>是否</w:t>
            </w:r>
            <w:r>
              <w:rPr>
                <w:rFonts w:hint="eastAsia" w:ascii="宋体" w:hAnsi="宋体" w:eastAsia="宋体" w:cs="宋体"/>
                <w:bCs/>
                <w:color w:val="auto"/>
                <w:sz w:val="24"/>
                <w:szCs w:val="24"/>
                <w:highlight w:val="none"/>
              </w:rPr>
              <w:t>响应</w:t>
            </w:r>
            <w:r>
              <w:rPr>
                <w:rFonts w:hint="eastAsia" w:ascii="宋体" w:hAnsi="宋体" w:eastAsia="宋体" w:cs="宋体"/>
                <w:bCs/>
                <w:color w:val="auto"/>
                <w:sz w:val="24"/>
                <w:szCs w:val="24"/>
                <w:highlight w:val="none"/>
                <w:lang w:val="en-US" w:eastAsia="zh-CN"/>
              </w:rPr>
              <w:t>及时进行综合评审，</w:t>
            </w:r>
            <w:r>
              <w:rPr>
                <w:rFonts w:hint="eastAsia" w:ascii="宋体" w:hAnsi="宋体" w:eastAsia="宋体" w:cs="宋体"/>
                <w:bCs/>
                <w:color w:val="auto"/>
                <w:sz w:val="24"/>
                <w:szCs w:val="24"/>
                <w:highlight w:val="none"/>
              </w:rPr>
              <w:t>未提供不得分；</w:t>
            </w:r>
            <w:r>
              <w:rPr>
                <w:rFonts w:hint="eastAsia" w:ascii="宋体" w:hAnsi="宋体" w:eastAsia="宋体" w:cs="宋体"/>
                <w:bCs/>
                <w:color w:val="auto"/>
                <w:sz w:val="24"/>
                <w:szCs w:val="24"/>
                <w:highlight w:val="none"/>
                <w:lang w:val="en-US" w:eastAsia="zh-CN"/>
              </w:rPr>
              <w:t>（打分范围：2,1,0)</w:t>
            </w:r>
            <w:r>
              <w:rPr>
                <w:rFonts w:hint="eastAsia" w:ascii="宋体" w:hAnsi="宋体" w:eastAsia="宋体" w:cs="宋体"/>
                <w:bCs/>
                <w:color w:val="auto"/>
                <w:sz w:val="24"/>
                <w:szCs w:val="24"/>
                <w:highlight w:val="none"/>
              </w:rPr>
              <w:t>。</w:t>
            </w:r>
          </w:p>
        </w:tc>
        <w:tc>
          <w:tcPr>
            <w:tcW w:w="875" w:type="dxa"/>
            <w:vAlign w:val="center"/>
          </w:tcPr>
          <w:p w14:paraId="11AFFD33">
            <w:pPr>
              <w:spacing w:line="360" w:lineRule="auto"/>
              <w:ind w:firstLine="33" w:firstLineChars="14"/>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w:t>
            </w:r>
          </w:p>
        </w:tc>
      </w:tr>
      <w:tr w14:paraId="1A764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Align w:val="center"/>
          </w:tcPr>
          <w:p w14:paraId="4E87E484">
            <w:pPr>
              <w:snapToGrid w:val="0"/>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9</w:t>
            </w:r>
          </w:p>
        </w:tc>
        <w:tc>
          <w:tcPr>
            <w:tcW w:w="8178" w:type="dxa"/>
            <w:vAlign w:val="center"/>
          </w:tcPr>
          <w:p w14:paraId="7196B2F8">
            <w:pPr>
              <w:widowControl/>
              <w:shd w:val="clear" w:color="auto" w:fill="FFFFFF"/>
              <w:adjustRightInd/>
              <w:snapToGri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样品：</w:t>
            </w:r>
          </w:p>
          <w:p w14:paraId="446150FC">
            <w:pPr>
              <w:spacing w:line="360" w:lineRule="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①外墙真石漆涂料：提供不小于A4纸大小（210*297mm)的样板（颜色不限）</w:t>
            </w:r>
            <w:r>
              <w:rPr>
                <w:rFonts w:hint="eastAsia" w:ascii="宋体" w:hAnsi="宋体" w:cs="宋体"/>
                <w:color w:val="auto"/>
                <w:sz w:val="24"/>
                <w:szCs w:val="24"/>
                <w:highlight w:val="none"/>
                <w:lang w:val="en-US" w:eastAsia="zh-CN"/>
              </w:rPr>
              <w:t>，</w:t>
            </w:r>
            <w:r>
              <w:rPr>
                <w:rFonts w:hint="eastAsia" w:ascii="宋体" w:hAnsi="宋体" w:eastAsia="宋体" w:cs="宋体"/>
                <w:color w:val="auto"/>
                <w:kern w:val="0"/>
                <w:sz w:val="24"/>
                <w:highlight w:val="none"/>
                <w:u w:val="none"/>
                <w:lang w:val="en-US" w:eastAsia="zh-CN"/>
              </w:rPr>
              <w:t>根据</w:t>
            </w:r>
            <w:r>
              <w:rPr>
                <w:rFonts w:hint="eastAsia" w:ascii="宋体" w:hAnsi="宋体" w:cs="宋体"/>
                <w:color w:val="auto"/>
                <w:sz w:val="24"/>
                <w:highlight w:val="none"/>
              </w:rPr>
              <w:t>样品</w:t>
            </w:r>
            <w:r>
              <w:rPr>
                <w:rFonts w:hint="eastAsia" w:ascii="宋体" w:hAnsi="宋体" w:cs="宋体"/>
                <w:color w:val="auto"/>
                <w:sz w:val="24"/>
                <w:highlight w:val="none"/>
                <w:lang w:val="en-US" w:eastAsia="zh-CN"/>
              </w:rPr>
              <w:t>规格、品质、</w:t>
            </w:r>
            <w:r>
              <w:rPr>
                <w:rFonts w:hint="eastAsia" w:ascii="宋体" w:hAnsi="宋体" w:cs="宋体"/>
                <w:color w:val="auto"/>
                <w:sz w:val="24"/>
                <w:highlight w:val="none"/>
              </w:rPr>
              <w:t>工艺</w:t>
            </w:r>
            <w:r>
              <w:rPr>
                <w:rFonts w:hint="eastAsia" w:ascii="宋体" w:hAnsi="宋体" w:eastAsia="宋体" w:cs="宋体"/>
                <w:color w:val="auto"/>
                <w:kern w:val="0"/>
                <w:sz w:val="24"/>
                <w:highlight w:val="none"/>
                <w:u w:val="none"/>
                <w:lang w:eastAsia="zh-CN"/>
              </w:rPr>
              <w:t>等进行综合打分</w:t>
            </w:r>
            <w:r>
              <w:rPr>
                <w:rFonts w:hint="eastAsia" w:ascii="宋体" w:hAnsi="宋体" w:cs="宋体"/>
                <w:color w:val="auto"/>
                <w:sz w:val="24"/>
                <w:szCs w:val="24"/>
                <w:highlight w:val="none"/>
                <w:lang w:val="en-US" w:eastAsia="zh-CN"/>
              </w:rPr>
              <w:t>，</w:t>
            </w:r>
            <w:r>
              <w:rPr>
                <w:rFonts w:hint="eastAsia" w:ascii="宋体" w:hAnsi="宋体" w:eastAsia="宋体" w:cs="宋体"/>
                <w:color w:val="auto"/>
                <w:kern w:val="0"/>
                <w:sz w:val="24"/>
                <w:highlight w:val="none"/>
                <w:u w:val="none"/>
                <w:lang w:val="en-US" w:eastAsia="zh-CN"/>
              </w:rPr>
              <w:t>根据</w:t>
            </w:r>
            <w:r>
              <w:rPr>
                <w:rFonts w:hint="eastAsia" w:ascii="宋体" w:hAnsi="宋体" w:cs="宋体"/>
                <w:color w:val="auto"/>
                <w:sz w:val="24"/>
                <w:highlight w:val="none"/>
              </w:rPr>
              <w:t>样品</w:t>
            </w:r>
            <w:r>
              <w:rPr>
                <w:rFonts w:hint="eastAsia" w:ascii="宋体" w:hAnsi="宋体" w:cs="宋体"/>
                <w:color w:val="auto"/>
                <w:sz w:val="24"/>
                <w:highlight w:val="none"/>
                <w:lang w:val="en-US" w:eastAsia="zh-CN"/>
              </w:rPr>
              <w:t>规格、品质、</w:t>
            </w:r>
            <w:r>
              <w:rPr>
                <w:rFonts w:hint="eastAsia" w:ascii="宋体" w:hAnsi="宋体" w:cs="宋体"/>
                <w:color w:val="auto"/>
                <w:sz w:val="24"/>
                <w:highlight w:val="none"/>
              </w:rPr>
              <w:t>工艺</w:t>
            </w:r>
            <w:r>
              <w:rPr>
                <w:rFonts w:hint="eastAsia" w:ascii="宋体" w:hAnsi="宋体" w:eastAsia="宋体" w:cs="宋体"/>
                <w:color w:val="auto"/>
                <w:kern w:val="0"/>
                <w:sz w:val="24"/>
                <w:highlight w:val="none"/>
                <w:u w:val="none"/>
                <w:lang w:eastAsia="zh-CN"/>
              </w:rPr>
              <w:t>等进行综合打分</w:t>
            </w:r>
            <w:r>
              <w:rPr>
                <w:rFonts w:hint="eastAsia" w:ascii="宋体" w:hAnsi="宋体" w:eastAsia="宋体" w:cs="宋体"/>
                <w:color w:val="auto"/>
                <w:sz w:val="24"/>
                <w:szCs w:val="24"/>
                <w:highlight w:val="none"/>
                <w:lang w:val="en-US" w:eastAsia="zh-CN"/>
              </w:rPr>
              <w:t>。</w:t>
            </w:r>
            <w:r>
              <w:rPr>
                <w:rFonts w:hint="eastAsia" w:ascii="宋体" w:hAnsi="宋体" w:eastAsia="宋体" w:cs="宋体"/>
                <w:bCs/>
                <w:color w:val="auto"/>
                <w:sz w:val="24"/>
                <w:szCs w:val="24"/>
                <w:highlight w:val="none"/>
                <w:lang w:val="en-US" w:eastAsia="zh-CN"/>
              </w:rPr>
              <w:t>（打分范围：3,2,1,0）</w:t>
            </w:r>
          </w:p>
          <w:p w14:paraId="1C4B35AC">
            <w:pPr>
              <w:spacing w:line="360" w:lineRule="auto"/>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②铝板（厚度按清单描述）：提供不小于200*300mm的样板（颜色不限）</w:t>
            </w:r>
            <w:r>
              <w:rPr>
                <w:rFonts w:hint="eastAsia" w:ascii="宋体" w:hAnsi="宋体" w:cs="宋体"/>
                <w:color w:val="auto"/>
                <w:sz w:val="24"/>
                <w:szCs w:val="24"/>
                <w:highlight w:val="none"/>
                <w:lang w:val="en-US" w:eastAsia="zh-CN"/>
              </w:rPr>
              <w:t>，</w:t>
            </w:r>
            <w:r>
              <w:rPr>
                <w:rFonts w:hint="eastAsia" w:ascii="宋体" w:hAnsi="宋体" w:eastAsia="宋体" w:cs="宋体"/>
                <w:color w:val="auto"/>
                <w:kern w:val="0"/>
                <w:sz w:val="24"/>
                <w:highlight w:val="none"/>
                <w:u w:val="none"/>
                <w:lang w:val="en-US" w:eastAsia="zh-CN"/>
              </w:rPr>
              <w:t>根据</w:t>
            </w:r>
            <w:r>
              <w:rPr>
                <w:rFonts w:hint="eastAsia" w:ascii="宋体" w:hAnsi="宋体" w:cs="宋体"/>
                <w:color w:val="auto"/>
                <w:sz w:val="24"/>
                <w:highlight w:val="none"/>
              </w:rPr>
              <w:t>样品</w:t>
            </w:r>
            <w:r>
              <w:rPr>
                <w:rFonts w:hint="eastAsia" w:ascii="宋体" w:hAnsi="宋体" w:cs="宋体"/>
                <w:color w:val="auto"/>
                <w:sz w:val="24"/>
                <w:highlight w:val="none"/>
                <w:lang w:val="en-US" w:eastAsia="zh-CN"/>
              </w:rPr>
              <w:t>规格、品质、</w:t>
            </w:r>
            <w:r>
              <w:rPr>
                <w:rFonts w:hint="eastAsia" w:ascii="宋体" w:hAnsi="宋体" w:cs="宋体"/>
                <w:color w:val="auto"/>
                <w:sz w:val="24"/>
                <w:highlight w:val="none"/>
              </w:rPr>
              <w:t>工艺</w:t>
            </w:r>
            <w:r>
              <w:rPr>
                <w:rFonts w:hint="eastAsia" w:ascii="宋体" w:hAnsi="宋体" w:eastAsia="宋体" w:cs="宋体"/>
                <w:color w:val="auto"/>
                <w:kern w:val="0"/>
                <w:sz w:val="24"/>
                <w:highlight w:val="none"/>
                <w:u w:val="none"/>
                <w:lang w:eastAsia="zh-CN"/>
              </w:rPr>
              <w:t>等进行综合打分</w:t>
            </w:r>
            <w:r>
              <w:rPr>
                <w:rFonts w:hint="eastAsia" w:ascii="宋体" w:hAnsi="宋体" w:cs="宋体"/>
                <w:color w:val="auto"/>
                <w:sz w:val="24"/>
                <w:szCs w:val="24"/>
                <w:highlight w:val="none"/>
                <w:lang w:val="en-US" w:eastAsia="zh-CN"/>
              </w:rPr>
              <w:t>，</w:t>
            </w:r>
            <w:r>
              <w:rPr>
                <w:rFonts w:hint="eastAsia" w:ascii="宋体" w:hAnsi="宋体" w:eastAsia="宋体" w:cs="宋体"/>
                <w:color w:val="auto"/>
                <w:kern w:val="0"/>
                <w:sz w:val="24"/>
                <w:highlight w:val="none"/>
                <w:u w:val="none"/>
                <w:lang w:val="en-US" w:eastAsia="zh-CN"/>
              </w:rPr>
              <w:t>根据</w:t>
            </w:r>
            <w:r>
              <w:rPr>
                <w:rFonts w:hint="eastAsia" w:ascii="宋体" w:hAnsi="宋体" w:cs="宋体"/>
                <w:color w:val="auto"/>
                <w:sz w:val="24"/>
                <w:highlight w:val="none"/>
              </w:rPr>
              <w:t>样品</w:t>
            </w:r>
            <w:r>
              <w:rPr>
                <w:rFonts w:hint="eastAsia" w:ascii="宋体" w:hAnsi="宋体" w:cs="宋体"/>
                <w:color w:val="auto"/>
                <w:sz w:val="24"/>
                <w:highlight w:val="none"/>
                <w:lang w:val="en-US" w:eastAsia="zh-CN"/>
              </w:rPr>
              <w:t>规格、品质、</w:t>
            </w:r>
            <w:r>
              <w:rPr>
                <w:rFonts w:hint="eastAsia" w:ascii="宋体" w:hAnsi="宋体" w:cs="宋体"/>
                <w:color w:val="auto"/>
                <w:sz w:val="24"/>
                <w:highlight w:val="none"/>
              </w:rPr>
              <w:t>工艺</w:t>
            </w:r>
            <w:r>
              <w:rPr>
                <w:rFonts w:hint="eastAsia" w:ascii="宋体" w:hAnsi="宋体" w:eastAsia="宋体" w:cs="宋体"/>
                <w:color w:val="auto"/>
                <w:kern w:val="0"/>
                <w:sz w:val="24"/>
                <w:highlight w:val="none"/>
                <w:u w:val="none"/>
                <w:lang w:eastAsia="zh-CN"/>
              </w:rPr>
              <w:t>等进行综合打分</w:t>
            </w:r>
            <w:r>
              <w:rPr>
                <w:rFonts w:hint="eastAsia" w:ascii="宋体" w:hAnsi="宋体" w:eastAsia="宋体" w:cs="宋体"/>
                <w:color w:val="auto"/>
                <w:sz w:val="24"/>
                <w:szCs w:val="24"/>
                <w:highlight w:val="none"/>
                <w:lang w:val="en-US" w:eastAsia="zh-CN"/>
              </w:rPr>
              <w:t>。</w:t>
            </w:r>
            <w:r>
              <w:rPr>
                <w:rFonts w:hint="eastAsia" w:ascii="宋体" w:hAnsi="宋体" w:eastAsia="宋体" w:cs="宋体"/>
                <w:bCs/>
                <w:color w:val="auto"/>
                <w:sz w:val="24"/>
                <w:szCs w:val="24"/>
                <w:highlight w:val="none"/>
                <w:lang w:val="en-US" w:eastAsia="zh-CN"/>
              </w:rPr>
              <w:t>（打分范围：3,2,1,0）</w:t>
            </w:r>
          </w:p>
        </w:tc>
        <w:tc>
          <w:tcPr>
            <w:tcW w:w="875" w:type="dxa"/>
            <w:vAlign w:val="center"/>
          </w:tcPr>
          <w:p w14:paraId="436EC19A">
            <w:pPr>
              <w:snapToGrid w:val="0"/>
              <w:spacing w:line="360" w:lineRule="auto"/>
              <w:jc w:val="center"/>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6</w:t>
            </w:r>
          </w:p>
        </w:tc>
      </w:tr>
    </w:tbl>
    <w:p w14:paraId="3155C37E">
      <w:pPr>
        <w:snapToGrid w:val="0"/>
        <w:spacing w:line="360" w:lineRule="auto"/>
        <w:rPr>
          <w:rFonts w:ascii="宋体" w:hAnsi="宋体" w:cs="宋体"/>
          <w:color w:val="auto"/>
          <w:sz w:val="20"/>
          <w:szCs w:val="20"/>
          <w:highlight w:val="none"/>
          <w:shd w:val="clear" w:color="auto" w:fill="FFFFFF"/>
        </w:rPr>
      </w:pPr>
    </w:p>
    <w:p w14:paraId="08C29FFA">
      <w:pPr>
        <w:keepNext w:val="0"/>
        <w:keepLines w:val="0"/>
        <w:pageBreakBefore w:val="0"/>
        <w:widowControl w:val="0"/>
        <w:kinsoku/>
        <w:wordWrap/>
        <w:overflowPunct/>
        <w:topLinePunct w:val="0"/>
        <w:autoSpaceDE/>
        <w:autoSpaceDN/>
        <w:bidi w:val="0"/>
        <w:snapToGrid w:val="0"/>
        <w:spacing w:line="360" w:lineRule="auto"/>
        <w:textAlignment w:val="auto"/>
        <w:rPr>
          <w:rFonts w:ascii="宋体" w:hAnsi="宋体" w:cs="宋体"/>
          <w:b/>
          <w:color w:val="auto"/>
          <w:sz w:val="24"/>
          <w:szCs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color w:val="auto"/>
          <w:sz w:val="24"/>
          <w:szCs w:val="24"/>
          <w:highlight w:val="none"/>
          <w:shd w:val="clear" w:color="auto" w:fill="FFFFFF"/>
        </w:rPr>
        <w:t>*</w:t>
      </w:r>
      <w:r>
        <w:rPr>
          <w:rFonts w:hint="eastAsia" w:ascii="宋体" w:hAnsi="宋体" w:cs="宋体"/>
          <w:b/>
          <w:color w:val="auto"/>
          <w:sz w:val="24"/>
          <w:szCs w:val="24"/>
          <w:highlight w:val="none"/>
        </w:rPr>
        <w:t>备注：</w:t>
      </w:r>
      <w:r>
        <w:rPr>
          <w:rFonts w:hint="eastAsia" w:ascii="宋体" w:hAnsi="宋体" w:cs="宋体"/>
          <w:color w:val="auto"/>
          <w:sz w:val="24"/>
          <w:szCs w:val="24"/>
          <w:highlight w:val="none"/>
        </w:rPr>
        <w:t>供应商编制响应文件（商务技术文件部分）时，建议按此目录（序号和内容）提供评审标准相应的商务技术资料。 </w:t>
      </w:r>
    </w:p>
    <w:p w14:paraId="05A40502">
      <w:pPr>
        <w:keepNext w:val="0"/>
        <w:keepLines w:val="0"/>
        <w:pageBreakBefore w:val="0"/>
        <w:widowControl w:val="0"/>
        <w:kinsoku/>
        <w:wordWrap/>
        <w:overflowPunct/>
        <w:topLinePunct w:val="0"/>
        <w:autoSpaceDE/>
        <w:autoSpaceDN/>
        <w:bidi w:val="0"/>
        <w:spacing w:line="360" w:lineRule="auto"/>
        <w:jc w:val="left"/>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一、评审方法</w:t>
      </w:r>
    </w:p>
    <w:p w14:paraId="6A82661C">
      <w:pPr>
        <w:keepNext w:val="0"/>
        <w:keepLines w:val="0"/>
        <w:pageBreakBefore w:val="0"/>
        <w:widowControl w:val="0"/>
        <w:kinsoku/>
        <w:wordWrap/>
        <w:overflowPunct/>
        <w:topLinePunct w:val="0"/>
        <w:autoSpaceDE/>
        <w:autoSpaceDN/>
        <w:bidi w:val="0"/>
        <w:adjustRightInd/>
        <w:spacing w:line="360" w:lineRule="auto"/>
        <w:ind w:firstLine="472" w:firstLineChars="196"/>
        <w:textAlignment w:val="auto"/>
        <w:rPr>
          <w:rFonts w:ascii="宋体" w:hAnsi="宋体" w:cs="宋体"/>
          <w:color w:val="auto"/>
          <w:kern w:val="0"/>
          <w:sz w:val="24"/>
          <w:szCs w:val="24"/>
          <w:highlight w:val="none"/>
        </w:rPr>
      </w:pPr>
      <w:r>
        <w:rPr>
          <w:rFonts w:hint="eastAsia" w:ascii="宋体" w:hAnsi="宋体" w:cs="宋体"/>
          <w:b/>
          <w:color w:val="auto"/>
          <w:kern w:val="0"/>
          <w:sz w:val="24"/>
          <w:szCs w:val="24"/>
          <w:highlight w:val="none"/>
        </w:rPr>
        <w:t>1.本项目采用综合评分法。</w:t>
      </w:r>
      <w:r>
        <w:rPr>
          <w:rFonts w:hint="eastAsia" w:ascii="宋体" w:hAnsi="宋体" w:cs="宋体"/>
          <w:color w:val="auto"/>
          <w:kern w:val="0"/>
          <w:sz w:val="24"/>
          <w:szCs w:val="24"/>
          <w:highlight w:val="none"/>
        </w:rPr>
        <w:t>综合评分法，是指响应文件满足磋商文件全部实质性要求且按评审因素的量化指标评审得分最高的供应商为成交候选供应商的评审方法。</w:t>
      </w:r>
    </w:p>
    <w:p w14:paraId="3A1EB0E2">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二、评审标准</w:t>
      </w:r>
    </w:p>
    <w:p w14:paraId="18E59113">
      <w:pPr>
        <w:keepNext w:val="0"/>
        <w:keepLines w:val="0"/>
        <w:pageBreakBefore w:val="0"/>
        <w:widowControl w:val="0"/>
        <w:kinsoku/>
        <w:wordWrap/>
        <w:overflowPunct/>
        <w:topLinePunct w:val="0"/>
        <w:autoSpaceDE/>
        <w:autoSpaceDN/>
        <w:bidi w:val="0"/>
        <w:spacing w:line="360" w:lineRule="auto"/>
        <w:ind w:firstLine="472" w:firstLineChars="196"/>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2.</w:t>
      </w:r>
      <w:r>
        <w:rPr>
          <w:rFonts w:hint="eastAsia" w:ascii="宋体" w:hAnsi="宋体" w:cs="宋体"/>
          <w:color w:val="auto"/>
          <w:sz w:val="24"/>
          <w:szCs w:val="24"/>
          <w:highlight w:val="none"/>
        </w:rPr>
        <w:t xml:space="preserve"> </w:t>
      </w:r>
      <w:r>
        <w:rPr>
          <w:rFonts w:hint="eastAsia" w:ascii="宋体" w:hAnsi="宋体" w:cs="宋体"/>
          <w:b/>
          <w:color w:val="auto"/>
          <w:sz w:val="24"/>
          <w:szCs w:val="24"/>
          <w:highlight w:val="none"/>
        </w:rPr>
        <w:t>评审标准：</w:t>
      </w:r>
      <w:r>
        <w:rPr>
          <w:rFonts w:hint="eastAsia" w:ascii="宋体" w:hAnsi="宋体" w:cs="宋体"/>
          <w:color w:val="auto"/>
          <w:kern w:val="0"/>
          <w:sz w:val="24"/>
          <w:szCs w:val="24"/>
          <w:highlight w:val="none"/>
        </w:rPr>
        <w:t>见评审办法前附表。</w:t>
      </w:r>
    </w:p>
    <w:p w14:paraId="1A8BFC91">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三、评审程序</w:t>
      </w:r>
    </w:p>
    <w:p w14:paraId="0AEF4327">
      <w:pPr>
        <w:keepNext w:val="0"/>
        <w:keepLines w:val="0"/>
        <w:pageBreakBefore w:val="0"/>
        <w:widowControl w:val="0"/>
        <w:kinsoku/>
        <w:wordWrap/>
        <w:overflowPunct/>
        <w:topLinePunct w:val="0"/>
        <w:autoSpaceDE/>
        <w:autoSpaceDN/>
        <w:bidi w:val="0"/>
        <w:spacing w:line="360" w:lineRule="auto"/>
        <w:ind w:firstLine="472" w:firstLineChars="196"/>
        <w:textAlignment w:val="auto"/>
        <w:rPr>
          <w:rFonts w:ascii="宋体" w:hAnsi="宋体" w:cs="宋体"/>
          <w:color w:val="auto"/>
          <w:kern w:val="0"/>
          <w:sz w:val="24"/>
          <w:szCs w:val="24"/>
          <w:highlight w:val="none"/>
        </w:rPr>
      </w:pPr>
      <w:r>
        <w:rPr>
          <w:rFonts w:hint="eastAsia" w:ascii="宋体" w:hAnsi="宋体" w:cs="宋体"/>
          <w:b/>
          <w:color w:val="auto"/>
          <w:kern w:val="0"/>
          <w:sz w:val="24"/>
          <w:szCs w:val="24"/>
          <w:highlight w:val="none"/>
        </w:rPr>
        <w:t>3.1符合性审查。</w:t>
      </w:r>
      <w:r>
        <w:rPr>
          <w:rFonts w:hint="eastAsia" w:ascii="宋体" w:hAnsi="宋体" w:cs="宋体"/>
          <w:color w:val="auto"/>
          <w:kern w:val="0"/>
          <w:sz w:val="24"/>
          <w:szCs w:val="24"/>
          <w:highlight w:val="none"/>
        </w:rPr>
        <w:t>磋商小组应当对符合资格的供应商的响应文件进行符合性审查，以确定其是否满足采购文件的实质性要求。不满足采购文件的实质性要求的，响应文件无效。</w:t>
      </w:r>
    </w:p>
    <w:p w14:paraId="5C9E8770">
      <w:pPr>
        <w:keepNext w:val="0"/>
        <w:keepLines w:val="0"/>
        <w:pageBreakBefore w:val="0"/>
        <w:widowControl w:val="0"/>
        <w:kinsoku/>
        <w:wordWrap/>
        <w:overflowPunct/>
        <w:topLinePunct w:val="0"/>
        <w:autoSpaceDE/>
        <w:autoSpaceDN/>
        <w:bidi w:val="0"/>
        <w:spacing w:line="360" w:lineRule="auto"/>
        <w:ind w:firstLine="472" w:firstLineChars="196"/>
        <w:textAlignment w:val="auto"/>
        <w:rPr>
          <w:rFonts w:ascii="宋体" w:hAnsi="宋体" w:cs="宋体"/>
          <w:color w:val="auto"/>
          <w:sz w:val="24"/>
          <w:szCs w:val="24"/>
          <w:highlight w:val="none"/>
        </w:rPr>
      </w:pPr>
      <w:r>
        <w:rPr>
          <w:rFonts w:hint="eastAsia" w:ascii="宋体" w:hAnsi="宋体" w:cs="宋体"/>
          <w:b/>
          <w:color w:val="auto"/>
          <w:kern w:val="0"/>
          <w:sz w:val="24"/>
          <w:szCs w:val="24"/>
          <w:highlight w:val="none"/>
        </w:rPr>
        <w:t>3.2 磋商。</w:t>
      </w:r>
      <w:r>
        <w:rPr>
          <w:rFonts w:hint="eastAsia" w:ascii="宋体" w:hAnsi="宋体" w:cs="宋体"/>
          <w:color w:val="auto"/>
          <w:sz w:val="24"/>
          <w:szCs w:val="24"/>
          <w:highlight w:val="none"/>
        </w:rPr>
        <w:t>磋商小组将对确定为实质性响应本采购文件的响应文件进行详细评价和比较，主要就资信、服务方案内容、服务承诺等磋商小组认为与本次采购有关的因素与</w:t>
      </w:r>
      <w:r>
        <w:rPr>
          <w:rFonts w:hint="eastAsia" w:ascii="宋体" w:hAnsi="宋体" w:cs="宋体"/>
          <w:color w:val="auto"/>
          <w:kern w:val="0"/>
          <w:sz w:val="24"/>
          <w:szCs w:val="24"/>
          <w:highlight w:val="none"/>
        </w:rPr>
        <w:t>符合性审查合格的</w:t>
      </w:r>
      <w:r>
        <w:rPr>
          <w:rFonts w:hint="eastAsia" w:ascii="宋体" w:hAnsi="宋体" w:cs="宋体"/>
          <w:color w:val="auto"/>
          <w:sz w:val="24"/>
          <w:szCs w:val="24"/>
          <w:highlight w:val="none"/>
        </w:rPr>
        <w:t>供应商逐一进行磋商。</w:t>
      </w:r>
    </w:p>
    <w:p w14:paraId="1FFDF21B">
      <w:pPr>
        <w:keepNext w:val="0"/>
        <w:keepLines w:val="0"/>
        <w:pageBreakBefore w:val="0"/>
        <w:widowControl w:val="0"/>
        <w:kinsoku/>
        <w:wordWrap/>
        <w:overflowPunct/>
        <w:topLinePunct w:val="0"/>
        <w:autoSpaceDE/>
        <w:autoSpaceDN/>
        <w:bidi w:val="0"/>
        <w:spacing w:line="360" w:lineRule="auto"/>
        <w:ind w:firstLine="470" w:firstLineChars="196"/>
        <w:textAlignment w:val="auto"/>
        <w:rPr>
          <w:rFonts w:ascii="宋体" w:hAnsi="宋体" w:cs="宋体"/>
          <w:b/>
          <w:color w:val="auto"/>
          <w:sz w:val="24"/>
          <w:szCs w:val="24"/>
          <w:highlight w:val="none"/>
        </w:rPr>
      </w:pPr>
      <w:r>
        <w:rPr>
          <w:rFonts w:hint="eastAsia" w:ascii="宋体" w:hAnsi="宋体" w:cs="宋体"/>
          <w:bCs/>
          <w:color w:val="auto"/>
          <w:sz w:val="24"/>
          <w:szCs w:val="24"/>
          <w:highlight w:val="none"/>
        </w:rPr>
        <w:t xml:space="preserve">3.2.1 </w:t>
      </w:r>
      <w:r>
        <w:rPr>
          <w:rFonts w:hint="eastAsia" w:ascii="宋体" w:hAnsi="宋体" w:cs="宋体"/>
          <w:color w:val="auto"/>
          <w:sz w:val="24"/>
          <w:szCs w:val="24"/>
          <w:highlight w:val="none"/>
        </w:rPr>
        <w:t>供应商逐家回答磋商小组的提问；</w:t>
      </w:r>
      <w:r>
        <w:rPr>
          <w:rFonts w:hint="eastAsia" w:ascii="宋体" w:hAnsi="宋体" w:cs="宋体"/>
          <w:b/>
          <w:color w:val="auto"/>
          <w:sz w:val="24"/>
          <w:szCs w:val="24"/>
          <w:highlight w:val="none"/>
        </w:rPr>
        <w:t>逐家磋商一次为一个轮次，磋商轮次根据实际情况进行。</w:t>
      </w:r>
    </w:p>
    <w:p w14:paraId="3F36FA66">
      <w:pPr>
        <w:keepNext w:val="0"/>
        <w:keepLines w:val="0"/>
        <w:pageBreakBefore w:val="0"/>
        <w:widowControl w:val="0"/>
        <w:kinsoku/>
        <w:wordWrap/>
        <w:overflowPunct/>
        <w:topLinePunct w:val="0"/>
        <w:autoSpaceDE/>
        <w:autoSpaceDN/>
        <w:bidi w:val="0"/>
        <w:spacing w:line="360" w:lineRule="auto"/>
        <w:ind w:firstLine="470" w:firstLineChars="196"/>
        <w:textAlignment w:val="auto"/>
        <w:rPr>
          <w:rFonts w:ascii="宋体" w:hAnsi="宋体" w:cs="宋体"/>
          <w:color w:val="auto"/>
          <w:sz w:val="24"/>
          <w:szCs w:val="24"/>
          <w:highlight w:val="none"/>
        </w:rPr>
      </w:pPr>
      <w:r>
        <w:rPr>
          <w:rFonts w:hint="eastAsia" w:ascii="宋体" w:hAnsi="宋体" w:cs="宋体"/>
          <w:bCs/>
          <w:color w:val="auto"/>
          <w:sz w:val="24"/>
          <w:szCs w:val="24"/>
          <w:highlight w:val="none"/>
        </w:rPr>
        <w:t xml:space="preserve">3.2.2 </w:t>
      </w:r>
      <w:r>
        <w:rPr>
          <w:rFonts w:hint="eastAsia" w:ascii="宋体" w:hAnsi="宋体" w:cs="宋体"/>
          <w:color w:val="auto"/>
          <w:sz w:val="24"/>
          <w:szCs w:val="24"/>
          <w:highlight w:val="none"/>
        </w:rPr>
        <w:t>供应商应按磋商小组通知的时间在线或以邮件回复做出承诺或回复，承诺或回复的内容须由供应商法定代表人或授权代表签署，并作为响应文件的补充部分。</w:t>
      </w:r>
    </w:p>
    <w:p w14:paraId="05DCF901">
      <w:pPr>
        <w:keepNext w:val="0"/>
        <w:keepLines w:val="0"/>
        <w:pageBreakBefore w:val="0"/>
        <w:widowControl w:val="0"/>
        <w:kinsoku/>
        <w:wordWrap/>
        <w:overflowPunct/>
        <w:topLinePunct w:val="0"/>
        <w:autoSpaceDE/>
        <w:autoSpaceDN/>
        <w:bidi w:val="0"/>
        <w:spacing w:line="360" w:lineRule="auto"/>
        <w:ind w:firstLine="470" w:firstLineChars="196"/>
        <w:textAlignment w:val="auto"/>
        <w:rPr>
          <w:rFonts w:ascii="宋体" w:hAnsi="宋体" w:cs="宋体"/>
          <w:bCs/>
          <w:color w:val="auto"/>
          <w:kern w:val="0"/>
          <w:sz w:val="24"/>
          <w:szCs w:val="24"/>
          <w:highlight w:val="none"/>
        </w:rPr>
      </w:pPr>
      <w:r>
        <w:rPr>
          <w:rFonts w:hint="eastAsia" w:ascii="宋体" w:hAnsi="宋体" w:cs="宋体"/>
          <w:color w:val="auto"/>
          <w:sz w:val="24"/>
          <w:szCs w:val="24"/>
          <w:highlight w:val="none"/>
        </w:rPr>
        <w:t>3.2.3 在磋商过程中，磋商小组可以根据磋商文件和磋商情况实质性变动采购需求中的“※”号技术、服务要求以及合同草案中的“※”号条款，但不得变动磋商文件中的其他内容。实质性变动的内容，须经采购人代表确认。磋商文件有实质性变动的，磋商小组将以书面形式通知所有</w:t>
      </w:r>
      <w:r>
        <w:rPr>
          <w:rFonts w:hint="eastAsia" w:ascii="宋体" w:hAnsi="宋体" w:cs="宋体"/>
          <w:color w:val="auto"/>
          <w:kern w:val="0"/>
          <w:sz w:val="24"/>
          <w:szCs w:val="24"/>
          <w:highlight w:val="none"/>
        </w:rPr>
        <w:t>符合性审查合格的</w:t>
      </w:r>
      <w:r>
        <w:rPr>
          <w:rFonts w:hint="eastAsia" w:ascii="宋体" w:hAnsi="宋体" w:cs="宋体"/>
          <w:color w:val="auto"/>
          <w:sz w:val="24"/>
          <w:szCs w:val="24"/>
          <w:highlight w:val="none"/>
        </w:rPr>
        <w:t xml:space="preserve">供应商。 </w:t>
      </w:r>
    </w:p>
    <w:p w14:paraId="04D9BFF3">
      <w:pPr>
        <w:keepNext w:val="0"/>
        <w:keepLines w:val="0"/>
        <w:pageBreakBefore w:val="0"/>
        <w:widowControl w:val="0"/>
        <w:kinsoku/>
        <w:wordWrap/>
        <w:overflowPunct/>
        <w:topLinePunct w:val="0"/>
        <w:autoSpaceDE/>
        <w:autoSpaceDN/>
        <w:bidi w:val="0"/>
        <w:spacing w:line="360" w:lineRule="auto"/>
        <w:ind w:firstLine="472" w:firstLineChars="196"/>
        <w:textAlignment w:val="auto"/>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3.3最后报价</w:t>
      </w:r>
    </w:p>
    <w:p w14:paraId="4AA173A4">
      <w:pPr>
        <w:keepNext w:val="0"/>
        <w:keepLines w:val="0"/>
        <w:pageBreakBefore w:val="0"/>
        <w:widowControl w:val="0"/>
        <w:kinsoku/>
        <w:wordWrap/>
        <w:overflowPunct/>
        <w:topLinePunct w:val="0"/>
        <w:autoSpaceDE/>
        <w:autoSpaceDN/>
        <w:bidi w:val="0"/>
        <w:spacing w:line="360" w:lineRule="auto"/>
        <w:ind w:firstLine="470" w:firstLineChars="196"/>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3.3.1 磋商文件能够详细列明采购标的的技术、服务要求的，磋商结束后，磋商小组应当要求所有符合性审查合格的供应商在规定时间内提交最后报价，提交最后报价的供应商不得少于3家。</w:t>
      </w:r>
    </w:p>
    <w:p w14:paraId="20C1AEB3">
      <w:pPr>
        <w:keepNext w:val="0"/>
        <w:keepLines w:val="0"/>
        <w:pageBreakBefore w:val="0"/>
        <w:widowControl w:val="0"/>
        <w:kinsoku/>
        <w:wordWrap/>
        <w:overflowPunct/>
        <w:topLinePunct w:val="0"/>
        <w:autoSpaceDE/>
        <w:autoSpaceDN/>
        <w:bidi w:val="0"/>
        <w:spacing w:line="360" w:lineRule="auto"/>
        <w:ind w:firstLine="470" w:firstLineChars="196"/>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757EA3AA">
      <w:pPr>
        <w:keepNext w:val="0"/>
        <w:keepLines w:val="0"/>
        <w:pageBreakBefore w:val="0"/>
        <w:widowControl w:val="0"/>
        <w:kinsoku/>
        <w:wordWrap/>
        <w:overflowPunct/>
        <w:topLinePunct w:val="0"/>
        <w:autoSpaceDE/>
        <w:autoSpaceDN/>
        <w:bidi w:val="0"/>
        <w:spacing w:line="360" w:lineRule="auto"/>
        <w:ind w:firstLine="470" w:firstLineChars="196"/>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3.3.3 已提交响应文件的供应商，在提交最后报价之前，可以根据磋商情况退出磋商</w:t>
      </w:r>
      <w:r>
        <w:rPr>
          <w:rFonts w:hint="eastAsia" w:ascii="宋体" w:hAnsi="宋体" w:cs="宋体"/>
          <w:color w:val="auto"/>
          <w:kern w:val="0"/>
          <w:sz w:val="24"/>
          <w:szCs w:val="24"/>
          <w:highlight w:val="none"/>
          <w:lang w:eastAsia="zh-CN"/>
        </w:rPr>
        <w:t>。</w:t>
      </w:r>
    </w:p>
    <w:p w14:paraId="6ECADAEC">
      <w:pPr>
        <w:keepNext w:val="0"/>
        <w:keepLines w:val="0"/>
        <w:pageBreakBefore w:val="0"/>
        <w:widowControl w:val="0"/>
        <w:kinsoku/>
        <w:wordWrap/>
        <w:overflowPunct/>
        <w:topLinePunct w:val="0"/>
        <w:autoSpaceDE/>
        <w:autoSpaceDN/>
        <w:bidi w:val="0"/>
        <w:spacing w:line="360" w:lineRule="auto"/>
        <w:ind w:firstLine="472" w:firstLineChars="196"/>
        <w:textAlignment w:val="auto"/>
        <w:rPr>
          <w:rFonts w:ascii="宋体" w:hAnsi="宋体" w:cs="宋体"/>
          <w:color w:val="auto"/>
          <w:kern w:val="0"/>
          <w:sz w:val="24"/>
          <w:szCs w:val="24"/>
          <w:highlight w:val="none"/>
        </w:rPr>
      </w:pPr>
      <w:r>
        <w:rPr>
          <w:rFonts w:hint="eastAsia" w:ascii="宋体" w:hAnsi="宋体" w:cs="宋体"/>
          <w:b/>
          <w:color w:val="auto"/>
          <w:kern w:val="0"/>
          <w:sz w:val="24"/>
          <w:szCs w:val="24"/>
          <w:highlight w:val="none"/>
        </w:rPr>
        <w:t>3.4 综合评分。</w:t>
      </w:r>
      <w:r>
        <w:rPr>
          <w:rFonts w:hint="eastAsia" w:ascii="宋体" w:hAnsi="宋体" w:cs="宋体"/>
          <w:bCs/>
          <w:color w:val="auto"/>
          <w:kern w:val="0"/>
          <w:sz w:val="24"/>
          <w:szCs w:val="24"/>
          <w:highlight w:val="none"/>
        </w:rPr>
        <w:t>经磋商确定最终采购需求和提交最后报价的供应商后，</w:t>
      </w:r>
      <w:r>
        <w:rPr>
          <w:rFonts w:hint="eastAsia" w:ascii="宋体" w:hAnsi="宋体" w:cs="宋体"/>
          <w:color w:val="auto"/>
          <w:kern w:val="0"/>
          <w:sz w:val="24"/>
          <w:szCs w:val="24"/>
          <w:highlight w:val="none"/>
        </w:rPr>
        <w:t>磋商小组应当按照采购文件中规定的评审标准，对符合性审查合格的响应文件进行综合评分。磋商文件中没有规定的评审标准不得作为评审依据。</w:t>
      </w:r>
    </w:p>
    <w:p w14:paraId="7569BB39">
      <w:pPr>
        <w:keepNext w:val="0"/>
        <w:keepLines w:val="0"/>
        <w:pageBreakBefore w:val="0"/>
        <w:widowControl w:val="0"/>
        <w:kinsoku/>
        <w:wordWrap/>
        <w:overflowPunct/>
        <w:topLinePunct w:val="0"/>
        <w:autoSpaceDE/>
        <w:autoSpaceDN/>
        <w:bidi w:val="0"/>
        <w:spacing w:line="360" w:lineRule="auto"/>
        <w:ind w:firstLine="472" w:firstLineChars="196"/>
        <w:textAlignment w:val="auto"/>
        <w:rPr>
          <w:rFonts w:ascii="宋体" w:hAnsi="宋体" w:cs="宋体"/>
          <w:color w:val="auto"/>
          <w:kern w:val="0"/>
          <w:sz w:val="24"/>
          <w:szCs w:val="24"/>
          <w:highlight w:val="none"/>
        </w:rPr>
      </w:pPr>
      <w:r>
        <w:rPr>
          <w:rFonts w:hint="eastAsia" w:ascii="宋体" w:hAnsi="宋体" w:cs="宋体"/>
          <w:b/>
          <w:color w:val="auto"/>
          <w:kern w:val="0"/>
          <w:sz w:val="24"/>
          <w:szCs w:val="24"/>
          <w:highlight w:val="none"/>
        </w:rPr>
        <w:t>3.5汇总商务技术得分。</w:t>
      </w:r>
      <w:r>
        <w:rPr>
          <w:rFonts w:hint="eastAsia" w:ascii="宋体" w:hAnsi="宋体" w:cs="宋体"/>
          <w:color w:val="auto"/>
          <w:kern w:val="0"/>
          <w:sz w:val="24"/>
          <w:szCs w:val="24"/>
          <w:highlight w:val="none"/>
        </w:rPr>
        <w:t>磋商小组各成员应当独立对每个供应商的商务和技术文件进行评价，并汇总商务技术得分情况。磋商小组成员总评分偏离平均分30%以上的，以及个人主观打分偏离所有磋商小组成员主观打分平均值30%以上的，由磋商小组启动评分畸高、畸低行为认定程序，磋商小组组长应提醒相关评审人员进行复核或书面说明理由，评审人员拒绝说明的，由现场监督员据实记录；评审人员的评审、修改记录应保留原件，随项目其他资料一并存档。</w:t>
      </w:r>
    </w:p>
    <w:p w14:paraId="6932C952">
      <w:pPr>
        <w:keepNext w:val="0"/>
        <w:keepLines w:val="0"/>
        <w:pageBreakBefore w:val="0"/>
        <w:widowControl w:val="0"/>
        <w:kinsoku/>
        <w:wordWrap/>
        <w:overflowPunct/>
        <w:topLinePunct w:val="0"/>
        <w:autoSpaceDE/>
        <w:autoSpaceDN/>
        <w:bidi w:val="0"/>
        <w:spacing w:line="360" w:lineRule="auto"/>
        <w:ind w:firstLine="472" w:firstLineChars="196"/>
        <w:textAlignment w:val="auto"/>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3.6报价评审。</w:t>
      </w:r>
    </w:p>
    <w:p w14:paraId="1997E3AC">
      <w:pPr>
        <w:pStyle w:val="131"/>
        <w:keepNext w:val="0"/>
        <w:keepLines w:val="0"/>
        <w:pageBreakBefore w:val="0"/>
        <w:widowControl w:val="0"/>
        <w:kinsoku/>
        <w:wordWrap/>
        <w:overflowPunct/>
        <w:topLinePunct w:val="0"/>
        <w:autoSpaceDE/>
        <w:autoSpaceDN/>
        <w:bidi w:val="0"/>
        <w:spacing w:before="0" w:line="360" w:lineRule="auto"/>
        <w:ind w:firstLine="508" w:firstLineChars="212"/>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3.6.1响应文件报价出现前后不一致的，按照下列规定修正：</w:t>
      </w:r>
    </w:p>
    <w:p w14:paraId="06D19188">
      <w:pPr>
        <w:pStyle w:val="131"/>
        <w:keepNext w:val="0"/>
        <w:keepLines w:val="0"/>
        <w:pageBreakBefore w:val="0"/>
        <w:widowControl w:val="0"/>
        <w:kinsoku/>
        <w:wordWrap/>
        <w:overflowPunct/>
        <w:topLinePunct w:val="0"/>
        <w:autoSpaceDE/>
        <w:autoSpaceDN/>
        <w:bidi w:val="0"/>
        <w:spacing w:before="0" w:line="360" w:lineRule="auto"/>
        <w:ind w:firstLine="48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3.6.1.1响应文件中已标价工程量清单内容与响应文件中相应内容不一致的，以已标价工程量清单为准；</w:t>
      </w:r>
    </w:p>
    <w:p w14:paraId="7817E82A">
      <w:pPr>
        <w:pStyle w:val="131"/>
        <w:keepNext w:val="0"/>
        <w:keepLines w:val="0"/>
        <w:pageBreakBefore w:val="0"/>
        <w:widowControl w:val="0"/>
        <w:kinsoku/>
        <w:wordWrap/>
        <w:overflowPunct/>
        <w:topLinePunct w:val="0"/>
        <w:autoSpaceDE/>
        <w:autoSpaceDN/>
        <w:bidi w:val="0"/>
        <w:spacing w:before="0" w:line="360" w:lineRule="auto"/>
        <w:ind w:firstLine="48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3.6.1.2大写金额和小写金额不一致的，以大写金额为准；</w:t>
      </w:r>
    </w:p>
    <w:p w14:paraId="5994EB5A">
      <w:pPr>
        <w:pStyle w:val="131"/>
        <w:keepNext w:val="0"/>
        <w:keepLines w:val="0"/>
        <w:pageBreakBefore w:val="0"/>
        <w:widowControl w:val="0"/>
        <w:kinsoku/>
        <w:wordWrap/>
        <w:overflowPunct/>
        <w:topLinePunct w:val="0"/>
        <w:autoSpaceDE/>
        <w:autoSpaceDN/>
        <w:bidi w:val="0"/>
        <w:spacing w:before="0" w:line="360" w:lineRule="auto"/>
        <w:ind w:firstLine="48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3.6.1.3单价金额小数点或者百分比有明显错位的，以已标价工程量清单的总价为准，并修改单价；</w:t>
      </w:r>
    </w:p>
    <w:p w14:paraId="0D27AD1F">
      <w:pPr>
        <w:pStyle w:val="131"/>
        <w:keepNext w:val="0"/>
        <w:keepLines w:val="0"/>
        <w:pageBreakBefore w:val="0"/>
        <w:widowControl w:val="0"/>
        <w:kinsoku/>
        <w:wordWrap/>
        <w:overflowPunct/>
        <w:topLinePunct w:val="0"/>
        <w:autoSpaceDE/>
        <w:autoSpaceDN/>
        <w:bidi w:val="0"/>
        <w:spacing w:before="0" w:line="360" w:lineRule="auto"/>
        <w:ind w:firstLine="48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3.6.1.4总价金额与按单价汇总金额不一致的，以单价金额计算结果为准。</w:t>
      </w:r>
    </w:p>
    <w:p w14:paraId="64A0CC2B">
      <w:pPr>
        <w:pStyle w:val="131"/>
        <w:keepNext w:val="0"/>
        <w:keepLines w:val="0"/>
        <w:pageBreakBefore w:val="0"/>
        <w:widowControl w:val="0"/>
        <w:kinsoku/>
        <w:wordWrap/>
        <w:overflowPunct/>
        <w:topLinePunct w:val="0"/>
        <w:autoSpaceDE/>
        <w:autoSpaceDN/>
        <w:bidi w:val="0"/>
        <w:spacing w:before="0" w:line="360" w:lineRule="auto"/>
        <w:ind w:firstLine="48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3.6.1.5同时出现两种以上不一致的，按照3.6.1规定的顺序修正。修正后的报价经供应商确认后产生约束力。</w:t>
      </w:r>
    </w:p>
    <w:p w14:paraId="742F36A5">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3.6.2响应文件出现不是唯一的、有选择性最后报价的，响应文件无效。</w:t>
      </w:r>
    </w:p>
    <w:p w14:paraId="6064C131">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3.6.3最后报价超过采购文件中规定的预算金额或者最高限价的，响应文件无效。</w:t>
      </w:r>
    </w:p>
    <w:p w14:paraId="562867B1">
      <w:pPr>
        <w:pStyle w:val="131"/>
        <w:keepNext w:val="0"/>
        <w:keepLines w:val="0"/>
        <w:pageBreakBefore w:val="0"/>
        <w:widowControl w:val="0"/>
        <w:kinsoku/>
        <w:wordWrap/>
        <w:overflowPunct/>
        <w:topLinePunct w:val="0"/>
        <w:autoSpaceDE/>
        <w:autoSpaceDN/>
        <w:bidi w:val="0"/>
        <w:spacing w:before="0" w:line="360" w:lineRule="auto"/>
        <w:ind w:firstLine="48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3.6.4对于未预留份额专门面向中小企业的采购工程项目，以及预留份额采购工程项目中的非预留部分标项，对小型和微型企业的最后报价给予5%的扣除，用扣除后的价格参与评审。接受大中型企业与小微企业组成联合体或者允许大中型企业向一家或者多家小微企业分包的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444AE57F">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ascii="宋体" w:hAnsi="宋体" w:cs="宋体"/>
          <w:b w:val="0"/>
          <w:bCs/>
          <w:color w:val="auto"/>
          <w:kern w:val="0"/>
          <w:sz w:val="24"/>
          <w:szCs w:val="24"/>
          <w:highlight w:val="none"/>
        </w:rPr>
      </w:pPr>
      <w:r>
        <w:rPr>
          <w:rFonts w:hint="eastAsia" w:ascii="宋体" w:hAnsi="宋体" w:cs="宋体"/>
          <w:b/>
          <w:color w:val="auto"/>
          <w:kern w:val="0"/>
          <w:sz w:val="24"/>
          <w:szCs w:val="24"/>
          <w:highlight w:val="none"/>
        </w:rPr>
        <w:t>3.7排序与推荐。</w:t>
      </w:r>
      <w:r>
        <w:rPr>
          <w:rFonts w:hint="eastAsia" w:ascii="宋体" w:hAnsi="宋体" w:cs="宋体"/>
          <w:b w:val="0"/>
          <w:bCs/>
          <w:color w:val="auto"/>
          <w:kern w:val="0"/>
          <w:sz w:val="24"/>
          <w:szCs w:val="24"/>
          <w:highlight w:val="none"/>
          <w:lang w:val="en" w:eastAsia="zh-CN"/>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3DBE715">
      <w:pPr>
        <w:keepNext w:val="0"/>
        <w:keepLines w:val="0"/>
        <w:pageBreakBefore w:val="0"/>
        <w:widowControl w:val="0"/>
        <w:kinsoku/>
        <w:wordWrap/>
        <w:overflowPunct/>
        <w:topLinePunct w:val="0"/>
        <w:autoSpaceDE/>
        <w:autoSpaceDN/>
        <w:bidi w:val="0"/>
        <w:spacing w:line="360" w:lineRule="auto"/>
        <w:ind w:firstLine="472" w:firstLineChars="196"/>
        <w:textAlignment w:val="auto"/>
        <w:rPr>
          <w:rFonts w:ascii="宋体" w:hAnsi="宋体" w:cs="宋体"/>
          <w:color w:val="auto"/>
          <w:kern w:val="0"/>
          <w:sz w:val="24"/>
          <w:szCs w:val="24"/>
          <w:highlight w:val="none"/>
        </w:rPr>
      </w:pPr>
      <w:r>
        <w:rPr>
          <w:rFonts w:hint="eastAsia" w:ascii="宋体" w:hAnsi="宋体" w:cs="宋体"/>
          <w:b/>
          <w:color w:val="auto"/>
          <w:kern w:val="0"/>
          <w:sz w:val="24"/>
          <w:szCs w:val="24"/>
          <w:highlight w:val="none"/>
        </w:rPr>
        <w:t>3.8编写评审报告。</w:t>
      </w:r>
      <w:r>
        <w:rPr>
          <w:rFonts w:hint="eastAsia" w:ascii="宋体" w:hAnsi="宋体" w:cs="宋体"/>
          <w:color w:val="auto"/>
          <w:kern w:val="0"/>
          <w:sz w:val="24"/>
          <w:szCs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2AB0B772">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四、评审中的其他事项</w:t>
      </w:r>
    </w:p>
    <w:p w14:paraId="292D176C">
      <w:pPr>
        <w:pStyle w:val="131"/>
        <w:keepNext w:val="0"/>
        <w:keepLines w:val="0"/>
        <w:pageBreakBefore w:val="0"/>
        <w:widowControl w:val="0"/>
        <w:kinsoku/>
        <w:wordWrap/>
        <w:overflowPunct/>
        <w:topLinePunct w:val="0"/>
        <w:autoSpaceDE/>
        <w:autoSpaceDN/>
        <w:bidi w:val="0"/>
        <w:spacing w:before="0" w:line="360" w:lineRule="auto"/>
        <w:ind w:firstLine="472" w:firstLineChars="196"/>
        <w:textAlignment w:val="auto"/>
        <w:rPr>
          <w:rFonts w:ascii="宋体" w:hAnsi="宋体" w:cs="宋体"/>
          <w:color w:val="auto"/>
          <w:kern w:val="0"/>
          <w:sz w:val="24"/>
          <w:szCs w:val="24"/>
          <w:highlight w:val="none"/>
        </w:rPr>
      </w:pPr>
      <w:r>
        <w:rPr>
          <w:rFonts w:hint="eastAsia" w:ascii="宋体" w:hAnsi="宋体" w:cs="宋体"/>
          <w:b/>
          <w:color w:val="auto"/>
          <w:kern w:val="0"/>
          <w:sz w:val="24"/>
          <w:szCs w:val="24"/>
          <w:highlight w:val="none"/>
        </w:rPr>
        <w:t>4.1供应商澄清、说明或者补正。</w:t>
      </w:r>
      <w:r>
        <w:rPr>
          <w:rFonts w:hint="eastAsia" w:ascii="宋体" w:hAnsi="宋体" w:cs="宋体"/>
          <w:color w:val="auto"/>
          <w:kern w:val="0"/>
          <w:sz w:val="24"/>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2E4E682A">
      <w:pPr>
        <w:pStyle w:val="25"/>
        <w:keepNext w:val="0"/>
        <w:keepLines w:val="0"/>
        <w:pageBreakBefore w:val="0"/>
        <w:widowControl w:val="0"/>
        <w:kinsoku/>
        <w:wordWrap/>
        <w:overflowPunct/>
        <w:topLinePunct w:val="0"/>
        <w:autoSpaceDE/>
        <w:autoSpaceDN/>
        <w:bidi w:val="0"/>
        <w:spacing w:line="360" w:lineRule="auto"/>
        <w:ind w:left="954" w:leftChars="226" w:hanging="479" w:firstLineChars="0"/>
        <w:textAlignment w:val="auto"/>
        <w:rPr>
          <w:rFonts w:cs="宋体"/>
          <w:color w:val="auto"/>
          <w:sz w:val="24"/>
          <w:szCs w:val="24"/>
          <w:highlight w:val="none"/>
        </w:rPr>
      </w:pPr>
      <w:r>
        <w:rPr>
          <w:rFonts w:hint="eastAsia" w:cs="宋体"/>
          <w:b/>
          <w:color w:val="auto"/>
          <w:kern w:val="0"/>
          <w:sz w:val="24"/>
          <w:szCs w:val="24"/>
          <w:highlight w:val="none"/>
        </w:rPr>
        <w:t>4.2响应文件无效。</w:t>
      </w:r>
      <w:r>
        <w:rPr>
          <w:rFonts w:hint="eastAsia" w:cs="宋体"/>
          <w:color w:val="auto"/>
          <w:sz w:val="24"/>
          <w:szCs w:val="24"/>
          <w:highlight w:val="none"/>
        </w:rPr>
        <w:t>有下列情形之一的，响应文件无效：</w:t>
      </w:r>
    </w:p>
    <w:p w14:paraId="7566CF7F">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4.2.1供应商不具备采购文件中规定的资格要求的（供应商未提供有效的资格文件的，视为供应商不具备采购文件中规定的资格要求）；</w:t>
      </w:r>
    </w:p>
    <w:p w14:paraId="5CE0103C">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4.2.2响应文件未按照采购文件要求签署、盖章的；</w:t>
      </w:r>
    </w:p>
    <w:p w14:paraId="72D0CE1E">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4.2.3响应文件含有采购人不能接受的附加条件的；</w:t>
      </w:r>
    </w:p>
    <w:p w14:paraId="677F8188">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4.2.</w:t>
      </w: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响应文件中承诺的响应文件有效期少于采购文件中载明的响应文件有效期的；</w:t>
      </w:r>
    </w:p>
    <w:p w14:paraId="11682E71">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4.2.</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响应文件出现不是唯一的、有选择性最后报价的；</w:t>
      </w:r>
    </w:p>
    <w:p w14:paraId="7B199A4E">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4.2.</w:t>
      </w:r>
      <w:r>
        <w:rPr>
          <w:rFonts w:hint="eastAsia" w:ascii="宋体" w:hAnsi="宋体" w:cs="宋体"/>
          <w:color w:val="auto"/>
          <w:kern w:val="0"/>
          <w:sz w:val="24"/>
          <w:szCs w:val="24"/>
          <w:highlight w:val="none"/>
          <w:lang w:val="en-US" w:eastAsia="zh-CN"/>
        </w:rPr>
        <w:t>6</w:t>
      </w:r>
      <w:r>
        <w:rPr>
          <w:rFonts w:hint="eastAsia" w:ascii="宋体" w:hAnsi="宋体" w:cs="宋体"/>
          <w:color w:val="auto"/>
          <w:kern w:val="0"/>
          <w:sz w:val="24"/>
          <w:szCs w:val="24"/>
          <w:highlight w:val="none"/>
        </w:rPr>
        <w:t>最后报价超过采购文件中规定的预算金额或者最高限价的；</w:t>
      </w:r>
    </w:p>
    <w:p w14:paraId="4307258D">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4.2.</w:t>
      </w: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rPr>
        <w:t>报价明显低于其他通过符合性审查供应商的报价，有可能影响产品质量或者不能诚信履约的，未能按要求提供书面说明或者提交相关证明材料，不能证明其报价合理性的；</w:t>
      </w:r>
    </w:p>
    <w:p w14:paraId="25A1C1D5">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4.2.</w:t>
      </w:r>
      <w:r>
        <w:rPr>
          <w:rFonts w:hint="eastAsia" w:ascii="宋体" w:hAnsi="宋体" w:cs="宋体"/>
          <w:color w:val="auto"/>
          <w:kern w:val="0"/>
          <w:sz w:val="24"/>
          <w:szCs w:val="24"/>
          <w:highlight w:val="none"/>
          <w:lang w:val="en-US" w:eastAsia="zh-CN"/>
        </w:rPr>
        <w:t>8</w:t>
      </w:r>
      <w:r>
        <w:rPr>
          <w:rFonts w:hint="eastAsia" w:ascii="宋体" w:hAnsi="宋体" w:cs="宋体"/>
          <w:color w:val="auto"/>
          <w:kern w:val="0"/>
          <w:sz w:val="24"/>
          <w:szCs w:val="24"/>
          <w:highlight w:val="none"/>
        </w:rPr>
        <w:t>供应商对根据修正原则修正后的报价不确认的；</w:t>
      </w:r>
    </w:p>
    <w:p w14:paraId="2A8173A4">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4.2.</w:t>
      </w:r>
      <w:r>
        <w:rPr>
          <w:rFonts w:hint="eastAsia" w:ascii="宋体" w:hAnsi="宋体" w:cs="宋体"/>
          <w:color w:val="auto"/>
          <w:kern w:val="0"/>
          <w:sz w:val="24"/>
          <w:szCs w:val="24"/>
          <w:highlight w:val="none"/>
          <w:lang w:val="en-US" w:eastAsia="zh-CN"/>
        </w:rPr>
        <w:t>9</w:t>
      </w:r>
      <w:r>
        <w:rPr>
          <w:rFonts w:hint="eastAsia" w:ascii="宋体" w:hAnsi="宋体" w:cs="宋体"/>
          <w:color w:val="auto"/>
          <w:kern w:val="0"/>
          <w:sz w:val="24"/>
          <w:szCs w:val="24"/>
          <w:highlight w:val="none"/>
        </w:rPr>
        <w:t>供应商提供虚假材料响应的；</w:t>
      </w:r>
    </w:p>
    <w:p w14:paraId="516B3F2D">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4.2.1</w:t>
      </w:r>
      <w:r>
        <w:rPr>
          <w:rFonts w:hint="eastAsia" w:ascii="宋体" w:hAnsi="宋体" w:cs="宋体"/>
          <w:color w:val="auto"/>
          <w:kern w:val="0"/>
          <w:sz w:val="24"/>
          <w:szCs w:val="24"/>
          <w:highlight w:val="none"/>
          <w:lang w:val="en-US" w:eastAsia="zh-CN"/>
        </w:rPr>
        <w:t>0</w:t>
      </w:r>
      <w:r>
        <w:rPr>
          <w:rFonts w:hint="eastAsia" w:ascii="宋体" w:hAnsi="宋体" w:cs="宋体"/>
          <w:color w:val="auto"/>
          <w:kern w:val="0"/>
          <w:sz w:val="24"/>
          <w:szCs w:val="24"/>
          <w:highlight w:val="none"/>
        </w:rPr>
        <w:t>供应商有恶意串通、妨碍其他供应商的竞争行为、损害采购人或者其他供应商的合法权益情形的；</w:t>
      </w:r>
    </w:p>
    <w:p w14:paraId="32F77CF3">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4.2.1</w:t>
      </w: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rPr>
        <w:t>供应商仅提交备份响应文件，未在电子交易平台传输递交响应文件的，响应文件无效；</w:t>
      </w:r>
    </w:p>
    <w:p w14:paraId="330E2855">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4.2.1</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rPr>
        <w:t xml:space="preserve"> 响应文件不满足采购文件的其它实质性要求的；</w:t>
      </w:r>
    </w:p>
    <w:p w14:paraId="0D51921F">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4.2.1</w:t>
      </w: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rPr>
        <w:t>法律、法规、规章（适用本市的）及省级以上规范性文件（适用本市的）规定的其他无效情形。</w:t>
      </w:r>
    </w:p>
    <w:p w14:paraId="35D5007A">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4.2.14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10D48E61">
      <w:pPr>
        <w:pStyle w:val="25"/>
        <w:keepNext w:val="0"/>
        <w:keepLines w:val="0"/>
        <w:pageBreakBefore w:val="0"/>
        <w:widowControl w:val="0"/>
        <w:kinsoku/>
        <w:wordWrap/>
        <w:overflowPunct/>
        <w:topLinePunct w:val="0"/>
        <w:autoSpaceDE/>
        <w:autoSpaceDN/>
        <w:bidi w:val="0"/>
        <w:snapToGrid w:val="0"/>
        <w:spacing w:line="360" w:lineRule="auto"/>
        <w:ind w:firstLine="472" w:firstLineChars="196"/>
        <w:textAlignment w:val="auto"/>
        <w:rPr>
          <w:rFonts w:cs="宋体"/>
          <w:color w:val="auto"/>
          <w:sz w:val="24"/>
          <w:szCs w:val="24"/>
          <w:highlight w:val="none"/>
        </w:rPr>
      </w:pPr>
      <w:r>
        <w:rPr>
          <w:rFonts w:hint="eastAsia" w:cs="宋体"/>
          <w:b/>
          <w:color w:val="auto"/>
          <w:sz w:val="24"/>
          <w:szCs w:val="24"/>
          <w:highlight w:val="none"/>
        </w:rPr>
        <w:t>5.终止竞争性磋商采购活动。</w:t>
      </w:r>
      <w:r>
        <w:rPr>
          <w:rFonts w:hint="eastAsia" w:cs="宋体"/>
          <w:color w:val="auto"/>
          <w:sz w:val="24"/>
          <w:szCs w:val="24"/>
          <w:highlight w:val="none"/>
        </w:rPr>
        <w:t>出现下列情形之一的，采购人或者采购代理机构应当终止竞争性磋商采购活动，发布项目终止公告并说明原因，重新开展采购活动：</w:t>
      </w:r>
    </w:p>
    <w:p w14:paraId="699C3218">
      <w:pPr>
        <w:pStyle w:val="25"/>
        <w:keepNext w:val="0"/>
        <w:keepLines w:val="0"/>
        <w:pageBreakBefore w:val="0"/>
        <w:widowControl w:val="0"/>
        <w:kinsoku/>
        <w:wordWrap/>
        <w:overflowPunct/>
        <w:topLinePunct w:val="0"/>
        <w:autoSpaceDE/>
        <w:autoSpaceDN/>
        <w:bidi w:val="0"/>
        <w:snapToGrid w:val="0"/>
        <w:spacing w:line="360" w:lineRule="auto"/>
        <w:textAlignment w:val="auto"/>
        <w:rPr>
          <w:rFonts w:cs="宋体"/>
          <w:color w:val="auto"/>
          <w:sz w:val="24"/>
          <w:szCs w:val="24"/>
          <w:highlight w:val="none"/>
        </w:rPr>
      </w:pPr>
      <w:r>
        <w:rPr>
          <w:rFonts w:hint="eastAsia" w:cs="宋体"/>
          <w:color w:val="auto"/>
          <w:sz w:val="24"/>
          <w:szCs w:val="24"/>
          <w:highlight w:val="none"/>
        </w:rPr>
        <w:t>5.1因情况变化，不再符合规定的竞争性磋商采购方式适用情形的；</w:t>
      </w:r>
    </w:p>
    <w:p w14:paraId="252B7C56">
      <w:pPr>
        <w:pStyle w:val="25"/>
        <w:keepNext w:val="0"/>
        <w:keepLines w:val="0"/>
        <w:pageBreakBefore w:val="0"/>
        <w:widowControl w:val="0"/>
        <w:kinsoku/>
        <w:wordWrap/>
        <w:overflowPunct/>
        <w:topLinePunct w:val="0"/>
        <w:autoSpaceDE/>
        <w:autoSpaceDN/>
        <w:bidi w:val="0"/>
        <w:snapToGrid w:val="0"/>
        <w:spacing w:line="360" w:lineRule="auto"/>
        <w:textAlignment w:val="auto"/>
        <w:rPr>
          <w:rFonts w:cs="宋体"/>
          <w:color w:val="auto"/>
          <w:sz w:val="24"/>
          <w:szCs w:val="24"/>
          <w:highlight w:val="none"/>
        </w:rPr>
      </w:pPr>
      <w:r>
        <w:rPr>
          <w:rFonts w:hint="eastAsia" w:cs="宋体"/>
          <w:color w:val="auto"/>
          <w:sz w:val="24"/>
          <w:szCs w:val="24"/>
          <w:highlight w:val="none"/>
        </w:rPr>
        <w:t>5.2出现影响采购公正的违法、违规行为的；</w:t>
      </w:r>
    </w:p>
    <w:p w14:paraId="2E4FF4EF">
      <w:pPr>
        <w:pStyle w:val="25"/>
        <w:keepNext w:val="0"/>
        <w:keepLines w:val="0"/>
        <w:pageBreakBefore w:val="0"/>
        <w:widowControl w:val="0"/>
        <w:kinsoku/>
        <w:wordWrap/>
        <w:overflowPunct/>
        <w:topLinePunct w:val="0"/>
        <w:autoSpaceDE/>
        <w:autoSpaceDN/>
        <w:bidi w:val="0"/>
        <w:snapToGrid w:val="0"/>
        <w:spacing w:line="360" w:lineRule="auto"/>
        <w:textAlignment w:val="auto"/>
        <w:rPr>
          <w:rFonts w:cs="宋体"/>
          <w:color w:val="auto"/>
          <w:sz w:val="24"/>
          <w:szCs w:val="24"/>
          <w:highlight w:val="none"/>
        </w:rPr>
      </w:pPr>
      <w:r>
        <w:rPr>
          <w:rFonts w:hint="eastAsia" w:cs="宋体"/>
          <w:color w:val="auto"/>
          <w:sz w:val="24"/>
          <w:szCs w:val="24"/>
          <w:highlight w:val="none"/>
        </w:rPr>
        <w:t>5.3除本办法第二十一条第三款规定的情形外，在采购过程中符合要求的供应商或者报价未超过采购预算的供应商不足3家的。</w:t>
      </w:r>
    </w:p>
    <w:p w14:paraId="2E462E8A">
      <w:pPr>
        <w:pStyle w:val="25"/>
        <w:keepNext w:val="0"/>
        <w:keepLines w:val="0"/>
        <w:pageBreakBefore w:val="0"/>
        <w:widowControl w:val="0"/>
        <w:kinsoku/>
        <w:wordWrap/>
        <w:overflowPunct/>
        <w:topLinePunct w:val="0"/>
        <w:autoSpaceDE/>
        <w:autoSpaceDN/>
        <w:bidi w:val="0"/>
        <w:snapToGrid w:val="0"/>
        <w:spacing w:line="360" w:lineRule="auto"/>
        <w:textAlignment w:val="auto"/>
        <w:rPr>
          <w:rFonts w:cs="宋体"/>
          <w:color w:val="auto"/>
          <w:sz w:val="24"/>
          <w:szCs w:val="24"/>
          <w:highlight w:val="none"/>
        </w:rPr>
      </w:pPr>
      <w:r>
        <w:rPr>
          <w:rFonts w:hint="eastAsia" w:cs="宋体"/>
          <w:color w:val="auto"/>
          <w:sz w:val="24"/>
          <w:szCs w:val="24"/>
          <w:highlight w:val="none"/>
        </w:rPr>
        <w:t>5.4在采购活动中因重大变故，采购任务取消的，采购人或者采购代理机构应当终止采购活动，通知所有参加采购活动的供应商，并将项目实施情况和采购任务取消原因报送本级财政部门。</w:t>
      </w:r>
    </w:p>
    <w:p w14:paraId="0573BF36">
      <w:pPr>
        <w:pStyle w:val="25"/>
        <w:keepNext w:val="0"/>
        <w:keepLines w:val="0"/>
        <w:pageBreakBefore w:val="0"/>
        <w:widowControl w:val="0"/>
        <w:kinsoku/>
        <w:wordWrap/>
        <w:overflowPunct/>
        <w:topLinePunct w:val="0"/>
        <w:autoSpaceDE/>
        <w:autoSpaceDN/>
        <w:bidi w:val="0"/>
        <w:snapToGrid w:val="0"/>
        <w:spacing w:line="360" w:lineRule="auto"/>
        <w:ind w:firstLine="482"/>
        <w:textAlignment w:val="auto"/>
        <w:rPr>
          <w:rFonts w:cs="宋体"/>
          <w:color w:val="auto"/>
          <w:sz w:val="24"/>
          <w:szCs w:val="24"/>
          <w:highlight w:val="none"/>
        </w:rPr>
      </w:pPr>
      <w:r>
        <w:rPr>
          <w:rFonts w:hint="eastAsia" w:cs="宋体"/>
          <w:b/>
          <w:color w:val="auto"/>
          <w:kern w:val="0"/>
          <w:sz w:val="24"/>
          <w:szCs w:val="24"/>
          <w:highlight w:val="none"/>
        </w:rPr>
        <w:t>6.重新开展采购。</w:t>
      </w:r>
      <w:r>
        <w:rPr>
          <w:rFonts w:hint="eastAsia" w:cs="宋体"/>
          <w:color w:val="auto"/>
          <w:sz w:val="24"/>
          <w:szCs w:val="24"/>
          <w:highlight w:val="none"/>
        </w:rPr>
        <w:t>有政府采购法第七十一条、第七十二条规定的违法行为之一，影响或者可能影响成交结果的，依照下列规定处理：</w:t>
      </w:r>
    </w:p>
    <w:p w14:paraId="42B5DB88">
      <w:pPr>
        <w:pStyle w:val="25"/>
        <w:keepNext w:val="0"/>
        <w:keepLines w:val="0"/>
        <w:pageBreakBefore w:val="0"/>
        <w:widowControl w:val="0"/>
        <w:kinsoku/>
        <w:wordWrap/>
        <w:overflowPunct/>
        <w:topLinePunct w:val="0"/>
        <w:autoSpaceDE/>
        <w:autoSpaceDN/>
        <w:bidi w:val="0"/>
        <w:snapToGrid w:val="0"/>
        <w:spacing w:line="360" w:lineRule="auto"/>
        <w:textAlignment w:val="auto"/>
        <w:rPr>
          <w:rFonts w:cs="宋体"/>
          <w:color w:val="auto"/>
          <w:sz w:val="24"/>
          <w:szCs w:val="24"/>
          <w:highlight w:val="none"/>
        </w:rPr>
      </w:pPr>
      <w:r>
        <w:rPr>
          <w:rFonts w:hint="eastAsia" w:cs="宋体"/>
          <w:color w:val="auto"/>
          <w:sz w:val="24"/>
          <w:szCs w:val="24"/>
          <w:highlight w:val="none"/>
        </w:rPr>
        <w:t>6.1未确定成交供应商的，终止本次政府采购活动，重新开展政府采购活动。</w:t>
      </w:r>
    </w:p>
    <w:p w14:paraId="5FCEB241">
      <w:pPr>
        <w:pStyle w:val="25"/>
        <w:keepNext w:val="0"/>
        <w:keepLines w:val="0"/>
        <w:pageBreakBefore w:val="0"/>
        <w:widowControl w:val="0"/>
        <w:kinsoku/>
        <w:wordWrap/>
        <w:overflowPunct/>
        <w:topLinePunct w:val="0"/>
        <w:autoSpaceDE/>
        <w:autoSpaceDN/>
        <w:bidi w:val="0"/>
        <w:snapToGrid w:val="0"/>
        <w:spacing w:line="360" w:lineRule="auto"/>
        <w:textAlignment w:val="auto"/>
        <w:rPr>
          <w:rFonts w:cs="宋体"/>
          <w:color w:val="auto"/>
          <w:sz w:val="24"/>
          <w:szCs w:val="24"/>
          <w:highlight w:val="none"/>
        </w:rPr>
      </w:pPr>
      <w:r>
        <w:rPr>
          <w:rFonts w:hint="eastAsia" w:cs="宋体"/>
          <w:color w:val="auto"/>
          <w:sz w:val="24"/>
          <w:szCs w:val="24"/>
          <w:highlight w:val="none"/>
        </w:rPr>
        <w:t>6.2已确定成交供应商但尚未签订政府采购合同的，成交结果无效，从合格的成交候选供应商中另行确定成交供应商；没有合格的成交候选供应商的，重新开展政府采购活动。</w:t>
      </w:r>
    </w:p>
    <w:p w14:paraId="404D9331">
      <w:pPr>
        <w:pStyle w:val="25"/>
        <w:keepNext w:val="0"/>
        <w:keepLines w:val="0"/>
        <w:pageBreakBefore w:val="0"/>
        <w:widowControl w:val="0"/>
        <w:kinsoku/>
        <w:wordWrap/>
        <w:overflowPunct/>
        <w:topLinePunct w:val="0"/>
        <w:autoSpaceDE/>
        <w:autoSpaceDN/>
        <w:bidi w:val="0"/>
        <w:snapToGrid w:val="0"/>
        <w:spacing w:line="360" w:lineRule="auto"/>
        <w:textAlignment w:val="auto"/>
        <w:rPr>
          <w:rFonts w:cs="宋体"/>
          <w:color w:val="auto"/>
          <w:sz w:val="24"/>
          <w:szCs w:val="24"/>
          <w:highlight w:val="none"/>
        </w:rPr>
      </w:pPr>
      <w:r>
        <w:rPr>
          <w:rFonts w:hint="eastAsia" w:cs="宋体"/>
          <w:color w:val="auto"/>
          <w:sz w:val="24"/>
          <w:szCs w:val="24"/>
          <w:highlight w:val="none"/>
        </w:rPr>
        <w:t>6.3政府采购合同已签订但尚未履行的，撤销合同，从合格的成交候选供应商中另行确定成交供应商；没有合格的成交候选供应商的，重新开展政府采购活动。</w:t>
      </w:r>
    </w:p>
    <w:p w14:paraId="6DE2FCDD">
      <w:pPr>
        <w:pStyle w:val="25"/>
        <w:keepNext w:val="0"/>
        <w:keepLines w:val="0"/>
        <w:pageBreakBefore w:val="0"/>
        <w:widowControl w:val="0"/>
        <w:kinsoku/>
        <w:wordWrap/>
        <w:overflowPunct/>
        <w:topLinePunct w:val="0"/>
        <w:autoSpaceDE/>
        <w:autoSpaceDN/>
        <w:bidi w:val="0"/>
        <w:snapToGrid w:val="0"/>
        <w:spacing w:line="360" w:lineRule="auto"/>
        <w:textAlignment w:val="auto"/>
        <w:rPr>
          <w:rFonts w:cs="宋体"/>
          <w:color w:val="auto"/>
          <w:sz w:val="24"/>
          <w:szCs w:val="24"/>
          <w:highlight w:val="none"/>
        </w:rPr>
      </w:pPr>
      <w:r>
        <w:rPr>
          <w:rFonts w:hint="eastAsia" w:cs="宋体"/>
          <w:color w:val="auto"/>
          <w:sz w:val="24"/>
          <w:szCs w:val="24"/>
          <w:highlight w:val="none"/>
        </w:rPr>
        <w:t>6.4政府采购合同已经履行，给采购人、供应商造成损失的，由责任人承担赔偿责任。</w:t>
      </w:r>
    </w:p>
    <w:p w14:paraId="49497F26">
      <w:pPr>
        <w:pStyle w:val="25"/>
        <w:keepNext w:val="0"/>
        <w:keepLines w:val="0"/>
        <w:pageBreakBefore w:val="0"/>
        <w:widowControl w:val="0"/>
        <w:kinsoku/>
        <w:wordWrap/>
        <w:overflowPunct/>
        <w:topLinePunct w:val="0"/>
        <w:autoSpaceDE/>
        <w:autoSpaceDN/>
        <w:bidi w:val="0"/>
        <w:snapToGrid w:val="0"/>
        <w:spacing w:line="360" w:lineRule="auto"/>
        <w:textAlignment w:val="auto"/>
        <w:rPr>
          <w:rFonts w:cs="宋体"/>
          <w:color w:val="auto"/>
          <w:sz w:val="24"/>
          <w:szCs w:val="24"/>
          <w:highlight w:val="none"/>
        </w:rPr>
      </w:pPr>
      <w:r>
        <w:rPr>
          <w:rFonts w:hint="eastAsia" w:cs="宋体"/>
          <w:color w:val="auto"/>
          <w:sz w:val="24"/>
          <w:szCs w:val="24"/>
          <w:highlight w:val="none"/>
        </w:rPr>
        <w:t>6.5政府采购当事人有其他违反政府采购法或者政府采购法实施条例等法律法规规定的行为，经改正后仍然影响或者可能影响成交结果或者依法被认定为成交无效的，依照6.1-6.4规定处理。</w:t>
      </w:r>
    </w:p>
    <w:p w14:paraId="1147275A">
      <w:pPr>
        <w:pStyle w:val="25"/>
        <w:snapToGrid w:val="0"/>
        <w:spacing w:line="360" w:lineRule="auto"/>
        <w:ind w:firstLine="0" w:firstLineChars="0"/>
        <w:rPr>
          <w:rFonts w:cs="宋体"/>
          <w:color w:val="auto"/>
          <w:highlight w:val="none"/>
        </w:rPr>
        <w:sectPr>
          <w:pgSz w:w="11907" w:h="16840"/>
          <w:pgMar w:top="1417" w:right="1417" w:bottom="1417" w:left="1417" w:header="851" w:footer="850" w:gutter="0"/>
          <w:pgBorders>
            <w:top w:val="none" w:sz="0" w:space="0"/>
            <w:left w:val="none" w:sz="0" w:space="0"/>
            <w:bottom w:val="none" w:sz="0" w:space="0"/>
            <w:right w:val="none" w:sz="0" w:space="0"/>
          </w:pgBorders>
          <w:pgNumType w:fmt="decimal"/>
          <w:cols w:space="0" w:num="1"/>
        </w:sectPr>
      </w:pPr>
    </w:p>
    <w:bookmarkEnd w:id="17"/>
    <w:p w14:paraId="7870AD7F">
      <w:pPr>
        <w:spacing w:line="360" w:lineRule="auto"/>
        <w:jc w:val="center"/>
        <w:outlineLvl w:val="0"/>
        <w:rPr>
          <w:rFonts w:ascii="宋体" w:hAnsi="宋体" w:cs="宋体"/>
          <w:b/>
          <w:color w:val="auto"/>
          <w:sz w:val="36"/>
          <w:szCs w:val="36"/>
          <w:highlight w:val="none"/>
        </w:rPr>
      </w:pPr>
      <w:bookmarkStart w:id="395" w:name="第五部分"/>
      <w:bookmarkStart w:id="396" w:name="_Toc86217003"/>
      <w:r>
        <w:rPr>
          <w:rFonts w:hint="eastAsia" w:ascii="宋体" w:hAnsi="宋体" w:cs="宋体"/>
          <w:b/>
          <w:color w:val="auto"/>
          <w:sz w:val="36"/>
          <w:szCs w:val="36"/>
          <w:highlight w:val="none"/>
        </w:rPr>
        <w:t>第五部分 拟签订的合同文本</w:t>
      </w:r>
    </w:p>
    <w:p w14:paraId="7B223B8E">
      <w:pPr>
        <w:snapToGrid w:val="0"/>
        <w:spacing w:line="360" w:lineRule="auto"/>
        <w:ind w:firstLine="480" w:firstLineChars="200"/>
        <w:jc w:val="left"/>
        <w:rPr>
          <w:rFonts w:ascii="宋体" w:hAnsi="宋体" w:cs="宋体"/>
          <w:snapToGrid w:val="0"/>
          <w:color w:val="auto"/>
          <w:kern w:val="0"/>
          <w:sz w:val="24"/>
          <w:szCs w:val="20"/>
          <w:highlight w:val="none"/>
        </w:rPr>
      </w:pPr>
      <w:r>
        <w:rPr>
          <w:rFonts w:hint="eastAsia" w:ascii="宋体" w:hAnsi="宋体" w:cs="宋体"/>
          <w:snapToGrid w:val="0"/>
          <w:color w:val="auto"/>
          <w:kern w:val="0"/>
          <w:sz w:val="24"/>
          <w:szCs w:val="20"/>
          <w:highlight w:val="none"/>
        </w:rPr>
        <w:t>参考住房城乡建设部、原国家工商行政管理总局制定的《建设工程施工合同（示范文本）》（GF-2017-0201）。</w:t>
      </w:r>
    </w:p>
    <w:p w14:paraId="0E2EC429">
      <w:pPr>
        <w:keepNext/>
        <w:keepLines/>
        <w:numPr>
          <w:ilvl w:val="1"/>
          <w:numId w:val="0"/>
        </w:numPr>
        <w:snapToGrid w:val="0"/>
        <w:spacing w:line="360" w:lineRule="auto"/>
        <w:jc w:val="center"/>
        <w:rPr>
          <w:rFonts w:ascii="宋体" w:hAnsi="宋体" w:cs="宋体"/>
          <w:b/>
          <w:bCs/>
          <w:snapToGrid w:val="0"/>
          <w:color w:val="auto"/>
          <w:kern w:val="44"/>
          <w:sz w:val="28"/>
          <w:szCs w:val="20"/>
          <w:highlight w:val="none"/>
        </w:rPr>
      </w:pPr>
      <w:r>
        <w:rPr>
          <w:rFonts w:hint="eastAsia" w:ascii="宋体" w:hAnsi="宋体" w:cs="宋体"/>
          <w:b/>
          <w:bCs/>
          <w:snapToGrid w:val="0"/>
          <w:color w:val="auto"/>
          <w:kern w:val="44"/>
          <w:sz w:val="28"/>
          <w:szCs w:val="20"/>
          <w:highlight w:val="none"/>
        </w:rPr>
        <w:t>第一部分  合同协议书</w:t>
      </w:r>
    </w:p>
    <w:p w14:paraId="75199CB9">
      <w:pPr>
        <w:snapToGrid w:val="0"/>
        <w:spacing w:line="360" w:lineRule="auto"/>
        <w:ind w:firstLine="470" w:firstLineChars="196"/>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发包人（全称）：</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lang w:eastAsia="zh-CN"/>
        </w:rPr>
        <w:t>杭州市美术职业学校</w:t>
      </w:r>
      <w:r>
        <w:rPr>
          <w:rFonts w:hint="eastAsia" w:ascii="宋体" w:hAnsi="宋体" w:cs="宋体"/>
          <w:snapToGrid w:val="0"/>
          <w:color w:val="auto"/>
          <w:kern w:val="0"/>
          <w:sz w:val="24"/>
          <w:highlight w:val="none"/>
          <w:u w:val="single"/>
        </w:rPr>
        <w:t xml:space="preserve">   </w:t>
      </w:r>
    </w:p>
    <w:p w14:paraId="14D2C5DC">
      <w:pPr>
        <w:snapToGrid w:val="0"/>
        <w:spacing w:line="360" w:lineRule="auto"/>
        <w:ind w:firstLine="470" w:firstLineChars="196"/>
        <w:rPr>
          <w:rFonts w:ascii="宋体" w:hAnsi="宋体" w:cs="宋体"/>
          <w:b/>
          <w:snapToGrid w:val="0"/>
          <w:color w:val="auto"/>
          <w:kern w:val="0"/>
          <w:sz w:val="24"/>
          <w:highlight w:val="none"/>
          <w:u w:val="single"/>
        </w:rPr>
      </w:pPr>
      <w:r>
        <w:rPr>
          <w:rFonts w:hint="eastAsia" w:ascii="宋体" w:hAnsi="宋体" w:cs="宋体"/>
          <w:snapToGrid w:val="0"/>
          <w:color w:val="auto"/>
          <w:kern w:val="0"/>
          <w:sz w:val="24"/>
          <w:highlight w:val="none"/>
        </w:rPr>
        <w:t>承包人（全称）：</w:t>
      </w:r>
      <w:r>
        <w:rPr>
          <w:rFonts w:hint="eastAsia" w:ascii="宋体" w:hAnsi="宋体" w:cs="宋体"/>
          <w:snapToGrid w:val="0"/>
          <w:color w:val="auto"/>
          <w:kern w:val="0"/>
          <w:sz w:val="24"/>
          <w:highlight w:val="none"/>
          <w:u w:val="single"/>
        </w:rPr>
        <w:t xml:space="preserve">                         </w:t>
      </w:r>
    </w:p>
    <w:p w14:paraId="14275EE1">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根据《中华人民共和国民法典》、 《中华人民共和国建筑法》及有关法律规定，遵循平等、自愿、公平和诚实信用的原则，双方就</w:t>
      </w:r>
      <w:r>
        <w:rPr>
          <w:rFonts w:hint="eastAsia" w:ascii="宋体" w:hAnsi="宋体" w:cs="宋体"/>
          <w:snapToGrid w:val="0"/>
          <w:color w:val="auto"/>
          <w:kern w:val="0"/>
          <w:sz w:val="24"/>
          <w:highlight w:val="none"/>
          <w:u w:val="single"/>
          <w:lang w:eastAsia="zh-CN"/>
        </w:rPr>
        <w:t>杭州市美术职业学校（凤山校区）门卫楼及大礼堂外立面工程</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工程施工及有关事项协商一致，共同达成如下协议：</w:t>
      </w:r>
    </w:p>
    <w:p w14:paraId="36796542">
      <w:pPr>
        <w:snapToGrid w:val="0"/>
        <w:spacing w:line="360" w:lineRule="auto"/>
        <w:outlineLvl w:val="1"/>
        <w:rPr>
          <w:rFonts w:ascii="宋体" w:hAnsi="宋体" w:cs="宋体"/>
          <w:b/>
          <w:bCs/>
          <w:snapToGrid w:val="0"/>
          <w:color w:val="auto"/>
          <w:kern w:val="0"/>
          <w:sz w:val="24"/>
          <w:highlight w:val="none"/>
        </w:rPr>
      </w:pPr>
      <w:r>
        <w:rPr>
          <w:rFonts w:hint="eastAsia" w:ascii="宋体" w:hAnsi="宋体" w:cs="宋体"/>
          <w:b/>
          <w:bCs/>
          <w:snapToGrid w:val="0"/>
          <w:color w:val="auto"/>
          <w:kern w:val="0"/>
          <w:sz w:val="24"/>
          <w:highlight w:val="none"/>
        </w:rPr>
        <w:t>一、工程概况</w:t>
      </w:r>
    </w:p>
    <w:p w14:paraId="1A71CE35">
      <w:pPr>
        <w:snapToGrid w:val="0"/>
        <w:spacing w:line="360" w:lineRule="auto"/>
        <w:ind w:firstLine="470" w:firstLineChars="196"/>
        <w:rPr>
          <w:rFonts w:ascii="宋体" w:hAnsi="宋体" w:cs="宋体"/>
          <w:snapToGrid w:val="0"/>
          <w:color w:val="auto"/>
          <w:kern w:val="0"/>
          <w:sz w:val="24"/>
          <w:highlight w:val="none"/>
          <w:u w:val="single"/>
        </w:rPr>
      </w:pPr>
      <w:r>
        <w:rPr>
          <w:rFonts w:hint="eastAsia" w:ascii="宋体" w:hAnsi="宋体" w:cs="宋体"/>
          <w:bCs/>
          <w:snapToGrid w:val="0"/>
          <w:color w:val="auto"/>
          <w:kern w:val="0"/>
          <w:sz w:val="24"/>
          <w:highlight w:val="none"/>
        </w:rPr>
        <w:t>1.工程名称</w:t>
      </w:r>
      <w:r>
        <w:rPr>
          <w:rFonts w:hint="eastAsia" w:ascii="宋体" w:hAnsi="宋体" w:cs="宋体"/>
          <w:snapToGrid w:val="0"/>
          <w:color w:val="auto"/>
          <w:kern w:val="0"/>
          <w:sz w:val="24"/>
          <w:highlight w:val="none"/>
        </w:rPr>
        <w:t>：</w:t>
      </w:r>
      <w:r>
        <w:rPr>
          <w:rFonts w:hint="eastAsia" w:ascii="宋体" w:hAnsi="宋体" w:cs="宋体"/>
          <w:snapToGrid w:val="0"/>
          <w:color w:val="auto"/>
          <w:kern w:val="0"/>
          <w:sz w:val="24"/>
          <w:highlight w:val="none"/>
          <w:u w:val="single"/>
          <w:lang w:eastAsia="zh-CN"/>
        </w:rPr>
        <w:t>杭州市美术职业学校（凤山校区）门卫楼及大礼堂外立面工程</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w:t>
      </w:r>
    </w:p>
    <w:p w14:paraId="345BE08F">
      <w:pPr>
        <w:snapToGrid w:val="0"/>
        <w:spacing w:line="360" w:lineRule="auto"/>
        <w:ind w:firstLine="470" w:firstLineChars="196"/>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2.工程地点：</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lang w:eastAsia="zh-CN"/>
        </w:rPr>
        <w:t>杭州市美术职业学校</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w:t>
      </w:r>
    </w:p>
    <w:p w14:paraId="57BC51AB">
      <w:pPr>
        <w:snapToGrid w:val="0"/>
        <w:spacing w:line="360" w:lineRule="auto"/>
        <w:ind w:firstLine="470" w:firstLineChars="196"/>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3.工程立项批准文号：</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lang w:val="en-US" w:eastAsia="zh-CN"/>
        </w:rPr>
        <w:t>/</w:t>
      </w:r>
      <w:r>
        <w:rPr>
          <w:rFonts w:hint="eastAsia" w:ascii="宋体" w:hAnsi="宋体" w:cs="宋体"/>
          <w:snapToGrid w:val="0"/>
          <w:color w:val="auto"/>
          <w:kern w:val="0"/>
          <w:sz w:val="24"/>
          <w:highlight w:val="none"/>
          <w:u w:val="single"/>
        </w:rPr>
        <w:t xml:space="preserve">     </w:t>
      </w:r>
      <w:r>
        <w:rPr>
          <w:rFonts w:hint="eastAsia" w:ascii="宋体" w:hAnsi="宋体" w:cs="宋体"/>
          <w:bCs/>
          <w:snapToGrid w:val="0"/>
          <w:color w:val="auto"/>
          <w:kern w:val="0"/>
          <w:sz w:val="24"/>
          <w:highlight w:val="none"/>
        </w:rPr>
        <w:t>。</w:t>
      </w:r>
    </w:p>
    <w:p w14:paraId="1D54B26D">
      <w:pPr>
        <w:snapToGrid w:val="0"/>
        <w:spacing w:line="360" w:lineRule="auto"/>
        <w:ind w:firstLine="470" w:firstLineChars="196"/>
        <w:rPr>
          <w:rFonts w:hint="default" w:ascii="宋体" w:hAnsi="宋体" w:eastAsia="宋体" w:cs="宋体"/>
          <w:bCs/>
          <w:snapToGrid w:val="0"/>
          <w:color w:val="auto"/>
          <w:kern w:val="0"/>
          <w:sz w:val="24"/>
          <w:highlight w:val="none"/>
          <w:lang w:val="en-US" w:eastAsia="zh-CN"/>
        </w:rPr>
      </w:pPr>
      <w:r>
        <w:rPr>
          <w:rFonts w:hint="eastAsia" w:ascii="宋体" w:hAnsi="宋体" w:cs="宋体"/>
          <w:bCs/>
          <w:snapToGrid w:val="0"/>
          <w:color w:val="auto"/>
          <w:kern w:val="0"/>
          <w:sz w:val="24"/>
          <w:highlight w:val="none"/>
        </w:rPr>
        <w:t>4.资金来源：</w:t>
      </w:r>
      <w:r>
        <w:rPr>
          <w:rFonts w:hint="eastAsia" w:ascii="宋体" w:hAnsi="宋体" w:cs="宋体"/>
          <w:snapToGrid w:val="0"/>
          <w:color w:val="auto"/>
          <w:kern w:val="0"/>
          <w:sz w:val="24"/>
          <w:highlight w:val="none"/>
          <w:u w:val="single"/>
        </w:rPr>
        <w:t>财政资金</w:t>
      </w:r>
      <w:r>
        <w:rPr>
          <w:rFonts w:hint="eastAsia" w:ascii="宋体" w:hAnsi="宋体" w:cs="宋体"/>
          <w:snapToGrid w:val="0"/>
          <w:color w:val="auto"/>
          <w:kern w:val="0"/>
          <w:sz w:val="24"/>
          <w:highlight w:val="none"/>
          <w:u w:val="single"/>
          <w:lang w:val="en-US" w:eastAsia="zh-CN"/>
        </w:rPr>
        <w:t xml:space="preserve">            </w:t>
      </w:r>
    </w:p>
    <w:p w14:paraId="3EF3DD71">
      <w:pPr>
        <w:snapToGrid w:val="0"/>
        <w:spacing w:line="360" w:lineRule="auto"/>
        <w:ind w:firstLine="463" w:firstLineChars="193"/>
        <w:rPr>
          <w:rFonts w:ascii="宋体" w:hAnsi="宋体" w:cs="宋体"/>
          <w:snapToGrid w:val="0"/>
          <w:color w:val="auto"/>
          <w:kern w:val="0"/>
          <w:sz w:val="24"/>
          <w:highlight w:val="none"/>
        </w:rPr>
      </w:pPr>
      <w:r>
        <w:rPr>
          <w:rFonts w:hint="eastAsia" w:ascii="宋体" w:hAnsi="宋体" w:cs="宋体"/>
          <w:bCs/>
          <w:snapToGrid w:val="0"/>
          <w:color w:val="auto"/>
          <w:kern w:val="0"/>
          <w:sz w:val="24"/>
          <w:highlight w:val="none"/>
        </w:rPr>
        <w:t xml:space="preserve">5.工程内容： </w:t>
      </w:r>
      <w:r>
        <w:rPr>
          <w:rFonts w:hint="eastAsia" w:ascii="宋体" w:hAnsi="宋体" w:cs="宋体"/>
          <w:color w:val="auto"/>
          <w:sz w:val="24"/>
          <w:highlight w:val="none"/>
          <w:u w:val="single"/>
        </w:rPr>
        <w:t>所有图纸范围内的工程。</w:t>
      </w:r>
    </w:p>
    <w:p w14:paraId="64D12C25">
      <w:pPr>
        <w:snapToGrid w:val="0"/>
        <w:spacing w:line="360" w:lineRule="auto"/>
        <w:ind w:firstLine="470" w:firstLineChars="196"/>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6.工程承包范围：</w:t>
      </w:r>
      <w:r>
        <w:rPr>
          <w:rFonts w:hint="eastAsia" w:ascii="宋体" w:hAnsi="宋体" w:cs="宋体"/>
          <w:color w:val="auto"/>
          <w:sz w:val="24"/>
          <w:highlight w:val="none"/>
          <w:u w:val="single"/>
        </w:rPr>
        <w:t>所有图纸范围内的工程。</w:t>
      </w:r>
    </w:p>
    <w:p w14:paraId="7D975513">
      <w:pPr>
        <w:snapToGrid w:val="0"/>
        <w:spacing w:line="360" w:lineRule="auto"/>
        <w:ind w:firstLine="463" w:firstLineChars="193"/>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本项目为</w:t>
      </w:r>
      <w:r>
        <w:rPr>
          <w:rFonts w:hint="eastAsia" w:ascii="宋体" w:hAnsi="宋体" w:cs="宋体"/>
          <w:bCs/>
          <w:snapToGrid w:val="0"/>
          <w:color w:val="auto"/>
          <w:kern w:val="0"/>
          <w:sz w:val="24"/>
          <w:highlight w:val="none"/>
          <w:lang w:eastAsia="zh-CN"/>
        </w:rPr>
        <w:t>杭州市美术职业学校（凤山校区）门卫楼及大礼堂外立面工程</w:t>
      </w:r>
      <w:r>
        <w:rPr>
          <w:rFonts w:hint="eastAsia" w:ascii="宋体" w:hAnsi="宋体" w:cs="宋体"/>
          <w:bCs/>
          <w:snapToGrid w:val="0"/>
          <w:color w:val="auto"/>
          <w:kern w:val="0"/>
          <w:sz w:val="24"/>
          <w:highlight w:val="none"/>
        </w:rPr>
        <w:t>，详见图纸、工程量清单以及采购文件要求。</w:t>
      </w:r>
    </w:p>
    <w:p w14:paraId="1B3B70E7">
      <w:pPr>
        <w:snapToGrid w:val="0"/>
        <w:spacing w:line="360" w:lineRule="auto"/>
        <w:outlineLvl w:val="1"/>
        <w:rPr>
          <w:rFonts w:ascii="宋体" w:hAnsi="宋体" w:cs="宋体"/>
          <w:b/>
          <w:bCs/>
          <w:snapToGrid w:val="0"/>
          <w:color w:val="auto"/>
          <w:kern w:val="0"/>
          <w:sz w:val="24"/>
          <w:highlight w:val="none"/>
        </w:rPr>
      </w:pPr>
      <w:r>
        <w:rPr>
          <w:rFonts w:hint="eastAsia" w:ascii="宋体" w:hAnsi="宋体" w:cs="宋体"/>
          <w:b/>
          <w:bCs/>
          <w:snapToGrid w:val="0"/>
          <w:color w:val="auto"/>
          <w:kern w:val="0"/>
          <w:sz w:val="24"/>
          <w:highlight w:val="none"/>
        </w:rPr>
        <w:t>二、合同工期</w:t>
      </w:r>
    </w:p>
    <w:p w14:paraId="7602AEBB">
      <w:pPr>
        <w:snapToGrid w:val="0"/>
        <w:spacing w:line="360" w:lineRule="auto"/>
        <w:ind w:firstLine="34"/>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计划开工日期：</w:t>
      </w:r>
      <w:r>
        <w:rPr>
          <w:rFonts w:hint="eastAsia" w:ascii="宋体" w:hAnsi="宋体" w:cs="宋体"/>
          <w:snapToGrid w:val="0"/>
          <w:color w:val="auto"/>
          <w:kern w:val="0"/>
          <w:sz w:val="24"/>
          <w:highlight w:val="none"/>
          <w:u w:val="single"/>
        </w:rPr>
        <w:t>202</w:t>
      </w:r>
      <w:r>
        <w:rPr>
          <w:rFonts w:hint="eastAsia" w:ascii="宋体" w:hAnsi="宋体" w:cs="宋体"/>
          <w:snapToGrid w:val="0"/>
          <w:color w:val="auto"/>
          <w:kern w:val="0"/>
          <w:sz w:val="24"/>
          <w:highlight w:val="none"/>
          <w:u w:val="single"/>
          <w:lang w:val="en-US" w:eastAsia="zh-CN"/>
        </w:rPr>
        <w:t>5</w:t>
      </w:r>
      <w:r>
        <w:rPr>
          <w:rFonts w:hint="eastAsia" w:ascii="宋体" w:hAnsi="宋体" w:cs="宋体"/>
          <w:snapToGrid w:val="0"/>
          <w:color w:val="auto"/>
          <w:kern w:val="0"/>
          <w:sz w:val="24"/>
          <w:highlight w:val="none"/>
        </w:rPr>
        <w:t>年</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月</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日，实际开工日期以经批准的开工申请时间为准；</w:t>
      </w:r>
    </w:p>
    <w:p w14:paraId="55A0D51A">
      <w:pPr>
        <w:snapToGrid w:val="0"/>
        <w:spacing w:line="360" w:lineRule="auto"/>
        <w:ind w:firstLine="34"/>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计划竣工日期：</w:t>
      </w:r>
      <w:r>
        <w:rPr>
          <w:rFonts w:hint="eastAsia" w:ascii="宋体" w:hAnsi="宋体" w:cs="宋体"/>
          <w:snapToGrid w:val="0"/>
          <w:color w:val="auto"/>
          <w:kern w:val="0"/>
          <w:sz w:val="24"/>
          <w:highlight w:val="none"/>
          <w:u w:val="single"/>
        </w:rPr>
        <w:t>202</w:t>
      </w:r>
      <w:r>
        <w:rPr>
          <w:rFonts w:hint="eastAsia" w:ascii="宋体" w:hAnsi="宋体" w:cs="宋体"/>
          <w:snapToGrid w:val="0"/>
          <w:color w:val="auto"/>
          <w:kern w:val="0"/>
          <w:sz w:val="24"/>
          <w:highlight w:val="none"/>
          <w:u w:val="single"/>
          <w:lang w:val="en-US" w:eastAsia="zh-CN"/>
        </w:rPr>
        <w:t>5</w:t>
      </w:r>
      <w:r>
        <w:rPr>
          <w:rFonts w:hint="eastAsia" w:ascii="宋体" w:hAnsi="宋体" w:cs="宋体"/>
          <w:snapToGrid w:val="0"/>
          <w:color w:val="auto"/>
          <w:kern w:val="0"/>
          <w:sz w:val="24"/>
          <w:highlight w:val="none"/>
        </w:rPr>
        <w:t>年</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月</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日；</w:t>
      </w:r>
    </w:p>
    <w:p w14:paraId="46C82AB6">
      <w:pPr>
        <w:snapToGrid w:val="0"/>
        <w:spacing w:line="360" w:lineRule="auto"/>
        <w:ind w:firstLine="34"/>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工期总日历天数：</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天。工期总日历天数与根据前述计划开竣工日期计算的工期天数不一致的，以工期总日历天数为准。</w:t>
      </w:r>
    </w:p>
    <w:p w14:paraId="3AF9EB92">
      <w:pPr>
        <w:snapToGrid w:val="0"/>
        <w:spacing w:line="360" w:lineRule="auto"/>
        <w:ind w:firstLine="34"/>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工期总日历天数与根据前述计划开竣工日期计算的工期天数不一致的，以工期总日历天数为准。</w:t>
      </w:r>
    </w:p>
    <w:p w14:paraId="3E4659B1">
      <w:pPr>
        <w:snapToGrid w:val="0"/>
        <w:spacing w:line="360" w:lineRule="auto"/>
        <w:outlineLvl w:val="1"/>
        <w:rPr>
          <w:rFonts w:ascii="宋体" w:hAnsi="宋体" w:cs="宋体"/>
          <w:b/>
          <w:bCs/>
          <w:snapToGrid w:val="0"/>
          <w:color w:val="auto"/>
          <w:kern w:val="0"/>
          <w:sz w:val="24"/>
          <w:highlight w:val="none"/>
        </w:rPr>
      </w:pPr>
      <w:r>
        <w:rPr>
          <w:rFonts w:hint="eastAsia" w:ascii="宋体" w:hAnsi="宋体" w:cs="宋体"/>
          <w:b/>
          <w:bCs/>
          <w:snapToGrid w:val="0"/>
          <w:color w:val="auto"/>
          <w:kern w:val="0"/>
          <w:sz w:val="24"/>
          <w:highlight w:val="none"/>
        </w:rPr>
        <w:t>三、质量标准</w:t>
      </w:r>
    </w:p>
    <w:p w14:paraId="7B04116D">
      <w:pPr>
        <w:snapToGrid w:val="0"/>
        <w:spacing w:line="360" w:lineRule="auto"/>
        <w:ind w:firstLine="34"/>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工程质量符合</w:t>
      </w:r>
      <w:r>
        <w:rPr>
          <w:rFonts w:hint="eastAsia" w:ascii="宋体" w:hAnsi="宋体" w:cs="宋体"/>
          <w:snapToGrid w:val="0"/>
          <w:color w:val="auto"/>
          <w:kern w:val="0"/>
          <w:sz w:val="24"/>
          <w:highlight w:val="none"/>
          <w:u w:val="single"/>
        </w:rPr>
        <w:t xml:space="preserve"> 合格 </w:t>
      </w:r>
      <w:r>
        <w:rPr>
          <w:rFonts w:hint="eastAsia" w:ascii="宋体" w:hAnsi="宋体" w:cs="宋体"/>
          <w:snapToGrid w:val="0"/>
          <w:color w:val="auto"/>
          <w:kern w:val="0"/>
          <w:sz w:val="24"/>
          <w:highlight w:val="none"/>
        </w:rPr>
        <w:t>标准。</w:t>
      </w:r>
    </w:p>
    <w:p w14:paraId="2E56F06A">
      <w:pPr>
        <w:snapToGrid w:val="0"/>
        <w:spacing w:line="360" w:lineRule="auto"/>
        <w:outlineLvl w:val="1"/>
        <w:rPr>
          <w:rFonts w:ascii="宋体" w:hAnsi="宋体" w:cs="宋体"/>
          <w:b/>
          <w:bCs/>
          <w:snapToGrid w:val="0"/>
          <w:color w:val="auto"/>
          <w:kern w:val="0"/>
          <w:sz w:val="24"/>
          <w:highlight w:val="none"/>
        </w:rPr>
      </w:pPr>
      <w:r>
        <w:rPr>
          <w:rFonts w:hint="eastAsia" w:ascii="宋体" w:hAnsi="宋体" w:cs="宋体"/>
          <w:b/>
          <w:bCs/>
          <w:snapToGrid w:val="0"/>
          <w:color w:val="auto"/>
          <w:kern w:val="0"/>
          <w:sz w:val="24"/>
          <w:highlight w:val="none"/>
        </w:rPr>
        <w:t>四、签约合同价与合同价格形式</w:t>
      </w:r>
    </w:p>
    <w:p w14:paraId="026BD07A">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1.签约合同价为：</w:t>
      </w:r>
    </w:p>
    <w:p w14:paraId="310407BE">
      <w:pPr>
        <w:snapToGrid w:val="0"/>
        <w:spacing w:line="360" w:lineRule="auto"/>
        <w:ind w:firstLine="600" w:firstLineChars="25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人民币（大写）</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元)；</w:t>
      </w:r>
    </w:p>
    <w:p w14:paraId="58E5B373">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其中：</w:t>
      </w:r>
    </w:p>
    <w:p w14:paraId="4D078136">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（1）安全文明施工费：</w:t>
      </w:r>
    </w:p>
    <w:p w14:paraId="7A7856BA">
      <w:pPr>
        <w:snapToGrid w:val="0"/>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人民币（大写）</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元)；</w:t>
      </w:r>
    </w:p>
    <w:p w14:paraId="02921C90">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（2）材料和工程设备暂估价金额：</w:t>
      </w:r>
    </w:p>
    <w:p w14:paraId="3E8BF86D">
      <w:pPr>
        <w:snapToGrid w:val="0"/>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人民币（大写）</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元)；</w:t>
      </w:r>
    </w:p>
    <w:p w14:paraId="5BB5D941">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（3）专业工程暂估价金额：</w:t>
      </w:r>
    </w:p>
    <w:p w14:paraId="6E2BF088">
      <w:pPr>
        <w:snapToGrid w:val="0"/>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人民币（大写）</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元)；</w:t>
      </w:r>
    </w:p>
    <w:p w14:paraId="04C0E6B7">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（4）暂列金额：</w:t>
      </w:r>
    </w:p>
    <w:p w14:paraId="61AF9651">
      <w:pPr>
        <w:snapToGrid w:val="0"/>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人民币（大写）</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元)。</w:t>
      </w:r>
    </w:p>
    <w:p w14:paraId="31E7AB59">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2.合同价格形式：</w:t>
      </w:r>
      <w:r>
        <w:rPr>
          <w:rFonts w:hint="eastAsia" w:ascii="宋体" w:hAnsi="宋体" w:cs="宋体"/>
          <w:snapToGrid w:val="0"/>
          <w:color w:val="auto"/>
          <w:kern w:val="0"/>
          <w:sz w:val="24"/>
          <w:highlight w:val="none"/>
          <w:u w:val="single"/>
        </w:rPr>
        <w:t xml:space="preserve">单价合同  </w:t>
      </w:r>
      <w:r>
        <w:rPr>
          <w:rFonts w:hint="eastAsia" w:ascii="宋体" w:hAnsi="宋体" w:cs="宋体"/>
          <w:snapToGrid w:val="0"/>
          <w:color w:val="auto"/>
          <w:kern w:val="0"/>
          <w:sz w:val="24"/>
          <w:highlight w:val="none"/>
        </w:rPr>
        <w:t>。</w:t>
      </w:r>
    </w:p>
    <w:p w14:paraId="271BD606">
      <w:pPr>
        <w:snapToGrid w:val="0"/>
        <w:spacing w:line="360" w:lineRule="auto"/>
        <w:outlineLvl w:val="1"/>
        <w:rPr>
          <w:rFonts w:ascii="宋体" w:hAnsi="宋体" w:cs="宋体"/>
          <w:b/>
          <w:bCs/>
          <w:snapToGrid w:val="0"/>
          <w:color w:val="auto"/>
          <w:kern w:val="0"/>
          <w:sz w:val="24"/>
          <w:highlight w:val="none"/>
        </w:rPr>
      </w:pPr>
      <w:r>
        <w:rPr>
          <w:rFonts w:hint="eastAsia" w:ascii="宋体" w:hAnsi="宋体" w:cs="宋体"/>
          <w:b/>
          <w:bCs/>
          <w:snapToGrid w:val="0"/>
          <w:color w:val="auto"/>
          <w:kern w:val="0"/>
          <w:sz w:val="24"/>
          <w:highlight w:val="none"/>
        </w:rPr>
        <w:t>五、项目经理</w:t>
      </w:r>
    </w:p>
    <w:p w14:paraId="378395B7">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承包人项目经理：</w:t>
      </w:r>
      <w:r>
        <w:rPr>
          <w:rFonts w:hint="eastAsia" w:ascii="宋体" w:hAnsi="宋体" w:cs="宋体"/>
          <w:snapToGrid w:val="0"/>
          <w:color w:val="auto"/>
          <w:kern w:val="0"/>
          <w:sz w:val="24"/>
          <w:highlight w:val="none"/>
          <w:u w:val="single"/>
        </w:rPr>
        <w:t xml:space="preserve">          </w:t>
      </w:r>
      <w:r>
        <w:rPr>
          <w:rFonts w:hint="eastAsia" w:ascii="宋体" w:hAnsi="宋体" w:cs="宋体"/>
          <w:snapToGrid w:val="0"/>
          <w:color w:val="auto"/>
          <w:kern w:val="0"/>
          <w:sz w:val="24"/>
          <w:highlight w:val="none"/>
        </w:rPr>
        <w:t>。</w:t>
      </w:r>
    </w:p>
    <w:p w14:paraId="3B8800BE">
      <w:pPr>
        <w:snapToGrid w:val="0"/>
        <w:spacing w:line="360" w:lineRule="auto"/>
        <w:outlineLvl w:val="1"/>
        <w:rPr>
          <w:rFonts w:ascii="宋体" w:hAnsi="宋体" w:cs="宋体"/>
          <w:b/>
          <w:bCs/>
          <w:snapToGrid w:val="0"/>
          <w:color w:val="auto"/>
          <w:kern w:val="0"/>
          <w:sz w:val="24"/>
          <w:highlight w:val="none"/>
        </w:rPr>
      </w:pPr>
      <w:r>
        <w:rPr>
          <w:rFonts w:hint="eastAsia" w:ascii="宋体" w:hAnsi="宋体" w:cs="宋体"/>
          <w:b/>
          <w:bCs/>
          <w:snapToGrid w:val="0"/>
          <w:color w:val="auto"/>
          <w:kern w:val="0"/>
          <w:sz w:val="24"/>
          <w:highlight w:val="none"/>
        </w:rPr>
        <w:t>六、合同文件构成</w:t>
      </w:r>
    </w:p>
    <w:p w14:paraId="7C243761">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本协议书与下列文件一起构成合同文件：</w:t>
      </w:r>
    </w:p>
    <w:p w14:paraId="26F42C07">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（1）成交通知书（如果有）；</w:t>
      </w:r>
    </w:p>
    <w:p w14:paraId="48C3037A">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（2）响应函及其附录（如果有）； </w:t>
      </w:r>
    </w:p>
    <w:p w14:paraId="6843B9E7">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（3）专用合同条款及其附件；</w:t>
      </w:r>
    </w:p>
    <w:p w14:paraId="36246154">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（4）通用合同条款；</w:t>
      </w:r>
    </w:p>
    <w:p w14:paraId="52F754F4">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（5）技术标准和要求；</w:t>
      </w:r>
    </w:p>
    <w:p w14:paraId="17127CF7">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（6）图纸；</w:t>
      </w:r>
    </w:p>
    <w:p w14:paraId="1358E678">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（7）已标价工程量清单或预算书；</w:t>
      </w:r>
    </w:p>
    <w:p w14:paraId="3C7A734C">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（8）其他合同文件。</w:t>
      </w:r>
    </w:p>
    <w:p w14:paraId="3B36EC2F">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在合同订立及履行过程中形成的与合同有关的文件均构成合同文件组成部分。</w:t>
      </w:r>
    </w:p>
    <w:p w14:paraId="71548D33">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上述各项合同文件包括合同当事人就该项合同文件所作出的补充和修改，属于同一类内容的文件，应以最新签署的为准。专用合同条款及其附件须经合同当事人签字或盖章。</w:t>
      </w:r>
    </w:p>
    <w:p w14:paraId="72F80822">
      <w:pPr>
        <w:snapToGrid w:val="0"/>
        <w:spacing w:line="360" w:lineRule="auto"/>
        <w:outlineLvl w:val="1"/>
        <w:rPr>
          <w:rFonts w:ascii="宋体" w:hAnsi="宋体" w:cs="宋体"/>
          <w:b/>
          <w:bCs/>
          <w:snapToGrid w:val="0"/>
          <w:color w:val="auto"/>
          <w:kern w:val="0"/>
          <w:sz w:val="24"/>
          <w:highlight w:val="none"/>
        </w:rPr>
      </w:pPr>
      <w:r>
        <w:rPr>
          <w:rFonts w:hint="eastAsia" w:ascii="宋体" w:hAnsi="宋体" w:cs="宋体"/>
          <w:b/>
          <w:bCs/>
          <w:snapToGrid w:val="0"/>
          <w:color w:val="auto"/>
          <w:kern w:val="0"/>
          <w:sz w:val="24"/>
          <w:highlight w:val="none"/>
        </w:rPr>
        <w:t>七、承诺</w:t>
      </w:r>
    </w:p>
    <w:p w14:paraId="2E188195">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1.发包人承诺按照法律规定履行项目审批手续、筹集工程建设资金并按照合同约定的期限和方式支付合同价款。</w:t>
      </w:r>
    </w:p>
    <w:p w14:paraId="19D62982">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2.承包人承诺按照法律规定及合同约定组织完成工程施工，确保工程质量和安全，不进行转包及违法分包，并在缺陷责任期及保修期内承担相应的工程维修责任。</w:t>
      </w:r>
    </w:p>
    <w:p w14:paraId="35875256">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3.发包人和承包人通过</w:t>
      </w:r>
      <w:r>
        <w:rPr>
          <w:rFonts w:hint="eastAsia" w:ascii="宋体" w:hAnsi="宋体" w:cs="宋体"/>
          <w:color w:val="auto"/>
          <w:sz w:val="24"/>
          <w:szCs w:val="32"/>
          <w:highlight w:val="none"/>
        </w:rPr>
        <w:t>采购</w:t>
      </w:r>
      <w:r>
        <w:rPr>
          <w:rFonts w:hint="eastAsia" w:ascii="宋体" w:hAnsi="宋体" w:cs="宋体"/>
          <w:bCs/>
          <w:snapToGrid w:val="0"/>
          <w:color w:val="auto"/>
          <w:kern w:val="0"/>
          <w:sz w:val="24"/>
          <w:highlight w:val="none"/>
        </w:rPr>
        <w:t>形式签订合同的，双方理解并承诺不再就同一工程另行签订与合同实质性内容相背离的协议。</w:t>
      </w:r>
    </w:p>
    <w:p w14:paraId="2A8E5902">
      <w:pPr>
        <w:snapToGrid w:val="0"/>
        <w:spacing w:line="360" w:lineRule="auto"/>
        <w:outlineLvl w:val="1"/>
        <w:rPr>
          <w:rFonts w:ascii="宋体" w:hAnsi="宋体" w:cs="宋体"/>
          <w:b/>
          <w:bCs/>
          <w:snapToGrid w:val="0"/>
          <w:color w:val="auto"/>
          <w:kern w:val="0"/>
          <w:sz w:val="24"/>
          <w:highlight w:val="none"/>
        </w:rPr>
      </w:pPr>
      <w:r>
        <w:rPr>
          <w:rFonts w:hint="eastAsia" w:ascii="宋体" w:hAnsi="宋体" w:cs="宋体"/>
          <w:b/>
          <w:bCs/>
          <w:snapToGrid w:val="0"/>
          <w:color w:val="auto"/>
          <w:kern w:val="0"/>
          <w:sz w:val="24"/>
          <w:highlight w:val="none"/>
        </w:rPr>
        <w:t>八、词语含义</w:t>
      </w:r>
    </w:p>
    <w:p w14:paraId="0A313922">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本协议书中词语含义与第二部分通用合同条款中赋予的含义相同。</w:t>
      </w:r>
    </w:p>
    <w:p w14:paraId="2D2D5484">
      <w:pPr>
        <w:snapToGrid w:val="0"/>
        <w:spacing w:line="360" w:lineRule="auto"/>
        <w:outlineLvl w:val="1"/>
        <w:rPr>
          <w:rFonts w:ascii="宋体" w:hAnsi="宋体" w:cs="宋体"/>
          <w:b/>
          <w:bCs/>
          <w:snapToGrid w:val="0"/>
          <w:color w:val="auto"/>
          <w:kern w:val="0"/>
          <w:sz w:val="24"/>
          <w:highlight w:val="none"/>
        </w:rPr>
      </w:pPr>
      <w:r>
        <w:rPr>
          <w:rFonts w:hint="eastAsia" w:ascii="宋体" w:hAnsi="宋体" w:cs="宋体"/>
          <w:b/>
          <w:bCs/>
          <w:snapToGrid w:val="0"/>
          <w:color w:val="auto"/>
          <w:kern w:val="0"/>
          <w:sz w:val="24"/>
          <w:highlight w:val="none"/>
        </w:rPr>
        <w:t>九、签订时间</w:t>
      </w:r>
    </w:p>
    <w:p w14:paraId="3317E534">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本合同于</w:t>
      </w:r>
      <w:r>
        <w:rPr>
          <w:rFonts w:hint="eastAsia" w:ascii="宋体" w:hAnsi="宋体" w:cs="宋体"/>
          <w:bCs/>
          <w:snapToGrid w:val="0"/>
          <w:color w:val="auto"/>
          <w:kern w:val="0"/>
          <w:sz w:val="24"/>
          <w:highlight w:val="none"/>
          <w:u w:val="single"/>
        </w:rPr>
        <w:t xml:space="preserve">      </w:t>
      </w:r>
      <w:r>
        <w:rPr>
          <w:rFonts w:hint="eastAsia" w:ascii="宋体" w:hAnsi="宋体" w:cs="宋体"/>
          <w:bCs/>
          <w:snapToGrid w:val="0"/>
          <w:color w:val="auto"/>
          <w:kern w:val="0"/>
          <w:sz w:val="24"/>
          <w:highlight w:val="none"/>
        </w:rPr>
        <w:t>年</w:t>
      </w:r>
      <w:r>
        <w:rPr>
          <w:rFonts w:hint="eastAsia" w:ascii="宋体" w:hAnsi="宋体" w:cs="宋体"/>
          <w:bCs/>
          <w:snapToGrid w:val="0"/>
          <w:color w:val="auto"/>
          <w:kern w:val="0"/>
          <w:sz w:val="24"/>
          <w:highlight w:val="none"/>
          <w:u w:val="single"/>
        </w:rPr>
        <w:t xml:space="preserve">      </w:t>
      </w:r>
      <w:r>
        <w:rPr>
          <w:rFonts w:hint="eastAsia" w:ascii="宋体" w:hAnsi="宋体" w:cs="宋体"/>
          <w:bCs/>
          <w:snapToGrid w:val="0"/>
          <w:color w:val="auto"/>
          <w:kern w:val="0"/>
          <w:sz w:val="24"/>
          <w:highlight w:val="none"/>
        </w:rPr>
        <w:t>月</w:t>
      </w:r>
      <w:r>
        <w:rPr>
          <w:rFonts w:hint="eastAsia" w:ascii="宋体" w:hAnsi="宋体" w:cs="宋体"/>
          <w:bCs/>
          <w:snapToGrid w:val="0"/>
          <w:color w:val="auto"/>
          <w:kern w:val="0"/>
          <w:sz w:val="24"/>
          <w:highlight w:val="none"/>
          <w:u w:val="single"/>
        </w:rPr>
        <w:t xml:space="preserve">      </w:t>
      </w:r>
      <w:r>
        <w:rPr>
          <w:rFonts w:hint="eastAsia" w:ascii="宋体" w:hAnsi="宋体" w:cs="宋体"/>
          <w:bCs/>
          <w:snapToGrid w:val="0"/>
          <w:color w:val="auto"/>
          <w:kern w:val="0"/>
          <w:sz w:val="24"/>
          <w:highlight w:val="none"/>
        </w:rPr>
        <w:t>日签订。</w:t>
      </w:r>
    </w:p>
    <w:p w14:paraId="6F7B4D72">
      <w:pPr>
        <w:snapToGrid w:val="0"/>
        <w:spacing w:line="360" w:lineRule="auto"/>
        <w:outlineLvl w:val="1"/>
        <w:rPr>
          <w:rFonts w:ascii="宋体" w:hAnsi="宋体" w:cs="宋体"/>
          <w:b/>
          <w:bCs/>
          <w:snapToGrid w:val="0"/>
          <w:color w:val="auto"/>
          <w:kern w:val="0"/>
          <w:sz w:val="24"/>
          <w:highlight w:val="none"/>
        </w:rPr>
      </w:pPr>
      <w:r>
        <w:rPr>
          <w:rFonts w:hint="eastAsia" w:ascii="宋体" w:hAnsi="宋体" w:cs="宋体"/>
          <w:b/>
          <w:bCs/>
          <w:snapToGrid w:val="0"/>
          <w:color w:val="auto"/>
          <w:kern w:val="0"/>
          <w:sz w:val="24"/>
          <w:highlight w:val="none"/>
        </w:rPr>
        <w:t>十、签订地点</w:t>
      </w:r>
    </w:p>
    <w:p w14:paraId="66DE4525">
      <w:pPr>
        <w:snapToGrid w:val="0"/>
        <w:spacing w:line="360" w:lineRule="auto"/>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 xml:space="preserve">    本合同在</w:t>
      </w:r>
      <w:r>
        <w:rPr>
          <w:rFonts w:hint="eastAsia" w:ascii="宋体" w:hAnsi="宋体" w:cs="宋体"/>
          <w:bCs/>
          <w:snapToGrid w:val="0"/>
          <w:color w:val="auto"/>
          <w:kern w:val="0"/>
          <w:sz w:val="24"/>
          <w:highlight w:val="none"/>
          <w:u w:val="single"/>
        </w:rPr>
        <w:t xml:space="preserve">     杭州     </w:t>
      </w:r>
      <w:r>
        <w:rPr>
          <w:rFonts w:hint="eastAsia" w:ascii="宋体" w:hAnsi="宋体" w:cs="宋体"/>
          <w:bCs/>
          <w:snapToGrid w:val="0"/>
          <w:color w:val="auto"/>
          <w:kern w:val="0"/>
          <w:sz w:val="24"/>
          <w:highlight w:val="none"/>
        </w:rPr>
        <w:t>签订。</w:t>
      </w:r>
    </w:p>
    <w:p w14:paraId="6F2E2FF2">
      <w:pPr>
        <w:snapToGrid w:val="0"/>
        <w:spacing w:line="360" w:lineRule="auto"/>
        <w:outlineLvl w:val="1"/>
        <w:rPr>
          <w:rFonts w:ascii="宋体" w:hAnsi="宋体" w:cs="宋体"/>
          <w:b/>
          <w:bCs/>
          <w:snapToGrid w:val="0"/>
          <w:color w:val="auto"/>
          <w:kern w:val="0"/>
          <w:sz w:val="24"/>
          <w:highlight w:val="none"/>
        </w:rPr>
      </w:pPr>
      <w:r>
        <w:rPr>
          <w:rFonts w:hint="eastAsia" w:ascii="宋体" w:hAnsi="宋体" w:cs="宋体"/>
          <w:b/>
          <w:bCs/>
          <w:snapToGrid w:val="0"/>
          <w:color w:val="auto"/>
          <w:kern w:val="0"/>
          <w:sz w:val="24"/>
          <w:highlight w:val="none"/>
        </w:rPr>
        <w:t>十一、补充协议</w:t>
      </w:r>
    </w:p>
    <w:p w14:paraId="0012B94A">
      <w:pPr>
        <w:snapToGrid w:val="0"/>
        <w:spacing w:line="360" w:lineRule="auto"/>
        <w:ind w:firstLine="480" w:firstLineChars="200"/>
        <w:rPr>
          <w:rFonts w:ascii="宋体" w:hAnsi="宋体" w:cs="宋体"/>
          <w:b/>
          <w:bCs/>
          <w:snapToGrid w:val="0"/>
          <w:color w:val="auto"/>
          <w:kern w:val="0"/>
          <w:sz w:val="24"/>
          <w:highlight w:val="none"/>
        </w:rPr>
      </w:pPr>
      <w:r>
        <w:rPr>
          <w:rFonts w:hint="eastAsia" w:ascii="宋体" w:hAnsi="宋体" w:cs="宋体"/>
          <w:bCs/>
          <w:snapToGrid w:val="0"/>
          <w:color w:val="auto"/>
          <w:kern w:val="0"/>
          <w:sz w:val="24"/>
          <w:highlight w:val="none"/>
        </w:rPr>
        <w:t>合同未尽事宜，合同当事人另行签订补充协议，补充协议是合同的组成部分。</w:t>
      </w:r>
    </w:p>
    <w:p w14:paraId="064F4E86">
      <w:pPr>
        <w:snapToGrid w:val="0"/>
        <w:spacing w:line="360" w:lineRule="auto"/>
        <w:outlineLvl w:val="1"/>
        <w:rPr>
          <w:rFonts w:ascii="宋体" w:hAnsi="宋体" w:cs="宋体"/>
          <w:b/>
          <w:bCs/>
          <w:snapToGrid w:val="0"/>
          <w:color w:val="auto"/>
          <w:kern w:val="0"/>
          <w:sz w:val="24"/>
          <w:highlight w:val="none"/>
        </w:rPr>
      </w:pPr>
      <w:r>
        <w:rPr>
          <w:rFonts w:hint="eastAsia" w:ascii="宋体" w:hAnsi="宋体" w:cs="宋体"/>
          <w:b/>
          <w:bCs/>
          <w:snapToGrid w:val="0"/>
          <w:color w:val="auto"/>
          <w:kern w:val="0"/>
          <w:sz w:val="24"/>
          <w:highlight w:val="none"/>
        </w:rPr>
        <w:t>十二、合同生效</w:t>
      </w:r>
    </w:p>
    <w:p w14:paraId="25D8D46D">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本合同自</w:t>
      </w:r>
      <w:r>
        <w:rPr>
          <w:rFonts w:hint="eastAsia" w:ascii="宋体" w:hAnsi="宋体" w:cs="宋体"/>
          <w:bCs/>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rPr>
        <w:t xml:space="preserve"> 双方签字盖章后</w:t>
      </w:r>
      <w:r>
        <w:rPr>
          <w:rFonts w:hint="eastAsia" w:ascii="宋体" w:hAnsi="宋体" w:cs="宋体"/>
          <w:b/>
          <w:bCs/>
          <w:snapToGrid w:val="0"/>
          <w:color w:val="auto"/>
          <w:kern w:val="0"/>
          <w:sz w:val="24"/>
          <w:highlight w:val="none"/>
          <w:u w:val="single"/>
        </w:rPr>
        <w:t xml:space="preserve">  </w:t>
      </w:r>
      <w:r>
        <w:rPr>
          <w:rFonts w:hint="eastAsia" w:ascii="宋体" w:hAnsi="宋体" w:cs="宋体"/>
          <w:bCs/>
          <w:snapToGrid w:val="0"/>
          <w:color w:val="auto"/>
          <w:kern w:val="0"/>
          <w:sz w:val="24"/>
          <w:highlight w:val="none"/>
          <w:u w:val="single"/>
        </w:rPr>
        <w:t xml:space="preserve">     </w:t>
      </w:r>
      <w:r>
        <w:rPr>
          <w:rFonts w:hint="eastAsia" w:ascii="宋体" w:hAnsi="宋体" w:cs="宋体"/>
          <w:bCs/>
          <w:snapToGrid w:val="0"/>
          <w:color w:val="auto"/>
          <w:kern w:val="0"/>
          <w:sz w:val="24"/>
          <w:highlight w:val="none"/>
        </w:rPr>
        <w:t>生效。</w:t>
      </w:r>
    </w:p>
    <w:p w14:paraId="012B70DB">
      <w:pPr>
        <w:snapToGrid w:val="0"/>
        <w:spacing w:line="360" w:lineRule="auto"/>
        <w:outlineLvl w:val="1"/>
        <w:rPr>
          <w:rFonts w:ascii="宋体" w:hAnsi="宋体" w:cs="宋体"/>
          <w:b/>
          <w:bCs/>
          <w:snapToGrid w:val="0"/>
          <w:color w:val="auto"/>
          <w:kern w:val="0"/>
          <w:sz w:val="24"/>
          <w:highlight w:val="none"/>
        </w:rPr>
      </w:pPr>
      <w:r>
        <w:rPr>
          <w:rFonts w:hint="eastAsia" w:ascii="宋体" w:hAnsi="宋体" w:cs="宋体"/>
          <w:b/>
          <w:bCs/>
          <w:snapToGrid w:val="0"/>
          <w:color w:val="auto"/>
          <w:kern w:val="0"/>
          <w:sz w:val="24"/>
          <w:highlight w:val="none"/>
        </w:rPr>
        <w:t>十三、合同份数</w:t>
      </w:r>
    </w:p>
    <w:p w14:paraId="6689BA36">
      <w:pPr>
        <w:snapToGrid w:val="0"/>
        <w:spacing w:line="360" w:lineRule="auto"/>
        <w:ind w:left="210" w:leftChars="100" w:firstLine="240" w:firstLineChars="1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本合同一式</w:t>
      </w:r>
      <w:r>
        <w:rPr>
          <w:rFonts w:hint="eastAsia" w:ascii="宋体" w:hAnsi="宋体" w:cs="宋体"/>
          <w:b/>
          <w:bCs/>
          <w:snapToGrid w:val="0"/>
          <w:color w:val="auto"/>
          <w:kern w:val="0"/>
          <w:sz w:val="24"/>
          <w:highlight w:val="none"/>
          <w:u w:val="single"/>
        </w:rPr>
        <w:t xml:space="preserve">    </w:t>
      </w:r>
      <w:r>
        <w:rPr>
          <w:rFonts w:hint="eastAsia" w:ascii="宋体" w:hAnsi="宋体" w:cs="宋体"/>
          <w:bCs/>
          <w:snapToGrid w:val="0"/>
          <w:color w:val="auto"/>
          <w:kern w:val="0"/>
          <w:sz w:val="24"/>
          <w:highlight w:val="none"/>
        </w:rPr>
        <w:t>份，均具有同等法律效力，发包人执</w:t>
      </w:r>
      <w:r>
        <w:rPr>
          <w:rFonts w:hint="eastAsia" w:ascii="宋体" w:hAnsi="宋体" w:cs="宋体"/>
          <w:bCs/>
          <w:snapToGrid w:val="0"/>
          <w:color w:val="auto"/>
          <w:kern w:val="0"/>
          <w:sz w:val="24"/>
          <w:highlight w:val="none"/>
          <w:u w:val="single"/>
        </w:rPr>
        <w:t xml:space="preserve">    </w:t>
      </w:r>
      <w:r>
        <w:rPr>
          <w:rFonts w:hint="eastAsia" w:ascii="宋体" w:hAnsi="宋体" w:cs="宋体"/>
          <w:bCs/>
          <w:snapToGrid w:val="0"/>
          <w:color w:val="auto"/>
          <w:kern w:val="0"/>
          <w:sz w:val="24"/>
          <w:highlight w:val="none"/>
        </w:rPr>
        <w:t>份，承包人执</w:t>
      </w:r>
      <w:r>
        <w:rPr>
          <w:rFonts w:hint="eastAsia" w:ascii="宋体" w:hAnsi="宋体" w:cs="宋体"/>
          <w:b/>
          <w:snapToGrid w:val="0"/>
          <w:color w:val="auto"/>
          <w:kern w:val="0"/>
          <w:sz w:val="24"/>
          <w:highlight w:val="none"/>
          <w:u w:val="single"/>
        </w:rPr>
        <w:t xml:space="preserve">    </w:t>
      </w:r>
      <w:r>
        <w:rPr>
          <w:rFonts w:hint="eastAsia" w:ascii="宋体" w:hAnsi="宋体" w:cs="宋体"/>
          <w:bCs/>
          <w:snapToGrid w:val="0"/>
          <w:color w:val="auto"/>
          <w:kern w:val="0"/>
          <w:sz w:val="24"/>
          <w:highlight w:val="none"/>
        </w:rPr>
        <w:t>份。</w:t>
      </w:r>
    </w:p>
    <w:p w14:paraId="40290936">
      <w:pPr>
        <w:snapToGrid w:val="0"/>
        <w:spacing w:line="360" w:lineRule="auto"/>
        <w:ind w:firstLine="480" w:firstLineChars="200"/>
        <w:rPr>
          <w:rFonts w:ascii="宋体" w:hAnsi="宋体" w:cs="宋体"/>
          <w:snapToGrid w:val="0"/>
          <w:color w:val="auto"/>
          <w:kern w:val="0"/>
          <w:sz w:val="24"/>
          <w:highlight w:val="none"/>
        </w:rPr>
      </w:pPr>
    </w:p>
    <w:p w14:paraId="7D338DB3">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发包人：  (公章)</w:t>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承包人：  (公章)</w:t>
      </w:r>
    </w:p>
    <w:p w14:paraId="687B929B">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snapToGrid w:val="0"/>
          <w:color w:val="auto"/>
          <w:kern w:val="0"/>
          <w:sz w:val="24"/>
          <w:highlight w:val="none"/>
        </w:rPr>
        <w:t>法定代表人或其委托代理人：</w:t>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法定代表人或其委托代理人：</w:t>
      </w:r>
    </w:p>
    <w:p w14:paraId="4924FE54">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（签字）</w:t>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（签字）</w:t>
      </w:r>
    </w:p>
    <w:p w14:paraId="2CA15DD1">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组织机构代码：</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组织机构代码：</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0E31AAD2">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地  址：</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地  址：</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65CF8D8E">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邮政编码：</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邮政编码：</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6C3F3AA0">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法定代表人：</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法定代表人：</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4F05BEB1">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委托代理人：</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委托代理人：</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0042D1FF">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电  话：</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电  话：</w:t>
      </w:r>
      <w:r>
        <w:rPr>
          <w:rFonts w:hint="eastAsia" w:ascii="宋体" w:hAnsi="宋体" w:cs="宋体"/>
          <w:snapToGrid w:val="0"/>
          <w:color w:val="auto"/>
          <w:kern w:val="0"/>
          <w:sz w:val="24"/>
          <w:highlight w:val="none"/>
          <w:u w:val="single"/>
        </w:rPr>
        <w:t xml:space="preserve">               </w:t>
      </w:r>
      <w:r>
        <w:rPr>
          <w:rFonts w:hint="eastAsia" w:ascii="宋体" w:hAnsi="宋体" w:cs="宋体"/>
          <w:snapToGrid w:val="0"/>
          <w:color w:val="auto"/>
          <w:kern w:val="0"/>
          <w:sz w:val="24"/>
          <w:highlight w:val="none"/>
        </w:rPr>
        <w:t xml:space="preserve">     </w:t>
      </w:r>
    </w:p>
    <w:p w14:paraId="1205668B">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传  真：</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传  真：</w:t>
      </w:r>
      <w:r>
        <w:rPr>
          <w:rFonts w:hint="eastAsia" w:ascii="宋体" w:hAnsi="宋体" w:cs="宋体"/>
          <w:snapToGrid w:val="0"/>
          <w:color w:val="auto"/>
          <w:kern w:val="0"/>
          <w:sz w:val="24"/>
          <w:highlight w:val="none"/>
          <w:u w:val="single"/>
        </w:rPr>
        <w:t xml:space="preserve">               </w:t>
      </w:r>
      <w:r>
        <w:rPr>
          <w:rFonts w:hint="eastAsia" w:ascii="宋体" w:hAnsi="宋体" w:cs="宋体"/>
          <w:snapToGrid w:val="0"/>
          <w:color w:val="auto"/>
          <w:kern w:val="0"/>
          <w:sz w:val="24"/>
          <w:highlight w:val="none"/>
        </w:rPr>
        <w:t xml:space="preserve">     </w:t>
      </w:r>
    </w:p>
    <w:p w14:paraId="3F6CD175">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电子信箱：</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电子信箱：</w:t>
      </w:r>
      <w:r>
        <w:rPr>
          <w:rFonts w:hint="eastAsia" w:ascii="宋体" w:hAnsi="宋体" w:cs="宋体"/>
          <w:snapToGrid w:val="0"/>
          <w:color w:val="auto"/>
          <w:kern w:val="0"/>
          <w:sz w:val="24"/>
          <w:highlight w:val="none"/>
          <w:u w:val="single"/>
        </w:rPr>
        <w:t xml:space="preserve">               </w:t>
      </w:r>
    </w:p>
    <w:p w14:paraId="55300057">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开户银行：</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开户银行：</w:t>
      </w:r>
      <w:r>
        <w:rPr>
          <w:rFonts w:hint="eastAsia" w:ascii="宋体" w:hAnsi="宋体" w:cs="宋体"/>
          <w:snapToGrid w:val="0"/>
          <w:color w:val="auto"/>
          <w:kern w:val="0"/>
          <w:sz w:val="24"/>
          <w:highlight w:val="none"/>
          <w:u w:val="single"/>
        </w:rPr>
        <w:t xml:space="preserve">                </w:t>
      </w:r>
    </w:p>
    <w:p w14:paraId="25F3D25E">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账  号：</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账  号：</w:t>
      </w:r>
      <w:r>
        <w:rPr>
          <w:rFonts w:hint="eastAsia" w:ascii="宋体" w:hAnsi="宋体" w:cs="宋体"/>
          <w:snapToGrid w:val="0"/>
          <w:color w:val="auto"/>
          <w:kern w:val="0"/>
          <w:sz w:val="24"/>
          <w:highlight w:val="none"/>
          <w:u w:val="single"/>
        </w:rPr>
        <w:t xml:space="preserve">                </w:t>
      </w:r>
    </w:p>
    <w:p w14:paraId="5D121E41">
      <w:pPr>
        <w:keepNext/>
        <w:keepLines/>
        <w:numPr>
          <w:ilvl w:val="1"/>
          <w:numId w:val="0"/>
        </w:numPr>
        <w:snapToGrid w:val="0"/>
        <w:spacing w:line="360" w:lineRule="auto"/>
        <w:jc w:val="center"/>
        <w:outlineLvl w:val="1"/>
        <w:rPr>
          <w:rFonts w:ascii="宋体" w:hAnsi="宋体" w:cs="宋体"/>
          <w:b/>
          <w:bCs/>
          <w:snapToGrid w:val="0"/>
          <w:color w:val="auto"/>
          <w:kern w:val="44"/>
          <w:sz w:val="28"/>
          <w:szCs w:val="20"/>
          <w:highlight w:val="none"/>
        </w:rPr>
      </w:pPr>
      <w:r>
        <w:rPr>
          <w:rFonts w:hint="eastAsia" w:ascii="宋体" w:hAnsi="宋体" w:cs="宋体"/>
          <w:b/>
          <w:bCs/>
          <w:snapToGrid w:val="0"/>
          <w:color w:val="auto"/>
          <w:kern w:val="44"/>
          <w:sz w:val="28"/>
          <w:szCs w:val="20"/>
          <w:highlight w:val="none"/>
        </w:rPr>
        <w:t>第二部分  通用条款（略）</w:t>
      </w:r>
    </w:p>
    <w:p w14:paraId="0B8C1457">
      <w:pPr>
        <w:keepNext/>
        <w:keepLines/>
        <w:numPr>
          <w:ilvl w:val="1"/>
          <w:numId w:val="0"/>
        </w:numPr>
        <w:snapToGrid w:val="0"/>
        <w:spacing w:line="360" w:lineRule="auto"/>
        <w:jc w:val="center"/>
        <w:outlineLvl w:val="1"/>
        <w:rPr>
          <w:rFonts w:ascii="宋体" w:hAnsi="宋体" w:cs="宋体"/>
          <w:b/>
          <w:bCs/>
          <w:snapToGrid w:val="0"/>
          <w:color w:val="auto"/>
          <w:kern w:val="44"/>
          <w:sz w:val="28"/>
          <w:szCs w:val="20"/>
          <w:highlight w:val="none"/>
        </w:rPr>
      </w:pPr>
    </w:p>
    <w:p w14:paraId="57F1946C">
      <w:pPr>
        <w:keepNext/>
        <w:keepLines/>
        <w:numPr>
          <w:ilvl w:val="1"/>
          <w:numId w:val="0"/>
        </w:numPr>
        <w:snapToGrid w:val="0"/>
        <w:spacing w:line="360" w:lineRule="auto"/>
        <w:jc w:val="center"/>
        <w:outlineLvl w:val="1"/>
        <w:rPr>
          <w:rFonts w:ascii="宋体" w:hAnsi="宋体" w:cs="宋体"/>
          <w:b/>
          <w:bCs/>
          <w:snapToGrid w:val="0"/>
          <w:color w:val="auto"/>
          <w:kern w:val="44"/>
          <w:sz w:val="28"/>
          <w:szCs w:val="20"/>
          <w:highlight w:val="none"/>
        </w:rPr>
      </w:pPr>
      <w:r>
        <w:rPr>
          <w:rFonts w:hint="eastAsia" w:ascii="宋体" w:hAnsi="宋体" w:cs="宋体"/>
          <w:b/>
          <w:bCs/>
          <w:snapToGrid w:val="0"/>
          <w:color w:val="auto"/>
          <w:kern w:val="44"/>
          <w:sz w:val="28"/>
          <w:szCs w:val="20"/>
          <w:highlight w:val="none"/>
        </w:rPr>
        <w:t>第三部分  专用条款</w:t>
      </w:r>
    </w:p>
    <w:p w14:paraId="3F0CF6EB">
      <w:pPr>
        <w:keepNext/>
        <w:numPr>
          <w:ilvl w:val="3"/>
          <w:numId w:val="0"/>
        </w:numPr>
        <w:tabs>
          <w:tab w:val="left" w:pos="864"/>
        </w:tabs>
        <w:snapToGrid w:val="0"/>
        <w:spacing w:line="360" w:lineRule="auto"/>
        <w:ind w:left="426" w:hanging="420"/>
        <w:outlineLvl w:val="3"/>
        <w:rPr>
          <w:rFonts w:ascii="宋体" w:hAnsi="宋体" w:cs="宋体"/>
          <w:b/>
          <w:color w:val="auto"/>
          <w:szCs w:val="21"/>
          <w:highlight w:val="none"/>
        </w:rPr>
      </w:pPr>
      <w:r>
        <w:rPr>
          <w:rFonts w:hint="eastAsia" w:ascii="宋体" w:hAnsi="宋体" w:cs="宋体"/>
          <w:b/>
          <w:color w:val="auto"/>
          <w:szCs w:val="21"/>
          <w:highlight w:val="none"/>
        </w:rPr>
        <w:t>1. 一般约定</w:t>
      </w:r>
    </w:p>
    <w:p w14:paraId="7E9A9C22">
      <w:pPr>
        <w:snapToGrid w:val="0"/>
        <w:spacing w:line="360" w:lineRule="auto"/>
        <w:ind w:firstLine="367" w:firstLineChars="175"/>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1.1 词语定义</w:t>
      </w:r>
    </w:p>
    <w:p w14:paraId="7C1AF11D">
      <w:pPr>
        <w:snapToGrid w:val="0"/>
        <w:spacing w:line="360" w:lineRule="auto"/>
        <w:ind w:firstLine="367" w:firstLineChars="175"/>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1.1.1合同</w:t>
      </w:r>
    </w:p>
    <w:p w14:paraId="69E792D0">
      <w:pPr>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xml:space="preserve">1.1.1.10其他合同文件包括：施工组织设计：施工组织是用来指导全过程各项活动的技术、经济和组织的综合性文件。 </w:t>
      </w:r>
    </w:p>
    <w:p w14:paraId="7C2CC6D0">
      <w:pPr>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1.1.2 合同当事人及其他相关方</w:t>
      </w:r>
    </w:p>
    <w:p w14:paraId="6B1C1F5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1.1.2.4监理人：</w:t>
      </w:r>
    </w:p>
    <w:p w14:paraId="6A56D2B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名    称：</w:t>
      </w:r>
      <w:r>
        <w:rPr>
          <w:rFonts w:hint="eastAsia" w:ascii="宋体" w:hAnsi="宋体" w:cs="宋体"/>
          <w:color w:val="auto"/>
          <w:szCs w:val="21"/>
          <w:highlight w:val="none"/>
          <w:u w:val="single"/>
        </w:rPr>
        <w:t xml:space="preserve">                </w:t>
      </w:r>
      <w:r>
        <w:rPr>
          <w:rFonts w:hint="eastAsia" w:ascii="宋体" w:hAnsi="宋体" w:cs="宋体"/>
          <w:color w:val="auto"/>
          <w:szCs w:val="21"/>
          <w:highlight w:val="none"/>
        </w:rPr>
        <w:t>；</w:t>
      </w:r>
    </w:p>
    <w:p w14:paraId="193020C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资质类别和等级：</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093F68C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0849ECF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44682EE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52F867DC">
      <w:pPr>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1.1.2.5 设计人：</w:t>
      </w:r>
    </w:p>
    <w:p w14:paraId="0F00E8C4">
      <w:pPr>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名    称：</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w:t>
      </w:r>
    </w:p>
    <w:p w14:paraId="18D7F34C">
      <w:pPr>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资质类别和等级：</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0"/>
          <w:highlight w:val="none"/>
          <w:u w:val="single"/>
        </w:rPr>
        <w:t xml:space="preserve">               </w:t>
      </w:r>
      <w:r>
        <w:rPr>
          <w:rFonts w:hint="eastAsia" w:ascii="宋体" w:hAnsi="宋体" w:cs="宋体"/>
          <w:snapToGrid w:val="0"/>
          <w:color w:val="auto"/>
          <w:kern w:val="0"/>
          <w:szCs w:val="21"/>
          <w:highlight w:val="none"/>
          <w:u w:val="single"/>
        </w:rPr>
        <w:t></w:t>
      </w:r>
      <w:r>
        <w:rPr>
          <w:rFonts w:hint="eastAsia" w:ascii="宋体" w:hAnsi="宋体" w:cs="宋体"/>
          <w:snapToGrid w:val="0"/>
          <w:color w:val="auto"/>
          <w:kern w:val="0"/>
          <w:szCs w:val="21"/>
          <w:highlight w:val="none"/>
        </w:rPr>
        <w:t>；</w:t>
      </w:r>
    </w:p>
    <w:p w14:paraId="76CB44DB">
      <w:pPr>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联系电话：</w:t>
      </w:r>
      <w:r>
        <w:rPr>
          <w:rFonts w:hint="eastAsia" w:ascii="宋体" w:hAnsi="宋体" w:cs="宋体"/>
          <w:snapToGrid w:val="0"/>
          <w:color w:val="auto"/>
          <w:kern w:val="0"/>
          <w:szCs w:val="21"/>
          <w:highlight w:val="none"/>
          <w:u w:val="single"/>
        </w:rPr>
        <w:t xml:space="preserve">            /              </w:t>
      </w:r>
      <w:r>
        <w:rPr>
          <w:rFonts w:hint="eastAsia" w:ascii="宋体" w:hAnsi="宋体" w:cs="宋体"/>
          <w:snapToGrid w:val="0"/>
          <w:color w:val="auto"/>
          <w:kern w:val="0"/>
          <w:szCs w:val="21"/>
          <w:highlight w:val="none"/>
        </w:rPr>
        <w:t>；</w:t>
      </w:r>
    </w:p>
    <w:p w14:paraId="6AD65279">
      <w:pPr>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电子信箱：</w:t>
      </w:r>
      <w:r>
        <w:rPr>
          <w:rFonts w:hint="eastAsia" w:ascii="宋体" w:hAnsi="宋体" w:cs="宋体"/>
          <w:snapToGrid w:val="0"/>
          <w:color w:val="auto"/>
          <w:kern w:val="0"/>
          <w:szCs w:val="21"/>
          <w:highlight w:val="none"/>
          <w:u w:val="single"/>
        </w:rPr>
        <w:t xml:space="preserve">  /                  </w:t>
      </w:r>
      <w:r>
        <w:rPr>
          <w:rFonts w:hint="eastAsia" w:ascii="宋体" w:hAnsi="宋体" w:cs="宋体"/>
          <w:snapToGrid w:val="0"/>
          <w:color w:val="auto"/>
          <w:kern w:val="0"/>
          <w:szCs w:val="21"/>
          <w:highlight w:val="none"/>
        </w:rPr>
        <w:t>；</w:t>
      </w:r>
    </w:p>
    <w:p w14:paraId="0A76CCF7">
      <w:pPr>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通信地址：</w:t>
      </w:r>
      <w:r>
        <w:rPr>
          <w:rFonts w:hint="eastAsia" w:ascii="宋体" w:hAnsi="宋体" w:cs="宋体"/>
          <w:snapToGrid w:val="0"/>
          <w:color w:val="auto"/>
          <w:kern w:val="0"/>
          <w:szCs w:val="21"/>
          <w:highlight w:val="none"/>
          <w:u w:val="single"/>
        </w:rPr>
        <w:t>      /                </w:t>
      </w:r>
      <w:r>
        <w:rPr>
          <w:rFonts w:hint="eastAsia" w:ascii="宋体" w:hAnsi="宋体" w:cs="宋体"/>
          <w:snapToGrid w:val="0"/>
          <w:color w:val="auto"/>
          <w:kern w:val="0"/>
          <w:szCs w:val="21"/>
          <w:highlight w:val="none"/>
        </w:rPr>
        <w:t>。</w:t>
      </w:r>
    </w:p>
    <w:p w14:paraId="014160E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 工程和设备</w:t>
      </w:r>
    </w:p>
    <w:p w14:paraId="5D2D585C">
      <w:pP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1.1.3.7 作为施工现场组成部分的其他场所包括：</w:t>
      </w:r>
      <w:r>
        <w:rPr>
          <w:rFonts w:hint="eastAsia" w:ascii="宋体" w:hAnsi="宋体" w:cs="宋体"/>
          <w:color w:val="auto"/>
          <w:szCs w:val="21"/>
          <w:highlight w:val="none"/>
          <w:u w:val="single"/>
        </w:rPr>
        <w:t xml:space="preserve">           </w:t>
      </w:r>
    </w:p>
    <w:p w14:paraId="00F16ABA">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13F3DBA3">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1.1.3.9 永久占地包括：</w:t>
      </w:r>
      <w:r>
        <w:rPr>
          <w:rFonts w:hint="eastAsia" w:ascii="宋体" w:hAnsi="宋体" w:cs="宋体"/>
          <w:color w:val="auto"/>
          <w:szCs w:val="21"/>
          <w:highlight w:val="none"/>
          <w:u w:val="single"/>
        </w:rPr>
        <w:t xml:space="preserve">                        </w:t>
      </w:r>
      <w:r>
        <w:rPr>
          <w:rFonts w:hint="eastAsia" w:ascii="宋体" w:hAnsi="宋体" w:cs="宋体"/>
          <w:color w:val="auto"/>
          <w:kern w:val="0"/>
          <w:szCs w:val="21"/>
          <w:highlight w:val="none"/>
        </w:rPr>
        <w:t>。</w:t>
      </w:r>
    </w:p>
    <w:p w14:paraId="2E0158F5">
      <w:pPr>
        <w:adjustRightInd/>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color w:val="auto"/>
          <w:kern w:val="0"/>
          <w:szCs w:val="21"/>
          <w:highlight w:val="none"/>
        </w:rPr>
        <w:t>1.1.3.10 临时占地包括：</w:t>
      </w:r>
      <w:r>
        <w:rPr>
          <w:rFonts w:hint="eastAsia" w:ascii="宋体" w:hAnsi="宋体" w:cs="宋体"/>
          <w:color w:val="auto"/>
          <w:szCs w:val="21"/>
          <w:highlight w:val="none"/>
          <w:u w:val="single"/>
        </w:rPr>
        <w:t xml:space="preserve">                       </w:t>
      </w:r>
      <w:r>
        <w:rPr>
          <w:rFonts w:hint="eastAsia" w:ascii="宋体" w:hAnsi="宋体" w:cs="宋体"/>
          <w:color w:val="auto"/>
          <w:kern w:val="0"/>
          <w:szCs w:val="21"/>
          <w:highlight w:val="none"/>
        </w:rPr>
        <w:t>。</w:t>
      </w:r>
    </w:p>
    <w:p w14:paraId="39E0287F">
      <w:pPr>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xml:space="preserve">1.3法律 </w:t>
      </w:r>
    </w:p>
    <w:p w14:paraId="19E18A12">
      <w:pPr>
        <w:autoSpaceDE w:val="0"/>
        <w:autoSpaceDN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适用于合同的其他规范性文件：</w:t>
      </w:r>
    </w:p>
    <w:p w14:paraId="608B077B">
      <w:pPr>
        <w:autoSpaceDE w:val="0"/>
        <w:autoSpaceDN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1.3.1 《杭州市建设工程工程量清单计价实施细则》（杭建市发〔2018〕578号）； </w:t>
      </w:r>
    </w:p>
    <w:p w14:paraId="01699113">
      <w:pPr>
        <w:autoSpaceDE w:val="0"/>
        <w:autoSpaceDN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1.3.2 《关于进一步加强杭州市建设工程市场要素价格动态管理的指导意见》（杭建市发〔2018〕579号）； </w:t>
      </w:r>
    </w:p>
    <w:p w14:paraId="7F2827B0">
      <w:pPr>
        <w:autoSpaceDE w:val="0"/>
        <w:autoSpaceDN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1.3.3 《关于贯彻《省厅调整安全文明施工费的通知》的通知》（杭建市发〔2022〕54号） </w:t>
      </w:r>
    </w:p>
    <w:p w14:paraId="3FF0A42F">
      <w:pPr>
        <w:autoSpaceDE w:val="0"/>
        <w:autoSpaceDN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1.3.4 省市建设行政部门颁发的其他现行有效文件（包括但不仅限于以下文件）： </w:t>
      </w:r>
    </w:p>
    <w:p w14:paraId="0E901709">
      <w:pPr>
        <w:autoSpaceDE w:val="0"/>
        <w:autoSpaceDN w:val="0"/>
        <w:snapToGrid w:val="0"/>
        <w:spacing w:line="360" w:lineRule="auto"/>
        <w:ind w:firstLine="415" w:firstLineChars="198"/>
        <w:jc w:val="left"/>
        <w:rPr>
          <w:rFonts w:ascii="宋体" w:hAnsi="宋体" w:cs="宋体"/>
          <w:bCs/>
          <w:color w:val="auto"/>
          <w:szCs w:val="21"/>
          <w:highlight w:val="none"/>
          <w:u w:val="single"/>
        </w:rPr>
      </w:pPr>
      <w:r>
        <w:rPr>
          <w:rFonts w:hint="eastAsia" w:ascii="宋体" w:hAnsi="宋体" w:cs="宋体"/>
          <w:bCs/>
          <w:color w:val="auto"/>
          <w:szCs w:val="21"/>
          <w:highlight w:val="none"/>
          <w:u w:val="single"/>
        </w:rPr>
        <w:t>（1）《关于转发省建设厅&lt;关于进一步加强建筑施工领域企业安全生产工作的实施意见&gt;的通知》（杭建工发〔2011〕130号）；</w:t>
      </w:r>
    </w:p>
    <w:p w14:paraId="10270397">
      <w:pPr>
        <w:autoSpaceDE w:val="0"/>
        <w:autoSpaceDN w:val="0"/>
        <w:snapToGrid w:val="0"/>
        <w:spacing w:line="360" w:lineRule="auto"/>
        <w:ind w:firstLine="415" w:firstLineChars="198"/>
        <w:jc w:val="left"/>
        <w:rPr>
          <w:rFonts w:ascii="宋体" w:hAnsi="宋体" w:cs="宋体"/>
          <w:bCs/>
          <w:color w:val="auto"/>
          <w:szCs w:val="21"/>
          <w:highlight w:val="none"/>
          <w:u w:val="single"/>
        </w:rPr>
      </w:pPr>
      <w:r>
        <w:rPr>
          <w:rFonts w:hint="eastAsia" w:ascii="宋体" w:hAnsi="宋体" w:cs="宋体"/>
          <w:bCs/>
          <w:color w:val="auto"/>
          <w:szCs w:val="21"/>
          <w:highlight w:val="none"/>
          <w:u w:val="single"/>
        </w:rPr>
        <w:t>（2）《关于进一步加强建设工程安全质量物联网管理应用平台建设的通知》（杭建工发〔2012〕426号）；</w:t>
      </w:r>
    </w:p>
    <w:p w14:paraId="168294B0">
      <w:pPr>
        <w:autoSpaceDE w:val="0"/>
        <w:autoSpaceDN w:val="0"/>
        <w:snapToGrid w:val="0"/>
        <w:spacing w:line="360" w:lineRule="auto"/>
        <w:ind w:firstLine="415" w:firstLineChars="198"/>
        <w:jc w:val="left"/>
        <w:rPr>
          <w:rFonts w:ascii="宋体" w:hAnsi="宋体" w:cs="宋体"/>
          <w:bCs/>
          <w:color w:val="auto"/>
          <w:szCs w:val="21"/>
          <w:highlight w:val="none"/>
          <w:u w:val="single"/>
        </w:rPr>
      </w:pPr>
      <w:r>
        <w:rPr>
          <w:rFonts w:hint="eastAsia" w:ascii="宋体" w:hAnsi="宋体" w:cs="宋体"/>
          <w:bCs/>
          <w:color w:val="auto"/>
          <w:szCs w:val="21"/>
          <w:highlight w:val="none"/>
          <w:u w:val="single"/>
        </w:rPr>
        <w:t>（3）《关于开展建筑工程扬尘在线监测设施安装工作的通知》（杭建工〔2019〕103号）；</w:t>
      </w:r>
    </w:p>
    <w:p w14:paraId="149377B2">
      <w:pPr>
        <w:autoSpaceDE w:val="0"/>
        <w:autoSpaceDN w:val="0"/>
        <w:snapToGrid w:val="0"/>
        <w:spacing w:line="360" w:lineRule="auto"/>
        <w:ind w:firstLine="415" w:firstLineChars="198"/>
        <w:jc w:val="left"/>
        <w:rPr>
          <w:rFonts w:ascii="宋体" w:hAnsi="宋体" w:cs="宋体"/>
          <w:bCs/>
          <w:color w:val="auto"/>
          <w:szCs w:val="21"/>
          <w:highlight w:val="none"/>
          <w:u w:val="single"/>
        </w:rPr>
      </w:pPr>
      <w:r>
        <w:rPr>
          <w:rFonts w:hint="eastAsia" w:ascii="宋体" w:hAnsi="宋体" w:cs="宋体"/>
          <w:bCs/>
          <w:color w:val="auto"/>
          <w:szCs w:val="21"/>
          <w:highlight w:val="none"/>
          <w:u w:val="single"/>
        </w:rPr>
        <w:t>（4）《关于巩固G20杭州峰会成果进一步加强建设工程文明施工管理的若干意见》（杭建工发〔2017〕112号）；</w:t>
      </w:r>
    </w:p>
    <w:p w14:paraId="5DBF184E">
      <w:pPr>
        <w:autoSpaceDE w:val="0"/>
        <w:autoSpaceDN w:val="0"/>
        <w:snapToGrid w:val="0"/>
        <w:spacing w:line="360" w:lineRule="auto"/>
        <w:ind w:firstLine="415" w:firstLineChars="198"/>
        <w:jc w:val="left"/>
        <w:rPr>
          <w:rFonts w:ascii="宋体" w:hAnsi="宋体" w:cs="宋体"/>
          <w:bCs/>
          <w:color w:val="auto"/>
          <w:szCs w:val="21"/>
          <w:highlight w:val="none"/>
          <w:u w:val="single"/>
        </w:rPr>
      </w:pPr>
      <w:r>
        <w:rPr>
          <w:rFonts w:hint="eastAsia" w:ascii="宋体" w:hAnsi="宋体" w:cs="宋体"/>
          <w:bCs/>
          <w:color w:val="auto"/>
          <w:szCs w:val="21"/>
          <w:highlight w:val="none"/>
          <w:u w:val="single"/>
        </w:rPr>
        <w:t>（5）《杭州市建设领域农民工“无欠薪”管理实施细则（试行）》（杭建市〔2018〕161号）；</w:t>
      </w:r>
    </w:p>
    <w:p w14:paraId="0D5558D6">
      <w:pPr>
        <w:autoSpaceDE w:val="0"/>
        <w:autoSpaceDN w:val="0"/>
        <w:snapToGrid w:val="0"/>
        <w:spacing w:line="360" w:lineRule="auto"/>
        <w:ind w:firstLine="415" w:firstLineChars="198"/>
        <w:jc w:val="left"/>
        <w:rPr>
          <w:rFonts w:ascii="宋体" w:hAnsi="宋体" w:cs="宋体"/>
          <w:bCs/>
          <w:color w:val="auto"/>
          <w:szCs w:val="21"/>
          <w:highlight w:val="none"/>
          <w:u w:val="single"/>
        </w:rPr>
      </w:pPr>
      <w:r>
        <w:rPr>
          <w:rFonts w:hint="eastAsia" w:ascii="宋体" w:hAnsi="宋体" w:cs="宋体"/>
          <w:bCs/>
          <w:color w:val="auto"/>
          <w:szCs w:val="21"/>
          <w:highlight w:val="none"/>
          <w:u w:val="single"/>
        </w:rPr>
        <w:t>（6）《关于杭州市建筑工地全面推广使用“浙里工程建设现场管控”重大应用（浙里建）的通知》（杭建数改办〔2022〕1号）；</w:t>
      </w:r>
    </w:p>
    <w:p w14:paraId="18B90CD5">
      <w:pPr>
        <w:autoSpaceDE w:val="0"/>
        <w:autoSpaceDN w:val="0"/>
        <w:snapToGrid w:val="0"/>
        <w:spacing w:line="360" w:lineRule="auto"/>
        <w:ind w:firstLine="415" w:firstLineChars="198"/>
        <w:jc w:val="left"/>
        <w:rPr>
          <w:rFonts w:ascii="宋体" w:hAnsi="宋体" w:cs="宋体"/>
          <w:bCs/>
          <w:color w:val="auto"/>
          <w:szCs w:val="21"/>
          <w:highlight w:val="none"/>
          <w:u w:val="single"/>
        </w:rPr>
      </w:pPr>
      <w:r>
        <w:rPr>
          <w:rFonts w:hint="eastAsia" w:ascii="宋体" w:hAnsi="宋体" w:cs="宋体"/>
          <w:bCs/>
          <w:color w:val="auto"/>
          <w:szCs w:val="21"/>
          <w:highlight w:val="none"/>
          <w:u w:val="single"/>
        </w:rPr>
        <w:t>（7）《杭州市建设工程渣土管理办法》（市政府令第192号）；</w:t>
      </w:r>
    </w:p>
    <w:p w14:paraId="19C7398D">
      <w:pPr>
        <w:autoSpaceDE w:val="0"/>
        <w:autoSpaceDN w:val="0"/>
        <w:snapToGrid w:val="0"/>
        <w:spacing w:line="360" w:lineRule="auto"/>
        <w:ind w:firstLine="415" w:firstLineChars="198"/>
        <w:jc w:val="left"/>
        <w:rPr>
          <w:rFonts w:ascii="宋体" w:hAnsi="宋体" w:cs="宋体"/>
          <w:bCs/>
          <w:color w:val="auto"/>
          <w:szCs w:val="21"/>
          <w:highlight w:val="none"/>
          <w:u w:val="single"/>
        </w:rPr>
      </w:pPr>
      <w:r>
        <w:rPr>
          <w:rFonts w:hint="eastAsia" w:ascii="宋体" w:hAnsi="宋体" w:cs="宋体"/>
          <w:bCs/>
          <w:color w:val="auto"/>
          <w:szCs w:val="21"/>
          <w:highlight w:val="none"/>
          <w:u w:val="single"/>
        </w:rPr>
        <w:t>（8）市政府办公厅2022年5月15日发布的《杭州市人民政府办公厅关于进一步规范工程建筑垃圾管理的通知》；</w:t>
      </w:r>
    </w:p>
    <w:p w14:paraId="5762879A">
      <w:pPr>
        <w:autoSpaceDE w:val="0"/>
        <w:autoSpaceDN w:val="0"/>
        <w:snapToGrid w:val="0"/>
        <w:spacing w:line="360" w:lineRule="auto"/>
        <w:ind w:firstLine="415" w:firstLineChars="198"/>
        <w:jc w:val="left"/>
        <w:rPr>
          <w:rFonts w:ascii="宋体" w:hAnsi="宋体" w:cs="宋体"/>
          <w:bCs/>
          <w:color w:val="auto"/>
          <w:szCs w:val="21"/>
          <w:highlight w:val="none"/>
          <w:u w:val="single"/>
        </w:rPr>
      </w:pPr>
      <w:r>
        <w:rPr>
          <w:rFonts w:hint="eastAsia" w:ascii="宋体" w:hAnsi="宋体" w:cs="宋体"/>
          <w:bCs/>
          <w:color w:val="auto"/>
          <w:szCs w:val="21"/>
          <w:highlight w:val="none"/>
          <w:u w:val="single"/>
        </w:rPr>
        <w:t>（9）《关于发布杭州市工程渣土消纳市场信息价的通知》（杭渣土领〔2020〕1号）；</w:t>
      </w:r>
    </w:p>
    <w:p w14:paraId="76B85442">
      <w:pPr>
        <w:autoSpaceDE w:val="0"/>
        <w:autoSpaceDN w:val="0"/>
        <w:snapToGrid w:val="0"/>
        <w:spacing w:line="360" w:lineRule="auto"/>
        <w:ind w:firstLine="415" w:firstLineChars="198"/>
        <w:jc w:val="left"/>
        <w:rPr>
          <w:rFonts w:ascii="宋体" w:hAnsi="宋体" w:cs="宋体"/>
          <w:bCs/>
          <w:color w:val="auto"/>
          <w:szCs w:val="21"/>
          <w:highlight w:val="none"/>
          <w:u w:val="single"/>
        </w:rPr>
      </w:pPr>
      <w:r>
        <w:rPr>
          <w:rFonts w:hint="eastAsia" w:ascii="宋体" w:hAnsi="宋体" w:cs="宋体"/>
          <w:bCs/>
          <w:color w:val="auto"/>
          <w:szCs w:val="21"/>
          <w:highlight w:val="none"/>
          <w:u w:val="single"/>
        </w:rPr>
        <w:t>（10）市建委2020年10月30日发布的《关于明确杭州市渣土运输及消纳项目计价清单编制和报价口径的通知》；</w:t>
      </w:r>
    </w:p>
    <w:p w14:paraId="7B22D81B">
      <w:pPr>
        <w:autoSpaceDE w:val="0"/>
        <w:autoSpaceDN w:val="0"/>
        <w:snapToGrid w:val="0"/>
        <w:spacing w:line="360" w:lineRule="auto"/>
        <w:ind w:firstLine="415" w:firstLineChars="198"/>
        <w:jc w:val="left"/>
        <w:rPr>
          <w:rFonts w:ascii="宋体" w:hAnsi="宋体" w:cs="宋体"/>
          <w:bCs/>
          <w:color w:val="auto"/>
          <w:szCs w:val="21"/>
          <w:highlight w:val="none"/>
          <w:u w:val="single"/>
        </w:rPr>
      </w:pPr>
      <w:r>
        <w:rPr>
          <w:rFonts w:hint="eastAsia" w:ascii="宋体" w:hAnsi="宋体" w:cs="宋体"/>
          <w:bCs/>
          <w:color w:val="auto"/>
          <w:szCs w:val="21"/>
          <w:highlight w:val="none"/>
          <w:u w:val="single"/>
        </w:rPr>
        <w:t>（11）《关于转发&lt;关于在全省工程建设领域改革保证金制度的通知&gt;的通知》（杭建市通知〔2020〕4号）；</w:t>
      </w:r>
    </w:p>
    <w:p w14:paraId="705DA239">
      <w:pPr>
        <w:autoSpaceDE w:val="0"/>
        <w:autoSpaceDN w:val="0"/>
        <w:snapToGrid w:val="0"/>
        <w:spacing w:line="360" w:lineRule="auto"/>
        <w:ind w:firstLine="415" w:firstLineChars="198"/>
        <w:jc w:val="left"/>
        <w:rPr>
          <w:rFonts w:ascii="宋体" w:hAnsi="宋体" w:cs="宋体"/>
          <w:bCs/>
          <w:color w:val="auto"/>
          <w:szCs w:val="21"/>
          <w:highlight w:val="none"/>
          <w:u w:val="single"/>
        </w:rPr>
      </w:pPr>
      <w:r>
        <w:rPr>
          <w:rFonts w:hint="eastAsia" w:ascii="宋体" w:hAnsi="宋体" w:cs="宋体"/>
          <w:bCs/>
          <w:color w:val="auto"/>
          <w:szCs w:val="21"/>
          <w:highlight w:val="none"/>
          <w:u w:val="single"/>
        </w:rPr>
        <w:t>（12）《关于进一步提升杭州市市政道路建设质量管理的若干意见》（杭建工发〔2021〕32号）；</w:t>
      </w:r>
    </w:p>
    <w:p w14:paraId="058BD44C">
      <w:pPr>
        <w:autoSpaceDE w:val="0"/>
        <w:autoSpaceDN w:val="0"/>
        <w:snapToGrid w:val="0"/>
        <w:spacing w:line="360" w:lineRule="auto"/>
        <w:ind w:firstLine="415" w:firstLineChars="198"/>
        <w:jc w:val="left"/>
        <w:rPr>
          <w:rFonts w:ascii="宋体" w:hAnsi="宋体" w:cs="宋体"/>
          <w:bCs/>
          <w:color w:val="auto"/>
          <w:szCs w:val="21"/>
          <w:highlight w:val="none"/>
          <w:u w:val="single"/>
        </w:rPr>
      </w:pPr>
      <w:r>
        <w:rPr>
          <w:rFonts w:hint="eastAsia" w:ascii="宋体" w:hAnsi="宋体" w:cs="宋体"/>
          <w:bCs/>
          <w:color w:val="auto"/>
          <w:szCs w:val="21"/>
          <w:highlight w:val="none"/>
          <w:u w:val="single"/>
        </w:rPr>
        <w:t>（13）《关于全面推广应用承插型盘扣式脚手架的通知》（杭建工发〔2021〕358号）；</w:t>
      </w:r>
    </w:p>
    <w:p w14:paraId="75D0918E">
      <w:pPr>
        <w:autoSpaceDE w:val="0"/>
        <w:autoSpaceDN w:val="0"/>
        <w:snapToGrid w:val="0"/>
        <w:spacing w:line="360" w:lineRule="auto"/>
        <w:ind w:firstLine="415" w:firstLineChars="198"/>
        <w:jc w:val="left"/>
        <w:rPr>
          <w:rFonts w:ascii="宋体" w:hAnsi="宋体" w:cs="宋体"/>
          <w:bCs/>
          <w:color w:val="auto"/>
          <w:szCs w:val="21"/>
          <w:highlight w:val="none"/>
          <w:u w:val="single"/>
        </w:rPr>
      </w:pPr>
      <w:r>
        <w:rPr>
          <w:rFonts w:hint="eastAsia" w:ascii="宋体" w:hAnsi="宋体" w:cs="宋体"/>
          <w:bCs/>
          <w:color w:val="auto"/>
          <w:szCs w:val="21"/>
          <w:highlight w:val="none"/>
          <w:u w:val="single"/>
        </w:rPr>
        <w:t>（14）《关于明确杭州市建筑施工领域安全生产责任保险费用计取的通知》（杭建招标造价中心〔2021〕84号）；</w:t>
      </w:r>
    </w:p>
    <w:p w14:paraId="04571926">
      <w:pPr>
        <w:autoSpaceDE w:val="0"/>
        <w:autoSpaceDN w:val="0"/>
        <w:snapToGrid w:val="0"/>
        <w:spacing w:line="360" w:lineRule="auto"/>
        <w:ind w:firstLine="415" w:firstLineChars="198"/>
        <w:jc w:val="left"/>
        <w:rPr>
          <w:rFonts w:ascii="宋体" w:hAnsi="宋体" w:cs="宋体"/>
          <w:bCs/>
          <w:color w:val="auto"/>
          <w:szCs w:val="21"/>
          <w:highlight w:val="none"/>
          <w:u w:val="single"/>
        </w:rPr>
      </w:pPr>
      <w:r>
        <w:rPr>
          <w:rFonts w:hint="eastAsia" w:ascii="宋体" w:hAnsi="宋体" w:cs="宋体"/>
          <w:bCs/>
          <w:color w:val="auto"/>
          <w:szCs w:val="21"/>
          <w:highlight w:val="none"/>
          <w:u w:val="single"/>
        </w:rPr>
        <w:t>（15）《关于进一步规范建设工程建筑垃圾处置相关事项的通知》（杭建工〔2023〕169号）；</w:t>
      </w:r>
    </w:p>
    <w:p w14:paraId="04605D45">
      <w:pPr>
        <w:autoSpaceDE w:val="0"/>
        <w:autoSpaceDN w:val="0"/>
        <w:snapToGrid w:val="0"/>
        <w:spacing w:line="360" w:lineRule="auto"/>
        <w:ind w:firstLine="415" w:firstLineChars="198"/>
        <w:jc w:val="left"/>
        <w:rPr>
          <w:rFonts w:ascii="宋体" w:hAnsi="宋体" w:cs="宋体"/>
          <w:bCs/>
          <w:color w:val="auto"/>
          <w:szCs w:val="21"/>
          <w:highlight w:val="none"/>
          <w:u w:val="single"/>
        </w:rPr>
      </w:pPr>
      <w:r>
        <w:rPr>
          <w:rFonts w:hint="eastAsia" w:ascii="宋体" w:hAnsi="宋体" w:cs="宋体"/>
          <w:bCs/>
          <w:color w:val="auto"/>
          <w:szCs w:val="21"/>
          <w:highlight w:val="none"/>
          <w:u w:val="single"/>
        </w:rPr>
        <w:t>相关部门颁发的有关文件对上述文件有调整的，按其规定执行。</w:t>
      </w:r>
    </w:p>
    <w:p w14:paraId="1722238D">
      <w:pPr>
        <w:snapToGrid w:val="0"/>
        <w:spacing w:line="360" w:lineRule="auto"/>
        <w:ind w:firstLine="420" w:firstLineChars="200"/>
        <w:rPr>
          <w:rFonts w:asciiTheme="minorEastAsia" w:hAnsiTheme="minorEastAsia" w:eastAsiaTheme="minorEastAsia" w:cstheme="minorEastAsia"/>
          <w:snapToGrid w:val="0"/>
          <w:color w:val="auto"/>
          <w:kern w:val="0"/>
          <w:szCs w:val="21"/>
          <w:highlight w:val="none"/>
        </w:rPr>
      </w:pPr>
      <w:r>
        <w:rPr>
          <w:rFonts w:hint="eastAsia" w:asciiTheme="minorEastAsia" w:hAnsiTheme="minorEastAsia" w:eastAsiaTheme="minorEastAsia" w:cstheme="minorEastAsia"/>
          <w:snapToGrid w:val="0"/>
          <w:color w:val="auto"/>
          <w:kern w:val="0"/>
          <w:szCs w:val="21"/>
          <w:highlight w:val="none"/>
        </w:rPr>
        <w:t>1.3.5 新工艺、新技术的约定：</w:t>
      </w:r>
      <w:r>
        <w:rPr>
          <w:rFonts w:hint="eastAsia" w:asciiTheme="minorEastAsia" w:hAnsiTheme="minorEastAsia" w:eastAsiaTheme="minorEastAsia" w:cstheme="minorEastAsia"/>
          <w:snapToGrid w:val="0"/>
          <w:color w:val="auto"/>
          <w:kern w:val="0"/>
          <w:szCs w:val="21"/>
          <w:highlight w:val="none"/>
          <w:u w:val="single"/>
        </w:rPr>
        <w:t xml:space="preserve"> / </w:t>
      </w:r>
      <w:r>
        <w:rPr>
          <w:rFonts w:hint="eastAsia" w:asciiTheme="minorEastAsia" w:hAnsiTheme="minorEastAsia" w:eastAsiaTheme="minorEastAsia" w:cstheme="minorEastAsia"/>
          <w:snapToGrid w:val="0"/>
          <w:color w:val="auto"/>
          <w:kern w:val="0"/>
          <w:szCs w:val="21"/>
          <w:highlight w:val="none"/>
        </w:rPr>
        <w:t xml:space="preserve">。 </w:t>
      </w:r>
    </w:p>
    <w:p w14:paraId="7C1A3FCB">
      <w:pPr>
        <w:snapToGrid w:val="0"/>
        <w:spacing w:line="360" w:lineRule="auto"/>
        <w:ind w:firstLine="420" w:firstLineChars="200"/>
        <w:rPr>
          <w:rFonts w:asciiTheme="minorEastAsia" w:hAnsiTheme="minorEastAsia" w:eastAsiaTheme="minorEastAsia" w:cstheme="minorEastAsia"/>
          <w:snapToGrid w:val="0"/>
          <w:color w:val="auto"/>
          <w:kern w:val="0"/>
          <w:szCs w:val="21"/>
          <w:highlight w:val="none"/>
        </w:rPr>
      </w:pPr>
      <w:r>
        <w:rPr>
          <w:rFonts w:hint="eastAsia" w:asciiTheme="minorEastAsia" w:hAnsiTheme="minorEastAsia" w:eastAsiaTheme="minorEastAsia" w:cstheme="minorEastAsia"/>
          <w:snapToGrid w:val="0"/>
          <w:color w:val="auto"/>
          <w:kern w:val="0"/>
          <w:szCs w:val="21"/>
          <w:highlight w:val="none"/>
        </w:rPr>
        <w:t>1.3.6 其他</w:t>
      </w:r>
      <w:r>
        <w:rPr>
          <w:rFonts w:hint="eastAsia" w:asciiTheme="minorEastAsia" w:hAnsiTheme="minorEastAsia" w:eastAsiaTheme="minorEastAsia" w:cstheme="minorEastAsia"/>
          <w:snapToGrid w:val="0"/>
          <w:color w:val="auto"/>
          <w:kern w:val="0"/>
          <w:szCs w:val="21"/>
          <w:highlight w:val="none"/>
          <w:u w:val="single"/>
        </w:rPr>
        <w:t xml:space="preserve"> / </w:t>
      </w:r>
      <w:r>
        <w:rPr>
          <w:rFonts w:hint="eastAsia" w:asciiTheme="minorEastAsia" w:hAnsiTheme="minorEastAsia" w:eastAsiaTheme="minorEastAsia" w:cstheme="minorEastAsia"/>
          <w:snapToGrid w:val="0"/>
          <w:color w:val="auto"/>
          <w:kern w:val="0"/>
          <w:szCs w:val="21"/>
          <w:highlight w:val="none"/>
        </w:rPr>
        <w:t xml:space="preserve">。 </w:t>
      </w:r>
    </w:p>
    <w:p w14:paraId="1029391A">
      <w:pPr>
        <w:autoSpaceDE w:val="0"/>
        <w:autoSpaceDN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1.4 标准和规范</w:t>
      </w:r>
    </w:p>
    <w:p w14:paraId="01C7CE12">
      <w:pPr>
        <w:snapToGrid w:val="0"/>
        <w:spacing w:line="360" w:lineRule="auto"/>
        <w:ind w:firstLine="420" w:firstLineChars="200"/>
        <w:rPr>
          <w:rFonts w:ascii="宋体" w:hAnsi="宋体" w:cs="宋体"/>
          <w:b/>
          <w:snapToGrid w:val="0"/>
          <w:color w:val="auto"/>
          <w:kern w:val="0"/>
          <w:szCs w:val="21"/>
          <w:highlight w:val="none"/>
          <w:u w:val="single"/>
        </w:rPr>
      </w:pPr>
      <w:r>
        <w:rPr>
          <w:rFonts w:hint="eastAsia" w:ascii="宋体" w:hAnsi="宋体" w:cs="宋体"/>
          <w:snapToGrid w:val="0"/>
          <w:color w:val="auto"/>
          <w:kern w:val="0"/>
          <w:szCs w:val="21"/>
          <w:highlight w:val="none"/>
        </w:rPr>
        <w:t>1.4.1适用于工程的标准规范包括：</w:t>
      </w:r>
      <w:r>
        <w:rPr>
          <w:rFonts w:hint="eastAsia" w:ascii="宋体" w:hAnsi="宋体" w:cs="宋体"/>
          <w:b/>
          <w:bCs/>
          <w:color w:val="auto"/>
          <w:szCs w:val="21"/>
          <w:highlight w:val="none"/>
          <w:u w:val="single" w:color="000000"/>
        </w:rPr>
        <w:t>（1）按通用条款约定；</w:t>
      </w:r>
    </w:p>
    <w:p w14:paraId="7EA7A8F2">
      <w:pPr>
        <w:snapToGrid w:val="0"/>
        <w:spacing w:line="360" w:lineRule="auto"/>
        <w:ind w:firstLine="420" w:firstLineChars="200"/>
        <w:rPr>
          <w:rFonts w:ascii="宋体" w:hAnsi="宋体" w:cs="宋体"/>
          <w:snapToGrid w:val="0"/>
          <w:color w:val="auto"/>
          <w:kern w:val="0"/>
          <w:szCs w:val="21"/>
          <w:highlight w:val="none"/>
          <w:u w:val="single"/>
        </w:rPr>
      </w:pPr>
      <w:r>
        <w:rPr>
          <w:rFonts w:hint="eastAsia" w:ascii="宋体" w:hAnsi="宋体" w:cs="宋体"/>
          <w:snapToGrid w:val="0"/>
          <w:color w:val="auto"/>
          <w:kern w:val="0"/>
          <w:szCs w:val="21"/>
          <w:highlight w:val="none"/>
        </w:rPr>
        <w:t>1.4.2 发包人提供国外标准、规范的名称：</w:t>
      </w:r>
      <w:r>
        <w:rPr>
          <w:rFonts w:hint="eastAsia" w:ascii="宋体" w:hAnsi="宋体" w:cs="宋体"/>
          <w:snapToGrid w:val="0"/>
          <w:color w:val="auto"/>
          <w:kern w:val="0"/>
          <w:szCs w:val="21"/>
          <w:highlight w:val="none"/>
          <w:u w:val="single"/>
        </w:rPr>
        <w:t xml:space="preserve">      /        </w:t>
      </w:r>
      <w:r>
        <w:rPr>
          <w:rFonts w:hint="eastAsia" w:ascii="宋体" w:hAnsi="宋体" w:cs="宋体"/>
          <w:snapToGrid w:val="0"/>
          <w:color w:val="auto"/>
          <w:kern w:val="0"/>
          <w:szCs w:val="21"/>
          <w:highlight w:val="none"/>
        </w:rPr>
        <w:t>；</w:t>
      </w:r>
    </w:p>
    <w:p w14:paraId="4E4B1A4D">
      <w:pPr>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发包人提供国外标准、规范的份数：</w:t>
      </w:r>
      <w:r>
        <w:rPr>
          <w:rFonts w:hint="eastAsia" w:ascii="宋体" w:hAnsi="宋体" w:cs="宋体"/>
          <w:snapToGrid w:val="0"/>
          <w:color w:val="auto"/>
          <w:kern w:val="0"/>
          <w:szCs w:val="21"/>
          <w:highlight w:val="none"/>
          <w:u w:val="single"/>
        </w:rPr>
        <w:t xml:space="preserve">      /              </w:t>
      </w:r>
      <w:r>
        <w:rPr>
          <w:rFonts w:hint="eastAsia" w:ascii="宋体" w:hAnsi="宋体" w:cs="宋体"/>
          <w:snapToGrid w:val="0"/>
          <w:color w:val="auto"/>
          <w:kern w:val="0"/>
          <w:szCs w:val="21"/>
          <w:highlight w:val="none"/>
        </w:rPr>
        <w:t>；</w:t>
      </w:r>
    </w:p>
    <w:p w14:paraId="72F1AF49">
      <w:pPr>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发包人提供国外标准、规范的名称：</w:t>
      </w:r>
      <w:r>
        <w:rPr>
          <w:rFonts w:hint="eastAsia" w:ascii="宋体" w:hAnsi="宋体" w:cs="宋体"/>
          <w:snapToGrid w:val="0"/>
          <w:color w:val="auto"/>
          <w:kern w:val="0"/>
          <w:szCs w:val="21"/>
          <w:highlight w:val="none"/>
          <w:u w:val="single"/>
        </w:rPr>
        <w:t xml:space="preserve">       /           </w:t>
      </w:r>
      <w:r>
        <w:rPr>
          <w:rFonts w:hint="eastAsia" w:ascii="宋体" w:hAnsi="宋体" w:cs="宋体"/>
          <w:snapToGrid w:val="0"/>
          <w:color w:val="auto"/>
          <w:kern w:val="0"/>
          <w:szCs w:val="21"/>
          <w:highlight w:val="none"/>
        </w:rPr>
        <w:t>。</w:t>
      </w:r>
    </w:p>
    <w:p w14:paraId="53C9A718">
      <w:pPr>
        <w:snapToGrid w:val="0"/>
        <w:spacing w:line="360" w:lineRule="auto"/>
        <w:ind w:firstLine="420" w:firstLineChars="200"/>
        <w:rPr>
          <w:rFonts w:ascii="宋体" w:hAnsi="宋体" w:cs="宋体"/>
          <w:color w:val="auto"/>
          <w:szCs w:val="21"/>
          <w:highlight w:val="none"/>
          <w:u w:color="000000"/>
        </w:rPr>
      </w:pPr>
      <w:r>
        <w:rPr>
          <w:rFonts w:hint="eastAsia" w:ascii="宋体" w:hAnsi="宋体" w:cs="宋体"/>
          <w:snapToGrid w:val="0"/>
          <w:color w:val="auto"/>
          <w:kern w:val="0"/>
          <w:szCs w:val="21"/>
          <w:highlight w:val="none"/>
        </w:rPr>
        <w:t>1.4.3发包人对工程的技术标准和功能要求的特殊要求：</w:t>
      </w:r>
      <w:r>
        <w:rPr>
          <w:rFonts w:hint="eastAsia" w:ascii="宋体" w:hAnsi="宋体" w:cs="宋体"/>
          <w:snapToGrid w:val="0"/>
          <w:color w:val="auto"/>
          <w:kern w:val="0"/>
          <w:szCs w:val="21"/>
          <w:highlight w:val="none"/>
          <w:u w:val="single"/>
        </w:rPr>
        <w:t></w:t>
      </w:r>
      <w:r>
        <w:rPr>
          <w:rFonts w:hint="eastAsia" w:ascii="宋体" w:hAnsi="宋体" w:cs="宋体"/>
          <w:color w:val="auto"/>
          <w:szCs w:val="21"/>
          <w:highlight w:val="none"/>
          <w:u w:val="single" w:color="000000"/>
        </w:rPr>
        <w:t xml:space="preserve">详见设计文件和招标技术要求 </w:t>
      </w:r>
      <w:r>
        <w:rPr>
          <w:rFonts w:hint="eastAsia" w:ascii="宋体" w:hAnsi="宋体" w:cs="宋体"/>
          <w:color w:val="auto"/>
          <w:szCs w:val="21"/>
          <w:highlight w:val="none"/>
          <w:u w:color="000000"/>
        </w:rPr>
        <w:t>。</w:t>
      </w:r>
    </w:p>
    <w:p w14:paraId="4E54E16B">
      <w:pPr>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1.5 合同文件的优先顺序</w:t>
      </w:r>
    </w:p>
    <w:p w14:paraId="08AF6BE9">
      <w:pPr>
        <w:autoSpaceDE w:val="0"/>
        <w:autoSpaceDN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合同文件组成及优先顺序为：</w:t>
      </w:r>
    </w:p>
    <w:p w14:paraId="249D81D4">
      <w:pPr>
        <w:autoSpaceDE w:val="0"/>
        <w:autoSpaceDN w:val="0"/>
        <w:snapToGrid w:val="0"/>
        <w:spacing w:line="360" w:lineRule="auto"/>
        <w:ind w:firstLine="417" w:firstLineChars="198"/>
        <w:jc w:val="left"/>
        <w:rPr>
          <w:rFonts w:ascii="宋体" w:hAnsi="宋体" w:cs="宋体"/>
          <w:b/>
          <w:snapToGrid w:val="0"/>
          <w:color w:val="auto"/>
          <w:kern w:val="0"/>
          <w:szCs w:val="21"/>
          <w:highlight w:val="none"/>
          <w:u w:val="single"/>
        </w:rPr>
      </w:pPr>
      <w:r>
        <w:rPr>
          <w:rFonts w:hint="eastAsia" w:ascii="宋体" w:hAnsi="宋体" w:cs="宋体"/>
          <w:b/>
          <w:snapToGrid w:val="0"/>
          <w:color w:val="auto"/>
          <w:kern w:val="0"/>
          <w:szCs w:val="21"/>
          <w:highlight w:val="none"/>
          <w:u w:val="single"/>
        </w:rPr>
        <w:t>（1）合同协议书</w:t>
      </w:r>
      <w:r>
        <w:rPr>
          <w:rFonts w:hint="eastAsia" w:ascii="宋体" w:hAnsi="宋体" w:cs="宋体"/>
          <w:b/>
          <w:snapToGrid w:val="0"/>
          <w:color w:val="auto"/>
          <w:kern w:val="0"/>
          <w:szCs w:val="21"/>
          <w:highlight w:val="none"/>
        </w:rPr>
        <w:t>；</w:t>
      </w:r>
    </w:p>
    <w:p w14:paraId="18CD3D3F">
      <w:pPr>
        <w:autoSpaceDE w:val="0"/>
        <w:autoSpaceDN w:val="0"/>
        <w:snapToGrid w:val="0"/>
        <w:spacing w:line="360" w:lineRule="auto"/>
        <w:ind w:firstLine="417" w:firstLineChars="198"/>
        <w:jc w:val="left"/>
        <w:rPr>
          <w:rFonts w:ascii="宋体" w:hAnsi="宋体" w:cs="宋体"/>
          <w:b/>
          <w:snapToGrid w:val="0"/>
          <w:color w:val="auto"/>
          <w:kern w:val="0"/>
          <w:szCs w:val="21"/>
          <w:highlight w:val="none"/>
          <w:u w:val="single"/>
        </w:rPr>
      </w:pPr>
      <w:r>
        <w:rPr>
          <w:rFonts w:hint="eastAsia" w:ascii="宋体" w:hAnsi="宋体" w:cs="宋体"/>
          <w:b/>
          <w:snapToGrid w:val="0"/>
          <w:color w:val="auto"/>
          <w:kern w:val="0"/>
          <w:szCs w:val="21"/>
          <w:highlight w:val="none"/>
          <w:u w:val="single"/>
        </w:rPr>
        <w:t>（2）成交通知书（或项目发承包基本情况表）</w:t>
      </w:r>
      <w:r>
        <w:rPr>
          <w:rFonts w:hint="eastAsia" w:ascii="宋体" w:hAnsi="宋体" w:cs="宋体"/>
          <w:b/>
          <w:snapToGrid w:val="0"/>
          <w:color w:val="auto"/>
          <w:kern w:val="0"/>
          <w:szCs w:val="21"/>
          <w:highlight w:val="none"/>
        </w:rPr>
        <w:t>；</w:t>
      </w:r>
    </w:p>
    <w:p w14:paraId="08F367D3">
      <w:pPr>
        <w:snapToGrid w:val="0"/>
        <w:spacing w:line="360" w:lineRule="auto"/>
        <w:ind w:firstLine="417" w:firstLineChars="198"/>
        <w:rPr>
          <w:rFonts w:ascii="宋体" w:hAnsi="宋体" w:cs="宋体"/>
          <w:b/>
          <w:snapToGrid w:val="0"/>
          <w:color w:val="auto"/>
          <w:kern w:val="0"/>
          <w:szCs w:val="21"/>
          <w:highlight w:val="none"/>
          <w:u w:val="single"/>
        </w:rPr>
      </w:pPr>
      <w:r>
        <w:rPr>
          <w:rFonts w:hint="eastAsia" w:ascii="宋体" w:hAnsi="宋体" w:cs="宋体"/>
          <w:b/>
          <w:snapToGrid w:val="0"/>
          <w:color w:val="auto"/>
          <w:kern w:val="0"/>
          <w:szCs w:val="21"/>
          <w:highlight w:val="none"/>
          <w:u w:val="single"/>
        </w:rPr>
        <w:t>（3）磋商响应文件及磋商记录（如果有）</w:t>
      </w:r>
      <w:r>
        <w:rPr>
          <w:rFonts w:hint="eastAsia" w:ascii="宋体" w:hAnsi="宋体" w:cs="宋体"/>
          <w:b/>
          <w:snapToGrid w:val="0"/>
          <w:color w:val="auto"/>
          <w:kern w:val="0"/>
          <w:szCs w:val="21"/>
          <w:highlight w:val="none"/>
        </w:rPr>
        <w:t>；</w:t>
      </w:r>
    </w:p>
    <w:p w14:paraId="6CED2C7E">
      <w:pPr>
        <w:autoSpaceDE w:val="0"/>
        <w:autoSpaceDN w:val="0"/>
        <w:snapToGrid w:val="0"/>
        <w:spacing w:line="360" w:lineRule="auto"/>
        <w:ind w:firstLine="417" w:firstLineChars="198"/>
        <w:jc w:val="left"/>
        <w:rPr>
          <w:rFonts w:ascii="宋体" w:hAnsi="宋体" w:cs="宋体"/>
          <w:b/>
          <w:snapToGrid w:val="0"/>
          <w:color w:val="auto"/>
          <w:kern w:val="0"/>
          <w:szCs w:val="21"/>
          <w:highlight w:val="none"/>
          <w:u w:val="single"/>
        </w:rPr>
      </w:pPr>
      <w:r>
        <w:rPr>
          <w:rFonts w:hint="eastAsia" w:ascii="宋体" w:hAnsi="宋体" w:cs="宋体"/>
          <w:b/>
          <w:snapToGrid w:val="0"/>
          <w:color w:val="auto"/>
          <w:kern w:val="0"/>
          <w:szCs w:val="21"/>
          <w:highlight w:val="none"/>
          <w:u w:val="single"/>
        </w:rPr>
        <w:t>（4）专用合同条款及其附件</w:t>
      </w:r>
      <w:r>
        <w:rPr>
          <w:rFonts w:hint="eastAsia" w:ascii="宋体" w:hAnsi="宋体" w:cs="宋体"/>
          <w:b/>
          <w:snapToGrid w:val="0"/>
          <w:color w:val="auto"/>
          <w:kern w:val="0"/>
          <w:szCs w:val="21"/>
          <w:highlight w:val="none"/>
        </w:rPr>
        <w:t>；</w:t>
      </w:r>
    </w:p>
    <w:p w14:paraId="2AD7E5F8">
      <w:pPr>
        <w:autoSpaceDE w:val="0"/>
        <w:autoSpaceDN w:val="0"/>
        <w:snapToGrid w:val="0"/>
        <w:spacing w:line="360" w:lineRule="auto"/>
        <w:ind w:firstLine="417" w:firstLineChars="198"/>
        <w:jc w:val="left"/>
        <w:rPr>
          <w:rFonts w:ascii="宋体" w:hAnsi="宋体" w:cs="宋体"/>
          <w:b/>
          <w:snapToGrid w:val="0"/>
          <w:color w:val="auto"/>
          <w:kern w:val="0"/>
          <w:szCs w:val="21"/>
          <w:highlight w:val="none"/>
          <w:u w:val="single"/>
        </w:rPr>
      </w:pPr>
      <w:r>
        <w:rPr>
          <w:rFonts w:hint="eastAsia" w:ascii="宋体" w:hAnsi="宋体" w:cs="宋体"/>
          <w:b/>
          <w:snapToGrid w:val="0"/>
          <w:color w:val="auto"/>
          <w:kern w:val="0"/>
          <w:szCs w:val="21"/>
          <w:highlight w:val="none"/>
          <w:u w:val="single"/>
        </w:rPr>
        <w:t>（5）通用合同条款</w:t>
      </w:r>
      <w:r>
        <w:rPr>
          <w:rFonts w:hint="eastAsia" w:ascii="宋体" w:hAnsi="宋体" w:cs="宋体"/>
          <w:b/>
          <w:snapToGrid w:val="0"/>
          <w:color w:val="auto"/>
          <w:kern w:val="0"/>
          <w:szCs w:val="21"/>
          <w:highlight w:val="none"/>
        </w:rPr>
        <w:t>；</w:t>
      </w:r>
    </w:p>
    <w:p w14:paraId="593AD3A5">
      <w:pPr>
        <w:snapToGrid w:val="0"/>
        <w:spacing w:line="360" w:lineRule="auto"/>
        <w:ind w:firstLine="417" w:firstLineChars="198"/>
        <w:rPr>
          <w:rFonts w:ascii="宋体" w:hAnsi="宋体" w:cs="宋体"/>
          <w:b/>
          <w:snapToGrid w:val="0"/>
          <w:color w:val="auto"/>
          <w:kern w:val="0"/>
          <w:szCs w:val="21"/>
          <w:highlight w:val="none"/>
          <w:u w:val="single"/>
        </w:rPr>
      </w:pPr>
      <w:r>
        <w:rPr>
          <w:rFonts w:hint="eastAsia" w:ascii="宋体" w:hAnsi="宋体" w:cs="宋体"/>
          <w:b/>
          <w:snapToGrid w:val="0"/>
          <w:color w:val="auto"/>
          <w:kern w:val="0"/>
          <w:szCs w:val="21"/>
          <w:highlight w:val="none"/>
          <w:u w:val="single"/>
        </w:rPr>
        <w:t>（6）技术标准和要求</w:t>
      </w:r>
      <w:r>
        <w:rPr>
          <w:rFonts w:hint="eastAsia" w:ascii="宋体" w:hAnsi="宋体" w:cs="宋体"/>
          <w:b/>
          <w:snapToGrid w:val="0"/>
          <w:color w:val="auto"/>
          <w:kern w:val="0"/>
          <w:szCs w:val="21"/>
          <w:highlight w:val="none"/>
        </w:rPr>
        <w:t>；</w:t>
      </w:r>
    </w:p>
    <w:p w14:paraId="3A4A88B1">
      <w:pPr>
        <w:snapToGrid w:val="0"/>
        <w:spacing w:line="360" w:lineRule="auto"/>
        <w:ind w:firstLine="417" w:firstLineChars="198"/>
        <w:rPr>
          <w:rFonts w:ascii="宋体" w:hAnsi="宋体" w:cs="宋体"/>
          <w:b/>
          <w:snapToGrid w:val="0"/>
          <w:color w:val="auto"/>
          <w:kern w:val="0"/>
          <w:szCs w:val="21"/>
          <w:highlight w:val="none"/>
          <w:u w:val="single"/>
        </w:rPr>
      </w:pPr>
      <w:r>
        <w:rPr>
          <w:rFonts w:hint="eastAsia" w:ascii="宋体" w:hAnsi="宋体" w:cs="宋体"/>
          <w:b/>
          <w:snapToGrid w:val="0"/>
          <w:color w:val="auto"/>
          <w:kern w:val="0"/>
          <w:szCs w:val="21"/>
          <w:highlight w:val="none"/>
          <w:u w:val="single"/>
        </w:rPr>
        <w:t>（7）图纸（如有） ；</w:t>
      </w:r>
    </w:p>
    <w:p w14:paraId="3879C64C">
      <w:pPr>
        <w:snapToGrid w:val="0"/>
        <w:spacing w:line="360" w:lineRule="auto"/>
        <w:ind w:firstLine="417" w:firstLineChars="198"/>
        <w:rPr>
          <w:rFonts w:ascii="宋体" w:hAnsi="宋体" w:cs="宋体"/>
          <w:b/>
          <w:snapToGrid w:val="0"/>
          <w:color w:val="auto"/>
          <w:kern w:val="0"/>
          <w:szCs w:val="21"/>
          <w:highlight w:val="none"/>
          <w:u w:val="single"/>
        </w:rPr>
      </w:pPr>
      <w:r>
        <w:rPr>
          <w:rFonts w:hint="eastAsia" w:ascii="宋体" w:hAnsi="宋体" w:cs="宋体"/>
          <w:b/>
          <w:snapToGrid w:val="0"/>
          <w:color w:val="auto"/>
          <w:kern w:val="0"/>
          <w:szCs w:val="21"/>
          <w:highlight w:val="none"/>
          <w:u w:val="single"/>
        </w:rPr>
        <w:t>（8）已标价工程量清单或预算书</w:t>
      </w:r>
      <w:r>
        <w:rPr>
          <w:rFonts w:hint="eastAsia" w:ascii="宋体" w:hAnsi="宋体" w:cs="宋体"/>
          <w:b/>
          <w:snapToGrid w:val="0"/>
          <w:color w:val="auto"/>
          <w:kern w:val="0"/>
          <w:szCs w:val="21"/>
          <w:highlight w:val="none"/>
        </w:rPr>
        <w:t>；</w:t>
      </w:r>
    </w:p>
    <w:p w14:paraId="5D4660C6">
      <w:pPr>
        <w:snapToGrid w:val="0"/>
        <w:spacing w:line="360" w:lineRule="auto"/>
        <w:ind w:firstLine="417" w:firstLineChars="198"/>
        <w:rPr>
          <w:rFonts w:ascii="宋体" w:hAnsi="宋体" w:cs="宋体"/>
          <w:b/>
          <w:snapToGrid w:val="0"/>
          <w:color w:val="auto"/>
          <w:kern w:val="0"/>
          <w:szCs w:val="21"/>
          <w:highlight w:val="none"/>
          <w:u w:val="single"/>
        </w:rPr>
      </w:pPr>
      <w:r>
        <w:rPr>
          <w:rFonts w:hint="eastAsia" w:ascii="宋体" w:hAnsi="宋体" w:cs="宋体"/>
          <w:b/>
          <w:snapToGrid w:val="0"/>
          <w:color w:val="auto"/>
          <w:kern w:val="0"/>
          <w:szCs w:val="21"/>
          <w:highlight w:val="none"/>
          <w:u w:val="single"/>
        </w:rPr>
        <w:t>（9）其他合同文件</w:t>
      </w:r>
      <w:r>
        <w:rPr>
          <w:rFonts w:hint="eastAsia" w:ascii="宋体" w:hAnsi="宋体" w:cs="宋体"/>
          <w:b/>
          <w:snapToGrid w:val="0"/>
          <w:color w:val="auto"/>
          <w:kern w:val="0"/>
          <w:szCs w:val="21"/>
          <w:highlight w:val="none"/>
        </w:rPr>
        <w:t>：</w:t>
      </w:r>
    </w:p>
    <w:p w14:paraId="2FA3E710">
      <w:pPr>
        <w:snapToGrid w:val="0"/>
        <w:spacing w:line="360" w:lineRule="auto"/>
        <w:ind w:firstLine="417" w:firstLineChars="198"/>
        <w:rPr>
          <w:rFonts w:ascii="宋体" w:hAnsi="宋体" w:cs="宋体"/>
          <w:b/>
          <w:snapToGrid w:val="0"/>
          <w:color w:val="auto"/>
          <w:kern w:val="0"/>
          <w:szCs w:val="21"/>
          <w:highlight w:val="none"/>
          <w:u w:val="single"/>
        </w:rPr>
      </w:pPr>
      <w:r>
        <w:rPr>
          <w:rFonts w:hint="eastAsia" w:ascii="宋体" w:hAnsi="宋体" w:cs="宋体"/>
          <w:b/>
          <w:snapToGrid w:val="0"/>
          <w:color w:val="auto"/>
          <w:kern w:val="0"/>
          <w:szCs w:val="21"/>
          <w:highlight w:val="none"/>
          <w:u w:val="single"/>
        </w:rPr>
        <w:t>①施工组织设计</w:t>
      </w:r>
      <w:r>
        <w:rPr>
          <w:rFonts w:hint="eastAsia" w:ascii="宋体" w:hAnsi="宋体" w:cs="宋体"/>
          <w:b/>
          <w:snapToGrid w:val="0"/>
          <w:color w:val="auto"/>
          <w:kern w:val="0"/>
          <w:szCs w:val="21"/>
          <w:highlight w:val="none"/>
        </w:rPr>
        <w:t>；</w:t>
      </w:r>
    </w:p>
    <w:p w14:paraId="058C84DA">
      <w:pPr>
        <w:snapToGrid w:val="0"/>
        <w:spacing w:line="360" w:lineRule="auto"/>
        <w:ind w:firstLine="417" w:firstLineChars="198"/>
        <w:rPr>
          <w:rFonts w:ascii="宋体" w:hAnsi="宋体" w:cs="宋体"/>
          <w:b/>
          <w:snapToGrid w:val="0"/>
          <w:color w:val="auto"/>
          <w:kern w:val="0"/>
          <w:szCs w:val="21"/>
          <w:highlight w:val="none"/>
          <w:u w:val="single"/>
        </w:rPr>
      </w:pPr>
      <w:r>
        <w:rPr>
          <w:rFonts w:hint="eastAsia" w:ascii="宋体" w:hAnsi="宋体" w:cs="宋体"/>
          <w:b/>
          <w:snapToGrid w:val="0"/>
          <w:color w:val="auto"/>
          <w:kern w:val="0"/>
          <w:szCs w:val="21"/>
          <w:highlight w:val="none"/>
          <w:u w:val="single"/>
        </w:rPr>
        <w:t>②其他：采购文件（含采购工程量清单）及采购答疑（如果有）。</w:t>
      </w:r>
    </w:p>
    <w:p w14:paraId="1D1423EC">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1.6 图纸和承包人文件</w:t>
      </w:r>
      <w:r>
        <w:rPr>
          <w:rFonts w:hint="eastAsia" w:ascii="宋体" w:hAnsi="宋体" w:cs="宋体"/>
          <w:color w:val="auto"/>
          <w:szCs w:val="21"/>
          <w:highlight w:val="none"/>
        </w:rPr>
        <w:tab/>
      </w:r>
    </w:p>
    <w:p w14:paraId="2C8627E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 图纸的提供</w:t>
      </w:r>
    </w:p>
    <w:p w14:paraId="327B334F">
      <w:pPr>
        <w:snapToGrid w:val="0"/>
        <w:spacing w:line="360" w:lineRule="auto"/>
        <w:ind w:firstLine="34"/>
        <w:rPr>
          <w:rFonts w:ascii="宋体" w:hAnsi="宋体" w:cs="宋体"/>
          <w:color w:val="auto"/>
          <w:szCs w:val="21"/>
          <w:highlight w:val="none"/>
          <w:u w:color="000000"/>
        </w:rPr>
      </w:pPr>
      <w:r>
        <w:rPr>
          <w:rFonts w:hint="eastAsia" w:ascii="宋体" w:hAnsi="宋体" w:cs="宋体"/>
          <w:color w:val="auto"/>
          <w:szCs w:val="21"/>
          <w:highlight w:val="none"/>
          <w:u w:color="000000"/>
        </w:rPr>
        <w:t>发包人向承包人提供图纸的期限：</w:t>
      </w:r>
      <w:r>
        <w:rPr>
          <w:rFonts w:hint="eastAsia" w:ascii="宋体" w:hAnsi="宋体" w:cs="宋体"/>
          <w:color w:val="auto"/>
          <w:szCs w:val="21"/>
          <w:highlight w:val="none"/>
          <w:u w:val="single" w:color="000000"/>
        </w:rPr>
        <w:t>合同签订五个工作日内，并组织有关人员对承包人进行技术交底</w:t>
      </w:r>
      <w:r>
        <w:rPr>
          <w:rFonts w:hint="eastAsia" w:ascii="宋体" w:hAnsi="宋体" w:cs="宋体"/>
          <w:color w:val="auto"/>
          <w:szCs w:val="21"/>
          <w:highlight w:val="none"/>
          <w:u w:color="000000"/>
        </w:rPr>
        <w:t>；</w:t>
      </w:r>
    </w:p>
    <w:p w14:paraId="1FDAB8AA">
      <w:pPr>
        <w:snapToGrid w:val="0"/>
        <w:spacing w:line="360" w:lineRule="auto"/>
        <w:ind w:firstLine="34"/>
        <w:rPr>
          <w:rFonts w:ascii="宋体" w:hAnsi="宋体" w:cs="宋体"/>
          <w:color w:val="auto"/>
          <w:szCs w:val="21"/>
          <w:highlight w:val="none"/>
          <w:u w:color="000000"/>
        </w:rPr>
      </w:pPr>
      <w:r>
        <w:rPr>
          <w:rFonts w:hint="eastAsia" w:ascii="宋体" w:hAnsi="宋体" w:cs="宋体"/>
          <w:color w:val="auto"/>
          <w:szCs w:val="21"/>
          <w:highlight w:val="none"/>
          <w:u w:color="000000"/>
        </w:rPr>
        <w:t>发包人向承包人提供图纸的数量：</w:t>
      </w:r>
      <w:r>
        <w:rPr>
          <w:rFonts w:hint="eastAsia" w:ascii="宋体" w:hAnsi="宋体" w:cs="宋体"/>
          <w:color w:val="auto"/>
          <w:szCs w:val="21"/>
          <w:highlight w:val="none"/>
          <w:u w:val="single" w:color="000000"/>
        </w:rPr>
        <w:t>合同签订后提供8套施工图（其中4套做竣工图用，移交发包人）。承包人如需增加图纸份数，发包人可代为复制，复制费用由承包人承担。</w:t>
      </w:r>
    </w:p>
    <w:p w14:paraId="78E138DD">
      <w:pPr>
        <w:snapToGrid w:val="0"/>
        <w:spacing w:line="360" w:lineRule="auto"/>
        <w:ind w:firstLine="34"/>
        <w:rPr>
          <w:rFonts w:ascii="宋体" w:hAnsi="宋体" w:cs="宋体"/>
          <w:color w:val="auto"/>
          <w:szCs w:val="21"/>
          <w:highlight w:val="none"/>
          <w:u w:color="000000"/>
        </w:rPr>
      </w:pPr>
      <w:r>
        <w:rPr>
          <w:rFonts w:hint="eastAsia" w:ascii="宋体" w:hAnsi="宋体" w:cs="宋体"/>
          <w:color w:val="auto"/>
          <w:szCs w:val="21"/>
          <w:highlight w:val="none"/>
          <w:u w:color="000000"/>
        </w:rPr>
        <w:t>发包人向承包人提供图纸的内容：</w:t>
      </w:r>
      <w:r>
        <w:rPr>
          <w:rFonts w:hint="eastAsia" w:ascii="宋体" w:hAnsi="宋体" w:cs="宋体"/>
          <w:color w:val="auto"/>
          <w:szCs w:val="21"/>
          <w:highlight w:val="none"/>
          <w:u w:val="single" w:color="000000"/>
        </w:rPr>
        <w:t>施工图（详见签收表）</w:t>
      </w:r>
      <w:r>
        <w:rPr>
          <w:rFonts w:hint="eastAsia" w:ascii="宋体" w:hAnsi="宋体" w:cs="宋体"/>
          <w:color w:val="auto"/>
          <w:szCs w:val="21"/>
          <w:highlight w:val="none"/>
          <w:u w:color="000000"/>
        </w:rPr>
        <w:t>。</w:t>
      </w:r>
    </w:p>
    <w:p w14:paraId="02F6454F">
      <w:pPr>
        <w:snapToGrid w:val="0"/>
        <w:spacing w:line="360" w:lineRule="auto"/>
        <w:ind w:firstLine="34"/>
        <w:rPr>
          <w:rFonts w:ascii="宋体" w:hAnsi="宋体" w:cs="宋体"/>
          <w:color w:val="auto"/>
          <w:szCs w:val="21"/>
          <w:highlight w:val="none"/>
          <w:u w:color="000000"/>
        </w:rPr>
      </w:pPr>
      <w:r>
        <w:rPr>
          <w:rFonts w:hint="eastAsia" w:ascii="宋体" w:hAnsi="宋体" w:cs="宋体"/>
          <w:color w:val="auto"/>
          <w:szCs w:val="21"/>
          <w:highlight w:val="none"/>
          <w:u w:color="000000"/>
        </w:rPr>
        <w:t>1.6.4 承包人文件</w:t>
      </w:r>
    </w:p>
    <w:p w14:paraId="38B1EBC1">
      <w:pPr>
        <w:snapToGrid w:val="0"/>
        <w:spacing w:line="360" w:lineRule="auto"/>
        <w:ind w:firstLine="34"/>
        <w:jc w:val="left"/>
        <w:rPr>
          <w:rFonts w:ascii="宋体" w:hAnsi="宋体" w:cs="宋体"/>
          <w:color w:val="auto"/>
          <w:szCs w:val="21"/>
          <w:highlight w:val="none"/>
          <w:u w:val="single" w:color="000000"/>
        </w:rPr>
      </w:pPr>
      <w:r>
        <w:rPr>
          <w:rFonts w:hint="eastAsia" w:ascii="宋体" w:hAnsi="宋体" w:cs="宋体"/>
          <w:color w:val="auto"/>
          <w:szCs w:val="21"/>
          <w:highlight w:val="none"/>
          <w:u w:color="000000"/>
        </w:rPr>
        <w:t>需要由承包人提供的文件，包括：</w:t>
      </w:r>
      <w:r>
        <w:rPr>
          <w:rFonts w:hint="eastAsia" w:ascii="宋体" w:hAnsi="宋体" w:cs="宋体"/>
          <w:color w:val="auto"/>
          <w:szCs w:val="21"/>
          <w:highlight w:val="none"/>
          <w:u w:val="single" w:color="000000"/>
        </w:rPr>
        <w:t>与施工有关的一切必要文件。包括本工程适用的国家现行的设计规范、国家现行的施工规范、国家现行的验收规范、国家现行的质量验评标准及国家及地方现行施工验收及施工安全技术规范等</w:t>
      </w:r>
      <w:r>
        <w:rPr>
          <w:rFonts w:hint="eastAsia" w:ascii="宋体" w:hAnsi="宋体" w:cs="宋体"/>
          <w:color w:val="auto"/>
          <w:szCs w:val="21"/>
          <w:highlight w:val="none"/>
          <w:u w:color="000000"/>
        </w:rPr>
        <w:t>；</w:t>
      </w:r>
      <w:r>
        <w:rPr>
          <w:rFonts w:hint="eastAsia" w:ascii="宋体" w:hAnsi="宋体" w:cs="宋体"/>
          <w:color w:val="auto"/>
          <w:szCs w:val="21"/>
          <w:highlight w:val="none"/>
          <w:u w:val="single" w:color="000000"/>
        </w:rPr>
        <w:t>对危险性较大的分部分项工程，投标人需提供与自身报价相应的安全专项施工方案。</w:t>
      </w:r>
    </w:p>
    <w:p w14:paraId="7C218FA4">
      <w:pPr>
        <w:snapToGrid w:val="0"/>
        <w:spacing w:line="360" w:lineRule="auto"/>
        <w:ind w:firstLine="34"/>
        <w:rPr>
          <w:rFonts w:ascii="宋体" w:hAnsi="宋体" w:cs="宋体"/>
          <w:color w:val="auto"/>
          <w:szCs w:val="21"/>
          <w:highlight w:val="none"/>
          <w:u w:color="000000"/>
        </w:rPr>
      </w:pPr>
      <w:r>
        <w:rPr>
          <w:rFonts w:hint="eastAsia" w:ascii="宋体" w:hAnsi="宋体" w:cs="宋体"/>
          <w:color w:val="auto"/>
          <w:szCs w:val="21"/>
          <w:highlight w:val="none"/>
          <w:u w:color="000000"/>
        </w:rPr>
        <w:t>承包人提供的文件的期限为：</w:t>
      </w:r>
      <w:r>
        <w:rPr>
          <w:rFonts w:hint="eastAsia" w:ascii="宋体" w:hAnsi="宋体" w:cs="宋体"/>
          <w:color w:val="auto"/>
          <w:szCs w:val="21"/>
          <w:highlight w:val="none"/>
          <w:u w:val="single" w:color="000000"/>
        </w:rPr>
        <w:t>发包人提出要求后7天内</w:t>
      </w:r>
      <w:r>
        <w:rPr>
          <w:rFonts w:hint="eastAsia" w:ascii="宋体" w:hAnsi="宋体" w:cs="宋体"/>
          <w:color w:val="auto"/>
          <w:szCs w:val="21"/>
          <w:highlight w:val="none"/>
          <w:u w:color="000000"/>
        </w:rPr>
        <w:t>；</w:t>
      </w:r>
    </w:p>
    <w:p w14:paraId="3AD2C830">
      <w:pPr>
        <w:snapToGrid w:val="0"/>
        <w:spacing w:line="360" w:lineRule="auto"/>
        <w:ind w:firstLine="34"/>
        <w:rPr>
          <w:rFonts w:ascii="宋体" w:hAnsi="宋体" w:cs="宋体"/>
          <w:color w:val="auto"/>
          <w:szCs w:val="21"/>
          <w:highlight w:val="none"/>
          <w:u w:color="000000"/>
        </w:rPr>
      </w:pPr>
      <w:r>
        <w:rPr>
          <w:rFonts w:hint="eastAsia" w:ascii="宋体" w:hAnsi="宋体" w:cs="宋体"/>
          <w:color w:val="auto"/>
          <w:szCs w:val="21"/>
          <w:highlight w:val="none"/>
          <w:u w:color="000000"/>
        </w:rPr>
        <w:t>承包人提供的文件的数量为：</w:t>
      </w:r>
      <w:r>
        <w:rPr>
          <w:rFonts w:hint="eastAsia" w:ascii="宋体" w:hAnsi="宋体" w:cs="宋体"/>
          <w:color w:val="auto"/>
          <w:szCs w:val="21"/>
          <w:highlight w:val="none"/>
          <w:u w:val="single" w:color="000000"/>
        </w:rPr>
        <w:t>双方协商确定</w:t>
      </w:r>
      <w:r>
        <w:rPr>
          <w:rFonts w:hint="eastAsia" w:ascii="宋体" w:hAnsi="宋体" w:cs="宋体"/>
          <w:color w:val="auto"/>
          <w:szCs w:val="21"/>
          <w:highlight w:val="none"/>
          <w:u w:color="000000"/>
        </w:rPr>
        <w:t>；</w:t>
      </w:r>
    </w:p>
    <w:p w14:paraId="04B583E0">
      <w:pPr>
        <w:snapToGrid w:val="0"/>
        <w:spacing w:line="360" w:lineRule="auto"/>
        <w:ind w:firstLine="34"/>
        <w:rPr>
          <w:rFonts w:ascii="宋体" w:hAnsi="宋体" w:cs="宋体"/>
          <w:color w:val="auto"/>
          <w:szCs w:val="21"/>
          <w:highlight w:val="none"/>
          <w:u w:color="000000"/>
        </w:rPr>
      </w:pPr>
      <w:r>
        <w:rPr>
          <w:rFonts w:hint="eastAsia" w:ascii="宋体" w:hAnsi="宋体" w:cs="宋体"/>
          <w:color w:val="auto"/>
          <w:szCs w:val="21"/>
          <w:highlight w:val="none"/>
          <w:u w:color="000000"/>
        </w:rPr>
        <w:t>承包人提供的文件的形式为：</w:t>
      </w:r>
      <w:r>
        <w:rPr>
          <w:rFonts w:hint="eastAsia" w:ascii="宋体" w:hAnsi="宋体" w:cs="宋体"/>
          <w:color w:val="auto"/>
          <w:szCs w:val="21"/>
          <w:highlight w:val="none"/>
          <w:u w:val="single" w:color="000000"/>
        </w:rPr>
        <w:t>按发包人要求</w:t>
      </w:r>
      <w:r>
        <w:rPr>
          <w:rFonts w:hint="eastAsia" w:ascii="宋体" w:hAnsi="宋体" w:cs="宋体"/>
          <w:color w:val="auto"/>
          <w:szCs w:val="21"/>
          <w:highlight w:val="none"/>
          <w:u w:color="000000"/>
        </w:rPr>
        <w:t>；</w:t>
      </w:r>
    </w:p>
    <w:p w14:paraId="767CA6FE">
      <w:pPr>
        <w:snapToGrid w:val="0"/>
        <w:spacing w:line="360" w:lineRule="auto"/>
        <w:ind w:firstLine="34"/>
        <w:rPr>
          <w:rFonts w:ascii="宋体" w:hAnsi="宋体" w:cs="宋体"/>
          <w:color w:val="auto"/>
          <w:szCs w:val="21"/>
          <w:highlight w:val="none"/>
          <w:u w:color="000000"/>
        </w:rPr>
      </w:pPr>
      <w:r>
        <w:rPr>
          <w:rFonts w:hint="eastAsia" w:ascii="宋体" w:hAnsi="宋体" w:cs="宋体"/>
          <w:color w:val="auto"/>
          <w:szCs w:val="21"/>
          <w:highlight w:val="none"/>
          <w:u w:color="000000"/>
        </w:rPr>
        <w:t>发包人审批承包人文件的期限：</w:t>
      </w:r>
      <w:r>
        <w:rPr>
          <w:rFonts w:hint="eastAsia" w:ascii="宋体" w:hAnsi="宋体" w:cs="宋体"/>
          <w:color w:val="auto"/>
          <w:szCs w:val="21"/>
          <w:highlight w:val="none"/>
          <w:u w:val="single" w:color="000000"/>
        </w:rPr>
        <w:t>收到文件后7天内</w:t>
      </w:r>
      <w:r>
        <w:rPr>
          <w:rFonts w:hint="eastAsia" w:ascii="宋体" w:hAnsi="宋体" w:cs="宋体"/>
          <w:color w:val="auto"/>
          <w:szCs w:val="21"/>
          <w:highlight w:val="none"/>
          <w:u w:color="000000"/>
        </w:rPr>
        <w:t>。</w:t>
      </w:r>
    </w:p>
    <w:p w14:paraId="7CFD98A8">
      <w:pPr>
        <w:snapToGrid w:val="0"/>
        <w:spacing w:line="360" w:lineRule="auto"/>
        <w:ind w:firstLine="34"/>
        <w:rPr>
          <w:rFonts w:ascii="宋体" w:hAnsi="宋体" w:cs="宋体"/>
          <w:color w:val="auto"/>
          <w:szCs w:val="21"/>
          <w:highlight w:val="none"/>
          <w:u w:color="000000"/>
        </w:rPr>
      </w:pPr>
      <w:r>
        <w:rPr>
          <w:rFonts w:hint="eastAsia" w:ascii="宋体" w:hAnsi="宋体" w:cs="宋体"/>
          <w:color w:val="auto"/>
          <w:szCs w:val="21"/>
          <w:highlight w:val="none"/>
          <w:u w:color="000000"/>
        </w:rPr>
        <w:t>1.6.5 现场图纸准备</w:t>
      </w:r>
    </w:p>
    <w:p w14:paraId="11B5EA09">
      <w:pPr>
        <w:snapToGrid w:val="0"/>
        <w:spacing w:line="360" w:lineRule="auto"/>
        <w:ind w:firstLine="34"/>
        <w:rPr>
          <w:rFonts w:ascii="宋体" w:hAnsi="宋体" w:cs="宋体"/>
          <w:color w:val="auto"/>
          <w:szCs w:val="21"/>
          <w:highlight w:val="none"/>
          <w:u w:color="000000"/>
        </w:rPr>
      </w:pPr>
      <w:r>
        <w:rPr>
          <w:rFonts w:hint="eastAsia" w:ascii="宋体" w:hAnsi="宋体" w:cs="宋体"/>
          <w:color w:val="auto"/>
          <w:szCs w:val="21"/>
          <w:highlight w:val="none"/>
          <w:u w:color="000000"/>
        </w:rPr>
        <w:t>关于现场图纸准备的约定：</w:t>
      </w:r>
      <w:r>
        <w:rPr>
          <w:rFonts w:hint="eastAsia" w:ascii="宋体" w:hAnsi="宋体" w:cs="宋体"/>
          <w:color w:val="auto"/>
          <w:szCs w:val="21"/>
          <w:highlight w:val="none"/>
          <w:u w:val="single" w:color="000000"/>
        </w:rPr>
        <w:t>承包人应在施工现场另外保存一套完整的图纸和承包人文件，供发包人、监理人及有关人员进行工程检查时使用</w:t>
      </w:r>
      <w:r>
        <w:rPr>
          <w:rFonts w:hint="eastAsia" w:ascii="宋体" w:hAnsi="宋体" w:cs="宋体"/>
          <w:color w:val="auto"/>
          <w:szCs w:val="21"/>
          <w:highlight w:val="none"/>
          <w:u w:color="000000"/>
        </w:rPr>
        <w:t>。</w:t>
      </w:r>
    </w:p>
    <w:p w14:paraId="44F2720A">
      <w:pPr>
        <w:snapToGrid w:val="0"/>
        <w:spacing w:line="360" w:lineRule="auto"/>
        <w:ind w:firstLine="34"/>
        <w:rPr>
          <w:rFonts w:ascii="宋体" w:hAnsi="宋体" w:cs="宋体"/>
          <w:color w:val="auto"/>
          <w:szCs w:val="21"/>
          <w:highlight w:val="none"/>
          <w:u w:color="000000"/>
        </w:rPr>
      </w:pPr>
      <w:r>
        <w:rPr>
          <w:rFonts w:hint="eastAsia" w:ascii="宋体" w:hAnsi="宋体" w:cs="宋体"/>
          <w:color w:val="auto"/>
          <w:szCs w:val="21"/>
          <w:highlight w:val="none"/>
          <w:u w:color="000000"/>
        </w:rPr>
        <w:t>1.7 联络</w:t>
      </w:r>
    </w:p>
    <w:p w14:paraId="4D09B485">
      <w:pPr>
        <w:snapToGrid w:val="0"/>
        <w:spacing w:line="360" w:lineRule="auto"/>
        <w:ind w:firstLine="34"/>
        <w:rPr>
          <w:rFonts w:ascii="宋体" w:hAnsi="宋体" w:cs="宋体"/>
          <w:color w:val="auto"/>
          <w:szCs w:val="21"/>
          <w:highlight w:val="none"/>
          <w:u w:color="000000"/>
        </w:rPr>
      </w:pPr>
      <w:r>
        <w:rPr>
          <w:rFonts w:hint="eastAsia" w:ascii="宋体" w:hAnsi="宋体" w:cs="宋体"/>
          <w:color w:val="auto"/>
          <w:szCs w:val="21"/>
          <w:highlight w:val="none"/>
          <w:u w:color="000000"/>
        </w:rPr>
        <w:t>1.7.1发包人和承包人应当在</w:t>
      </w:r>
      <w:r>
        <w:rPr>
          <w:rFonts w:hint="eastAsia" w:ascii="宋体" w:hAnsi="宋体" w:cs="宋体"/>
          <w:color w:val="auto"/>
          <w:szCs w:val="21"/>
          <w:highlight w:val="none"/>
          <w:u w:val="single" w:color="000000"/>
        </w:rPr>
        <w:t xml:space="preserve">3   </w:t>
      </w:r>
      <w:r>
        <w:rPr>
          <w:rFonts w:hint="eastAsia" w:ascii="宋体" w:hAnsi="宋体" w:cs="宋体"/>
          <w:color w:val="auto"/>
          <w:szCs w:val="21"/>
          <w:highlight w:val="none"/>
          <w:u w:color="000000"/>
        </w:rPr>
        <w:t>天内将与合同有关的通知、批准、证明、证书、指示、指令、要求、请求、同意、意见、确定和决定等书面函件送达对方当事人。</w:t>
      </w:r>
    </w:p>
    <w:p w14:paraId="3898DC28">
      <w:pPr>
        <w:snapToGrid w:val="0"/>
        <w:spacing w:line="360" w:lineRule="auto"/>
        <w:ind w:firstLine="34"/>
        <w:rPr>
          <w:rFonts w:ascii="宋体" w:hAnsi="宋体" w:cs="宋体"/>
          <w:color w:val="auto"/>
          <w:szCs w:val="21"/>
          <w:highlight w:val="none"/>
          <w:u w:color="000000"/>
        </w:rPr>
      </w:pPr>
      <w:r>
        <w:rPr>
          <w:rFonts w:hint="eastAsia" w:ascii="宋体" w:hAnsi="宋体" w:cs="宋体"/>
          <w:color w:val="auto"/>
          <w:szCs w:val="21"/>
          <w:highlight w:val="none"/>
          <w:u w:color="000000"/>
        </w:rPr>
        <w:t>1.7.2 发包人接收文件的地点：</w:t>
      </w:r>
      <w:r>
        <w:rPr>
          <w:rFonts w:hint="eastAsia" w:ascii="宋体" w:hAnsi="宋体" w:cs="宋体"/>
          <w:color w:val="auto"/>
          <w:szCs w:val="21"/>
          <w:highlight w:val="none"/>
          <w:u w:val="single" w:color="000000"/>
        </w:rPr>
        <w:t xml:space="preserve">发包人现场办公室 </w:t>
      </w:r>
      <w:r>
        <w:rPr>
          <w:rFonts w:hint="eastAsia" w:ascii="宋体" w:hAnsi="宋体" w:cs="宋体"/>
          <w:color w:val="auto"/>
          <w:szCs w:val="21"/>
          <w:highlight w:val="none"/>
          <w:u w:color="000000"/>
        </w:rPr>
        <w:t>；</w:t>
      </w:r>
    </w:p>
    <w:p w14:paraId="781D67F8">
      <w:pPr>
        <w:snapToGrid w:val="0"/>
        <w:spacing w:line="360" w:lineRule="auto"/>
        <w:ind w:firstLine="34"/>
        <w:rPr>
          <w:rFonts w:ascii="宋体" w:hAnsi="宋体" w:cs="宋体"/>
          <w:color w:val="auto"/>
          <w:szCs w:val="21"/>
          <w:highlight w:val="none"/>
          <w:u w:color="000000"/>
        </w:rPr>
      </w:pPr>
      <w:r>
        <w:rPr>
          <w:rFonts w:hint="eastAsia" w:ascii="宋体" w:hAnsi="宋体" w:cs="宋体"/>
          <w:color w:val="auto"/>
          <w:szCs w:val="21"/>
          <w:highlight w:val="none"/>
          <w:u w:color="000000"/>
        </w:rPr>
        <w:t>发包人指定的接收人为：</w:t>
      </w:r>
      <w:r>
        <w:rPr>
          <w:rFonts w:hint="eastAsia" w:ascii="宋体" w:hAnsi="宋体" w:cs="宋体"/>
          <w:color w:val="auto"/>
          <w:szCs w:val="21"/>
          <w:highlight w:val="none"/>
          <w:u w:val="single" w:color="000000"/>
        </w:rPr>
        <w:t>待定              </w:t>
      </w:r>
      <w:r>
        <w:rPr>
          <w:rFonts w:hint="eastAsia" w:ascii="宋体" w:hAnsi="宋体" w:cs="宋体"/>
          <w:color w:val="auto"/>
          <w:szCs w:val="21"/>
          <w:highlight w:val="none"/>
          <w:u w:color="000000"/>
        </w:rPr>
        <w:t>。</w:t>
      </w:r>
    </w:p>
    <w:p w14:paraId="26989BB2">
      <w:pPr>
        <w:snapToGrid w:val="0"/>
        <w:spacing w:line="360" w:lineRule="auto"/>
        <w:ind w:firstLine="34"/>
        <w:rPr>
          <w:rFonts w:ascii="宋体" w:hAnsi="宋体" w:cs="宋体"/>
          <w:color w:val="auto"/>
          <w:szCs w:val="21"/>
          <w:highlight w:val="none"/>
          <w:u w:color="000000"/>
        </w:rPr>
      </w:pPr>
      <w:r>
        <w:rPr>
          <w:rFonts w:hint="eastAsia" w:ascii="宋体" w:hAnsi="宋体" w:cs="宋体"/>
          <w:color w:val="auto"/>
          <w:szCs w:val="21"/>
          <w:highlight w:val="none"/>
          <w:u w:color="000000"/>
        </w:rPr>
        <w:t>承包人接收文件的地点：</w:t>
      </w:r>
      <w:r>
        <w:rPr>
          <w:rFonts w:hint="eastAsia" w:ascii="宋体" w:hAnsi="宋体" w:cs="宋体"/>
          <w:color w:val="auto"/>
          <w:szCs w:val="21"/>
          <w:highlight w:val="none"/>
          <w:u w:val="single" w:color="000000"/>
        </w:rPr>
        <w:t xml:space="preserve">承包人现场办公室         </w:t>
      </w:r>
      <w:r>
        <w:rPr>
          <w:rFonts w:hint="eastAsia" w:ascii="宋体" w:hAnsi="宋体" w:cs="宋体"/>
          <w:color w:val="auto"/>
          <w:szCs w:val="21"/>
          <w:highlight w:val="none"/>
          <w:u w:color="000000"/>
        </w:rPr>
        <w:t>；</w:t>
      </w:r>
    </w:p>
    <w:p w14:paraId="6DFCDD8D">
      <w:pPr>
        <w:snapToGrid w:val="0"/>
        <w:spacing w:line="360" w:lineRule="auto"/>
        <w:ind w:firstLine="34"/>
        <w:rPr>
          <w:rFonts w:ascii="宋体" w:hAnsi="宋体" w:cs="宋体"/>
          <w:color w:val="auto"/>
          <w:szCs w:val="21"/>
          <w:highlight w:val="none"/>
          <w:u w:color="000000"/>
        </w:rPr>
      </w:pPr>
      <w:r>
        <w:rPr>
          <w:rFonts w:hint="eastAsia" w:ascii="宋体" w:hAnsi="宋体" w:cs="宋体"/>
          <w:color w:val="auto"/>
          <w:szCs w:val="21"/>
          <w:highlight w:val="none"/>
          <w:u w:color="000000"/>
        </w:rPr>
        <w:t>承包人指定的接收人为：</w:t>
      </w:r>
      <w:r>
        <w:rPr>
          <w:rFonts w:hint="eastAsia" w:ascii="宋体" w:hAnsi="宋体" w:cs="宋体"/>
          <w:color w:val="auto"/>
          <w:szCs w:val="21"/>
          <w:highlight w:val="none"/>
          <w:u w:val="single" w:color="000000"/>
        </w:rPr>
        <w:t>待定            </w:t>
      </w:r>
      <w:r>
        <w:rPr>
          <w:rFonts w:hint="eastAsia" w:ascii="宋体" w:hAnsi="宋体" w:cs="宋体"/>
          <w:color w:val="auto"/>
          <w:szCs w:val="21"/>
          <w:highlight w:val="none"/>
          <w:u w:color="000000"/>
        </w:rPr>
        <w:t>。</w:t>
      </w:r>
    </w:p>
    <w:p w14:paraId="1F6DC878">
      <w:pPr>
        <w:snapToGrid w:val="0"/>
        <w:spacing w:line="360" w:lineRule="auto"/>
        <w:ind w:firstLine="34"/>
        <w:rPr>
          <w:rFonts w:ascii="宋体" w:hAnsi="宋体" w:cs="宋体"/>
          <w:color w:val="auto"/>
          <w:szCs w:val="21"/>
          <w:highlight w:val="none"/>
          <w:u w:color="000000"/>
        </w:rPr>
      </w:pPr>
      <w:r>
        <w:rPr>
          <w:rFonts w:hint="eastAsia" w:ascii="宋体" w:hAnsi="宋体" w:cs="宋体"/>
          <w:color w:val="auto"/>
          <w:szCs w:val="21"/>
          <w:highlight w:val="none"/>
          <w:u w:color="000000"/>
        </w:rPr>
        <w:t>监理人接收文件的地点：</w:t>
      </w:r>
      <w:r>
        <w:rPr>
          <w:rFonts w:hint="eastAsia" w:ascii="宋体" w:hAnsi="宋体" w:cs="宋体"/>
          <w:color w:val="auto"/>
          <w:szCs w:val="21"/>
          <w:highlight w:val="none"/>
          <w:u w:val="single" w:color="000000"/>
        </w:rPr>
        <w:t xml:space="preserve">监理人现场办公室        </w:t>
      </w:r>
      <w:r>
        <w:rPr>
          <w:rFonts w:hint="eastAsia" w:ascii="宋体" w:hAnsi="宋体" w:cs="宋体"/>
          <w:color w:val="auto"/>
          <w:szCs w:val="21"/>
          <w:highlight w:val="none"/>
          <w:u w:color="000000"/>
        </w:rPr>
        <w:t>；</w:t>
      </w:r>
    </w:p>
    <w:p w14:paraId="300E9097">
      <w:pPr>
        <w:snapToGrid w:val="0"/>
        <w:spacing w:line="360" w:lineRule="auto"/>
        <w:ind w:firstLine="34"/>
        <w:rPr>
          <w:rFonts w:ascii="宋体" w:hAnsi="宋体" w:cs="宋体"/>
          <w:color w:val="auto"/>
          <w:szCs w:val="21"/>
          <w:highlight w:val="none"/>
          <w:u w:color="000000"/>
        </w:rPr>
      </w:pPr>
      <w:r>
        <w:rPr>
          <w:rFonts w:hint="eastAsia" w:ascii="宋体" w:hAnsi="宋体" w:cs="宋体"/>
          <w:color w:val="auto"/>
          <w:szCs w:val="21"/>
          <w:highlight w:val="none"/>
          <w:u w:color="000000"/>
        </w:rPr>
        <w:t>监理人指定的接收人为：</w:t>
      </w:r>
      <w:r>
        <w:rPr>
          <w:rFonts w:hint="eastAsia" w:ascii="宋体" w:hAnsi="宋体" w:cs="宋体"/>
          <w:color w:val="auto"/>
          <w:szCs w:val="21"/>
          <w:highlight w:val="none"/>
          <w:u w:val="single" w:color="000000"/>
        </w:rPr>
        <w:t xml:space="preserve">待定           </w:t>
      </w:r>
      <w:r>
        <w:rPr>
          <w:rFonts w:hint="eastAsia" w:ascii="宋体" w:hAnsi="宋体" w:cs="宋体"/>
          <w:color w:val="auto"/>
          <w:szCs w:val="21"/>
          <w:highlight w:val="none"/>
          <w:u w:color="000000"/>
        </w:rPr>
        <w:t>。</w:t>
      </w:r>
    </w:p>
    <w:p w14:paraId="13AD6694">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1.10 交通运输</w:t>
      </w:r>
    </w:p>
    <w:p w14:paraId="5D88B714">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1.10.1 出入现场的权利</w:t>
      </w:r>
    </w:p>
    <w:p w14:paraId="28C40B3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关于出入现场的权利的约定：</w:t>
      </w:r>
      <w:r>
        <w:rPr>
          <w:rFonts w:hint="eastAsia" w:ascii="宋体" w:hAnsi="宋体" w:cs="宋体"/>
          <w:color w:val="auto"/>
          <w:szCs w:val="21"/>
          <w:highlight w:val="none"/>
          <w:u w:val="single"/>
        </w:rPr>
        <w:t></w:t>
      </w:r>
      <w:r>
        <w:rPr>
          <w:rFonts w:hint="eastAsia" w:ascii="宋体" w:hAnsi="宋体" w:cs="宋体"/>
          <w:color w:val="auto"/>
          <w:szCs w:val="21"/>
          <w:highlight w:val="none"/>
          <w:u w:val="single" w:color="000000"/>
        </w:rPr>
        <w:t>按《通用合同条款》执行</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14:paraId="069E0883">
      <w:pPr>
        <w:snapToGrid w:val="0"/>
        <w:spacing w:line="360" w:lineRule="auto"/>
        <w:ind w:firstLine="420" w:firstLineChars="200"/>
        <w:jc w:val="left"/>
        <w:outlineLvl w:val="0"/>
        <w:rPr>
          <w:rFonts w:ascii="宋体" w:hAnsi="宋体" w:cs="宋体"/>
          <w:color w:val="auto"/>
          <w:szCs w:val="21"/>
          <w:highlight w:val="none"/>
        </w:rPr>
      </w:pPr>
      <w:r>
        <w:rPr>
          <w:rFonts w:hint="eastAsia" w:ascii="宋体" w:hAnsi="宋体" w:cs="宋体"/>
          <w:color w:val="auto"/>
          <w:szCs w:val="21"/>
          <w:highlight w:val="none"/>
        </w:rPr>
        <w:t>1.10.3 场内交通</w:t>
      </w:r>
    </w:p>
    <w:p w14:paraId="719C4427">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关于场外交通和场内交通的边界的约定：</w:t>
      </w:r>
      <w:r>
        <w:rPr>
          <w:rFonts w:hint="eastAsia" w:ascii="宋体" w:hAnsi="宋体" w:cs="宋体"/>
          <w:color w:val="auto"/>
          <w:szCs w:val="21"/>
          <w:highlight w:val="none"/>
          <w:u w:val="single"/>
        </w:rPr>
        <w:t></w:t>
      </w:r>
      <w:r>
        <w:rPr>
          <w:rFonts w:hint="eastAsia" w:ascii="宋体" w:hAnsi="宋体" w:cs="宋体"/>
          <w:color w:val="auto"/>
          <w:szCs w:val="21"/>
          <w:highlight w:val="none"/>
          <w:u w:val="single" w:color="000000"/>
        </w:rPr>
        <w:t>以施工现场围墙（挡）为界</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4B795363">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关于发包人向承包人免费提供满足工程施工需要的场内道路和交通设施的约定：</w:t>
      </w:r>
      <w:r>
        <w:rPr>
          <w:rFonts w:hint="eastAsia" w:ascii="宋体" w:hAnsi="宋体" w:cs="宋体"/>
          <w:color w:val="auto"/>
          <w:szCs w:val="21"/>
          <w:highlight w:val="none"/>
          <w:u w:val="single" w:color="000000"/>
        </w:rPr>
        <w:t>由承包人负责并承担相应费用</w:t>
      </w:r>
      <w:r>
        <w:rPr>
          <w:rFonts w:hint="eastAsia" w:ascii="宋体" w:hAnsi="宋体" w:cs="宋体"/>
          <w:color w:val="auto"/>
          <w:szCs w:val="21"/>
          <w:highlight w:val="none"/>
        </w:rPr>
        <w:t xml:space="preserve">。  </w:t>
      </w:r>
    </w:p>
    <w:p w14:paraId="695FF72C">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1.10.4超大件和超重件的运输</w:t>
      </w:r>
    </w:p>
    <w:p w14:paraId="5E3C65E2">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运输超大件或超重件所需的道路和桥梁临时加固改造费用和其他有关费用由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color="000000"/>
        </w:rPr>
        <w:t>按《通用合同条款》1.18.3条执行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承担。</w:t>
      </w:r>
    </w:p>
    <w:p w14:paraId="45488EAD">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1.11 知识产权</w:t>
      </w:r>
    </w:p>
    <w:p w14:paraId="1F2FBE7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auto"/>
          <w:szCs w:val="21"/>
          <w:highlight w:val="none"/>
          <w:u w:val="single"/>
        </w:rPr>
        <w:t></w:t>
      </w:r>
      <w:r>
        <w:rPr>
          <w:rFonts w:hint="eastAsia" w:ascii="宋体" w:hAnsi="宋体" w:cs="宋体"/>
          <w:color w:val="auto"/>
          <w:szCs w:val="21"/>
          <w:highlight w:val="none"/>
          <w:u w:val="single" w:color="000000"/>
        </w:rPr>
        <w:t>按《通用合同条款》执行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15311F9">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关于发包人提供的上述文件的使用限制的要求：</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color="000000"/>
        </w:rPr>
        <w:t>按《通用合同条款》执行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6572BF8">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1.11.2 关于承包人为实施工程所编制文件的著作权的归属：</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color="000000"/>
        </w:rPr>
        <w:t>按《通用合同条款》执行</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14:paraId="1192E215">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关于承包人提供的上述文件的使用限制的要求：</w:t>
      </w:r>
      <w:r>
        <w:rPr>
          <w:rFonts w:hint="eastAsia" w:ascii="宋体" w:hAnsi="宋体" w:cs="宋体"/>
          <w:color w:val="auto"/>
          <w:szCs w:val="21"/>
          <w:highlight w:val="none"/>
          <w:u w:val="single"/>
        </w:rPr>
        <w:t></w:t>
      </w:r>
      <w:r>
        <w:rPr>
          <w:rFonts w:hint="eastAsia" w:ascii="宋体" w:hAnsi="宋体" w:cs="宋体"/>
          <w:color w:val="auto"/>
          <w:szCs w:val="21"/>
          <w:highlight w:val="none"/>
          <w:u w:val="single" w:color="000000"/>
        </w:rPr>
        <w:t>按《通用合同条款》执行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B10E13C">
      <w:pPr>
        <w:snapToGrid w:val="0"/>
        <w:spacing w:line="360" w:lineRule="auto"/>
        <w:ind w:firstLine="420" w:firstLineChars="200"/>
        <w:outlineLvl w:val="0"/>
        <w:rPr>
          <w:rFonts w:ascii="宋体" w:hAnsi="宋体" w:cs="宋体"/>
          <w:color w:val="auto"/>
          <w:kern w:val="0"/>
          <w:szCs w:val="21"/>
          <w:highlight w:val="none"/>
        </w:rPr>
      </w:pPr>
      <w:r>
        <w:rPr>
          <w:rFonts w:hint="eastAsia" w:ascii="宋体" w:hAnsi="宋体" w:cs="宋体"/>
          <w:color w:val="auto"/>
          <w:szCs w:val="21"/>
          <w:highlight w:val="none"/>
        </w:rPr>
        <w:t>1.11.4 承包人在施工过程中所采用的专利、专有技术、技术秘密的使用费的承担方式：</w:t>
      </w:r>
      <w:r>
        <w:rPr>
          <w:rFonts w:hint="eastAsia" w:ascii="宋体" w:hAnsi="宋体" w:cs="宋体"/>
          <w:color w:val="auto"/>
          <w:szCs w:val="21"/>
          <w:highlight w:val="none"/>
          <w:u w:val="single"/>
        </w:rPr>
        <w:t></w:t>
      </w:r>
      <w:r>
        <w:rPr>
          <w:rFonts w:hint="eastAsia" w:ascii="宋体" w:hAnsi="宋体" w:cs="宋体"/>
          <w:b/>
          <w:bCs/>
          <w:color w:val="auto"/>
          <w:szCs w:val="21"/>
          <w:highlight w:val="none"/>
          <w:u w:val="single" w:color="000000"/>
        </w:rPr>
        <w:t xml:space="preserve">（除发包人指明外）承包人在施工过程中所采用的专利、专有技术、技术秘密的使用费包含在合同价款内 </w:t>
      </w:r>
      <w:r>
        <w:rPr>
          <w:rFonts w:hint="eastAsia" w:ascii="宋体" w:hAnsi="宋体" w:cs="宋体"/>
          <w:color w:val="auto"/>
          <w:kern w:val="0"/>
          <w:szCs w:val="21"/>
          <w:highlight w:val="none"/>
        </w:rPr>
        <w:t>。</w:t>
      </w:r>
    </w:p>
    <w:p w14:paraId="1E7843A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1.13工程量清单错误的修正</w:t>
      </w:r>
    </w:p>
    <w:p w14:paraId="18BDD61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出现工程量清单错误时，是否调整合同价格：</w:t>
      </w:r>
      <w:r>
        <w:rPr>
          <w:rFonts w:hint="eastAsia" w:ascii="宋体" w:hAnsi="宋体" w:cs="宋体"/>
          <w:color w:val="auto"/>
          <w:szCs w:val="21"/>
          <w:highlight w:val="none"/>
          <w:u w:val="single"/>
        </w:rPr>
        <w:t xml:space="preserve">       否     </w:t>
      </w:r>
      <w:r>
        <w:rPr>
          <w:rFonts w:hint="eastAsia" w:ascii="宋体" w:hAnsi="宋体" w:cs="宋体"/>
          <w:color w:val="auto"/>
          <w:kern w:val="0"/>
          <w:szCs w:val="21"/>
          <w:highlight w:val="none"/>
        </w:rPr>
        <w:t>。</w:t>
      </w:r>
    </w:p>
    <w:p w14:paraId="14767EB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允许调整合同价格的工程量偏差范围：</w:t>
      </w:r>
      <w:r>
        <w:rPr>
          <w:rFonts w:hint="eastAsia" w:ascii="宋体" w:hAnsi="宋体" w:cs="宋体"/>
          <w:color w:val="auto"/>
          <w:szCs w:val="21"/>
          <w:highlight w:val="none"/>
          <w:u w:val="single"/>
        </w:rPr>
        <w:t xml:space="preserve">       /           </w:t>
      </w:r>
      <w:r>
        <w:rPr>
          <w:rFonts w:hint="eastAsia" w:ascii="宋体" w:hAnsi="宋体" w:cs="宋体"/>
          <w:color w:val="auto"/>
          <w:kern w:val="0"/>
          <w:szCs w:val="21"/>
          <w:highlight w:val="none"/>
        </w:rPr>
        <w:t>。</w:t>
      </w:r>
    </w:p>
    <w:p w14:paraId="6FF46440">
      <w:pPr>
        <w:pStyle w:val="7"/>
        <w:snapToGrid w:val="0"/>
        <w:spacing w:before="0" w:after="0" w:line="360" w:lineRule="auto"/>
        <w:ind w:firstLine="29"/>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 发包人</w:t>
      </w:r>
    </w:p>
    <w:p w14:paraId="3D48F599">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2.2 发包人代表</w:t>
      </w:r>
    </w:p>
    <w:p w14:paraId="1FDB823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发包人代表：</w:t>
      </w:r>
    </w:p>
    <w:p w14:paraId="7DD8CB1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1D6BEF1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身份证号：</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0A4EC31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职    务：</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489554A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   </w:t>
      </w:r>
      <w:r>
        <w:rPr>
          <w:rFonts w:hint="eastAsia" w:ascii="宋体" w:hAnsi="宋体" w:cs="宋体"/>
          <w:color w:val="auto"/>
          <w:szCs w:val="21"/>
          <w:highlight w:val="none"/>
        </w:rPr>
        <w:t>；</w:t>
      </w:r>
    </w:p>
    <w:p w14:paraId="007C657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   </w:t>
      </w:r>
      <w:r>
        <w:rPr>
          <w:rFonts w:hint="eastAsia" w:ascii="宋体" w:hAnsi="宋体" w:cs="宋体"/>
          <w:color w:val="auto"/>
          <w:szCs w:val="21"/>
          <w:highlight w:val="none"/>
        </w:rPr>
        <w:t>；</w:t>
      </w:r>
    </w:p>
    <w:p w14:paraId="6F92996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4C528361">
      <w:pPr>
        <w:snapToGrid w:val="0"/>
        <w:spacing w:line="360" w:lineRule="auto"/>
        <w:ind w:firstLine="34"/>
        <w:rPr>
          <w:rFonts w:ascii="宋体" w:hAnsi="宋体" w:cs="宋体"/>
          <w:b/>
          <w:color w:val="auto"/>
          <w:szCs w:val="21"/>
          <w:highlight w:val="none"/>
          <w:u w:val="single"/>
        </w:rPr>
      </w:pPr>
      <w:r>
        <w:rPr>
          <w:rFonts w:hint="eastAsia" w:ascii="宋体" w:hAnsi="宋体" w:cs="宋体"/>
          <w:color w:val="auto"/>
          <w:szCs w:val="21"/>
          <w:highlight w:val="none"/>
        </w:rPr>
        <w:t>发包人对发包人代表的授权范围如下：</w:t>
      </w:r>
      <w:r>
        <w:rPr>
          <w:rFonts w:hint="eastAsia" w:ascii="宋体" w:hAnsi="宋体" w:cs="宋体"/>
          <w:b/>
          <w:color w:val="auto"/>
          <w:szCs w:val="21"/>
          <w:highlight w:val="none"/>
          <w:u w:val="single"/>
        </w:rPr>
        <w:t>对工程进度、质量、成本及合同执行情况进行监督和检查,负责设计问题的处理，进行设计变更、联系单及工程进度款签证。</w:t>
      </w:r>
    </w:p>
    <w:p w14:paraId="56213231">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2.4 施工现场、施工条件和基础资料的提供</w:t>
      </w:r>
    </w:p>
    <w:p w14:paraId="48D1D88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 提供施工现场</w:t>
      </w:r>
    </w:p>
    <w:p w14:paraId="07C3EAA1">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关于发包人移交施工现场的期限要求：</w:t>
      </w:r>
      <w:r>
        <w:rPr>
          <w:rFonts w:hint="eastAsia" w:ascii="宋体" w:hAnsi="宋体" w:cs="宋体"/>
          <w:color w:val="auto"/>
          <w:szCs w:val="21"/>
          <w:highlight w:val="none"/>
          <w:u w:val="single"/>
        </w:rPr>
        <w:t></w:t>
      </w:r>
      <w:r>
        <w:rPr>
          <w:rFonts w:hint="eastAsia" w:ascii="宋体" w:hAnsi="宋体" w:cs="宋体"/>
          <w:color w:val="auto"/>
          <w:szCs w:val="21"/>
          <w:highlight w:val="none"/>
          <w:u w:val="single" w:color="000000"/>
        </w:rPr>
        <w:t xml:space="preserve">按通用条款执行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CA75A9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2.4.2 提供施工条件</w:t>
      </w:r>
    </w:p>
    <w:p w14:paraId="1F995304">
      <w:pP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关于发包人应负责提供施工所需要的条件，包括：</w:t>
      </w:r>
      <w:r>
        <w:rPr>
          <w:rFonts w:hint="eastAsia" w:ascii="宋体" w:hAnsi="宋体" w:cs="宋体"/>
          <w:color w:val="auto"/>
          <w:szCs w:val="21"/>
          <w:highlight w:val="none"/>
          <w:u w:val="single" w:color="000000"/>
        </w:rPr>
        <w:t>除《通用合同条款》2.4.2条规定外，开工日7天前，由发包人组织设计人、承包人、监理单位进行图纸会审，设计人向承包人进行设计交底</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4ED224D">
      <w:pPr>
        <w:snapToGrid w:val="0"/>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2.5 资金来源证明及支付担保</w:t>
      </w:r>
    </w:p>
    <w:p w14:paraId="103CF32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发包人提供资金来源证明的期限要求：</w:t>
      </w:r>
      <w:r>
        <w:rPr>
          <w:rFonts w:hint="eastAsia" w:ascii="宋体" w:hAnsi="宋体" w:cs="宋体"/>
          <w:color w:val="auto"/>
          <w:szCs w:val="21"/>
          <w:highlight w:val="none"/>
          <w:u w:val="single"/>
        </w:rPr>
        <w:t xml:space="preserve">财政拨款     </w:t>
      </w:r>
      <w:r>
        <w:rPr>
          <w:rFonts w:hint="eastAsia" w:ascii="宋体" w:hAnsi="宋体" w:cs="宋体"/>
          <w:color w:val="auto"/>
          <w:szCs w:val="21"/>
          <w:highlight w:val="none"/>
        </w:rPr>
        <w:t>。</w:t>
      </w:r>
    </w:p>
    <w:p w14:paraId="3B36797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发包人是否提供支付担保：</w:t>
      </w:r>
      <w:r>
        <w:rPr>
          <w:rFonts w:hint="eastAsia" w:ascii="宋体" w:hAnsi="宋体" w:cs="宋体"/>
          <w:color w:val="auto"/>
          <w:szCs w:val="21"/>
          <w:highlight w:val="none"/>
          <w:u w:val="single"/>
        </w:rPr>
        <w:t xml:space="preserve">        /             </w:t>
      </w:r>
      <w:r>
        <w:rPr>
          <w:rFonts w:hint="eastAsia" w:ascii="宋体" w:hAnsi="宋体" w:cs="宋体"/>
          <w:color w:val="auto"/>
          <w:szCs w:val="21"/>
          <w:highlight w:val="none"/>
        </w:rPr>
        <w:t>。</w:t>
      </w:r>
    </w:p>
    <w:p w14:paraId="0FD268D3">
      <w:pP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发包人提供支付担保的形式：</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0BD59B5D">
      <w:pPr>
        <w:pStyle w:val="7"/>
        <w:snapToGrid w:val="0"/>
        <w:spacing w:before="0" w:after="0" w:line="360" w:lineRule="auto"/>
        <w:ind w:firstLine="29"/>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 承包人</w:t>
      </w:r>
    </w:p>
    <w:p w14:paraId="568CB78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 承包人的一般义务</w:t>
      </w:r>
    </w:p>
    <w:p w14:paraId="2C428736">
      <w:pPr>
        <w:snapToGrid w:val="0"/>
        <w:spacing w:line="360" w:lineRule="auto"/>
        <w:ind w:firstLine="34"/>
        <w:jc w:val="left"/>
        <w:rPr>
          <w:rFonts w:ascii="宋体" w:hAnsi="宋体" w:cs="宋体"/>
          <w:b/>
          <w:bCs/>
          <w:color w:val="auto"/>
          <w:szCs w:val="21"/>
          <w:highlight w:val="none"/>
          <w:u w:val="single" w:color="000000"/>
        </w:rPr>
      </w:pPr>
      <w:r>
        <w:rPr>
          <w:rFonts w:hint="eastAsia" w:ascii="宋体" w:hAnsi="宋体" w:cs="宋体"/>
          <w:color w:val="auto"/>
          <w:kern w:val="0"/>
          <w:szCs w:val="21"/>
          <w:highlight w:val="none"/>
        </w:rPr>
        <w:t>（9）</w:t>
      </w:r>
      <w:r>
        <w:rPr>
          <w:rFonts w:hint="eastAsia" w:ascii="宋体" w:hAnsi="宋体" w:cs="宋体"/>
          <w:color w:val="auto"/>
          <w:szCs w:val="21"/>
          <w:highlight w:val="none"/>
        </w:rPr>
        <w:t>承包人提交的竣工资料的内容：</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color="000000"/>
        </w:rPr>
        <w:t>工程项目竣工通过验收后，承包人需按杭州市规定要求在15个工作日内向发包人报送竣工档案，竣工档案资料管理按国家规定及发包人的相关文件执行。承包人在发包人规定期限内整理完成符合要求的竣工资料，每推迟1天,罚乙方1000元，扣完为止。承包人需另行提供竣工图纸和资料，配合本项目的总体验收。工程结算必须在竣工档案通过验收后方可进行。</w:t>
      </w:r>
    </w:p>
    <w:p w14:paraId="7B70F6CB">
      <w:pPr>
        <w:snapToGrid w:val="0"/>
        <w:spacing w:line="360" w:lineRule="auto"/>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承包人需要提交的竣工资料套数：</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color="000000"/>
        </w:rPr>
        <w:t>5套竣工图、3套竣工资料和电子版竣工图及资料光盘一张</w:t>
      </w:r>
      <w:r>
        <w:rPr>
          <w:rFonts w:hint="eastAsia" w:ascii="宋体" w:hAnsi="宋体" w:cs="宋体"/>
          <w:color w:val="auto"/>
          <w:szCs w:val="21"/>
          <w:highlight w:val="none"/>
        </w:rPr>
        <w:t>。</w:t>
      </w:r>
    </w:p>
    <w:p w14:paraId="2137F297">
      <w:pPr>
        <w:snapToGrid w:val="0"/>
        <w:spacing w:line="360" w:lineRule="auto"/>
        <w:ind w:left="638" w:leftChars="304"/>
        <w:jc w:val="left"/>
        <w:rPr>
          <w:rFonts w:ascii="宋体" w:hAnsi="宋体" w:cs="宋体"/>
          <w:color w:val="auto"/>
          <w:szCs w:val="21"/>
          <w:highlight w:val="none"/>
        </w:rPr>
      </w:pPr>
      <w:r>
        <w:rPr>
          <w:rFonts w:hint="eastAsia" w:ascii="宋体" w:hAnsi="宋体" w:cs="宋体"/>
          <w:color w:val="auto"/>
          <w:szCs w:val="21"/>
          <w:highlight w:val="none"/>
        </w:rPr>
        <w:t>承包人提交的竣工资料的费用承担：</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color="000000"/>
        </w:rPr>
        <w:t>由承包人承担</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6E819F8">
      <w:pPr>
        <w:snapToGrid w:val="0"/>
        <w:spacing w:line="360" w:lineRule="auto"/>
        <w:ind w:left="638" w:leftChars="304"/>
        <w:jc w:val="left"/>
        <w:rPr>
          <w:rFonts w:ascii="宋体" w:hAnsi="宋体" w:cs="宋体"/>
          <w:color w:val="auto"/>
          <w:szCs w:val="21"/>
          <w:highlight w:val="none"/>
        </w:rPr>
      </w:pPr>
      <w:r>
        <w:rPr>
          <w:rFonts w:hint="eastAsia" w:ascii="宋体" w:hAnsi="宋体" w:cs="宋体"/>
          <w:color w:val="auto"/>
          <w:szCs w:val="21"/>
          <w:highlight w:val="none"/>
        </w:rPr>
        <w:t>承包人提交的竣工资料移交时间：</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color="000000"/>
        </w:rPr>
        <w:t>竣工验收合格后28天内</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1B83198">
      <w:pPr>
        <w:snapToGrid w:val="0"/>
        <w:spacing w:line="360" w:lineRule="auto"/>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承包人提交的竣工资料形式要求：</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color="000000"/>
        </w:rPr>
        <w:t xml:space="preserve"> </w:t>
      </w:r>
      <w:r>
        <w:rPr>
          <w:rFonts w:hint="eastAsia" w:ascii="宋体" w:hAnsi="宋体" w:cs="宋体"/>
          <w:b/>
          <w:bCs/>
          <w:color w:val="auto"/>
          <w:szCs w:val="21"/>
          <w:highlight w:val="none"/>
          <w:u w:val="single" w:color="000000"/>
        </w:rPr>
        <w:t>书面形式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428C846">
      <w:pPr>
        <w:numPr>
          <w:ilvl w:val="0"/>
          <w:numId w:val="9"/>
        </w:numPr>
        <w:snapToGrid w:val="0"/>
        <w:spacing w:line="360" w:lineRule="auto"/>
        <w:ind w:firstLine="34"/>
        <w:jc w:val="left"/>
        <w:rPr>
          <w:rFonts w:ascii="宋体" w:hAnsi="宋体" w:cs="宋体"/>
          <w:color w:val="auto"/>
          <w:kern w:val="0"/>
          <w:szCs w:val="21"/>
          <w:highlight w:val="none"/>
        </w:rPr>
      </w:pPr>
      <w:r>
        <w:rPr>
          <w:rFonts w:hint="eastAsia" w:ascii="宋体" w:hAnsi="宋体" w:cs="宋体"/>
          <w:color w:val="auto"/>
          <w:kern w:val="0"/>
          <w:szCs w:val="21"/>
          <w:highlight w:val="none"/>
        </w:rPr>
        <w:t>承包人应履行的其他义务：</w:t>
      </w:r>
    </w:p>
    <w:p w14:paraId="00039BEF">
      <w:pPr>
        <w:numPr>
          <w:ilvl w:val="0"/>
          <w:numId w:val="10"/>
        </w:numPr>
        <w:snapToGrid w:val="0"/>
        <w:spacing w:line="360" w:lineRule="auto"/>
        <w:ind w:left="420" w:leftChars="200" w:firstLine="367" w:firstLineChars="175"/>
        <w:rPr>
          <w:rFonts w:asciiTheme="minorEastAsia" w:hAnsiTheme="minorEastAsia" w:eastAsiaTheme="minorEastAsia" w:cstheme="minorEastAsia"/>
          <w:color w:val="auto"/>
          <w:szCs w:val="21"/>
          <w:highlight w:val="none"/>
          <w:u w:val="single" w:color="000000"/>
        </w:rPr>
      </w:pPr>
      <w:r>
        <w:rPr>
          <w:rFonts w:hint="eastAsia" w:asciiTheme="minorEastAsia" w:hAnsiTheme="minorEastAsia" w:eastAsiaTheme="minorEastAsia" w:cstheme="minorEastAsia"/>
          <w:color w:val="auto"/>
          <w:szCs w:val="21"/>
          <w:highlight w:val="none"/>
          <w:u w:val="single" w:color="000000"/>
        </w:rPr>
        <w:t>应提供计划、报表的名称及完成时间：开工前10天提供施工组织设计及施工详细的工期、质量、安全文明保证措施，并报监理工程师审定，每月25日前向监理工程师提交当月己完成工程量月报表、施工形象月报表、下个月进度计划。</w:t>
      </w:r>
    </w:p>
    <w:p w14:paraId="15FD1E1C">
      <w:pPr>
        <w:numPr>
          <w:ilvl w:val="0"/>
          <w:numId w:val="10"/>
        </w:numPr>
        <w:snapToGrid w:val="0"/>
        <w:spacing w:line="360" w:lineRule="auto"/>
        <w:ind w:left="420" w:leftChars="200" w:firstLine="367" w:firstLineChars="175"/>
        <w:rPr>
          <w:rFonts w:asciiTheme="minorEastAsia" w:hAnsiTheme="minorEastAsia" w:eastAsiaTheme="minorEastAsia" w:cstheme="minorEastAsia"/>
          <w:color w:val="auto"/>
          <w:szCs w:val="21"/>
          <w:highlight w:val="none"/>
          <w:u w:val="single" w:color="000000"/>
        </w:rPr>
      </w:pPr>
      <w:r>
        <w:rPr>
          <w:rFonts w:hint="eastAsia" w:asciiTheme="minorEastAsia" w:hAnsiTheme="minorEastAsia" w:eastAsiaTheme="minorEastAsia" w:cstheme="minorEastAsia"/>
          <w:color w:val="auto"/>
          <w:szCs w:val="21"/>
          <w:highlight w:val="none"/>
          <w:u w:val="single" w:color="000000"/>
        </w:rPr>
        <w:t>承担施工安全保卫工作及非夜间施工照明的责任和要求：由承包人负责，并承担相应费用。承办施工暂住人口证手续以及计划生育手续，施工现场的夜间照明线路必须单独敷设。切实履行工地治安，生产安全的责任和义务，并承担所有安全保卫责任以及引起的所有的经济和法律责任，确保安全文明施工。</w:t>
      </w:r>
    </w:p>
    <w:p w14:paraId="70193A46">
      <w:pPr>
        <w:numPr>
          <w:ilvl w:val="0"/>
          <w:numId w:val="10"/>
        </w:numPr>
        <w:snapToGrid w:val="0"/>
        <w:spacing w:line="360" w:lineRule="auto"/>
        <w:ind w:left="420" w:leftChars="200" w:firstLine="367" w:firstLineChars="175"/>
        <w:rPr>
          <w:rFonts w:asciiTheme="minorEastAsia" w:hAnsiTheme="minorEastAsia" w:eastAsiaTheme="minorEastAsia" w:cstheme="minorEastAsia"/>
          <w:color w:val="auto"/>
          <w:szCs w:val="21"/>
          <w:highlight w:val="none"/>
          <w:u w:val="single" w:color="000000"/>
        </w:rPr>
      </w:pPr>
      <w:r>
        <w:rPr>
          <w:rFonts w:hint="eastAsia" w:asciiTheme="minorEastAsia" w:hAnsiTheme="minorEastAsia" w:eastAsiaTheme="minorEastAsia" w:cstheme="minorEastAsia"/>
          <w:color w:val="auto"/>
          <w:szCs w:val="21"/>
          <w:highlight w:val="none"/>
          <w:u w:val="single" w:color="000000"/>
        </w:rPr>
        <w:t>向发包人提供的办公和生活房屋及设施的要求：无。</w:t>
      </w:r>
    </w:p>
    <w:p w14:paraId="2F134FE0">
      <w:pPr>
        <w:numPr>
          <w:ilvl w:val="0"/>
          <w:numId w:val="10"/>
        </w:numPr>
        <w:snapToGrid w:val="0"/>
        <w:spacing w:line="360" w:lineRule="auto"/>
        <w:ind w:left="420" w:leftChars="200" w:firstLine="367" w:firstLineChars="175"/>
        <w:rPr>
          <w:rFonts w:asciiTheme="minorEastAsia" w:hAnsiTheme="minorEastAsia" w:eastAsiaTheme="minorEastAsia" w:cstheme="minorEastAsia"/>
          <w:color w:val="auto"/>
          <w:szCs w:val="21"/>
          <w:highlight w:val="none"/>
          <w:u w:val="single" w:color="000000"/>
        </w:rPr>
      </w:pPr>
      <w:r>
        <w:rPr>
          <w:rFonts w:hint="eastAsia" w:asciiTheme="minorEastAsia" w:hAnsiTheme="minorEastAsia" w:eastAsiaTheme="minorEastAsia" w:cstheme="minorEastAsia"/>
          <w:color w:val="auto"/>
          <w:szCs w:val="21"/>
          <w:highlight w:val="none"/>
          <w:u w:val="single" w:color="000000"/>
        </w:rPr>
        <w:t>需承包人办理的有关施工场地交通、环卫和施工噪音管理等手续：由承包人按杭州市建委、安监、环保、行政执法、创建办等部门的相关规定实施标化施工管理，并承担相关费用。</w:t>
      </w:r>
    </w:p>
    <w:p w14:paraId="26386DF2">
      <w:pPr>
        <w:numPr>
          <w:ilvl w:val="0"/>
          <w:numId w:val="10"/>
        </w:numPr>
        <w:snapToGrid w:val="0"/>
        <w:spacing w:line="360" w:lineRule="auto"/>
        <w:ind w:left="420" w:leftChars="200" w:firstLine="367" w:firstLineChars="175"/>
        <w:rPr>
          <w:rFonts w:asciiTheme="minorEastAsia" w:hAnsiTheme="minorEastAsia" w:eastAsiaTheme="minorEastAsia" w:cstheme="minorEastAsia"/>
          <w:color w:val="auto"/>
          <w:szCs w:val="21"/>
          <w:highlight w:val="none"/>
          <w:u w:val="single" w:color="000000"/>
        </w:rPr>
      </w:pPr>
      <w:r>
        <w:rPr>
          <w:rFonts w:hint="eastAsia" w:asciiTheme="minorEastAsia" w:hAnsiTheme="minorEastAsia" w:eastAsiaTheme="minorEastAsia" w:cstheme="minorEastAsia"/>
          <w:color w:val="auto"/>
          <w:szCs w:val="21"/>
          <w:highlight w:val="none"/>
          <w:u w:val="single" w:color="000000"/>
        </w:rPr>
        <w:t>已完工程成品保护的特殊要求及费用承担：承包人承担总包范围内工程成品保护与维修的责任及相关费用。</w:t>
      </w:r>
    </w:p>
    <w:p w14:paraId="44B96218">
      <w:pPr>
        <w:numPr>
          <w:ilvl w:val="0"/>
          <w:numId w:val="10"/>
        </w:numPr>
        <w:snapToGrid w:val="0"/>
        <w:spacing w:line="360" w:lineRule="auto"/>
        <w:ind w:left="420" w:leftChars="200" w:firstLine="367" w:firstLineChars="175"/>
        <w:rPr>
          <w:rFonts w:asciiTheme="minorEastAsia" w:hAnsiTheme="minorEastAsia" w:eastAsiaTheme="minorEastAsia" w:cstheme="minorEastAsia"/>
          <w:color w:val="auto"/>
          <w:szCs w:val="21"/>
          <w:highlight w:val="none"/>
          <w:u w:val="single" w:color="000000"/>
        </w:rPr>
      </w:pPr>
      <w:r>
        <w:rPr>
          <w:rFonts w:hint="eastAsia" w:asciiTheme="minorEastAsia" w:hAnsiTheme="minorEastAsia" w:eastAsiaTheme="minorEastAsia" w:cstheme="minorEastAsia"/>
          <w:color w:val="auto"/>
          <w:szCs w:val="21"/>
          <w:highlight w:val="none"/>
          <w:u w:val="single" w:color="000000"/>
        </w:rPr>
        <w:t>施工场地周围地下管线和邻近建筑物、构筑物（含文物保护建筑）、古树名木的保护要求及费用承担：承包人应做好施工场地周围地下管线和邻近建筑物、构筑物的保护工作并承担费用，除文物、古树名木保护外经发包人认可发生的费用，由发包人承担，其余因施工不当等承包人原因，发生的法律责任和经济损失由承包人承担。</w:t>
      </w:r>
    </w:p>
    <w:p w14:paraId="1361CA4D">
      <w:pPr>
        <w:numPr>
          <w:ilvl w:val="0"/>
          <w:numId w:val="10"/>
        </w:numPr>
        <w:snapToGrid w:val="0"/>
        <w:spacing w:line="360" w:lineRule="auto"/>
        <w:ind w:left="420" w:leftChars="200" w:firstLine="367" w:firstLineChars="175"/>
        <w:rPr>
          <w:rFonts w:asciiTheme="minorEastAsia" w:hAnsiTheme="minorEastAsia" w:eastAsiaTheme="minorEastAsia" w:cstheme="minorEastAsia"/>
          <w:color w:val="auto"/>
          <w:szCs w:val="21"/>
          <w:highlight w:val="none"/>
          <w:u w:val="single" w:color="000000"/>
        </w:rPr>
      </w:pPr>
      <w:r>
        <w:rPr>
          <w:rFonts w:hint="eastAsia" w:asciiTheme="minorEastAsia" w:hAnsiTheme="minorEastAsia" w:eastAsiaTheme="minorEastAsia" w:cstheme="minorEastAsia"/>
          <w:color w:val="auto"/>
          <w:szCs w:val="21"/>
          <w:highlight w:val="none"/>
          <w:u w:val="single" w:color="000000"/>
        </w:rPr>
        <w:t>施工场地清洁卫生的要求：每天清扫一次，现场公共部位的清洁工作，工程完工交付3天内现场应清除所有不再需要的临时工程，承包人的设备和多余材料，全部建筑和生活垃圾。</w:t>
      </w:r>
    </w:p>
    <w:p w14:paraId="36EAE8F2">
      <w:pPr>
        <w:numPr>
          <w:ilvl w:val="0"/>
          <w:numId w:val="10"/>
        </w:numPr>
        <w:snapToGrid w:val="0"/>
        <w:spacing w:line="360" w:lineRule="auto"/>
        <w:ind w:left="420" w:leftChars="200" w:firstLine="367" w:firstLineChars="175"/>
        <w:rPr>
          <w:rFonts w:asciiTheme="minorEastAsia" w:hAnsiTheme="minorEastAsia" w:eastAsiaTheme="minorEastAsia" w:cstheme="minorEastAsia"/>
          <w:color w:val="auto"/>
          <w:szCs w:val="21"/>
          <w:highlight w:val="none"/>
          <w:u w:val="single" w:color="000000"/>
        </w:rPr>
      </w:pPr>
      <w:r>
        <w:rPr>
          <w:rFonts w:hint="eastAsia" w:asciiTheme="minorEastAsia" w:hAnsiTheme="minorEastAsia" w:eastAsiaTheme="minorEastAsia" w:cstheme="minorEastAsia"/>
          <w:color w:val="auto"/>
          <w:szCs w:val="21"/>
          <w:highlight w:val="none"/>
          <w:u w:val="single" w:color="000000"/>
        </w:rPr>
        <w:t>双方约定承包人应做的其他工作：施工期间，休息时段（早、中、晚）施工场地应不影响周边相关人员正常通行。积极配合发包人要求的其他工作。</w:t>
      </w:r>
    </w:p>
    <w:p w14:paraId="607222BE">
      <w:pPr>
        <w:numPr>
          <w:ilvl w:val="0"/>
          <w:numId w:val="10"/>
        </w:numPr>
        <w:snapToGrid w:val="0"/>
        <w:spacing w:line="360" w:lineRule="auto"/>
        <w:ind w:left="420" w:leftChars="200" w:firstLine="367" w:firstLineChars="175"/>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color="000000"/>
        </w:rPr>
        <w:t>其他：本项目部分施工现场与其他项目施工单位现场重合，承包人能积极配合其他施工单位施工需求。</w:t>
      </w:r>
    </w:p>
    <w:p w14:paraId="26081D7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 项目经理</w:t>
      </w:r>
    </w:p>
    <w:p w14:paraId="66C96D1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 xml:space="preserve">3.2.1 </w:t>
      </w:r>
      <w:r>
        <w:rPr>
          <w:rFonts w:hint="eastAsia" w:ascii="宋体" w:hAnsi="宋体" w:cs="宋体"/>
          <w:color w:val="auto"/>
          <w:szCs w:val="21"/>
          <w:highlight w:val="none"/>
        </w:rPr>
        <w:t>项目经理：</w:t>
      </w:r>
    </w:p>
    <w:p w14:paraId="12EB898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3981145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身份证号：</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41C8145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建造师执业资格等级：</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7198601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建造师注册证书号：</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160EB86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建造师执业印章号：</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659851B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安全生产考核合格证书号：</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1B2808F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14995C6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0DEA5BF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17FAA0C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承包人对项目经理的授权范围如下：</w:t>
      </w:r>
      <w:r>
        <w:rPr>
          <w:rFonts w:hint="eastAsia" w:ascii="宋体" w:hAnsi="宋体" w:cs="宋体"/>
          <w:color w:val="auto"/>
          <w:szCs w:val="21"/>
          <w:highlight w:val="none"/>
          <w:u w:val="single"/>
        </w:rPr>
        <w:t></w:t>
      </w:r>
      <w:r>
        <w:rPr>
          <w:rFonts w:hint="eastAsia" w:ascii="宋体" w:hAnsi="宋体" w:cs="宋体"/>
          <w:b/>
          <w:bCs/>
          <w:color w:val="auto"/>
          <w:szCs w:val="21"/>
          <w:highlight w:val="none"/>
          <w:u w:val="single" w:color="000000"/>
        </w:rPr>
        <w:t xml:space="preserve">全面负责本工程的质量、安全、工期及成本控制 </w:t>
      </w:r>
      <w:r>
        <w:rPr>
          <w:rFonts w:hint="eastAsia" w:ascii="宋体" w:hAnsi="宋体" w:cs="宋体"/>
          <w:color w:val="auto"/>
          <w:szCs w:val="21"/>
          <w:highlight w:val="none"/>
        </w:rPr>
        <w:t>。</w:t>
      </w:r>
    </w:p>
    <w:p w14:paraId="23F6D534">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关于项目经理每月在施工现场的时间要求：</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color="000000"/>
        </w:rPr>
        <w:t>派驻本工程的项目经理承诺</w:t>
      </w:r>
      <w:r>
        <w:rPr>
          <w:rFonts w:hint="eastAsia" w:ascii="宋体" w:hAnsi="宋体" w:cs="宋体"/>
          <w:b/>
          <w:bCs/>
          <w:color w:val="auto"/>
          <w:szCs w:val="21"/>
          <w:highlight w:val="none"/>
          <w:u w:val="single" w:color="000000"/>
          <w:lang w:val="en-US" w:eastAsia="zh-CN"/>
        </w:rPr>
        <w:t>到位率</w:t>
      </w:r>
      <w:r>
        <w:rPr>
          <w:rFonts w:hint="eastAsia" w:ascii="宋体" w:hAnsi="宋体" w:cs="宋体"/>
          <w:b/>
          <w:bCs/>
          <w:color w:val="auto"/>
          <w:szCs w:val="21"/>
          <w:highlight w:val="none"/>
          <w:u w:val="single" w:color="000000"/>
        </w:rPr>
        <w:t>不得低于（）%(以合同工期为准)，其他项目管理班子人员100%到位，并必须严格按照投标文件项目班子成员全部到位。若在工程实施过程中到岗、到位率达不到承诺，由发包人没收相应履约保证金，同时按下列标准向发包人支付违约金：承诺项目经理到位率不足时按人民币2000元/天支付违约金；承诺技术负责人、施工负责人到位率不足时按人民币2000元/天支付违约金；承诺施工员、质量员、安全员等管理人员到位率不足时按人民币1000元/天支付违约金，上述扣款在支付工程进度款中逐期扣除</w:t>
      </w:r>
      <w:r>
        <w:rPr>
          <w:rFonts w:hint="eastAsia" w:ascii="宋体" w:hAnsi="宋体" w:cs="宋体"/>
          <w:color w:val="auto"/>
          <w:szCs w:val="21"/>
          <w:highlight w:val="none"/>
        </w:rPr>
        <w:t>。</w:t>
      </w:r>
    </w:p>
    <w:p w14:paraId="53680F17">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承包人未提交劳动合同，以及没有为项目经理缴纳社会保险证明的违约责任：</w:t>
      </w:r>
      <w:r>
        <w:rPr>
          <w:rFonts w:hint="eastAsia" w:ascii="宋体" w:hAnsi="宋体" w:cs="宋体"/>
          <w:b/>
          <w:bCs/>
          <w:color w:val="auto"/>
          <w:szCs w:val="21"/>
          <w:highlight w:val="none"/>
          <w:u w:val="single" w:color="000000"/>
        </w:rPr>
        <w:t>责令承包人改正，并从结算款中扣除 5000元的违约金。</w:t>
      </w:r>
    </w:p>
    <w:p w14:paraId="770A601F">
      <w:pPr>
        <w:snapToGrid w:val="0"/>
        <w:spacing w:line="360" w:lineRule="auto"/>
        <w:ind w:firstLine="420" w:firstLineChars="200"/>
        <w:rPr>
          <w:rFonts w:ascii="宋体" w:hAnsi="宋体" w:cs="宋体"/>
          <w:b/>
          <w:bCs/>
          <w:color w:val="auto"/>
          <w:szCs w:val="21"/>
          <w:highlight w:val="none"/>
          <w:u w:color="000000"/>
        </w:rPr>
      </w:pPr>
      <w:r>
        <w:rPr>
          <w:rFonts w:hint="eastAsia" w:ascii="宋体" w:hAnsi="宋体" w:cs="宋体"/>
          <w:color w:val="auto"/>
          <w:kern w:val="0"/>
          <w:szCs w:val="21"/>
          <w:highlight w:val="none"/>
        </w:rPr>
        <w:t>项目经理未经批准，擅自离开施工现场的违约责任：</w:t>
      </w:r>
      <w:r>
        <w:rPr>
          <w:rFonts w:hint="eastAsia" w:ascii="宋体" w:hAnsi="宋体" w:cs="宋体"/>
          <w:b/>
          <w:bCs/>
          <w:color w:val="auto"/>
          <w:szCs w:val="21"/>
          <w:highlight w:val="none"/>
          <w:u w:val="single" w:color="000000"/>
        </w:rPr>
        <w:t>承包人中标项目经理施工期间离岗二天以上必须经发包人同意，如发现项目经理不在现场组织施工，发包人有权按违约处理，并有权单方中止合同，后果由承包人负责</w:t>
      </w:r>
      <w:r>
        <w:rPr>
          <w:rFonts w:hint="eastAsia" w:ascii="宋体" w:hAnsi="宋体" w:cs="宋体"/>
          <w:b/>
          <w:bCs/>
          <w:color w:val="auto"/>
          <w:szCs w:val="21"/>
          <w:highlight w:val="none"/>
          <w:u w:color="000000"/>
        </w:rPr>
        <w:t>。</w:t>
      </w:r>
    </w:p>
    <w:p w14:paraId="13EED92E">
      <w:pPr>
        <w:snapToGrid w:val="0"/>
        <w:spacing w:line="360" w:lineRule="auto"/>
        <w:ind w:firstLine="34"/>
        <w:rPr>
          <w:rFonts w:ascii="宋体" w:hAnsi="宋体" w:cs="宋体"/>
          <w:color w:val="auto"/>
          <w:szCs w:val="21"/>
          <w:highlight w:val="none"/>
        </w:rPr>
      </w:pPr>
      <w:r>
        <w:rPr>
          <w:rFonts w:hint="eastAsia" w:ascii="宋体" w:hAnsi="宋体" w:cs="宋体"/>
          <w:color w:val="auto"/>
          <w:szCs w:val="21"/>
          <w:highlight w:val="none"/>
        </w:rPr>
        <w:t>3.2.3 承包人擅自更换项目经理的违约责任：</w:t>
      </w:r>
    </w:p>
    <w:p w14:paraId="5DCA6024">
      <w:pPr>
        <w:snapToGrid w:val="0"/>
        <w:spacing w:line="360" w:lineRule="auto"/>
        <w:ind w:firstLine="34"/>
        <w:rPr>
          <w:rFonts w:ascii="宋体" w:hAnsi="宋体" w:cs="宋体"/>
          <w:b/>
          <w:bCs/>
          <w:color w:val="auto"/>
          <w:szCs w:val="21"/>
          <w:highlight w:val="none"/>
          <w:u w:color="000000"/>
        </w:rPr>
      </w:pPr>
      <w:r>
        <w:rPr>
          <w:rFonts w:hint="eastAsia" w:ascii="宋体" w:hAnsi="宋体" w:cs="宋体"/>
          <w:b/>
          <w:bCs/>
          <w:color w:val="auto"/>
          <w:szCs w:val="21"/>
          <w:highlight w:val="none"/>
          <w:u w:color="000000"/>
        </w:rPr>
        <w:t>（1）承包人确需更换项目经理的，继任项目经理注册执业资格、管理经验的约定：</w:t>
      </w:r>
      <w:r>
        <w:rPr>
          <w:rFonts w:hint="eastAsia" w:ascii="宋体" w:hAnsi="宋体" w:cs="宋体"/>
          <w:b/>
          <w:bCs/>
          <w:color w:val="auto"/>
          <w:szCs w:val="21"/>
          <w:highlight w:val="none"/>
          <w:u w:val="single" w:color="000000"/>
        </w:rPr>
        <w:t xml:space="preserve">不得低于原项目经理的注册执业资格、管理经验   </w:t>
      </w:r>
      <w:r>
        <w:rPr>
          <w:rFonts w:hint="eastAsia" w:ascii="宋体" w:hAnsi="宋体" w:cs="宋体"/>
          <w:b/>
          <w:bCs/>
          <w:color w:val="auto"/>
          <w:szCs w:val="21"/>
          <w:highlight w:val="none"/>
          <w:u w:color="000000"/>
        </w:rPr>
        <w:t>。</w:t>
      </w:r>
    </w:p>
    <w:p w14:paraId="6A1D5EA7">
      <w:pPr>
        <w:snapToGrid w:val="0"/>
        <w:spacing w:line="360" w:lineRule="auto"/>
        <w:ind w:firstLine="34"/>
        <w:rPr>
          <w:rFonts w:ascii="宋体" w:hAnsi="宋体" w:cs="宋体"/>
          <w:color w:val="auto"/>
          <w:szCs w:val="21"/>
          <w:highlight w:val="none"/>
        </w:rPr>
      </w:pPr>
      <w:r>
        <w:rPr>
          <w:rFonts w:hint="eastAsia" w:ascii="宋体" w:hAnsi="宋体" w:cs="宋体"/>
          <w:b/>
          <w:bCs/>
          <w:color w:val="auto"/>
          <w:szCs w:val="21"/>
          <w:highlight w:val="none"/>
          <w:u w:color="000000"/>
        </w:rPr>
        <w:t>（</w:t>
      </w:r>
      <w:r>
        <w:rPr>
          <w:rFonts w:hint="eastAsia" w:ascii="宋体" w:hAnsi="宋体" w:cs="宋体"/>
          <w:color w:val="auto"/>
          <w:szCs w:val="21"/>
          <w:highlight w:val="none"/>
          <w:u w:color="000000"/>
        </w:rPr>
        <w:t>2</w:t>
      </w:r>
      <w:r>
        <w:rPr>
          <w:rFonts w:hint="eastAsia" w:ascii="宋体" w:hAnsi="宋体" w:cs="宋体"/>
          <w:b/>
          <w:bCs/>
          <w:color w:val="auto"/>
          <w:szCs w:val="21"/>
          <w:highlight w:val="none"/>
          <w:u w:color="000000"/>
        </w:rPr>
        <w:t>）</w:t>
      </w:r>
      <w:r>
        <w:rPr>
          <w:rFonts w:hint="eastAsia" w:ascii="宋体" w:hAnsi="宋体" w:cs="宋体"/>
          <w:color w:val="auto"/>
          <w:szCs w:val="21"/>
          <w:highlight w:val="none"/>
          <w:u w:color="000000"/>
        </w:rPr>
        <w:t>承包人擅自更换项目经理的违约责任：</w:t>
      </w:r>
      <w:r>
        <w:rPr>
          <w:rFonts w:hint="eastAsia" w:ascii="宋体" w:hAnsi="宋体" w:cs="宋体"/>
          <w:b/>
          <w:bCs/>
          <w:color w:val="auto"/>
          <w:szCs w:val="21"/>
          <w:highlight w:val="none"/>
          <w:u w:val="single" w:color="000000"/>
        </w:rPr>
        <w:t>在施工期间不准更换，特殊情况要求更换的项目经理的，须经发包人同意。承包人更换项目经理的将被视为承包人违约，并按照 5000元/人·次付给发包人违约金</w:t>
      </w:r>
      <w:r>
        <w:rPr>
          <w:rFonts w:hint="eastAsia" w:ascii="宋体" w:hAnsi="宋体" w:cs="宋体"/>
          <w:color w:val="auto"/>
          <w:szCs w:val="21"/>
          <w:highlight w:val="none"/>
          <w:u w:color="000000"/>
        </w:rPr>
        <w:t>。</w:t>
      </w:r>
    </w:p>
    <w:p w14:paraId="2E98CDAE">
      <w:pPr>
        <w:snapToGrid w:val="0"/>
        <w:spacing w:line="360" w:lineRule="auto"/>
        <w:ind w:firstLine="34"/>
        <w:rPr>
          <w:rFonts w:ascii="宋体" w:hAnsi="宋体" w:cs="宋体"/>
          <w:color w:val="auto"/>
          <w:szCs w:val="21"/>
          <w:highlight w:val="none"/>
        </w:rPr>
      </w:pPr>
      <w:r>
        <w:rPr>
          <w:rFonts w:hint="eastAsia" w:ascii="宋体" w:hAnsi="宋体" w:cs="宋体"/>
          <w:color w:val="auto"/>
          <w:szCs w:val="21"/>
          <w:highlight w:val="none"/>
        </w:rPr>
        <w:t>3.2.4 承包人无正当理由拒绝更换项目经理的违约责任：</w:t>
      </w:r>
      <w:r>
        <w:rPr>
          <w:rFonts w:hint="eastAsia" w:ascii="宋体" w:hAnsi="宋体" w:cs="宋体"/>
          <w:b/>
          <w:bCs/>
          <w:color w:val="auto"/>
          <w:szCs w:val="21"/>
          <w:highlight w:val="none"/>
          <w:u w:val="single" w:color="000000"/>
        </w:rPr>
        <w:t>扣除全部履约保证金，情节严重的发包人有权单方解除合同</w:t>
      </w:r>
      <w:r>
        <w:rPr>
          <w:rFonts w:hint="eastAsia" w:ascii="宋体" w:hAnsi="宋体" w:cs="宋体"/>
          <w:color w:val="auto"/>
          <w:szCs w:val="21"/>
          <w:highlight w:val="none"/>
          <w:u w:color="000000"/>
        </w:rPr>
        <w:t>。</w:t>
      </w:r>
    </w:p>
    <w:p w14:paraId="30379AB4">
      <w:pPr>
        <w:snapToGrid w:val="0"/>
        <w:spacing w:line="360" w:lineRule="auto"/>
        <w:ind w:firstLine="34"/>
        <w:rPr>
          <w:rFonts w:ascii="宋体" w:hAnsi="宋体" w:cs="宋体"/>
          <w:color w:val="auto"/>
          <w:szCs w:val="21"/>
          <w:highlight w:val="none"/>
          <w:u w:color="000000"/>
        </w:rPr>
      </w:pPr>
      <w:r>
        <w:rPr>
          <w:rFonts w:hint="eastAsia" w:ascii="宋体" w:hAnsi="宋体" w:cs="宋体"/>
          <w:color w:val="auto"/>
          <w:szCs w:val="21"/>
          <w:highlight w:val="none"/>
          <w:u w:color="000000"/>
        </w:rPr>
        <w:t>3.3 承包人人员</w:t>
      </w:r>
    </w:p>
    <w:p w14:paraId="4886B492">
      <w:pPr>
        <w:snapToGrid w:val="0"/>
        <w:spacing w:line="360" w:lineRule="auto"/>
        <w:ind w:firstLine="34"/>
        <w:rPr>
          <w:rFonts w:ascii="宋体" w:hAnsi="宋体" w:cs="宋体"/>
          <w:color w:val="auto"/>
          <w:szCs w:val="21"/>
          <w:highlight w:val="none"/>
          <w:u w:color="000000"/>
        </w:rPr>
      </w:pPr>
      <w:r>
        <w:rPr>
          <w:rFonts w:hint="eastAsia" w:ascii="宋体" w:hAnsi="宋体" w:cs="宋体"/>
          <w:color w:val="auto"/>
          <w:szCs w:val="21"/>
          <w:highlight w:val="none"/>
          <w:u w:color="000000"/>
        </w:rPr>
        <w:t>3.3.1 承包人提交项目管理机构及施工现场管理人员安排报告的期限：</w:t>
      </w:r>
      <w:r>
        <w:rPr>
          <w:rFonts w:hint="eastAsia" w:ascii="宋体" w:hAnsi="宋体" w:cs="宋体"/>
          <w:color w:val="auto"/>
          <w:szCs w:val="21"/>
          <w:highlight w:val="none"/>
          <w:u w:val="single" w:color="000000"/>
        </w:rPr>
        <w:t xml:space="preserve">  </w:t>
      </w:r>
      <w:r>
        <w:rPr>
          <w:rFonts w:hint="eastAsia" w:ascii="宋体" w:hAnsi="宋体" w:cs="宋体"/>
          <w:b/>
          <w:bCs/>
          <w:color w:val="auto"/>
          <w:szCs w:val="21"/>
          <w:highlight w:val="none"/>
          <w:u w:val="single" w:color="000000"/>
        </w:rPr>
        <w:t xml:space="preserve">开工后3天内  </w:t>
      </w:r>
      <w:r>
        <w:rPr>
          <w:rFonts w:hint="eastAsia" w:ascii="宋体" w:hAnsi="宋体" w:cs="宋体"/>
          <w:b/>
          <w:bCs/>
          <w:color w:val="auto"/>
          <w:szCs w:val="21"/>
          <w:highlight w:val="none"/>
          <w:u w:color="000000"/>
        </w:rPr>
        <w:t>。</w:t>
      </w:r>
    </w:p>
    <w:p w14:paraId="75A9408F">
      <w:pPr>
        <w:snapToGrid w:val="0"/>
        <w:spacing w:line="360" w:lineRule="auto"/>
        <w:ind w:firstLine="34"/>
        <w:jc w:val="left"/>
        <w:rPr>
          <w:rFonts w:ascii="宋体" w:hAnsi="宋体" w:cs="宋体"/>
          <w:b/>
          <w:bCs/>
          <w:color w:val="auto"/>
          <w:szCs w:val="21"/>
          <w:highlight w:val="none"/>
          <w:u w:color="000000"/>
        </w:rPr>
      </w:pPr>
      <w:r>
        <w:rPr>
          <w:rFonts w:hint="eastAsia" w:ascii="宋体" w:hAnsi="宋体" w:cs="宋体"/>
          <w:b/>
          <w:bCs/>
          <w:color w:val="auto"/>
          <w:szCs w:val="21"/>
          <w:highlight w:val="none"/>
          <w:u w:color="000000"/>
        </w:rPr>
        <w:t>3.3.2 承包人需更换主要施工管理人员的，继任人员的数量、注册执业资格、管理经验的约定：</w:t>
      </w:r>
      <w:r>
        <w:rPr>
          <w:rFonts w:hint="eastAsia" w:ascii="宋体" w:hAnsi="宋体" w:cs="宋体"/>
          <w:b/>
          <w:bCs/>
          <w:color w:val="auto"/>
          <w:szCs w:val="21"/>
          <w:highlight w:val="none"/>
          <w:u w:val="single" w:color="000000"/>
        </w:rPr>
        <w:t>不得低于原项目经理的注册执业资格、管理经验。</w:t>
      </w:r>
    </w:p>
    <w:p w14:paraId="1E580C5E">
      <w:pPr>
        <w:snapToGrid w:val="0"/>
        <w:spacing w:line="360" w:lineRule="auto"/>
        <w:ind w:firstLine="34"/>
        <w:rPr>
          <w:rFonts w:ascii="宋体" w:hAnsi="宋体" w:cs="宋体"/>
          <w:b/>
          <w:bCs/>
          <w:color w:val="auto"/>
          <w:szCs w:val="21"/>
          <w:highlight w:val="none"/>
          <w:u w:val="single" w:color="000000"/>
        </w:rPr>
      </w:pPr>
      <w:r>
        <w:rPr>
          <w:rFonts w:hint="eastAsia" w:ascii="宋体" w:hAnsi="宋体" w:cs="宋体"/>
          <w:color w:val="auto"/>
          <w:szCs w:val="21"/>
          <w:highlight w:val="none"/>
          <w:u w:color="000000"/>
        </w:rPr>
        <w:t>3.3.3 承包人无正当理由拒绝撤换主要施工管理人员的违约责任：</w:t>
      </w:r>
      <w:r>
        <w:rPr>
          <w:rFonts w:hint="eastAsia" w:ascii="宋体" w:hAnsi="宋体" w:cs="宋体"/>
          <w:b/>
          <w:bCs/>
          <w:color w:val="auto"/>
          <w:szCs w:val="21"/>
          <w:highlight w:val="none"/>
          <w:u w:val="single" w:color="000000"/>
        </w:rPr>
        <w:t>从结算款中扣除 2 万元/人/次的违约金。</w:t>
      </w:r>
    </w:p>
    <w:p w14:paraId="786DDBF9">
      <w:pPr>
        <w:snapToGrid w:val="0"/>
        <w:spacing w:line="360" w:lineRule="auto"/>
        <w:ind w:firstLine="34"/>
        <w:rPr>
          <w:rFonts w:ascii="宋体" w:hAnsi="宋体" w:cs="宋体"/>
          <w:color w:val="auto"/>
          <w:szCs w:val="21"/>
          <w:highlight w:val="none"/>
          <w:u w:val="single" w:color="000000"/>
        </w:rPr>
      </w:pPr>
      <w:r>
        <w:rPr>
          <w:rFonts w:hint="eastAsia" w:ascii="宋体" w:hAnsi="宋体" w:cs="宋体"/>
          <w:color w:val="auto"/>
          <w:szCs w:val="21"/>
          <w:highlight w:val="none"/>
          <w:u w:color="000000"/>
        </w:rPr>
        <w:t xml:space="preserve">3.3.4 承包人主要施工管理人员离开施工现场的批准要求： </w:t>
      </w:r>
      <w:r>
        <w:rPr>
          <w:rFonts w:hint="eastAsia" w:ascii="宋体" w:hAnsi="宋体" w:cs="宋体"/>
          <w:color w:val="auto"/>
          <w:szCs w:val="21"/>
          <w:highlight w:val="none"/>
          <w:u w:val="single" w:color="000000"/>
        </w:rPr>
        <w:t>按通用条款执行</w:t>
      </w:r>
      <w:r>
        <w:rPr>
          <w:rFonts w:hint="eastAsia" w:ascii="宋体" w:hAnsi="宋体" w:cs="宋体"/>
          <w:color w:val="auto"/>
          <w:szCs w:val="21"/>
          <w:highlight w:val="none"/>
          <w:u w:color="000000"/>
        </w:rPr>
        <w:t>。</w:t>
      </w:r>
    </w:p>
    <w:p w14:paraId="37578BF3">
      <w:pPr>
        <w:snapToGrid w:val="0"/>
        <w:spacing w:line="360" w:lineRule="auto"/>
        <w:ind w:firstLine="34"/>
        <w:rPr>
          <w:rFonts w:ascii="宋体" w:hAnsi="宋体" w:cs="宋体"/>
          <w:color w:val="auto"/>
          <w:szCs w:val="21"/>
          <w:highlight w:val="none"/>
          <w:u w:color="000000"/>
        </w:rPr>
      </w:pPr>
      <w:r>
        <w:rPr>
          <w:rFonts w:hint="eastAsia" w:ascii="宋体" w:hAnsi="宋体" w:cs="宋体"/>
          <w:color w:val="auto"/>
          <w:szCs w:val="21"/>
          <w:highlight w:val="none"/>
          <w:u w:color="000000"/>
        </w:rPr>
        <w:t>3.3.5承包人擅自更换主要施工管理人员的违约责任：</w:t>
      </w:r>
      <w:r>
        <w:rPr>
          <w:rFonts w:hint="eastAsia" w:ascii="宋体" w:hAnsi="宋体" w:cs="宋体"/>
          <w:color w:val="auto"/>
          <w:szCs w:val="21"/>
          <w:highlight w:val="none"/>
          <w:u w:val="single" w:color="000000"/>
        </w:rPr>
        <w:t>扣除全部履约保证金</w:t>
      </w:r>
      <w:r>
        <w:rPr>
          <w:rFonts w:hint="eastAsia" w:ascii="宋体" w:hAnsi="宋体" w:cs="宋体"/>
          <w:color w:val="auto"/>
          <w:szCs w:val="21"/>
          <w:highlight w:val="none"/>
          <w:u w:val="none" w:color="auto"/>
        </w:rPr>
        <w:t>。</w:t>
      </w:r>
    </w:p>
    <w:p w14:paraId="5408BD90">
      <w:pPr>
        <w:snapToGrid w:val="0"/>
        <w:spacing w:line="360" w:lineRule="auto"/>
        <w:ind w:firstLine="34"/>
        <w:rPr>
          <w:rFonts w:ascii="宋体" w:hAnsi="宋体" w:cs="宋体"/>
          <w:color w:val="auto"/>
          <w:szCs w:val="21"/>
          <w:highlight w:val="none"/>
          <w:u w:color="000000"/>
        </w:rPr>
      </w:pPr>
      <w:r>
        <w:rPr>
          <w:rFonts w:hint="eastAsia" w:ascii="宋体" w:hAnsi="宋体" w:cs="宋体"/>
          <w:color w:val="auto"/>
          <w:szCs w:val="21"/>
          <w:highlight w:val="none"/>
          <w:u w:color="000000"/>
        </w:rPr>
        <w:t>包人主要施工管理人员擅自离开施工现场的违约责任：</w:t>
      </w:r>
      <w:r>
        <w:rPr>
          <w:rFonts w:hint="eastAsia" w:ascii="宋体" w:hAnsi="宋体" w:cs="宋体"/>
          <w:b/>
          <w:bCs/>
          <w:color w:val="auto"/>
          <w:szCs w:val="21"/>
          <w:highlight w:val="none"/>
          <w:u w:val="single" w:color="000000"/>
        </w:rPr>
        <w:t>若技术负责人、施工员出勤率不足投标承诺，支付违约金2000 元人民币/天/人；安全员、质检员、材料员出勤率不足投标承诺，支付违约金1000元人民币/天/人</w:t>
      </w:r>
      <w:r>
        <w:rPr>
          <w:rFonts w:hint="eastAsia" w:ascii="宋体" w:hAnsi="宋体" w:cs="宋体"/>
          <w:b/>
          <w:bCs/>
          <w:color w:val="auto"/>
          <w:szCs w:val="21"/>
          <w:highlight w:val="none"/>
          <w:u w:color="000000"/>
        </w:rPr>
        <w:t>。</w:t>
      </w:r>
    </w:p>
    <w:p w14:paraId="52583ED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3.5 分包</w:t>
      </w:r>
    </w:p>
    <w:p w14:paraId="4A44C1A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3.5.1 分包的一般约定</w:t>
      </w:r>
    </w:p>
    <w:p w14:paraId="373F7F10">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禁止分包的工程包括：</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503F677E">
      <w:pPr>
        <w:snapToGrid w:val="0"/>
        <w:spacing w:line="360" w:lineRule="auto"/>
        <w:jc w:val="left"/>
        <w:rPr>
          <w:rFonts w:ascii="宋体" w:hAnsi="宋体" w:cs="宋体"/>
          <w:color w:val="auto"/>
          <w:szCs w:val="21"/>
          <w:highlight w:val="none"/>
          <w:u w:val="single"/>
        </w:rPr>
      </w:pPr>
      <w:r>
        <w:rPr>
          <w:rFonts w:hint="eastAsia" w:ascii="宋体" w:hAnsi="宋体" w:cs="宋体"/>
          <w:color w:val="auto"/>
          <w:szCs w:val="21"/>
          <w:highlight w:val="none"/>
        </w:rPr>
        <w:t>主体结构、关键性工作的范围：</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52E08EAA">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3.5.2分包的确定</w:t>
      </w:r>
    </w:p>
    <w:p w14:paraId="3BD14E3C">
      <w:pP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允许分包的专业工程包括：</w:t>
      </w:r>
      <w:r>
        <w:rPr>
          <w:rFonts w:hint="eastAsia" w:ascii="宋体" w:hAnsi="宋体" w:cs="宋体"/>
          <w:color w:val="auto"/>
          <w:szCs w:val="21"/>
          <w:highlight w:val="none"/>
          <w:u w:val="single"/>
        </w:rPr>
        <w:t></w:t>
      </w:r>
      <w:r>
        <w:rPr>
          <w:rFonts w:hint="eastAsia" w:ascii="宋体" w:hAnsi="宋体" w:cs="宋体"/>
          <w:b/>
          <w:bCs/>
          <w:color w:val="auto"/>
          <w:szCs w:val="21"/>
          <w:highlight w:val="none"/>
          <w:u w:val="single" w:color="000000"/>
        </w:rPr>
        <w:t>未经发包人同意，承包人不得将承包工程的任何部分分包，如发现擅自分包，除立即取消分包人的分包资格外，承包人还应按合同价的1%向发包人支付违约金</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F4DF41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其他关于分包的约定：</w:t>
      </w:r>
      <w:r>
        <w:rPr>
          <w:rFonts w:hint="eastAsia" w:ascii="宋体" w:hAnsi="宋体" w:cs="宋体"/>
          <w:color w:val="auto"/>
          <w:szCs w:val="21"/>
          <w:highlight w:val="none"/>
          <w:u w:val="single"/>
        </w:rPr>
        <w:t xml:space="preserve"> 发包人同意将非主体、非关键性的工作分包 </w:t>
      </w:r>
      <w:r>
        <w:rPr>
          <w:rFonts w:hint="eastAsia" w:ascii="宋体" w:hAnsi="宋体" w:cs="宋体"/>
          <w:color w:val="auto"/>
          <w:szCs w:val="21"/>
          <w:highlight w:val="none"/>
        </w:rPr>
        <w:t>。</w:t>
      </w:r>
    </w:p>
    <w:p w14:paraId="7FB2B6C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3.5.4 分包合同价款</w:t>
      </w:r>
    </w:p>
    <w:p w14:paraId="5C836E9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关于分包合同价款支付的约定：</w:t>
      </w:r>
      <w:r>
        <w:rPr>
          <w:rFonts w:hint="eastAsia" w:ascii="宋体" w:hAnsi="宋体" w:cs="宋体"/>
          <w:color w:val="auto"/>
          <w:szCs w:val="21"/>
          <w:highlight w:val="none"/>
          <w:u w:val="single"/>
        </w:rPr>
        <w:t></w:t>
      </w:r>
      <w:r>
        <w:rPr>
          <w:rFonts w:hint="eastAsia" w:ascii="宋体" w:hAnsi="宋体" w:cs="宋体"/>
          <w:color w:val="auto"/>
          <w:szCs w:val="21"/>
          <w:highlight w:val="none"/>
          <w:u w:val="single" w:color="000000"/>
        </w:rPr>
        <w:t>按通用合同条款执行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1BA055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 工程照管与成品、半成品保护</w:t>
      </w:r>
    </w:p>
    <w:p w14:paraId="55AAA1CB">
      <w:pPr>
        <w:snapToGrid w:val="0"/>
        <w:spacing w:line="360" w:lineRule="auto"/>
        <w:ind w:firstLine="420" w:firstLineChars="200"/>
        <w:rPr>
          <w:rFonts w:ascii="宋体" w:hAnsi="宋体" w:cs="宋体"/>
          <w:color w:val="auto"/>
          <w:kern w:val="0"/>
          <w:szCs w:val="21"/>
          <w:highlight w:val="none"/>
          <w:u w:val="single"/>
        </w:rPr>
      </w:pPr>
      <w:r>
        <w:rPr>
          <w:rFonts w:hint="eastAsia" w:ascii="宋体" w:hAnsi="宋体" w:cs="宋体"/>
          <w:color w:val="auto"/>
          <w:kern w:val="0"/>
          <w:szCs w:val="21"/>
          <w:highlight w:val="none"/>
        </w:rPr>
        <w:t>承包人负责照管工程及工程相关的材料、工程设备的起始时间：</w:t>
      </w:r>
      <w:r>
        <w:rPr>
          <w:rFonts w:hint="eastAsia" w:ascii="宋体" w:hAnsi="宋体" w:cs="宋体"/>
          <w:color w:val="auto"/>
          <w:kern w:val="0"/>
          <w:szCs w:val="21"/>
          <w:highlight w:val="none"/>
          <w:u w:val="single"/>
        </w:rPr>
        <w:t xml:space="preserve">   </w:t>
      </w:r>
      <w:r>
        <w:rPr>
          <w:rFonts w:hint="eastAsia" w:ascii="宋体" w:hAnsi="宋体" w:cs="宋体"/>
          <w:color w:val="auto"/>
          <w:szCs w:val="21"/>
          <w:highlight w:val="none"/>
          <w:u w:val="single" w:color="000000"/>
        </w:rPr>
        <w:t>按通用合同条款执行</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1780DE0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3.7 履约担保</w:t>
      </w:r>
    </w:p>
    <w:p w14:paraId="10D7B1CF">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承包人是否提供履约担保：</w:t>
      </w:r>
      <w:r>
        <w:rPr>
          <w:rFonts w:hint="eastAsia" w:ascii="宋体" w:hAnsi="宋体" w:cs="宋体"/>
          <w:color w:val="auto"/>
          <w:szCs w:val="21"/>
          <w:highlight w:val="none"/>
          <w:u w:val="single"/>
        </w:rPr>
        <w:t xml:space="preserve">   是   </w:t>
      </w:r>
      <w:r>
        <w:rPr>
          <w:rFonts w:hint="eastAsia" w:ascii="宋体" w:hAnsi="宋体" w:cs="宋体"/>
          <w:color w:val="auto"/>
          <w:szCs w:val="21"/>
          <w:highlight w:val="none"/>
        </w:rPr>
        <w:t>。</w:t>
      </w:r>
    </w:p>
    <w:p w14:paraId="2B70B21D">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承包人提供履约担保的形式、金额及期限的：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color="000000"/>
        </w:rPr>
        <w:t>在合同签订后5日内，承包人向发包人支付合同价的1%的履约保证金，计      元；缴纳方式：转账、银行保函、商业保函等非现金形式缴纳，履约保证金待工程竣工验收合格后30天内归还，不计利息</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007968F">
      <w:pPr>
        <w:pStyle w:val="7"/>
        <w:snapToGrid w:val="0"/>
        <w:spacing w:before="0" w:after="0" w:line="360" w:lineRule="auto"/>
        <w:ind w:firstLine="29"/>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4. 监理人</w:t>
      </w:r>
    </w:p>
    <w:p w14:paraId="23FF203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4.1监理人的一般规定</w:t>
      </w:r>
    </w:p>
    <w:p w14:paraId="32A9CBFA">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关于监理人的监理内容：</w:t>
      </w:r>
      <w:r>
        <w:rPr>
          <w:rFonts w:hint="eastAsia" w:ascii="宋体" w:hAnsi="宋体" w:cs="宋体"/>
          <w:color w:val="auto"/>
          <w:szCs w:val="21"/>
          <w:highlight w:val="none"/>
          <w:u w:val="single" w:color="000000"/>
        </w:rPr>
        <w:t xml:space="preserve">  本工程实施范围内的所有内容       </w:t>
      </w:r>
      <w:r>
        <w:rPr>
          <w:rFonts w:hint="eastAsia" w:ascii="宋体" w:hAnsi="宋体" w:cs="宋体"/>
          <w:color w:val="auto"/>
          <w:szCs w:val="21"/>
          <w:highlight w:val="none"/>
          <w:u w:color="000000"/>
        </w:rPr>
        <w:t>。</w:t>
      </w:r>
    </w:p>
    <w:p w14:paraId="5F5AE99B">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关于监理人的监理权限：</w:t>
      </w:r>
      <w:r>
        <w:rPr>
          <w:rFonts w:hint="eastAsia" w:ascii="宋体" w:hAnsi="宋体" w:cs="宋体"/>
          <w:color w:val="auto"/>
          <w:szCs w:val="21"/>
          <w:highlight w:val="none"/>
          <w:u w:val="single" w:color="000000"/>
        </w:rPr>
        <w:t xml:space="preserve">  </w:t>
      </w:r>
      <w:r>
        <w:rPr>
          <w:rFonts w:hint="eastAsia" w:ascii="宋体" w:hAnsi="宋体" w:cs="宋体"/>
          <w:b/>
          <w:bCs/>
          <w:color w:val="auto"/>
          <w:szCs w:val="21"/>
          <w:highlight w:val="none"/>
          <w:u w:val="single" w:color="000000"/>
        </w:rPr>
        <w:t>根据监理合同、施工承包合同和法律法规规定的事项代表发包人进行工程前期协调、施工现场协调、工程监理</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color="000000"/>
        </w:rPr>
        <w:t xml:space="preserve">。 </w:t>
      </w:r>
    </w:p>
    <w:p w14:paraId="277316A6">
      <w:pPr>
        <w:snapToGrid w:val="0"/>
        <w:spacing w:line="360" w:lineRule="auto"/>
        <w:ind w:firstLine="34"/>
        <w:rPr>
          <w:rFonts w:ascii="宋体" w:hAnsi="宋体" w:cs="宋体"/>
          <w:color w:val="auto"/>
          <w:szCs w:val="21"/>
          <w:highlight w:val="none"/>
          <w:u w:val="single" w:color="000000"/>
        </w:rPr>
      </w:pPr>
      <w:r>
        <w:rPr>
          <w:rFonts w:hint="eastAsia" w:ascii="宋体" w:hAnsi="宋体" w:cs="宋体"/>
          <w:color w:val="auto"/>
          <w:szCs w:val="21"/>
          <w:highlight w:val="none"/>
          <w:u w:color="000000"/>
        </w:rPr>
        <w:t>关于监理人在施工现场的办公场所、生活场所的提供和费用承担的约定：</w:t>
      </w:r>
      <w:r>
        <w:rPr>
          <w:rFonts w:hint="eastAsia" w:ascii="宋体" w:hAnsi="宋体" w:cs="宋体"/>
          <w:b/>
          <w:bCs/>
          <w:color w:val="auto"/>
          <w:szCs w:val="21"/>
          <w:highlight w:val="none"/>
          <w:u w:val="single"/>
        </w:rPr>
        <w:t>监</w:t>
      </w:r>
      <w:r>
        <w:rPr>
          <w:rFonts w:hint="eastAsia" w:ascii="宋体" w:hAnsi="宋体" w:cs="宋体"/>
          <w:b/>
          <w:bCs/>
          <w:color w:val="auto"/>
          <w:szCs w:val="21"/>
          <w:highlight w:val="none"/>
          <w:u w:val="single" w:color="000000"/>
        </w:rPr>
        <w:t>理人在施工现场的办公场所、生活场所由承包人提供，所发生的费用由承包人承担。如有其它费用由监理人自行承担</w:t>
      </w:r>
      <w:r>
        <w:rPr>
          <w:rFonts w:hint="eastAsia" w:ascii="宋体" w:hAnsi="宋体" w:cs="宋体"/>
          <w:color w:val="auto"/>
          <w:szCs w:val="21"/>
          <w:highlight w:val="none"/>
          <w:u w:color="000000"/>
        </w:rPr>
        <w:t>。</w:t>
      </w:r>
    </w:p>
    <w:p w14:paraId="0D22136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 监理人员</w:t>
      </w:r>
    </w:p>
    <w:p w14:paraId="459CDEC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总监理工程师：</w:t>
      </w:r>
    </w:p>
    <w:p w14:paraId="3B58713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42D5C6C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职    务：</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1AF6440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监理工程师执业资格证书号：</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1B26DC8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41AB9F8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5FE2DF2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06D339D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关于监理人的其他约定：</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11F7EFF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4.4 商定或确定</w:t>
      </w:r>
    </w:p>
    <w:p w14:paraId="1C43A23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在发包人和承包人不能通过协商达成一致意见时，发包人授权监理人对以下事项进行确定：</w:t>
      </w:r>
    </w:p>
    <w:p w14:paraId="2081AD9A">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8C08DF3">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A1D8ACC">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E3EEBDA">
      <w:pPr>
        <w:pStyle w:val="7"/>
        <w:snapToGrid w:val="0"/>
        <w:spacing w:before="0" w:after="0" w:line="360" w:lineRule="auto"/>
        <w:ind w:firstLine="29"/>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5. 工程质量</w:t>
      </w:r>
    </w:p>
    <w:p w14:paraId="5E6F0BC5">
      <w:pPr>
        <w:snapToGrid w:val="0"/>
        <w:spacing w:line="360" w:lineRule="auto"/>
        <w:ind w:firstLine="34"/>
        <w:rPr>
          <w:rFonts w:ascii="宋体" w:hAnsi="宋体" w:cs="宋体"/>
          <w:b/>
          <w:bCs/>
          <w:color w:val="auto"/>
          <w:szCs w:val="21"/>
          <w:highlight w:val="none"/>
          <w:u w:color="000000"/>
        </w:rPr>
      </w:pPr>
      <w:r>
        <w:rPr>
          <w:rFonts w:hint="eastAsia" w:ascii="宋体" w:hAnsi="宋体" w:cs="宋体"/>
          <w:color w:val="auto"/>
          <w:szCs w:val="21"/>
          <w:highlight w:val="none"/>
          <w:u w:color="000000"/>
        </w:rPr>
        <w:t>5.1.1 特殊质量标准和要求：</w:t>
      </w:r>
      <w:r>
        <w:rPr>
          <w:rFonts w:hint="eastAsia" w:ascii="宋体" w:hAnsi="宋体" w:cs="宋体"/>
          <w:b/>
          <w:bCs/>
          <w:color w:val="auto"/>
          <w:szCs w:val="21"/>
          <w:highlight w:val="none"/>
          <w:u w:color="000000"/>
        </w:rPr>
        <w:t>（1）满足国家或行业的现行的质量检验评定标准。</w:t>
      </w:r>
    </w:p>
    <w:p w14:paraId="627702A9">
      <w:pPr>
        <w:snapToGrid w:val="0"/>
        <w:spacing w:line="360" w:lineRule="auto"/>
        <w:ind w:firstLine="34"/>
        <w:rPr>
          <w:rFonts w:ascii="宋体" w:hAnsi="宋体" w:cs="宋体"/>
          <w:b/>
          <w:bCs/>
          <w:color w:val="auto"/>
          <w:szCs w:val="21"/>
          <w:highlight w:val="none"/>
          <w:u w:color="000000"/>
        </w:rPr>
      </w:pPr>
      <w:r>
        <w:rPr>
          <w:rFonts w:hint="eastAsia" w:ascii="宋体" w:hAnsi="宋体" w:cs="宋体"/>
          <w:b/>
          <w:bCs/>
          <w:color w:val="auto"/>
          <w:szCs w:val="21"/>
          <w:highlight w:val="none"/>
          <w:u w:color="000000"/>
        </w:rPr>
        <w:t>（2）如乙方工程实体质量屡次发生质量事故，或有证据表明有偷工减料的事实发生、乙方对甲方、监理的合理指令及质量要求拒不执行等，乙方向甲方支付人民币2000－5000元/次的违约金。</w:t>
      </w:r>
    </w:p>
    <w:p w14:paraId="050EE5AB">
      <w:pPr>
        <w:snapToGrid w:val="0"/>
        <w:spacing w:line="360" w:lineRule="auto"/>
        <w:ind w:firstLine="34"/>
        <w:rPr>
          <w:rFonts w:ascii="宋体" w:hAnsi="宋体" w:cs="宋体"/>
          <w:b/>
          <w:bCs/>
          <w:color w:val="auto"/>
          <w:szCs w:val="21"/>
          <w:highlight w:val="none"/>
          <w:u w:color="000000"/>
        </w:rPr>
      </w:pPr>
      <w:r>
        <w:rPr>
          <w:rFonts w:hint="eastAsia" w:ascii="宋体" w:hAnsi="宋体" w:cs="宋体"/>
          <w:b/>
          <w:bCs/>
          <w:color w:val="auto"/>
          <w:szCs w:val="21"/>
          <w:highlight w:val="none"/>
          <w:u w:color="000000"/>
        </w:rPr>
        <w:t>（3）双方对工程质量有争议，由甲方委托的具备资质的工程质量检测机构鉴定，所需费用及因此造成的损失，由责任方承担。双方均有责任，由双方根据其责任分别承担。</w:t>
      </w:r>
    </w:p>
    <w:p w14:paraId="7E0283DC">
      <w:pPr>
        <w:snapToGrid w:val="0"/>
        <w:spacing w:line="360" w:lineRule="auto"/>
        <w:ind w:firstLine="34"/>
        <w:rPr>
          <w:rFonts w:ascii="宋体" w:hAnsi="宋体" w:cs="宋体"/>
          <w:b/>
          <w:bCs/>
          <w:color w:val="auto"/>
          <w:szCs w:val="21"/>
          <w:highlight w:val="none"/>
          <w:u w:color="000000"/>
        </w:rPr>
      </w:pPr>
      <w:r>
        <w:rPr>
          <w:rFonts w:hint="eastAsia" w:ascii="宋体" w:hAnsi="宋体" w:cs="宋体"/>
          <w:b/>
          <w:bCs/>
          <w:color w:val="auto"/>
          <w:szCs w:val="21"/>
          <w:highlight w:val="none"/>
          <w:u w:color="000000"/>
        </w:rPr>
        <w:t>（4）安全文明施工目标：无伤亡事故，并满足安全环保文明施工现场管理要求质量。</w:t>
      </w:r>
    </w:p>
    <w:p w14:paraId="05405DA0">
      <w:pPr>
        <w:snapToGrid w:val="0"/>
        <w:spacing w:line="360" w:lineRule="auto"/>
        <w:ind w:firstLine="34"/>
        <w:jc w:val="left"/>
        <w:rPr>
          <w:rFonts w:ascii="宋体" w:hAnsi="宋体" w:cs="宋体"/>
          <w:color w:val="auto"/>
          <w:szCs w:val="21"/>
          <w:highlight w:val="none"/>
          <w:u w:val="single" w:color="000000"/>
        </w:rPr>
      </w:pPr>
      <w:r>
        <w:rPr>
          <w:rFonts w:hint="eastAsia" w:ascii="宋体" w:hAnsi="宋体" w:cs="宋体"/>
          <w:color w:val="auto"/>
          <w:szCs w:val="21"/>
          <w:highlight w:val="none"/>
          <w:u w:color="000000"/>
        </w:rPr>
        <w:t>关于工程奖项的约定：</w:t>
      </w:r>
      <w:r>
        <w:rPr>
          <w:rFonts w:hint="eastAsia" w:ascii="宋体" w:hAnsi="宋体" w:cs="宋体"/>
          <w:color w:val="auto"/>
          <w:szCs w:val="21"/>
          <w:highlight w:val="none"/>
          <w:u w:val="single" w:color="000000"/>
        </w:rPr>
        <w:t xml:space="preserve">            /                   </w:t>
      </w:r>
    </w:p>
    <w:p w14:paraId="10DD9E40">
      <w:pPr>
        <w:snapToGrid w:val="0"/>
        <w:spacing w:line="360" w:lineRule="auto"/>
        <w:ind w:firstLine="34"/>
        <w:rPr>
          <w:rFonts w:ascii="宋体" w:hAnsi="宋体" w:cs="宋体"/>
          <w:color w:val="auto"/>
          <w:szCs w:val="21"/>
          <w:highlight w:val="none"/>
          <w:u w:color="000000"/>
        </w:rPr>
      </w:pPr>
      <w:r>
        <w:rPr>
          <w:rFonts w:hint="eastAsia" w:ascii="宋体" w:hAnsi="宋体" w:cs="宋体"/>
          <w:color w:val="auto"/>
          <w:szCs w:val="21"/>
          <w:highlight w:val="none"/>
          <w:u w:color="000000"/>
        </w:rPr>
        <w:t>5.3 隐蔽工程检查</w:t>
      </w:r>
    </w:p>
    <w:p w14:paraId="085E4FFD">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5.3.2承包人提前通知监理人隐蔽工程检查的期限的约定：</w:t>
      </w:r>
      <w:r>
        <w:rPr>
          <w:rFonts w:hint="eastAsia" w:ascii="宋体" w:hAnsi="宋体" w:cs="宋体"/>
          <w:b/>
          <w:bCs/>
          <w:color w:val="auto"/>
          <w:szCs w:val="21"/>
          <w:highlight w:val="none"/>
          <w:u w:val="single" w:color="000000"/>
        </w:rPr>
        <w:t>承包人应在共同检查前48小时书面通知监理人检查，通知中应载明隐蔽检查的内容、时间和地点，并应附有自检记录和必要的检查资料</w:t>
      </w:r>
      <w:r>
        <w:rPr>
          <w:rFonts w:hint="eastAsia" w:ascii="宋体" w:hAnsi="宋体" w:cs="宋体"/>
          <w:b/>
          <w:bCs/>
          <w:color w:val="auto"/>
          <w:szCs w:val="21"/>
          <w:highlight w:val="none"/>
          <w:u w:color="000000"/>
        </w:rPr>
        <w:t>。</w:t>
      </w:r>
    </w:p>
    <w:p w14:paraId="0A865E45">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监理人不能按时进行检查时，应提前</w:t>
      </w:r>
      <w:r>
        <w:rPr>
          <w:rFonts w:hint="eastAsia" w:ascii="宋体" w:hAnsi="宋体" w:cs="宋体"/>
          <w:color w:val="auto"/>
          <w:szCs w:val="21"/>
          <w:highlight w:val="none"/>
          <w:u w:val="single" w:color="000000"/>
        </w:rPr>
        <w:t xml:space="preserve">   24  </w:t>
      </w:r>
      <w:r>
        <w:rPr>
          <w:rFonts w:hint="eastAsia" w:ascii="宋体" w:hAnsi="宋体" w:cs="宋体"/>
          <w:color w:val="auto"/>
          <w:szCs w:val="21"/>
          <w:highlight w:val="none"/>
          <w:u w:color="000000"/>
        </w:rPr>
        <w:t>小时提交书面延期要求。</w:t>
      </w:r>
    </w:p>
    <w:p w14:paraId="6B4AE737">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关于延期最长不得超过：</w:t>
      </w:r>
      <w:r>
        <w:rPr>
          <w:rFonts w:hint="eastAsia" w:ascii="宋体" w:hAnsi="宋体" w:cs="宋体"/>
          <w:color w:val="auto"/>
          <w:szCs w:val="21"/>
          <w:highlight w:val="none"/>
          <w:u w:val="single" w:color="000000"/>
        </w:rPr>
        <w:t xml:space="preserve"> 48 </w:t>
      </w:r>
      <w:r>
        <w:rPr>
          <w:rFonts w:hint="eastAsia" w:ascii="宋体" w:hAnsi="宋体" w:cs="宋体"/>
          <w:color w:val="auto"/>
          <w:szCs w:val="21"/>
          <w:highlight w:val="none"/>
          <w:u w:color="000000"/>
        </w:rPr>
        <w:t>小时。</w:t>
      </w:r>
    </w:p>
    <w:p w14:paraId="740563BE">
      <w:pPr>
        <w:keepNext/>
        <w:keepLines/>
        <w:snapToGrid w:val="0"/>
        <w:spacing w:line="360" w:lineRule="auto"/>
        <w:ind w:firstLine="34"/>
        <w:outlineLvl w:val="3"/>
        <w:rPr>
          <w:rFonts w:ascii="宋体" w:hAnsi="宋体" w:cs="宋体"/>
          <w:color w:val="auto"/>
          <w:szCs w:val="21"/>
          <w:highlight w:val="none"/>
          <w:u w:color="000000"/>
        </w:rPr>
      </w:pPr>
      <w:r>
        <w:rPr>
          <w:rFonts w:hint="eastAsia" w:ascii="宋体" w:hAnsi="宋体" w:cs="宋体"/>
          <w:color w:val="auto"/>
          <w:szCs w:val="21"/>
          <w:highlight w:val="none"/>
          <w:u w:color="000000"/>
        </w:rPr>
        <w:t>6. 安全文明施工与环境保护</w:t>
      </w:r>
    </w:p>
    <w:p w14:paraId="39F43BD8">
      <w:pPr>
        <w:snapToGrid w:val="0"/>
        <w:spacing w:line="360" w:lineRule="auto"/>
        <w:ind w:firstLine="34"/>
        <w:rPr>
          <w:rFonts w:ascii="宋体" w:hAnsi="宋体" w:cs="宋体"/>
          <w:color w:val="auto"/>
          <w:szCs w:val="21"/>
          <w:highlight w:val="none"/>
          <w:u w:color="000000"/>
        </w:rPr>
      </w:pPr>
      <w:r>
        <w:rPr>
          <w:rFonts w:hint="eastAsia" w:ascii="宋体" w:hAnsi="宋体" w:cs="宋体"/>
          <w:color w:val="auto"/>
          <w:szCs w:val="21"/>
          <w:highlight w:val="none"/>
          <w:u w:color="000000"/>
        </w:rPr>
        <w:t>6.1安全文明施工</w:t>
      </w:r>
    </w:p>
    <w:p w14:paraId="3091DF17">
      <w:pPr>
        <w:snapToGrid w:val="0"/>
        <w:spacing w:line="360" w:lineRule="auto"/>
        <w:ind w:firstLine="34"/>
        <w:jc w:val="left"/>
        <w:rPr>
          <w:rFonts w:ascii="宋体" w:hAnsi="宋体" w:cs="宋体"/>
          <w:b/>
          <w:bCs/>
          <w:color w:val="auto"/>
          <w:szCs w:val="21"/>
          <w:highlight w:val="none"/>
          <w:u w:val="single" w:color="000000"/>
        </w:rPr>
      </w:pPr>
      <w:r>
        <w:rPr>
          <w:rFonts w:hint="eastAsia" w:ascii="宋体" w:hAnsi="宋体" w:cs="宋体"/>
          <w:color w:val="auto"/>
          <w:szCs w:val="21"/>
          <w:highlight w:val="none"/>
          <w:u w:color="000000"/>
        </w:rPr>
        <w:t>6.1.1 项目安全生产的达标目标及相应事项的约定：</w:t>
      </w:r>
      <w:r>
        <w:rPr>
          <w:rFonts w:hint="eastAsia" w:ascii="宋体" w:hAnsi="宋体" w:cs="宋体"/>
          <w:b/>
          <w:bCs/>
          <w:color w:val="auto"/>
          <w:szCs w:val="21"/>
          <w:highlight w:val="none"/>
          <w:u w:val="single" w:color="000000"/>
        </w:rPr>
        <w:t>施工现场按照《建筑施工安全检查标准》（JGJ59-2011）评定达到“合格”标准。</w:t>
      </w:r>
    </w:p>
    <w:p w14:paraId="06E5F7A4">
      <w:pPr>
        <w:snapToGrid w:val="0"/>
        <w:spacing w:line="360" w:lineRule="auto"/>
        <w:ind w:firstLine="34"/>
        <w:jc w:val="left"/>
        <w:rPr>
          <w:rFonts w:ascii="宋体" w:hAnsi="宋体" w:cs="宋体"/>
          <w:color w:val="auto"/>
          <w:szCs w:val="21"/>
          <w:highlight w:val="none"/>
          <w:u w:val="single" w:color="000000"/>
        </w:rPr>
      </w:pPr>
      <w:r>
        <w:rPr>
          <w:rFonts w:hint="eastAsia" w:ascii="宋体" w:hAnsi="宋体" w:cs="宋体"/>
          <w:color w:val="auto"/>
          <w:szCs w:val="21"/>
          <w:highlight w:val="none"/>
          <w:u w:color="000000"/>
        </w:rPr>
        <w:t>6.1.4 关于治安保卫的特别约定：</w:t>
      </w:r>
      <w:r>
        <w:rPr>
          <w:rFonts w:hint="eastAsia" w:ascii="宋体" w:hAnsi="宋体" w:cs="宋体"/>
          <w:color w:val="auto"/>
          <w:szCs w:val="21"/>
          <w:highlight w:val="none"/>
          <w:u w:val="single" w:color="000000"/>
        </w:rPr>
        <w:t xml:space="preserve">按《通用合同条款》6.1.4条执行  </w:t>
      </w:r>
      <w:r>
        <w:rPr>
          <w:rFonts w:hint="eastAsia" w:ascii="宋体" w:hAnsi="宋体" w:cs="宋体"/>
          <w:color w:val="auto"/>
          <w:szCs w:val="21"/>
          <w:highlight w:val="none"/>
          <w:u w:color="000000"/>
        </w:rPr>
        <w:t>。</w:t>
      </w:r>
    </w:p>
    <w:p w14:paraId="2A3FB6B1">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关于编制施工场地治安管理计划的约定：</w:t>
      </w:r>
      <w:r>
        <w:rPr>
          <w:rFonts w:hint="eastAsia" w:ascii="宋体" w:hAnsi="宋体" w:cs="宋体"/>
          <w:b/>
          <w:bCs/>
          <w:color w:val="auto"/>
          <w:szCs w:val="21"/>
          <w:highlight w:val="none"/>
          <w:u w:val="single" w:color="000000"/>
        </w:rPr>
        <w:t>承包人应在工程开工后3天内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r>
        <w:rPr>
          <w:rFonts w:hint="eastAsia" w:ascii="宋体" w:hAnsi="宋体" w:cs="宋体"/>
          <w:b/>
          <w:bCs/>
          <w:color w:val="auto"/>
          <w:szCs w:val="21"/>
          <w:highlight w:val="none"/>
          <w:u w:color="000000"/>
        </w:rPr>
        <w:t>。</w:t>
      </w:r>
    </w:p>
    <w:p w14:paraId="02444B68">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6.1.5 文明施工</w:t>
      </w:r>
    </w:p>
    <w:p w14:paraId="1E3EAD74">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合同当事人对文明施工的要求：</w:t>
      </w:r>
    </w:p>
    <w:p w14:paraId="73143BD7">
      <w:pPr>
        <w:snapToGrid w:val="0"/>
        <w:spacing w:line="360" w:lineRule="auto"/>
        <w:ind w:firstLine="34"/>
        <w:jc w:val="left"/>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（1）遵守地方政府和有关部门对施工场地交通、环卫、安全和施工噪音等管理规定，并办理相关审批手续</w:t>
      </w:r>
      <w:r>
        <w:rPr>
          <w:rFonts w:hint="eastAsia" w:ascii="宋体" w:hAnsi="宋体" w:cs="宋体"/>
          <w:b/>
          <w:bCs/>
          <w:color w:val="auto"/>
          <w:szCs w:val="21"/>
          <w:highlight w:val="none"/>
          <w:u w:color="000000"/>
        </w:rPr>
        <w:t>。</w:t>
      </w:r>
    </w:p>
    <w:p w14:paraId="08305712">
      <w:pPr>
        <w:snapToGrid w:val="0"/>
        <w:spacing w:line="360" w:lineRule="auto"/>
        <w:ind w:firstLine="34"/>
        <w:jc w:val="left"/>
        <w:rPr>
          <w:rFonts w:ascii="宋体" w:hAnsi="宋体" w:cs="宋体"/>
          <w:b/>
          <w:bCs/>
          <w:color w:val="auto"/>
          <w:szCs w:val="21"/>
          <w:highlight w:val="none"/>
          <w:u w:color="000000"/>
        </w:rPr>
      </w:pPr>
      <w:r>
        <w:rPr>
          <w:rFonts w:hint="eastAsia" w:ascii="宋体" w:hAnsi="宋体" w:cs="宋体"/>
          <w:b/>
          <w:bCs/>
          <w:color w:val="auto"/>
          <w:szCs w:val="21"/>
          <w:highlight w:val="none"/>
          <w:u w:val="single" w:color="000000"/>
        </w:rPr>
        <w:t>（2）承包人应采取有效措施尽量减小尘土和噪音污染，需要进行夜间作业时应经有关部门批准</w:t>
      </w:r>
      <w:r>
        <w:rPr>
          <w:rFonts w:hint="eastAsia" w:ascii="宋体" w:hAnsi="宋体" w:cs="宋体"/>
          <w:b/>
          <w:bCs/>
          <w:color w:val="auto"/>
          <w:szCs w:val="21"/>
          <w:highlight w:val="none"/>
          <w:u w:color="000000"/>
        </w:rPr>
        <w:t>。</w:t>
      </w:r>
    </w:p>
    <w:p w14:paraId="614F76E3">
      <w:pPr>
        <w:snapToGrid w:val="0"/>
        <w:spacing w:line="360" w:lineRule="auto"/>
        <w:ind w:firstLine="34"/>
        <w:jc w:val="left"/>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（3）上述手续办理费用约定如下：由承包人支付。</w:t>
      </w:r>
    </w:p>
    <w:p w14:paraId="657D3587">
      <w:pPr>
        <w:snapToGrid w:val="0"/>
        <w:spacing w:line="360" w:lineRule="auto"/>
        <w:ind w:left="199"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6.1.6 关于安全文明施工费支付比例和支付期限的约定，按以下</w:t>
      </w:r>
      <w:r>
        <w:rPr>
          <w:rFonts w:hint="eastAsia" w:ascii="宋体" w:hAnsi="宋体" w:cs="宋体"/>
          <w:color w:val="auto"/>
          <w:szCs w:val="21"/>
          <w:highlight w:val="none"/>
          <w:u w:val="single" w:color="000000"/>
        </w:rPr>
        <w:t>第（2）种方式</w:t>
      </w:r>
      <w:r>
        <w:rPr>
          <w:rFonts w:hint="eastAsia" w:ascii="宋体" w:hAnsi="宋体" w:cs="宋体"/>
          <w:color w:val="auto"/>
          <w:szCs w:val="21"/>
          <w:highlight w:val="none"/>
          <w:u w:color="000000"/>
        </w:rPr>
        <w:t>约定：</w:t>
      </w:r>
    </w:p>
    <w:p w14:paraId="1D365A5E">
      <w:pPr>
        <w:snapToGrid w:val="0"/>
        <w:spacing w:line="360" w:lineRule="auto"/>
        <w:ind w:firstLine="34"/>
        <w:jc w:val="left"/>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（1）发包人应在开工后28天内预付安全文明施工费总额的60%，剩余部分支付按以下第（</w:t>
      </w:r>
      <w:r>
        <w:rPr>
          <w:rFonts w:hint="eastAsia" w:ascii="宋体" w:hAnsi="宋体" w:cs="宋体"/>
          <w:b/>
          <w:bCs/>
          <w:color w:val="auto"/>
          <w:szCs w:val="21"/>
          <w:highlight w:val="none"/>
          <w:u w:color="000000"/>
        </w:rPr>
        <w:t>①</w:t>
      </w:r>
      <w:r>
        <w:rPr>
          <w:rFonts w:hint="eastAsia" w:ascii="宋体" w:hAnsi="宋体" w:cs="宋体"/>
          <w:b/>
          <w:bCs/>
          <w:color w:val="auto"/>
          <w:szCs w:val="21"/>
          <w:highlight w:val="none"/>
          <w:u w:val="single" w:color="000000"/>
        </w:rPr>
        <w:t>）种方式约定：</w:t>
      </w:r>
    </w:p>
    <w:p w14:paraId="40E75534">
      <w:pPr>
        <w:snapToGrid w:val="0"/>
        <w:spacing w:line="360" w:lineRule="auto"/>
        <w:ind w:firstLine="34"/>
        <w:jc w:val="left"/>
        <w:rPr>
          <w:rFonts w:ascii="宋体" w:hAnsi="宋体" w:cs="宋体"/>
          <w:b/>
          <w:bCs/>
          <w:color w:val="auto"/>
          <w:szCs w:val="21"/>
          <w:highlight w:val="none"/>
          <w:u w:color="000000"/>
        </w:rPr>
      </w:pPr>
      <w:r>
        <w:rPr>
          <w:rFonts w:hint="eastAsia" w:ascii="宋体" w:hAnsi="宋体" w:cs="宋体"/>
          <w:b/>
          <w:bCs/>
          <w:color w:val="auto"/>
          <w:szCs w:val="21"/>
          <w:highlight w:val="none"/>
          <w:u w:color="000000"/>
        </w:rPr>
        <w:t>①</w:t>
      </w:r>
      <w:r>
        <w:rPr>
          <w:rFonts w:hint="eastAsia" w:ascii="宋体" w:hAnsi="宋体" w:cs="宋体"/>
          <w:b/>
          <w:bCs/>
          <w:color w:val="auto"/>
          <w:szCs w:val="21"/>
          <w:highlight w:val="none"/>
          <w:u w:val="single" w:color="000000"/>
        </w:rPr>
        <w:t xml:space="preserve">  视相关措施的落实情况与进度款同期支付</w:t>
      </w:r>
      <w:r>
        <w:rPr>
          <w:rFonts w:hint="eastAsia" w:ascii="宋体" w:hAnsi="宋体" w:cs="宋体"/>
          <w:b/>
          <w:bCs/>
          <w:color w:val="auto"/>
          <w:szCs w:val="21"/>
          <w:highlight w:val="none"/>
          <w:u w:color="000000"/>
        </w:rPr>
        <w:t>。</w:t>
      </w:r>
    </w:p>
    <w:p w14:paraId="712E249F">
      <w:pPr>
        <w:snapToGrid w:val="0"/>
        <w:spacing w:line="360" w:lineRule="auto"/>
        <w:ind w:firstLine="34"/>
        <w:jc w:val="left"/>
        <w:rPr>
          <w:rFonts w:ascii="宋体" w:hAnsi="宋体" w:cs="宋体"/>
          <w:b/>
          <w:bCs/>
          <w:color w:val="auto"/>
          <w:szCs w:val="21"/>
          <w:highlight w:val="none"/>
          <w:u w:color="000000"/>
        </w:rPr>
      </w:pPr>
      <w:r>
        <w:rPr>
          <w:rFonts w:hint="eastAsia" w:ascii="宋体" w:hAnsi="宋体" w:cs="宋体"/>
          <w:b/>
          <w:bCs/>
          <w:color w:val="auto"/>
          <w:szCs w:val="21"/>
          <w:highlight w:val="none"/>
          <w:u w:color="000000"/>
        </w:rPr>
        <w:t>②</w:t>
      </w:r>
      <w:r>
        <w:rPr>
          <w:rFonts w:hint="eastAsia" w:ascii="宋体" w:hAnsi="宋体" w:cs="宋体"/>
          <w:b/>
          <w:bCs/>
          <w:color w:val="auto"/>
          <w:szCs w:val="21"/>
          <w:highlight w:val="none"/>
          <w:u w:val="single" w:color="000000"/>
        </w:rPr>
        <w:t xml:space="preserve">  其他：           /                  </w:t>
      </w:r>
      <w:r>
        <w:rPr>
          <w:rFonts w:hint="eastAsia" w:ascii="宋体" w:hAnsi="宋体" w:cs="宋体"/>
          <w:b/>
          <w:bCs/>
          <w:color w:val="auto"/>
          <w:szCs w:val="21"/>
          <w:highlight w:val="none"/>
          <w:u w:color="000000"/>
        </w:rPr>
        <w:t>。</w:t>
      </w:r>
    </w:p>
    <w:p w14:paraId="47DEBADA">
      <w:pPr>
        <w:snapToGrid w:val="0"/>
        <w:spacing w:line="360" w:lineRule="auto"/>
        <w:ind w:firstLine="422" w:firstLineChars="200"/>
        <w:jc w:val="left"/>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（2）其他：/     。</w:t>
      </w:r>
    </w:p>
    <w:p w14:paraId="38A2522E">
      <w:pPr>
        <w:keepNext/>
        <w:keepLines/>
        <w:snapToGrid w:val="0"/>
        <w:spacing w:line="360" w:lineRule="auto"/>
        <w:ind w:firstLine="420" w:firstLineChars="200"/>
        <w:outlineLvl w:val="3"/>
        <w:rPr>
          <w:rFonts w:ascii="宋体" w:hAnsi="宋体" w:cs="宋体"/>
          <w:color w:val="auto"/>
          <w:szCs w:val="21"/>
          <w:highlight w:val="none"/>
          <w:u w:color="000000"/>
        </w:rPr>
      </w:pPr>
      <w:r>
        <w:rPr>
          <w:rFonts w:hint="eastAsia" w:ascii="宋体" w:hAnsi="宋体" w:cs="宋体"/>
          <w:color w:val="auto"/>
          <w:szCs w:val="21"/>
          <w:highlight w:val="none"/>
          <w:u w:color="000000"/>
        </w:rPr>
        <w:t>7. 工期和进度</w:t>
      </w:r>
    </w:p>
    <w:p w14:paraId="025CFB26">
      <w:pPr>
        <w:snapToGrid w:val="0"/>
        <w:spacing w:line="360" w:lineRule="auto"/>
        <w:ind w:firstLine="34"/>
        <w:rPr>
          <w:rFonts w:ascii="宋体" w:hAnsi="宋体" w:cs="宋体"/>
          <w:color w:val="auto"/>
          <w:szCs w:val="21"/>
          <w:highlight w:val="none"/>
          <w:u w:color="000000"/>
        </w:rPr>
      </w:pPr>
      <w:r>
        <w:rPr>
          <w:rFonts w:hint="eastAsia" w:ascii="宋体" w:hAnsi="宋体" w:cs="宋体"/>
          <w:color w:val="auto"/>
          <w:szCs w:val="21"/>
          <w:highlight w:val="none"/>
          <w:u w:color="000000"/>
        </w:rPr>
        <w:t>7.1 施工组织设计</w:t>
      </w:r>
    </w:p>
    <w:p w14:paraId="05D89FFB">
      <w:pPr>
        <w:snapToGrid w:val="0"/>
        <w:spacing w:line="360" w:lineRule="auto"/>
        <w:ind w:firstLine="34"/>
        <w:jc w:val="left"/>
        <w:rPr>
          <w:rFonts w:ascii="宋体" w:hAnsi="宋体" w:cs="宋体"/>
          <w:color w:val="auto"/>
          <w:szCs w:val="21"/>
          <w:highlight w:val="none"/>
          <w:u w:val="single" w:color="000000"/>
        </w:rPr>
      </w:pPr>
      <w:r>
        <w:rPr>
          <w:rFonts w:hint="eastAsia" w:ascii="宋体" w:hAnsi="宋体" w:cs="宋体"/>
          <w:color w:val="auto"/>
          <w:szCs w:val="21"/>
          <w:highlight w:val="none"/>
          <w:u w:color="000000"/>
        </w:rPr>
        <w:t>承包人提交详细施工组织设计的期限的约定：</w:t>
      </w:r>
      <w:r>
        <w:rPr>
          <w:rFonts w:hint="eastAsia" w:ascii="宋体" w:hAnsi="宋体" w:cs="宋体"/>
          <w:b/>
          <w:bCs/>
          <w:color w:val="auto"/>
          <w:szCs w:val="21"/>
          <w:highlight w:val="none"/>
          <w:u w:val="single" w:color="000000"/>
        </w:rPr>
        <w:t xml:space="preserve">合同签订后（ 5 ）天内提供详细施工组织设计（施工方案）和进度计划   </w:t>
      </w:r>
      <w:r>
        <w:rPr>
          <w:rFonts w:hint="eastAsia" w:ascii="宋体" w:hAnsi="宋体" w:cs="宋体"/>
          <w:b/>
          <w:bCs/>
          <w:color w:val="auto"/>
          <w:szCs w:val="21"/>
          <w:highlight w:val="none"/>
          <w:u w:color="000000"/>
        </w:rPr>
        <w:t>。</w:t>
      </w:r>
    </w:p>
    <w:p w14:paraId="3737B630">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发包人和监理人在收到详细的施工组织设计后确认或提出修改意见的期：</w:t>
      </w:r>
      <w:r>
        <w:rPr>
          <w:rFonts w:hint="eastAsia" w:ascii="宋体" w:hAnsi="宋体" w:cs="宋体"/>
          <w:color w:val="auto"/>
          <w:szCs w:val="21"/>
          <w:highlight w:val="none"/>
          <w:u w:val="single" w:color="000000"/>
        </w:rPr>
        <w:t xml:space="preserve"> 5日</w:t>
      </w:r>
      <w:r>
        <w:rPr>
          <w:rFonts w:hint="eastAsia" w:ascii="宋体" w:hAnsi="宋体" w:cs="宋体"/>
          <w:color w:val="auto"/>
          <w:szCs w:val="21"/>
          <w:highlight w:val="none"/>
          <w:u w:color="000000"/>
        </w:rPr>
        <w:t>。</w:t>
      </w:r>
    </w:p>
    <w:p w14:paraId="4564579C">
      <w:pPr>
        <w:snapToGrid w:val="0"/>
        <w:spacing w:line="360" w:lineRule="auto"/>
        <w:ind w:firstLine="34"/>
        <w:rPr>
          <w:rFonts w:ascii="宋体" w:hAnsi="宋体" w:cs="宋体"/>
          <w:color w:val="auto"/>
          <w:szCs w:val="21"/>
          <w:highlight w:val="none"/>
          <w:u w:color="000000"/>
        </w:rPr>
      </w:pPr>
      <w:r>
        <w:rPr>
          <w:rFonts w:hint="eastAsia" w:ascii="宋体" w:hAnsi="宋体" w:cs="宋体"/>
          <w:color w:val="auto"/>
          <w:szCs w:val="21"/>
          <w:highlight w:val="none"/>
          <w:u w:color="000000"/>
        </w:rPr>
        <w:t>7.2 施工进度计划</w:t>
      </w:r>
    </w:p>
    <w:p w14:paraId="0175819C">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7.2.2 施工进度计划的修订</w:t>
      </w:r>
    </w:p>
    <w:p w14:paraId="512FAAE9">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发包人和监理人在收到修订的施工进度计划后确认或提出修改意见的期限：</w:t>
      </w:r>
      <w:r>
        <w:rPr>
          <w:rFonts w:hint="eastAsia" w:ascii="宋体" w:hAnsi="宋体" w:cs="宋体"/>
          <w:color w:val="auto"/>
          <w:szCs w:val="21"/>
          <w:highlight w:val="none"/>
          <w:u w:val="single" w:color="000000"/>
        </w:rPr>
        <w:t xml:space="preserve"> 5日</w:t>
      </w:r>
      <w:r>
        <w:rPr>
          <w:rFonts w:hint="eastAsia" w:ascii="宋体" w:hAnsi="宋体" w:cs="宋体"/>
          <w:color w:val="auto"/>
          <w:szCs w:val="21"/>
          <w:highlight w:val="none"/>
          <w:u w:color="000000"/>
        </w:rPr>
        <w:t>。</w:t>
      </w:r>
    </w:p>
    <w:p w14:paraId="57FCF5C9">
      <w:pPr>
        <w:snapToGrid w:val="0"/>
        <w:spacing w:line="360" w:lineRule="auto"/>
        <w:ind w:firstLine="34"/>
        <w:rPr>
          <w:rFonts w:ascii="宋体" w:hAnsi="宋体" w:cs="宋体"/>
          <w:color w:val="auto"/>
          <w:szCs w:val="21"/>
          <w:highlight w:val="none"/>
          <w:u w:color="000000"/>
        </w:rPr>
      </w:pPr>
      <w:r>
        <w:rPr>
          <w:rFonts w:hint="eastAsia" w:ascii="宋体" w:hAnsi="宋体" w:cs="宋体"/>
          <w:color w:val="auto"/>
          <w:szCs w:val="21"/>
          <w:highlight w:val="none"/>
          <w:u w:color="000000"/>
        </w:rPr>
        <w:t>7.3 开工</w:t>
      </w:r>
    </w:p>
    <w:p w14:paraId="042E0414">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7.3.1 开工准备</w:t>
      </w:r>
    </w:p>
    <w:p w14:paraId="6D6CDA31">
      <w:pPr>
        <w:snapToGrid w:val="0"/>
        <w:spacing w:line="360" w:lineRule="auto"/>
        <w:ind w:firstLine="34"/>
        <w:jc w:val="left"/>
        <w:rPr>
          <w:rFonts w:ascii="宋体" w:hAnsi="宋体" w:cs="宋体"/>
          <w:color w:val="auto"/>
          <w:szCs w:val="21"/>
          <w:highlight w:val="none"/>
          <w:u w:val="single" w:color="000000"/>
        </w:rPr>
      </w:pPr>
      <w:r>
        <w:rPr>
          <w:rFonts w:hint="eastAsia" w:ascii="宋体" w:hAnsi="宋体" w:cs="宋体"/>
          <w:color w:val="auto"/>
          <w:szCs w:val="21"/>
          <w:highlight w:val="none"/>
          <w:u w:color="000000"/>
        </w:rPr>
        <w:t>关于承包人提交工程开工报审表的期限：</w:t>
      </w:r>
      <w:r>
        <w:rPr>
          <w:rFonts w:hint="eastAsia" w:ascii="宋体" w:hAnsi="宋体" w:cs="宋体"/>
          <w:color w:val="auto"/>
          <w:szCs w:val="21"/>
          <w:highlight w:val="none"/>
          <w:u w:val="single" w:color="000000"/>
        </w:rPr>
        <w:t xml:space="preserve"> 合同生效后30日内 </w:t>
      </w:r>
      <w:r>
        <w:rPr>
          <w:rFonts w:hint="eastAsia" w:ascii="宋体" w:hAnsi="宋体" w:cs="宋体"/>
          <w:color w:val="auto"/>
          <w:szCs w:val="21"/>
          <w:highlight w:val="none"/>
          <w:u w:color="000000"/>
        </w:rPr>
        <w:t>。</w:t>
      </w:r>
    </w:p>
    <w:p w14:paraId="1259BA9C">
      <w:pPr>
        <w:snapToGrid w:val="0"/>
        <w:spacing w:line="360" w:lineRule="auto"/>
        <w:ind w:firstLine="34"/>
        <w:jc w:val="left"/>
        <w:rPr>
          <w:rFonts w:ascii="宋体" w:hAnsi="宋体" w:cs="宋体"/>
          <w:color w:val="auto"/>
          <w:szCs w:val="21"/>
          <w:highlight w:val="none"/>
          <w:u w:val="single" w:color="000000"/>
        </w:rPr>
      </w:pPr>
      <w:r>
        <w:rPr>
          <w:rFonts w:hint="eastAsia" w:ascii="宋体" w:hAnsi="宋体" w:cs="宋体"/>
          <w:color w:val="auto"/>
          <w:szCs w:val="21"/>
          <w:highlight w:val="none"/>
          <w:u w:color="000000"/>
        </w:rPr>
        <w:t>关于发包人应完成的其他开工准备工作及期限：</w:t>
      </w:r>
      <w:r>
        <w:rPr>
          <w:rFonts w:hint="eastAsia" w:ascii="宋体" w:hAnsi="宋体" w:cs="宋体"/>
          <w:color w:val="auto"/>
          <w:szCs w:val="21"/>
          <w:highlight w:val="none"/>
          <w:u w:val="single" w:color="000000"/>
        </w:rPr>
        <w:t xml:space="preserve"> 合同生效后30日内 </w:t>
      </w:r>
      <w:r>
        <w:rPr>
          <w:rFonts w:hint="eastAsia" w:ascii="宋体" w:hAnsi="宋体" w:cs="宋体"/>
          <w:color w:val="auto"/>
          <w:szCs w:val="21"/>
          <w:highlight w:val="none"/>
          <w:u w:color="000000"/>
        </w:rPr>
        <w:t>。</w:t>
      </w:r>
    </w:p>
    <w:p w14:paraId="35B8067C">
      <w:pPr>
        <w:snapToGrid w:val="0"/>
        <w:spacing w:line="360" w:lineRule="auto"/>
        <w:ind w:firstLine="34"/>
        <w:jc w:val="left"/>
        <w:rPr>
          <w:rFonts w:ascii="宋体" w:hAnsi="宋体" w:cs="宋体"/>
          <w:color w:val="auto"/>
          <w:szCs w:val="21"/>
          <w:highlight w:val="none"/>
          <w:u w:val="single" w:color="000000"/>
        </w:rPr>
      </w:pPr>
      <w:r>
        <w:rPr>
          <w:rFonts w:hint="eastAsia" w:ascii="宋体" w:hAnsi="宋体" w:cs="宋体"/>
          <w:color w:val="auto"/>
          <w:szCs w:val="21"/>
          <w:highlight w:val="none"/>
          <w:u w:color="000000"/>
        </w:rPr>
        <w:t>关于承包人应完成的其他开工准备工作及期限：</w:t>
      </w:r>
      <w:r>
        <w:rPr>
          <w:rFonts w:hint="eastAsia" w:ascii="宋体" w:hAnsi="宋体" w:cs="宋体"/>
          <w:color w:val="auto"/>
          <w:szCs w:val="21"/>
          <w:highlight w:val="none"/>
          <w:u w:val="single" w:color="000000"/>
        </w:rPr>
        <w:t xml:space="preserve"> 合同生效后30日内 </w:t>
      </w:r>
      <w:r>
        <w:rPr>
          <w:rFonts w:hint="eastAsia" w:ascii="宋体" w:hAnsi="宋体" w:cs="宋体"/>
          <w:color w:val="auto"/>
          <w:szCs w:val="21"/>
          <w:highlight w:val="none"/>
          <w:u w:color="000000"/>
        </w:rPr>
        <w:t>。</w:t>
      </w:r>
    </w:p>
    <w:p w14:paraId="6C4DDC87">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7.3.2开工通知</w:t>
      </w:r>
    </w:p>
    <w:p w14:paraId="1BBF5CD9">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因发包人原因造成监理人未能在计划开工日期之日起</w:t>
      </w:r>
      <w:r>
        <w:rPr>
          <w:rFonts w:hint="eastAsia" w:ascii="宋体" w:hAnsi="宋体" w:cs="宋体"/>
          <w:color w:val="auto"/>
          <w:szCs w:val="21"/>
          <w:highlight w:val="none"/>
          <w:u w:val="single" w:color="000000"/>
        </w:rPr>
        <w:t xml:space="preserve"> 30 </w:t>
      </w:r>
      <w:r>
        <w:rPr>
          <w:rFonts w:hint="eastAsia" w:ascii="宋体" w:hAnsi="宋体" w:cs="宋体"/>
          <w:color w:val="auto"/>
          <w:szCs w:val="21"/>
          <w:highlight w:val="none"/>
          <w:u w:color="000000"/>
        </w:rPr>
        <w:t>天内发出开工通知的，承包人有权提出价格调整要求，或者解除合同。</w:t>
      </w:r>
    </w:p>
    <w:p w14:paraId="2EF4F9C4">
      <w:pPr>
        <w:snapToGrid w:val="0"/>
        <w:spacing w:line="360" w:lineRule="auto"/>
        <w:ind w:firstLine="34"/>
        <w:rPr>
          <w:rFonts w:ascii="宋体" w:hAnsi="宋体" w:cs="宋体"/>
          <w:color w:val="auto"/>
          <w:szCs w:val="21"/>
          <w:highlight w:val="none"/>
          <w:u w:color="000000"/>
        </w:rPr>
      </w:pPr>
      <w:r>
        <w:rPr>
          <w:rFonts w:hint="eastAsia" w:ascii="宋体" w:hAnsi="宋体" w:cs="宋体"/>
          <w:color w:val="auto"/>
          <w:szCs w:val="21"/>
          <w:highlight w:val="none"/>
          <w:u w:color="000000"/>
        </w:rPr>
        <w:t>7.4 测量放线</w:t>
      </w:r>
    </w:p>
    <w:p w14:paraId="6E9D6479">
      <w:pPr>
        <w:snapToGrid w:val="0"/>
        <w:spacing w:line="360" w:lineRule="auto"/>
        <w:ind w:firstLine="34"/>
        <w:jc w:val="left"/>
        <w:rPr>
          <w:rFonts w:ascii="宋体" w:hAnsi="宋体" w:cs="宋体"/>
          <w:color w:val="auto"/>
          <w:szCs w:val="21"/>
          <w:highlight w:val="none"/>
          <w:u w:val="single" w:color="000000"/>
        </w:rPr>
      </w:pPr>
      <w:r>
        <w:rPr>
          <w:rFonts w:hint="eastAsia" w:ascii="宋体" w:hAnsi="宋体" w:cs="宋体"/>
          <w:color w:val="auto"/>
          <w:szCs w:val="21"/>
          <w:highlight w:val="none"/>
          <w:u w:color="000000"/>
        </w:rPr>
        <w:t>7.4.1发包人通过监理人向承包人提供测量基准点、基准线和水准点及其书面资料的期限：</w:t>
      </w:r>
      <w:r>
        <w:rPr>
          <w:rFonts w:hint="eastAsia" w:ascii="宋体" w:hAnsi="宋体" w:cs="宋体"/>
          <w:color w:val="auto"/>
          <w:szCs w:val="21"/>
          <w:highlight w:val="none"/>
          <w:u w:val="single" w:color="000000"/>
        </w:rPr>
        <w:t xml:space="preserve"> 合同生效后30日内 </w:t>
      </w:r>
      <w:r>
        <w:rPr>
          <w:rFonts w:hint="eastAsia" w:ascii="宋体" w:hAnsi="宋体" w:cs="宋体"/>
          <w:color w:val="auto"/>
          <w:szCs w:val="21"/>
          <w:highlight w:val="none"/>
          <w:u w:color="000000"/>
        </w:rPr>
        <w:t>。</w:t>
      </w:r>
    </w:p>
    <w:p w14:paraId="2A544A98">
      <w:pPr>
        <w:snapToGrid w:val="0"/>
        <w:spacing w:line="360" w:lineRule="auto"/>
        <w:ind w:firstLine="34"/>
        <w:rPr>
          <w:rFonts w:ascii="宋体" w:hAnsi="宋体" w:cs="宋体"/>
          <w:color w:val="auto"/>
          <w:szCs w:val="21"/>
          <w:highlight w:val="none"/>
          <w:u w:color="000000"/>
        </w:rPr>
      </w:pPr>
      <w:r>
        <w:rPr>
          <w:rFonts w:hint="eastAsia" w:ascii="宋体" w:hAnsi="宋体" w:cs="宋体"/>
          <w:color w:val="auto"/>
          <w:szCs w:val="21"/>
          <w:highlight w:val="none"/>
          <w:u w:color="000000"/>
        </w:rPr>
        <w:t>7.5 工期延误</w:t>
      </w:r>
    </w:p>
    <w:p w14:paraId="3DAFBD5D">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7.5.1 因发包人原因导致工期延误</w:t>
      </w:r>
    </w:p>
    <w:p w14:paraId="4659FB45">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（7）因发包人原因导致工期延误的其他情形：</w:t>
      </w:r>
    </w:p>
    <w:p w14:paraId="3ABA4405">
      <w:pPr>
        <w:snapToGrid w:val="0"/>
        <w:spacing w:line="360" w:lineRule="auto"/>
        <w:ind w:firstLine="34"/>
        <w:jc w:val="left"/>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 xml:space="preserve">①重大设计变更引起的工期延误                        </w:t>
      </w:r>
      <w:r>
        <w:rPr>
          <w:rFonts w:hint="eastAsia" w:ascii="宋体" w:hAnsi="宋体" w:cs="宋体"/>
          <w:b/>
          <w:bCs/>
          <w:color w:val="auto"/>
          <w:szCs w:val="21"/>
          <w:highlight w:val="none"/>
          <w:u w:color="000000"/>
        </w:rPr>
        <w:t>；</w:t>
      </w:r>
    </w:p>
    <w:p w14:paraId="77AA6896">
      <w:pPr>
        <w:snapToGrid w:val="0"/>
        <w:spacing w:line="360" w:lineRule="auto"/>
        <w:ind w:firstLine="34"/>
        <w:jc w:val="left"/>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 xml:space="preserve">②其他：                /                           </w:t>
      </w:r>
      <w:r>
        <w:rPr>
          <w:rFonts w:hint="eastAsia" w:ascii="宋体" w:hAnsi="宋体" w:cs="宋体"/>
          <w:b/>
          <w:bCs/>
          <w:color w:val="auto"/>
          <w:szCs w:val="21"/>
          <w:highlight w:val="none"/>
          <w:u w:color="000000"/>
        </w:rPr>
        <w:t>。</w:t>
      </w:r>
    </w:p>
    <w:p w14:paraId="5906C980">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7.5.2 因承包人原因导致工期延误</w:t>
      </w:r>
    </w:p>
    <w:p w14:paraId="07F02379">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因承包人原因造成工期延误，逾期竣工违约金的计算方法为：</w:t>
      </w:r>
      <w:r>
        <w:rPr>
          <w:rFonts w:hint="eastAsia" w:ascii="宋体" w:hAnsi="宋体" w:cs="宋体"/>
          <w:color w:val="auto"/>
          <w:szCs w:val="21"/>
          <w:highlight w:val="none"/>
          <w:u w:val="single" w:color="000000"/>
        </w:rPr>
        <w:t>逾期每日按合同的万分之五</w:t>
      </w:r>
      <w:r>
        <w:rPr>
          <w:rFonts w:hint="eastAsia" w:ascii="宋体" w:hAnsi="宋体" w:cs="宋体"/>
          <w:color w:val="auto"/>
          <w:szCs w:val="21"/>
          <w:highlight w:val="none"/>
          <w:u w:color="000000"/>
        </w:rPr>
        <w:t>。</w:t>
      </w:r>
    </w:p>
    <w:p w14:paraId="015AA210">
      <w:pPr>
        <w:snapToGrid w:val="0"/>
        <w:spacing w:line="360" w:lineRule="auto"/>
        <w:jc w:val="left"/>
        <w:rPr>
          <w:rFonts w:ascii="宋体" w:hAnsi="宋体" w:cs="宋体"/>
          <w:color w:val="auto"/>
          <w:szCs w:val="21"/>
          <w:highlight w:val="none"/>
          <w:u w:color="000000"/>
        </w:rPr>
      </w:pPr>
      <w:r>
        <w:rPr>
          <w:rFonts w:hint="eastAsia" w:ascii="宋体" w:hAnsi="宋体" w:cs="宋体"/>
          <w:color w:val="auto"/>
          <w:szCs w:val="21"/>
          <w:highlight w:val="none"/>
          <w:u w:color="000000"/>
        </w:rPr>
        <w:t>因承包人原因造成工期延误，逾期竣工违约金的上限：</w:t>
      </w:r>
      <w:r>
        <w:rPr>
          <w:rFonts w:hint="eastAsia" w:ascii="宋体" w:hAnsi="宋体" w:cs="宋体"/>
          <w:color w:val="auto"/>
          <w:szCs w:val="21"/>
          <w:highlight w:val="none"/>
          <w:u w:val="single" w:color="000000"/>
        </w:rPr>
        <w:t xml:space="preserve"> 扣完为止 </w:t>
      </w:r>
      <w:r>
        <w:rPr>
          <w:rFonts w:hint="eastAsia" w:ascii="宋体" w:hAnsi="宋体" w:cs="宋体"/>
          <w:color w:val="auto"/>
          <w:szCs w:val="21"/>
          <w:highlight w:val="none"/>
          <w:u w:color="000000"/>
        </w:rPr>
        <w:t>。</w:t>
      </w:r>
    </w:p>
    <w:p w14:paraId="0797596B">
      <w:pPr>
        <w:snapToGrid w:val="0"/>
        <w:spacing w:line="360" w:lineRule="auto"/>
        <w:ind w:firstLine="34"/>
        <w:rPr>
          <w:rFonts w:ascii="宋体" w:hAnsi="宋体" w:cs="宋体"/>
          <w:color w:val="auto"/>
          <w:szCs w:val="21"/>
          <w:highlight w:val="none"/>
          <w:u w:color="000000"/>
        </w:rPr>
      </w:pPr>
      <w:r>
        <w:rPr>
          <w:rFonts w:hint="eastAsia" w:ascii="宋体" w:hAnsi="宋体" w:cs="宋体"/>
          <w:color w:val="auto"/>
          <w:szCs w:val="21"/>
          <w:highlight w:val="none"/>
          <w:u w:color="000000"/>
        </w:rPr>
        <w:t>7.6 不利物质条件</w:t>
      </w:r>
    </w:p>
    <w:p w14:paraId="79B2FFA5">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不利物质条件的其他情形和有关约定：</w:t>
      </w:r>
    </w:p>
    <w:p w14:paraId="273F9B3D">
      <w:pPr>
        <w:snapToGrid w:val="0"/>
        <w:spacing w:line="360" w:lineRule="auto"/>
        <w:ind w:firstLine="34"/>
        <w:jc w:val="left"/>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 xml:space="preserve">（1）施工场地周围地下管线                            </w:t>
      </w:r>
      <w:r>
        <w:rPr>
          <w:rFonts w:hint="eastAsia" w:ascii="宋体" w:hAnsi="宋体" w:cs="宋体"/>
          <w:b/>
          <w:bCs/>
          <w:color w:val="auto"/>
          <w:szCs w:val="21"/>
          <w:highlight w:val="none"/>
          <w:u w:color="000000"/>
        </w:rPr>
        <w:t>；</w:t>
      </w:r>
    </w:p>
    <w:p w14:paraId="1F1823F3">
      <w:pPr>
        <w:snapToGrid w:val="0"/>
        <w:spacing w:line="360" w:lineRule="auto"/>
        <w:ind w:firstLine="34"/>
        <w:jc w:val="left"/>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 xml:space="preserve">（2）地下障碍物和污染物                              </w:t>
      </w:r>
      <w:r>
        <w:rPr>
          <w:rFonts w:hint="eastAsia" w:ascii="宋体" w:hAnsi="宋体" w:cs="宋体"/>
          <w:b/>
          <w:bCs/>
          <w:color w:val="auto"/>
          <w:szCs w:val="21"/>
          <w:highlight w:val="none"/>
          <w:u w:color="000000"/>
        </w:rPr>
        <w:t>；</w:t>
      </w:r>
    </w:p>
    <w:p w14:paraId="70054FF9">
      <w:pPr>
        <w:snapToGrid w:val="0"/>
        <w:spacing w:line="360" w:lineRule="auto"/>
        <w:ind w:firstLine="34"/>
        <w:jc w:val="left"/>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 xml:space="preserve">（3）邻近建筑物、构筑物的保护要求                    </w:t>
      </w:r>
      <w:r>
        <w:rPr>
          <w:rFonts w:hint="eastAsia" w:ascii="宋体" w:hAnsi="宋体" w:cs="宋体"/>
          <w:b/>
          <w:bCs/>
          <w:color w:val="auto"/>
          <w:szCs w:val="21"/>
          <w:highlight w:val="none"/>
          <w:u w:color="000000"/>
        </w:rPr>
        <w:t>；</w:t>
      </w:r>
    </w:p>
    <w:p w14:paraId="48E7D14E">
      <w:pPr>
        <w:snapToGrid w:val="0"/>
        <w:spacing w:line="360" w:lineRule="auto"/>
        <w:ind w:firstLine="34"/>
        <w:jc w:val="left"/>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 xml:space="preserve">（4）其他                                            </w:t>
      </w:r>
      <w:r>
        <w:rPr>
          <w:rFonts w:hint="eastAsia" w:ascii="宋体" w:hAnsi="宋体" w:cs="宋体"/>
          <w:b/>
          <w:bCs/>
          <w:color w:val="auto"/>
          <w:szCs w:val="21"/>
          <w:highlight w:val="none"/>
          <w:u w:color="000000"/>
        </w:rPr>
        <w:t>。</w:t>
      </w:r>
    </w:p>
    <w:p w14:paraId="36CA4711">
      <w:pPr>
        <w:snapToGrid w:val="0"/>
        <w:spacing w:line="360" w:lineRule="auto"/>
        <w:ind w:firstLine="34"/>
        <w:rPr>
          <w:rFonts w:ascii="宋体" w:hAnsi="宋体" w:cs="宋体"/>
          <w:color w:val="auto"/>
          <w:szCs w:val="21"/>
          <w:highlight w:val="none"/>
          <w:u w:color="000000"/>
        </w:rPr>
      </w:pPr>
      <w:r>
        <w:rPr>
          <w:rFonts w:hint="eastAsia" w:ascii="宋体" w:hAnsi="宋体" w:cs="宋体"/>
          <w:color w:val="auto"/>
          <w:szCs w:val="21"/>
          <w:highlight w:val="none"/>
          <w:u w:color="000000"/>
        </w:rPr>
        <w:t>7.7异常恶劣的气候条件</w:t>
      </w:r>
    </w:p>
    <w:p w14:paraId="5B6D3307">
      <w:pPr>
        <w:snapToGrid w:val="0"/>
        <w:spacing w:line="360" w:lineRule="auto"/>
        <w:ind w:firstLine="34"/>
        <w:jc w:val="left"/>
        <w:rPr>
          <w:rFonts w:ascii="宋体" w:hAnsi="宋体" w:cs="宋体"/>
          <w:b/>
          <w:bCs/>
          <w:color w:val="auto"/>
          <w:szCs w:val="21"/>
          <w:highlight w:val="none"/>
          <w:u w:color="000000"/>
        </w:rPr>
      </w:pPr>
      <w:r>
        <w:rPr>
          <w:rFonts w:hint="eastAsia" w:ascii="宋体" w:hAnsi="宋体" w:cs="宋体"/>
          <w:color w:val="auto"/>
          <w:szCs w:val="21"/>
          <w:highlight w:val="none"/>
          <w:u w:color="000000"/>
        </w:rPr>
        <w:t>发包人和承包人同意以下情形视为异常恶劣的气候条件：</w:t>
      </w:r>
    </w:p>
    <w:p w14:paraId="780B0755">
      <w:pPr>
        <w:snapToGrid w:val="0"/>
        <w:spacing w:line="360" w:lineRule="auto"/>
        <w:ind w:firstLine="34"/>
        <w:jc w:val="left"/>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（1）日最高气温达到40 度及以上的天气；</w:t>
      </w:r>
    </w:p>
    <w:p w14:paraId="534CE882">
      <w:pPr>
        <w:snapToGrid w:val="0"/>
        <w:spacing w:line="360" w:lineRule="auto"/>
        <w:ind w:firstLine="34"/>
        <w:jc w:val="left"/>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（2）启动台风橙色及以上预警的天气；</w:t>
      </w:r>
    </w:p>
    <w:p w14:paraId="1DC73B10">
      <w:pPr>
        <w:tabs>
          <w:tab w:val="left" w:pos="4646"/>
        </w:tabs>
        <w:snapToGrid w:val="0"/>
        <w:spacing w:line="360" w:lineRule="auto"/>
        <w:ind w:firstLine="34"/>
        <w:jc w:val="left"/>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（3）启动防汛预案一级响应的天气；</w:t>
      </w:r>
    </w:p>
    <w:p w14:paraId="2CDA2FB5">
      <w:pPr>
        <w:snapToGrid w:val="0"/>
        <w:spacing w:line="360" w:lineRule="auto"/>
        <w:ind w:firstLine="34"/>
        <w:jc w:val="left"/>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（4）启动防冻预案一级响应的天气；</w:t>
      </w:r>
    </w:p>
    <w:p w14:paraId="53F032EE">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7.9 提前竣工的奖励</w:t>
      </w:r>
    </w:p>
    <w:p w14:paraId="17B06830">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7.9.2提前竣工的奖励：</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w:t>
      </w:r>
    </w:p>
    <w:p w14:paraId="0D31088E">
      <w:pPr>
        <w:keepNext/>
        <w:keepLines/>
        <w:snapToGrid w:val="0"/>
        <w:spacing w:line="360" w:lineRule="auto"/>
        <w:ind w:firstLine="34"/>
        <w:outlineLvl w:val="3"/>
        <w:rPr>
          <w:rFonts w:ascii="宋体" w:hAnsi="宋体" w:cs="宋体"/>
          <w:color w:val="auto"/>
          <w:szCs w:val="21"/>
          <w:highlight w:val="none"/>
          <w:u w:color="000000"/>
        </w:rPr>
      </w:pPr>
      <w:r>
        <w:rPr>
          <w:rFonts w:hint="eastAsia" w:ascii="宋体" w:hAnsi="宋体" w:cs="宋体"/>
          <w:color w:val="auto"/>
          <w:szCs w:val="21"/>
          <w:highlight w:val="none"/>
          <w:u w:color="000000"/>
        </w:rPr>
        <w:t>8. 材料与设备</w:t>
      </w:r>
    </w:p>
    <w:p w14:paraId="59E9494D">
      <w:pPr>
        <w:snapToGrid w:val="0"/>
        <w:spacing w:line="360" w:lineRule="auto"/>
        <w:ind w:firstLine="34"/>
        <w:rPr>
          <w:rFonts w:ascii="宋体" w:hAnsi="宋体" w:cs="宋体"/>
          <w:color w:val="auto"/>
          <w:szCs w:val="21"/>
          <w:highlight w:val="none"/>
          <w:u w:color="000000"/>
        </w:rPr>
      </w:pPr>
      <w:r>
        <w:rPr>
          <w:rFonts w:hint="eastAsia" w:ascii="宋体" w:hAnsi="宋体" w:cs="宋体"/>
          <w:color w:val="auto"/>
          <w:szCs w:val="21"/>
          <w:highlight w:val="none"/>
          <w:u w:color="000000"/>
        </w:rPr>
        <w:t>8.4材料与工程设备的保管与使用</w:t>
      </w:r>
    </w:p>
    <w:p w14:paraId="22DE8C37">
      <w:pPr>
        <w:snapToGrid w:val="0"/>
        <w:spacing w:line="360" w:lineRule="auto"/>
        <w:ind w:firstLine="34"/>
        <w:jc w:val="left"/>
        <w:rPr>
          <w:rFonts w:ascii="宋体" w:hAnsi="宋体" w:cs="宋体"/>
          <w:color w:val="auto"/>
          <w:szCs w:val="21"/>
          <w:highlight w:val="none"/>
          <w:u w:val="single" w:color="000000"/>
        </w:rPr>
      </w:pPr>
      <w:r>
        <w:rPr>
          <w:rFonts w:hint="eastAsia" w:ascii="宋体" w:hAnsi="宋体" w:cs="宋体"/>
          <w:color w:val="auto"/>
          <w:szCs w:val="21"/>
          <w:highlight w:val="none"/>
          <w:u w:color="000000"/>
        </w:rPr>
        <w:t>8.4.1发包人供应的材料设备的保管费用的承担：</w:t>
      </w:r>
      <w:r>
        <w:rPr>
          <w:rFonts w:hint="eastAsia" w:ascii="宋体" w:hAnsi="宋体" w:cs="宋体"/>
          <w:color w:val="auto"/>
          <w:szCs w:val="21"/>
          <w:highlight w:val="none"/>
          <w:u w:val="single" w:color="000000"/>
        </w:rPr>
        <w:t>由承包人在报价中考虑并承担相应费用</w:t>
      </w:r>
      <w:r>
        <w:rPr>
          <w:rFonts w:hint="eastAsia" w:ascii="宋体" w:hAnsi="宋体" w:cs="宋体"/>
          <w:color w:val="auto"/>
          <w:szCs w:val="21"/>
          <w:highlight w:val="none"/>
          <w:u w:color="000000"/>
        </w:rPr>
        <w:t>。</w:t>
      </w:r>
    </w:p>
    <w:p w14:paraId="28C4954F">
      <w:pPr>
        <w:snapToGrid w:val="0"/>
        <w:spacing w:line="360" w:lineRule="auto"/>
        <w:ind w:firstLine="34"/>
        <w:rPr>
          <w:rFonts w:ascii="宋体" w:hAnsi="宋体" w:cs="宋体"/>
          <w:color w:val="auto"/>
          <w:szCs w:val="21"/>
          <w:highlight w:val="none"/>
          <w:u w:color="000000"/>
        </w:rPr>
      </w:pPr>
      <w:r>
        <w:rPr>
          <w:rFonts w:hint="eastAsia" w:ascii="宋体" w:hAnsi="宋体" w:cs="宋体"/>
          <w:color w:val="auto"/>
          <w:szCs w:val="21"/>
          <w:highlight w:val="none"/>
          <w:u w:color="000000"/>
        </w:rPr>
        <w:t>8.6 样品</w:t>
      </w:r>
    </w:p>
    <w:p w14:paraId="01F044E4">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8.6.1样品的报送与封存</w:t>
      </w:r>
    </w:p>
    <w:p w14:paraId="4C7B0531">
      <w:pPr>
        <w:snapToGrid w:val="0"/>
        <w:spacing w:line="360" w:lineRule="auto"/>
        <w:ind w:left="560" w:firstLine="34"/>
        <w:rPr>
          <w:rFonts w:ascii="宋体" w:hAnsi="宋体" w:cs="宋体"/>
          <w:color w:val="auto"/>
          <w:szCs w:val="21"/>
          <w:highlight w:val="none"/>
          <w:u w:color="000000"/>
        </w:rPr>
      </w:pPr>
      <w:r>
        <w:rPr>
          <w:rFonts w:hint="eastAsia" w:ascii="宋体" w:hAnsi="宋体" w:cs="宋体"/>
          <w:color w:val="auto"/>
          <w:szCs w:val="21"/>
          <w:highlight w:val="none"/>
          <w:u w:color="000000"/>
        </w:rPr>
        <w:t>需要承包人报送样品的材料或工程设备，样品的种类、名称、规格、数量要求：</w:t>
      </w:r>
    </w:p>
    <w:p w14:paraId="0ED07123">
      <w:pPr>
        <w:snapToGrid w:val="0"/>
        <w:spacing w:line="360" w:lineRule="auto"/>
        <w:ind w:left="560" w:firstLine="34"/>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1）承包人采购材料设备的约定：根据施工图、招标文件及招标答疑纪要提供相应的合格样品，严格按照招投标书中明确的品牌、规格、质量等级等要求进行采购，采购的材料的质量、品牌等不符合招标文件、招标补充说明、工程量清单规定的要求，必须无条件更换并承担相关费用，采购的材料样品必须经监理和发包人验收后方能用于本工程，且必须符合施工图纸设计要求及国家有关标准。</w:t>
      </w:r>
    </w:p>
    <w:p w14:paraId="6DE53E38">
      <w:pPr>
        <w:snapToGrid w:val="0"/>
        <w:spacing w:line="360" w:lineRule="auto"/>
        <w:ind w:left="560" w:firstLine="34"/>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2）承包人等自行报价的材料设备，承包人必须确保符合国家技术标准和技术规范，均有质检部门的质量保证书，并满足相关主管部门的检查和竣工验收要求；否则，发包人将有权要求更换或拆除返工，直到合格为止，引起的损失由承包人承担，并每发生一次扣除履约保证的10%。</w:t>
      </w:r>
    </w:p>
    <w:p w14:paraId="647C6FBB">
      <w:pPr>
        <w:snapToGrid w:val="0"/>
        <w:spacing w:line="360" w:lineRule="auto"/>
        <w:ind w:left="560" w:firstLine="34"/>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3）在材料用于工程之前，承包人必须按发包人的选择和要求，提交有关的材料样品，以供检验，在采购前7天向发包人提供材料采购计划、材料资料和生产厂商资料，根据发包人和监理意见进行封样，经发包人、监理书面签证予以认可后，方可采购。</w:t>
      </w:r>
    </w:p>
    <w:p w14:paraId="27E43BF9">
      <w:pPr>
        <w:snapToGrid w:val="0"/>
        <w:spacing w:line="360" w:lineRule="auto"/>
        <w:ind w:left="560" w:firstLine="34"/>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（4）在材料用于工程前，承包人必须向发包人、监理工程师提交制造厂家出具的材料质量证明，部分重要材料还必须提供市级或以上质检部门的有关检验报告原件或复印件，以证明该材料质量是合格的。</w:t>
      </w:r>
    </w:p>
    <w:p w14:paraId="51EEF18D">
      <w:pPr>
        <w:snapToGrid w:val="0"/>
        <w:spacing w:line="360" w:lineRule="auto"/>
        <w:ind w:left="560" w:firstLine="34"/>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（5）承包人随时按监理和发包人的要求，在制造和加工的地点、或合同规定的其他地方进行检查。</w:t>
      </w:r>
    </w:p>
    <w:p w14:paraId="6E753DFB">
      <w:pPr>
        <w:snapToGrid w:val="0"/>
        <w:spacing w:line="360" w:lineRule="auto"/>
        <w:ind w:left="560" w:firstLine="34"/>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（6）承包人必须将他与合格的材料供应单位签订的材料供应协议副本提交发包人备案。</w:t>
      </w:r>
    </w:p>
    <w:p w14:paraId="7B727CB4">
      <w:pPr>
        <w:snapToGrid w:val="0"/>
        <w:spacing w:line="360" w:lineRule="auto"/>
        <w:ind w:left="560" w:firstLine="34"/>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（7）乙方按照甲方或规范要求采购供工程需要的材料设备、成品、半成品，并提供产品合格证明和质量保证书。在材料设备到货前24小时通知甲方及监理验收。</w:t>
      </w:r>
    </w:p>
    <w:p w14:paraId="47EA3D13">
      <w:pPr>
        <w:snapToGrid w:val="0"/>
        <w:spacing w:line="360" w:lineRule="auto"/>
        <w:ind w:left="560" w:firstLine="34"/>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（8）乙方采购的材料设备与设计或标准、及合同约定的品牌要求不符时，乙方应按甲方要求的时间运出施工场地，重新采购符合要求的产品，承担由此发生的费用，由此延误的工期不予顺延。</w:t>
      </w:r>
    </w:p>
    <w:p w14:paraId="11BA815A">
      <w:pPr>
        <w:snapToGrid w:val="0"/>
        <w:spacing w:line="360" w:lineRule="auto"/>
        <w:ind w:left="560" w:firstLine="34"/>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（9）乙方采购的材料设备在使用前，乙方应按有关规定的要求进行检验或试验，不合格的不得使用，检验或试验费用由乙方承担。</w:t>
      </w:r>
    </w:p>
    <w:p w14:paraId="454F4B05">
      <w:pPr>
        <w:snapToGrid w:val="0"/>
        <w:spacing w:line="360" w:lineRule="auto"/>
        <w:ind w:left="560" w:firstLine="34"/>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（10）甲方、监理发现乙方采购并使用不符合设计或标准、及合同约定的品牌要求的材料设备时，应要求由乙方负责修复、拆除或重新采购，并由乙方承担发生的费用，由此延误的工期不予顺延。</w:t>
      </w:r>
    </w:p>
    <w:p w14:paraId="70831D9B">
      <w:pPr>
        <w:snapToGrid w:val="0"/>
        <w:spacing w:line="360" w:lineRule="auto"/>
        <w:ind w:left="560" w:firstLine="34"/>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（11）乙方需要使用代用材料时，应经甲方认可后才能使用，由此增减的合同价款双方以书面形式议定。</w:t>
      </w:r>
    </w:p>
    <w:p w14:paraId="20A88764">
      <w:pPr>
        <w:snapToGrid w:val="0"/>
        <w:spacing w:line="360" w:lineRule="auto"/>
        <w:ind w:left="560" w:firstLine="34"/>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（12）验收时参照实物封样，以甲方对已封样材料的技术要求及国家有关规范作为验收标准。</w:t>
      </w:r>
    </w:p>
    <w:p w14:paraId="70B670F0">
      <w:pPr>
        <w:snapToGrid w:val="0"/>
        <w:spacing w:line="360" w:lineRule="auto"/>
        <w:ind w:firstLine="34"/>
        <w:rPr>
          <w:rFonts w:ascii="宋体" w:hAnsi="宋体" w:cs="宋体"/>
          <w:color w:val="auto"/>
          <w:szCs w:val="21"/>
          <w:highlight w:val="none"/>
          <w:u w:color="000000"/>
        </w:rPr>
      </w:pPr>
      <w:r>
        <w:rPr>
          <w:rFonts w:hint="eastAsia" w:ascii="宋体" w:hAnsi="宋体" w:cs="宋体"/>
          <w:color w:val="auto"/>
          <w:szCs w:val="21"/>
          <w:highlight w:val="none"/>
          <w:u w:color="000000"/>
        </w:rPr>
        <w:t>8.8 施工设备和临时设施</w:t>
      </w:r>
    </w:p>
    <w:p w14:paraId="2319AEA9">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8.8.1 承包人提供的施工设备和临时设施</w:t>
      </w:r>
    </w:p>
    <w:p w14:paraId="63A9BBE5">
      <w:pPr>
        <w:snapToGrid w:val="0"/>
        <w:spacing w:line="360" w:lineRule="auto"/>
        <w:ind w:firstLine="34"/>
        <w:jc w:val="left"/>
        <w:rPr>
          <w:rFonts w:ascii="宋体" w:hAnsi="宋体" w:cs="宋体"/>
          <w:color w:val="auto"/>
          <w:szCs w:val="21"/>
          <w:highlight w:val="none"/>
          <w:u w:val="single" w:color="000000"/>
        </w:rPr>
      </w:pPr>
      <w:r>
        <w:rPr>
          <w:rFonts w:hint="eastAsia" w:ascii="宋体" w:hAnsi="宋体" w:cs="宋体"/>
          <w:color w:val="auto"/>
          <w:szCs w:val="21"/>
          <w:highlight w:val="none"/>
          <w:u w:color="000000"/>
        </w:rPr>
        <w:t>关于修建临时设施费用承担的约定：</w:t>
      </w:r>
      <w:r>
        <w:rPr>
          <w:rFonts w:hint="eastAsia" w:ascii="宋体" w:hAnsi="宋体" w:cs="宋体"/>
          <w:color w:val="auto"/>
          <w:szCs w:val="21"/>
          <w:highlight w:val="none"/>
          <w:u w:val="single" w:color="000000"/>
        </w:rPr>
        <w:t>由承包人承担相应费用。</w:t>
      </w:r>
    </w:p>
    <w:p w14:paraId="466E1B77">
      <w:pPr>
        <w:keepNext/>
        <w:keepLines/>
        <w:snapToGrid w:val="0"/>
        <w:spacing w:line="360" w:lineRule="auto"/>
        <w:ind w:firstLine="34"/>
        <w:outlineLvl w:val="3"/>
        <w:rPr>
          <w:rFonts w:ascii="宋体" w:hAnsi="宋体" w:cs="宋体"/>
          <w:color w:val="auto"/>
          <w:szCs w:val="21"/>
          <w:highlight w:val="none"/>
          <w:u w:color="000000"/>
        </w:rPr>
      </w:pPr>
      <w:r>
        <w:rPr>
          <w:rFonts w:hint="eastAsia" w:ascii="宋体" w:hAnsi="宋体" w:cs="宋体"/>
          <w:color w:val="auto"/>
          <w:szCs w:val="21"/>
          <w:highlight w:val="none"/>
          <w:u w:color="000000"/>
        </w:rPr>
        <w:t>9. 试验与检验</w:t>
      </w:r>
    </w:p>
    <w:p w14:paraId="74F6A073">
      <w:pPr>
        <w:snapToGrid w:val="0"/>
        <w:spacing w:line="360" w:lineRule="auto"/>
        <w:ind w:firstLine="34"/>
        <w:rPr>
          <w:rFonts w:ascii="宋体" w:hAnsi="宋体" w:cs="宋体"/>
          <w:color w:val="auto"/>
          <w:szCs w:val="21"/>
          <w:highlight w:val="none"/>
          <w:u w:color="000000"/>
        </w:rPr>
      </w:pPr>
      <w:r>
        <w:rPr>
          <w:rFonts w:hint="eastAsia" w:ascii="宋体" w:hAnsi="宋体" w:cs="宋体"/>
          <w:color w:val="auto"/>
          <w:szCs w:val="21"/>
          <w:highlight w:val="none"/>
          <w:u w:color="000000"/>
        </w:rPr>
        <w:t>9.1试验设备与试验人员</w:t>
      </w:r>
    </w:p>
    <w:p w14:paraId="37810A76">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9.1.2 试验设备</w:t>
      </w:r>
    </w:p>
    <w:p w14:paraId="31F4A106">
      <w:pPr>
        <w:snapToGrid w:val="0"/>
        <w:spacing w:line="360" w:lineRule="auto"/>
        <w:ind w:firstLine="34"/>
        <w:jc w:val="left"/>
        <w:rPr>
          <w:rFonts w:ascii="宋体" w:hAnsi="宋体" w:cs="宋体"/>
          <w:color w:val="auto"/>
          <w:szCs w:val="21"/>
          <w:highlight w:val="none"/>
          <w:u w:val="single" w:color="000000"/>
        </w:rPr>
      </w:pPr>
      <w:r>
        <w:rPr>
          <w:rFonts w:hint="eastAsia" w:ascii="宋体" w:hAnsi="宋体" w:cs="宋体"/>
          <w:color w:val="auto"/>
          <w:szCs w:val="21"/>
          <w:highlight w:val="none"/>
          <w:u w:color="000000"/>
        </w:rPr>
        <w:t>施工现场需要配置的试验场所：</w:t>
      </w:r>
      <w:r>
        <w:rPr>
          <w:rFonts w:hint="eastAsia" w:ascii="宋体" w:hAnsi="宋体" w:cs="宋体"/>
          <w:color w:val="auto"/>
          <w:szCs w:val="21"/>
          <w:highlight w:val="none"/>
          <w:u w:val="single" w:color="000000"/>
        </w:rPr>
        <w:t xml:space="preserve">  按有关规定和监理人要求执行  </w:t>
      </w:r>
      <w:r>
        <w:rPr>
          <w:rFonts w:hint="eastAsia" w:ascii="宋体" w:hAnsi="宋体" w:cs="宋体"/>
          <w:color w:val="auto"/>
          <w:szCs w:val="21"/>
          <w:highlight w:val="none"/>
          <w:u w:color="000000"/>
        </w:rPr>
        <w:t xml:space="preserve">。 </w:t>
      </w:r>
    </w:p>
    <w:p w14:paraId="43FB6915">
      <w:pPr>
        <w:snapToGrid w:val="0"/>
        <w:spacing w:line="360" w:lineRule="auto"/>
        <w:ind w:firstLine="34"/>
        <w:jc w:val="left"/>
        <w:rPr>
          <w:rFonts w:ascii="宋体" w:hAnsi="宋体" w:cs="宋体"/>
          <w:color w:val="auto"/>
          <w:szCs w:val="21"/>
          <w:highlight w:val="none"/>
          <w:u w:val="single" w:color="000000"/>
        </w:rPr>
      </w:pPr>
      <w:r>
        <w:rPr>
          <w:rFonts w:hint="eastAsia" w:ascii="宋体" w:hAnsi="宋体" w:cs="宋体"/>
          <w:color w:val="auto"/>
          <w:szCs w:val="21"/>
          <w:highlight w:val="none"/>
          <w:u w:color="000000"/>
        </w:rPr>
        <w:t>施工现场需要配备的试验设备：</w:t>
      </w:r>
      <w:r>
        <w:rPr>
          <w:rFonts w:hint="eastAsia" w:ascii="宋体" w:hAnsi="宋体" w:cs="宋体"/>
          <w:color w:val="auto"/>
          <w:szCs w:val="21"/>
          <w:highlight w:val="none"/>
          <w:u w:val="single" w:color="000000"/>
        </w:rPr>
        <w:t xml:space="preserve">  按有关规定和监理人要求执行  </w:t>
      </w:r>
      <w:r>
        <w:rPr>
          <w:rFonts w:hint="eastAsia" w:ascii="宋体" w:hAnsi="宋体" w:cs="宋体"/>
          <w:color w:val="auto"/>
          <w:szCs w:val="21"/>
          <w:highlight w:val="none"/>
          <w:u w:color="000000"/>
        </w:rPr>
        <w:t>。</w:t>
      </w:r>
    </w:p>
    <w:p w14:paraId="39661561">
      <w:pPr>
        <w:snapToGrid w:val="0"/>
        <w:spacing w:line="360" w:lineRule="auto"/>
        <w:ind w:firstLine="34"/>
        <w:jc w:val="left"/>
        <w:rPr>
          <w:rFonts w:ascii="宋体" w:hAnsi="宋体" w:cs="宋体"/>
          <w:color w:val="auto"/>
          <w:szCs w:val="21"/>
          <w:highlight w:val="none"/>
          <w:u w:val="single" w:color="000000"/>
        </w:rPr>
      </w:pPr>
      <w:r>
        <w:rPr>
          <w:rFonts w:hint="eastAsia" w:ascii="宋体" w:hAnsi="宋体" w:cs="宋体"/>
          <w:color w:val="auto"/>
          <w:szCs w:val="21"/>
          <w:highlight w:val="none"/>
          <w:u w:color="000000"/>
        </w:rPr>
        <w:t>施工现场需要具备的其他试验条件：</w:t>
      </w:r>
      <w:r>
        <w:rPr>
          <w:rFonts w:hint="eastAsia" w:ascii="宋体" w:hAnsi="宋体" w:cs="宋体"/>
          <w:color w:val="auto"/>
          <w:szCs w:val="21"/>
          <w:highlight w:val="none"/>
          <w:u w:val="single" w:color="000000"/>
        </w:rPr>
        <w:t xml:space="preserve">  按有关规定和监理人要求执行  </w:t>
      </w:r>
      <w:r>
        <w:rPr>
          <w:rFonts w:hint="eastAsia" w:ascii="宋体" w:hAnsi="宋体" w:cs="宋体"/>
          <w:color w:val="auto"/>
          <w:szCs w:val="21"/>
          <w:highlight w:val="none"/>
          <w:u w:color="000000"/>
        </w:rPr>
        <w:t>。</w:t>
      </w:r>
    </w:p>
    <w:p w14:paraId="07787267">
      <w:pPr>
        <w:snapToGrid w:val="0"/>
        <w:spacing w:line="360" w:lineRule="auto"/>
        <w:ind w:firstLine="34"/>
        <w:rPr>
          <w:rFonts w:ascii="宋体" w:hAnsi="宋体" w:cs="宋体"/>
          <w:color w:val="auto"/>
          <w:szCs w:val="21"/>
          <w:highlight w:val="none"/>
          <w:u w:color="000000"/>
        </w:rPr>
      </w:pPr>
      <w:r>
        <w:rPr>
          <w:rFonts w:hint="eastAsia" w:ascii="宋体" w:hAnsi="宋体" w:cs="宋体"/>
          <w:color w:val="auto"/>
          <w:szCs w:val="21"/>
          <w:highlight w:val="none"/>
          <w:u w:color="000000"/>
        </w:rPr>
        <w:t xml:space="preserve">9.4 现场工艺试验 </w:t>
      </w:r>
    </w:p>
    <w:p w14:paraId="77B3109D">
      <w:pPr>
        <w:snapToGrid w:val="0"/>
        <w:spacing w:line="360" w:lineRule="auto"/>
        <w:ind w:firstLine="34"/>
        <w:jc w:val="left"/>
        <w:rPr>
          <w:rFonts w:ascii="宋体" w:hAnsi="宋体" w:cs="宋体"/>
          <w:color w:val="auto"/>
          <w:szCs w:val="21"/>
          <w:highlight w:val="none"/>
          <w:u w:val="single" w:color="000000"/>
        </w:rPr>
      </w:pPr>
      <w:r>
        <w:rPr>
          <w:rFonts w:hint="eastAsia" w:ascii="宋体" w:hAnsi="宋体" w:cs="宋体"/>
          <w:color w:val="auto"/>
          <w:szCs w:val="21"/>
          <w:highlight w:val="none"/>
          <w:u w:color="000000"/>
        </w:rPr>
        <w:t>现场工艺试验的有关约定：</w:t>
      </w:r>
      <w:r>
        <w:rPr>
          <w:rFonts w:hint="eastAsia" w:ascii="宋体" w:hAnsi="宋体" w:cs="宋体"/>
          <w:color w:val="auto"/>
          <w:szCs w:val="21"/>
          <w:highlight w:val="none"/>
          <w:u w:val="single" w:color="000000"/>
        </w:rPr>
        <w:t xml:space="preserve">  按有关规定和监理人要求执行</w:t>
      </w:r>
      <w:r>
        <w:rPr>
          <w:rFonts w:hint="eastAsia" w:ascii="宋体" w:hAnsi="宋体" w:cs="宋体"/>
          <w:color w:val="auto"/>
          <w:szCs w:val="21"/>
          <w:highlight w:val="none"/>
          <w:u w:color="000000"/>
        </w:rPr>
        <w:t>。</w:t>
      </w:r>
    </w:p>
    <w:p w14:paraId="522325FB">
      <w:pPr>
        <w:keepNext/>
        <w:keepLines/>
        <w:snapToGrid w:val="0"/>
        <w:spacing w:line="360" w:lineRule="auto"/>
        <w:ind w:firstLine="34"/>
        <w:outlineLvl w:val="3"/>
        <w:rPr>
          <w:rFonts w:ascii="宋体" w:hAnsi="宋体" w:cs="宋体"/>
          <w:color w:val="auto"/>
          <w:szCs w:val="21"/>
          <w:highlight w:val="none"/>
          <w:u w:color="000000"/>
        </w:rPr>
      </w:pPr>
      <w:r>
        <w:rPr>
          <w:rFonts w:hint="eastAsia" w:ascii="宋体" w:hAnsi="宋体" w:cs="宋体"/>
          <w:color w:val="auto"/>
          <w:szCs w:val="21"/>
          <w:highlight w:val="none"/>
          <w:u w:color="000000"/>
        </w:rPr>
        <w:t>10. 变更</w:t>
      </w:r>
    </w:p>
    <w:p w14:paraId="10568755">
      <w:pPr>
        <w:snapToGrid w:val="0"/>
        <w:spacing w:line="360" w:lineRule="auto"/>
        <w:ind w:firstLine="34"/>
        <w:rPr>
          <w:rFonts w:ascii="宋体" w:hAnsi="宋体" w:cs="宋体"/>
          <w:color w:val="auto"/>
          <w:szCs w:val="21"/>
          <w:highlight w:val="none"/>
          <w:u w:color="000000"/>
        </w:rPr>
      </w:pPr>
      <w:r>
        <w:rPr>
          <w:rFonts w:hint="eastAsia" w:ascii="宋体" w:hAnsi="宋体" w:cs="宋体"/>
          <w:color w:val="auto"/>
          <w:szCs w:val="21"/>
          <w:highlight w:val="none"/>
          <w:u w:color="000000"/>
        </w:rPr>
        <w:t>10.1变更的范围</w:t>
      </w:r>
    </w:p>
    <w:p w14:paraId="2A693FA5">
      <w:pPr>
        <w:snapToGrid w:val="0"/>
        <w:spacing w:line="360" w:lineRule="auto"/>
        <w:ind w:firstLine="34"/>
        <w:jc w:val="left"/>
        <w:rPr>
          <w:rFonts w:ascii="宋体" w:hAnsi="宋体" w:cs="宋体"/>
          <w:color w:val="auto"/>
          <w:szCs w:val="21"/>
          <w:highlight w:val="none"/>
          <w:u w:val="single" w:color="000000"/>
        </w:rPr>
      </w:pPr>
      <w:r>
        <w:rPr>
          <w:rFonts w:hint="eastAsia" w:ascii="宋体" w:hAnsi="宋体" w:cs="宋体"/>
          <w:color w:val="auto"/>
          <w:szCs w:val="21"/>
          <w:highlight w:val="none"/>
          <w:u w:color="000000"/>
        </w:rPr>
        <w:t>关于变更范围的约定：</w:t>
      </w:r>
      <w:r>
        <w:rPr>
          <w:rFonts w:hint="eastAsia" w:ascii="宋体" w:hAnsi="宋体" w:cs="宋体"/>
          <w:b/>
          <w:bCs/>
          <w:color w:val="auto"/>
          <w:szCs w:val="21"/>
          <w:highlight w:val="none"/>
          <w:u w:color="000000"/>
        </w:rPr>
        <w:t>施工图范围</w:t>
      </w:r>
      <w:r>
        <w:rPr>
          <w:rFonts w:hint="eastAsia" w:ascii="宋体" w:hAnsi="宋体" w:cs="宋体"/>
          <w:b/>
          <w:bCs/>
          <w:color w:val="auto"/>
          <w:szCs w:val="21"/>
          <w:highlight w:val="none"/>
          <w:u w:val="single" w:color="000000"/>
        </w:rPr>
        <w:t>投标人报价时综合单价不予调整</w:t>
      </w:r>
      <w:r>
        <w:rPr>
          <w:rFonts w:hint="eastAsia" w:ascii="宋体" w:hAnsi="宋体" w:cs="宋体"/>
          <w:b/>
          <w:bCs/>
          <w:color w:val="auto"/>
          <w:szCs w:val="21"/>
          <w:highlight w:val="none"/>
          <w:u w:color="000000"/>
        </w:rPr>
        <w:t>。</w:t>
      </w:r>
    </w:p>
    <w:p w14:paraId="69D064BC">
      <w:pPr>
        <w:snapToGrid w:val="0"/>
        <w:spacing w:line="360" w:lineRule="auto"/>
        <w:ind w:firstLine="34"/>
        <w:rPr>
          <w:rFonts w:ascii="宋体" w:hAnsi="宋体" w:cs="宋体"/>
          <w:color w:val="auto"/>
          <w:szCs w:val="21"/>
          <w:highlight w:val="none"/>
          <w:u w:color="000000"/>
        </w:rPr>
      </w:pPr>
      <w:r>
        <w:rPr>
          <w:rFonts w:hint="eastAsia" w:ascii="宋体" w:hAnsi="宋体" w:cs="宋体"/>
          <w:color w:val="auto"/>
          <w:szCs w:val="21"/>
          <w:highlight w:val="none"/>
          <w:u w:color="000000"/>
        </w:rPr>
        <w:t>10.4 变更估价</w:t>
      </w:r>
    </w:p>
    <w:p w14:paraId="0583B597">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10.4.1 变更估价原则</w:t>
      </w:r>
    </w:p>
    <w:p w14:paraId="627A9EA7">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关于变更估价的约定: 施工图范围</w:t>
      </w:r>
      <w:r>
        <w:rPr>
          <w:rFonts w:hint="eastAsia" w:ascii="宋体" w:hAnsi="宋体" w:cs="宋体"/>
          <w:b/>
          <w:bCs/>
          <w:color w:val="auto"/>
          <w:szCs w:val="21"/>
          <w:highlight w:val="none"/>
          <w:u w:val="single" w:color="000000"/>
        </w:rPr>
        <w:t>投标人报价时一次性包死，不予调整。</w:t>
      </w:r>
    </w:p>
    <w:p w14:paraId="7EF3287C">
      <w:pPr>
        <w:snapToGrid w:val="0"/>
        <w:spacing w:line="360" w:lineRule="auto"/>
        <w:ind w:firstLine="34"/>
        <w:rPr>
          <w:rFonts w:ascii="宋体" w:hAnsi="宋体" w:cs="宋体"/>
          <w:color w:val="auto"/>
          <w:szCs w:val="21"/>
          <w:highlight w:val="none"/>
          <w:u w:color="000000"/>
        </w:rPr>
      </w:pPr>
      <w:r>
        <w:rPr>
          <w:rFonts w:hint="eastAsia" w:ascii="宋体" w:hAnsi="宋体" w:cs="宋体"/>
          <w:color w:val="auto"/>
          <w:szCs w:val="21"/>
          <w:highlight w:val="none"/>
          <w:u w:color="000000"/>
        </w:rPr>
        <w:t>10.5承包人的合理化建议</w:t>
      </w:r>
    </w:p>
    <w:p w14:paraId="7AD12544">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监理人审查承包人合理化建议的期限：</w:t>
      </w:r>
      <w:r>
        <w:rPr>
          <w:rFonts w:hint="eastAsia" w:ascii="宋体" w:hAnsi="宋体" w:cs="宋体"/>
          <w:color w:val="auto"/>
          <w:szCs w:val="21"/>
          <w:highlight w:val="none"/>
          <w:u w:val="single" w:color="000000"/>
        </w:rPr>
        <w:t xml:space="preserve">3天内审查完毕并报发包人  </w:t>
      </w:r>
      <w:r>
        <w:rPr>
          <w:rFonts w:hint="eastAsia" w:ascii="宋体" w:hAnsi="宋体" w:cs="宋体"/>
          <w:color w:val="auto"/>
          <w:szCs w:val="21"/>
          <w:highlight w:val="none"/>
          <w:u w:color="000000"/>
        </w:rPr>
        <w:t>。</w:t>
      </w:r>
    </w:p>
    <w:p w14:paraId="43B24367">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发包人审批承包人合理化建议的期限：</w:t>
      </w:r>
      <w:r>
        <w:rPr>
          <w:rFonts w:hint="eastAsia" w:ascii="宋体" w:hAnsi="宋体" w:cs="宋体"/>
          <w:color w:val="auto"/>
          <w:szCs w:val="21"/>
          <w:highlight w:val="none"/>
          <w:u w:val="single" w:color="000000"/>
        </w:rPr>
        <w:t>收到监理人报送的合理化建议后3天内审批完毕</w:t>
      </w:r>
      <w:r>
        <w:rPr>
          <w:rFonts w:hint="eastAsia" w:ascii="宋体" w:hAnsi="宋体" w:cs="宋体"/>
          <w:color w:val="auto"/>
          <w:szCs w:val="21"/>
          <w:highlight w:val="none"/>
          <w:u w:color="000000"/>
        </w:rPr>
        <w:t>。</w:t>
      </w:r>
    </w:p>
    <w:p w14:paraId="78FA8DFB">
      <w:pPr>
        <w:snapToGrid w:val="0"/>
        <w:spacing w:line="360" w:lineRule="auto"/>
        <w:ind w:firstLine="34"/>
        <w:jc w:val="left"/>
        <w:rPr>
          <w:rFonts w:ascii="宋体" w:hAnsi="宋体" w:cs="宋体"/>
          <w:color w:val="auto"/>
          <w:szCs w:val="21"/>
          <w:highlight w:val="none"/>
          <w:u w:val="single" w:color="000000"/>
        </w:rPr>
      </w:pPr>
      <w:r>
        <w:rPr>
          <w:rFonts w:hint="eastAsia" w:ascii="宋体" w:hAnsi="宋体" w:cs="宋体"/>
          <w:color w:val="auto"/>
          <w:szCs w:val="21"/>
          <w:highlight w:val="none"/>
          <w:u w:color="000000"/>
        </w:rPr>
        <w:t>承包人提出的合理化建议降低了合同价格或者提高了工程经济效益的奖励的方法和金额为：</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w:t>
      </w:r>
    </w:p>
    <w:p w14:paraId="29AA95EB">
      <w:pPr>
        <w:snapToGrid w:val="0"/>
        <w:spacing w:line="360" w:lineRule="auto"/>
        <w:ind w:firstLine="34"/>
        <w:rPr>
          <w:rFonts w:ascii="宋体" w:hAnsi="宋体" w:cs="宋体"/>
          <w:color w:val="auto"/>
          <w:szCs w:val="21"/>
          <w:highlight w:val="none"/>
          <w:u w:color="000000"/>
        </w:rPr>
      </w:pPr>
      <w:r>
        <w:rPr>
          <w:rFonts w:hint="eastAsia" w:ascii="宋体" w:hAnsi="宋体" w:cs="宋体"/>
          <w:color w:val="auto"/>
          <w:szCs w:val="21"/>
          <w:highlight w:val="none"/>
          <w:u w:color="000000"/>
        </w:rPr>
        <w:t>10.7暂估价</w:t>
      </w:r>
    </w:p>
    <w:p w14:paraId="41AAD2AF">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暂估价材料和工程设备的明细：</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u w:color="000000"/>
        </w:rPr>
        <w:t>。</w:t>
      </w:r>
    </w:p>
    <w:p w14:paraId="4C5E3F8D">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10.7.1 依法必须招标的暂估价项目</w:t>
      </w:r>
    </w:p>
    <w:p w14:paraId="70A76365">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对于依法必须招标的暂估价项目的确认和批准采取第</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种方式确定。</w:t>
      </w:r>
    </w:p>
    <w:p w14:paraId="5969B4BE">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10.7.2 不属于依法必须招标的暂估价项目</w:t>
      </w:r>
    </w:p>
    <w:p w14:paraId="7C2D4967">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对于不属于依法必须招标的暂估价项目的确认和批准采取第</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color="000000"/>
        </w:rPr>
        <w:t xml:space="preserve"> 种方式确定。</w:t>
      </w:r>
    </w:p>
    <w:p w14:paraId="15AC3945">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第3种方式：承包人直接实施的暂估价项目</w:t>
      </w:r>
    </w:p>
    <w:p w14:paraId="396A3851">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承包人直接实施的暂估价项目的约定：</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w:t>
      </w:r>
    </w:p>
    <w:p w14:paraId="41DFE854">
      <w:pPr>
        <w:snapToGrid w:val="0"/>
        <w:spacing w:line="360" w:lineRule="auto"/>
        <w:ind w:firstLine="34"/>
        <w:rPr>
          <w:rFonts w:ascii="宋体" w:hAnsi="宋体" w:cs="宋体"/>
          <w:color w:val="auto"/>
          <w:szCs w:val="21"/>
          <w:highlight w:val="none"/>
          <w:u w:color="000000"/>
        </w:rPr>
      </w:pPr>
      <w:r>
        <w:rPr>
          <w:rFonts w:hint="eastAsia" w:ascii="宋体" w:hAnsi="宋体" w:cs="宋体"/>
          <w:color w:val="auto"/>
          <w:szCs w:val="21"/>
          <w:highlight w:val="none"/>
          <w:u w:color="000000"/>
        </w:rPr>
        <w:t>10.8 暂列金额</w:t>
      </w:r>
    </w:p>
    <w:p w14:paraId="71695AE9">
      <w:pPr>
        <w:snapToGrid w:val="0"/>
        <w:spacing w:line="360" w:lineRule="auto"/>
        <w:ind w:firstLine="34"/>
        <w:jc w:val="left"/>
        <w:rPr>
          <w:rFonts w:ascii="宋体" w:hAnsi="宋体" w:cs="宋体"/>
          <w:color w:val="auto"/>
          <w:szCs w:val="21"/>
          <w:highlight w:val="none"/>
          <w:u w:val="single" w:color="000000"/>
        </w:rPr>
      </w:pPr>
      <w:r>
        <w:rPr>
          <w:rFonts w:hint="eastAsia" w:ascii="宋体" w:hAnsi="宋体" w:cs="宋体"/>
          <w:color w:val="auto"/>
          <w:szCs w:val="21"/>
          <w:highlight w:val="none"/>
          <w:u w:color="000000"/>
        </w:rPr>
        <w:t>合同当事人关于暂列金额使用的约定：</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color="000000"/>
        </w:rPr>
        <w:t>。</w:t>
      </w:r>
    </w:p>
    <w:p w14:paraId="451016A4">
      <w:pPr>
        <w:keepNext/>
        <w:keepLines/>
        <w:snapToGrid w:val="0"/>
        <w:spacing w:line="360" w:lineRule="auto"/>
        <w:ind w:firstLine="34"/>
        <w:outlineLvl w:val="3"/>
        <w:rPr>
          <w:rFonts w:ascii="宋体" w:hAnsi="宋体" w:cs="宋体"/>
          <w:color w:val="auto"/>
          <w:szCs w:val="21"/>
          <w:highlight w:val="none"/>
          <w:u w:color="000000"/>
        </w:rPr>
      </w:pPr>
      <w:r>
        <w:rPr>
          <w:rFonts w:hint="eastAsia" w:ascii="宋体" w:hAnsi="宋体" w:cs="宋体"/>
          <w:color w:val="auto"/>
          <w:szCs w:val="21"/>
          <w:highlight w:val="none"/>
          <w:u w:color="000000"/>
        </w:rPr>
        <w:t>11. 价格调整</w:t>
      </w:r>
    </w:p>
    <w:p w14:paraId="323979A9">
      <w:pPr>
        <w:snapToGrid w:val="0"/>
        <w:spacing w:line="360" w:lineRule="auto"/>
        <w:ind w:firstLine="34"/>
        <w:rPr>
          <w:rFonts w:ascii="宋体" w:hAnsi="宋体" w:cs="宋体"/>
          <w:color w:val="auto"/>
          <w:szCs w:val="21"/>
          <w:highlight w:val="none"/>
          <w:u w:color="000000"/>
        </w:rPr>
      </w:pPr>
      <w:r>
        <w:rPr>
          <w:rFonts w:hint="eastAsia" w:ascii="宋体" w:hAnsi="宋体" w:cs="宋体"/>
          <w:color w:val="auto"/>
          <w:szCs w:val="21"/>
          <w:highlight w:val="none"/>
          <w:u w:color="000000"/>
        </w:rPr>
        <w:t>11.1 市场价格波动引起的调整</w:t>
      </w:r>
    </w:p>
    <w:p w14:paraId="1C00D81D">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市场价格波动是否调整合同价格的约定：</w:t>
      </w:r>
      <w:r>
        <w:rPr>
          <w:rFonts w:hint="eastAsia" w:ascii="宋体" w:hAnsi="宋体" w:cs="宋体"/>
          <w:color w:val="auto"/>
          <w:szCs w:val="21"/>
          <w:highlight w:val="none"/>
          <w:u w:val="single" w:color="000000"/>
        </w:rPr>
        <w:t xml:space="preserve">   不予调整         </w:t>
      </w:r>
      <w:r>
        <w:rPr>
          <w:rFonts w:hint="eastAsia" w:ascii="宋体" w:hAnsi="宋体" w:cs="宋体"/>
          <w:color w:val="auto"/>
          <w:szCs w:val="21"/>
          <w:highlight w:val="none"/>
          <w:u w:color="000000"/>
        </w:rPr>
        <w:t>。</w:t>
      </w:r>
    </w:p>
    <w:p w14:paraId="2F5894AC">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因市场价格波动调整合同价格，采用以下第</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种方式对合同价格进行调整：</w:t>
      </w:r>
    </w:p>
    <w:p w14:paraId="61F1078E">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第1种方式：采用价格指数进行价格调整。</w:t>
      </w:r>
    </w:p>
    <w:p w14:paraId="501A452B">
      <w:pPr>
        <w:snapToGrid w:val="0"/>
        <w:spacing w:line="360" w:lineRule="auto"/>
        <w:ind w:firstLine="34"/>
        <w:jc w:val="left"/>
        <w:rPr>
          <w:rFonts w:ascii="宋体" w:hAnsi="宋体" w:cs="宋体"/>
          <w:color w:val="auto"/>
          <w:szCs w:val="21"/>
          <w:highlight w:val="none"/>
          <w:u w:val="single" w:color="000000"/>
        </w:rPr>
      </w:pPr>
      <w:r>
        <w:rPr>
          <w:rFonts w:hint="eastAsia" w:ascii="宋体" w:hAnsi="宋体" w:cs="宋体"/>
          <w:color w:val="auto"/>
          <w:szCs w:val="21"/>
          <w:highlight w:val="none"/>
          <w:u w:color="000000"/>
        </w:rPr>
        <w:t>关于各可调因子、定值和变值权重，以及基本价格指数及其来源的约定：</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w:t>
      </w:r>
    </w:p>
    <w:p w14:paraId="3BB7D3B8">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第2种方式：采用造价信息进行价格调整。</w:t>
      </w:r>
    </w:p>
    <w:p w14:paraId="04415FF9">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（2）关于基准价格的约定：</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w:t>
      </w:r>
    </w:p>
    <w:p w14:paraId="11BF197F">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专用合同条款①承包人在已标价工程量清单或预算书中载明的材料单价低于基准价格的：专用合同条款合同履行期间材料单价涨幅以基准价格为基础超过</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%时，或材料单价跌幅以已标价工程量清单或预算书中载明材料单价为基础超过</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%时，其超过部分据实调整。</w:t>
      </w:r>
    </w:p>
    <w:p w14:paraId="45B7AB65">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②承包人在已标价工程量清单或预算书中载明的材料单价高于基准价格的：专用合同条款合同履行期间材料单价跌幅以基准价格为基础超过</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color="000000"/>
        </w:rPr>
        <w:t>%时，材料单价涨幅以已标价工程量清单或预算书中载明材料单价为基础超过</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color="000000"/>
        </w:rPr>
        <w:t>%时，其超过部分据实调整。</w:t>
      </w:r>
    </w:p>
    <w:p w14:paraId="71EDFD8E">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③承包人在已标价工程量清单或预算书中载明的材料单价等于基准单价的：专用合同条款合同履行期间材料单价涨跌幅以基准单价为基础超过±</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%时，其超过部分据实调整。</w:t>
      </w:r>
    </w:p>
    <w:p w14:paraId="4E6D0FF5">
      <w:pPr>
        <w:keepNext/>
        <w:keepLines/>
        <w:snapToGrid w:val="0"/>
        <w:spacing w:line="360" w:lineRule="auto"/>
        <w:outlineLvl w:val="3"/>
        <w:rPr>
          <w:rFonts w:ascii="宋体" w:hAnsi="宋体" w:cs="宋体"/>
          <w:b/>
          <w:bCs/>
          <w:color w:val="auto"/>
          <w:szCs w:val="21"/>
          <w:highlight w:val="none"/>
          <w:u w:color="000000"/>
        </w:rPr>
      </w:pPr>
      <w:r>
        <w:rPr>
          <w:rFonts w:hint="eastAsia" w:ascii="宋体" w:hAnsi="宋体" w:cs="宋体"/>
          <w:b/>
          <w:bCs/>
          <w:color w:val="auto"/>
          <w:szCs w:val="21"/>
          <w:highlight w:val="none"/>
          <w:u w:color="000000"/>
        </w:rPr>
        <w:t>12. 合同价格、计量与支付</w:t>
      </w:r>
    </w:p>
    <w:p w14:paraId="238B34A5">
      <w:pPr>
        <w:keepNext/>
        <w:keepLines/>
        <w:snapToGrid w:val="0"/>
        <w:spacing w:line="360" w:lineRule="auto"/>
        <w:ind w:firstLine="34"/>
        <w:outlineLvl w:val="3"/>
        <w:rPr>
          <w:rFonts w:ascii="宋体" w:hAnsi="宋体" w:cs="宋体"/>
          <w:color w:val="auto"/>
          <w:szCs w:val="21"/>
          <w:highlight w:val="none"/>
          <w:u w:color="000000"/>
        </w:rPr>
      </w:pPr>
      <w:r>
        <w:rPr>
          <w:rFonts w:hint="eastAsia" w:ascii="宋体" w:hAnsi="宋体" w:cs="宋体"/>
          <w:b/>
          <w:bCs/>
          <w:color w:val="auto"/>
          <w:szCs w:val="21"/>
          <w:highlight w:val="none"/>
          <w:u w:color="000000"/>
        </w:rPr>
        <w:t>12.1 合同价格形式</w:t>
      </w:r>
    </w:p>
    <w:p w14:paraId="743A8CC4">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1、综合单价合同。</w:t>
      </w:r>
    </w:p>
    <w:p w14:paraId="6D5E7E1C">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包含的风险范围：</w:t>
      </w:r>
      <w:r>
        <w:rPr>
          <w:rFonts w:hint="eastAsia" w:ascii="宋体" w:hAnsi="宋体" w:cs="宋体"/>
          <w:color w:val="auto"/>
          <w:szCs w:val="21"/>
          <w:highlight w:val="none"/>
          <w:u w:val="single" w:color="000000"/>
        </w:rPr>
        <w:t xml:space="preserve">综合单价不作调整                </w:t>
      </w:r>
      <w:r>
        <w:rPr>
          <w:rFonts w:hint="eastAsia" w:ascii="宋体" w:hAnsi="宋体" w:cs="宋体"/>
          <w:color w:val="auto"/>
          <w:szCs w:val="21"/>
          <w:highlight w:val="none"/>
        </w:rPr>
        <w:t>。</w:t>
      </w:r>
    </w:p>
    <w:p w14:paraId="135D8058">
      <w:pPr>
        <w:snapToGrid w:val="0"/>
        <w:spacing w:line="360" w:lineRule="auto"/>
        <w:ind w:firstLine="34"/>
        <w:jc w:val="left"/>
        <w:rPr>
          <w:rFonts w:ascii="宋体" w:hAnsi="宋体" w:cs="宋体"/>
          <w:color w:val="auto"/>
          <w:szCs w:val="21"/>
          <w:highlight w:val="none"/>
          <w:u w:val="single" w:color="000000"/>
        </w:rPr>
      </w:pPr>
      <w:r>
        <w:rPr>
          <w:rFonts w:hint="eastAsia" w:ascii="宋体" w:hAnsi="宋体" w:cs="宋体"/>
          <w:color w:val="auto"/>
          <w:szCs w:val="21"/>
          <w:highlight w:val="none"/>
        </w:rPr>
        <w:t>风险费用的计算方法：</w:t>
      </w:r>
      <w:r>
        <w:rPr>
          <w:rFonts w:hint="eastAsia" w:ascii="宋体" w:hAnsi="宋体" w:cs="宋体"/>
          <w:color w:val="auto"/>
          <w:szCs w:val="21"/>
          <w:highlight w:val="none"/>
          <w:u w:val="single" w:color="000000"/>
        </w:rPr>
        <w:t xml:space="preserve">  </w:t>
      </w:r>
      <w:r>
        <w:rPr>
          <w:rFonts w:hint="eastAsia" w:ascii="宋体" w:hAnsi="宋体" w:cs="宋体"/>
          <w:b/>
          <w:bCs/>
          <w:color w:val="auto"/>
          <w:szCs w:val="21"/>
          <w:highlight w:val="none"/>
          <w:u w:val="single" w:color="000000"/>
        </w:rPr>
        <w:t xml:space="preserve">         /</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rPr>
        <w:t>。</w:t>
      </w:r>
    </w:p>
    <w:p w14:paraId="57B51270">
      <w:pPr>
        <w:snapToGrid w:val="0"/>
        <w:spacing w:line="360" w:lineRule="auto"/>
        <w:ind w:firstLine="34"/>
        <w:jc w:val="left"/>
        <w:rPr>
          <w:rFonts w:ascii="宋体" w:hAnsi="宋体" w:cs="宋体"/>
          <w:b/>
          <w:bCs/>
          <w:color w:val="auto"/>
          <w:szCs w:val="21"/>
          <w:highlight w:val="none"/>
          <w:u w:val="single" w:color="000000"/>
        </w:rPr>
      </w:pPr>
      <w:r>
        <w:rPr>
          <w:rFonts w:hint="eastAsia" w:ascii="宋体" w:hAnsi="宋体" w:cs="宋体"/>
          <w:color w:val="auto"/>
          <w:szCs w:val="21"/>
          <w:highlight w:val="none"/>
        </w:rPr>
        <w:t>风险范围以外合同价格的调整方法：</w:t>
      </w:r>
      <w:r>
        <w:rPr>
          <w:rFonts w:hint="eastAsia" w:ascii="宋体" w:hAnsi="宋体" w:cs="宋体"/>
          <w:b/>
          <w:bCs/>
          <w:color w:val="auto"/>
          <w:szCs w:val="21"/>
          <w:highlight w:val="none"/>
          <w:u w:val="single" w:color="000000"/>
        </w:rPr>
        <w:t xml:space="preserve">           /</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rPr>
        <w:t>。</w:t>
      </w:r>
    </w:p>
    <w:p w14:paraId="648F7A44">
      <w:pPr>
        <w:snapToGrid w:val="0"/>
        <w:spacing w:line="360" w:lineRule="auto"/>
        <w:ind w:firstLine="34"/>
        <w:jc w:val="left"/>
        <w:rPr>
          <w:rFonts w:ascii="宋体" w:hAnsi="宋体" w:cs="宋体"/>
          <w:color w:val="auto"/>
          <w:szCs w:val="21"/>
          <w:highlight w:val="none"/>
          <w:u w:val="single" w:color="000000"/>
        </w:rPr>
      </w:pPr>
      <w:r>
        <w:rPr>
          <w:rFonts w:hint="eastAsia" w:ascii="宋体" w:hAnsi="宋体" w:cs="宋体"/>
          <w:color w:val="auto"/>
          <w:szCs w:val="21"/>
          <w:highlight w:val="none"/>
        </w:rPr>
        <w:t>2、其他价格方式：</w:t>
      </w:r>
      <w:r>
        <w:rPr>
          <w:rFonts w:hint="eastAsia" w:ascii="宋体" w:hAnsi="宋体" w:cs="宋体"/>
          <w:color w:val="auto"/>
          <w:szCs w:val="21"/>
          <w:highlight w:val="none"/>
          <w:u w:val="single" w:color="000000"/>
        </w:rPr>
        <w:t xml:space="preserve">              </w:t>
      </w:r>
      <w:r>
        <w:rPr>
          <w:rFonts w:hint="eastAsia" w:ascii="宋体" w:hAnsi="宋体" w:cs="宋体"/>
          <w:b/>
          <w:bCs/>
          <w:color w:val="auto"/>
          <w:szCs w:val="21"/>
          <w:highlight w:val="none"/>
          <w:u w:val="single" w:color="000000"/>
        </w:rPr>
        <w:t xml:space="preserve">/ </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rPr>
        <w:t>。</w:t>
      </w:r>
    </w:p>
    <w:p w14:paraId="29126831">
      <w:pPr>
        <w:snapToGrid w:val="0"/>
        <w:spacing w:line="360" w:lineRule="auto"/>
        <w:ind w:firstLine="34"/>
        <w:rPr>
          <w:rFonts w:ascii="宋体" w:hAnsi="宋体" w:cs="宋体"/>
          <w:color w:val="auto"/>
          <w:szCs w:val="21"/>
          <w:highlight w:val="none"/>
          <w:u w:color="000000"/>
        </w:rPr>
      </w:pPr>
      <w:r>
        <w:rPr>
          <w:rFonts w:hint="eastAsia" w:ascii="宋体" w:hAnsi="宋体" w:cs="宋体"/>
          <w:color w:val="auto"/>
          <w:szCs w:val="21"/>
          <w:highlight w:val="none"/>
          <w:u w:color="000000"/>
        </w:rPr>
        <w:t>12.2 预付款</w:t>
      </w:r>
    </w:p>
    <w:p w14:paraId="312A1327">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12.2.1 预付款的支付</w:t>
      </w:r>
    </w:p>
    <w:p w14:paraId="539EE39E">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预付款支付比例或金额：</w:t>
      </w:r>
      <w:r>
        <w:rPr>
          <w:rFonts w:hint="eastAsia" w:ascii="宋体" w:hAnsi="宋体" w:cs="宋体"/>
          <w:color w:val="auto"/>
          <w:szCs w:val="21"/>
          <w:highlight w:val="none"/>
          <w:u w:val="single" w:color="000000"/>
        </w:rPr>
        <w:t xml:space="preserve"> 预付款为中标合同价的</w:t>
      </w:r>
      <w:r>
        <w:rPr>
          <w:rFonts w:hint="eastAsia" w:ascii="宋体" w:hAnsi="宋体" w:cs="宋体"/>
          <w:color w:val="auto"/>
          <w:szCs w:val="21"/>
          <w:highlight w:val="none"/>
          <w:u w:val="single" w:color="000000"/>
          <w:lang w:val="en-US" w:eastAsia="zh-CN"/>
        </w:rPr>
        <w:t>50</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color="000000"/>
        </w:rPr>
        <w:t>。</w:t>
      </w:r>
    </w:p>
    <w:p w14:paraId="5B42C14A">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预付款支付期限：</w:t>
      </w:r>
      <w:r>
        <w:rPr>
          <w:rFonts w:hint="eastAsia" w:ascii="宋体" w:hAnsi="宋体" w:cs="宋体"/>
          <w:color w:val="auto"/>
          <w:szCs w:val="21"/>
          <w:highlight w:val="none"/>
          <w:u w:val="single"/>
        </w:rPr>
        <w:t xml:space="preserve"> 项目合同签订且具备实施条件后5个工作日内。</w:t>
      </w:r>
    </w:p>
    <w:p w14:paraId="263CD049">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预付款扣回的方式：</w:t>
      </w:r>
      <w:r>
        <w:rPr>
          <w:rFonts w:hint="eastAsia" w:ascii="宋体" w:hAnsi="宋体" w:cs="宋体"/>
          <w:color w:val="auto"/>
          <w:szCs w:val="21"/>
          <w:highlight w:val="none"/>
          <w:u w:val="single" w:color="000000"/>
        </w:rPr>
        <w:t xml:space="preserve">        </w:t>
      </w:r>
      <w:r>
        <w:rPr>
          <w:rFonts w:hint="eastAsia" w:ascii="宋体" w:hAnsi="宋体" w:cs="宋体"/>
          <w:b/>
          <w:bCs/>
          <w:color w:val="auto"/>
          <w:szCs w:val="21"/>
          <w:highlight w:val="none"/>
          <w:u w:val="single" w:color="000000"/>
        </w:rPr>
        <w:t xml:space="preserve">/ </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color="000000"/>
        </w:rPr>
        <w:t>。</w:t>
      </w:r>
    </w:p>
    <w:p w14:paraId="56D09DB2">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12.2.2 预付款担保</w:t>
      </w:r>
    </w:p>
    <w:p w14:paraId="6D08FFFD">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承包人提交预付款担保的期限：</w:t>
      </w:r>
      <w:r>
        <w:rPr>
          <w:rFonts w:hint="eastAsia" w:ascii="宋体" w:hAnsi="宋体" w:cs="宋体"/>
          <w:color w:val="auto"/>
          <w:szCs w:val="21"/>
          <w:highlight w:val="none"/>
          <w:u w:val="single" w:color="000000"/>
        </w:rPr>
        <w:t xml:space="preserve">        </w:t>
      </w:r>
      <w:r>
        <w:rPr>
          <w:rFonts w:hint="eastAsia" w:ascii="宋体" w:hAnsi="宋体" w:cs="宋体"/>
          <w:b/>
          <w:bCs/>
          <w:color w:val="auto"/>
          <w:szCs w:val="21"/>
          <w:highlight w:val="none"/>
          <w:u w:val="single" w:color="000000"/>
        </w:rPr>
        <w:t xml:space="preserve">/ </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color="000000"/>
        </w:rPr>
        <w:t>。</w:t>
      </w:r>
    </w:p>
    <w:p w14:paraId="36454A7F">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预付款担保的形式为：</w:t>
      </w:r>
      <w:r>
        <w:rPr>
          <w:rFonts w:hint="eastAsia" w:ascii="宋体" w:hAnsi="宋体" w:cs="宋体"/>
          <w:color w:val="auto"/>
          <w:szCs w:val="21"/>
          <w:highlight w:val="none"/>
          <w:u w:val="single" w:color="000000"/>
        </w:rPr>
        <w:t xml:space="preserve">              </w:t>
      </w:r>
      <w:r>
        <w:rPr>
          <w:rFonts w:hint="eastAsia" w:ascii="宋体" w:hAnsi="宋体" w:cs="宋体"/>
          <w:b/>
          <w:bCs/>
          <w:color w:val="auto"/>
          <w:szCs w:val="21"/>
          <w:highlight w:val="none"/>
          <w:u w:val="single" w:color="000000"/>
        </w:rPr>
        <w:t xml:space="preserve">/ </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color="000000"/>
        </w:rPr>
        <w:t>。</w:t>
      </w:r>
    </w:p>
    <w:p w14:paraId="148940AA">
      <w:pPr>
        <w:snapToGrid w:val="0"/>
        <w:spacing w:line="360" w:lineRule="auto"/>
        <w:ind w:firstLine="34"/>
        <w:rPr>
          <w:rFonts w:ascii="宋体" w:hAnsi="宋体" w:cs="宋体"/>
          <w:color w:val="auto"/>
          <w:szCs w:val="21"/>
          <w:highlight w:val="none"/>
          <w:u w:color="000000"/>
        </w:rPr>
      </w:pPr>
      <w:r>
        <w:rPr>
          <w:rFonts w:hint="eastAsia" w:ascii="宋体" w:hAnsi="宋体" w:cs="宋体"/>
          <w:color w:val="auto"/>
          <w:szCs w:val="21"/>
          <w:highlight w:val="none"/>
          <w:u w:color="000000"/>
        </w:rPr>
        <w:t>12.3 计量</w:t>
      </w:r>
    </w:p>
    <w:p w14:paraId="69F37291">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12.3.1 计量原则</w:t>
      </w:r>
    </w:p>
    <w:p w14:paraId="0CA63B68">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工程量计算规则：</w:t>
      </w:r>
    </w:p>
    <w:p w14:paraId="1A5123FE">
      <w:pPr>
        <w:snapToGrid w:val="0"/>
        <w:spacing w:line="360" w:lineRule="auto"/>
        <w:ind w:firstLine="34"/>
        <w:jc w:val="left"/>
        <w:rPr>
          <w:rFonts w:ascii="宋体" w:hAnsi="宋体" w:cs="宋体"/>
          <w:b/>
          <w:bCs/>
          <w:color w:val="auto"/>
          <w:szCs w:val="21"/>
          <w:highlight w:val="none"/>
          <w:u w:val="single" w:color="000000"/>
        </w:rPr>
      </w:pPr>
      <w:r>
        <w:rPr>
          <w:rFonts w:hint="eastAsia" w:ascii="宋体" w:hAnsi="宋体" w:cs="宋体"/>
          <w:b/>
          <w:bCs/>
          <w:color w:val="auto"/>
          <w:szCs w:val="21"/>
          <w:highlight w:val="none"/>
          <w:u w:color="000000"/>
        </w:rPr>
        <w:t>（1）</w:t>
      </w:r>
      <w:r>
        <w:rPr>
          <w:rFonts w:hint="eastAsia" w:ascii="宋体" w:hAnsi="宋体" w:cs="宋体"/>
          <w:b/>
          <w:bCs/>
          <w:color w:val="auto"/>
          <w:szCs w:val="21"/>
          <w:highlight w:val="none"/>
          <w:u w:val="single" w:color="000000"/>
        </w:rPr>
        <w:t>实行工程量清单计价的工程项目，其工程量的计算规则应按国家标准工程量计算规范及省级行业主管部门颁布的补充规定执行。</w:t>
      </w:r>
    </w:p>
    <w:p w14:paraId="15AA6131">
      <w:pPr>
        <w:snapToGrid w:val="0"/>
        <w:spacing w:line="360" w:lineRule="auto"/>
        <w:ind w:firstLine="34"/>
        <w:jc w:val="left"/>
        <w:rPr>
          <w:rFonts w:ascii="宋体" w:hAnsi="宋体" w:cs="宋体"/>
          <w:b/>
          <w:bCs/>
          <w:color w:val="auto"/>
          <w:szCs w:val="21"/>
          <w:highlight w:val="none"/>
          <w:u w:val="single" w:color="000000"/>
        </w:rPr>
      </w:pPr>
      <w:r>
        <w:rPr>
          <w:rFonts w:hint="eastAsia" w:ascii="宋体" w:hAnsi="宋体" w:cs="宋体"/>
          <w:b/>
          <w:bCs/>
          <w:color w:val="auto"/>
          <w:szCs w:val="21"/>
          <w:highlight w:val="none"/>
          <w:u w:color="000000"/>
        </w:rPr>
        <w:t>（2）</w:t>
      </w:r>
      <w:r>
        <w:rPr>
          <w:rFonts w:hint="eastAsia" w:ascii="宋体" w:hAnsi="宋体" w:cs="宋体"/>
          <w:b/>
          <w:bCs/>
          <w:color w:val="auto"/>
          <w:szCs w:val="21"/>
          <w:highlight w:val="none"/>
          <w:u w:val="single" w:color="000000"/>
        </w:rPr>
        <w:t>不实行工程量清单计价的工程项目，工程量的计算规则应按省、市行业主管部门颁布的各专业工程定额的工程量计算规则执行。</w:t>
      </w:r>
    </w:p>
    <w:p w14:paraId="445A9D7C">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12.3.2 计量周期</w:t>
      </w:r>
    </w:p>
    <w:p w14:paraId="762FA771">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关于计量周期的约定：</w:t>
      </w:r>
      <w:r>
        <w:rPr>
          <w:rFonts w:hint="eastAsia" w:ascii="宋体" w:hAnsi="宋体" w:cs="宋体"/>
          <w:color w:val="auto"/>
          <w:szCs w:val="21"/>
          <w:highlight w:val="none"/>
          <w:u w:val="single" w:color="000000"/>
        </w:rPr>
        <w:t xml:space="preserve"> 按完成合同产值</w:t>
      </w:r>
      <w:r>
        <w:rPr>
          <w:rFonts w:hint="eastAsia" w:ascii="宋体" w:hAnsi="宋体" w:cs="宋体"/>
          <w:color w:val="auto"/>
          <w:szCs w:val="21"/>
          <w:highlight w:val="none"/>
          <w:u w:color="000000"/>
        </w:rPr>
        <w:t>。</w:t>
      </w:r>
    </w:p>
    <w:p w14:paraId="67CA17D5">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12.3.3 单价合同的计量</w:t>
      </w:r>
    </w:p>
    <w:p w14:paraId="0F7D7E6B">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关于单价合同计量的约定：</w:t>
      </w:r>
      <w:r>
        <w:rPr>
          <w:rFonts w:hint="eastAsia" w:ascii="宋体" w:hAnsi="宋体" w:cs="宋体"/>
          <w:color w:val="auto"/>
          <w:szCs w:val="21"/>
          <w:highlight w:val="none"/>
          <w:u w:val="single" w:color="000000"/>
        </w:rPr>
        <w:t xml:space="preserve"> 按完成合同产值</w:t>
      </w:r>
      <w:r>
        <w:rPr>
          <w:rFonts w:hint="eastAsia" w:ascii="宋体" w:hAnsi="宋体" w:cs="宋体"/>
          <w:color w:val="auto"/>
          <w:szCs w:val="21"/>
          <w:highlight w:val="none"/>
          <w:u w:color="000000"/>
        </w:rPr>
        <w:t>。</w:t>
      </w:r>
    </w:p>
    <w:p w14:paraId="621769F4">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12.3.4 总价合同的计量</w:t>
      </w:r>
    </w:p>
    <w:p w14:paraId="12DA6610">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关于总价合同计量的约定：</w:t>
      </w:r>
      <w:r>
        <w:rPr>
          <w:rFonts w:hint="eastAsia" w:ascii="宋体" w:hAnsi="宋体" w:cs="宋体"/>
          <w:color w:val="auto"/>
          <w:szCs w:val="21"/>
          <w:highlight w:val="none"/>
          <w:u w:val="single" w:color="000000"/>
        </w:rPr>
        <w:t xml:space="preserve">      </w:t>
      </w:r>
      <w:r>
        <w:rPr>
          <w:rFonts w:hint="eastAsia" w:ascii="宋体" w:hAnsi="宋体" w:cs="宋体"/>
          <w:b/>
          <w:bCs/>
          <w:color w:val="auto"/>
          <w:szCs w:val="21"/>
          <w:highlight w:val="none"/>
          <w:u w:val="single" w:color="000000"/>
        </w:rPr>
        <w:t>/</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color="000000"/>
        </w:rPr>
        <w:t>。</w:t>
      </w:r>
    </w:p>
    <w:p w14:paraId="49976598">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12.3.5总价合同采用支付分解表计量支付的，是否适用第12.3.4 项〔总价合同的计量〕约定进行计量：</w:t>
      </w:r>
      <w:r>
        <w:rPr>
          <w:rFonts w:hint="eastAsia" w:ascii="宋体" w:hAnsi="宋体" w:cs="宋体"/>
          <w:color w:val="auto"/>
          <w:szCs w:val="21"/>
          <w:highlight w:val="none"/>
          <w:u w:val="single" w:color="000000"/>
        </w:rPr>
        <w:t xml:space="preserve">    </w:t>
      </w:r>
      <w:r>
        <w:rPr>
          <w:rFonts w:hint="eastAsia" w:ascii="宋体" w:hAnsi="宋体" w:cs="宋体"/>
          <w:b/>
          <w:bCs/>
          <w:color w:val="auto"/>
          <w:szCs w:val="21"/>
          <w:highlight w:val="none"/>
          <w:u w:val="single" w:color="000000"/>
        </w:rPr>
        <w:t>/</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color="000000"/>
        </w:rPr>
        <w:t>。</w:t>
      </w:r>
    </w:p>
    <w:p w14:paraId="64329B3C">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12.3.6 其他价格形式合同的计量</w:t>
      </w:r>
    </w:p>
    <w:p w14:paraId="6A5E0FB4">
      <w:pPr>
        <w:snapToGrid w:val="0"/>
        <w:spacing w:line="360" w:lineRule="auto"/>
        <w:ind w:firstLine="34"/>
        <w:jc w:val="left"/>
        <w:rPr>
          <w:rFonts w:ascii="宋体" w:hAnsi="宋体" w:cs="宋体"/>
          <w:color w:val="auto"/>
          <w:szCs w:val="21"/>
          <w:highlight w:val="none"/>
          <w:u w:val="single" w:color="000000"/>
        </w:rPr>
      </w:pPr>
      <w:r>
        <w:rPr>
          <w:rFonts w:hint="eastAsia" w:ascii="宋体" w:hAnsi="宋体" w:cs="宋体"/>
          <w:color w:val="auto"/>
          <w:szCs w:val="21"/>
          <w:highlight w:val="none"/>
          <w:u w:color="000000"/>
        </w:rPr>
        <w:t>其他价格形式的计量方式和程序：</w:t>
      </w:r>
      <w:r>
        <w:rPr>
          <w:rFonts w:hint="eastAsia" w:ascii="宋体" w:hAnsi="宋体" w:cs="宋体"/>
          <w:color w:val="auto"/>
          <w:szCs w:val="21"/>
          <w:highlight w:val="none"/>
          <w:u w:val="single" w:color="000000"/>
        </w:rPr>
        <w:t xml:space="preserve">       </w:t>
      </w:r>
      <w:r>
        <w:rPr>
          <w:rFonts w:hint="eastAsia" w:ascii="宋体" w:hAnsi="宋体" w:cs="宋体"/>
          <w:b/>
          <w:bCs/>
          <w:color w:val="auto"/>
          <w:szCs w:val="21"/>
          <w:highlight w:val="none"/>
          <w:u w:val="single" w:color="000000"/>
        </w:rPr>
        <w:t>/</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color="000000"/>
        </w:rPr>
        <w:t>。</w:t>
      </w:r>
    </w:p>
    <w:p w14:paraId="219A7B3D">
      <w:pPr>
        <w:snapToGrid w:val="0"/>
        <w:spacing w:line="360" w:lineRule="auto"/>
        <w:ind w:firstLine="34"/>
        <w:rPr>
          <w:rFonts w:ascii="宋体" w:hAnsi="宋体" w:cs="宋体"/>
          <w:color w:val="auto"/>
          <w:szCs w:val="21"/>
          <w:highlight w:val="none"/>
          <w:u w:color="000000"/>
        </w:rPr>
      </w:pPr>
      <w:r>
        <w:rPr>
          <w:rFonts w:hint="eastAsia" w:ascii="宋体" w:hAnsi="宋体" w:cs="宋体"/>
          <w:color w:val="auto"/>
          <w:szCs w:val="21"/>
          <w:highlight w:val="none"/>
          <w:u w:color="000000"/>
        </w:rPr>
        <w:t>12.4 工程进度款支付</w:t>
      </w:r>
    </w:p>
    <w:p w14:paraId="32BA0815">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12.4.1 付款周期</w:t>
      </w:r>
    </w:p>
    <w:p w14:paraId="3AFB4B95">
      <w:pPr>
        <w:tabs>
          <w:tab w:val="left" w:pos="8640"/>
        </w:tabs>
        <w:snapToGrid w:val="0"/>
        <w:spacing w:line="360" w:lineRule="auto"/>
        <w:ind w:left="417" w:leftChars="170" w:hanging="60" w:hangingChars="29"/>
        <w:rPr>
          <w:rFonts w:ascii="宋体" w:hAnsi="宋体" w:cs="宋体"/>
          <w:color w:val="auto"/>
          <w:szCs w:val="21"/>
          <w:highlight w:val="none"/>
          <w:u w:val="single"/>
        </w:rPr>
      </w:pPr>
      <w:r>
        <w:rPr>
          <w:rFonts w:hint="eastAsia" w:ascii="宋体" w:hAnsi="宋体" w:cs="宋体"/>
          <w:color w:val="auto"/>
          <w:szCs w:val="21"/>
          <w:highlight w:val="none"/>
          <w:u w:color="000000"/>
        </w:rPr>
        <w:t>关于付款周期的约定：</w:t>
      </w:r>
    </w:p>
    <w:p w14:paraId="6A0F980B">
      <w:pPr>
        <w:pageBreakBefore w:val="0"/>
        <w:widowControl w:val="0"/>
        <w:tabs>
          <w:tab w:val="left" w:pos="8640"/>
        </w:tabs>
        <w:kinsoku/>
        <w:wordWrap/>
        <w:overflowPunct/>
        <w:topLinePunct w:val="0"/>
        <w:bidi w:val="0"/>
        <w:snapToGrid w:val="0"/>
        <w:spacing w:line="360" w:lineRule="auto"/>
        <w:ind w:left="218" w:leftChars="76" w:hanging="58" w:hangingChars="28"/>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lang w:eastAsia="zh-CN"/>
        </w:rPr>
        <w:t>（</w:t>
      </w:r>
      <w:r>
        <w:rPr>
          <w:rFonts w:hint="eastAsia" w:ascii="宋体" w:hAnsi="宋体" w:cs="宋体"/>
          <w:color w:val="auto"/>
          <w:szCs w:val="21"/>
          <w:highlight w:val="none"/>
          <w:u w:color="000000"/>
          <w:lang w:val="en-US" w:eastAsia="zh-CN"/>
        </w:rPr>
        <w:t>1</w:t>
      </w:r>
      <w:r>
        <w:rPr>
          <w:rFonts w:hint="eastAsia" w:ascii="宋体" w:hAnsi="宋体" w:cs="宋体"/>
          <w:color w:val="auto"/>
          <w:szCs w:val="21"/>
          <w:highlight w:val="none"/>
          <w:u w:color="000000"/>
          <w:lang w:eastAsia="zh-CN"/>
        </w:rPr>
        <w:t>）</w:t>
      </w:r>
      <w:r>
        <w:rPr>
          <w:rFonts w:hint="eastAsia" w:ascii="宋体" w:hAnsi="宋体" w:cs="宋体"/>
          <w:color w:val="auto"/>
          <w:szCs w:val="21"/>
          <w:highlight w:val="none"/>
          <w:u w:color="000000"/>
        </w:rPr>
        <w:t>项目合同签订且具备付款条件后5个工作日内，支付合同总价的</w:t>
      </w:r>
      <w:r>
        <w:rPr>
          <w:rFonts w:hint="eastAsia" w:ascii="宋体" w:hAnsi="宋体" w:cs="宋体"/>
          <w:color w:val="auto"/>
          <w:szCs w:val="21"/>
          <w:highlight w:val="none"/>
          <w:u w:color="000000"/>
          <w:lang w:val="en-US" w:eastAsia="zh-CN"/>
        </w:rPr>
        <w:t>50</w:t>
      </w:r>
      <w:r>
        <w:rPr>
          <w:rFonts w:hint="eastAsia" w:ascii="宋体" w:hAnsi="宋体" w:cs="宋体"/>
          <w:color w:val="auto"/>
          <w:szCs w:val="21"/>
          <w:highlight w:val="none"/>
          <w:u w:color="000000"/>
        </w:rPr>
        <w:t>%预付款，计   元；</w:t>
      </w:r>
    </w:p>
    <w:p w14:paraId="2481D3FE">
      <w:pPr>
        <w:pageBreakBefore w:val="0"/>
        <w:widowControl w:val="0"/>
        <w:tabs>
          <w:tab w:val="left" w:pos="8640"/>
        </w:tabs>
        <w:kinsoku/>
        <w:wordWrap/>
        <w:overflowPunct/>
        <w:topLinePunct w:val="0"/>
        <w:bidi w:val="0"/>
        <w:snapToGrid w:val="0"/>
        <w:spacing w:line="360" w:lineRule="auto"/>
        <w:ind w:left="218" w:leftChars="76" w:hanging="58" w:hangingChars="28"/>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（2）项目完成施工交付验收且具备付款条件后5个工作日内，支付合同总价的</w:t>
      </w:r>
      <w:r>
        <w:rPr>
          <w:rFonts w:hint="eastAsia" w:ascii="宋体" w:hAnsi="宋体" w:cs="宋体"/>
          <w:color w:val="auto"/>
          <w:szCs w:val="21"/>
          <w:highlight w:val="none"/>
          <w:u w:color="000000"/>
          <w:lang w:val="en-US" w:eastAsia="zh-CN"/>
        </w:rPr>
        <w:t>40</w:t>
      </w:r>
      <w:r>
        <w:rPr>
          <w:rFonts w:hint="eastAsia" w:ascii="宋体" w:hAnsi="宋体" w:cs="宋体"/>
          <w:color w:val="auto"/>
          <w:szCs w:val="21"/>
          <w:highlight w:val="none"/>
          <w:u w:color="000000"/>
        </w:rPr>
        <w:t>%，计   元；</w:t>
      </w:r>
    </w:p>
    <w:p w14:paraId="307D075C">
      <w:pPr>
        <w:pageBreakBefore w:val="0"/>
        <w:widowControl w:val="0"/>
        <w:tabs>
          <w:tab w:val="left" w:pos="8640"/>
        </w:tabs>
        <w:kinsoku/>
        <w:wordWrap/>
        <w:overflowPunct/>
        <w:topLinePunct w:val="0"/>
        <w:bidi w:val="0"/>
        <w:snapToGrid w:val="0"/>
        <w:spacing w:line="360" w:lineRule="auto"/>
        <w:ind w:left="218" w:leftChars="76" w:hanging="58" w:hangingChars="28"/>
        <w:textAlignment w:val="auto"/>
        <w:rPr>
          <w:rFonts w:ascii="宋体" w:hAnsi="宋体" w:cs="宋体"/>
          <w:color w:val="auto"/>
          <w:szCs w:val="21"/>
          <w:highlight w:val="none"/>
          <w:u w:color="000000"/>
        </w:rPr>
      </w:pPr>
      <w:r>
        <w:rPr>
          <w:rFonts w:hint="eastAsia" w:ascii="宋体" w:hAnsi="宋体" w:cs="宋体"/>
          <w:color w:val="auto"/>
          <w:szCs w:val="21"/>
          <w:highlight w:val="none"/>
          <w:u w:color="000000"/>
        </w:rPr>
        <w:t>（3）项目验收合格并经有审价资质的机构审价，且具备付款条件后5个工作日内，支付合同剩余尾款。</w:t>
      </w:r>
    </w:p>
    <w:p w14:paraId="3AC25332">
      <w:pPr>
        <w:pStyle w:val="43"/>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在承包人领取工程款前，应当向发包人交付相应的正规发票，并按本合同合格的履行了义务，否则发包人可暂缓支付。</w:t>
      </w:r>
    </w:p>
    <w:p w14:paraId="7F05B0BF">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12.4.2 进度付款申请单的编制</w:t>
      </w:r>
    </w:p>
    <w:p w14:paraId="069F5988">
      <w:pPr>
        <w:snapToGrid w:val="0"/>
        <w:spacing w:line="360" w:lineRule="auto"/>
        <w:ind w:firstLine="34"/>
        <w:jc w:val="left"/>
        <w:rPr>
          <w:rFonts w:ascii="宋体" w:hAnsi="宋体" w:cs="宋体"/>
          <w:color w:val="auto"/>
          <w:szCs w:val="21"/>
          <w:highlight w:val="none"/>
          <w:u w:val="single" w:color="000000"/>
        </w:rPr>
      </w:pPr>
      <w:r>
        <w:rPr>
          <w:rFonts w:hint="eastAsia" w:ascii="宋体" w:hAnsi="宋体" w:cs="宋体"/>
          <w:color w:val="auto"/>
          <w:szCs w:val="21"/>
          <w:highlight w:val="none"/>
          <w:u w:color="000000"/>
        </w:rPr>
        <w:t>关于进度付款申请单编制的约定：</w:t>
      </w:r>
      <w:r>
        <w:rPr>
          <w:rFonts w:hint="eastAsia" w:ascii="宋体" w:hAnsi="宋体" w:cs="宋体"/>
          <w:color w:val="auto"/>
          <w:szCs w:val="21"/>
          <w:highlight w:val="none"/>
          <w:u w:val="single" w:color="000000"/>
        </w:rPr>
        <w:t>按《通用合同条款》12.4.2条执行</w:t>
      </w:r>
    </w:p>
    <w:p w14:paraId="717A5D1B">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12.4.3 进度付款申请单的提交</w:t>
      </w:r>
    </w:p>
    <w:p w14:paraId="24688D46">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（1）单价合同进度付款申请单提交的约定：</w:t>
      </w:r>
      <w:r>
        <w:rPr>
          <w:rFonts w:hint="eastAsia" w:ascii="宋体" w:hAnsi="宋体" w:cs="宋体"/>
          <w:color w:val="auto"/>
          <w:szCs w:val="21"/>
          <w:highlight w:val="none"/>
          <w:u w:val="single" w:color="000000"/>
        </w:rPr>
        <w:t>按《通用合同条款》12.3.3条执行</w:t>
      </w:r>
      <w:r>
        <w:rPr>
          <w:rFonts w:hint="eastAsia" w:ascii="宋体" w:hAnsi="宋体" w:cs="宋体"/>
          <w:color w:val="auto"/>
          <w:szCs w:val="21"/>
          <w:highlight w:val="none"/>
          <w:u w:color="000000"/>
        </w:rPr>
        <w:t>。</w:t>
      </w:r>
    </w:p>
    <w:p w14:paraId="383EB792">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（2）总价合同进度付款申请单提交的约定：</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w:t>
      </w:r>
    </w:p>
    <w:p w14:paraId="04D9B3E7">
      <w:pPr>
        <w:snapToGrid w:val="0"/>
        <w:spacing w:line="360" w:lineRule="auto"/>
        <w:ind w:firstLine="34"/>
        <w:jc w:val="left"/>
        <w:rPr>
          <w:rFonts w:ascii="宋体" w:hAnsi="宋体" w:cs="宋体"/>
          <w:color w:val="auto"/>
          <w:szCs w:val="21"/>
          <w:highlight w:val="none"/>
          <w:u w:val="single" w:color="000000"/>
        </w:rPr>
      </w:pPr>
      <w:r>
        <w:rPr>
          <w:rFonts w:hint="eastAsia" w:ascii="宋体" w:hAnsi="宋体" w:cs="宋体"/>
          <w:color w:val="auto"/>
          <w:szCs w:val="21"/>
          <w:highlight w:val="none"/>
          <w:u w:color="000000"/>
        </w:rPr>
        <w:t>（3）其他价格形式合同进度付款申请单提交的约定：</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w:t>
      </w:r>
    </w:p>
    <w:p w14:paraId="4E527A2D">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12.4.4 进度款审核和支付</w:t>
      </w:r>
    </w:p>
    <w:p w14:paraId="6146F38E">
      <w:pPr>
        <w:snapToGrid w:val="0"/>
        <w:spacing w:line="360" w:lineRule="auto"/>
        <w:ind w:firstLine="34"/>
        <w:jc w:val="left"/>
        <w:rPr>
          <w:rFonts w:ascii="宋体" w:hAnsi="宋体" w:cs="宋体"/>
          <w:color w:val="auto"/>
          <w:szCs w:val="21"/>
          <w:highlight w:val="none"/>
          <w:u w:val="single" w:color="000000"/>
        </w:rPr>
      </w:pPr>
      <w:r>
        <w:rPr>
          <w:rFonts w:hint="eastAsia" w:ascii="宋体" w:hAnsi="宋体" w:cs="宋体"/>
          <w:color w:val="auto"/>
          <w:szCs w:val="21"/>
          <w:highlight w:val="none"/>
          <w:u w:color="000000"/>
        </w:rPr>
        <w:t>（1）监理人审查并报送发包人的期限：</w:t>
      </w:r>
      <w:r>
        <w:rPr>
          <w:rFonts w:hint="eastAsia" w:ascii="宋体" w:hAnsi="宋体" w:cs="宋体"/>
          <w:b/>
          <w:bCs/>
          <w:color w:val="auto"/>
          <w:szCs w:val="21"/>
          <w:highlight w:val="none"/>
          <w:u w:val="single" w:color="000000"/>
        </w:rPr>
        <w:t>监理人应在收到承包人进度付款申请单以及相关资料后5天内完成审查并报送发包人</w:t>
      </w:r>
      <w:r>
        <w:rPr>
          <w:rFonts w:hint="eastAsia" w:ascii="宋体" w:hAnsi="宋体" w:cs="宋体"/>
          <w:color w:val="auto"/>
          <w:szCs w:val="21"/>
          <w:highlight w:val="none"/>
          <w:u w:color="000000"/>
        </w:rPr>
        <w:t>。</w:t>
      </w:r>
    </w:p>
    <w:p w14:paraId="0C0020AF">
      <w:pPr>
        <w:snapToGrid w:val="0"/>
        <w:spacing w:line="360" w:lineRule="auto"/>
        <w:ind w:firstLine="34"/>
        <w:jc w:val="left"/>
        <w:rPr>
          <w:rFonts w:ascii="宋体" w:hAnsi="宋体" w:cs="宋体"/>
          <w:color w:val="auto"/>
          <w:szCs w:val="21"/>
          <w:highlight w:val="none"/>
          <w:u w:val="single" w:color="000000"/>
        </w:rPr>
      </w:pPr>
      <w:r>
        <w:rPr>
          <w:rFonts w:hint="eastAsia" w:ascii="宋体" w:hAnsi="宋体" w:cs="宋体"/>
          <w:color w:val="auto"/>
          <w:szCs w:val="21"/>
          <w:highlight w:val="none"/>
          <w:u w:color="000000"/>
        </w:rPr>
        <w:t>发包人完成审批并签发进度款支付证书的期限：</w:t>
      </w:r>
      <w:r>
        <w:rPr>
          <w:rFonts w:hint="eastAsia" w:ascii="宋体" w:hAnsi="宋体" w:cs="宋体"/>
          <w:color w:val="auto"/>
          <w:szCs w:val="21"/>
          <w:highlight w:val="none"/>
          <w:u w:val="single" w:color="000000"/>
        </w:rPr>
        <w:t>发包人应在收到后7天内完成审批并签发进度款支付证书</w:t>
      </w:r>
      <w:r>
        <w:rPr>
          <w:rFonts w:hint="eastAsia" w:ascii="宋体" w:hAnsi="宋体" w:cs="宋体"/>
          <w:color w:val="auto"/>
          <w:szCs w:val="21"/>
          <w:highlight w:val="none"/>
          <w:u w:color="000000"/>
        </w:rPr>
        <w:t>。</w:t>
      </w:r>
    </w:p>
    <w:p w14:paraId="05592BB8">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（2）发包人支付进度款的期限：</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w:t>
      </w:r>
    </w:p>
    <w:p w14:paraId="6104C658">
      <w:pPr>
        <w:snapToGrid w:val="0"/>
        <w:spacing w:line="360" w:lineRule="auto"/>
        <w:ind w:firstLine="34"/>
        <w:jc w:val="left"/>
        <w:rPr>
          <w:rFonts w:ascii="宋体" w:hAnsi="宋体" w:cs="宋体"/>
          <w:color w:val="auto"/>
          <w:szCs w:val="21"/>
          <w:highlight w:val="none"/>
          <w:u w:val="single" w:color="000000"/>
        </w:rPr>
      </w:pPr>
      <w:r>
        <w:rPr>
          <w:rFonts w:hint="eastAsia" w:ascii="宋体" w:hAnsi="宋体" w:cs="宋体"/>
          <w:color w:val="auto"/>
          <w:szCs w:val="21"/>
          <w:highlight w:val="none"/>
          <w:u w:color="000000"/>
        </w:rPr>
        <w:t>发包人逾期支付进度款的违约金的计算方式：</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w:t>
      </w:r>
    </w:p>
    <w:p w14:paraId="1F5E363D">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12.4.5支付分解表的编制</w:t>
      </w:r>
    </w:p>
    <w:p w14:paraId="59A3A719">
      <w:pPr>
        <w:snapToGrid w:val="0"/>
        <w:spacing w:line="360" w:lineRule="auto"/>
        <w:ind w:firstLine="34"/>
        <w:jc w:val="left"/>
        <w:rPr>
          <w:rFonts w:ascii="宋体" w:hAnsi="宋体" w:cs="宋体"/>
          <w:color w:val="auto"/>
          <w:szCs w:val="21"/>
          <w:highlight w:val="none"/>
          <w:u w:val="single" w:color="000000"/>
        </w:rPr>
      </w:pPr>
      <w:r>
        <w:rPr>
          <w:rFonts w:hint="eastAsia" w:ascii="宋体" w:hAnsi="宋体" w:cs="宋体"/>
          <w:color w:val="auto"/>
          <w:szCs w:val="21"/>
          <w:highlight w:val="none"/>
          <w:u w:color="000000"/>
        </w:rPr>
        <w:t>1、总价合同支付分解表的编制与审批：</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w:t>
      </w:r>
    </w:p>
    <w:p w14:paraId="1149EB3D">
      <w:pPr>
        <w:snapToGrid w:val="0"/>
        <w:spacing w:line="360" w:lineRule="auto"/>
        <w:ind w:firstLine="34"/>
        <w:jc w:val="left"/>
        <w:rPr>
          <w:rFonts w:ascii="宋体" w:hAnsi="宋体" w:cs="宋体"/>
          <w:color w:val="auto"/>
          <w:szCs w:val="21"/>
          <w:highlight w:val="none"/>
          <w:u w:val="single" w:color="000000"/>
        </w:rPr>
      </w:pPr>
      <w:r>
        <w:rPr>
          <w:rFonts w:hint="eastAsia" w:ascii="宋体" w:hAnsi="宋体" w:cs="宋体"/>
          <w:color w:val="auto"/>
          <w:szCs w:val="21"/>
          <w:highlight w:val="none"/>
          <w:u w:color="000000"/>
        </w:rPr>
        <w:t>2、单价合同的总价项目支付分解表的编制与审批：</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 xml:space="preserve"> </w:t>
      </w:r>
    </w:p>
    <w:p w14:paraId="03014493">
      <w:pPr>
        <w:keepNext/>
        <w:keepLines/>
        <w:snapToGrid w:val="0"/>
        <w:spacing w:line="360" w:lineRule="auto"/>
        <w:ind w:firstLine="34"/>
        <w:outlineLvl w:val="3"/>
        <w:rPr>
          <w:rFonts w:ascii="宋体" w:hAnsi="宋体" w:cs="宋体"/>
          <w:color w:val="auto"/>
          <w:szCs w:val="21"/>
          <w:highlight w:val="none"/>
          <w:u w:color="000000"/>
        </w:rPr>
      </w:pPr>
      <w:r>
        <w:rPr>
          <w:rFonts w:hint="eastAsia" w:ascii="宋体" w:hAnsi="宋体" w:cs="宋体"/>
          <w:color w:val="auto"/>
          <w:szCs w:val="21"/>
          <w:highlight w:val="none"/>
          <w:u w:color="000000"/>
        </w:rPr>
        <w:t>13. 验收和工程试车</w:t>
      </w:r>
    </w:p>
    <w:p w14:paraId="12EE5E0F">
      <w:pPr>
        <w:snapToGrid w:val="0"/>
        <w:spacing w:line="360" w:lineRule="auto"/>
        <w:ind w:firstLine="34"/>
        <w:rPr>
          <w:rFonts w:ascii="宋体" w:hAnsi="宋体" w:cs="宋体"/>
          <w:color w:val="auto"/>
          <w:szCs w:val="21"/>
          <w:highlight w:val="none"/>
          <w:u w:color="000000"/>
        </w:rPr>
      </w:pPr>
      <w:r>
        <w:rPr>
          <w:rFonts w:hint="eastAsia" w:ascii="宋体" w:hAnsi="宋体" w:cs="宋体"/>
          <w:color w:val="auto"/>
          <w:szCs w:val="21"/>
          <w:highlight w:val="none"/>
          <w:u w:color="000000"/>
        </w:rPr>
        <w:t>13.1 分部分项工程验收</w:t>
      </w:r>
    </w:p>
    <w:p w14:paraId="2C5D2CD6">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13.1.2监理人不能按时进行验收时，应提前</w:t>
      </w:r>
      <w:r>
        <w:rPr>
          <w:rFonts w:hint="eastAsia" w:ascii="宋体" w:hAnsi="宋体" w:cs="宋体"/>
          <w:color w:val="auto"/>
          <w:szCs w:val="21"/>
          <w:highlight w:val="none"/>
          <w:u w:val="single" w:color="000000"/>
        </w:rPr>
        <w:t xml:space="preserve">  24   </w:t>
      </w:r>
      <w:r>
        <w:rPr>
          <w:rFonts w:hint="eastAsia" w:ascii="宋体" w:hAnsi="宋体" w:cs="宋体"/>
          <w:color w:val="auto"/>
          <w:szCs w:val="21"/>
          <w:highlight w:val="none"/>
          <w:u w:color="000000"/>
        </w:rPr>
        <w:t>小时提交书面延期要求。</w:t>
      </w:r>
    </w:p>
    <w:p w14:paraId="7F070D27">
      <w:pPr>
        <w:snapToGrid w:val="0"/>
        <w:spacing w:line="360" w:lineRule="auto"/>
        <w:ind w:firstLine="34"/>
        <w:jc w:val="left"/>
        <w:rPr>
          <w:rFonts w:ascii="宋体" w:hAnsi="宋体" w:cs="宋体"/>
          <w:b/>
          <w:bCs/>
          <w:color w:val="auto"/>
          <w:szCs w:val="21"/>
          <w:highlight w:val="none"/>
          <w:u w:color="000000"/>
        </w:rPr>
      </w:pPr>
      <w:r>
        <w:rPr>
          <w:rFonts w:hint="eastAsia" w:ascii="宋体" w:hAnsi="宋体" w:cs="宋体"/>
          <w:color w:val="auto"/>
          <w:szCs w:val="21"/>
          <w:highlight w:val="none"/>
          <w:u w:color="000000"/>
        </w:rPr>
        <w:t>关于延期最长不得超过：</w:t>
      </w:r>
      <w:r>
        <w:rPr>
          <w:rFonts w:hint="eastAsia" w:ascii="宋体" w:hAnsi="宋体" w:cs="宋体"/>
          <w:color w:val="auto"/>
          <w:szCs w:val="21"/>
          <w:highlight w:val="none"/>
          <w:u w:val="single" w:color="000000"/>
        </w:rPr>
        <w:t xml:space="preserve">   48    </w:t>
      </w:r>
      <w:r>
        <w:rPr>
          <w:rFonts w:hint="eastAsia" w:ascii="宋体" w:hAnsi="宋体" w:cs="宋体"/>
          <w:color w:val="auto"/>
          <w:szCs w:val="21"/>
          <w:highlight w:val="none"/>
          <w:u w:color="000000"/>
        </w:rPr>
        <w:t>小时。</w:t>
      </w:r>
    </w:p>
    <w:p w14:paraId="173C2112">
      <w:pPr>
        <w:snapToGrid w:val="0"/>
        <w:spacing w:line="360" w:lineRule="auto"/>
        <w:ind w:firstLine="34"/>
        <w:rPr>
          <w:rFonts w:ascii="宋体" w:hAnsi="宋体" w:cs="宋体"/>
          <w:color w:val="auto"/>
          <w:szCs w:val="21"/>
          <w:highlight w:val="none"/>
          <w:u w:color="000000"/>
        </w:rPr>
      </w:pPr>
      <w:r>
        <w:rPr>
          <w:rFonts w:hint="eastAsia" w:ascii="宋体" w:hAnsi="宋体" w:cs="宋体"/>
          <w:color w:val="auto"/>
          <w:szCs w:val="21"/>
          <w:highlight w:val="none"/>
          <w:u w:color="000000"/>
        </w:rPr>
        <w:t>13.2 竣工验收</w:t>
      </w:r>
    </w:p>
    <w:p w14:paraId="7E154699">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13.2.1竣工验收程序</w:t>
      </w:r>
    </w:p>
    <w:p w14:paraId="0639E104">
      <w:pPr>
        <w:snapToGrid w:val="0"/>
        <w:spacing w:line="360" w:lineRule="auto"/>
        <w:ind w:firstLine="34"/>
        <w:jc w:val="left"/>
        <w:rPr>
          <w:rFonts w:ascii="宋体" w:hAnsi="宋体" w:cs="宋体"/>
          <w:color w:val="auto"/>
          <w:szCs w:val="21"/>
          <w:highlight w:val="none"/>
          <w:u w:val="single" w:color="000000"/>
        </w:rPr>
      </w:pPr>
      <w:r>
        <w:rPr>
          <w:rFonts w:hint="eastAsia" w:ascii="宋体" w:hAnsi="宋体" w:cs="宋体"/>
          <w:color w:val="auto"/>
          <w:szCs w:val="21"/>
          <w:highlight w:val="none"/>
          <w:u w:color="000000"/>
        </w:rPr>
        <w:t>关于竣工验收程序的约定：</w:t>
      </w:r>
      <w:r>
        <w:rPr>
          <w:rFonts w:hint="eastAsia" w:ascii="宋体" w:hAnsi="宋体" w:cs="宋体"/>
          <w:color w:val="auto"/>
          <w:szCs w:val="21"/>
          <w:highlight w:val="none"/>
          <w:u w:val="single" w:color="000000"/>
        </w:rPr>
        <w:t xml:space="preserve">   按《通用合同条款》13.2.2条执行       </w:t>
      </w:r>
      <w:r>
        <w:rPr>
          <w:rFonts w:hint="eastAsia" w:ascii="宋体" w:hAnsi="宋体" w:cs="宋体"/>
          <w:color w:val="auto"/>
          <w:szCs w:val="21"/>
          <w:highlight w:val="none"/>
          <w:u w:color="000000"/>
        </w:rPr>
        <w:t>。</w:t>
      </w:r>
    </w:p>
    <w:p w14:paraId="0B4152E5">
      <w:pPr>
        <w:snapToGrid w:val="0"/>
        <w:spacing w:line="360" w:lineRule="auto"/>
        <w:ind w:firstLine="34"/>
        <w:jc w:val="left"/>
        <w:rPr>
          <w:rFonts w:ascii="宋体" w:hAnsi="宋体" w:cs="宋体"/>
          <w:color w:val="auto"/>
          <w:szCs w:val="21"/>
          <w:highlight w:val="none"/>
          <w:u w:val="single" w:color="000000"/>
        </w:rPr>
      </w:pPr>
      <w:r>
        <w:rPr>
          <w:rFonts w:hint="eastAsia" w:ascii="宋体" w:hAnsi="宋体" w:cs="宋体"/>
          <w:color w:val="auto"/>
          <w:szCs w:val="21"/>
          <w:highlight w:val="none"/>
          <w:u w:color="000000"/>
        </w:rPr>
        <w:t>发包人不按照本项约定组织竣工验收、颁发工程接收证书的违约金的计算方法：</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w:t>
      </w:r>
    </w:p>
    <w:p w14:paraId="28CAC7EE">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13.2.2移交、接收全部与部分工程</w:t>
      </w:r>
    </w:p>
    <w:p w14:paraId="71F6ED4D">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承包人向发包人移交工程的期限：</w:t>
      </w:r>
      <w:r>
        <w:rPr>
          <w:rFonts w:hint="eastAsia" w:ascii="宋体" w:hAnsi="宋体" w:cs="宋体"/>
          <w:color w:val="auto"/>
          <w:szCs w:val="21"/>
          <w:highlight w:val="none"/>
          <w:u w:val="single" w:color="000000"/>
        </w:rPr>
        <w:t xml:space="preserve">   保修期满后30天内  </w:t>
      </w:r>
      <w:r>
        <w:rPr>
          <w:rFonts w:hint="eastAsia" w:ascii="宋体" w:hAnsi="宋体" w:cs="宋体"/>
          <w:color w:val="auto"/>
          <w:szCs w:val="21"/>
          <w:highlight w:val="none"/>
          <w:u w:color="000000"/>
        </w:rPr>
        <w:t>。</w:t>
      </w:r>
    </w:p>
    <w:p w14:paraId="78B01184">
      <w:pPr>
        <w:snapToGrid w:val="0"/>
        <w:spacing w:line="360" w:lineRule="auto"/>
        <w:ind w:firstLine="34"/>
        <w:jc w:val="left"/>
        <w:rPr>
          <w:rFonts w:ascii="宋体" w:hAnsi="宋体" w:cs="宋体"/>
          <w:color w:val="auto"/>
          <w:szCs w:val="21"/>
          <w:highlight w:val="none"/>
          <w:u w:val="single" w:color="000000"/>
        </w:rPr>
      </w:pPr>
      <w:r>
        <w:rPr>
          <w:rFonts w:hint="eastAsia" w:ascii="宋体" w:hAnsi="宋体" w:cs="宋体"/>
          <w:color w:val="auto"/>
          <w:szCs w:val="21"/>
          <w:highlight w:val="none"/>
          <w:u w:color="000000"/>
        </w:rPr>
        <w:t>发包人未按本合同约定接收全部或部分工程的，违约金的计算方法为：</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w:t>
      </w:r>
    </w:p>
    <w:p w14:paraId="3CAB6758">
      <w:pPr>
        <w:snapToGrid w:val="0"/>
        <w:spacing w:line="360" w:lineRule="auto"/>
        <w:ind w:firstLine="34"/>
        <w:jc w:val="left"/>
        <w:rPr>
          <w:rFonts w:ascii="宋体" w:hAnsi="宋体" w:cs="宋体"/>
          <w:color w:val="auto"/>
          <w:szCs w:val="21"/>
          <w:highlight w:val="none"/>
          <w:u w:val="single" w:color="000000"/>
        </w:rPr>
      </w:pPr>
      <w:r>
        <w:rPr>
          <w:rFonts w:hint="eastAsia" w:ascii="宋体" w:hAnsi="宋体" w:cs="宋体"/>
          <w:color w:val="auto"/>
          <w:szCs w:val="21"/>
          <w:highlight w:val="none"/>
          <w:u w:color="000000"/>
        </w:rPr>
        <w:t>承包人未按时移交工程的，违约金的计算方法为：</w:t>
      </w:r>
      <w:r>
        <w:rPr>
          <w:rFonts w:hint="eastAsia" w:ascii="宋体" w:hAnsi="宋体" w:cs="宋体"/>
          <w:color w:val="auto"/>
          <w:szCs w:val="21"/>
          <w:highlight w:val="none"/>
          <w:u w:val="single" w:color="000000"/>
        </w:rPr>
        <w:t>因承包人原因未按时移交工程的，每延误一天，扣除150元/天的履约保证金</w:t>
      </w:r>
      <w:r>
        <w:rPr>
          <w:rFonts w:hint="eastAsia" w:ascii="宋体" w:hAnsi="宋体" w:cs="宋体"/>
          <w:color w:val="auto"/>
          <w:szCs w:val="21"/>
          <w:highlight w:val="none"/>
          <w:u w:color="000000"/>
        </w:rPr>
        <w:t>。</w:t>
      </w:r>
    </w:p>
    <w:p w14:paraId="5DEB3FCD">
      <w:pPr>
        <w:snapToGrid w:val="0"/>
        <w:spacing w:line="360" w:lineRule="auto"/>
        <w:ind w:firstLine="34"/>
        <w:rPr>
          <w:rFonts w:ascii="宋体" w:hAnsi="宋体" w:cs="宋体"/>
          <w:color w:val="auto"/>
          <w:szCs w:val="21"/>
          <w:highlight w:val="none"/>
          <w:u w:color="000000"/>
        </w:rPr>
      </w:pPr>
      <w:r>
        <w:rPr>
          <w:rFonts w:hint="eastAsia" w:ascii="宋体" w:hAnsi="宋体" w:cs="宋体"/>
          <w:color w:val="auto"/>
          <w:szCs w:val="21"/>
          <w:highlight w:val="none"/>
          <w:u w:color="000000"/>
        </w:rPr>
        <w:t>13.3 工程试车</w:t>
      </w:r>
    </w:p>
    <w:p w14:paraId="080FF346">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13.3.1 试车程序</w:t>
      </w:r>
    </w:p>
    <w:p w14:paraId="17B32CF7">
      <w:pPr>
        <w:snapToGrid w:val="0"/>
        <w:spacing w:line="360" w:lineRule="auto"/>
        <w:ind w:firstLine="34"/>
        <w:jc w:val="left"/>
        <w:rPr>
          <w:rFonts w:ascii="宋体" w:hAnsi="宋体" w:cs="宋体"/>
          <w:color w:val="auto"/>
          <w:szCs w:val="21"/>
          <w:highlight w:val="none"/>
          <w:u w:val="single" w:color="000000"/>
        </w:rPr>
      </w:pPr>
      <w:r>
        <w:rPr>
          <w:rFonts w:hint="eastAsia" w:ascii="宋体" w:hAnsi="宋体" w:cs="宋体"/>
          <w:color w:val="auto"/>
          <w:szCs w:val="21"/>
          <w:highlight w:val="none"/>
          <w:u w:color="000000"/>
        </w:rPr>
        <w:t>工程试车内容：</w:t>
      </w:r>
      <w:r>
        <w:rPr>
          <w:rFonts w:hint="eastAsia" w:ascii="宋体" w:hAnsi="宋体" w:cs="宋体"/>
          <w:color w:val="auto"/>
          <w:szCs w:val="21"/>
          <w:highlight w:val="none"/>
          <w:u w:val="single" w:color="000000"/>
        </w:rPr>
        <w:t>所有试车费用承包人已在投标报价中包干</w:t>
      </w:r>
      <w:r>
        <w:rPr>
          <w:rFonts w:hint="eastAsia" w:ascii="宋体" w:hAnsi="宋体" w:cs="宋体"/>
          <w:color w:val="auto"/>
          <w:szCs w:val="21"/>
          <w:highlight w:val="none"/>
          <w:u w:color="000000"/>
        </w:rPr>
        <w:t>。</w:t>
      </w:r>
    </w:p>
    <w:p w14:paraId="17120785">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（1）单机无负荷试车费用由</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承担；</w:t>
      </w:r>
    </w:p>
    <w:p w14:paraId="03B4F371">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（2）无负荷联动试车费用由</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承担。</w:t>
      </w:r>
    </w:p>
    <w:p w14:paraId="3CB3533F">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13.3.3 投料试车</w:t>
      </w:r>
    </w:p>
    <w:p w14:paraId="4CE59E62">
      <w:pPr>
        <w:snapToGrid w:val="0"/>
        <w:spacing w:line="360" w:lineRule="auto"/>
        <w:ind w:firstLine="34"/>
        <w:jc w:val="left"/>
        <w:rPr>
          <w:rFonts w:ascii="宋体" w:hAnsi="宋体" w:cs="宋体"/>
          <w:color w:val="auto"/>
          <w:szCs w:val="21"/>
          <w:highlight w:val="none"/>
          <w:u w:val="single" w:color="000000"/>
        </w:rPr>
      </w:pPr>
      <w:r>
        <w:rPr>
          <w:rFonts w:hint="eastAsia" w:ascii="宋体" w:hAnsi="宋体" w:cs="宋体"/>
          <w:color w:val="auto"/>
          <w:szCs w:val="21"/>
          <w:highlight w:val="none"/>
          <w:u w:color="000000"/>
        </w:rPr>
        <w:t>关于投料试车相关事项的约定：</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w:t>
      </w:r>
    </w:p>
    <w:p w14:paraId="1C5F8789">
      <w:pPr>
        <w:snapToGrid w:val="0"/>
        <w:spacing w:line="360" w:lineRule="auto"/>
        <w:ind w:firstLine="34"/>
        <w:rPr>
          <w:rFonts w:ascii="宋体" w:hAnsi="宋体" w:cs="宋体"/>
          <w:color w:val="auto"/>
          <w:szCs w:val="21"/>
          <w:highlight w:val="none"/>
          <w:u w:color="000000"/>
        </w:rPr>
      </w:pPr>
      <w:r>
        <w:rPr>
          <w:rFonts w:hint="eastAsia" w:ascii="宋体" w:hAnsi="宋体" w:cs="宋体"/>
          <w:color w:val="auto"/>
          <w:szCs w:val="21"/>
          <w:highlight w:val="none"/>
          <w:u w:color="000000"/>
        </w:rPr>
        <w:t>13.4 竣工退场</w:t>
      </w:r>
    </w:p>
    <w:p w14:paraId="1D89F71D">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13.4.1 竣工退场</w:t>
      </w:r>
    </w:p>
    <w:p w14:paraId="3233AA31">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承包人完成竣工退场的期限：</w:t>
      </w:r>
      <w:r>
        <w:rPr>
          <w:rFonts w:hint="eastAsia" w:ascii="宋体" w:hAnsi="宋体" w:cs="宋体"/>
          <w:color w:val="auto"/>
          <w:szCs w:val="21"/>
          <w:highlight w:val="none"/>
          <w:u w:val="single" w:color="000000"/>
        </w:rPr>
        <w:t xml:space="preserve">       7天内                </w:t>
      </w:r>
      <w:r>
        <w:rPr>
          <w:rFonts w:hint="eastAsia" w:ascii="宋体" w:hAnsi="宋体" w:cs="宋体"/>
          <w:color w:val="auto"/>
          <w:szCs w:val="21"/>
          <w:highlight w:val="none"/>
          <w:u w:color="000000"/>
        </w:rPr>
        <w:t>。</w:t>
      </w:r>
    </w:p>
    <w:p w14:paraId="0EAE3CB5">
      <w:pPr>
        <w:keepNext/>
        <w:keepLines/>
        <w:snapToGrid w:val="0"/>
        <w:spacing w:line="360" w:lineRule="auto"/>
        <w:ind w:firstLine="34"/>
        <w:outlineLvl w:val="3"/>
        <w:rPr>
          <w:rFonts w:ascii="宋体" w:hAnsi="宋体" w:cs="宋体"/>
          <w:color w:val="auto"/>
          <w:szCs w:val="21"/>
          <w:highlight w:val="none"/>
          <w:u w:color="000000"/>
        </w:rPr>
      </w:pPr>
      <w:r>
        <w:rPr>
          <w:rFonts w:hint="eastAsia" w:ascii="宋体" w:hAnsi="宋体" w:cs="宋体"/>
          <w:color w:val="auto"/>
          <w:szCs w:val="21"/>
          <w:highlight w:val="none"/>
          <w:u w:color="000000"/>
        </w:rPr>
        <w:t>14. 竣工结算</w:t>
      </w:r>
    </w:p>
    <w:p w14:paraId="373E1DFE">
      <w:pPr>
        <w:snapToGrid w:val="0"/>
        <w:spacing w:line="360" w:lineRule="auto"/>
        <w:ind w:firstLine="34"/>
        <w:rPr>
          <w:rFonts w:ascii="宋体" w:hAnsi="宋体" w:cs="宋体"/>
          <w:color w:val="auto"/>
          <w:szCs w:val="21"/>
          <w:highlight w:val="none"/>
          <w:u w:color="000000"/>
        </w:rPr>
      </w:pPr>
      <w:r>
        <w:rPr>
          <w:rFonts w:hint="eastAsia" w:ascii="宋体" w:hAnsi="宋体" w:cs="宋体"/>
          <w:color w:val="auto"/>
          <w:szCs w:val="21"/>
          <w:highlight w:val="none"/>
          <w:u w:color="000000"/>
        </w:rPr>
        <w:t>14.1 竣工付款申请</w:t>
      </w:r>
    </w:p>
    <w:p w14:paraId="1EB91539">
      <w:pPr>
        <w:snapToGrid w:val="0"/>
        <w:spacing w:line="360" w:lineRule="auto"/>
        <w:ind w:left="560" w:firstLine="34"/>
        <w:rPr>
          <w:rFonts w:ascii="宋体" w:hAnsi="宋体" w:cs="宋体"/>
          <w:b/>
          <w:bCs/>
          <w:color w:val="auto"/>
          <w:szCs w:val="21"/>
          <w:highlight w:val="none"/>
          <w:u w:val="single" w:color="000000"/>
        </w:rPr>
      </w:pPr>
      <w:r>
        <w:rPr>
          <w:rFonts w:hint="eastAsia" w:ascii="宋体" w:hAnsi="宋体" w:cs="宋体"/>
          <w:color w:val="auto"/>
          <w:szCs w:val="21"/>
          <w:highlight w:val="none"/>
          <w:u w:color="000000"/>
        </w:rPr>
        <w:t>承包人提交竣工付款申请单的期限：</w:t>
      </w:r>
      <w:r>
        <w:rPr>
          <w:rFonts w:hint="eastAsia" w:ascii="宋体" w:hAnsi="宋体" w:cs="宋体"/>
          <w:b/>
          <w:bCs/>
          <w:color w:val="auto"/>
          <w:szCs w:val="21"/>
          <w:highlight w:val="none"/>
          <w:u w:val="single"/>
        </w:rPr>
        <w:t>工</w:t>
      </w:r>
      <w:r>
        <w:rPr>
          <w:rFonts w:hint="eastAsia" w:ascii="宋体" w:hAnsi="宋体" w:cs="宋体"/>
          <w:b/>
          <w:bCs/>
          <w:color w:val="auto"/>
          <w:szCs w:val="21"/>
          <w:highlight w:val="none"/>
          <w:u w:val="single" w:color="000000"/>
        </w:rPr>
        <w:t>程竣工验收达到合格标准后，承包人应在28天内向发包人递交竣工结算报告及完整的结算资料。发包人收到完整的结算资料后应及时审计（或委托咨询公司审计），如发包人在56天内不进行审计或90天内因发包人（包括委托的咨询单位）原因未完成审计，视发包人已同意承包人的结算书，并按此结算工程款。若因承包人不来对账、无故拖延等承包人原因，造成90天内不能完成审计，则视承包人已同意审计意见，并按此结算工程款。发生双方对结算有争议的情况，另行协商处理。</w:t>
      </w:r>
    </w:p>
    <w:p w14:paraId="60E774E3">
      <w:pPr>
        <w:snapToGrid w:val="0"/>
        <w:spacing w:line="360" w:lineRule="auto"/>
        <w:ind w:left="560" w:firstLine="34"/>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发包人根据国家造价管理的有关规定以及审定的工程结算额，与承包人办理最终价款结算手续。施工单位在工程竣工验收后，应如实向发包人报送该工程的结算，发包人有权委托审计代理单位对承包人上报的工程结算造价进行初审。内部审计报告经承发包人认可后，承包人必须依据内部审计报告意见相应调整结算造价后重新上报发包人，由发包人在规定的时间内做竣工结算审计。内部审计费用原则上由发包人支付，但如承包人上报的工程结算造价经内部审计后，工程送审造价净核减额超过5%（不含5%），则超过部分按5%向承包人收取审计追加费用。</w:t>
      </w:r>
    </w:p>
    <w:p w14:paraId="5F98CA36">
      <w:pPr>
        <w:snapToGrid w:val="0"/>
        <w:spacing w:line="360" w:lineRule="auto"/>
        <w:ind w:firstLine="34"/>
        <w:jc w:val="left"/>
        <w:rPr>
          <w:rFonts w:ascii="宋体" w:hAnsi="宋体" w:cs="宋体"/>
          <w:color w:val="auto"/>
          <w:szCs w:val="21"/>
          <w:highlight w:val="none"/>
          <w:u w:val="single" w:color="000000"/>
        </w:rPr>
      </w:pPr>
      <w:r>
        <w:rPr>
          <w:rFonts w:hint="eastAsia" w:ascii="宋体" w:hAnsi="宋体" w:cs="宋体"/>
          <w:color w:val="auto"/>
          <w:szCs w:val="21"/>
          <w:highlight w:val="none"/>
          <w:u w:color="000000"/>
        </w:rPr>
        <w:t>竣工付款申请单应包括的内容：</w:t>
      </w:r>
      <w:r>
        <w:rPr>
          <w:rFonts w:hint="eastAsia" w:ascii="宋体" w:hAnsi="宋体" w:cs="宋体"/>
          <w:color w:val="auto"/>
          <w:szCs w:val="21"/>
          <w:highlight w:val="none"/>
          <w:u w:val="single" w:color="000000"/>
        </w:rPr>
        <w:t>按《通用合同条款》14.1条执行</w:t>
      </w:r>
      <w:r>
        <w:rPr>
          <w:rFonts w:hint="eastAsia" w:ascii="宋体" w:hAnsi="宋体" w:cs="宋体"/>
          <w:color w:val="auto"/>
          <w:szCs w:val="21"/>
          <w:highlight w:val="none"/>
          <w:u w:color="000000"/>
        </w:rPr>
        <w:t>。</w:t>
      </w:r>
    </w:p>
    <w:p w14:paraId="444EA61C">
      <w:pPr>
        <w:snapToGrid w:val="0"/>
        <w:spacing w:line="360" w:lineRule="auto"/>
        <w:ind w:firstLine="34"/>
        <w:rPr>
          <w:rFonts w:ascii="宋体" w:hAnsi="宋体" w:cs="宋体"/>
          <w:color w:val="auto"/>
          <w:szCs w:val="21"/>
          <w:highlight w:val="none"/>
          <w:u w:color="000000"/>
        </w:rPr>
      </w:pPr>
      <w:r>
        <w:rPr>
          <w:rFonts w:hint="eastAsia" w:ascii="宋体" w:hAnsi="宋体" w:cs="宋体"/>
          <w:color w:val="auto"/>
          <w:szCs w:val="21"/>
          <w:highlight w:val="none"/>
          <w:u w:color="000000"/>
        </w:rPr>
        <w:t>14.2 竣工结算审核</w:t>
      </w:r>
    </w:p>
    <w:p w14:paraId="5490FB1A">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发包人审批竣工付款申请单的期限：</w:t>
      </w:r>
      <w:r>
        <w:rPr>
          <w:rFonts w:hint="eastAsia" w:ascii="宋体" w:hAnsi="宋体" w:cs="宋体"/>
          <w:color w:val="auto"/>
          <w:szCs w:val="21"/>
          <w:highlight w:val="none"/>
          <w:u w:val="single" w:color="000000"/>
        </w:rPr>
        <w:t xml:space="preserve">  收到竣工结算申请单后14天内</w:t>
      </w:r>
      <w:r>
        <w:rPr>
          <w:rFonts w:hint="eastAsia" w:ascii="宋体" w:hAnsi="宋体" w:cs="宋体"/>
          <w:color w:val="auto"/>
          <w:szCs w:val="21"/>
          <w:highlight w:val="none"/>
          <w:u w:color="000000"/>
        </w:rPr>
        <w:t>。</w:t>
      </w:r>
    </w:p>
    <w:p w14:paraId="5CF5E3F4">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发包人完成竣工付款的期限：</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w:t>
      </w:r>
    </w:p>
    <w:p w14:paraId="3079D9DF">
      <w:pPr>
        <w:snapToGrid w:val="0"/>
        <w:spacing w:line="360" w:lineRule="auto"/>
        <w:ind w:firstLine="34"/>
        <w:jc w:val="left"/>
        <w:rPr>
          <w:rFonts w:ascii="宋体" w:hAnsi="宋体" w:cs="宋体"/>
          <w:color w:val="auto"/>
          <w:szCs w:val="21"/>
          <w:highlight w:val="none"/>
          <w:u w:val="single" w:color="000000"/>
        </w:rPr>
      </w:pPr>
      <w:r>
        <w:rPr>
          <w:rFonts w:hint="eastAsia" w:ascii="宋体" w:hAnsi="宋体" w:cs="宋体"/>
          <w:color w:val="auto"/>
          <w:szCs w:val="21"/>
          <w:highlight w:val="none"/>
          <w:u w:color="000000"/>
        </w:rPr>
        <w:t>关于竣工付款证书异议部分复核的方式和程序：</w:t>
      </w:r>
      <w:r>
        <w:rPr>
          <w:rFonts w:hint="eastAsia" w:ascii="宋体" w:hAnsi="宋体" w:cs="宋体"/>
          <w:color w:val="auto"/>
          <w:szCs w:val="21"/>
          <w:highlight w:val="none"/>
          <w:u w:val="single" w:color="000000"/>
        </w:rPr>
        <w:t>按《通用合同条款》14.2条执行</w:t>
      </w:r>
      <w:r>
        <w:rPr>
          <w:rFonts w:hint="eastAsia" w:ascii="宋体" w:hAnsi="宋体" w:cs="宋体"/>
          <w:color w:val="auto"/>
          <w:szCs w:val="21"/>
          <w:highlight w:val="none"/>
          <w:u w:color="000000"/>
        </w:rPr>
        <w:t>。</w:t>
      </w:r>
    </w:p>
    <w:p w14:paraId="1EFDE21A">
      <w:pPr>
        <w:snapToGrid w:val="0"/>
        <w:spacing w:line="360" w:lineRule="auto"/>
        <w:ind w:firstLine="34"/>
        <w:rPr>
          <w:rFonts w:ascii="宋体" w:hAnsi="宋体" w:cs="宋体"/>
          <w:color w:val="auto"/>
          <w:szCs w:val="21"/>
          <w:highlight w:val="none"/>
          <w:u w:color="000000"/>
        </w:rPr>
      </w:pPr>
      <w:r>
        <w:rPr>
          <w:rFonts w:hint="eastAsia" w:ascii="宋体" w:hAnsi="宋体" w:cs="宋体"/>
          <w:color w:val="auto"/>
          <w:szCs w:val="21"/>
          <w:highlight w:val="none"/>
          <w:u w:color="000000"/>
        </w:rPr>
        <w:t>14.3最终结清</w:t>
      </w:r>
    </w:p>
    <w:p w14:paraId="76FABC66">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14.3.1 最终结清申请单</w:t>
      </w:r>
    </w:p>
    <w:p w14:paraId="2CE2CC6A">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承包人提交最终结清申请单的份数：</w:t>
      </w:r>
      <w:r>
        <w:rPr>
          <w:rFonts w:hint="eastAsia" w:ascii="宋体" w:hAnsi="宋体" w:cs="宋体"/>
          <w:color w:val="auto"/>
          <w:szCs w:val="21"/>
          <w:highlight w:val="none"/>
          <w:u w:val="single" w:color="000000"/>
        </w:rPr>
        <w:t xml:space="preserve">    两份           </w:t>
      </w:r>
      <w:r>
        <w:rPr>
          <w:rFonts w:hint="eastAsia" w:ascii="宋体" w:hAnsi="宋体" w:cs="宋体"/>
          <w:color w:val="auto"/>
          <w:szCs w:val="21"/>
          <w:highlight w:val="none"/>
          <w:u w:color="000000"/>
        </w:rPr>
        <w:t>。</w:t>
      </w:r>
    </w:p>
    <w:p w14:paraId="255ECE31">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承包人提交最终结算申请单的期限：</w:t>
      </w:r>
      <w:r>
        <w:rPr>
          <w:rFonts w:hint="eastAsia" w:ascii="宋体" w:hAnsi="宋体" w:cs="宋体"/>
          <w:color w:val="auto"/>
          <w:szCs w:val="21"/>
          <w:highlight w:val="none"/>
          <w:u w:val="single" w:color="000000"/>
        </w:rPr>
        <w:t>项目验收合格后28天内</w:t>
      </w:r>
      <w:r>
        <w:rPr>
          <w:rFonts w:hint="eastAsia" w:ascii="宋体" w:hAnsi="宋体" w:cs="宋体"/>
          <w:color w:val="auto"/>
          <w:szCs w:val="21"/>
          <w:highlight w:val="none"/>
          <w:u w:color="000000"/>
        </w:rPr>
        <w:t>。</w:t>
      </w:r>
    </w:p>
    <w:p w14:paraId="2B1AD99D">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14.3.2 最终结清证书和支付</w:t>
      </w:r>
    </w:p>
    <w:p w14:paraId="495A1EE5">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（1）发包人完成最终结清申请单的审批并颁发最终结清证书的期限：</w:t>
      </w:r>
      <w:r>
        <w:rPr>
          <w:rFonts w:hint="eastAsia" w:ascii="宋体" w:hAnsi="宋体" w:cs="宋体"/>
          <w:color w:val="auto"/>
          <w:szCs w:val="21"/>
          <w:highlight w:val="none"/>
          <w:u w:val="single" w:color="000000"/>
        </w:rPr>
        <w:t>收到最终结清申请单后30天内</w:t>
      </w:r>
      <w:r>
        <w:rPr>
          <w:rFonts w:hint="eastAsia" w:ascii="宋体" w:hAnsi="宋体" w:cs="宋体"/>
          <w:color w:val="auto"/>
          <w:szCs w:val="21"/>
          <w:highlight w:val="none"/>
          <w:u w:color="000000"/>
        </w:rPr>
        <w:t>。</w:t>
      </w:r>
    </w:p>
    <w:p w14:paraId="66EB3498">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（2）发包人完成支付的期限：</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w:t>
      </w:r>
    </w:p>
    <w:p w14:paraId="31B2291E">
      <w:pPr>
        <w:keepNext/>
        <w:keepLines/>
        <w:snapToGrid w:val="0"/>
        <w:spacing w:line="360" w:lineRule="auto"/>
        <w:ind w:firstLine="34"/>
        <w:outlineLvl w:val="3"/>
        <w:rPr>
          <w:rFonts w:ascii="宋体" w:hAnsi="宋体" w:cs="宋体"/>
          <w:color w:val="auto"/>
          <w:szCs w:val="21"/>
          <w:highlight w:val="none"/>
          <w:u w:color="000000"/>
        </w:rPr>
      </w:pPr>
      <w:r>
        <w:rPr>
          <w:rFonts w:hint="eastAsia" w:ascii="宋体" w:hAnsi="宋体" w:cs="宋体"/>
          <w:color w:val="auto"/>
          <w:szCs w:val="21"/>
          <w:highlight w:val="none"/>
          <w:u w:color="000000"/>
        </w:rPr>
        <w:t>15. 缺陷责任期与保修</w:t>
      </w:r>
    </w:p>
    <w:p w14:paraId="2400E2D3">
      <w:pPr>
        <w:snapToGrid w:val="0"/>
        <w:spacing w:line="360" w:lineRule="auto"/>
        <w:ind w:firstLine="34"/>
        <w:rPr>
          <w:rFonts w:ascii="宋体" w:hAnsi="宋体" w:cs="宋体"/>
          <w:color w:val="auto"/>
          <w:szCs w:val="21"/>
          <w:highlight w:val="none"/>
          <w:u w:color="000000"/>
        </w:rPr>
      </w:pPr>
      <w:r>
        <w:rPr>
          <w:rFonts w:hint="eastAsia" w:ascii="宋体" w:hAnsi="宋体" w:cs="宋体"/>
          <w:color w:val="auto"/>
          <w:szCs w:val="21"/>
          <w:highlight w:val="none"/>
          <w:u w:color="000000"/>
        </w:rPr>
        <w:t>15.1缺陷责任期</w:t>
      </w:r>
    </w:p>
    <w:p w14:paraId="25EC113B">
      <w:pPr>
        <w:snapToGrid w:val="0"/>
        <w:spacing w:line="360" w:lineRule="auto"/>
        <w:ind w:firstLine="34"/>
        <w:jc w:val="left"/>
        <w:rPr>
          <w:rFonts w:ascii="宋体" w:hAnsi="宋体" w:cs="宋体"/>
          <w:color w:val="auto"/>
          <w:szCs w:val="21"/>
          <w:highlight w:val="none"/>
          <w:u w:val="single" w:color="000000"/>
        </w:rPr>
      </w:pPr>
      <w:r>
        <w:rPr>
          <w:rFonts w:hint="eastAsia" w:ascii="宋体" w:hAnsi="宋体" w:cs="宋体"/>
          <w:color w:val="auto"/>
          <w:szCs w:val="21"/>
          <w:highlight w:val="none"/>
          <w:u w:color="000000"/>
        </w:rPr>
        <w:t>缺陷责任期的具体期限：</w:t>
      </w:r>
      <w:r>
        <w:rPr>
          <w:rFonts w:hint="eastAsia" w:ascii="宋体" w:hAnsi="宋体" w:cs="宋体"/>
          <w:color w:val="auto"/>
          <w:szCs w:val="21"/>
          <w:highlight w:val="none"/>
          <w:u w:val="single" w:color="000000"/>
        </w:rPr>
        <w:t xml:space="preserve">  24个月 </w:t>
      </w:r>
      <w:r>
        <w:rPr>
          <w:rFonts w:hint="eastAsia" w:ascii="宋体" w:hAnsi="宋体" w:cs="宋体"/>
          <w:b/>
          <w:bCs/>
          <w:color w:val="auto"/>
          <w:szCs w:val="21"/>
          <w:highlight w:val="none"/>
          <w:u w:color="000000"/>
        </w:rPr>
        <w:t>。详见《工程质量保修书》。</w:t>
      </w:r>
    </w:p>
    <w:p w14:paraId="6E0C7006">
      <w:pPr>
        <w:snapToGrid w:val="0"/>
        <w:spacing w:line="360" w:lineRule="auto"/>
        <w:ind w:firstLine="34"/>
        <w:rPr>
          <w:rFonts w:ascii="宋体" w:hAnsi="宋体" w:cs="宋体"/>
          <w:color w:val="auto"/>
          <w:szCs w:val="21"/>
          <w:highlight w:val="none"/>
          <w:u w:color="000000"/>
        </w:rPr>
      </w:pPr>
      <w:r>
        <w:rPr>
          <w:rFonts w:hint="eastAsia" w:ascii="宋体" w:hAnsi="宋体" w:cs="宋体"/>
          <w:color w:val="auto"/>
          <w:szCs w:val="21"/>
          <w:highlight w:val="none"/>
          <w:u w:color="000000"/>
        </w:rPr>
        <w:t>15.2 质量保证金</w:t>
      </w:r>
    </w:p>
    <w:p w14:paraId="2BCCE89C">
      <w:pPr>
        <w:snapToGrid w:val="0"/>
        <w:spacing w:line="360" w:lineRule="auto"/>
        <w:ind w:firstLine="420" w:firstLineChars="200"/>
        <w:jc w:val="left"/>
        <w:rPr>
          <w:rFonts w:ascii="宋体" w:hAnsi="宋体" w:cs="宋体"/>
          <w:color w:val="auto"/>
          <w:szCs w:val="21"/>
          <w:highlight w:val="none"/>
          <w:u w:color="000000"/>
        </w:rPr>
      </w:pPr>
      <w:r>
        <w:rPr>
          <w:rFonts w:hint="eastAsia" w:ascii="宋体" w:hAnsi="宋体" w:cs="宋体"/>
          <w:color w:val="auto"/>
          <w:szCs w:val="21"/>
          <w:highlight w:val="none"/>
        </w:rPr>
        <w:t>关于是否扣留质量保证金的约定：</w:t>
      </w:r>
      <w:r>
        <w:rPr>
          <w:rFonts w:hint="eastAsia" w:ascii="宋体" w:hAnsi="宋体" w:cs="宋体"/>
          <w:color w:val="auto"/>
          <w:szCs w:val="21"/>
          <w:highlight w:val="none"/>
          <w:u w:val="single"/>
        </w:rPr>
        <w:t xml:space="preserve"> 不扣留  </w:t>
      </w:r>
      <w:r>
        <w:rPr>
          <w:rFonts w:hint="eastAsia" w:ascii="宋体" w:hAnsi="宋体" w:cs="宋体"/>
          <w:color w:val="auto"/>
          <w:szCs w:val="21"/>
          <w:highlight w:val="none"/>
        </w:rPr>
        <w:t>。在工程项目竣工前，承包人按专用合同条款第3.7条提供履约担保的，发包人不得同时预留工程质量保证金。</w:t>
      </w:r>
    </w:p>
    <w:p w14:paraId="69BCED50">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15.3.1 承包人提供质量保证金的方式</w:t>
      </w:r>
    </w:p>
    <w:p w14:paraId="256CABBB">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质量保证金采用以下第</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种方式：</w:t>
      </w:r>
    </w:p>
    <w:p w14:paraId="5D2B7D46">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（1）质量保证金保函，保证金额为：</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 xml:space="preserve">； </w:t>
      </w:r>
    </w:p>
    <w:p w14:paraId="35B8E316">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（2）</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color="000000"/>
        </w:rPr>
        <w:t>%的工程款；</w:t>
      </w:r>
    </w:p>
    <w:p w14:paraId="387DA910">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（3）其他方式:</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w:t>
      </w:r>
    </w:p>
    <w:p w14:paraId="2776EF9A">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 xml:space="preserve">15.3.2 质量保证金的扣留 </w:t>
      </w:r>
    </w:p>
    <w:p w14:paraId="5AF83216">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质量保证金的扣留采取以下第</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种方式：</w:t>
      </w:r>
    </w:p>
    <w:p w14:paraId="118F9437">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（1）在支付工程进度款时逐次扣留，在此情形下，质量保证金的计算基数不包括预付款的支付、扣回以及价格调整的金额；</w:t>
      </w:r>
    </w:p>
    <w:p w14:paraId="42A25E53">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（2）工程竣工结算时一次性扣留质量保证金；</w:t>
      </w:r>
    </w:p>
    <w:p w14:paraId="36D46413">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（3）其他扣留方式:</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w:t>
      </w:r>
    </w:p>
    <w:p w14:paraId="30818FEC">
      <w:pPr>
        <w:snapToGrid w:val="0"/>
        <w:spacing w:line="360" w:lineRule="auto"/>
        <w:ind w:firstLine="34"/>
        <w:jc w:val="left"/>
        <w:rPr>
          <w:rFonts w:ascii="宋体" w:hAnsi="宋体" w:cs="宋体"/>
          <w:color w:val="auto"/>
          <w:szCs w:val="21"/>
          <w:highlight w:val="none"/>
          <w:u w:val="single" w:color="000000"/>
        </w:rPr>
      </w:pPr>
      <w:r>
        <w:rPr>
          <w:rFonts w:hint="eastAsia" w:ascii="宋体" w:hAnsi="宋体" w:cs="宋体"/>
          <w:color w:val="auto"/>
          <w:szCs w:val="21"/>
          <w:highlight w:val="none"/>
          <w:u w:color="000000"/>
        </w:rPr>
        <w:t>关于质量保证金的补充约定：</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w:t>
      </w:r>
    </w:p>
    <w:p w14:paraId="07403F57">
      <w:pPr>
        <w:snapToGrid w:val="0"/>
        <w:spacing w:line="360" w:lineRule="auto"/>
        <w:ind w:firstLine="34"/>
        <w:rPr>
          <w:rFonts w:ascii="宋体" w:hAnsi="宋体" w:cs="宋体"/>
          <w:color w:val="auto"/>
          <w:szCs w:val="21"/>
          <w:highlight w:val="none"/>
          <w:u w:color="000000"/>
        </w:rPr>
      </w:pPr>
      <w:r>
        <w:rPr>
          <w:rFonts w:hint="eastAsia" w:ascii="宋体" w:hAnsi="宋体" w:cs="宋体"/>
          <w:color w:val="auto"/>
          <w:szCs w:val="21"/>
          <w:highlight w:val="none"/>
          <w:u w:color="000000"/>
        </w:rPr>
        <w:t>15.4保修</w:t>
      </w:r>
    </w:p>
    <w:p w14:paraId="4DC08192">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15.4.1 保修责任</w:t>
      </w:r>
    </w:p>
    <w:p w14:paraId="251A96CA">
      <w:pPr>
        <w:snapToGrid w:val="0"/>
        <w:spacing w:line="360" w:lineRule="auto"/>
        <w:ind w:firstLine="34"/>
        <w:jc w:val="left"/>
        <w:rPr>
          <w:rFonts w:ascii="宋体" w:hAnsi="宋体" w:cs="宋体"/>
          <w:color w:val="auto"/>
          <w:szCs w:val="21"/>
          <w:highlight w:val="none"/>
          <w:u w:val="single" w:color="000000"/>
        </w:rPr>
      </w:pPr>
      <w:r>
        <w:rPr>
          <w:rFonts w:hint="eastAsia" w:ascii="宋体" w:hAnsi="宋体" w:cs="宋体"/>
          <w:color w:val="auto"/>
          <w:szCs w:val="21"/>
          <w:highlight w:val="none"/>
          <w:u w:color="000000"/>
        </w:rPr>
        <w:t>工程保修期为：</w:t>
      </w:r>
      <w:r>
        <w:rPr>
          <w:rFonts w:hint="eastAsia" w:ascii="宋体" w:hAnsi="宋体" w:cs="宋体"/>
          <w:color w:val="auto"/>
          <w:szCs w:val="21"/>
          <w:highlight w:val="none"/>
          <w:u w:val="single" w:color="000000"/>
        </w:rPr>
        <w:t xml:space="preserve">  按附件3工程质量保修书规定执行</w:t>
      </w:r>
      <w:r>
        <w:rPr>
          <w:rFonts w:hint="eastAsia" w:ascii="宋体" w:hAnsi="宋体" w:cs="宋体"/>
          <w:color w:val="auto"/>
          <w:szCs w:val="21"/>
          <w:highlight w:val="none"/>
          <w:u w:color="000000"/>
        </w:rPr>
        <w:t>。</w:t>
      </w:r>
    </w:p>
    <w:p w14:paraId="38F5A650">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15.4.3 修复通知</w:t>
      </w:r>
    </w:p>
    <w:p w14:paraId="343A5D5E">
      <w:pPr>
        <w:snapToGrid w:val="0"/>
        <w:spacing w:line="360" w:lineRule="auto"/>
        <w:ind w:firstLine="34"/>
        <w:jc w:val="left"/>
        <w:rPr>
          <w:rFonts w:ascii="宋体" w:hAnsi="宋体" w:cs="宋体"/>
          <w:color w:val="auto"/>
          <w:szCs w:val="21"/>
          <w:highlight w:val="none"/>
          <w:u w:val="single" w:color="000000"/>
        </w:rPr>
      </w:pPr>
      <w:r>
        <w:rPr>
          <w:rFonts w:hint="eastAsia" w:ascii="宋体" w:hAnsi="宋体" w:cs="宋体"/>
          <w:color w:val="auto"/>
          <w:szCs w:val="21"/>
          <w:highlight w:val="none"/>
          <w:u w:color="000000"/>
        </w:rPr>
        <w:t>承包人收到保修通知并到达工程现场的合理时间：</w:t>
      </w:r>
      <w:r>
        <w:rPr>
          <w:rFonts w:hint="eastAsia" w:ascii="宋体" w:hAnsi="宋体" w:cs="宋体"/>
          <w:color w:val="auto"/>
          <w:szCs w:val="21"/>
          <w:highlight w:val="none"/>
          <w:u w:val="single" w:color="000000"/>
        </w:rPr>
        <w:t xml:space="preserve">   48 小时</w:t>
      </w:r>
      <w:r>
        <w:rPr>
          <w:rFonts w:hint="eastAsia" w:ascii="宋体" w:hAnsi="宋体" w:cs="宋体"/>
          <w:color w:val="auto"/>
          <w:szCs w:val="21"/>
          <w:highlight w:val="none"/>
          <w:u w:color="000000"/>
        </w:rPr>
        <w:t>。</w:t>
      </w:r>
    </w:p>
    <w:p w14:paraId="6E5B7FE6">
      <w:pPr>
        <w:keepNext/>
        <w:keepLines/>
        <w:snapToGrid w:val="0"/>
        <w:spacing w:line="360" w:lineRule="auto"/>
        <w:ind w:firstLine="34"/>
        <w:outlineLvl w:val="3"/>
        <w:rPr>
          <w:rFonts w:ascii="宋体" w:hAnsi="宋体" w:cs="宋体"/>
          <w:color w:val="auto"/>
          <w:szCs w:val="21"/>
          <w:highlight w:val="none"/>
          <w:u w:color="000000"/>
        </w:rPr>
      </w:pPr>
      <w:r>
        <w:rPr>
          <w:rFonts w:hint="eastAsia" w:ascii="宋体" w:hAnsi="宋体" w:cs="宋体"/>
          <w:color w:val="auto"/>
          <w:szCs w:val="21"/>
          <w:highlight w:val="none"/>
          <w:u w:color="000000"/>
        </w:rPr>
        <w:t>16. 违约</w:t>
      </w:r>
    </w:p>
    <w:p w14:paraId="58BE83E6">
      <w:pPr>
        <w:snapToGrid w:val="0"/>
        <w:spacing w:line="360" w:lineRule="auto"/>
        <w:ind w:firstLine="34"/>
        <w:rPr>
          <w:rFonts w:ascii="宋体" w:hAnsi="宋体" w:cs="宋体"/>
          <w:color w:val="auto"/>
          <w:szCs w:val="21"/>
          <w:highlight w:val="none"/>
          <w:u w:color="000000"/>
        </w:rPr>
      </w:pPr>
      <w:r>
        <w:rPr>
          <w:rFonts w:hint="eastAsia" w:ascii="宋体" w:hAnsi="宋体" w:cs="宋体"/>
          <w:color w:val="auto"/>
          <w:szCs w:val="21"/>
          <w:highlight w:val="none"/>
          <w:u w:color="000000"/>
        </w:rPr>
        <w:t>16.1 发包人违约</w:t>
      </w:r>
    </w:p>
    <w:p w14:paraId="012C3CBD">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16.1.1发包人违约的情形</w:t>
      </w:r>
    </w:p>
    <w:p w14:paraId="137ABE8A">
      <w:pPr>
        <w:snapToGrid w:val="0"/>
        <w:spacing w:line="360" w:lineRule="auto"/>
        <w:ind w:firstLine="34"/>
        <w:jc w:val="left"/>
        <w:rPr>
          <w:rFonts w:hint="eastAsia" w:ascii="宋体" w:hAnsi="宋体" w:cs="宋体"/>
          <w:color w:val="auto"/>
          <w:szCs w:val="21"/>
          <w:highlight w:val="none"/>
          <w:u w:color="000000"/>
        </w:rPr>
      </w:pPr>
      <w:r>
        <w:rPr>
          <w:rFonts w:hint="eastAsia" w:ascii="宋体" w:hAnsi="宋体" w:cs="宋体"/>
          <w:color w:val="auto"/>
          <w:szCs w:val="21"/>
          <w:highlight w:val="none"/>
          <w:u w:color="000000"/>
        </w:rPr>
        <w:t>发包人违约的其他情形：</w:t>
      </w:r>
      <w:r>
        <w:rPr>
          <w:rFonts w:hint="eastAsia" w:ascii="宋体" w:hAnsi="宋体" w:cs="宋体"/>
          <w:color w:val="auto"/>
          <w:szCs w:val="21"/>
          <w:highlight w:val="none"/>
          <w:u w:val="single" w:color="000000"/>
        </w:rPr>
        <w:t xml:space="preserve">  按通用条款约定     </w:t>
      </w:r>
      <w:r>
        <w:rPr>
          <w:rFonts w:hint="eastAsia" w:ascii="宋体" w:hAnsi="宋体" w:cs="宋体"/>
          <w:color w:val="auto"/>
          <w:szCs w:val="21"/>
          <w:highlight w:val="none"/>
          <w:u w:color="000000"/>
        </w:rPr>
        <w:t>。</w:t>
      </w:r>
    </w:p>
    <w:p w14:paraId="158A098C">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16.1.2 发包人违约的责任</w:t>
      </w:r>
    </w:p>
    <w:p w14:paraId="43FD122A">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发包人违约责任的承担方式和计算方法：</w:t>
      </w:r>
    </w:p>
    <w:p w14:paraId="0FFF3D00">
      <w:pPr>
        <w:snapToGrid w:val="0"/>
        <w:spacing w:line="360" w:lineRule="auto"/>
        <w:ind w:firstLine="34"/>
        <w:jc w:val="left"/>
        <w:rPr>
          <w:rFonts w:ascii="宋体" w:hAnsi="宋体" w:cs="宋体"/>
          <w:color w:val="auto"/>
          <w:szCs w:val="21"/>
          <w:highlight w:val="none"/>
          <w:u w:val="single" w:color="000000"/>
        </w:rPr>
      </w:pPr>
      <w:r>
        <w:rPr>
          <w:rFonts w:hint="eastAsia" w:ascii="宋体" w:hAnsi="宋体" w:cs="宋体"/>
          <w:color w:val="auto"/>
          <w:szCs w:val="21"/>
          <w:highlight w:val="none"/>
          <w:u w:color="000000"/>
        </w:rPr>
        <w:t>（1）因发包人原因未能在计划开工日期前7天内下达开工通知的违约责任：</w:t>
      </w:r>
      <w:r>
        <w:rPr>
          <w:rFonts w:hint="eastAsia" w:ascii="宋体" w:hAnsi="宋体" w:cs="宋体"/>
          <w:color w:val="auto"/>
          <w:szCs w:val="21"/>
          <w:highlight w:val="none"/>
          <w:u w:val="single" w:color="000000"/>
        </w:rPr>
        <w:t>双方另行约定</w:t>
      </w:r>
      <w:r>
        <w:rPr>
          <w:rFonts w:hint="eastAsia" w:ascii="宋体" w:hAnsi="宋体" w:cs="宋体"/>
          <w:color w:val="auto"/>
          <w:szCs w:val="21"/>
          <w:highlight w:val="none"/>
          <w:u w:color="000000"/>
        </w:rPr>
        <w:t>。</w:t>
      </w:r>
    </w:p>
    <w:p w14:paraId="10E820D5">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（2）因发包人原因未能按合同约定支付合同价款的违约责任：</w:t>
      </w:r>
      <w:r>
        <w:rPr>
          <w:rFonts w:hint="eastAsia" w:ascii="宋体" w:hAnsi="宋体" w:cs="宋体"/>
          <w:color w:val="auto"/>
          <w:szCs w:val="21"/>
          <w:highlight w:val="none"/>
          <w:u w:val="single" w:color="000000"/>
        </w:rPr>
        <w:t xml:space="preserve"> 双方另行约定</w:t>
      </w:r>
      <w:r>
        <w:rPr>
          <w:rFonts w:hint="eastAsia" w:ascii="宋体" w:hAnsi="宋体" w:cs="宋体"/>
          <w:color w:val="auto"/>
          <w:szCs w:val="21"/>
          <w:highlight w:val="none"/>
          <w:u w:color="000000"/>
        </w:rPr>
        <w:t>。</w:t>
      </w:r>
    </w:p>
    <w:p w14:paraId="7CEE1596">
      <w:pPr>
        <w:snapToGrid w:val="0"/>
        <w:spacing w:line="360" w:lineRule="auto"/>
        <w:ind w:firstLine="34"/>
        <w:jc w:val="left"/>
        <w:rPr>
          <w:rFonts w:ascii="宋体" w:hAnsi="宋体" w:cs="宋体"/>
          <w:color w:val="auto"/>
          <w:szCs w:val="21"/>
          <w:highlight w:val="none"/>
          <w:u w:val="single" w:color="000000"/>
        </w:rPr>
      </w:pPr>
      <w:r>
        <w:rPr>
          <w:rFonts w:hint="eastAsia" w:ascii="宋体" w:hAnsi="宋体" w:cs="宋体"/>
          <w:color w:val="auto"/>
          <w:szCs w:val="21"/>
          <w:highlight w:val="none"/>
          <w:u w:color="000000"/>
        </w:rPr>
        <w:t>（3）发包人违反第10.1款〔变更的范围〕第（2）项约定，自行实施被取消的工作或转由他人实施的违约责任：</w:t>
      </w:r>
      <w:r>
        <w:rPr>
          <w:rFonts w:hint="eastAsia" w:ascii="宋体" w:hAnsi="宋体" w:cs="宋体"/>
          <w:color w:val="auto"/>
          <w:szCs w:val="21"/>
          <w:highlight w:val="none"/>
          <w:u w:val="single" w:color="000000"/>
        </w:rPr>
        <w:t>双方另行约定</w:t>
      </w:r>
      <w:r>
        <w:rPr>
          <w:rFonts w:hint="eastAsia" w:ascii="宋体" w:hAnsi="宋体" w:cs="宋体"/>
          <w:color w:val="auto"/>
          <w:szCs w:val="21"/>
          <w:highlight w:val="none"/>
          <w:u w:color="000000"/>
        </w:rPr>
        <w:t>。</w:t>
      </w:r>
    </w:p>
    <w:p w14:paraId="3F4A9580">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（4）发包人提供的材料、工程设备的规格、数量或质量不符合合同约定，或因发包人原因导致交货日期延误或交货地点变更等情况的违约责任：</w:t>
      </w:r>
      <w:r>
        <w:rPr>
          <w:rFonts w:hint="eastAsia" w:ascii="宋体" w:hAnsi="宋体" w:cs="宋体"/>
          <w:color w:val="auto"/>
          <w:szCs w:val="21"/>
          <w:highlight w:val="none"/>
          <w:u w:val="single" w:color="000000"/>
        </w:rPr>
        <w:t>双方另行约定</w:t>
      </w:r>
      <w:r>
        <w:rPr>
          <w:rFonts w:hint="eastAsia" w:ascii="宋体" w:hAnsi="宋体" w:cs="宋体"/>
          <w:color w:val="auto"/>
          <w:szCs w:val="21"/>
          <w:highlight w:val="none"/>
          <w:u w:color="000000"/>
        </w:rPr>
        <w:t>。</w:t>
      </w:r>
    </w:p>
    <w:p w14:paraId="3CE58394">
      <w:pPr>
        <w:snapToGrid w:val="0"/>
        <w:spacing w:line="360" w:lineRule="auto"/>
        <w:ind w:firstLine="34"/>
        <w:jc w:val="left"/>
        <w:rPr>
          <w:rFonts w:ascii="宋体" w:hAnsi="宋体" w:cs="宋体"/>
          <w:color w:val="auto"/>
          <w:szCs w:val="21"/>
          <w:highlight w:val="none"/>
          <w:u w:val="single" w:color="000000"/>
        </w:rPr>
      </w:pPr>
      <w:r>
        <w:rPr>
          <w:rFonts w:hint="eastAsia" w:ascii="宋体" w:hAnsi="宋体" w:cs="宋体"/>
          <w:color w:val="auto"/>
          <w:szCs w:val="21"/>
          <w:highlight w:val="none"/>
          <w:u w:color="000000"/>
        </w:rPr>
        <w:t>（5）因发包人违反合同约定造成暂停施工的违约责任：</w:t>
      </w:r>
      <w:r>
        <w:rPr>
          <w:rFonts w:hint="eastAsia" w:ascii="宋体" w:hAnsi="宋体" w:cs="宋体"/>
          <w:color w:val="auto"/>
          <w:szCs w:val="21"/>
          <w:highlight w:val="none"/>
          <w:u w:val="single" w:color="000000"/>
        </w:rPr>
        <w:t>双方另行约定</w:t>
      </w:r>
      <w:r>
        <w:rPr>
          <w:rFonts w:hint="eastAsia" w:ascii="宋体" w:hAnsi="宋体" w:cs="宋体"/>
          <w:color w:val="auto"/>
          <w:szCs w:val="21"/>
          <w:highlight w:val="none"/>
          <w:u w:color="000000"/>
        </w:rPr>
        <w:t>。</w:t>
      </w:r>
    </w:p>
    <w:p w14:paraId="79F83AE0">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（6）发包人无正当理由没有在约定期限内发出复工指示，导致承包人无法复工的违约责任：</w:t>
      </w:r>
      <w:r>
        <w:rPr>
          <w:rFonts w:hint="eastAsia" w:ascii="宋体" w:hAnsi="宋体" w:cs="宋体"/>
          <w:color w:val="auto"/>
          <w:szCs w:val="21"/>
          <w:highlight w:val="none"/>
          <w:u w:val="single" w:color="000000"/>
        </w:rPr>
        <w:t xml:space="preserve"> 双方另行约定 </w:t>
      </w:r>
      <w:r>
        <w:rPr>
          <w:rFonts w:hint="eastAsia" w:ascii="宋体" w:hAnsi="宋体" w:cs="宋体"/>
          <w:color w:val="auto"/>
          <w:szCs w:val="21"/>
          <w:highlight w:val="none"/>
          <w:u w:color="000000"/>
        </w:rPr>
        <w:t>。</w:t>
      </w:r>
    </w:p>
    <w:p w14:paraId="36650549">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（7）其他：</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w:t>
      </w:r>
    </w:p>
    <w:p w14:paraId="3C809C6F">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16.1.3 因发包人违约解除合同</w:t>
      </w:r>
    </w:p>
    <w:p w14:paraId="11C81A23">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承包人按16.1.1项〔发包人违约的情形〕约定暂停施工满</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天后发包人仍不纠正其违约行为并致使合同目的不能实现的，承包人有权解除合同。</w:t>
      </w:r>
    </w:p>
    <w:p w14:paraId="2CF1BB38">
      <w:pPr>
        <w:snapToGrid w:val="0"/>
        <w:spacing w:line="360" w:lineRule="auto"/>
        <w:ind w:firstLine="34"/>
        <w:rPr>
          <w:rFonts w:ascii="宋体" w:hAnsi="宋体" w:cs="宋体"/>
          <w:color w:val="auto"/>
          <w:szCs w:val="21"/>
          <w:highlight w:val="none"/>
          <w:u w:color="000000"/>
        </w:rPr>
      </w:pPr>
      <w:r>
        <w:rPr>
          <w:rFonts w:hint="eastAsia" w:ascii="宋体" w:hAnsi="宋体" w:cs="宋体"/>
          <w:color w:val="auto"/>
          <w:szCs w:val="21"/>
          <w:highlight w:val="none"/>
          <w:u w:color="000000"/>
        </w:rPr>
        <w:t>16.2 承包人违约</w:t>
      </w:r>
    </w:p>
    <w:p w14:paraId="48ED5ED0">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16.2.1 承包人违约的情形</w:t>
      </w:r>
    </w:p>
    <w:p w14:paraId="564DA632">
      <w:pPr>
        <w:snapToGrid w:val="0"/>
        <w:spacing w:line="360" w:lineRule="auto"/>
        <w:ind w:left="560" w:firstLine="34"/>
        <w:jc w:val="left"/>
        <w:rPr>
          <w:rFonts w:ascii="宋体" w:hAnsi="宋体" w:cs="宋体"/>
          <w:b/>
          <w:bCs/>
          <w:color w:val="auto"/>
          <w:szCs w:val="21"/>
          <w:highlight w:val="none"/>
          <w:u w:val="single" w:color="000000"/>
        </w:rPr>
      </w:pPr>
      <w:r>
        <w:rPr>
          <w:rFonts w:hint="eastAsia" w:ascii="宋体" w:hAnsi="宋体" w:cs="宋体"/>
          <w:color w:val="auto"/>
          <w:szCs w:val="21"/>
          <w:highlight w:val="none"/>
          <w:u w:color="000000"/>
        </w:rPr>
        <w:t>承包人违约的其他情形：</w:t>
      </w:r>
      <w:r>
        <w:rPr>
          <w:rFonts w:hint="eastAsia" w:ascii="宋体" w:hAnsi="宋体" w:cs="宋体"/>
          <w:b/>
          <w:bCs/>
          <w:color w:val="auto"/>
          <w:szCs w:val="21"/>
          <w:highlight w:val="none"/>
          <w:u w:val="single" w:color="000000"/>
        </w:rPr>
        <w:t>（1）承包人应在施工合同签订后5日内按有关规定交纳民工工资保障金，决不影响发包人办理施工许可证等证件，否则发包人将扣除承包人的其它全部履约保证金；</w:t>
      </w:r>
    </w:p>
    <w:p w14:paraId="02849C20">
      <w:pPr>
        <w:snapToGrid w:val="0"/>
        <w:spacing w:line="360" w:lineRule="auto"/>
        <w:ind w:left="560" w:firstLine="34"/>
        <w:jc w:val="left"/>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2）本合同在实施中，如承包人的施工队伍素质、力量、机械配备不符合工程施工需要，造成现场管理混乱，工程质量和进度明显达不到预定计划时，发包人有权要求其整改并充实施工力量，承包人必须接受，否则作违约处理，直至终止合同，并赔偿发包人损失；</w:t>
      </w:r>
    </w:p>
    <w:p w14:paraId="2904F06B">
      <w:pPr>
        <w:snapToGrid w:val="0"/>
        <w:spacing w:line="360" w:lineRule="auto"/>
        <w:ind w:left="560" w:firstLine="34"/>
        <w:jc w:val="left"/>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3）承包人不得将本工程转包。如将工程转包，发包人有权终止施工合同，由此所发生的一切损失均由承包人承担。特殊专业辅助工程分包，未经发包人同意的，不得分包。否则发包人有权终止合同，由此所发生的一切损失均由承包人承担，并处以转包（分包）项目金额5‰以上10‰以下违约金；</w:t>
      </w:r>
    </w:p>
    <w:p w14:paraId="3B4CBCCE">
      <w:pPr>
        <w:snapToGrid w:val="0"/>
        <w:spacing w:line="360" w:lineRule="auto"/>
        <w:ind w:left="560" w:firstLine="34"/>
        <w:jc w:val="left"/>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4）在合同执行过程中，承包人如果用行贿、送礼或其他不正当手段企图影响或已经影响了发包人代表或监理人员行为和欲获得超出合同规定以外的额外费用，则发包人除按有关规定严肃处理当事人（含发包人人员和监理人员）外，承包人对上述行为造成的工程损害、发包人的经济损失等，承包人应负一切责任，并予赔偿。情节严重者，发包人有权终止承包人在本合同项下的承包；</w:t>
      </w:r>
    </w:p>
    <w:p w14:paraId="2036D333">
      <w:pPr>
        <w:snapToGrid w:val="0"/>
        <w:spacing w:line="360" w:lineRule="auto"/>
        <w:ind w:left="560" w:firstLine="34"/>
        <w:jc w:val="left"/>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 xml:space="preserve">（5）本工程若有风险控制金的，中标后，若中标人未能在合同签订前提交风险控制金的，将废除中标人资格；如承包人未能完成本工程施工的，除双方合同条款约定外，其风险控制金也将扣除。风险控制金的退还同履约保证金 </w:t>
      </w:r>
      <w:r>
        <w:rPr>
          <w:rFonts w:hint="eastAsia" w:ascii="宋体" w:hAnsi="宋体" w:cs="宋体"/>
          <w:b/>
          <w:bCs/>
          <w:color w:val="auto"/>
          <w:szCs w:val="21"/>
          <w:highlight w:val="none"/>
          <w:u w:color="000000"/>
        </w:rPr>
        <w:t>。</w:t>
      </w:r>
    </w:p>
    <w:p w14:paraId="1700CB82">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16.2.2承包人违约的责任</w:t>
      </w:r>
    </w:p>
    <w:p w14:paraId="4DA87A09">
      <w:pPr>
        <w:snapToGrid w:val="0"/>
        <w:spacing w:line="360" w:lineRule="auto"/>
        <w:ind w:left="560"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承包人违约责任的承担方式和计算方法：</w:t>
      </w:r>
      <w:r>
        <w:rPr>
          <w:rFonts w:hint="eastAsia" w:ascii="宋体" w:hAnsi="宋体" w:cs="宋体"/>
          <w:b/>
          <w:bCs/>
          <w:color w:val="auto"/>
          <w:szCs w:val="21"/>
          <w:highlight w:val="none"/>
          <w:u w:val="single" w:color="000000"/>
        </w:rPr>
        <w:t>承包人工期每延误一天按结算总价的1％进行处罚，并扣除履约保证金。</w:t>
      </w:r>
      <w:r>
        <w:rPr>
          <w:rFonts w:hint="eastAsia" w:ascii="宋体" w:hAnsi="宋体" w:cs="宋体"/>
          <w:color w:val="auto"/>
          <w:szCs w:val="21"/>
          <w:highlight w:val="none"/>
          <w:u w:color="000000"/>
        </w:rPr>
        <w:t xml:space="preserve">    </w:t>
      </w:r>
    </w:p>
    <w:p w14:paraId="4A9B8680">
      <w:pPr>
        <w:snapToGrid w:val="0"/>
        <w:spacing w:line="360" w:lineRule="auto"/>
        <w:ind w:left="560" w:firstLine="34"/>
        <w:jc w:val="left"/>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本合同通用条款约定承包人违约应承担的违约责任：因承包人原因造成工程质量问题，由承包人负责整改工作及相关费用，直至达到合格标准。因此造成的工期延误和损失，由承包人承担一切后果。承包人不修复或无法修复的,发包人有权自行委托有资质单位修复,修复费用及造成的损失由承包人承担。同时由发包人没收履约保证金。赔偿因工程质量原因而引起的一切损失，并向发包人支付不超过合同总价20%的违约金，同时由发包人没收质量履约保证金。</w:t>
      </w:r>
    </w:p>
    <w:p w14:paraId="417A20A0">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16.2.3 因承包人违约解除合同</w:t>
      </w:r>
    </w:p>
    <w:p w14:paraId="16F97268">
      <w:pPr>
        <w:snapToGrid w:val="0"/>
        <w:spacing w:line="360" w:lineRule="auto"/>
        <w:ind w:firstLine="34"/>
        <w:rPr>
          <w:rFonts w:ascii="宋体" w:hAnsi="宋体" w:cs="宋体"/>
          <w:color w:val="auto"/>
          <w:szCs w:val="21"/>
          <w:highlight w:val="none"/>
          <w:u w:val="single" w:color="000000"/>
        </w:rPr>
      </w:pPr>
      <w:r>
        <w:rPr>
          <w:rFonts w:hint="eastAsia" w:ascii="宋体" w:hAnsi="宋体" w:cs="宋体"/>
          <w:color w:val="auto"/>
          <w:szCs w:val="21"/>
          <w:highlight w:val="none"/>
          <w:u w:color="000000"/>
        </w:rPr>
        <w:t>关于承包人违约解除合同的特别约定：</w:t>
      </w:r>
      <w:r>
        <w:rPr>
          <w:rFonts w:hint="eastAsia" w:ascii="宋体" w:hAnsi="宋体" w:cs="宋体"/>
          <w:color w:val="auto"/>
          <w:szCs w:val="21"/>
          <w:highlight w:val="none"/>
          <w:u w:val="single" w:color="000000"/>
        </w:rPr>
        <w:t>《通用合同条款》16.2.3条执行和《专用合同条款》16.2.1款执行</w:t>
      </w:r>
      <w:r>
        <w:rPr>
          <w:rFonts w:hint="eastAsia" w:ascii="宋体" w:hAnsi="宋体" w:cs="宋体"/>
          <w:color w:val="auto"/>
          <w:szCs w:val="21"/>
          <w:highlight w:val="none"/>
          <w:u w:color="000000"/>
        </w:rPr>
        <w:t>。</w:t>
      </w:r>
    </w:p>
    <w:p w14:paraId="1A46F191">
      <w:pPr>
        <w:snapToGrid w:val="0"/>
        <w:spacing w:line="360" w:lineRule="auto"/>
        <w:ind w:firstLine="34"/>
        <w:rPr>
          <w:rFonts w:ascii="宋体" w:hAnsi="宋体" w:cs="宋体"/>
          <w:color w:val="auto"/>
          <w:szCs w:val="21"/>
          <w:highlight w:val="none"/>
          <w:u w:color="000000"/>
        </w:rPr>
      </w:pPr>
      <w:r>
        <w:rPr>
          <w:rFonts w:hint="eastAsia" w:ascii="宋体" w:hAnsi="宋体" w:cs="宋体"/>
          <w:color w:val="auto"/>
          <w:szCs w:val="21"/>
          <w:highlight w:val="none"/>
          <w:u w:color="000000"/>
        </w:rPr>
        <w:t>发包人继续使用承包人在施工现场的材料、设备、临时工程、承包人文件和由承包人或以其名义编制的其他文件的费用承担方式：</w:t>
      </w:r>
      <w:r>
        <w:rPr>
          <w:rFonts w:hint="eastAsia" w:ascii="宋体" w:hAnsi="宋体" w:cs="宋体"/>
          <w:color w:val="auto"/>
          <w:szCs w:val="21"/>
          <w:highlight w:val="none"/>
          <w:u w:val="single" w:color="000000"/>
        </w:rPr>
        <w:t xml:space="preserve">  由承包人承担相应费用  </w:t>
      </w:r>
      <w:r>
        <w:rPr>
          <w:rFonts w:hint="eastAsia" w:ascii="宋体" w:hAnsi="宋体" w:cs="宋体"/>
          <w:color w:val="auto"/>
          <w:szCs w:val="21"/>
          <w:highlight w:val="none"/>
          <w:u w:color="000000"/>
        </w:rPr>
        <w:t>。</w:t>
      </w:r>
    </w:p>
    <w:p w14:paraId="17BC9EFC">
      <w:pPr>
        <w:keepNext/>
        <w:keepLines/>
        <w:tabs>
          <w:tab w:val="left" w:pos="630"/>
        </w:tabs>
        <w:snapToGrid w:val="0"/>
        <w:spacing w:line="360" w:lineRule="auto"/>
        <w:ind w:firstLine="34"/>
        <w:outlineLvl w:val="3"/>
        <w:rPr>
          <w:rFonts w:ascii="宋体" w:hAnsi="宋体" w:cs="宋体"/>
          <w:color w:val="auto"/>
          <w:szCs w:val="21"/>
          <w:highlight w:val="none"/>
          <w:u w:color="000000"/>
        </w:rPr>
      </w:pPr>
      <w:r>
        <w:rPr>
          <w:rFonts w:hint="eastAsia" w:ascii="宋体" w:hAnsi="宋体" w:cs="宋体"/>
          <w:color w:val="auto"/>
          <w:szCs w:val="21"/>
          <w:highlight w:val="none"/>
          <w:u w:color="000000"/>
        </w:rPr>
        <w:t xml:space="preserve">17. 不可抗力 </w:t>
      </w:r>
    </w:p>
    <w:p w14:paraId="26D7FB86">
      <w:pPr>
        <w:snapToGrid w:val="0"/>
        <w:spacing w:line="360" w:lineRule="auto"/>
        <w:ind w:firstLine="34"/>
        <w:rPr>
          <w:rFonts w:ascii="宋体" w:hAnsi="宋体" w:cs="宋体"/>
          <w:color w:val="auto"/>
          <w:szCs w:val="21"/>
          <w:highlight w:val="none"/>
          <w:u w:color="000000"/>
        </w:rPr>
      </w:pPr>
      <w:r>
        <w:rPr>
          <w:rFonts w:hint="eastAsia" w:ascii="宋体" w:hAnsi="宋体" w:cs="宋体"/>
          <w:color w:val="auto"/>
          <w:szCs w:val="21"/>
          <w:highlight w:val="none"/>
          <w:u w:color="000000"/>
        </w:rPr>
        <w:t>17.1 不可抗力的确认</w:t>
      </w:r>
    </w:p>
    <w:p w14:paraId="7B905CA7">
      <w:pPr>
        <w:snapToGrid w:val="0"/>
        <w:spacing w:line="360" w:lineRule="auto"/>
        <w:ind w:firstLine="34"/>
        <w:jc w:val="left"/>
        <w:rPr>
          <w:rFonts w:ascii="宋体" w:hAnsi="宋体" w:cs="宋体"/>
          <w:color w:val="auto"/>
          <w:szCs w:val="21"/>
          <w:highlight w:val="none"/>
          <w:u w:val="single" w:color="000000"/>
        </w:rPr>
      </w:pPr>
      <w:r>
        <w:rPr>
          <w:rFonts w:hint="eastAsia" w:ascii="宋体" w:hAnsi="宋体" w:cs="宋体"/>
          <w:color w:val="auto"/>
          <w:szCs w:val="21"/>
          <w:highlight w:val="none"/>
          <w:u w:color="000000"/>
        </w:rPr>
        <w:t>除通用合同条款约定的不可抗力事件之外，视为不可抗力的其他情形：</w:t>
      </w:r>
      <w:r>
        <w:rPr>
          <w:rFonts w:hint="eastAsia" w:ascii="宋体" w:hAnsi="宋体" w:cs="宋体"/>
          <w:color w:val="auto"/>
          <w:szCs w:val="21"/>
          <w:highlight w:val="none"/>
          <w:u w:val="single" w:color="000000"/>
        </w:rPr>
        <w:t xml:space="preserve"> 按通用条款执行 </w:t>
      </w:r>
      <w:r>
        <w:rPr>
          <w:rFonts w:hint="eastAsia" w:ascii="宋体" w:hAnsi="宋体" w:cs="宋体"/>
          <w:color w:val="auto"/>
          <w:szCs w:val="21"/>
          <w:highlight w:val="none"/>
          <w:u w:color="000000"/>
        </w:rPr>
        <w:t>。</w:t>
      </w:r>
    </w:p>
    <w:p w14:paraId="38CC35F4">
      <w:pPr>
        <w:snapToGrid w:val="0"/>
        <w:spacing w:line="360" w:lineRule="auto"/>
        <w:ind w:firstLine="34"/>
        <w:rPr>
          <w:rFonts w:ascii="宋体" w:hAnsi="宋体" w:cs="宋体"/>
          <w:color w:val="auto"/>
          <w:szCs w:val="21"/>
          <w:highlight w:val="none"/>
          <w:u w:color="000000"/>
        </w:rPr>
      </w:pPr>
      <w:r>
        <w:rPr>
          <w:rFonts w:hint="eastAsia" w:ascii="宋体" w:hAnsi="宋体" w:cs="宋体"/>
          <w:color w:val="auto"/>
          <w:szCs w:val="21"/>
          <w:highlight w:val="none"/>
          <w:u w:color="000000"/>
        </w:rPr>
        <w:t>17.2因不可抗力解除合同</w:t>
      </w:r>
    </w:p>
    <w:p w14:paraId="5A0A7574">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合同解除后，发包人应在商定或确定发包人应支付款项后</w:t>
      </w:r>
      <w:r>
        <w:rPr>
          <w:rFonts w:hint="eastAsia" w:ascii="宋体" w:hAnsi="宋体" w:cs="宋体"/>
          <w:color w:val="auto"/>
          <w:szCs w:val="21"/>
          <w:highlight w:val="none"/>
          <w:u w:val="single" w:color="000000"/>
        </w:rPr>
        <w:t xml:space="preserve"> 28 </w:t>
      </w:r>
      <w:r>
        <w:rPr>
          <w:rFonts w:hint="eastAsia" w:ascii="宋体" w:hAnsi="宋体" w:cs="宋体"/>
          <w:color w:val="auto"/>
          <w:szCs w:val="21"/>
          <w:highlight w:val="none"/>
          <w:u w:color="000000"/>
        </w:rPr>
        <w:t>天内完成款项的支付。</w:t>
      </w:r>
    </w:p>
    <w:p w14:paraId="0FB3CF7C">
      <w:pPr>
        <w:keepNext/>
        <w:keepLines/>
        <w:snapToGrid w:val="0"/>
        <w:spacing w:line="360" w:lineRule="auto"/>
        <w:ind w:firstLine="34"/>
        <w:outlineLvl w:val="3"/>
        <w:rPr>
          <w:rFonts w:ascii="宋体" w:hAnsi="宋体" w:cs="宋体"/>
          <w:color w:val="auto"/>
          <w:szCs w:val="21"/>
          <w:highlight w:val="none"/>
          <w:u w:color="000000"/>
        </w:rPr>
      </w:pPr>
      <w:r>
        <w:rPr>
          <w:rFonts w:hint="eastAsia" w:ascii="宋体" w:hAnsi="宋体" w:cs="宋体"/>
          <w:color w:val="auto"/>
          <w:szCs w:val="21"/>
          <w:highlight w:val="none"/>
          <w:u w:color="000000"/>
        </w:rPr>
        <w:t>18. 保险</w:t>
      </w:r>
    </w:p>
    <w:p w14:paraId="069FD8A1">
      <w:pPr>
        <w:snapToGrid w:val="0"/>
        <w:spacing w:line="360" w:lineRule="auto"/>
        <w:ind w:firstLine="34"/>
        <w:rPr>
          <w:rFonts w:ascii="宋体" w:hAnsi="宋体" w:cs="宋体"/>
          <w:color w:val="auto"/>
          <w:szCs w:val="21"/>
          <w:highlight w:val="none"/>
          <w:u w:color="000000"/>
        </w:rPr>
      </w:pPr>
      <w:r>
        <w:rPr>
          <w:rFonts w:hint="eastAsia" w:ascii="宋体" w:hAnsi="宋体" w:cs="宋体"/>
          <w:color w:val="auto"/>
          <w:szCs w:val="21"/>
          <w:highlight w:val="none"/>
          <w:u w:color="000000"/>
        </w:rPr>
        <w:t>18.1 工程保险</w:t>
      </w:r>
    </w:p>
    <w:p w14:paraId="4190DB13">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关于工程保险的特别约定：</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w:t>
      </w:r>
    </w:p>
    <w:p w14:paraId="194E9482">
      <w:pPr>
        <w:snapToGrid w:val="0"/>
        <w:spacing w:line="360" w:lineRule="auto"/>
        <w:ind w:firstLine="34"/>
        <w:rPr>
          <w:rFonts w:ascii="宋体" w:hAnsi="宋体" w:cs="宋体"/>
          <w:color w:val="auto"/>
          <w:szCs w:val="21"/>
          <w:highlight w:val="none"/>
          <w:u w:color="000000"/>
        </w:rPr>
      </w:pPr>
      <w:r>
        <w:rPr>
          <w:rFonts w:hint="eastAsia" w:ascii="宋体" w:hAnsi="宋体" w:cs="宋体"/>
          <w:color w:val="auto"/>
          <w:szCs w:val="21"/>
          <w:highlight w:val="none"/>
          <w:u w:color="000000"/>
        </w:rPr>
        <w:t>18.2 其他保险</w:t>
      </w:r>
    </w:p>
    <w:p w14:paraId="740008AE">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关于其他保险的约定：</w:t>
      </w:r>
      <w:r>
        <w:rPr>
          <w:rFonts w:hint="eastAsia" w:ascii="宋体" w:hAnsi="宋体" w:cs="宋体"/>
          <w:color w:val="auto"/>
          <w:szCs w:val="21"/>
          <w:highlight w:val="none"/>
          <w:u w:val="single" w:color="000000"/>
        </w:rPr>
        <w:t xml:space="preserve">  承包人在本工程中参与施工的所有工作人员和工人的人身意外保险由承包人投保,因承包人原因造成的任何事故(包括第三者人员在内)所发生的依法应该支付的损失赔偿费, 抚恤费和法律责任均应由承包人负责, 发包人不承担此等责任   </w:t>
      </w:r>
      <w:r>
        <w:rPr>
          <w:rFonts w:hint="eastAsia" w:ascii="宋体" w:hAnsi="宋体" w:cs="宋体"/>
          <w:color w:val="auto"/>
          <w:szCs w:val="21"/>
          <w:highlight w:val="none"/>
          <w:u w:color="000000"/>
        </w:rPr>
        <w:t>。</w:t>
      </w:r>
    </w:p>
    <w:p w14:paraId="50863866">
      <w:pPr>
        <w:snapToGrid w:val="0"/>
        <w:spacing w:line="360" w:lineRule="auto"/>
        <w:ind w:firstLine="34"/>
        <w:jc w:val="left"/>
        <w:rPr>
          <w:rFonts w:ascii="宋体" w:hAnsi="宋体" w:cs="宋体"/>
          <w:color w:val="auto"/>
          <w:szCs w:val="21"/>
          <w:highlight w:val="none"/>
          <w:u w:val="single" w:color="000000"/>
        </w:rPr>
      </w:pPr>
      <w:r>
        <w:rPr>
          <w:rFonts w:hint="eastAsia" w:ascii="宋体" w:hAnsi="宋体" w:cs="宋体"/>
          <w:color w:val="auto"/>
          <w:szCs w:val="21"/>
          <w:highlight w:val="none"/>
          <w:u w:color="000000"/>
        </w:rPr>
        <w:t>承包人是否应为其施工设备等办理财产保险：</w:t>
      </w:r>
      <w:r>
        <w:rPr>
          <w:rFonts w:hint="eastAsia" w:ascii="宋体" w:hAnsi="宋体" w:cs="宋体"/>
          <w:color w:val="auto"/>
          <w:szCs w:val="21"/>
          <w:highlight w:val="none"/>
          <w:u w:val="single" w:color="000000"/>
        </w:rPr>
        <w:t xml:space="preserve">    是        </w:t>
      </w:r>
      <w:r>
        <w:rPr>
          <w:rFonts w:hint="eastAsia" w:ascii="宋体" w:hAnsi="宋体" w:cs="宋体"/>
          <w:color w:val="auto"/>
          <w:szCs w:val="21"/>
          <w:highlight w:val="none"/>
          <w:u w:color="000000"/>
        </w:rPr>
        <w:t>。</w:t>
      </w:r>
    </w:p>
    <w:p w14:paraId="520348C4">
      <w:pPr>
        <w:snapToGrid w:val="0"/>
        <w:spacing w:line="360" w:lineRule="auto"/>
        <w:ind w:firstLine="34"/>
        <w:rPr>
          <w:rFonts w:ascii="宋体" w:hAnsi="宋体" w:cs="宋体"/>
          <w:color w:val="auto"/>
          <w:szCs w:val="21"/>
          <w:highlight w:val="none"/>
          <w:u w:color="000000"/>
        </w:rPr>
      </w:pPr>
      <w:r>
        <w:rPr>
          <w:rFonts w:hint="eastAsia" w:ascii="宋体" w:hAnsi="宋体" w:cs="宋体"/>
          <w:color w:val="auto"/>
          <w:szCs w:val="21"/>
          <w:highlight w:val="none"/>
          <w:u w:color="000000"/>
        </w:rPr>
        <w:t>18.3 通知义务</w:t>
      </w:r>
    </w:p>
    <w:p w14:paraId="4A5302DE">
      <w:pPr>
        <w:snapToGrid w:val="0"/>
        <w:spacing w:line="360" w:lineRule="auto"/>
        <w:ind w:firstLine="34"/>
        <w:jc w:val="left"/>
        <w:rPr>
          <w:rFonts w:ascii="宋体" w:hAnsi="宋体" w:cs="宋体"/>
          <w:color w:val="auto"/>
          <w:szCs w:val="21"/>
          <w:highlight w:val="none"/>
          <w:u w:val="single" w:color="000000"/>
        </w:rPr>
      </w:pPr>
      <w:r>
        <w:rPr>
          <w:rFonts w:hint="eastAsia" w:ascii="宋体" w:hAnsi="宋体" w:cs="宋体"/>
          <w:color w:val="auto"/>
          <w:szCs w:val="21"/>
          <w:highlight w:val="none"/>
          <w:u w:color="000000"/>
        </w:rPr>
        <w:t>关于变更保险合同时的通知义务的约定：</w:t>
      </w:r>
      <w:r>
        <w:rPr>
          <w:rFonts w:hint="eastAsia" w:ascii="宋体" w:hAnsi="宋体" w:cs="宋体"/>
          <w:color w:val="auto"/>
          <w:szCs w:val="21"/>
          <w:highlight w:val="none"/>
          <w:u w:val="single" w:color="000000"/>
        </w:rPr>
        <w:t xml:space="preserve">    按通用条款执行   </w:t>
      </w:r>
      <w:r>
        <w:rPr>
          <w:rFonts w:hint="eastAsia" w:ascii="宋体" w:hAnsi="宋体" w:cs="宋体"/>
          <w:color w:val="auto"/>
          <w:szCs w:val="21"/>
          <w:highlight w:val="none"/>
          <w:u w:color="000000"/>
        </w:rPr>
        <w:t>。</w:t>
      </w:r>
    </w:p>
    <w:p w14:paraId="0F652E47">
      <w:pPr>
        <w:keepNext/>
        <w:keepLines/>
        <w:snapToGrid w:val="0"/>
        <w:spacing w:line="360" w:lineRule="auto"/>
        <w:ind w:firstLine="34"/>
        <w:outlineLvl w:val="3"/>
        <w:rPr>
          <w:rFonts w:ascii="宋体" w:hAnsi="宋体" w:cs="宋体"/>
          <w:color w:val="auto"/>
          <w:szCs w:val="21"/>
          <w:highlight w:val="none"/>
          <w:u w:color="000000"/>
        </w:rPr>
      </w:pPr>
      <w:r>
        <w:rPr>
          <w:rFonts w:hint="eastAsia" w:ascii="宋体" w:hAnsi="宋体" w:cs="宋体"/>
          <w:color w:val="auto"/>
          <w:szCs w:val="21"/>
          <w:highlight w:val="none"/>
          <w:u w:color="000000"/>
        </w:rPr>
        <w:t>20. 争议解决</w:t>
      </w:r>
    </w:p>
    <w:p w14:paraId="3E76D758">
      <w:pPr>
        <w:snapToGrid w:val="0"/>
        <w:spacing w:line="360" w:lineRule="auto"/>
        <w:ind w:firstLine="34"/>
        <w:rPr>
          <w:rFonts w:ascii="宋体" w:hAnsi="宋体" w:cs="宋体"/>
          <w:color w:val="auto"/>
          <w:szCs w:val="21"/>
          <w:highlight w:val="none"/>
          <w:u w:color="000000"/>
        </w:rPr>
      </w:pPr>
      <w:r>
        <w:rPr>
          <w:rFonts w:hint="eastAsia" w:ascii="宋体" w:hAnsi="宋体" w:cs="宋体"/>
          <w:color w:val="auto"/>
          <w:szCs w:val="21"/>
          <w:highlight w:val="none"/>
          <w:u w:color="000000"/>
        </w:rPr>
        <w:t>20.3 争议评审</w:t>
      </w:r>
    </w:p>
    <w:p w14:paraId="54AC66E0">
      <w:pPr>
        <w:snapToGrid w:val="0"/>
        <w:spacing w:line="360" w:lineRule="auto"/>
        <w:ind w:left="199" w:firstLine="34"/>
        <w:jc w:val="left"/>
        <w:rPr>
          <w:rFonts w:ascii="宋体" w:hAnsi="宋体" w:cs="宋体"/>
          <w:color w:val="auto"/>
          <w:szCs w:val="21"/>
          <w:highlight w:val="none"/>
          <w:u w:val="single" w:color="000000"/>
        </w:rPr>
      </w:pPr>
      <w:r>
        <w:rPr>
          <w:rFonts w:hint="eastAsia" w:ascii="宋体" w:hAnsi="宋体" w:cs="宋体"/>
          <w:color w:val="auto"/>
          <w:szCs w:val="21"/>
          <w:highlight w:val="none"/>
          <w:u w:color="000000"/>
        </w:rPr>
        <w:t>合同当事人是否同意将工程争议提交争议评审小组决定：</w:t>
      </w:r>
      <w:r>
        <w:rPr>
          <w:rFonts w:hint="eastAsia" w:ascii="宋体" w:hAnsi="宋体" w:cs="宋体"/>
          <w:color w:val="auto"/>
          <w:szCs w:val="21"/>
          <w:highlight w:val="none"/>
          <w:u w:val="single" w:color="000000"/>
        </w:rPr>
        <w:t xml:space="preserve">否  </w:t>
      </w:r>
      <w:r>
        <w:rPr>
          <w:rFonts w:hint="eastAsia" w:ascii="宋体" w:hAnsi="宋体" w:cs="宋体"/>
          <w:color w:val="auto"/>
          <w:szCs w:val="21"/>
          <w:highlight w:val="none"/>
          <w:u w:color="000000"/>
        </w:rPr>
        <w:t xml:space="preserve">。  </w:t>
      </w:r>
    </w:p>
    <w:p w14:paraId="573CC454">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20.3.1 争议评审小组的确定</w:t>
      </w:r>
    </w:p>
    <w:p w14:paraId="3CBED5ED">
      <w:pPr>
        <w:snapToGrid w:val="0"/>
        <w:spacing w:line="360" w:lineRule="auto"/>
        <w:ind w:firstLine="34"/>
        <w:jc w:val="left"/>
        <w:rPr>
          <w:rFonts w:ascii="宋体" w:hAnsi="宋体" w:cs="宋体"/>
          <w:color w:val="auto"/>
          <w:szCs w:val="21"/>
          <w:highlight w:val="none"/>
          <w:u w:val="single" w:color="000000"/>
        </w:rPr>
      </w:pPr>
      <w:r>
        <w:rPr>
          <w:rFonts w:hint="eastAsia" w:ascii="宋体" w:hAnsi="宋体" w:cs="宋体"/>
          <w:color w:val="auto"/>
          <w:szCs w:val="21"/>
          <w:highlight w:val="none"/>
          <w:u w:color="000000"/>
        </w:rPr>
        <w:t>争议评审小组成员的确定：</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w:t>
      </w:r>
    </w:p>
    <w:p w14:paraId="45B2813E">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选定争议评审员的期限：</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w:t>
      </w:r>
    </w:p>
    <w:p w14:paraId="041E1353">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争议评审小组成员的报酬承担方式：</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w:t>
      </w:r>
    </w:p>
    <w:p w14:paraId="2EC1418D">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其他事项的约定：</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w:t>
      </w:r>
    </w:p>
    <w:p w14:paraId="0E0AE6EF">
      <w:pPr>
        <w:snapToGrid w:val="0"/>
        <w:spacing w:line="360" w:lineRule="auto"/>
        <w:ind w:firstLine="34"/>
        <w:jc w:val="left"/>
        <w:rPr>
          <w:rFonts w:ascii="宋体" w:hAnsi="宋体" w:cs="宋体"/>
          <w:color w:val="auto"/>
          <w:szCs w:val="21"/>
          <w:highlight w:val="none"/>
          <w:u w:val="single" w:color="000000"/>
        </w:rPr>
      </w:pPr>
      <w:r>
        <w:rPr>
          <w:rFonts w:hint="eastAsia" w:ascii="宋体" w:hAnsi="宋体" w:cs="宋体"/>
          <w:color w:val="auto"/>
          <w:szCs w:val="21"/>
          <w:highlight w:val="none"/>
          <w:u w:color="000000"/>
        </w:rPr>
        <w:t>20.3.2 争议评审小组的决定</w:t>
      </w:r>
    </w:p>
    <w:p w14:paraId="69EE0143">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合同当事人关于本项的约定：</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u w:color="000000"/>
        </w:rPr>
        <w:t>。</w:t>
      </w:r>
    </w:p>
    <w:p w14:paraId="04CD22A5">
      <w:pPr>
        <w:snapToGrid w:val="0"/>
        <w:spacing w:line="360" w:lineRule="auto"/>
        <w:ind w:firstLine="34"/>
        <w:rPr>
          <w:rFonts w:ascii="宋体" w:hAnsi="宋体" w:cs="宋体"/>
          <w:color w:val="auto"/>
          <w:szCs w:val="21"/>
          <w:highlight w:val="none"/>
          <w:u w:color="000000"/>
        </w:rPr>
      </w:pPr>
      <w:r>
        <w:rPr>
          <w:rFonts w:hint="eastAsia" w:ascii="宋体" w:hAnsi="宋体" w:cs="宋体"/>
          <w:color w:val="auto"/>
          <w:szCs w:val="21"/>
          <w:highlight w:val="none"/>
          <w:u w:color="000000"/>
        </w:rPr>
        <w:t>20.4仲裁或诉讼</w:t>
      </w:r>
    </w:p>
    <w:p w14:paraId="6217FFCC">
      <w:pPr>
        <w:snapToGrid w:val="0"/>
        <w:spacing w:line="360" w:lineRule="auto"/>
        <w:ind w:firstLine="34"/>
        <w:rPr>
          <w:rFonts w:ascii="宋体" w:hAnsi="宋体" w:cs="宋体"/>
          <w:color w:val="auto"/>
          <w:szCs w:val="21"/>
          <w:highlight w:val="none"/>
          <w:u w:color="000000"/>
        </w:rPr>
      </w:pPr>
      <w:r>
        <w:rPr>
          <w:rFonts w:hint="eastAsia" w:ascii="宋体" w:hAnsi="宋体" w:cs="宋体"/>
          <w:color w:val="auto"/>
          <w:szCs w:val="21"/>
          <w:highlight w:val="none"/>
          <w:u w:color="000000"/>
        </w:rPr>
        <w:t>因合同及合同有关事项发生的争议，双方当事人一致同意提交</w:t>
      </w:r>
      <w:r>
        <w:rPr>
          <w:rFonts w:hint="eastAsia" w:ascii="宋体" w:hAnsi="宋体" w:cs="宋体"/>
          <w:b/>
          <w:bCs/>
          <w:color w:val="auto"/>
          <w:szCs w:val="21"/>
          <w:highlight w:val="none"/>
          <w:u w:color="000000"/>
        </w:rPr>
        <w:t>杭州仲裁委员会申请仲裁</w:t>
      </w:r>
      <w:r>
        <w:rPr>
          <w:rFonts w:hint="eastAsia" w:ascii="宋体" w:hAnsi="宋体" w:cs="宋体"/>
          <w:color w:val="auto"/>
          <w:szCs w:val="21"/>
          <w:highlight w:val="none"/>
          <w:u w:color="000000"/>
        </w:rPr>
        <w:t>；但双方当事人特别约定下列解决方式中第</w:t>
      </w:r>
      <w:r>
        <w:rPr>
          <w:rFonts w:hint="eastAsia" w:ascii="宋体" w:hAnsi="宋体" w:cs="宋体"/>
          <w:color w:val="auto"/>
          <w:szCs w:val="21"/>
          <w:highlight w:val="none"/>
          <w:u w:val="single" w:color="000000"/>
        </w:rPr>
        <w:t xml:space="preserve"> （ 2 ）  </w:t>
      </w:r>
      <w:r>
        <w:rPr>
          <w:rFonts w:hint="eastAsia" w:ascii="宋体" w:hAnsi="宋体" w:cs="宋体"/>
          <w:color w:val="auto"/>
          <w:szCs w:val="21"/>
          <w:highlight w:val="none"/>
          <w:u w:color="000000"/>
        </w:rPr>
        <w:t>种方式解决争议的除外：</w:t>
      </w:r>
    </w:p>
    <w:p w14:paraId="658E22A1">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（1）向</w:t>
      </w:r>
      <w:r>
        <w:rPr>
          <w:rFonts w:hint="eastAsia" w:ascii="宋体" w:hAnsi="宋体" w:cs="宋体"/>
          <w:color w:val="auto"/>
          <w:szCs w:val="21"/>
          <w:highlight w:val="none"/>
          <w:u w:val="single" w:color="000000"/>
        </w:rPr>
        <w:t xml:space="preserve">     杭州     </w:t>
      </w:r>
      <w:r>
        <w:rPr>
          <w:rFonts w:hint="eastAsia" w:ascii="宋体" w:hAnsi="宋体" w:cs="宋体"/>
          <w:color w:val="auto"/>
          <w:szCs w:val="21"/>
          <w:highlight w:val="none"/>
          <w:u w:color="000000"/>
        </w:rPr>
        <w:t>仲裁委员会申请仲裁；</w:t>
      </w:r>
    </w:p>
    <w:p w14:paraId="40B840B7">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（2）依法向</w:t>
      </w:r>
      <w:r>
        <w:rPr>
          <w:rFonts w:hint="eastAsia" w:ascii="宋体" w:hAnsi="宋体" w:cs="宋体"/>
          <w:color w:val="auto"/>
          <w:szCs w:val="21"/>
          <w:highlight w:val="none"/>
          <w:u w:val="single" w:color="000000"/>
        </w:rPr>
        <w:t xml:space="preserve">      工程所在地     </w:t>
      </w:r>
      <w:r>
        <w:rPr>
          <w:rFonts w:hint="eastAsia" w:ascii="宋体" w:hAnsi="宋体" w:cs="宋体"/>
          <w:color w:val="auto"/>
          <w:szCs w:val="21"/>
          <w:highlight w:val="none"/>
          <w:u w:color="000000"/>
        </w:rPr>
        <w:t>人民法院起诉。</w:t>
      </w:r>
    </w:p>
    <w:p w14:paraId="1CDEC372">
      <w:pPr>
        <w:snapToGrid w:val="0"/>
        <w:spacing w:line="360" w:lineRule="auto"/>
        <w:ind w:firstLine="34"/>
        <w:jc w:val="left"/>
        <w:rPr>
          <w:rFonts w:ascii="宋体" w:hAnsi="宋体" w:cs="宋体"/>
          <w:color w:val="auto"/>
          <w:szCs w:val="21"/>
          <w:highlight w:val="none"/>
          <w:u w:color="000000"/>
        </w:rPr>
      </w:pPr>
      <w:r>
        <w:rPr>
          <w:rFonts w:hint="eastAsia" w:ascii="宋体" w:hAnsi="宋体" w:cs="宋体"/>
          <w:color w:val="auto"/>
          <w:szCs w:val="21"/>
          <w:highlight w:val="none"/>
          <w:u w:color="000000"/>
        </w:rPr>
        <w:t>21．其他补充事项的约定</w:t>
      </w:r>
    </w:p>
    <w:p w14:paraId="361263E0">
      <w:pPr>
        <w:numPr>
          <w:ilvl w:val="0"/>
          <w:numId w:val="11"/>
        </w:numPr>
        <w:snapToGrid w:val="0"/>
        <w:spacing w:line="360" w:lineRule="auto"/>
        <w:ind w:left="5" w:firstLine="34"/>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承包人应确保无任何重大安全事故发生，安全文明施工符合省市建设行政主管部门的有关规定。如发生安全事故，或者违反文明施工管理的规定，受到地方行业管理部门的处罚或新闻媒体的曝光的,每发生一次，承包人向发包人支付5万元的违约金, 违约金直接从应付工程款中扣除。</w:t>
      </w:r>
    </w:p>
    <w:p w14:paraId="6022DEEB">
      <w:pPr>
        <w:numPr>
          <w:ilvl w:val="0"/>
          <w:numId w:val="11"/>
        </w:numPr>
        <w:snapToGrid w:val="0"/>
        <w:spacing w:line="360" w:lineRule="auto"/>
        <w:ind w:left="5" w:firstLine="34"/>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承包人在施工时必须对现场的工程设施进行保护，如果因承包人的原因导致现场的工程设施损毁，则由此发生的一切损失由承包人承担。</w:t>
      </w:r>
    </w:p>
    <w:p w14:paraId="101932C2">
      <w:pPr>
        <w:numPr>
          <w:ilvl w:val="0"/>
          <w:numId w:val="11"/>
        </w:numPr>
        <w:snapToGrid w:val="0"/>
        <w:spacing w:line="360" w:lineRule="auto"/>
        <w:ind w:left="5" w:firstLine="34"/>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承包人应确保民工工资的及时支付，如不及时支付，视作违约，发包人有权代承包人支付民工工资，并在工程款或履约保证金中扣除。</w:t>
      </w:r>
    </w:p>
    <w:p w14:paraId="567854A9">
      <w:pPr>
        <w:numPr>
          <w:ilvl w:val="0"/>
          <w:numId w:val="11"/>
        </w:numPr>
        <w:snapToGrid w:val="0"/>
        <w:spacing w:line="360" w:lineRule="auto"/>
        <w:ind w:left="5" w:firstLine="34"/>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承包人将直接与招标人签订工程承包合同。承包人对本次招标范围内的工程内容中标人必须自行完成，不得转包。</w:t>
      </w:r>
    </w:p>
    <w:p w14:paraId="5EB728D5">
      <w:pPr>
        <w:numPr>
          <w:ilvl w:val="0"/>
          <w:numId w:val="11"/>
        </w:numPr>
        <w:snapToGrid w:val="0"/>
        <w:spacing w:line="360" w:lineRule="auto"/>
        <w:ind w:left="5" w:firstLine="34"/>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非上述原因，工程不能按合同工期竣工，乙方应向甲方支付违约金，每延误1天，违约金为合同结算总价的0.5‰。误期时间从规定竣工日期起直到全部工程或相应部分工程的移交竣工报告的批准日期之间的天数（不足一天的按一天计算）。其它关键节点（如管道安装完成、调试完成等）若不能按时完成，乙方应向甲方支付违约金为每天1000元。甲方可从应向乙方支付的任何金额中扣除此项赔偿费或以其他的方式收回此款，此赔偿费的支付并不能解除乙方应完成工程的责任或本合同规定的其他责任。</w:t>
      </w:r>
    </w:p>
    <w:p w14:paraId="035D36B8">
      <w:pPr>
        <w:numPr>
          <w:ilvl w:val="0"/>
          <w:numId w:val="11"/>
        </w:numPr>
        <w:snapToGrid w:val="0"/>
        <w:spacing w:line="360" w:lineRule="auto"/>
        <w:ind w:left="5" w:firstLine="34"/>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本工程材料采用市场中高档主流品牌/厂家。所有材料必须符合设计及发包人要求,由投标人在投标时根据招标文件及施工图、材料封样要求明确规格型号和报价。</w:t>
      </w:r>
    </w:p>
    <w:p w14:paraId="14DAA4AE">
      <w:pPr>
        <w:numPr>
          <w:ilvl w:val="0"/>
          <w:numId w:val="11"/>
        </w:numPr>
        <w:snapToGrid w:val="0"/>
        <w:spacing w:line="360" w:lineRule="auto"/>
        <w:ind w:left="5" w:firstLine="34"/>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各设备按规范或本招标文件要求需设置支架、基础、配置电源或防雷接地（除工程量清单有单列外），该项费用应包含在该设备的投标报价中。所有的系统检测、调试、培训费用均包含在投标价中。</w:t>
      </w:r>
    </w:p>
    <w:p w14:paraId="30426169">
      <w:pPr>
        <w:numPr>
          <w:ilvl w:val="0"/>
          <w:numId w:val="11"/>
        </w:numPr>
        <w:snapToGrid w:val="0"/>
        <w:spacing w:line="360" w:lineRule="auto"/>
        <w:ind w:left="5" w:firstLine="34"/>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施工过程中若发现材料品牌的供应厂家有垄断现象，发包人有权进行调整。在合同执行过程中，如果有比推荐品牌质量更好价格更低的品牌，发包人有权另行选择。</w:t>
      </w:r>
    </w:p>
    <w:p w14:paraId="49C9FA42">
      <w:pPr>
        <w:numPr>
          <w:ilvl w:val="0"/>
          <w:numId w:val="11"/>
        </w:numPr>
        <w:snapToGrid w:val="0"/>
        <w:spacing w:line="360" w:lineRule="auto"/>
        <w:ind w:left="5" w:firstLine="34"/>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在发包人使用投标人的投标所有产品时不会因知识产权或产品所有权等问题引起第三方索赔或其他要求，否则由此给发包人造成的一切损失都应由投标人承担。</w:t>
      </w:r>
    </w:p>
    <w:p w14:paraId="6F1A4BB6">
      <w:pPr>
        <w:numPr>
          <w:ilvl w:val="0"/>
          <w:numId w:val="11"/>
        </w:numPr>
        <w:snapToGrid w:val="0"/>
        <w:spacing w:line="360" w:lineRule="auto"/>
        <w:ind w:left="5" w:firstLine="34"/>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除招标文件要求外，本工程选用的材料必须达到国家质量标准及环保要求，若承包人未达到该要求，发包人有权要求承包人进行改正，而不予费用补偿。</w:t>
      </w:r>
    </w:p>
    <w:p w14:paraId="25FC6982">
      <w:pPr>
        <w:numPr>
          <w:ilvl w:val="0"/>
          <w:numId w:val="11"/>
        </w:numPr>
        <w:snapToGrid w:val="0"/>
        <w:spacing w:line="360" w:lineRule="auto"/>
        <w:ind w:left="5" w:firstLine="34"/>
        <w:rPr>
          <w:rFonts w:ascii="宋体" w:hAnsi="宋体" w:cs="宋体"/>
          <w:b/>
          <w:bCs/>
          <w:color w:val="auto"/>
          <w:szCs w:val="21"/>
          <w:highlight w:val="none"/>
          <w:u w:val="single" w:color="000000"/>
        </w:rPr>
      </w:pPr>
      <w:r>
        <w:rPr>
          <w:rFonts w:hint="eastAsia" w:ascii="宋体" w:hAnsi="宋体" w:cs="宋体"/>
          <w:b/>
          <w:bCs/>
          <w:color w:val="auto"/>
          <w:szCs w:val="21"/>
          <w:highlight w:val="none"/>
          <w:u w:val="single" w:color="000000"/>
        </w:rPr>
        <w:t>合同双方确认，本合同及本合同约定的其它文件组成部分中的各项约定都是通过法定招标过程形成的合法成果，不存在与招标文件和中标人投标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14:paraId="2DFEF220">
      <w:pPr>
        <w:snapToGrid w:val="0"/>
        <w:spacing w:line="360" w:lineRule="auto"/>
        <w:rPr>
          <w:rFonts w:ascii="宋体" w:hAnsi="宋体" w:cs="宋体"/>
          <w:b/>
          <w:bCs/>
          <w:color w:val="auto"/>
          <w:szCs w:val="21"/>
          <w:highlight w:val="none"/>
          <w:u w:val="single" w:color="000000"/>
        </w:rPr>
      </w:pPr>
    </w:p>
    <w:p w14:paraId="7B2366E6">
      <w:pPr>
        <w:snapToGrid w:val="0"/>
        <w:spacing w:line="360" w:lineRule="auto"/>
        <w:rPr>
          <w:rFonts w:ascii="宋体" w:hAnsi="宋体" w:cs="宋体"/>
          <w:b/>
          <w:bCs/>
          <w:color w:val="auto"/>
          <w:highlight w:val="none"/>
        </w:rPr>
      </w:pPr>
      <w:r>
        <w:rPr>
          <w:rFonts w:hint="eastAsia" w:ascii="宋体" w:hAnsi="宋体" w:cs="宋体"/>
          <w:b/>
          <w:bCs/>
          <w:color w:val="auto"/>
          <w:highlight w:val="none"/>
        </w:rPr>
        <w:t xml:space="preserve">注：本合同作为示范文本，具体以采购人与中标供应商所签定正式合同为准。 </w:t>
      </w:r>
    </w:p>
    <w:p w14:paraId="3EFEF3C2">
      <w:pPr>
        <w:snapToGrid w:val="0"/>
        <w:spacing w:line="360" w:lineRule="auto"/>
        <w:ind w:firstLine="28"/>
        <w:rPr>
          <w:rFonts w:ascii="宋体" w:hAnsi="宋体" w:cs="宋体"/>
          <w:color w:val="auto"/>
          <w:sz w:val="20"/>
          <w:szCs w:val="22"/>
          <w:highlight w:val="none"/>
        </w:rPr>
      </w:pPr>
      <w:r>
        <w:rPr>
          <w:rFonts w:hint="eastAsia" w:ascii="宋体" w:hAnsi="宋体" w:cs="宋体"/>
          <w:b/>
          <w:color w:val="auto"/>
          <w:sz w:val="20"/>
          <w:szCs w:val="22"/>
          <w:highlight w:val="none"/>
        </w:rPr>
        <w:t>附件：</w:t>
      </w:r>
    </w:p>
    <w:p w14:paraId="1119F290">
      <w:pPr>
        <w:adjustRightInd/>
        <w:snapToGrid w:val="0"/>
        <w:spacing w:line="360" w:lineRule="auto"/>
        <w:ind w:firstLine="371" w:firstLineChars="177"/>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附件1：建筑工程质量保修书</w:t>
      </w:r>
    </w:p>
    <w:p w14:paraId="10AA6DB8">
      <w:pPr>
        <w:adjustRightInd/>
        <w:ind w:firstLine="371" w:firstLineChars="177"/>
        <w:jc w:val="left"/>
        <w:rPr>
          <w:rFonts w:ascii="宋体" w:hAnsi="宋体" w:cs="宋体"/>
          <w:snapToGrid w:val="0"/>
          <w:color w:val="auto"/>
          <w:kern w:val="0"/>
          <w:szCs w:val="21"/>
          <w:highlight w:val="none"/>
        </w:rPr>
      </w:pPr>
    </w:p>
    <w:p w14:paraId="46F1FEC6">
      <w:pPr>
        <w:spacing w:before="162" w:line="440" w:lineRule="exact"/>
        <w:ind w:firstLine="34"/>
        <w:rPr>
          <w:rFonts w:ascii="宋体" w:hAnsi="宋体" w:cs="宋体"/>
          <w:b/>
          <w:bCs/>
          <w:color w:val="auto"/>
          <w:sz w:val="24"/>
          <w:highlight w:val="none"/>
        </w:rPr>
      </w:pPr>
      <w:r>
        <w:rPr>
          <w:rFonts w:hint="eastAsia" w:ascii="宋体" w:hAnsi="宋体" w:cs="宋体"/>
          <w:color w:val="auto"/>
          <w:sz w:val="24"/>
          <w:highlight w:val="none"/>
          <w:u w:val="single"/>
        </w:rPr>
        <w:br w:type="page"/>
      </w:r>
      <w:r>
        <w:rPr>
          <w:rFonts w:hint="eastAsia" w:ascii="宋体" w:hAnsi="宋体" w:cs="宋体"/>
          <w:b/>
          <w:bCs/>
          <w:color w:val="auto"/>
          <w:sz w:val="24"/>
          <w:highlight w:val="none"/>
        </w:rPr>
        <w:t>附件1：</w:t>
      </w:r>
    </w:p>
    <w:p w14:paraId="4877ADAC">
      <w:pPr>
        <w:adjustRightInd/>
        <w:spacing w:before="120" w:beforeLines="50" w:after="120" w:afterLines="50" w:line="288" w:lineRule="auto"/>
        <w:ind w:firstLine="39"/>
        <w:jc w:val="center"/>
        <w:rPr>
          <w:rFonts w:ascii="宋体" w:hAnsi="宋体" w:cs="宋体"/>
          <w:b/>
          <w:bCs/>
          <w:snapToGrid w:val="0"/>
          <w:color w:val="auto"/>
          <w:kern w:val="0"/>
          <w:sz w:val="28"/>
          <w:szCs w:val="28"/>
          <w:highlight w:val="none"/>
        </w:rPr>
      </w:pPr>
      <w:r>
        <w:rPr>
          <w:rFonts w:hint="eastAsia" w:ascii="宋体" w:hAnsi="宋体" w:cs="宋体"/>
          <w:b/>
          <w:bCs/>
          <w:snapToGrid w:val="0"/>
          <w:color w:val="auto"/>
          <w:kern w:val="0"/>
          <w:sz w:val="28"/>
          <w:szCs w:val="28"/>
          <w:highlight w:val="none"/>
        </w:rPr>
        <w:t>工程质量保修书</w:t>
      </w:r>
    </w:p>
    <w:p w14:paraId="11A138BA">
      <w:pPr>
        <w:adjustRightInd/>
        <w:spacing w:line="288" w:lineRule="auto"/>
        <w:ind w:firstLine="420" w:firstLineChars="200"/>
        <w:rPr>
          <w:rFonts w:hint="eastAsia" w:ascii="宋体" w:hAnsi="宋体" w:eastAsia="宋体" w:cs="宋体"/>
          <w:snapToGrid w:val="0"/>
          <w:color w:val="auto"/>
          <w:kern w:val="0"/>
          <w:szCs w:val="21"/>
          <w:highlight w:val="none"/>
          <w:lang w:eastAsia="zh-CN"/>
        </w:rPr>
      </w:pPr>
      <w:r>
        <w:rPr>
          <w:rFonts w:hint="eastAsia" w:ascii="宋体" w:hAnsi="宋体" w:cs="宋体"/>
          <w:snapToGrid w:val="0"/>
          <w:color w:val="auto"/>
          <w:kern w:val="0"/>
          <w:szCs w:val="21"/>
          <w:highlight w:val="none"/>
        </w:rPr>
        <w:t>发包人（全称）：</w:t>
      </w:r>
      <w:r>
        <w:rPr>
          <w:rFonts w:hint="eastAsia" w:ascii="宋体" w:hAnsi="宋体" w:cs="宋体"/>
          <w:snapToGrid w:val="0"/>
          <w:color w:val="auto"/>
          <w:kern w:val="0"/>
          <w:szCs w:val="21"/>
          <w:highlight w:val="none"/>
          <w:lang w:eastAsia="zh-CN"/>
        </w:rPr>
        <w:t>杭州市美术职业学校</w:t>
      </w:r>
    </w:p>
    <w:p w14:paraId="23BD1819">
      <w:pPr>
        <w:adjustRightInd/>
        <w:spacing w:line="288"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承包人（全称）：</w:t>
      </w:r>
      <w:r>
        <w:rPr>
          <w:rFonts w:hint="eastAsia" w:ascii="宋体" w:hAnsi="宋体" w:cs="宋体"/>
          <w:snapToGrid w:val="0"/>
          <w:color w:val="auto"/>
          <w:kern w:val="0"/>
          <w:szCs w:val="21"/>
          <w:highlight w:val="none"/>
          <w:u w:val="single"/>
        </w:rPr>
        <w:t xml:space="preserve">                  </w:t>
      </w:r>
    </w:p>
    <w:p w14:paraId="60254AE4">
      <w:pPr>
        <w:adjustRightInd/>
        <w:spacing w:line="288"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发包人和承包人根据《中华人民共和国建筑法》和《建设工程质量管理条例》，经协商一致就</w:t>
      </w:r>
      <w:r>
        <w:rPr>
          <w:rFonts w:hint="eastAsia" w:ascii="宋体" w:hAnsi="宋体" w:cs="宋体"/>
          <w:snapToGrid w:val="0"/>
          <w:color w:val="auto"/>
          <w:kern w:val="0"/>
          <w:szCs w:val="21"/>
          <w:highlight w:val="none"/>
          <w:u w:val="single"/>
        </w:rPr>
        <w:t xml:space="preserve">   </w:t>
      </w:r>
      <w:r>
        <w:rPr>
          <w:rFonts w:hint="eastAsia" w:ascii="宋体" w:hAnsi="宋体" w:cs="宋体"/>
          <w:b/>
          <w:snapToGrid w:val="0"/>
          <w:color w:val="auto"/>
          <w:kern w:val="0"/>
          <w:szCs w:val="21"/>
          <w:highlight w:val="none"/>
          <w:u w:val="single"/>
        </w:rPr>
        <w:t xml:space="preserve">                   </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u w:val="single"/>
          <w:lang w:eastAsia="zh-CN"/>
        </w:rPr>
        <w:t>杭州市美术职业学校（凤山校区）门卫楼及大礼堂外立面工程</w:t>
      </w:r>
      <w:r>
        <w:rPr>
          <w:rFonts w:hint="eastAsia" w:ascii="宋体" w:hAnsi="宋体" w:cs="宋体"/>
          <w:snapToGrid w:val="0"/>
          <w:color w:val="auto"/>
          <w:kern w:val="0"/>
          <w:szCs w:val="21"/>
          <w:highlight w:val="none"/>
        </w:rPr>
        <w:t>签订工程质量保修书。</w:t>
      </w:r>
    </w:p>
    <w:p w14:paraId="6DE42468">
      <w:pPr>
        <w:adjustRightInd/>
        <w:spacing w:line="288"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一、工程质量保修范围和内容</w:t>
      </w:r>
    </w:p>
    <w:p w14:paraId="0EE821B4">
      <w:pPr>
        <w:adjustRightInd/>
        <w:spacing w:line="288"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承包人在质量保修期内，按照有关法律规定和合同约定，承担工程质量保修责任。</w:t>
      </w:r>
    </w:p>
    <w:p w14:paraId="2E9D700C">
      <w:pPr>
        <w:adjustRightInd/>
        <w:spacing w:line="288"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64432D33">
      <w:pPr>
        <w:adjustRightInd/>
        <w:spacing w:line="288"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u w:val="single"/>
        </w:rPr>
        <w:t xml:space="preserve">      双方约定对施工承包范围内的所有内容实行保修       </w:t>
      </w:r>
      <w:r>
        <w:rPr>
          <w:rFonts w:hint="eastAsia" w:ascii="宋体" w:hAnsi="宋体" w:cs="宋体"/>
          <w:snapToGrid w:val="0"/>
          <w:color w:val="auto"/>
          <w:kern w:val="0"/>
          <w:szCs w:val="21"/>
          <w:highlight w:val="none"/>
        </w:rPr>
        <w:t>。</w:t>
      </w:r>
    </w:p>
    <w:p w14:paraId="4E664817">
      <w:pPr>
        <w:adjustRightInd/>
        <w:spacing w:line="288"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二、质量保修期</w:t>
      </w:r>
    </w:p>
    <w:p w14:paraId="2529B0FC">
      <w:pPr>
        <w:adjustRightInd/>
        <w:spacing w:line="288"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根据《建设工程质量管理条例》及有关规定，工程的质量保修期如下：</w:t>
      </w:r>
    </w:p>
    <w:p w14:paraId="7CE25FA6">
      <w:pPr>
        <w:adjustRightInd/>
        <w:spacing w:line="288"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1．地基基础工程和主体结构工程为设计文件规定的工程合理使用年限；</w:t>
      </w:r>
    </w:p>
    <w:p w14:paraId="5FA5CD11">
      <w:pPr>
        <w:adjustRightInd/>
        <w:spacing w:line="288"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2．屋面防水工程、有防水要求的卫生间、房间和外墙面的防渗为</w:t>
      </w:r>
      <w:r>
        <w:rPr>
          <w:rFonts w:hint="eastAsia" w:ascii="宋体" w:hAnsi="宋体" w:cs="宋体"/>
          <w:snapToGrid w:val="0"/>
          <w:color w:val="auto"/>
          <w:kern w:val="0"/>
          <w:szCs w:val="21"/>
          <w:highlight w:val="none"/>
          <w:u w:val="single"/>
        </w:rPr>
        <w:t xml:space="preserve"> 5 </w:t>
      </w:r>
      <w:r>
        <w:rPr>
          <w:rFonts w:hint="eastAsia" w:ascii="宋体" w:hAnsi="宋体" w:cs="宋体"/>
          <w:snapToGrid w:val="0"/>
          <w:color w:val="auto"/>
          <w:kern w:val="0"/>
          <w:szCs w:val="21"/>
          <w:highlight w:val="none"/>
        </w:rPr>
        <w:t>年；</w:t>
      </w:r>
    </w:p>
    <w:p w14:paraId="0B5FBD5F">
      <w:pPr>
        <w:adjustRightInd/>
        <w:spacing w:line="288"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3．装修工程为</w:t>
      </w:r>
      <w:r>
        <w:rPr>
          <w:rFonts w:hint="eastAsia" w:ascii="宋体" w:hAnsi="宋体" w:cs="宋体"/>
          <w:snapToGrid w:val="0"/>
          <w:color w:val="auto"/>
          <w:kern w:val="0"/>
          <w:szCs w:val="21"/>
          <w:highlight w:val="none"/>
          <w:u w:val="single"/>
        </w:rPr>
        <w:t xml:space="preserve">  2  </w:t>
      </w:r>
      <w:r>
        <w:rPr>
          <w:rFonts w:hint="eastAsia" w:ascii="宋体" w:hAnsi="宋体" w:cs="宋体"/>
          <w:snapToGrid w:val="0"/>
          <w:color w:val="auto"/>
          <w:kern w:val="0"/>
          <w:szCs w:val="21"/>
          <w:highlight w:val="none"/>
        </w:rPr>
        <w:t>年；</w:t>
      </w:r>
    </w:p>
    <w:p w14:paraId="64A8B07D">
      <w:pPr>
        <w:adjustRightInd/>
        <w:spacing w:line="288"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4．电气管线、给排水管道、设备安装工程为</w:t>
      </w:r>
      <w:r>
        <w:rPr>
          <w:rFonts w:hint="eastAsia" w:ascii="宋体" w:hAnsi="宋体" w:cs="宋体"/>
          <w:snapToGrid w:val="0"/>
          <w:color w:val="auto"/>
          <w:kern w:val="0"/>
          <w:szCs w:val="21"/>
          <w:highlight w:val="none"/>
          <w:u w:val="single"/>
        </w:rPr>
        <w:t xml:space="preserve"> 2  </w:t>
      </w:r>
      <w:r>
        <w:rPr>
          <w:rFonts w:hint="eastAsia" w:ascii="宋体" w:hAnsi="宋体" w:cs="宋体"/>
          <w:snapToGrid w:val="0"/>
          <w:color w:val="auto"/>
          <w:kern w:val="0"/>
          <w:szCs w:val="21"/>
          <w:highlight w:val="none"/>
        </w:rPr>
        <w:t>年；</w:t>
      </w:r>
    </w:p>
    <w:p w14:paraId="09D2D29B">
      <w:pPr>
        <w:adjustRightInd/>
        <w:spacing w:line="288"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5．供热与供冷系统为</w:t>
      </w:r>
      <w:r>
        <w:rPr>
          <w:rFonts w:hint="eastAsia" w:ascii="宋体" w:hAnsi="宋体" w:cs="宋体"/>
          <w:snapToGrid w:val="0"/>
          <w:color w:val="auto"/>
          <w:kern w:val="0"/>
          <w:szCs w:val="21"/>
          <w:highlight w:val="none"/>
          <w:u w:val="single"/>
        </w:rPr>
        <w:t xml:space="preserve"> 2 </w:t>
      </w:r>
      <w:r>
        <w:rPr>
          <w:rFonts w:hint="eastAsia" w:ascii="宋体" w:hAnsi="宋体" w:cs="宋体"/>
          <w:snapToGrid w:val="0"/>
          <w:color w:val="auto"/>
          <w:kern w:val="0"/>
          <w:szCs w:val="21"/>
          <w:highlight w:val="none"/>
        </w:rPr>
        <w:t>个采暖期、供冷期；</w:t>
      </w:r>
    </w:p>
    <w:p w14:paraId="0B1C9CF7">
      <w:pPr>
        <w:adjustRightInd/>
        <w:spacing w:line="288"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6．住宅小区内的给排水设施、道路等配套工程为</w:t>
      </w:r>
      <w:r>
        <w:rPr>
          <w:rFonts w:hint="eastAsia" w:ascii="宋体" w:hAnsi="宋体" w:cs="宋体"/>
          <w:snapToGrid w:val="0"/>
          <w:color w:val="auto"/>
          <w:kern w:val="0"/>
          <w:szCs w:val="21"/>
          <w:highlight w:val="none"/>
          <w:u w:val="single"/>
        </w:rPr>
        <w:t xml:space="preserve">2 </w:t>
      </w:r>
      <w:r>
        <w:rPr>
          <w:rFonts w:hint="eastAsia" w:ascii="宋体" w:hAnsi="宋体" w:cs="宋体"/>
          <w:snapToGrid w:val="0"/>
          <w:color w:val="auto"/>
          <w:kern w:val="0"/>
          <w:szCs w:val="21"/>
          <w:highlight w:val="none"/>
        </w:rPr>
        <w:t>年；</w:t>
      </w:r>
    </w:p>
    <w:p w14:paraId="6F4AC423">
      <w:pPr>
        <w:adjustRightInd/>
        <w:spacing w:line="288"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7．其他项目保修期限约定如下：</w:t>
      </w:r>
      <w:r>
        <w:rPr>
          <w:rFonts w:hint="eastAsia" w:ascii="宋体" w:hAnsi="宋体" w:cs="宋体"/>
          <w:snapToGrid w:val="0"/>
          <w:color w:val="auto"/>
          <w:kern w:val="0"/>
          <w:szCs w:val="21"/>
          <w:highlight w:val="none"/>
          <w:u w:val="single"/>
        </w:rPr>
        <w:t xml:space="preserve"> 防水不少于5年  </w:t>
      </w:r>
      <w:r>
        <w:rPr>
          <w:rFonts w:hint="eastAsia" w:ascii="宋体" w:hAnsi="宋体" w:cs="宋体"/>
          <w:snapToGrid w:val="0"/>
          <w:color w:val="auto"/>
          <w:kern w:val="0"/>
          <w:szCs w:val="21"/>
          <w:highlight w:val="none"/>
        </w:rPr>
        <w:t>。</w:t>
      </w:r>
    </w:p>
    <w:p w14:paraId="4C822E33">
      <w:pPr>
        <w:adjustRightInd/>
        <w:spacing w:line="288"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质量保修期自工程竣工验收合格之日起计算。</w:t>
      </w:r>
    </w:p>
    <w:p w14:paraId="3F4D45EA">
      <w:pPr>
        <w:adjustRightInd/>
        <w:spacing w:line="288"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三、缺陷责任期</w:t>
      </w:r>
    </w:p>
    <w:p w14:paraId="29117DD5">
      <w:pPr>
        <w:adjustRightInd/>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工程缺陷责任期为</w:t>
      </w:r>
      <w:r>
        <w:rPr>
          <w:rFonts w:hint="eastAsia" w:ascii="宋体" w:hAnsi="宋体" w:cs="宋体"/>
          <w:snapToGrid w:val="0"/>
          <w:color w:val="auto"/>
          <w:kern w:val="0"/>
          <w:szCs w:val="21"/>
          <w:highlight w:val="none"/>
          <w:u w:val="single"/>
        </w:rPr>
        <w:t xml:space="preserve"> 24 </w:t>
      </w:r>
      <w:r>
        <w:rPr>
          <w:rFonts w:hint="eastAsia" w:ascii="宋体" w:hAnsi="宋体" w:cs="宋体"/>
          <w:snapToGrid w:val="0"/>
          <w:color w:val="auto"/>
          <w:kern w:val="0"/>
          <w:szCs w:val="21"/>
          <w:highlight w:val="none"/>
        </w:rPr>
        <w:t>个月，缺陷责任期自工程通过竣工验收合格之日起计算。单位工程先于全部工程进行验收，单位工程缺陷责任期自单位工程验收合格之日起计算。</w:t>
      </w:r>
    </w:p>
    <w:p w14:paraId="731F1662">
      <w:pPr>
        <w:adjustRightInd/>
        <w:spacing w:line="288"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四、质量保修责任</w:t>
      </w:r>
    </w:p>
    <w:p w14:paraId="75656D56">
      <w:pPr>
        <w:adjustRightInd/>
        <w:spacing w:line="288" w:lineRule="auto"/>
        <w:ind w:left="105" w:leftChars="50" w:firstLine="430" w:firstLineChars="205"/>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1．属于保修范围、内容的项目，承包人应当在接到保修通知之日起7天内派人保修。承包人不在约定期限内派人保修的，发包人可以委托他人修理。</w:t>
      </w:r>
    </w:p>
    <w:p w14:paraId="1785C783">
      <w:pPr>
        <w:adjustRightInd/>
        <w:spacing w:line="300" w:lineRule="auto"/>
        <w:ind w:left="105" w:leftChars="50" w:firstLine="430" w:firstLineChars="205"/>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2．发生紧急事故需抢修的，承包人在接到事故通知后，应当立即到达事故现场抢修。</w:t>
      </w:r>
    </w:p>
    <w:p w14:paraId="347F4F04">
      <w:pPr>
        <w:adjustRightInd/>
        <w:spacing w:line="300" w:lineRule="auto"/>
        <w:ind w:left="105" w:leftChars="50" w:firstLine="430" w:firstLineChars="205"/>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6A942614">
      <w:pPr>
        <w:adjustRightInd/>
        <w:spacing w:line="300" w:lineRule="auto"/>
        <w:ind w:left="420" w:leftChars="200" w:firstLine="105" w:firstLineChars="5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4．质量保修完成后，由发包人组织验收。</w:t>
      </w:r>
    </w:p>
    <w:p w14:paraId="397918A1">
      <w:pPr>
        <w:adjustRightInd/>
        <w:spacing w:line="30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五、保修费用</w:t>
      </w:r>
    </w:p>
    <w:p w14:paraId="2CF8A87C">
      <w:pPr>
        <w:adjustRightInd/>
        <w:spacing w:line="300" w:lineRule="auto"/>
        <w:ind w:firstLine="34"/>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保修费用由造成质量缺陷的责任方承担。</w:t>
      </w:r>
    </w:p>
    <w:p w14:paraId="6FC27AF7">
      <w:pPr>
        <w:adjustRightInd/>
        <w:spacing w:line="360" w:lineRule="auto"/>
        <w:jc w:val="left"/>
        <w:rPr>
          <w:rFonts w:ascii="宋体" w:hAnsi="宋体" w:cs="宋体"/>
          <w:snapToGrid w:val="0"/>
          <w:color w:val="auto"/>
          <w:kern w:val="0"/>
          <w:szCs w:val="21"/>
          <w:highlight w:val="none"/>
          <w:u w:val="single"/>
        </w:rPr>
      </w:pPr>
      <w:r>
        <w:rPr>
          <w:rFonts w:hint="eastAsia" w:ascii="宋体" w:hAnsi="宋体" w:cs="宋体"/>
          <w:bCs/>
          <w:snapToGrid w:val="0"/>
          <w:color w:val="auto"/>
          <w:kern w:val="0"/>
          <w:szCs w:val="21"/>
          <w:highlight w:val="none"/>
        </w:rPr>
        <w:t>六</w:t>
      </w:r>
      <w:r>
        <w:rPr>
          <w:rFonts w:hint="eastAsia" w:ascii="宋体" w:hAnsi="宋体" w:cs="宋体"/>
          <w:snapToGrid w:val="0"/>
          <w:color w:val="auto"/>
          <w:kern w:val="0"/>
          <w:szCs w:val="21"/>
          <w:highlight w:val="none"/>
        </w:rPr>
        <w:t>、双方约定的其他工程质量保修事项：</w:t>
      </w:r>
      <w:r>
        <w:rPr>
          <w:rFonts w:hint="eastAsia" w:ascii="宋体" w:hAnsi="宋体" w:cs="宋体"/>
          <w:snapToGrid w:val="0"/>
          <w:color w:val="auto"/>
          <w:kern w:val="0"/>
          <w:szCs w:val="21"/>
          <w:highlight w:val="none"/>
          <w:u w:val="single"/>
        </w:rPr>
        <w:t xml:space="preserve">                               。</w:t>
      </w:r>
    </w:p>
    <w:p w14:paraId="416D8DC1">
      <w:pPr>
        <w:adjustRightInd/>
        <w:spacing w:line="360" w:lineRule="auto"/>
        <w:ind w:firstLine="34"/>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u w:val="single"/>
        </w:rPr>
        <w:t>发包人在保修期内发现质量问题并通知承包人，承包人应及时派专业人员进行维修，如承包人未及时派专业人员进行维修，发包人有权请其它人进行维修，同时承包人将承担因维修延误给发包人造成的一切损失</w:t>
      </w:r>
      <w:r>
        <w:rPr>
          <w:rFonts w:hint="eastAsia" w:ascii="宋体" w:hAnsi="宋体" w:cs="宋体"/>
          <w:snapToGrid w:val="0"/>
          <w:color w:val="auto"/>
          <w:kern w:val="0"/>
          <w:szCs w:val="21"/>
          <w:highlight w:val="none"/>
        </w:rPr>
        <w:t>。</w:t>
      </w:r>
    </w:p>
    <w:p w14:paraId="32A539E4">
      <w:pPr>
        <w:adjustRightInd/>
        <w:spacing w:line="300" w:lineRule="auto"/>
        <w:ind w:firstLine="399" w:firstLineChars="19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工程质量保修书由发包人、承包人在工程竣工验收前共同签署，作为施工合同附件，其有效期限至保修期满。</w:t>
      </w:r>
    </w:p>
    <w:p w14:paraId="78E905FE">
      <w:pPr>
        <w:adjustRightInd/>
        <w:spacing w:line="300" w:lineRule="auto"/>
        <w:rPr>
          <w:rFonts w:ascii="宋体" w:hAnsi="宋体" w:cs="宋体"/>
          <w:snapToGrid w:val="0"/>
          <w:color w:val="auto"/>
          <w:kern w:val="0"/>
          <w:szCs w:val="21"/>
          <w:highlight w:val="none"/>
        </w:rPr>
      </w:pPr>
    </w:p>
    <w:p w14:paraId="1565CD3F">
      <w:pPr>
        <w:adjustRightInd/>
        <w:spacing w:line="300" w:lineRule="auto"/>
        <w:rPr>
          <w:rFonts w:ascii="宋体" w:hAnsi="宋体" w:cs="宋体"/>
          <w:snapToGrid w:val="0"/>
          <w:color w:val="auto"/>
          <w:kern w:val="0"/>
          <w:szCs w:val="21"/>
          <w:highlight w:val="none"/>
        </w:rPr>
      </w:pPr>
    </w:p>
    <w:p w14:paraId="36BC8549">
      <w:pPr>
        <w:adjustRightInd/>
        <w:spacing w:line="30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发包人(公章)：</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 xml:space="preserve">           承包人(公章)：</w:t>
      </w:r>
      <w:r>
        <w:rPr>
          <w:rFonts w:hint="eastAsia" w:ascii="宋体" w:hAnsi="宋体" w:cs="宋体"/>
          <w:snapToGrid w:val="0"/>
          <w:color w:val="auto"/>
          <w:kern w:val="0"/>
          <w:szCs w:val="21"/>
          <w:highlight w:val="none"/>
          <w:u w:val="single"/>
        </w:rPr>
        <w:t xml:space="preserve">         </w:t>
      </w:r>
    </w:p>
    <w:p w14:paraId="3BF3AB14">
      <w:pPr>
        <w:adjustRightInd/>
        <w:spacing w:line="30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地  址：</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 xml:space="preserve">           地  址：</w:t>
      </w:r>
      <w:r>
        <w:rPr>
          <w:rFonts w:hint="eastAsia" w:ascii="宋体" w:hAnsi="宋体" w:cs="宋体"/>
          <w:snapToGrid w:val="0"/>
          <w:color w:val="auto"/>
          <w:kern w:val="0"/>
          <w:szCs w:val="21"/>
          <w:highlight w:val="none"/>
          <w:u w:val="single"/>
        </w:rPr>
        <w:t>      </w:t>
      </w:r>
    </w:p>
    <w:p w14:paraId="22D7C9CA">
      <w:pPr>
        <w:adjustRightInd/>
        <w:spacing w:line="30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法定代表人(签字)：</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 xml:space="preserve">           法定代表人(签字)：</w:t>
      </w:r>
      <w:r>
        <w:rPr>
          <w:rFonts w:hint="eastAsia" w:ascii="宋体" w:hAnsi="宋体" w:cs="宋体"/>
          <w:snapToGrid w:val="0"/>
          <w:color w:val="auto"/>
          <w:kern w:val="0"/>
          <w:szCs w:val="21"/>
          <w:highlight w:val="none"/>
          <w:u w:val="single"/>
        </w:rPr>
        <w:t xml:space="preserve">        </w:t>
      </w:r>
    </w:p>
    <w:p w14:paraId="0E26A3F3">
      <w:pPr>
        <w:adjustRightInd/>
        <w:spacing w:line="30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委托代理人(签字)：</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 xml:space="preserve">           委托代理人(签字)：</w:t>
      </w:r>
      <w:r>
        <w:rPr>
          <w:rFonts w:hint="eastAsia" w:ascii="宋体" w:hAnsi="宋体" w:cs="宋体"/>
          <w:snapToGrid w:val="0"/>
          <w:color w:val="auto"/>
          <w:kern w:val="0"/>
          <w:szCs w:val="21"/>
          <w:highlight w:val="none"/>
          <w:u w:val="single"/>
        </w:rPr>
        <w:t xml:space="preserve">        </w:t>
      </w:r>
    </w:p>
    <w:p w14:paraId="12DEE776">
      <w:pPr>
        <w:adjustRightInd/>
        <w:spacing w:line="30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电  话：</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 xml:space="preserve">           电  话：</w:t>
      </w:r>
      <w:r>
        <w:rPr>
          <w:rFonts w:hint="eastAsia" w:ascii="宋体" w:hAnsi="宋体" w:cs="宋体"/>
          <w:snapToGrid w:val="0"/>
          <w:color w:val="auto"/>
          <w:kern w:val="0"/>
          <w:szCs w:val="21"/>
          <w:highlight w:val="none"/>
          <w:u w:val="single"/>
        </w:rPr>
        <w:t xml:space="preserve">              </w:t>
      </w:r>
    </w:p>
    <w:p w14:paraId="330751F4">
      <w:pPr>
        <w:adjustRightInd/>
        <w:spacing w:line="30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传  真：</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 xml:space="preserve">           传  真：</w:t>
      </w:r>
      <w:r>
        <w:rPr>
          <w:rFonts w:hint="eastAsia" w:ascii="宋体" w:hAnsi="宋体" w:cs="宋体"/>
          <w:snapToGrid w:val="0"/>
          <w:color w:val="auto"/>
          <w:kern w:val="0"/>
          <w:szCs w:val="21"/>
          <w:highlight w:val="none"/>
          <w:u w:val="single"/>
        </w:rPr>
        <w:t xml:space="preserve">              </w:t>
      </w:r>
    </w:p>
    <w:p w14:paraId="1C76D9F3">
      <w:pPr>
        <w:adjustRightInd/>
        <w:spacing w:line="30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开户银行：</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 xml:space="preserve">           开户银行：</w:t>
      </w:r>
      <w:r>
        <w:rPr>
          <w:rFonts w:hint="eastAsia" w:ascii="宋体" w:hAnsi="宋体" w:cs="宋体"/>
          <w:snapToGrid w:val="0"/>
          <w:color w:val="auto"/>
          <w:kern w:val="0"/>
          <w:szCs w:val="21"/>
          <w:highlight w:val="none"/>
          <w:u w:val="single"/>
        </w:rPr>
        <w:t xml:space="preserve">                </w:t>
      </w:r>
    </w:p>
    <w:p w14:paraId="26137BD4">
      <w:pPr>
        <w:adjustRightInd/>
        <w:spacing w:line="30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账  号：</w:t>
      </w:r>
      <w:r>
        <w:rPr>
          <w:rFonts w:hint="eastAsia" w:ascii="宋体" w:hAnsi="宋体" w:cs="宋体"/>
          <w:snapToGrid w:val="0"/>
          <w:color w:val="auto"/>
          <w:kern w:val="0"/>
          <w:szCs w:val="21"/>
          <w:highlight w:val="none"/>
          <w:u w:val="single"/>
        </w:rPr>
        <w:t>             </w:t>
      </w:r>
      <w:r>
        <w:rPr>
          <w:rFonts w:hint="eastAsia" w:ascii="宋体" w:hAnsi="宋体" w:cs="宋体"/>
          <w:snapToGrid w:val="0"/>
          <w:color w:val="auto"/>
          <w:kern w:val="0"/>
          <w:szCs w:val="21"/>
          <w:highlight w:val="none"/>
        </w:rPr>
        <w:t xml:space="preserve">            账  号：</w:t>
      </w:r>
      <w:r>
        <w:rPr>
          <w:rFonts w:hint="eastAsia" w:ascii="宋体" w:hAnsi="宋体" w:cs="宋体"/>
          <w:snapToGrid w:val="0"/>
          <w:color w:val="auto"/>
          <w:kern w:val="0"/>
          <w:szCs w:val="21"/>
          <w:highlight w:val="none"/>
          <w:u w:val="single"/>
        </w:rPr>
        <w:t xml:space="preserve">                </w:t>
      </w:r>
    </w:p>
    <w:p w14:paraId="099B33B0">
      <w:pPr>
        <w:adjustRightInd/>
        <w:spacing w:line="30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邮政编码：</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 xml:space="preserve">            邮政编码：</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 xml:space="preserve">              </w:t>
      </w:r>
    </w:p>
    <w:p w14:paraId="3F0495C2">
      <w:pPr>
        <w:spacing w:line="480" w:lineRule="auto"/>
        <w:ind w:firstLine="39"/>
        <w:jc w:val="center"/>
        <w:rPr>
          <w:rFonts w:ascii="宋体" w:hAnsi="宋体" w:cs="宋体"/>
          <w:b/>
          <w:color w:val="auto"/>
          <w:sz w:val="28"/>
          <w:szCs w:val="28"/>
          <w:highlight w:val="none"/>
        </w:rPr>
      </w:pPr>
    </w:p>
    <w:p w14:paraId="2DEE8C4F">
      <w:pPr>
        <w:spacing w:line="360" w:lineRule="auto"/>
        <w:ind w:left="-420" w:leftChars="-200" w:right="-420" w:rightChars="-200" w:firstLine="480" w:firstLineChars="200"/>
        <w:jc w:val="center"/>
        <w:outlineLvl w:val="0"/>
        <w:rPr>
          <w:rFonts w:ascii="宋体" w:hAnsi="宋体" w:cs="宋体"/>
          <w:color w:val="auto"/>
          <w:sz w:val="24"/>
          <w:highlight w:val="none"/>
        </w:rPr>
      </w:pPr>
    </w:p>
    <w:p w14:paraId="6FF42006">
      <w:pPr>
        <w:spacing w:line="360" w:lineRule="auto"/>
        <w:ind w:left="-420" w:leftChars="-200" w:right="-420" w:rightChars="-200" w:firstLine="480" w:firstLineChars="200"/>
        <w:jc w:val="center"/>
        <w:outlineLvl w:val="0"/>
        <w:rPr>
          <w:rFonts w:ascii="宋体" w:hAnsi="宋体" w:cs="宋体"/>
          <w:color w:val="auto"/>
          <w:sz w:val="24"/>
          <w:highlight w:val="none"/>
        </w:rPr>
        <w:sectPr>
          <w:headerReference r:id="rId8" w:type="first"/>
          <w:footerReference r:id="rId10" w:type="first"/>
          <w:footerReference r:id="rId9" w:type="default"/>
          <w:pgSz w:w="11906" w:h="16838"/>
          <w:pgMar w:top="1417" w:right="1417" w:bottom="1417" w:left="141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3BAED1EF">
      <w:pPr>
        <w:snapToGrid w:val="0"/>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5"/>
      <w:r>
        <w:rPr>
          <w:rFonts w:hint="eastAsia" w:ascii="宋体" w:hAnsi="宋体" w:cs="宋体"/>
          <w:b/>
          <w:color w:val="auto"/>
          <w:sz w:val="36"/>
          <w:szCs w:val="20"/>
          <w:highlight w:val="none"/>
        </w:rPr>
        <w:t xml:space="preserve"> </w:t>
      </w:r>
      <w:bookmarkEnd w:id="396"/>
      <w:r>
        <w:rPr>
          <w:rFonts w:hint="eastAsia" w:ascii="宋体" w:hAnsi="宋体" w:cs="宋体"/>
          <w:b/>
          <w:color w:val="auto"/>
          <w:sz w:val="36"/>
          <w:szCs w:val="20"/>
          <w:highlight w:val="none"/>
        </w:rPr>
        <w:t>应提交的有关格式范例</w:t>
      </w:r>
    </w:p>
    <w:p w14:paraId="18C1B8FE">
      <w:pPr>
        <w:spacing w:line="360" w:lineRule="auto"/>
        <w:jc w:val="center"/>
        <w:outlineLvl w:val="0"/>
        <w:rPr>
          <w:rFonts w:ascii="宋体" w:hAnsi="宋体" w:cs="宋体"/>
          <w:b/>
          <w:color w:val="auto"/>
          <w:kern w:val="0"/>
          <w:sz w:val="36"/>
          <w:szCs w:val="36"/>
          <w:highlight w:val="none"/>
        </w:rPr>
      </w:pPr>
    </w:p>
    <w:p w14:paraId="16C1D99D">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646C536D">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B36D1F5">
      <w:pPr>
        <w:spacing w:line="360" w:lineRule="auto"/>
        <w:jc w:val="center"/>
        <w:outlineLvl w:val="0"/>
        <w:rPr>
          <w:rFonts w:ascii="宋体" w:hAnsi="宋体" w:cs="宋体"/>
          <w:b/>
          <w:color w:val="auto"/>
          <w:kern w:val="0"/>
          <w:sz w:val="36"/>
          <w:szCs w:val="36"/>
          <w:highlight w:val="none"/>
        </w:rPr>
      </w:pPr>
    </w:p>
    <w:p w14:paraId="746C9828">
      <w:pPr>
        <w:numPr>
          <w:ilvl w:val="0"/>
          <w:numId w:val="12"/>
        </w:numPr>
        <w:snapToGrid w:val="0"/>
        <w:spacing w:line="360" w:lineRule="auto"/>
        <w:ind w:left="0" w:leftChars="0" w:firstLine="420" w:firstLineChars="0"/>
        <w:rPr>
          <w:rFonts w:ascii="宋体" w:hAnsi="宋体" w:cs="宋体"/>
          <w:color w:val="auto"/>
          <w:sz w:val="24"/>
          <w:highlight w:val="none"/>
        </w:rPr>
      </w:pPr>
      <w:r>
        <w:rPr>
          <w:rFonts w:hint="eastAsia" w:ascii="宋体" w:hAnsi="宋体" w:cs="宋体"/>
          <w:color w:val="auto"/>
          <w:sz w:val="24"/>
          <w:highlight w:val="none"/>
        </w:rPr>
        <w:t>符合参加</w:t>
      </w:r>
      <w:r>
        <w:rPr>
          <w:rFonts w:hint="eastAsia" w:ascii="宋体" w:hAnsi="宋体" w:cs="宋体"/>
          <w:color w:val="auto"/>
          <w:sz w:val="24"/>
          <w:highlight w:val="none"/>
          <w:lang w:eastAsia="zh-CN"/>
        </w:rPr>
        <w:t>采购</w:t>
      </w:r>
      <w:r>
        <w:rPr>
          <w:rFonts w:hint="eastAsia" w:ascii="宋体" w:hAnsi="宋体" w:cs="宋体"/>
          <w:color w:val="auto"/>
          <w:sz w:val="24"/>
          <w:highlight w:val="none"/>
        </w:rPr>
        <w:t>活动应当具备的一般条件的承诺函……………（页码）</w:t>
      </w:r>
    </w:p>
    <w:p w14:paraId="4698B557">
      <w:pPr>
        <w:numPr>
          <w:ilvl w:val="0"/>
          <w:numId w:val="12"/>
        </w:numPr>
        <w:snapToGrid w:val="0"/>
        <w:spacing w:line="360" w:lineRule="auto"/>
        <w:ind w:left="0" w:leftChars="0" w:firstLine="420" w:firstLineChars="0"/>
        <w:rPr>
          <w:rFonts w:ascii="宋体" w:hAnsi="宋体" w:cs="宋体"/>
          <w:color w:val="auto"/>
          <w:sz w:val="24"/>
          <w:highlight w:val="none"/>
        </w:rPr>
      </w:pPr>
      <w:r>
        <w:rPr>
          <w:rFonts w:hint="eastAsia" w:ascii="宋体" w:hAnsi="宋体" w:cs="宋体"/>
          <w:snapToGrid w:val="0"/>
          <w:color w:val="auto"/>
          <w:kern w:val="28"/>
          <w:sz w:val="24"/>
          <w:szCs w:val="20"/>
          <w:highlight w:val="none"/>
        </w:rPr>
        <w:t>联合协议</w:t>
      </w:r>
      <w:r>
        <w:rPr>
          <w:rFonts w:hint="eastAsia" w:ascii="宋体" w:hAnsi="宋体" w:cs="宋体"/>
          <w:color w:val="auto"/>
          <w:sz w:val="24"/>
          <w:highlight w:val="none"/>
        </w:rPr>
        <w:t>………………………………………………………………（页码）</w:t>
      </w:r>
    </w:p>
    <w:p w14:paraId="33BE9E40">
      <w:pPr>
        <w:numPr>
          <w:ilvl w:val="0"/>
          <w:numId w:val="12"/>
        </w:numPr>
        <w:snapToGrid w:val="0"/>
        <w:spacing w:line="360" w:lineRule="auto"/>
        <w:ind w:left="0" w:leftChars="0" w:firstLine="420" w:firstLineChars="0"/>
        <w:rPr>
          <w:rFonts w:ascii="宋体" w:hAnsi="宋体" w:cs="宋体"/>
          <w:color w:val="auto"/>
          <w:sz w:val="24"/>
          <w:highlight w:val="none"/>
        </w:rPr>
      </w:pPr>
      <w:r>
        <w:rPr>
          <w:rFonts w:hint="eastAsia" w:ascii="宋体" w:hAnsi="宋体" w:cs="宋体"/>
          <w:color w:val="auto"/>
          <w:sz w:val="24"/>
          <w:highlight w:val="none"/>
        </w:rPr>
        <w:t>落实</w:t>
      </w:r>
      <w:r>
        <w:rPr>
          <w:rFonts w:hint="eastAsia" w:ascii="宋体" w:hAnsi="宋体" w:cs="宋体"/>
          <w:color w:val="auto"/>
          <w:sz w:val="24"/>
          <w:highlight w:val="none"/>
          <w:lang w:eastAsia="zh-CN"/>
        </w:rPr>
        <w:t>采购</w:t>
      </w:r>
      <w:r>
        <w:rPr>
          <w:rFonts w:hint="eastAsia" w:ascii="宋体" w:hAnsi="宋体" w:cs="宋体"/>
          <w:color w:val="auto"/>
          <w:sz w:val="24"/>
          <w:highlight w:val="none"/>
        </w:rPr>
        <w:t>政策需满足的资格要求………………………………（页码）</w:t>
      </w:r>
    </w:p>
    <w:p w14:paraId="5D858817">
      <w:pPr>
        <w:numPr>
          <w:ilvl w:val="0"/>
          <w:numId w:val="12"/>
        </w:numPr>
        <w:snapToGrid w:val="0"/>
        <w:spacing w:line="360" w:lineRule="auto"/>
        <w:ind w:left="0" w:leftChars="0" w:firstLine="420" w:firstLineChars="0"/>
        <w:rPr>
          <w:rFonts w:ascii="宋体" w:hAnsi="宋体" w:cs="宋体"/>
          <w:color w:val="auto"/>
          <w:sz w:val="24"/>
          <w:highlight w:val="none"/>
        </w:rPr>
      </w:pPr>
      <w:r>
        <w:rPr>
          <w:rFonts w:hint="eastAsia" w:ascii="宋体" w:hAnsi="宋体" w:cs="宋体"/>
          <w:color w:val="auto"/>
          <w:sz w:val="24"/>
          <w:highlight w:val="none"/>
        </w:rPr>
        <w:t>本项目的特定资格要求………………………………………………（页码）</w:t>
      </w:r>
    </w:p>
    <w:p w14:paraId="10CBC7CC">
      <w:pPr>
        <w:snapToGrid w:val="0"/>
        <w:spacing w:line="360" w:lineRule="auto"/>
        <w:ind w:firstLine="480" w:firstLineChars="200"/>
        <w:rPr>
          <w:rFonts w:ascii="宋体" w:hAnsi="宋体" w:cs="宋体"/>
          <w:color w:val="auto"/>
          <w:sz w:val="24"/>
          <w:highlight w:val="none"/>
        </w:rPr>
      </w:pPr>
    </w:p>
    <w:p w14:paraId="52D7FDAC">
      <w:pPr>
        <w:spacing w:line="360" w:lineRule="auto"/>
        <w:ind w:firstLine="480" w:firstLineChars="200"/>
        <w:rPr>
          <w:rFonts w:ascii="宋体" w:hAnsi="宋体" w:cs="宋体"/>
          <w:color w:val="auto"/>
          <w:sz w:val="24"/>
          <w:highlight w:val="none"/>
        </w:rPr>
      </w:pPr>
    </w:p>
    <w:p w14:paraId="5C2DD7C2">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w:t>
      </w:r>
      <w:r>
        <w:rPr>
          <w:rFonts w:hint="eastAsia" w:ascii="宋体" w:hAnsi="宋体" w:cs="宋体"/>
          <w:b/>
          <w:color w:val="auto"/>
          <w:kern w:val="0"/>
          <w:sz w:val="32"/>
          <w:szCs w:val="32"/>
          <w:highlight w:val="none"/>
          <w:lang w:eastAsia="zh-CN"/>
        </w:rPr>
        <w:t>采购</w:t>
      </w:r>
      <w:r>
        <w:rPr>
          <w:rFonts w:hint="eastAsia" w:ascii="宋体" w:hAnsi="宋体" w:cs="宋体"/>
          <w:b/>
          <w:color w:val="auto"/>
          <w:kern w:val="0"/>
          <w:sz w:val="32"/>
          <w:szCs w:val="32"/>
          <w:highlight w:val="none"/>
        </w:rPr>
        <w:t>活动应当具备的一般条件的承诺函</w:t>
      </w:r>
    </w:p>
    <w:p w14:paraId="4A05EEBB">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杭州市美术职业学校</w:t>
      </w:r>
      <w:r>
        <w:rPr>
          <w:rFonts w:hint="eastAsia" w:ascii="宋体" w:hAnsi="宋体" w:cs="宋体"/>
          <w:color w:val="auto"/>
          <w:sz w:val="24"/>
          <w:highlight w:val="none"/>
        </w:rPr>
        <w:t>、</w:t>
      </w:r>
      <w:r>
        <w:rPr>
          <w:rFonts w:hint="eastAsia" w:ascii="宋体" w:hAnsi="宋体" w:cs="宋体"/>
          <w:color w:val="auto"/>
          <w:sz w:val="24"/>
          <w:highlight w:val="none"/>
          <w:lang w:eastAsia="zh-CN"/>
        </w:rPr>
        <w:t>杭州洲源招标代理有限公司</w:t>
      </w:r>
      <w:r>
        <w:rPr>
          <w:rFonts w:hint="eastAsia" w:ascii="宋体" w:hAnsi="宋体" w:cs="宋体"/>
          <w:color w:val="auto"/>
          <w:sz w:val="24"/>
          <w:highlight w:val="none"/>
        </w:rPr>
        <w:t>：</w:t>
      </w:r>
    </w:p>
    <w:p w14:paraId="726BCBD5">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杭州市美术职业学校（凤山校区）门卫楼及大礼堂外立面工程</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MSZX-2025-004</w:t>
      </w:r>
      <w:r>
        <w:rPr>
          <w:rFonts w:hint="eastAsia" w:ascii="宋体" w:hAnsi="宋体" w:cs="宋体"/>
          <w:color w:val="auto"/>
          <w:sz w:val="24"/>
          <w:highlight w:val="none"/>
        </w:rPr>
        <w:t>】</w:t>
      </w:r>
      <w:r>
        <w:rPr>
          <w:rFonts w:hint="eastAsia" w:ascii="宋体" w:hAnsi="宋体" w:cs="宋体"/>
          <w:color w:val="auto"/>
          <w:sz w:val="24"/>
          <w:highlight w:val="none"/>
          <w:lang w:eastAsia="zh-CN"/>
        </w:rPr>
        <w:t>采购</w:t>
      </w:r>
      <w:r>
        <w:rPr>
          <w:rFonts w:hint="eastAsia" w:ascii="宋体" w:hAnsi="宋体" w:cs="宋体"/>
          <w:color w:val="auto"/>
          <w:sz w:val="24"/>
          <w:highlight w:val="none"/>
        </w:rPr>
        <w:t>活动，郑重承诺：</w:t>
      </w:r>
    </w:p>
    <w:p w14:paraId="13246C1E">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6894535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6ABBCC1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2450EC3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795EEF8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671965E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1AF4CAB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43A55A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（二）未被“信用中国”（www.creditchina.gov.cn)、中国政府采购网（www.ccgp.gov.cn）列入失信被执行人、重大税收违法失信主体、政府采购严重违法失信行为记录名单。</w:t>
      </w:r>
    </w:p>
    <w:p w14:paraId="2F87394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6730D3A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w:t>
      </w:r>
      <w:r>
        <w:rPr>
          <w:rFonts w:hint="eastAsia" w:ascii="宋体" w:hAnsi="宋体" w:cs="宋体"/>
          <w:color w:val="auto"/>
          <w:sz w:val="24"/>
          <w:highlight w:val="none"/>
          <w:lang w:eastAsia="zh-CN"/>
        </w:rPr>
        <w:t>采购</w:t>
      </w:r>
      <w:r>
        <w:rPr>
          <w:rFonts w:hint="eastAsia" w:ascii="宋体" w:hAnsi="宋体" w:cs="宋体"/>
          <w:color w:val="auto"/>
          <w:sz w:val="24"/>
          <w:highlight w:val="none"/>
        </w:rPr>
        <w:t>活动的；</w:t>
      </w:r>
    </w:p>
    <w:p w14:paraId="50243D4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1188CCE1">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52BB30B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7968137">
      <w:pPr>
        <w:snapToGrid w:val="0"/>
        <w:spacing w:line="360" w:lineRule="auto"/>
        <w:ind w:right="480"/>
        <w:jc w:val="left"/>
        <w:rPr>
          <w:rFonts w:ascii="宋体" w:hAnsi="宋体" w:cs="宋体"/>
          <w:b/>
          <w:color w:val="auto"/>
          <w:kern w:val="0"/>
          <w:sz w:val="32"/>
          <w:szCs w:val="32"/>
          <w:highlight w:val="none"/>
        </w:rPr>
      </w:pPr>
    </w:p>
    <w:p w14:paraId="00823606">
      <w:pPr>
        <w:snapToGrid w:val="0"/>
        <w:spacing w:line="360" w:lineRule="auto"/>
        <w:ind w:right="480"/>
        <w:jc w:val="left"/>
        <w:rPr>
          <w:rFonts w:ascii="宋体" w:hAnsi="宋体" w:cs="宋体"/>
          <w:b/>
          <w:color w:val="auto"/>
          <w:kern w:val="0"/>
          <w:sz w:val="32"/>
          <w:szCs w:val="32"/>
          <w:highlight w:val="none"/>
        </w:rPr>
      </w:pPr>
    </w:p>
    <w:p w14:paraId="1083E987">
      <w:pPr>
        <w:snapToGrid w:val="0"/>
        <w:spacing w:line="360" w:lineRule="auto"/>
        <w:ind w:right="480"/>
        <w:jc w:val="left"/>
        <w:rPr>
          <w:rFonts w:ascii="宋体" w:hAnsi="宋体" w:cs="宋体"/>
          <w:b/>
          <w:color w:val="auto"/>
          <w:kern w:val="0"/>
          <w:sz w:val="24"/>
          <w:highlight w:val="none"/>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b/>
          <w:color w:val="auto"/>
          <w:kern w:val="0"/>
          <w:sz w:val="24"/>
          <w:highlight w:val="none"/>
        </w:rPr>
        <w:t>附</w:t>
      </w:r>
      <w:r>
        <w:rPr>
          <w:rFonts w:hint="eastAsia" w:ascii="宋体" w:hAnsi="宋体" w:cs="宋体"/>
          <w:b/>
          <w:color w:val="auto"/>
          <w:kern w:val="0"/>
          <w:sz w:val="24"/>
          <w:highlight w:val="none"/>
          <w:lang w:eastAsia="zh-CN"/>
        </w:rPr>
        <w:t>：</w:t>
      </w:r>
      <w:r>
        <w:rPr>
          <w:rFonts w:hint="eastAsia" w:ascii="宋体" w:hAnsi="宋体" w:cs="宋体"/>
          <w:b/>
          <w:color w:val="auto"/>
          <w:kern w:val="0"/>
          <w:sz w:val="24"/>
          <w:highlight w:val="none"/>
        </w:rPr>
        <w:t>营业执照</w:t>
      </w:r>
    </w:p>
    <w:p w14:paraId="29290E9D">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28500611">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[以联合体形式参与的，提供联合协议（附件5）；本项目不接受联合体或者供应商不以联合体形式投参与的，则不需要提供]</w:t>
      </w:r>
    </w:p>
    <w:p w14:paraId="140A1D5C">
      <w:pPr>
        <w:widowControl/>
        <w:spacing w:line="360" w:lineRule="auto"/>
        <w:ind w:firstLine="482" w:firstLineChars="200"/>
        <w:jc w:val="left"/>
        <w:rPr>
          <w:rFonts w:hint="eastAsia" w:ascii="宋体" w:hAnsi="宋体" w:cs="宋体"/>
          <w:b/>
          <w:color w:val="auto"/>
          <w:sz w:val="24"/>
          <w:highlight w:val="none"/>
        </w:rPr>
      </w:pPr>
    </w:p>
    <w:p w14:paraId="3198835B">
      <w:pPr>
        <w:widowControl/>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w:t>
      </w:r>
      <w:r>
        <w:rPr>
          <w:rFonts w:hint="eastAsia" w:ascii="宋体" w:hAnsi="宋体" w:cs="宋体"/>
          <w:b/>
          <w:color w:val="auto"/>
          <w:kern w:val="0"/>
          <w:sz w:val="32"/>
          <w:szCs w:val="32"/>
          <w:highlight w:val="none"/>
          <w:lang w:eastAsia="zh-CN"/>
        </w:rPr>
        <w:t>采购</w:t>
      </w:r>
      <w:r>
        <w:rPr>
          <w:rFonts w:hint="eastAsia" w:ascii="宋体" w:hAnsi="宋体" w:cs="宋体"/>
          <w:b/>
          <w:color w:val="auto"/>
          <w:kern w:val="0"/>
          <w:sz w:val="32"/>
          <w:szCs w:val="32"/>
          <w:highlight w:val="none"/>
        </w:rPr>
        <w:t>政策需满足的资格要求</w:t>
      </w:r>
    </w:p>
    <w:p w14:paraId="7B934C3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（根据竞争性磋商公告落实</w:t>
      </w:r>
      <w:r>
        <w:rPr>
          <w:rFonts w:hint="eastAsia" w:ascii="宋体" w:hAnsi="宋体" w:cs="宋体"/>
          <w:color w:val="auto"/>
          <w:sz w:val="24"/>
          <w:highlight w:val="none"/>
          <w:lang w:eastAsia="zh-CN"/>
        </w:rPr>
        <w:t>采购</w:t>
      </w:r>
      <w:r>
        <w:rPr>
          <w:rFonts w:hint="eastAsia" w:ascii="宋体" w:hAnsi="宋体" w:cs="宋体"/>
          <w:color w:val="auto"/>
          <w:sz w:val="24"/>
          <w:highlight w:val="none"/>
        </w:rPr>
        <w:t>政策需满足的资格要求选择提供相应的材料）</w:t>
      </w:r>
    </w:p>
    <w:p w14:paraId="4BAC5C66">
      <w:pPr>
        <w:snapToGrid w:val="0"/>
        <w:spacing w:before="50" w:after="50" w:line="360" w:lineRule="auto"/>
        <w:ind w:left="0" w:leftChars="0" w:firstLine="0" w:firstLineChars="0"/>
        <w:jc w:val="center"/>
        <w:rPr>
          <w:rFonts w:hint="eastAsia" w:ascii="宋体" w:hAnsi="宋体" w:eastAsia="宋体" w:cs="宋体"/>
          <w:b/>
          <w:color w:val="auto"/>
          <w:sz w:val="28"/>
          <w:szCs w:val="28"/>
          <w:highlight w:val="none"/>
          <w:lang w:eastAsia="zh-CN"/>
        </w:rPr>
      </w:pPr>
      <w:r>
        <w:rPr>
          <w:rFonts w:hint="eastAsia" w:ascii="宋体" w:hAnsi="宋体" w:cs="宋体"/>
          <w:b/>
          <w:color w:val="auto"/>
          <w:sz w:val="28"/>
          <w:szCs w:val="28"/>
          <w:highlight w:val="none"/>
          <w:lang w:eastAsia="zh-CN"/>
        </w:rPr>
        <w:t>（</w:t>
      </w:r>
      <w:r>
        <w:rPr>
          <w:rFonts w:hint="eastAsia" w:ascii="宋体" w:hAnsi="宋体" w:cs="宋体"/>
          <w:b/>
          <w:color w:val="auto"/>
          <w:sz w:val="28"/>
          <w:szCs w:val="28"/>
          <w:highlight w:val="none"/>
          <w:lang w:val="en-US" w:eastAsia="zh-CN"/>
        </w:rPr>
        <w:t>本项目专门面向小微企业</w:t>
      </w:r>
      <w:r>
        <w:rPr>
          <w:rFonts w:hint="eastAsia" w:ascii="宋体" w:hAnsi="宋体" w:cs="宋体"/>
          <w:b/>
          <w:color w:val="auto"/>
          <w:sz w:val="28"/>
          <w:szCs w:val="28"/>
          <w:highlight w:val="none"/>
          <w:lang w:eastAsia="zh-CN"/>
        </w:rPr>
        <w:t>）</w:t>
      </w:r>
    </w:p>
    <w:p w14:paraId="6B5065E1">
      <w:pPr>
        <w:snapToGrid w:val="0"/>
        <w:spacing w:before="50" w:after="50" w:line="360" w:lineRule="auto"/>
        <w:ind w:firstLine="472" w:firstLineChars="196"/>
        <w:jc w:val="left"/>
        <w:rPr>
          <w:rFonts w:hint="eastAsia" w:ascii="宋体" w:hAnsi="宋体" w:cs="宋体"/>
          <w:b/>
          <w:color w:val="auto"/>
          <w:sz w:val="24"/>
          <w:highlight w:val="none"/>
        </w:rPr>
      </w:pPr>
    </w:p>
    <w:p w14:paraId="5093F4CB">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 xml:space="preserve">.专门面向中小企业，工程全部由符合政策要求的中小企业（或小微企业）承建的，提供相应的中小企业声明函（附件7）。 </w:t>
      </w:r>
    </w:p>
    <w:p w14:paraId="18A28BE7">
      <w:pPr>
        <w:widowControl/>
        <w:spacing w:line="360" w:lineRule="auto"/>
        <w:ind w:firstLine="480"/>
        <w:jc w:val="left"/>
        <w:rPr>
          <w:rFonts w:ascii="宋体" w:hAnsi="宋体" w:cs="宋体"/>
          <w:color w:val="auto"/>
          <w:sz w:val="24"/>
          <w:highlight w:val="none"/>
        </w:rPr>
      </w:pPr>
    </w:p>
    <w:p w14:paraId="22860B29">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5）和中小企业声明函（附件7），联合协议中中小企业合同金额应当达到竞争性磋商公告载明的比例；如果供应商本身提供所有标的均由中小企业承建的，视同符合了资格条件，无需再与其他中小企业组成联合体参加</w:t>
      </w:r>
      <w:r>
        <w:rPr>
          <w:rFonts w:hint="eastAsia" w:ascii="宋体" w:hAnsi="宋体" w:cs="宋体"/>
          <w:color w:val="auto"/>
          <w:sz w:val="24"/>
          <w:highlight w:val="none"/>
          <w:lang w:eastAsia="zh-CN"/>
        </w:rPr>
        <w:t>采购</w:t>
      </w:r>
      <w:r>
        <w:rPr>
          <w:rFonts w:hint="eastAsia" w:ascii="宋体" w:hAnsi="宋体" w:cs="宋体"/>
          <w:color w:val="auto"/>
          <w:sz w:val="24"/>
          <w:highlight w:val="none"/>
        </w:rPr>
        <w:t>活动，无需提供联合协议。</w:t>
      </w:r>
    </w:p>
    <w:p w14:paraId="3DA8EC25">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7C78572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b/>
          <w:color w:val="auto"/>
          <w:sz w:val="24"/>
          <w:highlight w:val="none"/>
          <w:lang w:val="en-US" w:eastAsia="zh-CN"/>
        </w:rPr>
        <w:t>.</w:t>
      </w:r>
      <w:r>
        <w:rPr>
          <w:rFonts w:hint="eastAsia" w:ascii="宋体" w:hAnsi="宋体" w:cs="宋体"/>
          <w:color w:val="auto"/>
          <w:sz w:val="24"/>
          <w:highlight w:val="none"/>
        </w:rPr>
        <w:t>要求合同分包的，提供分包意向协议（附件6）和中小企业声明函（附件7），分包意向协议中中小企业合同金额应当达到竞争性磋商公告载明的比例；如果供应商本身提供所有标的均由中小企业承建，视同符合了资格条件，无需再向中小企业分包，无需提供分包意向协议。</w:t>
      </w:r>
    </w:p>
    <w:p w14:paraId="19F9DFC4">
      <w:pPr>
        <w:widowControl/>
        <w:spacing w:line="360" w:lineRule="auto"/>
        <w:ind w:left="150"/>
        <w:jc w:val="center"/>
        <w:rPr>
          <w:rFonts w:ascii="宋体" w:hAnsi="宋体" w:cs="宋体"/>
          <w:b/>
          <w:color w:val="auto"/>
          <w:kern w:val="0"/>
          <w:sz w:val="32"/>
          <w:szCs w:val="32"/>
          <w:highlight w:val="none"/>
        </w:rPr>
      </w:pPr>
    </w:p>
    <w:p w14:paraId="5F2CBB43">
      <w:pPr>
        <w:pStyle w:val="61"/>
        <w:ind w:firstLine="420"/>
        <w:rPr>
          <w:color w:val="auto"/>
          <w:highlight w:val="none"/>
        </w:rPr>
      </w:pPr>
    </w:p>
    <w:p w14:paraId="618238FD">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664443F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（根据竞争性磋商公告本项目的特定资格要求提供相应的材料）</w:t>
      </w:r>
    </w:p>
    <w:p w14:paraId="634B42CE">
      <w:pPr>
        <w:rPr>
          <w:rFonts w:ascii="宋体" w:hAnsi="宋体" w:cs="宋体"/>
          <w:color w:val="auto"/>
          <w:highlight w:val="none"/>
        </w:rPr>
      </w:pPr>
    </w:p>
    <w:p w14:paraId="47E805C0">
      <w:pP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0286B7D3">
      <w:pPr>
        <w:pStyle w:val="4"/>
        <w:rPr>
          <w:rFonts w:ascii="宋体" w:hAnsi="宋体" w:eastAsia="宋体" w:cs="宋体"/>
          <w:b w:val="0"/>
          <w:color w:val="auto"/>
          <w:kern w:val="0"/>
          <w:sz w:val="36"/>
          <w:szCs w:val="36"/>
          <w:highlight w:val="none"/>
        </w:rPr>
      </w:pPr>
    </w:p>
    <w:p w14:paraId="076FC8C1">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40A0E979">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701F2664">
      <w:pPr>
        <w:numPr>
          <w:ilvl w:val="0"/>
          <w:numId w:val="13"/>
        </w:numPr>
        <w:snapToGrid w:val="0"/>
        <w:spacing w:line="360" w:lineRule="auto"/>
        <w:ind w:left="0" w:leftChars="0" w:firstLine="420" w:firstLineChars="0"/>
        <w:rPr>
          <w:rFonts w:ascii="宋体" w:hAnsi="宋体" w:cs="宋体"/>
          <w:color w:val="auto"/>
          <w:sz w:val="24"/>
          <w:szCs w:val="24"/>
          <w:highlight w:val="none"/>
        </w:rPr>
      </w:pPr>
      <w:r>
        <w:rPr>
          <w:rFonts w:hint="eastAsia" w:ascii="宋体" w:hAnsi="宋体" w:cs="宋体"/>
          <w:color w:val="auto"/>
          <w:sz w:val="24"/>
          <w:szCs w:val="24"/>
          <w:highlight w:val="none"/>
        </w:rPr>
        <w:t>响应函………………………………………………………………………………（页码）</w:t>
      </w:r>
    </w:p>
    <w:p w14:paraId="165CBD37">
      <w:pPr>
        <w:numPr>
          <w:ilvl w:val="0"/>
          <w:numId w:val="13"/>
        </w:numPr>
        <w:snapToGrid w:val="0"/>
        <w:spacing w:line="360" w:lineRule="auto"/>
        <w:ind w:left="0" w:leftChars="0" w:firstLine="420" w:firstLineChars="0"/>
        <w:rPr>
          <w:rFonts w:ascii="宋体" w:hAnsi="宋体" w:cs="宋体"/>
          <w:color w:val="auto"/>
          <w:sz w:val="24"/>
          <w:szCs w:val="24"/>
          <w:highlight w:val="none"/>
        </w:rPr>
      </w:pPr>
      <w:r>
        <w:rPr>
          <w:rFonts w:hint="eastAsia" w:ascii="宋体" w:hAnsi="宋体" w:cs="宋体"/>
          <w:color w:val="auto"/>
          <w:sz w:val="24"/>
          <w:szCs w:val="24"/>
          <w:highlight w:val="none"/>
        </w:rPr>
        <w:t>授权委托书或法定代表人（单位负责人、自然人本人）身份证明……………（页码）</w:t>
      </w:r>
    </w:p>
    <w:p w14:paraId="478B810C">
      <w:pPr>
        <w:numPr>
          <w:ilvl w:val="0"/>
          <w:numId w:val="13"/>
        </w:numPr>
        <w:snapToGrid w:val="0"/>
        <w:spacing w:line="360" w:lineRule="auto"/>
        <w:ind w:left="0" w:leftChars="0" w:firstLine="420" w:firstLineChars="0"/>
        <w:rPr>
          <w:rFonts w:ascii="宋体" w:hAnsi="宋体" w:cs="宋体"/>
          <w:color w:val="auto"/>
          <w:sz w:val="24"/>
          <w:szCs w:val="24"/>
          <w:highlight w:val="none"/>
        </w:rPr>
      </w:pPr>
      <w:r>
        <w:rPr>
          <w:rFonts w:hint="eastAsia" w:ascii="宋体" w:hAnsi="宋体" w:cs="宋体"/>
          <w:color w:val="auto"/>
          <w:sz w:val="24"/>
          <w:szCs w:val="24"/>
          <w:highlight w:val="none"/>
        </w:rPr>
        <w:t>分包意向协议………………………………………………………………………（页码）</w:t>
      </w:r>
    </w:p>
    <w:p w14:paraId="4CD5EE0F">
      <w:pPr>
        <w:numPr>
          <w:ilvl w:val="0"/>
          <w:numId w:val="13"/>
        </w:numPr>
        <w:snapToGrid w:val="0"/>
        <w:spacing w:line="360" w:lineRule="auto"/>
        <w:ind w:left="0" w:leftChars="0" w:firstLine="420" w:firstLineChars="0"/>
        <w:rPr>
          <w:rFonts w:ascii="宋体" w:hAnsi="宋体" w:cs="宋体"/>
          <w:color w:val="auto"/>
          <w:sz w:val="24"/>
          <w:szCs w:val="24"/>
          <w:highlight w:val="none"/>
        </w:rPr>
      </w:pPr>
      <w:r>
        <w:rPr>
          <w:rFonts w:hint="eastAsia" w:ascii="宋体" w:hAnsi="宋体" w:cs="宋体"/>
          <w:color w:val="auto"/>
          <w:sz w:val="24"/>
          <w:szCs w:val="24"/>
          <w:highlight w:val="none"/>
        </w:rPr>
        <w:t>符合性审查资料……………………………………………………………………（页码）</w:t>
      </w:r>
    </w:p>
    <w:p w14:paraId="7A80746D">
      <w:pPr>
        <w:numPr>
          <w:ilvl w:val="0"/>
          <w:numId w:val="13"/>
        </w:numPr>
        <w:snapToGrid w:val="0"/>
        <w:spacing w:line="360" w:lineRule="auto"/>
        <w:ind w:left="0" w:leftChars="0" w:firstLine="420" w:firstLineChars="0"/>
        <w:rPr>
          <w:rFonts w:ascii="宋体" w:hAnsi="宋体" w:cs="宋体"/>
          <w:color w:val="auto"/>
          <w:sz w:val="24"/>
          <w:szCs w:val="24"/>
          <w:highlight w:val="none"/>
        </w:rPr>
      </w:pPr>
      <w:r>
        <w:rPr>
          <w:rFonts w:hint="eastAsia" w:ascii="宋体" w:hAnsi="宋体" w:cs="宋体"/>
          <w:color w:val="auto"/>
          <w:sz w:val="24"/>
          <w:szCs w:val="24"/>
          <w:highlight w:val="none"/>
        </w:rPr>
        <w:t>评审标准相应的商务技术资料……………………………………………………（页码</w:t>
      </w:r>
      <w:r>
        <w:rPr>
          <w:rFonts w:hint="eastAsia" w:ascii="宋体" w:hAnsi="宋体" w:cs="宋体"/>
          <w:color w:val="auto"/>
          <w:sz w:val="24"/>
          <w:szCs w:val="24"/>
          <w:highlight w:val="none"/>
          <w:lang w:eastAsia="zh-CN"/>
        </w:rPr>
        <w:t>）</w:t>
      </w:r>
    </w:p>
    <w:p w14:paraId="0391A7D1">
      <w:pPr>
        <w:numPr>
          <w:ilvl w:val="0"/>
          <w:numId w:val="13"/>
        </w:numPr>
        <w:snapToGrid w:val="0"/>
        <w:spacing w:line="360" w:lineRule="auto"/>
        <w:ind w:left="0" w:leftChars="0" w:firstLine="420" w:firstLineChars="0"/>
        <w:rPr>
          <w:rFonts w:ascii="宋体" w:hAnsi="宋体" w:cs="宋体"/>
          <w:color w:val="auto"/>
          <w:sz w:val="24"/>
          <w:szCs w:val="24"/>
          <w:highlight w:val="none"/>
        </w:rPr>
      </w:pPr>
      <w:r>
        <w:rPr>
          <w:rFonts w:hint="eastAsia" w:ascii="宋体" w:hAnsi="宋体" w:cs="宋体"/>
          <w:color w:val="auto"/>
          <w:sz w:val="24"/>
          <w:szCs w:val="24"/>
          <w:highlight w:val="none"/>
        </w:rPr>
        <w:t>商务技术偏离表……………………………………………………………………（页码）</w:t>
      </w:r>
    </w:p>
    <w:p w14:paraId="5695524A">
      <w:pPr>
        <w:numPr>
          <w:ilvl w:val="0"/>
          <w:numId w:val="13"/>
        </w:numPr>
        <w:snapToGrid w:val="0"/>
        <w:spacing w:line="360" w:lineRule="auto"/>
        <w:ind w:left="0" w:leftChars="0" w:firstLine="420" w:firstLineChars="0"/>
        <w:rPr>
          <w:rFonts w:ascii="宋体" w:hAnsi="宋体" w:cs="宋体"/>
          <w:color w:val="auto"/>
          <w:sz w:val="24"/>
          <w:szCs w:val="24"/>
          <w:highlight w:val="none"/>
        </w:rPr>
      </w:pPr>
      <w:r>
        <w:rPr>
          <w:rFonts w:hint="eastAsia" w:ascii="宋体" w:hAnsi="宋体" w:cs="宋体"/>
          <w:color w:val="auto"/>
          <w:sz w:val="24"/>
          <w:szCs w:val="24"/>
          <w:highlight w:val="none"/>
          <w:lang w:val="zh-CN"/>
        </w:rPr>
        <w:t>采购供应商廉洁自律承诺书</w:t>
      </w:r>
      <w:r>
        <w:rPr>
          <w:rFonts w:hint="eastAsia" w:ascii="宋体" w:hAnsi="宋体" w:cs="宋体"/>
          <w:color w:val="auto"/>
          <w:sz w:val="24"/>
          <w:szCs w:val="24"/>
          <w:highlight w:val="none"/>
        </w:rPr>
        <w:t>………………………………………………………（页码）</w:t>
      </w:r>
    </w:p>
    <w:p w14:paraId="2E723EDD">
      <w:pPr>
        <w:snapToGrid w:val="0"/>
        <w:spacing w:line="360" w:lineRule="auto"/>
        <w:jc w:val="center"/>
        <w:rPr>
          <w:rFonts w:ascii="宋体" w:hAnsi="宋体" w:cs="宋体"/>
          <w:b/>
          <w:color w:val="auto"/>
          <w:kern w:val="0"/>
          <w:sz w:val="24"/>
          <w:szCs w:val="32"/>
          <w:highlight w:val="none"/>
          <w:lang w:val="zh-CN"/>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1CD4EBFE">
      <w:pPr>
        <w:snapToGrid w:val="0"/>
        <w:spacing w:line="360" w:lineRule="auto"/>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一、响应函</w:t>
      </w:r>
    </w:p>
    <w:p w14:paraId="692EA1E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color w:val="auto"/>
          <w:sz w:val="24"/>
          <w:highlight w:val="none"/>
        </w:rPr>
      </w:pPr>
      <w:r>
        <w:rPr>
          <w:rFonts w:hint="eastAsia" w:ascii="宋体" w:hAnsi="宋体" w:cs="宋体"/>
          <w:color w:val="auto"/>
          <w:sz w:val="24"/>
          <w:highlight w:val="none"/>
          <w:lang w:eastAsia="zh-CN"/>
        </w:rPr>
        <w:t>杭州市美术职业学校</w:t>
      </w:r>
      <w:r>
        <w:rPr>
          <w:rFonts w:hint="eastAsia" w:ascii="宋体" w:hAnsi="宋体" w:cs="宋体"/>
          <w:color w:val="auto"/>
          <w:sz w:val="24"/>
          <w:highlight w:val="none"/>
        </w:rPr>
        <w:t>、</w:t>
      </w:r>
      <w:r>
        <w:rPr>
          <w:rFonts w:hint="eastAsia" w:ascii="宋体" w:hAnsi="宋体" w:cs="宋体"/>
          <w:color w:val="auto"/>
          <w:sz w:val="24"/>
          <w:highlight w:val="none"/>
          <w:lang w:eastAsia="zh-CN"/>
        </w:rPr>
        <w:t>杭州洲源招标代理有限公司</w:t>
      </w:r>
      <w:r>
        <w:rPr>
          <w:rFonts w:hint="eastAsia" w:ascii="宋体" w:hAnsi="宋体" w:cs="宋体"/>
          <w:color w:val="auto"/>
          <w:sz w:val="24"/>
          <w:highlight w:val="none"/>
        </w:rPr>
        <w:t>：</w:t>
      </w:r>
    </w:p>
    <w:p w14:paraId="2FC09BA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杭州市美术职业学校（凤山校区）门卫楼及大礼堂外立面工程</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MSZX-2025-004</w:t>
      </w:r>
      <w:r>
        <w:rPr>
          <w:rFonts w:hint="eastAsia" w:ascii="宋体" w:hAnsi="宋体" w:cs="宋体"/>
          <w:color w:val="auto"/>
          <w:sz w:val="24"/>
          <w:highlight w:val="none"/>
        </w:rPr>
        <w:t>】采购的有关活动，并对此项目提交响应文件及报价。为此：</w:t>
      </w:r>
    </w:p>
    <w:p w14:paraId="0840B6B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1、我方承诺响应文件有效期从提交响应文件的截止之日起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本响应文件在响应文件有效期满之前均具有约束力。</w:t>
      </w:r>
    </w:p>
    <w:p w14:paraId="1440671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2、我方的响应文件包括以下内容：</w:t>
      </w:r>
    </w:p>
    <w:p w14:paraId="51A5E62A">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2.1资格文件：</w:t>
      </w:r>
    </w:p>
    <w:p w14:paraId="2B635DF5">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2.1.1承诺函；</w:t>
      </w:r>
    </w:p>
    <w:p w14:paraId="5F8ED9C6">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671CCB9D">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2.1.3落实</w:t>
      </w:r>
      <w:r>
        <w:rPr>
          <w:rFonts w:hint="eastAsia" w:ascii="宋体" w:hAnsi="宋体" w:cs="宋体"/>
          <w:color w:val="auto"/>
          <w:sz w:val="24"/>
          <w:highlight w:val="none"/>
          <w:lang w:eastAsia="zh-CN"/>
        </w:rPr>
        <w:t>采购</w:t>
      </w:r>
      <w:r>
        <w:rPr>
          <w:rFonts w:hint="eastAsia" w:ascii="宋体" w:hAnsi="宋体" w:cs="宋体"/>
          <w:color w:val="auto"/>
          <w:sz w:val="24"/>
          <w:highlight w:val="none"/>
        </w:rPr>
        <w:t>政策需满足的资格要求（如果有）；</w:t>
      </w:r>
    </w:p>
    <w:p w14:paraId="58C81D54">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2.1.4本项目的特定资格要求（如果有）。</w:t>
      </w:r>
    </w:p>
    <w:p w14:paraId="19FE5F22">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FF971B9">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2.2.1响应函；</w:t>
      </w:r>
      <w:r>
        <w:rPr>
          <w:rFonts w:hint="eastAsia" w:ascii="宋体" w:hAnsi="宋体" w:cs="宋体"/>
          <w:color w:val="auto"/>
          <w:sz w:val="24"/>
          <w:highlight w:val="none"/>
          <w:lang w:val="zh-CN"/>
        </w:rPr>
        <w:t xml:space="preserve"> </w:t>
      </w:r>
    </w:p>
    <w:p w14:paraId="6A4FC194">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734ABF0E">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2.2.3分包意向协议（如果有）；</w:t>
      </w:r>
    </w:p>
    <w:p w14:paraId="33DE7197">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2.2.4符合性审查资料；</w:t>
      </w:r>
    </w:p>
    <w:p w14:paraId="549EFC15">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2.2.5评审标准相应的商务技术资料；</w:t>
      </w:r>
    </w:p>
    <w:p w14:paraId="699367D5">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2.2.6商务技术偏离表；</w:t>
      </w:r>
    </w:p>
    <w:p w14:paraId="40D30DDB">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采购供应商廉洁自律承诺书；</w:t>
      </w:r>
    </w:p>
    <w:p w14:paraId="06AB0F05">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29B55324">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2.3.1报价单；</w:t>
      </w:r>
    </w:p>
    <w:p w14:paraId="0AD130DE">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2.3.2已标价工程量清单</w:t>
      </w:r>
    </w:p>
    <w:p w14:paraId="0EE45619">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2.3.3</w:t>
      </w:r>
      <w:r>
        <w:rPr>
          <w:rFonts w:hint="eastAsia" w:ascii="宋体" w:hAnsi="宋体" w:cs="宋体"/>
          <w:color w:val="auto"/>
          <w:sz w:val="24"/>
          <w:highlight w:val="none"/>
        </w:rPr>
        <w:t>中小企业声明函（如果有）。</w:t>
      </w:r>
    </w:p>
    <w:p w14:paraId="738FB63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r>
        <w:rPr>
          <w:rFonts w:hint="eastAsia" w:ascii="宋体" w:hAnsi="宋体" w:cs="宋体"/>
          <w:color w:val="auto"/>
          <w:sz w:val="24"/>
          <w:highlight w:val="none"/>
        </w:rPr>
        <w:t>。</w:t>
      </w:r>
    </w:p>
    <w:p w14:paraId="06CF77A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4、如我方成交，我方承诺：</w:t>
      </w:r>
    </w:p>
    <w:p w14:paraId="47D7A5A7">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4.1在收到成交通知书后，在成交通知书规定的期限内与你方签订合同； </w:t>
      </w:r>
    </w:p>
    <w:p w14:paraId="407409C4">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783F63EF">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4.3按照采购文件要求提交履约保证金； </w:t>
      </w:r>
    </w:p>
    <w:p w14:paraId="22250F9A">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42FF0E5">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通过乐采云平台开展的质疑、投诉等活动，我方承诺并接受平台以电子送达的方式送达相关文书。我方认可电子送达与邮寄送达具有同等法律效力，以文书到达乐采云平台日期为送达日期，本公司保证乐采云平台账号真实有效。</w:t>
      </w:r>
    </w:p>
    <w:p w14:paraId="6969431A">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170E8D2">
      <w:pPr>
        <w:keepNext w:val="0"/>
        <w:keepLines w:val="0"/>
        <w:pageBreakBefore w:val="0"/>
        <w:widowControl w:val="0"/>
        <w:kinsoku/>
        <w:wordWrap/>
        <w:overflowPunct/>
        <w:topLinePunct w:val="0"/>
        <w:autoSpaceDE/>
        <w:autoSpaceDN/>
        <w:bidi w:val="0"/>
        <w:adjustRightInd w:val="0"/>
        <w:spacing w:line="360" w:lineRule="auto"/>
        <w:ind w:firstLine="3600" w:firstLineChars="1500"/>
        <w:textAlignment w:val="auto"/>
        <w:rPr>
          <w:rFonts w:ascii="宋体" w:hAnsi="宋体" w:cs="宋体"/>
          <w:color w:val="auto"/>
          <w:sz w:val="24"/>
          <w:highlight w:val="none"/>
        </w:rPr>
      </w:pPr>
      <w:r>
        <w:rPr>
          <w:rFonts w:hint="eastAsia" w:ascii="宋体" w:hAnsi="宋体" w:cs="宋体"/>
          <w:color w:val="auto"/>
          <w:sz w:val="24"/>
          <w:highlight w:val="none"/>
        </w:rPr>
        <w:t xml:space="preserve">供应商名称（电子签名）：                          </w:t>
      </w:r>
    </w:p>
    <w:p w14:paraId="4F242D73">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25B26E06">
      <w:pPr>
        <w:keepNext w:val="0"/>
        <w:keepLines w:val="0"/>
        <w:pageBreakBefore w:val="0"/>
        <w:widowControl w:val="0"/>
        <w:kinsoku/>
        <w:wordWrap/>
        <w:overflowPunct/>
        <w:topLinePunct w:val="0"/>
        <w:autoSpaceDE/>
        <w:autoSpaceDN/>
        <w:bidi w:val="0"/>
        <w:adjustRightInd w:val="0"/>
        <w:spacing w:line="360" w:lineRule="auto"/>
        <w:ind w:right="420"/>
        <w:textAlignment w:val="auto"/>
        <w:rPr>
          <w:rFonts w:ascii="宋体" w:hAnsi="宋体" w:cs="宋体"/>
          <w:color w:val="auto"/>
          <w:sz w:val="24"/>
          <w:highlight w:val="none"/>
        </w:rPr>
      </w:pPr>
      <w:r>
        <w:rPr>
          <w:rFonts w:hint="eastAsia" w:ascii="宋体" w:hAnsi="宋体" w:cs="宋体"/>
          <w:color w:val="auto"/>
          <w:sz w:val="24"/>
          <w:highlight w:val="none"/>
        </w:rPr>
        <w:t>注：按本格式和要求提供。</w:t>
      </w:r>
    </w:p>
    <w:p w14:paraId="03C2C1A2">
      <w:pPr>
        <w:jc w:val="center"/>
        <w:rPr>
          <w:rFonts w:ascii="宋体" w:hAnsi="宋体" w:cs="宋体"/>
          <w:b/>
          <w:color w:val="auto"/>
          <w:kern w:val="0"/>
          <w:sz w:val="32"/>
          <w:szCs w:val="32"/>
          <w:highlight w:val="none"/>
        </w:rPr>
        <w:sectPr>
          <w:pgSz w:w="11906" w:h="16838"/>
          <w:pgMar w:top="1440" w:right="1417" w:bottom="1440" w:left="1417" w:header="851" w:footer="850" w:gutter="0"/>
          <w:pgBorders>
            <w:top w:val="none" w:sz="0" w:space="0"/>
            <w:left w:val="none" w:sz="0" w:space="0"/>
            <w:bottom w:val="none" w:sz="0" w:space="0"/>
            <w:right w:val="none" w:sz="0" w:space="0"/>
          </w:pgBorders>
          <w:pgNumType w:fmt="decimal"/>
          <w:cols w:space="0" w:num="1"/>
          <w:titlePg/>
          <w:rtlGutter w:val="0"/>
          <w:docGrid w:linePitch="312" w:charSpace="0"/>
        </w:sectPr>
      </w:pPr>
    </w:p>
    <w:p w14:paraId="68CCF5A3">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二、授权委托书或法定代表人（单位负责人、自然人本人）身份证明</w:t>
      </w:r>
    </w:p>
    <w:p w14:paraId="067FF5B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7C7A33CD">
      <w:pPr>
        <w:snapToGrid w:val="0"/>
        <w:spacing w:line="360" w:lineRule="auto"/>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授权委托书（适用于非联合体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14:paraId="2FE99149">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杭州市美术职业学校</w:t>
      </w:r>
      <w:r>
        <w:rPr>
          <w:rFonts w:hint="eastAsia" w:ascii="宋体" w:hAnsi="宋体" w:cs="宋体"/>
          <w:color w:val="auto"/>
          <w:sz w:val="24"/>
          <w:highlight w:val="none"/>
        </w:rPr>
        <w:t>、</w:t>
      </w:r>
      <w:r>
        <w:rPr>
          <w:rFonts w:hint="eastAsia" w:ascii="宋体" w:hAnsi="宋体" w:cs="宋体"/>
          <w:color w:val="auto"/>
          <w:sz w:val="24"/>
          <w:highlight w:val="none"/>
          <w:lang w:eastAsia="zh-CN"/>
        </w:rPr>
        <w:t>杭州洲源招标代理有限公司</w:t>
      </w:r>
      <w:r>
        <w:rPr>
          <w:rFonts w:hint="eastAsia" w:ascii="宋体" w:hAnsi="宋体" w:cs="宋体"/>
          <w:color w:val="auto"/>
          <w:kern w:val="0"/>
          <w:sz w:val="24"/>
          <w:highlight w:val="none"/>
          <w:lang w:val="zh-CN"/>
        </w:rPr>
        <w:t>：</w:t>
      </w:r>
    </w:p>
    <w:p w14:paraId="7784CBF0">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zh-CN"/>
        </w:rPr>
        <w:t>，</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杭州市美术职业学校（凤山校区）门卫楼及大礼堂外立面工程</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MSZX-2025-004</w:t>
      </w:r>
      <w:r>
        <w:rPr>
          <w:rFonts w:hint="eastAsia" w:ascii="宋体" w:hAnsi="宋体" w:cs="宋体"/>
          <w:color w:val="auto"/>
          <w:sz w:val="24"/>
          <w:highlight w:val="none"/>
        </w:rPr>
        <w:t>】</w:t>
      </w:r>
      <w:r>
        <w:rPr>
          <w:rFonts w:hint="eastAsia" w:ascii="宋体" w:hAnsi="宋体" w:cs="宋体"/>
          <w:color w:val="auto"/>
          <w:kern w:val="0"/>
          <w:sz w:val="24"/>
          <w:highlight w:val="none"/>
          <w:lang w:val="zh-CN"/>
        </w:rPr>
        <w:t>采购</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的一切事项，其法律后果由我方承担。</w:t>
      </w:r>
    </w:p>
    <w:p w14:paraId="3DBE7CD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2BE85B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57A482F6">
      <w:pPr>
        <w:snapToGrid w:val="0"/>
        <w:spacing w:line="360" w:lineRule="auto"/>
        <w:ind w:left="5027" w:leftChars="2394" w:firstLine="0" w:firstLineChars="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r>
        <w:rPr>
          <w:rFonts w:hint="eastAsia" w:ascii="宋体" w:hAnsi="宋体" w:cs="宋体"/>
          <w:color w:val="auto"/>
          <w:sz w:val="24"/>
          <w:highlight w:val="none"/>
        </w:rPr>
        <w:t>供应商名称（电子签名）：</w:t>
      </w:r>
    </w:p>
    <w:p w14:paraId="0FAE29BD">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6863E2CC">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日期：  年  月   日</w:t>
      </w:r>
    </w:p>
    <w:p w14:paraId="61735D35">
      <w:pPr>
        <w:snapToGrid w:val="0"/>
        <w:spacing w:line="360" w:lineRule="auto"/>
        <w:rPr>
          <w:rFonts w:ascii="宋体" w:hAnsi="宋体" w:cs="宋体"/>
          <w:color w:val="auto"/>
          <w:sz w:val="24"/>
          <w:highlight w:val="none"/>
        </w:rPr>
      </w:pPr>
    </w:p>
    <w:p w14:paraId="37B00BEA">
      <w:pPr>
        <w:snapToGrid w:val="0"/>
        <w:spacing w:line="360" w:lineRule="auto"/>
        <w:rPr>
          <w:rFonts w:ascii="宋体" w:hAnsi="宋体" w:cs="宋体"/>
          <w:color w:val="auto"/>
          <w:sz w:val="24"/>
          <w:highlight w:val="none"/>
        </w:rPr>
      </w:pPr>
    </w:p>
    <w:p w14:paraId="75E19AAF">
      <w:pPr>
        <w:snapToGrid w:val="0"/>
        <w:spacing w:line="360" w:lineRule="auto"/>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14:paraId="1EA3CF36">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杭州市美术职业学校</w:t>
      </w:r>
      <w:r>
        <w:rPr>
          <w:rFonts w:hint="eastAsia" w:ascii="宋体" w:hAnsi="宋体" w:cs="宋体"/>
          <w:color w:val="auto"/>
          <w:sz w:val="24"/>
          <w:highlight w:val="none"/>
        </w:rPr>
        <w:t>、</w:t>
      </w:r>
      <w:r>
        <w:rPr>
          <w:rFonts w:hint="eastAsia" w:ascii="宋体" w:hAnsi="宋体" w:cs="宋体"/>
          <w:color w:val="auto"/>
          <w:sz w:val="24"/>
          <w:highlight w:val="none"/>
          <w:lang w:eastAsia="zh-CN"/>
        </w:rPr>
        <w:t>杭州洲源招标代理有限公司</w:t>
      </w:r>
      <w:r>
        <w:rPr>
          <w:rFonts w:hint="eastAsia" w:ascii="宋体" w:hAnsi="宋体" w:cs="宋体"/>
          <w:color w:val="auto"/>
          <w:kern w:val="0"/>
          <w:sz w:val="24"/>
          <w:highlight w:val="none"/>
          <w:lang w:val="zh-CN"/>
        </w:rPr>
        <w:t>：</w:t>
      </w:r>
    </w:p>
    <w:p w14:paraId="219A710E">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zh-CN"/>
        </w:rPr>
        <w:t>，</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（项目名称）【项目编号：（采购编号）】</w:t>
      </w:r>
      <w:r>
        <w:rPr>
          <w:rFonts w:hint="eastAsia" w:ascii="宋体" w:hAnsi="宋体" w:cs="宋体"/>
          <w:color w:val="auto"/>
          <w:kern w:val="0"/>
          <w:sz w:val="24"/>
          <w:highlight w:val="none"/>
          <w:lang w:val="zh-CN"/>
        </w:rPr>
        <w:t>采购</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的一切事项，其法律后果由我方承担。</w:t>
      </w:r>
    </w:p>
    <w:p w14:paraId="7BF6C67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6AE789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7D19046">
      <w:pPr>
        <w:jc w:val="both"/>
        <w:rPr>
          <w:rFonts w:ascii="宋体" w:hAnsi="宋体" w:cs="宋体"/>
          <w:b/>
          <w:color w:val="auto"/>
          <w:kern w:val="0"/>
          <w:sz w:val="32"/>
          <w:szCs w:val="32"/>
          <w:highlight w:val="none"/>
        </w:rPr>
      </w:pPr>
    </w:p>
    <w:p w14:paraId="64512CA9">
      <w:pPr>
        <w:rPr>
          <w:rFonts w:ascii="宋体" w:hAnsi="宋体" w:cs="宋体"/>
          <w:color w:val="auto"/>
          <w:highlight w:val="none"/>
        </w:rPr>
      </w:pPr>
    </w:p>
    <w:p w14:paraId="3DAE7AAA">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12055A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1F0959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D6E9355">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日期：  年  月   日</w:t>
      </w:r>
    </w:p>
    <w:p w14:paraId="52592DAA">
      <w:pPr>
        <w:snapToGrid w:val="0"/>
        <w:spacing w:line="360" w:lineRule="auto"/>
        <w:rPr>
          <w:rFonts w:ascii="宋体" w:hAnsi="宋体" w:cs="宋体"/>
          <w:color w:val="auto"/>
          <w:sz w:val="24"/>
          <w:highlight w:val="none"/>
        </w:rPr>
      </w:pPr>
    </w:p>
    <w:p w14:paraId="0A3BE5B8">
      <w:pP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br w:type="page"/>
      </w:r>
    </w:p>
    <w:p w14:paraId="3765D3F3">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lang w:val="zh-CN"/>
        </w:rPr>
        <w:t>法定代表人、单位负责人或自然人本人</w:t>
      </w:r>
      <w:r>
        <w:rPr>
          <w:rFonts w:hint="eastAsia" w:ascii="宋体" w:hAnsi="宋体" w:cs="宋体"/>
          <w:b/>
          <w:bCs/>
          <w:color w:val="auto"/>
          <w:sz w:val="32"/>
          <w:szCs w:val="32"/>
          <w:highlight w:val="none"/>
        </w:rPr>
        <w:t>的身份证明（适用于法定代表人、单位负责人或者自然人本人代表供应商参加响应）</w:t>
      </w:r>
    </w:p>
    <w:p w14:paraId="0EDBEA4F">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3946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EAF75A5">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5D2D6EA4">
            <w:pPr>
              <w:pStyle w:val="149"/>
              <w:adjustRightInd w:val="0"/>
              <w:spacing w:line="360" w:lineRule="auto"/>
              <w:rPr>
                <w:rFonts w:hAnsi="宋体" w:cs="宋体"/>
                <w:bCs/>
                <w:color w:val="auto"/>
                <w:sz w:val="24"/>
                <w:highlight w:val="none"/>
              </w:rPr>
            </w:pPr>
          </w:p>
        </w:tc>
      </w:tr>
    </w:tbl>
    <w:p w14:paraId="6C203515">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04AE65A">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                              </w:t>
      </w:r>
    </w:p>
    <w:p w14:paraId="631B74B5">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B46C968">
      <w:pPr>
        <w:jc w:val="center"/>
        <w:rPr>
          <w:rFonts w:ascii="宋体" w:hAnsi="宋体" w:cs="宋体"/>
          <w:b/>
          <w:color w:val="auto"/>
          <w:kern w:val="0"/>
          <w:sz w:val="32"/>
          <w:szCs w:val="32"/>
          <w:highlight w:val="none"/>
        </w:rPr>
      </w:pPr>
    </w:p>
    <w:p w14:paraId="5CAC2142">
      <w:pPr>
        <w:jc w:val="center"/>
        <w:rPr>
          <w:rFonts w:ascii="宋体" w:hAnsi="宋体" w:cs="宋体"/>
          <w:b/>
          <w:color w:val="auto"/>
          <w:kern w:val="0"/>
          <w:sz w:val="32"/>
          <w:szCs w:val="32"/>
          <w:highlight w:val="none"/>
        </w:rPr>
      </w:pPr>
    </w:p>
    <w:p w14:paraId="17CDBCDD">
      <w:pPr>
        <w:jc w:val="center"/>
        <w:rPr>
          <w:rFonts w:ascii="宋体" w:hAnsi="宋体" w:cs="宋体"/>
          <w:b/>
          <w:color w:val="auto"/>
          <w:kern w:val="0"/>
          <w:sz w:val="32"/>
          <w:szCs w:val="32"/>
          <w:highlight w:val="none"/>
        </w:rPr>
      </w:pPr>
    </w:p>
    <w:p w14:paraId="50659C1F">
      <w:pPr>
        <w:jc w:val="center"/>
        <w:rPr>
          <w:rFonts w:ascii="宋体" w:hAnsi="宋体" w:cs="宋体"/>
          <w:b/>
          <w:color w:val="auto"/>
          <w:kern w:val="0"/>
          <w:sz w:val="32"/>
          <w:szCs w:val="32"/>
          <w:highlight w:val="none"/>
        </w:rPr>
      </w:pPr>
    </w:p>
    <w:p w14:paraId="70A4AEB2">
      <w:pPr>
        <w:jc w:val="center"/>
        <w:rPr>
          <w:rFonts w:ascii="宋体" w:hAnsi="宋体" w:cs="宋体"/>
          <w:b/>
          <w:color w:val="auto"/>
          <w:kern w:val="0"/>
          <w:sz w:val="32"/>
          <w:szCs w:val="32"/>
          <w:highlight w:val="none"/>
        </w:rPr>
      </w:pPr>
    </w:p>
    <w:p w14:paraId="57B58557">
      <w:pPr>
        <w:jc w:val="center"/>
        <w:rPr>
          <w:rFonts w:ascii="宋体" w:hAnsi="宋体" w:cs="宋体"/>
          <w:b/>
          <w:color w:val="auto"/>
          <w:kern w:val="0"/>
          <w:sz w:val="32"/>
          <w:szCs w:val="32"/>
          <w:highlight w:val="none"/>
        </w:rPr>
      </w:pPr>
    </w:p>
    <w:p w14:paraId="40D649B6">
      <w:pPr>
        <w:jc w:val="center"/>
        <w:rPr>
          <w:rFonts w:ascii="宋体" w:hAnsi="宋体" w:cs="宋体"/>
          <w:b/>
          <w:color w:val="auto"/>
          <w:kern w:val="0"/>
          <w:sz w:val="32"/>
          <w:szCs w:val="32"/>
          <w:highlight w:val="none"/>
        </w:rPr>
      </w:pPr>
    </w:p>
    <w:p w14:paraId="20458A1B">
      <w:pPr>
        <w:jc w:val="center"/>
        <w:rPr>
          <w:rFonts w:ascii="宋体" w:hAnsi="宋体" w:cs="宋体"/>
          <w:b/>
          <w:color w:val="auto"/>
          <w:kern w:val="0"/>
          <w:sz w:val="32"/>
          <w:szCs w:val="32"/>
          <w:highlight w:val="none"/>
        </w:rPr>
      </w:pPr>
    </w:p>
    <w:p w14:paraId="19F49CB8">
      <w:pPr>
        <w:jc w:val="center"/>
        <w:rPr>
          <w:rFonts w:ascii="宋体" w:hAnsi="宋体" w:cs="宋体"/>
          <w:b/>
          <w:color w:val="auto"/>
          <w:kern w:val="0"/>
          <w:sz w:val="32"/>
          <w:szCs w:val="32"/>
          <w:highlight w:val="none"/>
        </w:rPr>
      </w:pPr>
    </w:p>
    <w:p w14:paraId="3E0AD59C">
      <w:pPr>
        <w:jc w:val="center"/>
        <w:rPr>
          <w:rFonts w:ascii="宋体" w:hAnsi="宋体" w:cs="宋体"/>
          <w:b/>
          <w:color w:val="auto"/>
          <w:kern w:val="0"/>
          <w:sz w:val="32"/>
          <w:szCs w:val="32"/>
          <w:highlight w:val="none"/>
        </w:rPr>
      </w:pPr>
    </w:p>
    <w:p w14:paraId="6991A822">
      <w:pPr>
        <w:snapToGrid w:val="0"/>
        <w:spacing w:line="360" w:lineRule="auto"/>
        <w:ind w:right="480"/>
        <w:rPr>
          <w:rFonts w:ascii="宋体" w:hAnsi="宋体" w:cs="宋体"/>
          <w:b/>
          <w:color w:val="auto"/>
          <w:kern w:val="0"/>
          <w:sz w:val="32"/>
          <w:szCs w:val="32"/>
          <w:highlight w:val="none"/>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21A6DF02">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三、分包意向协议</w:t>
      </w:r>
    </w:p>
    <w:p w14:paraId="6ED3888E">
      <w:pPr>
        <w:widowControl/>
        <w:spacing w:line="360" w:lineRule="auto"/>
        <w:ind w:firstLine="120" w:firstLineChars="50"/>
        <w:jc w:val="left"/>
        <w:rPr>
          <w:rFonts w:ascii="宋体" w:hAnsi="宋体" w:cs="宋体"/>
          <w:color w:val="auto"/>
          <w:sz w:val="24"/>
          <w:highlight w:val="none"/>
        </w:rPr>
      </w:pPr>
      <w:bookmarkStart w:id="397" w:name="_Hlk101169080"/>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成交后以分包方式履行合同的，提供分包意向协议(附件6)；采购人不同意分包或者供应商成交后不以分包方式履行合同的，则不需要提供。</w:t>
      </w:r>
      <w:r>
        <w:rPr>
          <w:rFonts w:hint="eastAsia" w:ascii="宋体" w:hAnsi="宋体" w:cs="宋体"/>
          <w:color w:val="auto"/>
          <w:sz w:val="24"/>
          <w:highlight w:val="none"/>
        </w:rPr>
        <w:t>]</w:t>
      </w:r>
    </w:p>
    <w:bookmarkEnd w:id="397"/>
    <w:p w14:paraId="00DAE1DF">
      <w:pPr>
        <w:snapToGrid w:val="0"/>
        <w:spacing w:line="360" w:lineRule="auto"/>
        <w:rPr>
          <w:rFonts w:ascii="宋体" w:hAnsi="宋体" w:cs="宋体"/>
          <w:color w:val="auto"/>
          <w:kern w:val="0"/>
          <w:sz w:val="24"/>
          <w:highlight w:val="none"/>
        </w:rPr>
      </w:pPr>
    </w:p>
    <w:p w14:paraId="0B2D893D">
      <w:pPr>
        <w:snapToGrid w:val="0"/>
        <w:jc w:val="center"/>
        <w:rPr>
          <w:rFonts w:ascii="宋体" w:hAnsi="宋体" w:cs="宋体"/>
          <w:b/>
          <w:bCs/>
          <w:color w:val="auto"/>
          <w:sz w:val="32"/>
          <w:szCs w:val="32"/>
          <w:highlight w:val="none"/>
        </w:rPr>
      </w:pPr>
    </w:p>
    <w:p w14:paraId="25BA8E33">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四、符合性审查资料</w:t>
      </w:r>
    </w:p>
    <w:p w14:paraId="5EF8EDB7">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2C38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2E08067">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6FEAC7F1">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29C014F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245E7BB1">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响应文件中的</w:t>
            </w:r>
          </w:p>
          <w:p w14:paraId="612874A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73E41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838AAB2">
            <w:pP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14:paraId="53423658">
            <w:pPr>
              <w:spacing w:line="360" w:lineRule="auto"/>
              <w:rPr>
                <w:rFonts w:ascii="宋体" w:hAnsi="宋体" w:cs="宋体"/>
                <w:color w:val="auto"/>
                <w:sz w:val="24"/>
                <w:highlight w:val="none"/>
              </w:rPr>
            </w:pPr>
            <w:r>
              <w:rPr>
                <w:rFonts w:hint="eastAsia" w:ascii="宋体" w:hAnsi="宋体" w:cs="宋体"/>
                <w:color w:val="auto"/>
                <w:sz w:val="24"/>
                <w:highlight w:val="none"/>
              </w:rPr>
              <w:t>响应文件按照采购文件要求签署、盖章。</w:t>
            </w:r>
          </w:p>
        </w:tc>
        <w:tc>
          <w:tcPr>
            <w:tcW w:w="2551" w:type="dxa"/>
            <w:vAlign w:val="center"/>
          </w:tcPr>
          <w:p w14:paraId="5B265035">
            <w:pPr>
              <w:rPr>
                <w:rFonts w:ascii="宋体" w:hAnsi="宋体" w:cs="宋体"/>
                <w:color w:val="auto"/>
                <w:sz w:val="24"/>
                <w:highlight w:val="none"/>
              </w:rPr>
            </w:pPr>
            <w:r>
              <w:rPr>
                <w:rFonts w:hint="eastAsia" w:ascii="宋体" w:hAnsi="宋体" w:cs="宋体"/>
                <w:color w:val="auto"/>
                <w:sz w:val="24"/>
                <w:highlight w:val="none"/>
              </w:rPr>
              <w:t>需要使用电子签名或者签字盖章的响应文件的组成部分</w:t>
            </w:r>
          </w:p>
        </w:tc>
        <w:tc>
          <w:tcPr>
            <w:tcW w:w="1418" w:type="dxa"/>
            <w:vAlign w:val="center"/>
          </w:tcPr>
          <w:p w14:paraId="3C46925E">
            <w:pPr>
              <w:rPr>
                <w:rFonts w:ascii="宋体" w:hAnsi="宋体" w:cs="宋体"/>
                <w:color w:val="auto"/>
                <w:sz w:val="24"/>
                <w:highlight w:val="none"/>
              </w:rPr>
            </w:pPr>
            <w:r>
              <w:rPr>
                <w:rFonts w:hint="eastAsia" w:ascii="宋体" w:hAnsi="宋体" w:cs="宋体"/>
                <w:color w:val="auto"/>
                <w:sz w:val="24"/>
                <w:highlight w:val="none"/>
              </w:rPr>
              <w:t>见响应文件</w:t>
            </w:r>
          </w:p>
          <w:p w14:paraId="694A9190">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51FB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635EAB7">
            <w:pPr>
              <w:spacing w:line="360" w:lineRule="auto"/>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center"/>
          </w:tcPr>
          <w:p w14:paraId="57A0F2F7">
            <w:pPr>
              <w:spacing w:line="360" w:lineRule="auto"/>
              <w:rPr>
                <w:rFonts w:ascii="宋体" w:hAnsi="宋体" w:cs="宋体"/>
                <w:color w:val="auto"/>
                <w:sz w:val="24"/>
                <w:highlight w:val="none"/>
              </w:rPr>
            </w:pPr>
            <w:r>
              <w:rPr>
                <w:rFonts w:hint="eastAsia" w:ascii="宋体" w:hAnsi="宋体" w:cs="宋体"/>
                <w:color w:val="auto"/>
                <w:sz w:val="24"/>
                <w:highlight w:val="none"/>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63824FB9">
            <w:pPr>
              <w:rPr>
                <w:rFonts w:ascii="宋体" w:hAnsi="宋体" w:cs="宋体"/>
                <w:color w:val="auto"/>
                <w:sz w:val="24"/>
                <w:highlight w:val="none"/>
              </w:rPr>
            </w:pPr>
            <w:r>
              <w:rPr>
                <w:rFonts w:hint="eastAsia" w:ascii="宋体" w:hAnsi="宋体" w:cs="宋体"/>
                <w:color w:val="auto"/>
                <w:sz w:val="24"/>
                <w:highlight w:val="none"/>
              </w:rPr>
              <w:t>节能产品认证证书（本项目拟采购的产品不属于政府强制采购的节能产品品目清单范围的，无需提供）</w:t>
            </w:r>
          </w:p>
        </w:tc>
        <w:tc>
          <w:tcPr>
            <w:tcW w:w="1418" w:type="dxa"/>
            <w:vAlign w:val="center"/>
          </w:tcPr>
          <w:p w14:paraId="18832B07">
            <w:pPr>
              <w:rPr>
                <w:rFonts w:ascii="宋体" w:hAnsi="宋体" w:cs="宋体"/>
                <w:color w:val="auto"/>
                <w:sz w:val="24"/>
                <w:highlight w:val="none"/>
              </w:rPr>
            </w:pPr>
            <w:r>
              <w:rPr>
                <w:rFonts w:hint="eastAsia" w:ascii="宋体" w:hAnsi="宋体" w:cs="宋体"/>
                <w:color w:val="auto"/>
                <w:sz w:val="24"/>
                <w:highlight w:val="none"/>
              </w:rPr>
              <w:t>见响应文件</w:t>
            </w:r>
          </w:p>
          <w:p w14:paraId="17275F48">
            <w:pPr>
              <w:pStyle w:val="4"/>
              <w:jc w:val="both"/>
              <w:rPr>
                <w:rFonts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第</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页</w:t>
            </w:r>
          </w:p>
        </w:tc>
      </w:tr>
      <w:tr w14:paraId="4D47A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9C68987">
            <w:pP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center"/>
          </w:tcPr>
          <w:p w14:paraId="745516B0">
            <w:pPr>
              <w:spacing w:line="360" w:lineRule="auto"/>
              <w:rPr>
                <w:rFonts w:ascii="宋体" w:hAnsi="宋体" w:cs="宋体"/>
                <w:color w:val="auto"/>
                <w:sz w:val="24"/>
                <w:highlight w:val="none"/>
              </w:rPr>
            </w:pPr>
            <w:r>
              <w:rPr>
                <w:rFonts w:hint="eastAsia" w:ascii="宋体" w:hAnsi="宋体" w:cs="宋体"/>
                <w:color w:val="auto"/>
                <w:sz w:val="24"/>
                <w:highlight w:val="none"/>
              </w:rPr>
              <w:t>响应文件中承诺的响应文件有效期不少于采购文件中载明的响应文件有效期。</w:t>
            </w:r>
          </w:p>
        </w:tc>
        <w:tc>
          <w:tcPr>
            <w:tcW w:w="2551" w:type="dxa"/>
            <w:vAlign w:val="center"/>
          </w:tcPr>
          <w:p w14:paraId="627A147B">
            <w:pPr>
              <w:rPr>
                <w:rFonts w:ascii="宋体" w:hAnsi="宋体" w:cs="宋体"/>
                <w:color w:val="auto"/>
                <w:sz w:val="24"/>
                <w:highlight w:val="none"/>
              </w:rPr>
            </w:pPr>
            <w:r>
              <w:rPr>
                <w:rFonts w:hint="eastAsia" w:ascii="宋体" w:hAnsi="宋体" w:cs="宋体"/>
                <w:color w:val="auto"/>
                <w:sz w:val="24"/>
                <w:highlight w:val="none"/>
              </w:rPr>
              <w:t>响应函</w:t>
            </w:r>
          </w:p>
        </w:tc>
        <w:tc>
          <w:tcPr>
            <w:tcW w:w="1418" w:type="dxa"/>
            <w:vAlign w:val="center"/>
          </w:tcPr>
          <w:p w14:paraId="61B77BCA">
            <w:pP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38267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BE88A3">
            <w:pPr>
              <w:rPr>
                <w:rFonts w:ascii="宋体" w:hAnsi="宋体" w:cs="宋体"/>
                <w:color w:val="auto"/>
                <w:sz w:val="24"/>
                <w:highlight w:val="none"/>
              </w:rPr>
            </w:pPr>
            <w:r>
              <w:rPr>
                <w:rFonts w:hint="eastAsia" w:ascii="宋体" w:hAnsi="宋体" w:cs="宋体"/>
                <w:color w:val="auto"/>
                <w:sz w:val="24"/>
                <w:highlight w:val="none"/>
              </w:rPr>
              <w:t>4</w:t>
            </w:r>
          </w:p>
        </w:tc>
        <w:tc>
          <w:tcPr>
            <w:tcW w:w="4991" w:type="dxa"/>
            <w:vAlign w:val="center"/>
          </w:tcPr>
          <w:p w14:paraId="0A723B54">
            <w:pPr>
              <w:spacing w:line="360" w:lineRule="auto"/>
              <w:rPr>
                <w:rFonts w:ascii="宋体" w:hAnsi="宋体" w:cs="宋体"/>
                <w:color w:val="auto"/>
                <w:sz w:val="24"/>
                <w:highlight w:val="none"/>
              </w:rPr>
            </w:pPr>
            <w:r>
              <w:rPr>
                <w:rFonts w:hint="eastAsia" w:ascii="宋体" w:hAnsi="宋体" w:cs="宋体"/>
                <w:color w:val="auto"/>
                <w:sz w:val="24"/>
                <w:highlight w:val="none"/>
              </w:rPr>
              <w:t>响应文件满足采购文件的其它实质性要求。</w:t>
            </w:r>
          </w:p>
        </w:tc>
        <w:tc>
          <w:tcPr>
            <w:tcW w:w="2551" w:type="dxa"/>
            <w:vAlign w:val="center"/>
          </w:tcPr>
          <w:p w14:paraId="661C89C6">
            <w:pPr>
              <w:rPr>
                <w:rFonts w:ascii="宋体" w:hAnsi="宋体" w:cs="宋体"/>
                <w:color w:val="auto"/>
                <w:sz w:val="24"/>
                <w:highlight w:val="none"/>
              </w:rPr>
            </w:pPr>
            <w:r>
              <w:rPr>
                <w:rFonts w:hint="eastAsia" w:ascii="宋体" w:hAnsi="宋体" w:cs="宋体"/>
                <w:color w:val="auto"/>
                <w:kern w:val="0"/>
                <w:sz w:val="24"/>
                <w:highlight w:val="none"/>
              </w:rPr>
              <w:t>采购文件其它实质性要求相应的材料（“▲” 系指实质性要求条款，采购文件无其它实质性要求的，无需提供）</w:t>
            </w:r>
          </w:p>
        </w:tc>
        <w:tc>
          <w:tcPr>
            <w:tcW w:w="1418" w:type="dxa"/>
            <w:vAlign w:val="center"/>
          </w:tcPr>
          <w:p w14:paraId="4F717006">
            <w:pP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2A285AD7">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p>
    <w:p w14:paraId="09E2F61A">
      <w:pPr>
        <w:numPr>
          <w:ilvl w:val="0"/>
          <w:numId w:val="14"/>
        </w:num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按本格式和要求提供。</w:t>
      </w:r>
    </w:p>
    <w:p w14:paraId="03D286E7">
      <w:pPr>
        <w:numPr>
          <w:ilvl w:val="0"/>
          <w:numId w:val="14"/>
        </w:numPr>
        <w:spacing w:line="360" w:lineRule="auto"/>
        <w:ind w:right="42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采购</w:t>
      </w:r>
      <w:r>
        <w:rPr>
          <w:rFonts w:hint="eastAsia" w:ascii="宋体" w:hAnsi="宋体" w:eastAsia="宋体" w:cs="宋体"/>
          <w:color w:val="auto"/>
          <w:sz w:val="24"/>
          <w:highlight w:val="none"/>
          <w:lang w:val="en-US" w:eastAsia="zh-CN"/>
        </w:rPr>
        <w:t>文件中实质性要求必须明确响应。</w:t>
      </w:r>
    </w:p>
    <w:p w14:paraId="3936F32D">
      <w:pPr>
        <w:jc w:val="center"/>
        <w:rPr>
          <w:rFonts w:ascii="宋体" w:hAnsi="宋体" w:cs="宋体"/>
          <w:b/>
          <w:color w:val="auto"/>
          <w:kern w:val="0"/>
          <w:sz w:val="32"/>
          <w:szCs w:val="32"/>
          <w:highlight w:val="none"/>
        </w:rPr>
      </w:pPr>
    </w:p>
    <w:p w14:paraId="1E28D2AF">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6C6EED68">
      <w:pPr>
        <w:jc w:val="center"/>
        <w:rPr>
          <w:rFonts w:ascii="宋体" w:hAnsi="宋体" w:cs="宋体"/>
          <w:b/>
          <w:color w:val="auto"/>
          <w:kern w:val="0"/>
          <w:sz w:val="32"/>
          <w:szCs w:val="32"/>
          <w:highlight w:val="none"/>
        </w:rPr>
      </w:pPr>
    </w:p>
    <w:p w14:paraId="1EC769D6">
      <w:pPr>
        <w:jc w:val="center"/>
        <w:rPr>
          <w:rFonts w:ascii="宋体" w:hAnsi="宋体" w:cs="宋体"/>
          <w:b/>
          <w:color w:val="auto"/>
          <w:kern w:val="0"/>
          <w:sz w:val="32"/>
          <w:szCs w:val="32"/>
          <w:highlight w:val="none"/>
        </w:rPr>
      </w:pPr>
    </w:p>
    <w:p w14:paraId="7F6923D0">
      <w:pPr>
        <w:jc w:val="center"/>
        <w:rPr>
          <w:rFonts w:ascii="宋体" w:hAnsi="宋体" w:cs="宋体"/>
          <w:b/>
          <w:color w:val="auto"/>
          <w:kern w:val="0"/>
          <w:sz w:val="32"/>
          <w:szCs w:val="32"/>
          <w:highlight w:val="none"/>
        </w:rPr>
      </w:pPr>
    </w:p>
    <w:p w14:paraId="4D2D6054">
      <w:pPr>
        <w:jc w:val="center"/>
        <w:rPr>
          <w:rFonts w:ascii="宋体" w:hAnsi="宋体" w:cs="宋体"/>
          <w:b/>
          <w:color w:val="auto"/>
          <w:kern w:val="0"/>
          <w:sz w:val="32"/>
          <w:szCs w:val="32"/>
          <w:highlight w:val="none"/>
        </w:rPr>
      </w:pPr>
    </w:p>
    <w:p w14:paraId="3B67DF02">
      <w:pPr>
        <w:jc w:val="center"/>
        <w:rPr>
          <w:rFonts w:ascii="宋体" w:hAnsi="宋体" w:cs="宋体"/>
          <w:b/>
          <w:color w:val="auto"/>
          <w:kern w:val="0"/>
          <w:sz w:val="32"/>
          <w:szCs w:val="32"/>
          <w:highlight w:val="none"/>
        </w:rPr>
      </w:pPr>
    </w:p>
    <w:p w14:paraId="4F7AAE27">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五、评审标准相应的商务技术资料</w:t>
      </w:r>
    </w:p>
    <w:p w14:paraId="50AE8BAD">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（按采购文件第四部分评审办法前附表中“响应文件中评审标准相应的商务技术资料目录”提供资料。）</w:t>
      </w:r>
    </w:p>
    <w:tbl>
      <w:tblPr>
        <w:tblStyle w:val="63"/>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31790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14:paraId="757DFF8C">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11F06358">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lang w:eastAsia="zh-CN"/>
              </w:rPr>
              <w:t>响应</w:t>
            </w:r>
            <w:r>
              <w:rPr>
                <w:rFonts w:hint="eastAsia" w:cs="仿宋_GB2312" w:asciiTheme="minorEastAsia" w:hAnsiTheme="minorEastAsia" w:eastAsiaTheme="minorEastAsia"/>
                <w:b w:val="0"/>
                <w:bCs/>
                <w:color w:val="auto"/>
                <w:sz w:val="24"/>
                <w:highlight w:val="none"/>
              </w:rPr>
              <w:t>文件中评标标准相应的商务技术资料目录*</w:t>
            </w:r>
          </w:p>
        </w:tc>
        <w:tc>
          <w:tcPr>
            <w:tcW w:w="3046" w:type="dxa"/>
          </w:tcPr>
          <w:p w14:paraId="56B0D8B0">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lang w:eastAsia="zh-CN"/>
              </w:rPr>
              <w:t>响应</w:t>
            </w:r>
            <w:r>
              <w:rPr>
                <w:rFonts w:hint="eastAsia" w:ascii="宋体" w:hAnsi="宋体" w:cs="宋体"/>
                <w:b w:val="0"/>
                <w:bCs/>
                <w:color w:val="auto"/>
                <w:sz w:val="24"/>
                <w:highlight w:val="none"/>
              </w:rPr>
              <w:t>文件中的页码位置</w:t>
            </w:r>
          </w:p>
        </w:tc>
      </w:tr>
      <w:tr w14:paraId="2D34F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14:paraId="4C6B25BC">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5FBBD284">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05282E27">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w:t>
            </w:r>
            <w:r>
              <w:rPr>
                <w:rFonts w:hint="eastAsia" w:ascii="宋体" w:hAnsi="宋体" w:cs="宋体"/>
                <w:b w:val="0"/>
                <w:bCs/>
                <w:color w:val="auto"/>
                <w:sz w:val="24"/>
                <w:highlight w:val="none"/>
                <w:lang w:eastAsia="zh-CN"/>
              </w:rPr>
              <w:t>响应</w:t>
            </w:r>
            <w:r>
              <w:rPr>
                <w:rFonts w:hint="eastAsia" w:ascii="宋体" w:hAnsi="宋体" w:cs="宋体"/>
                <w:b w:val="0"/>
                <w:bCs/>
                <w:color w:val="auto"/>
                <w:sz w:val="24"/>
                <w:highlight w:val="none"/>
              </w:rPr>
              <w:t>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57644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14:paraId="238A6689">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1A8D5E2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6D7B23A3">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w:t>
            </w:r>
            <w:r>
              <w:rPr>
                <w:rFonts w:hint="eastAsia" w:ascii="宋体" w:hAnsi="宋体" w:cs="宋体"/>
                <w:b w:val="0"/>
                <w:bCs/>
                <w:color w:val="auto"/>
                <w:sz w:val="24"/>
                <w:highlight w:val="none"/>
                <w:lang w:eastAsia="zh-CN"/>
              </w:rPr>
              <w:t>响应</w:t>
            </w:r>
            <w:r>
              <w:rPr>
                <w:rFonts w:hint="eastAsia" w:ascii="宋体" w:hAnsi="宋体" w:cs="宋体"/>
                <w:b w:val="0"/>
                <w:bCs/>
                <w:color w:val="auto"/>
                <w:sz w:val="24"/>
                <w:highlight w:val="none"/>
              </w:rPr>
              <w:t>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AEA4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14:paraId="383AD15F">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0BE6CBB7">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55A2EE10">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w:t>
            </w:r>
            <w:r>
              <w:rPr>
                <w:rFonts w:hint="eastAsia" w:ascii="宋体" w:hAnsi="宋体" w:cs="宋体"/>
                <w:b w:val="0"/>
                <w:bCs/>
                <w:color w:val="auto"/>
                <w:sz w:val="24"/>
                <w:highlight w:val="none"/>
                <w:lang w:eastAsia="zh-CN"/>
              </w:rPr>
              <w:t>响应</w:t>
            </w:r>
            <w:r>
              <w:rPr>
                <w:rFonts w:hint="eastAsia" w:ascii="宋体" w:hAnsi="宋体" w:cs="宋体"/>
                <w:b w:val="0"/>
                <w:bCs/>
                <w:color w:val="auto"/>
                <w:sz w:val="24"/>
                <w:highlight w:val="none"/>
              </w:rPr>
              <w:t>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41AFB919">
      <w:pPr>
        <w:jc w:val="left"/>
        <w:rPr>
          <w:rFonts w:hint="eastAsia" w:ascii="宋体" w:hAnsi="宋体" w:cs="仿宋_GB2312"/>
          <w:b/>
          <w:color w:val="auto"/>
          <w:sz w:val="24"/>
          <w:highlight w:val="none"/>
          <w:lang w:val="en-US" w:eastAsia="zh-CN"/>
        </w:rPr>
      </w:pPr>
    </w:p>
    <w:p w14:paraId="03B2AD7D">
      <w:pPr>
        <w:jc w:val="left"/>
        <w:rPr>
          <w:rFonts w:hint="eastAsia" w:ascii="宋体" w:hAnsi="宋体" w:cs="仿宋_GB2312"/>
          <w:b/>
          <w:color w:val="auto"/>
          <w:sz w:val="24"/>
          <w:highlight w:val="none"/>
          <w:lang w:val="en-US" w:eastAsia="zh-CN"/>
        </w:rPr>
      </w:pPr>
    </w:p>
    <w:p w14:paraId="2C058EC9">
      <w:pPr>
        <w:rPr>
          <w:rFonts w:hint="eastAsia" w:ascii="宋体" w:hAnsi="宋体" w:cs="仿宋_GB2312"/>
          <w:b/>
          <w:color w:val="auto"/>
          <w:sz w:val="24"/>
          <w:highlight w:val="none"/>
          <w:lang w:val="en-US" w:eastAsia="zh-CN"/>
        </w:rPr>
      </w:pPr>
      <w:r>
        <w:rPr>
          <w:rFonts w:hint="eastAsia" w:ascii="宋体" w:hAnsi="宋体" w:cs="仿宋_GB2312"/>
          <w:b/>
          <w:color w:val="auto"/>
          <w:sz w:val="24"/>
          <w:highlight w:val="none"/>
          <w:lang w:val="en-US" w:eastAsia="zh-CN"/>
        </w:rPr>
        <w:br w:type="page"/>
      </w:r>
    </w:p>
    <w:p w14:paraId="4B18C9D0">
      <w:pPr>
        <w:jc w:val="left"/>
        <w:rPr>
          <w:rFonts w:ascii="宋体" w:hAnsi="宋体" w:cs="宋体"/>
          <w:b/>
          <w:color w:val="auto"/>
          <w:kern w:val="0"/>
          <w:sz w:val="32"/>
          <w:szCs w:val="32"/>
          <w:highlight w:val="none"/>
        </w:rPr>
      </w:pPr>
      <w:r>
        <w:rPr>
          <w:rFonts w:hint="eastAsia" w:ascii="宋体" w:hAnsi="宋体" w:cs="仿宋_GB2312"/>
          <w:b/>
          <w:color w:val="auto"/>
          <w:sz w:val="24"/>
          <w:highlight w:val="none"/>
          <w:lang w:val="en-US" w:eastAsia="zh-CN"/>
        </w:rPr>
        <w:t>参考格式，可酌情调整；</w:t>
      </w:r>
    </w:p>
    <w:p w14:paraId="4719E14E">
      <w:pPr>
        <w:keepNext/>
        <w:autoSpaceDE w:val="0"/>
        <w:autoSpaceDN w:val="0"/>
        <w:adjustRightInd w:val="0"/>
        <w:spacing w:line="360" w:lineRule="auto"/>
        <w:jc w:val="center"/>
        <w:rPr>
          <w:rFonts w:hint="eastAsia" w:ascii="宋体" w:hAnsi="宋体" w:cs="仿宋_GB2312"/>
          <w:b/>
          <w:color w:val="auto"/>
          <w:sz w:val="24"/>
          <w:highlight w:val="none"/>
        </w:rPr>
      </w:pPr>
      <w:r>
        <w:rPr>
          <w:rFonts w:hint="eastAsia" w:ascii="宋体" w:hAnsi="宋体" w:cs="仿宋_GB2312"/>
          <w:b/>
          <w:color w:val="auto"/>
          <w:sz w:val="24"/>
          <w:highlight w:val="none"/>
        </w:rPr>
        <w:t>附表A</w:t>
      </w:r>
      <w:r>
        <w:rPr>
          <w:rFonts w:hint="eastAsia" w:ascii="宋体" w:hAnsi="宋体" w:cs="仿宋_GB2312"/>
          <w:b/>
          <w:color w:val="auto"/>
          <w:sz w:val="24"/>
          <w:highlight w:val="none"/>
          <w:lang w:eastAsia="zh-CN"/>
        </w:rPr>
        <w:t>：</w:t>
      </w:r>
      <w:r>
        <w:rPr>
          <w:rFonts w:hint="eastAsia" w:ascii="宋体" w:hAnsi="宋体" w:cs="仿宋_GB2312"/>
          <w:b/>
          <w:color w:val="auto"/>
          <w:sz w:val="24"/>
          <w:highlight w:val="none"/>
        </w:rPr>
        <w:t>本项目的项目经理情况表</w:t>
      </w:r>
    </w:p>
    <w:p w14:paraId="45573CFB">
      <w:pPr>
        <w:pStyle w:val="970"/>
        <w:rPr>
          <w:rFonts w:hint="eastAsia" w:ascii="宋体" w:hAnsi="宋体" w:cs="仿宋_GB2312"/>
          <w:b/>
          <w:color w:val="auto"/>
          <w:sz w:val="24"/>
          <w:highlight w:val="none"/>
        </w:rPr>
      </w:pPr>
    </w:p>
    <w:tbl>
      <w:tblPr>
        <w:tblStyle w:val="62"/>
        <w:tblW w:w="9878" w:type="dxa"/>
        <w:tblInd w:w="0" w:type="dxa"/>
        <w:tblLayout w:type="fixed"/>
        <w:tblCellMar>
          <w:top w:w="0" w:type="dxa"/>
          <w:left w:w="108" w:type="dxa"/>
          <w:bottom w:w="0" w:type="dxa"/>
          <w:right w:w="108" w:type="dxa"/>
        </w:tblCellMar>
      </w:tblPr>
      <w:tblGrid>
        <w:gridCol w:w="1949"/>
        <w:gridCol w:w="2485"/>
        <w:gridCol w:w="2122"/>
        <w:gridCol w:w="1564"/>
        <w:gridCol w:w="1758"/>
      </w:tblGrid>
      <w:tr w14:paraId="20270557">
        <w:tblPrEx>
          <w:tblCellMar>
            <w:top w:w="0" w:type="dxa"/>
            <w:left w:w="108" w:type="dxa"/>
            <w:bottom w:w="0" w:type="dxa"/>
            <w:right w:w="108" w:type="dxa"/>
          </w:tblCellMar>
        </w:tblPrEx>
        <w:trPr>
          <w:trHeight w:val="567" w:hRule="atLeast"/>
        </w:trPr>
        <w:tc>
          <w:tcPr>
            <w:tcW w:w="1949" w:type="dxa"/>
            <w:tcBorders>
              <w:top w:val="single" w:color="auto" w:sz="6" w:space="0"/>
              <w:left w:val="single" w:color="auto" w:sz="6" w:space="0"/>
              <w:bottom w:val="single" w:color="auto" w:sz="6" w:space="0"/>
              <w:right w:val="single" w:color="auto" w:sz="6" w:space="0"/>
            </w:tcBorders>
            <w:noWrap w:val="0"/>
            <w:vAlign w:val="center"/>
          </w:tcPr>
          <w:p w14:paraId="79000468">
            <w:pPr>
              <w:autoSpaceDE w:val="0"/>
              <w:autoSpaceDN w:val="0"/>
              <w:adjustRightInd w:val="0"/>
              <w:spacing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姓名</w:t>
            </w:r>
          </w:p>
        </w:tc>
        <w:tc>
          <w:tcPr>
            <w:tcW w:w="2485" w:type="dxa"/>
            <w:tcBorders>
              <w:top w:val="single" w:color="auto" w:sz="6" w:space="0"/>
              <w:left w:val="single" w:color="auto" w:sz="6" w:space="0"/>
              <w:bottom w:val="single" w:color="auto" w:sz="6" w:space="0"/>
              <w:right w:val="single" w:color="auto" w:sz="4" w:space="0"/>
            </w:tcBorders>
            <w:noWrap w:val="0"/>
            <w:vAlign w:val="center"/>
          </w:tcPr>
          <w:p w14:paraId="3EE0A00C">
            <w:pPr>
              <w:autoSpaceDE w:val="0"/>
              <w:autoSpaceDN w:val="0"/>
              <w:adjustRightInd w:val="0"/>
              <w:spacing w:line="360" w:lineRule="auto"/>
              <w:jc w:val="center"/>
              <w:rPr>
                <w:rFonts w:hint="eastAsia" w:ascii="宋体" w:hAnsi="宋体" w:cs="仿宋_GB2312"/>
                <w:color w:val="auto"/>
                <w:sz w:val="24"/>
                <w:highlight w:val="none"/>
              </w:rPr>
            </w:pPr>
          </w:p>
        </w:tc>
        <w:tc>
          <w:tcPr>
            <w:tcW w:w="2122" w:type="dxa"/>
            <w:tcBorders>
              <w:top w:val="single" w:color="auto" w:sz="6" w:space="0"/>
              <w:left w:val="single" w:color="auto" w:sz="4" w:space="0"/>
              <w:bottom w:val="single" w:color="auto" w:sz="6" w:space="0"/>
              <w:right w:val="single" w:color="auto" w:sz="6" w:space="0"/>
            </w:tcBorders>
            <w:noWrap w:val="0"/>
            <w:vAlign w:val="center"/>
          </w:tcPr>
          <w:p w14:paraId="67AD7656">
            <w:pPr>
              <w:autoSpaceDE w:val="0"/>
              <w:autoSpaceDN w:val="0"/>
              <w:adjustRightInd w:val="0"/>
              <w:spacing w:line="360" w:lineRule="auto"/>
              <w:jc w:val="center"/>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lang w:val="en-US" w:eastAsia="zh-CN"/>
              </w:rPr>
              <w:t>性别</w:t>
            </w:r>
          </w:p>
        </w:tc>
        <w:tc>
          <w:tcPr>
            <w:tcW w:w="3322" w:type="dxa"/>
            <w:gridSpan w:val="2"/>
            <w:tcBorders>
              <w:top w:val="single" w:color="auto" w:sz="6" w:space="0"/>
              <w:left w:val="single" w:color="auto" w:sz="6" w:space="0"/>
              <w:bottom w:val="single" w:color="auto" w:sz="6" w:space="0"/>
              <w:right w:val="single" w:color="auto" w:sz="6" w:space="0"/>
            </w:tcBorders>
            <w:noWrap w:val="0"/>
            <w:vAlign w:val="center"/>
          </w:tcPr>
          <w:p w14:paraId="1C4EC808">
            <w:pPr>
              <w:autoSpaceDE w:val="0"/>
              <w:autoSpaceDN w:val="0"/>
              <w:adjustRightInd w:val="0"/>
              <w:spacing w:line="360" w:lineRule="auto"/>
              <w:jc w:val="center"/>
              <w:rPr>
                <w:rFonts w:hint="eastAsia" w:ascii="宋体" w:hAnsi="宋体" w:cs="仿宋_GB2312"/>
                <w:color w:val="auto"/>
                <w:sz w:val="24"/>
                <w:highlight w:val="none"/>
              </w:rPr>
            </w:pPr>
          </w:p>
        </w:tc>
      </w:tr>
      <w:tr w14:paraId="1E64A6DD">
        <w:tblPrEx>
          <w:tblCellMar>
            <w:top w:w="0" w:type="dxa"/>
            <w:left w:w="108" w:type="dxa"/>
            <w:bottom w:w="0" w:type="dxa"/>
            <w:right w:w="108" w:type="dxa"/>
          </w:tblCellMar>
        </w:tblPrEx>
        <w:trPr>
          <w:trHeight w:val="567" w:hRule="atLeast"/>
        </w:trPr>
        <w:tc>
          <w:tcPr>
            <w:tcW w:w="1949" w:type="dxa"/>
            <w:tcBorders>
              <w:top w:val="single" w:color="auto" w:sz="6" w:space="0"/>
              <w:left w:val="single" w:color="auto" w:sz="6" w:space="0"/>
              <w:bottom w:val="single" w:color="auto" w:sz="6" w:space="0"/>
              <w:right w:val="single" w:color="auto" w:sz="6" w:space="0"/>
            </w:tcBorders>
            <w:noWrap w:val="0"/>
            <w:vAlign w:val="center"/>
          </w:tcPr>
          <w:p w14:paraId="61537ED4">
            <w:pPr>
              <w:autoSpaceDE w:val="0"/>
              <w:autoSpaceDN w:val="0"/>
              <w:adjustRightInd w:val="0"/>
              <w:spacing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lang w:val="en-US" w:eastAsia="zh-CN"/>
              </w:rPr>
              <w:t>身份证号码</w:t>
            </w:r>
          </w:p>
        </w:tc>
        <w:tc>
          <w:tcPr>
            <w:tcW w:w="2485" w:type="dxa"/>
            <w:tcBorders>
              <w:top w:val="single" w:color="auto" w:sz="6" w:space="0"/>
              <w:left w:val="single" w:color="auto" w:sz="6" w:space="0"/>
              <w:bottom w:val="single" w:color="auto" w:sz="6" w:space="0"/>
              <w:right w:val="single" w:color="auto" w:sz="4" w:space="0"/>
            </w:tcBorders>
            <w:noWrap w:val="0"/>
            <w:vAlign w:val="center"/>
          </w:tcPr>
          <w:p w14:paraId="04D382AF">
            <w:pPr>
              <w:autoSpaceDE w:val="0"/>
              <w:autoSpaceDN w:val="0"/>
              <w:adjustRightInd w:val="0"/>
              <w:spacing w:line="360" w:lineRule="auto"/>
              <w:jc w:val="center"/>
              <w:rPr>
                <w:rFonts w:hint="eastAsia" w:ascii="宋体" w:hAnsi="宋体" w:cs="仿宋_GB2312"/>
                <w:color w:val="auto"/>
                <w:sz w:val="24"/>
                <w:highlight w:val="none"/>
              </w:rPr>
            </w:pPr>
          </w:p>
        </w:tc>
        <w:tc>
          <w:tcPr>
            <w:tcW w:w="2122" w:type="dxa"/>
            <w:tcBorders>
              <w:top w:val="single" w:color="auto" w:sz="6" w:space="0"/>
              <w:left w:val="single" w:color="auto" w:sz="4" w:space="0"/>
              <w:bottom w:val="single" w:color="auto" w:sz="6" w:space="0"/>
              <w:right w:val="single" w:color="auto" w:sz="6" w:space="0"/>
            </w:tcBorders>
            <w:noWrap w:val="0"/>
            <w:vAlign w:val="center"/>
          </w:tcPr>
          <w:p w14:paraId="6D9C68E6">
            <w:pPr>
              <w:autoSpaceDE w:val="0"/>
              <w:autoSpaceDN w:val="0"/>
              <w:adjustRightInd w:val="0"/>
              <w:spacing w:line="360" w:lineRule="auto"/>
              <w:jc w:val="center"/>
              <w:rPr>
                <w:rFonts w:hint="eastAsia" w:ascii="宋体" w:hAnsi="宋体" w:cs="仿宋_GB2312"/>
                <w:color w:val="auto"/>
                <w:sz w:val="24"/>
                <w:highlight w:val="none"/>
                <w:lang w:val="en-US" w:eastAsia="zh-CN"/>
              </w:rPr>
            </w:pPr>
            <w:r>
              <w:rPr>
                <w:rFonts w:hint="eastAsia" w:ascii="宋体" w:hAnsi="宋体" w:cs="仿宋_GB2312"/>
                <w:color w:val="auto"/>
                <w:sz w:val="24"/>
                <w:highlight w:val="none"/>
              </w:rPr>
              <w:t>职称</w:t>
            </w:r>
          </w:p>
        </w:tc>
        <w:tc>
          <w:tcPr>
            <w:tcW w:w="3322" w:type="dxa"/>
            <w:gridSpan w:val="2"/>
            <w:tcBorders>
              <w:top w:val="single" w:color="auto" w:sz="6" w:space="0"/>
              <w:left w:val="single" w:color="auto" w:sz="6" w:space="0"/>
              <w:bottom w:val="single" w:color="auto" w:sz="6" w:space="0"/>
              <w:right w:val="single" w:color="auto" w:sz="6" w:space="0"/>
            </w:tcBorders>
            <w:noWrap w:val="0"/>
            <w:vAlign w:val="center"/>
          </w:tcPr>
          <w:p w14:paraId="7082A40D">
            <w:pPr>
              <w:autoSpaceDE w:val="0"/>
              <w:autoSpaceDN w:val="0"/>
              <w:adjustRightInd w:val="0"/>
              <w:spacing w:line="360" w:lineRule="auto"/>
              <w:jc w:val="center"/>
              <w:rPr>
                <w:rFonts w:hint="eastAsia" w:ascii="宋体" w:hAnsi="宋体" w:cs="仿宋_GB2312"/>
                <w:color w:val="auto"/>
                <w:sz w:val="24"/>
                <w:highlight w:val="none"/>
              </w:rPr>
            </w:pPr>
          </w:p>
        </w:tc>
      </w:tr>
      <w:tr w14:paraId="7CC0BDC7">
        <w:tblPrEx>
          <w:tblCellMar>
            <w:top w:w="0" w:type="dxa"/>
            <w:left w:w="108" w:type="dxa"/>
            <w:bottom w:w="0" w:type="dxa"/>
            <w:right w:w="108" w:type="dxa"/>
          </w:tblCellMar>
        </w:tblPrEx>
        <w:trPr>
          <w:trHeight w:val="567" w:hRule="atLeast"/>
        </w:trPr>
        <w:tc>
          <w:tcPr>
            <w:tcW w:w="1949" w:type="dxa"/>
            <w:tcBorders>
              <w:top w:val="single" w:color="auto" w:sz="6" w:space="0"/>
              <w:left w:val="single" w:color="auto" w:sz="6" w:space="0"/>
              <w:bottom w:val="single" w:color="auto" w:sz="6" w:space="0"/>
              <w:right w:val="single" w:color="auto" w:sz="6" w:space="0"/>
            </w:tcBorders>
            <w:noWrap w:val="0"/>
            <w:vAlign w:val="center"/>
          </w:tcPr>
          <w:p w14:paraId="6FD37C96">
            <w:pPr>
              <w:autoSpaceDE w:val="0"/>
              <w:autoSpaceDN w:val="0"/>
              <w:adjustRightInd w:val="0"/>
              <w:spacing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所学专业</w:t>
            </w:r>
          </w:p>
        </w:tc>
        <w:tc>
          <w:tcPr>
            <w:tcW w:w="2485" w:type="dxa"/>
            <w:tcBorders>
              <w:top w:val="single" w:color="auto" w:sz="6" w:space="0"/>
              <w:left w:val="single" w:color="auto" w:sz="6" w:space="0"/>
              <w:bottom w:val="single" w:color="auto" w:sz="6" w:space="0"/>
              <w:right w:val="single" w:color="auto" w:sz="4" w:space="0"/>
            </w:tcBorders>
            <w:noWrap w:val="0"/>
            <w:vAlign w:val="center"/>
          </w:tcPr>
          <w:p w14:paraId="21839558">
            <w:pPr>
              <w:autoSpaceDE w:val="0"/>
              <w:autoSpaceDN w:val="0"/>
              <w:adjustRightInd w:val="0"/>
              <w:spacing w:line="360" w:lineRule="auto"/>
              <w:jc w:val="center"/>
              <w:rPr>
                <w:rFonts w:hint="eastAsia" w:ascii="宋体" w:hAnsi="宋体" w:cs="仿宋_GB2312"/>
                <w:color w:val="auto"/>
                <w:sz w:val="24"/>
                <w:highlight w:val="none"/>
              </w:rPr>
            </w:pPr>
          </w:p>
        </w:tc>
        <w:tc>
          <w:tcPr>
            <w:tcW w:w="2122" w:type="dxa"/>
            <w:tcBorders>
              <w:top w:val="single" w:color="auto" w:sz="6" w:space="0"/>
              <w:left w:val="single" w:color="auto" w:sz="4" w:space="0"/>
              <w:bottom w:val="single" w:color="auto" w:sz="6" w:space="0"/>
              <w:right w:val="single" w:color="auto" w:sz="6" w:space="0"/>
            </w:tcBorders>
            <w:noWrap w:val="0"/>
            <w:vAlign w:val="center"/>
          </w:tcPr>
          <w:p w14:paraId="64FE3A43">
            <w:pPr>
              <w:autoSpaceDE w:val="0"/>
              <w:autoSpaceDN w:val="0"/>
              <w:adjustRightInd w:val="0"/>
              <w:spacing w:line="360" w:lineRule="auto"/>
              <w:jc w:val="center"/>
              <w:rPr>
                <w:rFonts w:hint="eastAsia" w:ascii="宋体" w:hAnsi="宋体" w:cs="仿宋_GB2312"/>
                <w:color w:val="auto"/>
                <w:sz w:val="24"/>
                <w:highlight w:val="none"/>
                <w:lang w:val="en-US" w:eastAsia="zh-CN"/>
              </w:rPr>
            </w:pPr>
            <w:r>
              <w:rPr>
                <w:rFonts w:hint="eastAsia" w:ascii="宋体" w:hAnsi="宋体" w:cs="仿宋_GB2312"/>
                <w:color w:val="auto"/>
                <w:sz w:val="24"/>
                <w:highlight w:val="none"/>
              </w:rPr>
              <w:t>毕业时间</w:t>
            </w:r>
          </w:p>
        </w:tc>
        <w:tc>
          <w:tcPr>
            <w:tcW w:w="3322" w:type="dxa"/>
            <w:gridSpan w:val="2"/>
            <w:tcBorders>
              <w:top w:val="single" w:color="auto" w:sz="6" w:space="0"/>
              <w:left w:val="single" w:color="auto" w:sz="6" w:space="0"/>
              <w:bottom w:val="single" w:color="auto" w:sz="6" w:space="0"/>
              <w:right w:val="single" w:color="auto" w:sz="6" w:space="0"/>
            </w:tcBorders>
            <w:noWrap w:val="0"/>
            <w:vAlign w:val="center"/>
          </w:tcPr>
          <w:p w14:paraId="580020C9">
            <w:pPr>
              <w:autoSpaceDE w:val="0"/>
              <w:autoSpaceDN w:val="0"/>
              <w:adjustRightInd w:val="0"/>
              <w:spacing w:line="360" w:lineRule="auto"/>
              <w:jc w:val="center"/>
              <w:rPr>
                <w:rFonts w:hint="eastAsia" w:ascii="宋体" w:hAnsi="宋体" w:cs="仿宋_GB2312"/>
                <w:color w:val="auto"/>
                <w:sz w:val="24"/>
                <w:highlight w:val="none"/>
              </w:rPr>
            </w:pPr>
          </w:p>
        </w:tc>
      </w:tr>
      <w:tr w14:paraId="17ABED30">
        <w:tblPrEx>
          <w:tblCellMar>
            <w:top w:w="0" w:type="dxa"/>
            <w:left w:w="108" w:type="dxa"/>
            <w:bottom w:w="0" w:type="dxa"/>
            <w:right w:w="108" w:type="dxa"/>
          </w:tblCellMar>
        </w:tblPrEx>
        <w:trPr>
          <w:trHeight w:val="567" w:hRule="atLeast"/>
        </w:trPr>
        <w:tc>
          <w:tcPr>
            <w:tcW w:w="1949" w:type="dxa"/>
            <w:tcBorders>
              <w:top w:val="single" w:color="auto" w:sz="6" w:space="0"/>
              <w:left w:val="single" w:color="auto" w:sz="6" w:space="0"/>
              <w:bottom w:val="single" w:color="auto" w:sz="6" w:space="0"/>
              <w:right w:val="single" w:color="auto" w:sz="6" w:space="0"/>
            </w:tcBorders>
            <w:noWrap w:val="0"/>
            <w:vAlign w:val="center"/>
          </w:tcPr>
          <w:p w14:paraId="5728E730">
            <w:pPr>
              <w:autoSpaceDE w:val="0"/>
              <w:autoSpaceDN w:val="0"/>
              <w:adjustRightIn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rPr>
              <w:t>学历</w:t>
            </w:r>
            <w:r>
              <w:rPr>
                <w:rFonts w:hint="eastAsia" w:ascii="宋体" w:hAnsi="宋体" w:cs="仿宋_GB2312"/>
                <w:color w:val="auto"/>
                <w:sz w:val="24"/>
                <w:highlight w:val="none"/>
                <w:lang w:val="en-US" w:eastAsia="zh-CN"/>
              </w:rPr>
              <w:t>/学位</w:t>
            </w:r>
          </w:p>
        </w:tc>
        <w:tc>
          <w:tcPr>
            <w:tcW w:w="2485" w:type="dxa"/>
            <w:tcBorders>
              <w:top w:val="single" w:color="auto" w:sz="6" w:space="0"/>
              <w:left w:val="single" w:color="auto" w:sz="6" w:space="0"/>
              <w:bottom w:val="single" w:color="auto" w:sz="6" w:space="0"/>
              <w:right w:val="single" w:color="auto" w:sz="4" w:space="0"/>
            </w:tcBorders>
            <w:noWrap w:val="0"/>
            <w:vAlign w:val="center"/>
          </w:tcPr>
          <w:p w14:paraId="733B6F91">
            <w:pPr>
              <w:autoSpaceDE w:val="0"/>
              <w:autoSpaceDN w:val="0"/>
              <w:adjustRightInd w:val="0"/>
              <w:spacing w:line="360" w:lineRule="auto"/>
              <w:jc w:val="center"/>
              <w:rPr>
                <w:rFonts w:hint="eastAsia" w:ascii="宋体" w:hAnsi="宋体" w:cs="仿宋_GB2312"/>
                <w:color w:val="auto"/>
                <w:sz w:val="24"/>
                <w:highlight w:val="none"/>
              </w:rPr>
            </w:pPr>
          </w:p>
        </w:tc>
        <w:tc>
          <w:tcPr>
            <w:tcW w:w="2122" w:type="dxa"/>
            <w:tcBorders>
              <w:top w:val="single" w:color="auto" w:sz="6" w:space="0"/>
              <w:left w:val="single" w:color="auto" w:sz="4" w:space="0"/>
              <w:bottom w:val="single" w:color="auto" w:sz="6" w:space="0"/>
              <w:right w:val="single" w:color="auto" w:sz="6" w:space="0"/>
            </w:tcBorders>
            <w:noWrap w:val="0"/>
            <w:vAlign w:val="center"/>
          </w:tcPr>
          <w:p w14:paraId="48DF0E72">
            <w:pPr>
              <w:autoSpaceDE w:val="0"/>
              <w:autoSpaceDN w:val="0"/>
              <w:adjustRightIn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联系电话</w:t>
            </w:r>
          </w:p>
        </w:tc>
        <w:tc>
          <w:tcPr>
            <w:tcW w:w="3322" w:type="dxa"/>
            <w:gridSpan w:val="2"/>
            <w:tcBorders>
              <w:top w:val="single" w:color="auto" w:sz="6" w:space="0"/>
              <w:left w:val="single" w:color="auto" w:sz="6" w:space="0"/>
              <w:bottom w:val="single" w:color="auto" w:sz="6" w:space="0"/>
              <w:right w:val="single" w:color="auto" w:sz="6" w:space="0"/>
            </w:tcBorders>
            <w:noWrap w:val="0"/>
            <w:vAlign w:val="center"/>
          </w:tcPr>
          <w:p w14:paraId="49D7F019">
            <w:pPr>
              <w:autoSpaceDE w:val="0"/>
              <w:autoSpaceDN w:val="0"/>
              <w:adjustRightInd w:val="0"/>
              <w:spacing w:line="360" w:lineRule="auto"/>
              <w:jc w:val="center"/>
              <w:rPr>
                <w:rFonts w:hint="eastAsia" w:ascii="宋体" w:hAnsi="宋体" w:cs="仿宋_GB2312"/>
                <w:color w:val="auto"/>
                <w:sz w:val="24"/>
                <w:highlight w:val="none"/>
              </w:rPr>
            </w:pPr>
          </w:p>
        </w:tc>
      </w:tr>
      <w:tr w14:paraId="21F613BF">
        <w:tblPrEx>
          <w:tblCellMar>
            <w:top w:w="0" w:type="dxa"/>
            <w:left w:w="108" w:type="dxa"/>
            <w:bottom w:w="0" w:type="dxa"/>
            <w:right w:w="108" w:type="dxa"/>
          </w:tblCellMar>
        </w:tblPrEx>
        <w:trPr>
          <w:trHeight w:val="567" w:hRule="atLeast"/>
        </w:trPr>
        <w:tc>
          <w:tcPr>
            <w:tcW w:w="1949" w:type="dxa"/>
            <w:tcBorders>
              <w:top w:val="single" w:color="auto" w:sz="6" w:space="0"/>
              <w:left w:val="single" w:color="auto" w:sz="6" w:space="0"/>
              <w:bottom w:val="single" w:color="auto" w:sz="6" w:space="0"/>
              <w:right w:val="single" w:color="auto" w:sz="6" w:space="0"/>
            </w:tcBorders>
            <w:noWrap w:val="0"/>
            <w:vAlign w:val="center"/>
          </w:tcPr>
          <w:p w14:paraId="4ED85DFB">
            <w:pPr>
              <w:autoSpaceDE w:val="0"/>
              <w:autoSpaceDN w:val="0"/>
              <w:adjustRightIn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邮箱地址</w:t>
            </w:r>
          </w:p>
        </w:tc>
        <w:tc>
          <w:tcPr>
            <w:tcW w:w="2485" w:type="dxa"/>
            <w:tcBorders>
              <w:top w:val="single" w:color="auto" w:sz="6" w:space="0"/>
              <w:left w:val="single" w:color="auto" w:sz="6" w:space="0"/>
              <w:bottom w:val="single" w:color="auto" w:sz="6" w:space="0"/>
              <w:right w:val="single" w:color="auto" w:sz="4" w:space="0"/>
            </w:tcBorders>
            <w:noWrap w:val="0"/>
            <w:vAlign w:val="center"/>
          </w:tcPr>
          <w:p w14:paraId="4687903B">
            <w:pPr>
              <w:autoSpaceDE w:val="0"/>
              <w:autoSpaceDN w:val="0"/>
              <w:adjustRightInd w:val="0"/>
              <w:spacing w:line="360" w:lineRule="auto"/>
              <w:jc w:val="center"/>
              <w:rPr>
                <w:rFonts w:hint="eastAsia" w:ascii="宋体" w:hAnsi="宋体" w:cs="仿宋_GB2312"/>
                <w:color w:val="auto"/>
                <w:sz w:val="24"/>
                <w:highlight w:val="none"/>
              </w:rPr>
            </w:pPr>
          </w:p>
        </w:tc>
        <w:tc>
          <w:tcPr>
            <w:tcW w:w="2122" w:type="dxa"/>
            <w:tcBorders>
              <w:top w:val="single" w:color="auto" w:sz="6" w:space="0"/>
              <w:left w:val="single" w:color="auto" w:sz="4" w:space="0"/>
              <w:bottom w:val="single" w:color="auto" w:sz="6" w:space="0"/>
              <w:right w:val="single" w:color="auto" w:sz="6" w:space="0"/>
            </w:tcBorders>
            <w:noWrap w:val="0"/>
            <w:vAlign w:val="center"/>
          </w:tcPr>
          <w:p w14:paraId="220F96EC">
            <w:pPr>
              <w:autoSpaceDE w:val="0"/>
              <w:autoSpaceDN w:val="0"/>
              <w:adjustRightInd w:val="0"/>
              <w:spacing w:line="360" w:lineRule="auto"/>
              <w:jc w:val="center"/>
              <w:rPr>
                <w:rFonts w:hint="eastAsia" w:ascii="宋体" w:hAnsi="宋体" w:cs="仿宋_GB2312"/>
                <w:color w:val="auto"/>
                <w:sz w:val="24"/>
                <w:highlight w:val="none"/>
                <w:lang w:val="en-US" w:eastAsia="zh-CN"/>
              </w:rPr>
            </w:pPr>
            <w:r>
              <w:rPr>
                <w:rFonts w:hint="eastAsia" w:ascii="宋体" w:hAnsi="宋体" w:cs="仿宋_GB2312"/>
                <w:color w:val="auto"/>
                <w:sz w:val="24"/>
                <w:highlight w:val="none"/>
              </w:rPr>
              <w:t>资质证书编号</w:t>
            </w:r>
          </w:p>
        </w:tc>
        <w:tc>
          <w:tcPr>
            <w:tcW w:w="3322" w:type="dxa"/>
            <w:gridSpan w:val="2"/>
            <w:tcBorders>
              <w:top w:val="single" w:color="auto" w:sz="6" w:space="0"/>
              <w:left w:val="single" w:color="auto" w:sz="6" w:space="0"/>
              <w:bottom w:val="single" w:color="auto" w:sz="6" w:space="0"/>
              <w:right w:val="single" w:color="auto" w:sz="6" w:space="0"/>
            </w:tcBorders>
            <w:noWrap w:val="0"/>
            <w:vAlign w:val="center"/>
          </w:tcPr>
          <w:p w14:paraId="0BD89964">
            <w:pPr>
              <w:autoSpaceDE w:val="0"/>
              <w:autoSpaceDN w:val="0"/>
              <w:adjustRightInd w:val="0"/>
              <w:spacing w:line="360" w:lineRule="auto"/>
              <w:jc w:val="center"/>
              <w:rPr>
                <w:rFonts w:hint="eastAsia" w:ascii="宋体" w:hAnsi="宋体" w:cs="仿宋_GB2312"/>
                <w:color w:val="auto"/>
                <w:sz w:val="24"/>
                <w:highlight w:val="none"/>
              </w:rPr>
            </w:pPr>
          </w:p>
        </w:tc>
      </w:tr>
      <w:tr w14:paraId="2DBAC2E2">
        <w:tblPrEx>
          <w:tblCellMar>
            <w:top w:w="0" w:type="dxa"/>
            <w:left w:w="108" w:type="dxa"/>
            <w:bottom w:w="0" w:type="dxa"/>
            <w:right w:w="108" w:type="dxa"/>
          </w:tblCellMar>
        </w:tblPrEx>
        <w:trPr>
          <w:trHeight w:val="567" w:hRule="atLeast"/>
        </w:trPr>
        <w:tc>
          <w:tcPr>
            <w:tcW w:w="1949" w:type="dxa"/>
            <w:tcBorders>
              <w:top w:val="single" w:color="auto" w:sz="6" w:space="0"/>
              <w:left w:val="single" w:color="auto" w:sz="6" w:space="0"/>
              <w:bottom w:val="single" w:color="auto" w:sz="6" w:space="0"/>
              <w:right w:val="single" w:color="auto" w:sz="6" w:space="0"/>
            </w:tcBorders>
            <w:noWrap w:val="0"/>
            <w:vAlign w:val="center"/>
          </w:tcPr>
          <w:p w14:paraId="696A9ED6">
            <w:pPr>
              <w:autoSpaceDE w:val="0"/>
              <w:autoSpaceDN w:val="0"/>
              <w:adjustRightIn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执业证书编号</w:t>
            </w:r>
          </w:p>
        </w:tc>
        <w:tc>
          <w:tcPr>
            <w:tcW w:w="2485" w:type="dxa"/>
            <w:tcBorders>
              <w:top w:val="single" w:color="auto" w:sz="6" w:space="0"/>
              <w:left w:val="single" w:color="auto" w:sz="6" w:space="0"/>
              <w:bottom w:val="single" w:color="auto" w:sz="6" w:space="0"/>
              <w:right w:val="single" w:color="auto" w:sz="4" w:space="0"/>
            </w:tcBorders>
            <w:noWrap w:val="0"/>
            <w:vAlign w:val="center"/>
          </w:tcPr>
          <w:p w14:paraId="6A2982C9">
            <w:pPr>
              <w:autoSpaceDE w:val="0"/>
              <w:autoSpaceDN w:val="0"/>
              <w:adjustRightInd w:val="0"/>
              <w:spacing w:line="360" w:lineRule="auto"/>
              <w:jc w:val="center"/>
              <w:rPr>
                <w:rFonts w:hint="eastAsia" w:ascii="宋体" w:hAnsi="宋体" w:cs="仿宋_GB2312"/>
                <w:color w:val="auto"/>
                <w:sz w:val="24"/>
                <w:highlight w:val="none"/>
              </w:rPr>
            </w:pPr>
          </w:p>
        </w:tc>
        <w:tc>
          <w:tcPr>
            <w:tcW w:w="2122" w:type="dxa"/>
            <w:tcBorders>
              <w:top w:val="single" w:color="auto" w:sz="6" w:space="0"/>
              <w:left w:val="single" w:color="auto" w:sz="4" w:space="0"/>
              <w:bottom w:val="single" w:color="auto" w:sz="6" w:space="0"/>
              <w:right w:val="single" w:color="auto" w:sz="6" w:space="0"/>
            </w:tcBorders>
            <w:noWrap w:val="0"/>
            <w:vAlign w:val="center"/>
          </w:tcPr>
          <w:p w14:paraId="657D8239">
            <w:pPr>
              <w:autoSpaceDE w:val="0"/>
              <w:autoSpaceDN w:val="0"/>
              <w:adjustRightInd w:val="0"/>
              <w:spacing w:line="360" w:lineRule="auto"/>
              <w:jc w:val="center"/>
              <w:rPr>
                <w:rFonts w:hint="eastAsia"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安全生产考核合格证书编号（B证）</w:t>
            </w:r>
          </w:p>
        </w:tc>
        <w:tc>
          <w:tcPr>
            <w:tcW w:w="3322" w:type="dxa"/>
            <w:gridSpan w:val="2"/>
            <w:tcBorders>
              <w:top w:val="single" w:color="auto" w:sz="6" w:space="0"/>
              <w:left w:val="single" w:color="auto" w:sz="6" w:space="0"/>
              <w:bottom w:val="single" w:color="auto" w:sz="6" w:space="0"/>
              <w:right w:val="single" w:color="auto" w:sz="6" w:space="0"/>
            </w:tcBorders>
            <w:noWrap w:val="0"/>
            <w:vAlign w:val="center"/>
          </w:tcPr>
          <w:p w14:paraId="5D553587">
            <w:pPr>
              <w:autoSpaceDE w:val="0"/>
              <w:autoSpaceDN w:val="0"/>
              <w:adjustRightInd w:val="0"/>
              <w:spacing w:line="360" w:lineRule="auto"/>
              <w:jc w:val="center"/>
              <w:rPr>
                <w:rFonts w:hint="eastAsia" w:ascii="宋体" w:hAnsi="宋体" w:cs="仿宋_GB2312"/>
                <w:color w:val="auto"/>
                <w:sz w:val="24"/>
                <w:highlight w:val="none"/>
              </w:rPr>
            </w:pPr>
          </w:p>
        </w:tc>
      </w:tr>
      <w:tr w14:paraId="554FF43D">
        <w:tblPrEx>
          <w:tblCellMar>
            <w:top w:w="0" w:type="dxa"/>
            <w:left w:w="108" w:type="dxa"/>
            <w:bottom w:w="0" w:type="dxa"/>
            <w:right w:w="108" w:type="dxa"/>
          </w:tblCellMar>
        </w:tblPrEx>
        <w:trPr>
          <w:trHeight w:val="567" w:hRule="atLeast"/>
        </w:trPr>
        <w:tc>
          <w:tcPr>
            <w:tcW w:w="1949" w:type="dxa"/>
            <w:tcBorders>
              <w:top w:val="single" w:color="auto" w:sz="6" w:space="0"/>
              <w:left w:val="single" w:color="auto" w:sz="6" w:space="0"/>
              <w:bottom w:val="single" w:color="auto" w:sz="6" w:space="0"/>
              <w:right w:val="single" w:color="auto" w:sz="6" w:space="0"/>
            </w:tcBorders>
            <w:noWrap w:val="0"/>
            <w:vAlign w:val="center"/>
          </w:tcPr>
          <w:p w14:paraId="22C03A3C">
            <w:pPr>
              <w:autoSpaceDE w:val="0"/>
              <w:autoSpaceDN w:val="0"/>
              <w:adjustRightInd w:val="0"/>
              <w:spacing w:line="360" w:lineRule="auto"/>
              <w:jc w:val="center"/>
              <w:rPr>
                <w:rFonts w:hint="eastAsia" w:ascii="宋体" w:hAnsi="宋体" w:cs="仿宋_GB2312"/>
                <w:color w:val="auto"/>
                <w:sz w:val="24"/>
                <w:highlight w:val="none"/>
                <w:lang w:val="en-US" w:eastAsia="zh-CN"/>
              </w:rPr>
            </w:pPr>
            <w:r>
              <w:rPr>
                <w:rFonts w:hint="eastAsia" w:ascii="宋体" w:hAnsi="宋体" w:cs="仿宋_GB2312"/>
                <w:color w:val="auto"/>
                <w:sz w:val="24"/>
                <w:highlight w:val="none"/>
              </w:rPr>
              <w:t>其他资质情况</w:t>
            </w:r>
          </w:p>
        </w:tc>
        <w:tc>
          <w:tcPr>
            <w:tcW w:w="2485" w:type="dxa"/>
            <w:tcBorders>
              <w:top w:val="single" w:color="auto" w:sz="6" w:space="0"/>
              <w:left w:val="single" w:color="auto" w:sz="6" w:space="0"/>
              <w:bottom w:val="single" w:color="auto" w:sz="6" w:space="0"/>
              <w:right w:val="single" w:color="auto" w:sz="4" w:space="0"/>
            </w:tcBorders>
            <w:noWrap w:val="0"/>
            <w:vAlign w:val="center"/>
          </w:tcPr>
          <w:p w14:paraId="40CA20FF">
            <w:pPr>
              <w:autoSpaceDE w:val="0"/>
              <w:autoSpaceDN w:val="0"/>
              <w:adjustRightInd w:val="0"/>
              <w:spacing w:line="360" w:lineRule="auto"/>
              <w:jc w:val="center"/>
              <w:rPr>
                <w:rFonts w:hint="eastAsia" w:ascii="宋体" w:hAnsi="宋体" w:cs="仿宋_GB2312"/>
                <w:color w:val="auto"/>
                <w:sz w:val="24"/>
                <w:highlight w:val="none"/>
              </w:rPr>
            </w:pPr>
          </w:p>
        </w:tc>
        <w:tc>
          <w:tcPr>
            <w:tcW w:w="2122" w:type="dxa"/>
            <w:tcBorders>
              <w:top w:val="single" w:color="auto" w:sz="6" w:space="0"/>
              <w:left w:val="single" w:color="auto" w:sz="4" w:space="0"/>
              <w:bottom w:val="single" w:color="auto" w:sz="6" w:space="0"/>
              <w:right w:val="single" w:color="auto" w:sz="6" w:space="0"/>
            </w:tcBorders>
            <w:noWrap w:val="0"/>
            <w:vAlign w:val="center"/>
          </w:tcPr>
          <w:p w14:paraId="46B50260">
            <w:pPr>
              <w:autoSpaceDE w:val="0"/>
              <w:autoSpaceDN w:val="0"/>
              <w:adjustRightInd w:val="0"/>
              <w:spacing w:line="360" w:lineRule="auto"/>
              <w:jc w:val="center"/>
              <w:rPr>
                <w:rFonts w:hint="eastAsia" w:ascii="宋体" w:hAnsi="宋体" w:cs="仿宋_GB2312"/>
                <w:color w:val="auto"/>
                <w:sz w:val="24"/>
                <w:highlight w:val="none"/>
                <w:lang w:val="en-US" w:eastAsia="zh-CN"/>
              </w:rPr>
            </w:pPr>
            <w:r>
              <w:rPr>
                <w:rFonts w:hint="eastAsia" w:ascii="宋体" w:hAnsi="宋体" w:cs="仿宋_GB2312"/>
                <w:b/>
                <w:bCs/>
                <w:color w:val="auto"/>
                <w:sz w:val="24"/>
                <w:highlight w:val="none"/>
                <w:lang w:val="en-US" w:eastAsia="zh-CN"/>
              </w:rPr>
              <w:t>有无在建项目</w:t>
            </w:r>
          </w:p>
        </w:tc>
        <w:tc>
          <w:tcPr>
            <w:tcW w:w="3322" w:type="dxa"/>
            <w:gridSpan w:val="2"/>
            <w:tcBorders>
              <w:top w:val="single" w:color="auto" w:sz="6" w:space="0"/>
              <w:left w:val="single" w:color="auto" w:sz="6" w:space="0"/>
              <w:bottom w:val="single" w:color="auto" w:sz="6" w:space="0"/>
              <w:right w:val="single" w:color="auto" w:sz="6" w:space="0"/>
            </w:tcBorders>
            <w:noWrap w:val="0"/>
            <w:vAlign w:val="center"/>
          </w:tcPr>
          <w:p w14:paraId="0B6F6619">
            <w:pPr>
              <w:autoSpaceDE w:val="0"/>
              <w:autoSpaceDN w:val="0"/>
              <w:adjustRightInd w:val="0"/>
              <w:spacing w:line="360" w:lineRule="auto"/>
              <w:jc w:val="left"/>
              <w:rPr>
                <w:rFonts w:hint="default" w:ascii="宋体" w:hAnsi="宋体" w:eastAsia="宋体" w:cs="仿宋_GB2312"/>
                <w:color w:val="auto"/>
                <w:sz w:val="24"/>
                <w:highlight w:val="none"/>
                <w:u w:val="single"/>
                <w:lang w:val="en-US" w:eastAsia="zh-CN"/>
              </w:rPr>
            </w:pPr>
            <w:r>
              <w:rPr>
                <w:rFonts w:hint="eastAsia" w:ascii="宋体" w:hAnsi="宋体" w:cs="仿宋_GB2312"/>
                <w:color w:val="auto"/>
                <w:sz w:val="24"/>
                <w:highlight w:val="none"/>
              </w:rPr>
              <w:sym w:font="Wingdings 2" w:char="00A3"/>
            </w:r>
            <w:r>
              <w:rPr>
                <w:rFonts w:hint="eastAsia" w:ascii="宋体" w:hAnsi="宋体" w:cs="仿宋_GB2312"/>
                <w:color w:val="auto"/>
                <w:sz w:val="24"/>
                <w:highlight w:val="none"/>
                <w:lang w:val="en-US" w:eastAsia="zh-CN"/>
              </w:rPr>
              <w:t>无；</w:t>
            </w:r>
            <w:r>
              <w:rPr>
                <w:rFonts w:hint="eastAsia" w:ascii="宋体" w:hAnsi="宋体" w:cs="仿宋_GB2312"/>
                <w:color w:val="auto"/>
                <w:sz w:val="24"/>
                <w:highlight w:val="none"/>
              </w:rPr>
              <w:sym w:font="Wingdings 2" w:char="00A3"/>
            </w:r>
            <w:r>
              <w:rPr>
                <w:rFonts w:hint="eastAsia" w:ascii="宋体" w:hAnsi="宋体" w:cs="仿宋_GB2312"/>
                <w:color w:val="auto"/>
                <w:sz w:val="24"/>
                <w:highlight w:val="none"/>
                <w:lang w:val="en-US" w:eastAsia="zh-CN"/>
              </w:rPr>
              <w:t>有，</w:t>
            </w:r>
            <w:r>
              <w:rPr>
                <w:rFonts w:hint="eastAsia" w:ascii="宋体" w:hAnsi="宋体" w:cs="仿宋_GB2312"/>
                <w:color w:val="auto"/>
                <w:sz w:val="24"/>
                <w:highlight w:val="none"/>
                <w:u w:val="single"/>
                <w:lang w:val="en-US" w:eastAsia="zh-CN"/>
              </w:rPr>
              <w:t xml:space="preserve">      </w:t>
            </w:r>
          </w:p>
        </w:tc>
      </w:tr>
      <w:tr w14:paraId="3CDD4312">
        <w:tblPrEx>
          <w:tblCellMar>
            <w:top w:w="0" w:type="dxa"/>
            <w:left w:w="108" w:type="dxa"/>
            <w:bottom w:w="0" w:type="dxa"/>
            <w:right w:w="108" w:type="dxa"/>
          </w:tblCellMar>
        </w:tblPrEx>
        <w:trPr>
          <w:trHeight w:val="567" w:hRule="atLeast"/>
        </w:trPr>
        <w:tc>
          <w:tcPr>
            <w:tcW w:w="9878" w:type="dxa"/>
            <w:gridSpan w:val="5"/>
            <w:tcBorders>
              <w:top w:val="single" w:color="auto" w:sz="6" w:space="0"/>
              <w:left w:val="single" w:color="auto" w:sz="6" w:space="0"/>
              <w:bottom w:val="single" w:color="auto" w:sz="6" w:space="0"/>
              <w:right w:val="single" w:color="auto" w:sz="6" w:space="0"/>
            </w:tcBorders>
            <w:noWrap w:val="0"/>
            <w:vAlign w:val="center"/>
          </w:tcPr>
          <w:p w14:paraId="5D7C4885">
            <w:pPr>
              <w:autoSpaceDE w:val="0"/>
              <w:autoSpaceDN w:val="0"/>
              <w:adjustRightIn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b/>
                <w:bCs/>
                <w:color w:val="auto"/>
                <w:sz w:val="24"/>
                <w:highlight w:val="none"/>
                <w:lang w:val="en-US" w:eastAsia="zh-CN"/>
              </w:rPr>
              <w:t>工作履历</w:t>
            </w:r>
          </w:p>
        </w:tc>
      </w:tr>
      <w:tr w14:paraId="12D3F75C">
        <w:tblPrEx>
          <w:tblCellMar>
            <w:top w:w="0" w:type="dxa"/>
            <w:left w:w="108" w:type="dxa"/>
            <w:bottom w:w="0" w:type="dxa"/>
            <w:right w:w="108" w:type="dxa"/>
          </w:tblCellMar>
        </w:tblPrEx>
        <w:trPr>
          <w:trHeight w:val="567" w:hRule="atLeast"/>
        </w:trPr>
        <w:tc>
          <w:tcPr>
            <w:tcW w:w="1949" w:type="dxa"/>
            <w:tcBorders>
              <w:top w:val="single" w:color="auto" w:sz="6" w:space="0"/>
              <w:left w:val="single" w:color="auto" w:sz="6" w:space="0"/>
              <w:bottom w:val="single" w:color="auto" w:sz="6" w:space="0"/>
              <w:right w:val="single" w:color="auto" w:sz="6" w:space="0"/>
            </w:tcBorders>
            <w:noWrap w:val="0"/>
            <w:vAlign w:val="center"/>
          </w:tcPr>
          <w:p w14:paraId="552BD9E2">
            <w:pPr>
              <w:pStyle w:val="957"/>
              <w:tabs>
                <w:tab w:val="left" w:pos="483"/>
              </w:tabs>
              <w:spacing w:before="104"/>
              <w:jc w:val="center"/>
              <w:rPr>
                <w:rFonts w:hint="eastAsia" w:ascii="宋体" w:hAnsi="宋体" w:cs="仿宋_GB2312"/>
                <w:color w:val="auto"/>
                <w:sz w:val="24"/>
                <w:highlight w:val="none"/>
              </w:rPr>
            </w:pPr>
            <w:r>
              <w:rPr>
                <w:rFonts w:ascii="Times New Roman" w:hAnsi="Times New Roman" w:eastAsiaTheme="minorEastAsia"/>
                <w:color w:val="auto"/>
                <w:sz w:val="24"/>
                <w:highlight w:val="none"/>
                <w:shd w:val="clear" w:color="auto" w:fill="FFFFFF" w:themeFill="background1"/>
              </w:rPr>
              <w:t>起止时间</w:t>
            </w:r>
          </w:p>
        </w:tc>
        <w:tc>
          <w:tcPr>
            <w:tcW w:w="2485" w:type="dxa"/>
            <w:tcBorders>
              <w:top w:val="single" w:color="auto" w:sz="6" w:space="0"/>
              <w:left w:val="single" w:color="auto" w:sz="6" w:space="0"/>
              <w:bottom w:val="single" w:color="auto" w:sz="6" w:space="0"/>
              <w:right w:val="single" w:color="auto" w:sz="4" w:space="0"/>
            </w:tcBorders>
            <w:noWrap w:val="0"/>
            <w:vAlign w:val="center"/>
          </w:tcPr>
          <w:p w14:paraId="4FBFD4A6">
            <w:pPr>
              <w:pStyle w:val="957"/>
              <w:tabs>
                <w:tab w:val="left" w:pos="483"/>
              </w:tabs>
              <w:spacing w:before="104"/>
              <w:jc w:val="center"/>
              <w:rPr>
                <w:rFonts w:hint="eastAsia" w:ascii="宋体" w:hAnsi="宋体" w:cs="仿宋_GB2312"/>
                <w:color w:val="auto"/>
                <w:sz w:val="24"/>
                <w:highlight w:val="none"/>
              </w:rPr>
            </w:pPr>
            <w:r>
              <w:rPr>
                <w:rFonts w:ascii="Times New Roman" w:hAnsi="Times New Roman" w:eastAsiaTheme="minorEastAsia"/>
                <w:color w:val="auto"/>
                <w:sz w:val="24"/>
                <w:highlight w:val="none"/>
                <w:shd w:val="clear" w:color="auto" w:fill="FFFFFF" w:themeFill="background1"/>
              </w:rPr>
              <w:t>任职单位</w:t>
            </w:r>
          </w:p>
        </w:tc>
        <w:tc>
          <w:tcPr>
            <w:tcW w:w="2122" w:type="dxa"/>
            <w:tcBorders>
              <w:top w:val="single" w:color="auto" w:sz="6" w:space="0"/>
              <w:left w:val="single" w:color="auto" w:sz="4" w:space="0"/>
              <w:bottom w:val="single" w:color="auto" w:sz="6" w:space="0"/>
              <w:right w:val="single" w:color="auto" w:sz="6" w:space="0"/>
            </w:tcBorders>
            <w:noWrap w:val="0"/>
            <w:vAlign w:val="center"/>
          </w:tcPr>
          <w:p w14:paraId="259D68B0">
            <w:pPr>
              <w:pStyle w:val="957"/>
              <w:tabs>
                <w:tab w:val="left" w:pos="483"/>
              </w:tabs>
              <w:spacing w:before="104"/>
              <w:jc w:val="center"/>
              <w:rPr>
                <w:rFonts w:hint="eastAsia" w:ascii="宋体" w:hAnsi="宋体" w:cs="仿宋_GB2312"/>
                <w:color w:val="auto"/>
                <w:sz w:val="24"/>
                <w:highlight w:val="none"/>
                <w:lang w:val="en-US" w:eastAsia="zh-CN"/>
              </w:rPr>
            </w:pPr>
            <w:r>
              <w:rPr>
                <w:rFonts w:ascii="Times New Roman" w:hAnsi="Times New Roman" w:eastAsiaTheme="minorEastAsia"/>
                <w:color w:val="auto"/>
                <w:sz w:val="24"/>
                <w:highlight w:val="none"/>
                <w:shd w:val="clear" w:color="auto" w:fill="FFFFFF" w:themeFill="background1"/>
              </w:rPr>
              <w:t>职务</w:t>
            </w:r>
          </w:p>
        </w:tc>
        <w:tc>
          <w:tcPr>
            <w:tcW w:w="3322" w:type="dxa"/>
            <w:gridSpan w:val="2"/>
            <w:tcBorders>
              <w:top w:val="single" w:color="auto" w:sz="6" w:space="0"/>
              <w:left w:val="single" w:color="auto" w:sz="6" w:space="0"/>
              <w:bottom w:val="single" w:color="auto" w:sz="6" w:space="0"/>
              <w:right w:val="single" w:color="auto" w:sz="6" w:space="0"/>
            </w:tcBorders>
            <w:noWrap w:val="0"/>
            <w:vAlign w:val="center"/>
          </w:tcPr>
          <w:p w14:paraId="391CE95E">
            <w:pPr>
              <w:pStyle w:val="957"/>
              <w:tabs>
                <w:tab w:val="left" w:pos="483"/>
              </w:tabs>
              <w:spacing w:before="104"/>
              <w:jc w:val="center"/>
              <w:rPr>
                <w:rFonts w:hint="eastAsia" w:ascii="宋体" w:hAnsi="宋体" w:cs="仿宋_GB2312"/>
                <w:color w:val="auto"/>
                <w:sz w:val="24"/>
                <w:highlight w:val="none"/>
              </w:rPr>
            </w:pPr>
            <w:r>
              <w:rPr>
                <w:rFonts w:ascii="Times New Roman" w:hAnsi="Times New Roman" w:eastAsiaTheme="minorEastAsia"/>
                <w:color w:val="auto"/>
                <w:sz w:val="24"/>
                <w:highlight w:val="none"/>
                <w:shd w:val="clear" w:color="auto" w:fill="FFFFFF" w:themeFill="background1"/>
              </w:rPr>
              <w:t>备注</w:t>
            </w:r>
          </w:p>
        </w:tc>
      </w:tr>
      <w:tr w14:paraId="10233039">
        <w:tblPrEx>
          <w:tblCellMar>
            <w:top w:w="0" w:type="dxa"/>
            <w:left w:w="108" w:type="dxa"/>
            <w:bottom w:w="0" w:type="dxa"/>
            <w:right w:w="108" w:type="dxa"/>
          </w:tblCellMar>
        </w:tblPrEx>
        <w:trPr>
          <w:trHeight w:val="567" w:hRule="atLeast"/>
        </w:trPr>
        <w:tc>
          <w:tcPr>
            <w:tcW w:w="1949" w:type="dxa"/>
            <w:tcBorders>
              <w:top w:val="single" w:color="auto" w:sz="6" w:space="0"/>
              <w:left w:val="single" w:color="auto" w:sz="6" w:space="0"/>
              <w:bottom w:val="single" w:color="auto" w:sz="6" w:space="0"/>
              <w:right w:val="single" w:color="auto" w:sz="6" w:space="0"/>
            </w:tcBorders>
            <w:noWrap w:val="0"/>
            <w:vAlign w:val="center"/>
          </w:tcPr>
          <w:p w14:paraId="0645B8CF">
            <w:pPr>
              <w:autoSpaceDE w:val="0"/>
              <w:autoSpaceDN w:val="0"/>
              <w:adjustRightInd w:val="0"/>
              <w:spacing w:line="360" w:lineRule="auto"/>
              <w:jc w:val="center"/>
              <w:rPr>
                <w:rFonts w:hint="eastAsia" w:ascii="宋体" w:hAnsi="宋体" w:cs="仿宋_GB2312"/>
                <w:color w:val="auto"/>
                <w:sz w:val="24"/>
                <w:highlight w:val="none"/>
              </w:rPr>
            </w:pPr>
          </w:p>
        </w:tc>
        <w:tc>
          <w:tcPr>
            <w:tcW w:w="2485" w:type="dxa"/>
            <w:tcBorders>
              <w:top w:val="single" w:color="auto" w:sz="6" w:space="0"/>
              <w:left w:val="single" w:color="auto" w:sz="6" w:space="0"/>
              <w:bottom w:val="single" w:color="auto" w:sz="6" w:space="0"/>
              <w:right w:val="single" w:color="auto" w:sz="4" w:space="0"/>
            </w:tcBorders>
            <w:noWrap w:val="0"/>
            <w:vAlign w:val="center"/>
          </w:tcPr>
          <w:p w14:paraId="1F4F7079">
            <w:pPr>
              <w:autoSpaceDE w:val="0"/>
              <w:autoSpaceDN w:val="0"/>
              <w:adjustRightInd w:val="0"/>
              <w:spacing w:line="360" w:lineRule="auto"/>
              <w:jc w:val="center"/>
              <w:rPr>
                <w:rFonts w:hint="eastAsia" w:ascii="宋体" w:hAnsi="宋体" w:cs="仿宋_GB2312"/>
                <w:color w:val="auto"/>
                <w:sz w:val="24"/>
                <w:highlight w:val="none"/>
              </w:rPr>
            </w:pPr>
          </w:p>
        </w:tc>
        <w:tc>
          <w:tcPr>
            <w:tcW w:w="2122" w:type="dxa"/>
            <w:tcBorders>
              <w:top w:val="single" w:color="auto" w:sz="6" w:space="0"/>
              <w:left w:val="single" w:color="auto" w:sz="4" w:space="0"/>
              <w:bottom w:val="single" w:color="auto" w:sz="6" w:space="0"/>
              <w:right w:val="single" w:color="auto" w:sz="6" w:space="0"/>
            </w:tcBorders>
            <w:noWrap w:val="0"/>
            <w:vAlign w:val="center"/>
          </w:tcPr>
          <w:p w14:paraId="397CD003">
            <w:pPr>
              <w:autoSpaceDE w:val="0"/>
              <w:autoSpaceDN w:val="0"/>
              <w:adjustRightInd w:val="0"/>
              <w:spacing w:line="360" w:lineRule="auto"/>
              <w:jc w:val="center"/>
              <w:rPr>
                <w:rFonts w:hint="eastAsia" w:ascii="宋体" w:hAnsi="宋体" w:cs="仿宋_GB2312"/>
                <w:color w:val="auto"/>
                <w:sz w:val="24"/>
                <w:highlight w:val="none"/>
                <w:lang w:val="en-US" w:eastAsia="zh-CN"/>
              </w:rPr>
            </w:pPr>
          </w:p>
        </w:tc>
        <w:tc>
          <w:tcPr>
            <w:tcW w:w="3322" w:type="dxa"/>
            <w:gridSpan w:val="2"/>
            <w:tcBorders>
              <w:top w:val="single" w:color="auto" w:sz="6" w:space="0"/>
              <w:left w:val="single" w:color="auto" w:sz="6" w:space="0"/>
              <w:bottom w:val="single" w:color="auto" w:sz="6" w:space="0"/>
              <w:right w:val="single" w:color="auto" w:sz="6" w:space="0"/>
            </w:tcBorders>
            <w:noWrap w:val="0"/>
            <w:vAlign w:val="center"/>
          </w:tcPr>
          <w:p w14:paraId="2F6B02B6">
            <w:pPr>
              <w:autoSpaceDE w:val="0"/>
              <w:autoSpaceDN w:val="0"/>
              <w:adjustRightInd w:val="0"/>
              <w:spacing w:line="360" w:lineRule="auto"/>
              <w:jc w:val="center"/>
              <w:rPr>
                <w:rFonts w:hint="eastAsia" w:ascii="宋体" w:hAnsi="宋体" w:cs="仿宋_GB2312"/>
                <w:color w:val="auto"/>
                <w:sz w:val="24"/>
                <w:highlight w:val="none"/>
              </w:rPr>
            </w:pPr>
          </w:p>
        </w:tc>
      </w:tr>
      <w:tr w14:paraId="487F29CA">
        <w:tblPrEx>
          <w:tblCellMar>
            <w:top w:w="0" w:type="dxa"/>
            <w:left w:w="108" w:type="dxa"/>
            <w:bottom w:w="0" w:type="dxa"/>
            <w:right w:w="108" w:type="dxa"/>
          </w:tblCellMar>
        </w:tblPrEx>
        <w:trPr>
          <w:trHeight w:val="567" w:hRule="atLeast"/>
        </w:trPr>
        <w:tc>
          <w:tcPr>
            <w:tcW w:w="1949" w:type="dxa"/>
            <w:tcBorders>
              <w:top w:val="single" w:color="auto" w:sz="6" w:space="0"/>
              <w:left w:val="single" w:color="auto" w:sz="6" w:space="0"/>
              <w:bottom w:val="single" w:color="auto" w:sz="6" w:space="0"/>
              <w:right w:val="single" w:color="auto" w:sz="6" w:space="0"/>
            </w:tcBorders>
            <w:noWrap w:val="0"/>
            <w:vAlign w:val="center"/>
          </w:tcPr>
          <w:p w14:paraId="20D90303">
            <w:pPr>
              <w:autoSpaceDE w:val="0"/>
              <w:autoSpaceDN w:val="0"/>
              <w:adjustRightInd w:val="0"/>
              <w:spacing w:line="360" w:lineRule="auto"/>
              <w:jc w:val="center"/>
              <w:rPr>
                <w:rFonts w:hint="eastAsia" w:ascii="宋体" w:hAnsi="宋体" w:cs="仿宋_GB2312"/>
                <w:color w:val="auto"/>
                <w:sz w:val="24"/>
                <w:highlight w:val="none"/>
              </w:rPr>
            </w:pPr>
          </w:p>
        </w:tc>
        <w:tc>
          <w:tcPr>
            <w:tcW w:w="2485" w:type="dxa"/>
            <w:tcBorders>
              <w:top w:val="single" w:color="auto" w:sz="6" w:space="0"/>
              <w:left w:val="single" w:color="auto" w:sz="6" w:space="0"/>
              <w:bottom w:val="single" w:color="auto" w:sz="6" w:space="0"/>
              <w:right w:val="single" w:color="auto" w:sz="4" w:space="0"/>
            </w:tcBorders>
            <w:noWrap w:val="0"/>
            <w:vAlign w:val="center"/>
          </w:tcPr>
          <w:p w14:paraId="4793FD50">
            <w:pPr>
              <w:autoSpaceDE w:val="0"/>
              <w:autoSpaceDN w:val="0"/>
              <w:adjustRightInd w:val="0"/>
              <w:spacing w:line="360" w:lineRule="auto"/>
              <w:jc w:val="center"/>
              <w:rPr>
                <w:rFonts w:hint="eastAsia" w:ascii="宋体" w:hAnsi="宋体" w:cs="仿宋_GB2312"/>
                <w:color w:val="auto"/>
                <w:sz w:val="24"/>
                <w:highlight w:val="none"/>
              </w:rPr>
            </w:pPr>
          </w:p>
        </w:tc>
        <w:tc>
          <w:tcPr>
            <w:tcW w:w="2122" w:type="dxa"/>
            <w:tcBorders>
              <w:top w:val="single" w:color="auto" w:sz="6" w:space="0"/>
              <w:left w:val="single" w:color="auto" w:sz="4" w:space="0"/>
              <w:bottom w:val="single" w:color="auto" w:sz="6" w:space="0"/>
              <w:right w:val="single" w:color="auto" w:sz="6" w:space="0"/>
            </w:tcBorders>
            <w:noWrap w:val="0"/>
            <w:vAlign w:val="center"/>
          </w:tcPr>
          <w:p w14:paraId="3FFA6AB4">
            <w:pPr>
              <w:autoSpaceDE w:val="0"/>
              <w:autoSpaceDN w:val="0"/>
              <w:adjustRightInd w:val="0"/>
              <w:spacing w:line="360" w:lineRule="auto"/>
              <w:jc w:val="center"/>
              <w:rPr>
                <w:rFonts w:hint="eastAsia" w:ascii="宋体" w:hAnsi="宋体" w:cs="仿宋_GB2312"/>
                <w:color w:val="auto"/>
                <w:sz w:val="24"/>
                <w:highlight w:val="none"/>
                <w:lang w:val="en-US" w:eastAsia="zh-CN"/>
              </w:rPr>
            </w:pPr>
          </w:p>
        </w:tc>
        <w:tc>
          <w:tcPr>
            <w:tcW w:w="3322" w:type="dxa"/>
            <w:gridSpan w:val="2"/>
            <w:tcBorders>
              <w:top w:val="single" w:color="auto" w:sz="6" w:space="0"/>
              <w:left w:val="single" w:color="auto" w:sz="6" w:space="0"/>
              <w:bottom w:val="single" w:color="auto" w:sz="6" w:space="0"/>
              <w:right w:val="single" w:color="auto" w:sz="6" w:space="0"/>
            </w:tcBorders>
            <w:noWrap w:val="0"/>
            <w:vAlign w:val="center"/>
          </w:tcPr>
          <w:p w14:paraId="4410A789">
            <w:pPr>
              <w:autoSpaceDE w:val="0"/>
              <w:autoSpaceDN w:val="0"/>
              <w:adjustRightInd w:val="0"/>
              <w:spacing w:line="360" w:lineRule="auto"/>
              <w:jc w:val="center"/>
              <w:rPr>
                <w:rFonts w:hint="eastAsia" w:ascii="宋体" w:hAnsi="宋体" w:cs="仿宋_GB2312"/>
                <w:color w:val="auto"/>
                <w:sz w:val="24"/>
                <w:highlight w:val="none"/>
              </w:rPr>
            </w:pPr>
          </w:p>
        </w:tc>
      </w:tr>
      <w:tr w14:paraId="7FFDDB15">
        <w:tblPrEx>
          <w:tblCellMar>
            <w:top w:w="0" w:type="dxa"/>
            <w:left w:w="108" w:type="dxa"/>
            <w:bottom w:w="0" w:type="dxa"/>
            <w:right w:w="108" w:type="dxa"/>
          </w:tblCellMar>
        </w:tblPrEx>
        <w:trPr>
          <w:trHeight w:val="567" w:hRule="atLeast"/>
        </w:trPr>
        <w:tc>
          <w:tcPr>
            <w:tcW w:w="9878" w:type="dxa"/>
            <w:gridSpan w:val="5"/>
            <w:tcBorders>
              <w:top w:val="single" w:color="auto" w:sz="6" w:space="0"/>
              <w:left w:val="single" w:color="auto" w:sz="6" w:space="0"/>
              <w:bottom w:val="single" w:color="auto" w:sz="6" w:space="0"/>
              <w:right w:val="single" w:color="auto" w:sz="6" w:space="0"/>
            </w:tcBorders>
            <w:noWrap w:val="0"/>
            <w:vAlign w:val="center"/>
          </w:tcPr>
          <w:p w14:paraId="2C378468">
            <w:pPr>
              <w:autoSpaceDE w:val="0"/>
              <w:autoSpaceDN w:val="0"/>
              <w:adjustRightIn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b/>
                <w:bCs/>
                <w:color w:val="auto"/>
                <w:sz w:val="24"/>
                <w:highlight w:val="none"/>
                <w:lang w:val="en-US" w:eastAsia="zh-CN"/>
              </w:rPr>
              <w:t>近年来管理实施业绩</w:t>
            </w:r>
          </w:p>
        </w:tc>
      </w:tr>
      <w:tr w14:paraId="379EB011">
        <w:tblPrEx>
          <w:tblCellMar>
            <w:top w:w="0" w:type="dxa"/>
            <w:left w:w="108" w:type="dxa"/>
            <w:bottom w:w="0" w:type="dxa"/>
            <w:right w:w="108" w:type="dxa"/>
          </w:tblCellMar>
        </w:tblPrEx>
        <w:trPr>
          <w:trHeight w:val="567" w:hRule="atLeast"/>
        </w:trPr>
        <w:tc>
          <w:tcPr>
            <w:tcW w:w="4434" w:type="dxa"/>
            <w:gridSpan w:val="2"/>
            <w:tcBorders>
              <w:top w:val="single" w:color="auto" w:sz="6" w:space="0"/>
              <w:left w:val="single" w:color="auto" w:sz="6" w:space="0"/>
              <w:bottom w:val="single" w:color="auto" w:sz="6" w:space="0"/>
              <w:right w:val="single" w:color="auto" w:sz="6" w:space="0"/>
            </w:tcBorders>
            <w:noWrap w:val="0"/>
            <w:vAlign w:val="center"/>
          </w:tcPr>
          <w:p w14:paraId="06F3DD94">
            <w:pPr>
              <w:pStyle w:val="957"/>
              <w:tabs>
                <w:tab w:val="left" w:pos="483"/>
              </w:tabs>
              <w:spacing w:before="104"/>
              <w:jc w:val="center"/>
              <w:rPr>
                <w:rFonts w:hint="eastAsia" w:ascii="宋体" w:hAnsi="宋体" w:cs="仿宋_GB2312"/>
                <w:color w:val="auto"/>
                <w:sz w:val="24"/>
                <w:highlight w:val="none"/>
              </w:rPr>
            </w:pPr>
            <w:r>
              <w:rPr>
                <w:rFonts w:ascii="Times New Roman" w:hAnsi="Times New Roman" w:eastAsiaTheme="minorEastAsia"/>
                <w:color w:val="auto"/>
                <w:sz w:val="24"/>
                <w:highlight w:val="none"/>
                <w:shd w:val="clear" w:color="auto" w:fill="FFFFFF" w:themeFill="background1"/>
              </w:rPr>
              <w:t>项目名称</w:t>
            </w:r>
          </w:p>
        </w:tc>
        <w:tc>
          <w:tcPr>
            <w:tcW w:w="2122" w:type="dxa"/>
            <w:tcBorders>
              <w:top w:val="single" w:color="auto" w:sz="6" w:space="0"/>
              <w:left w:val="single" w:color="auto" w:sz="6" w:space="0"/>
              <w:bottom w:val="single" w:color="auto" w:sz="6" w:space="0"/>
              <w:right w:val="single" w:color="auto" w:sz="4" w:space="0"/>
            </w:tcBorders>
            <w:noWrap w:val="0"/>
            <w:vAlign w:val="center"/>
          </w:tcPr>
          <w:p w14:paraId="43033A49">
            <w:pPr>
              <w:pStyle w:val="957"/>
              <w:tabs>
                <w:tab w:val="left" w:pos="483"/>
              </w:tabs>
              <w:spacing w:before="104"/>
              <w:jc w:val="center"/>
              <w:rPr>
                <w:rFonts w:hint="eastAsia" w:ascii="宋体" w:hAnsi="宋体" w:cs="仿宋_GB2312"/>
                <w:color w:val="auto"/>
                <w:sz w:val="24"/>
                <w:highlight w:val="none"/>
              </w:rPr>
            </w:pPr>
            <w:r>
              <w:rPr>
                <w:rFonts w:ascii="Times New Roman" w:hAnsi="Times New Roman" w:eastAsiaTheme="minorEastAsia"/>
                <w:color w:val="auto"/>
                <w:sz w:val="24"/>
                <w:highlight w:val="none"/>
                <w:shd w:val="clear" w:color="auto" w:fill="FFFFFF" w:themeFill="background1"/>
              </w:rPr>
              <w:t>采购人</w:t>
            </w:r>
          </w:p>
        </w:tc>
        <w:tc>
          <w:tcPr>
            <w:tcW w:w="1564" w:type="dxa"/>
            <w:tcBorders>
              <w:top w:val="single" w:color="auto" w:sz="6" w:space="0"/>
              <w:left w:val="single" w:color="auto" w:sz="4" w:space="0"/>
              <w:bottom w:val="single" w:color="auto" w:sz="6" w:space="0"/>
              <w:right w:val="single" w:color="auto" w:sz="6" w:space="0"/>
            </w:tcBorders>
            <w:noWrap w:val="0"/>
            <w:vAlign w:val="center"/>
          </w:tcPr>
          <w:p w14:paraId="2FB81A5D">
            <w:pPr>
              <w:pStyle w:val="957"/>
              <w:tabs>
                <w:tab w:val="left" w:pos="483"/>
              </w:tabs>
              <w:spacing w:before="104"/>
              <w:jc w:val="center"/>
              <w:rPr>
                <w:rFonts w:hint="eastAsia" w:ascii="宋体" w:hAnsi="宋体" w:cs="仿宋_GB2312"/>
                <w:color w:val="auto"/>
                <w:sz w:val="24"/>
                <w:highlight w:val="none"/>
                <w:lang w:val="en-US" w:eastAsia="zh-CN"/>
              </w:rPr>
            </w:pPr>
            <w:r>
              <w:rPr>
                <w:rFonts w:ascii="Times New Roman" w:hAnsi="Times New Roman" w:eastAsiaTheme="minorEastAsia"/>
                <w:color w:val="auto"/>
                <w:sz w:val="24"/>
                <w:highlight w:val="none"/>
                <w:shd w:val="clear" w:color="auto" w:fill="FFFFFF" w:themeFill="background1"/>
              </w:rPr>
              <w:t>起止年月</w:t>
            </w:r>
          </w:p>
        </w:tc>
        <w:tc>
          <w:tcPr>
            <w:tcW w:w="1758" w:type="dxa"/>
            <w:tcBorders>
              <w:top w:val="single" w:color="auto" w:sz="6" w:space="0"/>
              <w:left w:val="single" w:color="auto" w:sz="6" w:space="0"/>
              <w:bottom w:val="single" w:color="auto" w:sz="6" w:space="0"/>
              <w:right w:val="single" w:color="auto" w:sz="6" w:space="0"/>
            </w:tcBorders>
            <w:noWrap w:val="0"/>
            <w:vAlign w:val="center"/>
          </w:tcPr>
          <w:p w14:paraId="6AFCE8D7">
            <w:pPr>
              <w:pStyle w:val="957"/>
              <w:tabs>
                <w:tab w:val="left" w:pos="483"/>
              </w:tabs>
              <w:spacing w:before="104"/>
              <w:jc w:val="center"/>
              <w:rPr>
                <w:rFonts w:hint="eastAsia" w:ascii="宋体" w:hAnsi="宋体" w:cs="仿宋_GB2312"/>
                <w:color w:val="auto"/>
                <w:sz w:val="24"/>
                <w:highlight w:val="none"/>
              </w:rPr>
            </w:pPr>
            <w:r>
              <w:rPr>
                <w:rFonts w:ascii="Times New Roman" w:hAnsi="Times New Roman" w:eastAsiaTheme="minorEastAsia"/>
                <w:color w:val="auto"/>
                <w:sz w:val="24"/>
                <w:highlight w:val="none"/>
                <w:shd w:val="clear" w:color="auto" w:fill="FFFFFF" w:themeFill="background1"/>
              </w:rPr>
              <w:t>该项目中任职</w:t>
            </w:r>
          </w:p>
        </w:tc>
      </w:tr>
      <w:tr w14:paraId="20B199A6">
        <w:tblPrEx>
          <w:tblCellMar>
            <w:top w:w="0" w:type="dxa"/>
            <w:left w:w="108" w:type="dxa"/>
            <w:bottom w:w="0" w:type="dxa"/>
            <w:right w:w="108" w:type="dxa"/>
          </w:tblCellMar>
        </w:tblPrEx>
        <w:trPr>
          <w:trHeight w:val="567" w:hRule="atLeast"/>
        </w:trPr>
        <w:tc>
          <w:tcPr>
            <w:tcW w:w="4434" w:type="dxa"/>
            <w:gridSpan w:val="2"/>
            <w:tcBorders>
              <w:top w:val="single" w:color="auto" w:sz="6" w:space="0"/>
              <w:left w:val="single" w:color="auto" w:sz="6" w:space="0"/>
              <w:bottom w:val="single" w:color="auto" w:sz="6" w:space="0"/>
              <w:right w:val="single" w:color="auto" w:sz="6" w:space="0"/>
            </w:tcBorders>
            <w:noWrap w:val="0"/>
            <w:vAlign w:val="center"/>
          </w:tcPr>
          <w:p w14:paraId="31C867B4">
            <w:pPr>
              <w:autoSpaceDE w:val="0"/>
              <w:autoSpaceDN w:val="0"/>
              <w:adjustRightInd w:val="0"/>
              <w:spacing w:line="360" w:lineRule="auto"/>
              <w:jc w:val="center"/>
              <w:rPr>
                <w:rFonts w:hint="eastAsia" w:ascii="宋体" w:hAnsi="宋体" w:cs="仿宋_GB2312"/>
                <w:color w:val="auto"/>
                <w:sz w:val="24"/>
                <w:highlight w:val="none"/>
              </w:rPr>
            </w:pPr>
          </w:p>
        </w:tc>
        <w:tc>
          <w:tcPr>
            <w:tcW w:w="2122" w:type="dxa"/>
            <w:tcBorders>
              <w:top w:val="single" w:color="auto" w:sz="6" w:space="0"/>
              <w:left w:val="single" w:color="auto" w:sz="6" w:space="0"/>
              <w:bottom w:val="single" w:color="auto" w:sz="6" w:space="0"/>
              <w:right w:val="single" w:color="auto" w:sz="4" w:space="0"/>
            </w:tcBorders>
            <w:noWrap w:val="0"/>
            <w:vAlign w:val="center"/>
          </w:tcPr>
          <w:p w14:paraId="7201ED20">
            <w:pPr>
              <w:autoSpaceDE w:val="0"/>
              <w:autoSpaceDN w:val="0"/>
              <w:adjustRightInd w:val="0"/>
              <w:spacing w:line="360" w:lineRule="auto"/>
              <w:jc w:val="center"/>
              <w:rPr>
                <w:rFonts w:hint="eastAsia" w:ascii="宋体" w:hAnsi="宋体" w:cs="仿宋_GB2312"/>
                <w:color w:val="auto"/>
                <w:sz w:val="24"/>
                <w:highlight w:val="none"/>
              </w:rPr>
            </w:pPr>
          </w:p>
        </w:tc>
        <w:tc>
          <w:tcPr>
            <w:tcW w:w="1564" w:type="dxa"/>
            <w:tcBorders>
              <w:top w:val="single" w:color="auto" w:sz="6" w:space="0"/>
              <w:left w:val="single" w:color="auto" w:sz="4" w:space="0"/>
              <w:bottom w:val="single" w:color="auto" w:sz="6" w:space="0"/>
              <w:right w:val="single" w:color="auto" w:sz="6" w:space="0"/>
            </w:tcBorders>
            <w:noWrap w:val="0"/>
            <w:vAlign w:val="center"/>
          </w:tcPr>
          <w:p w14:paraId="1764F05C">
            <w:pPr>
              <w:autoSpaceDE w:val="0"/>
              <w:autoSpaceDN w:val="0"/>
              <w:adjustRightInd w:val="0"/>
              <w:spacing w:line="360" w:lineRule="auto"/>
              <w:jc w:val="center"/>
              <w:rPr>
                <w:rFonts w:hint="eastAsia" w:ascii="宋体" w:hAnsi="宋体" w:cs="仿宋_GB2312"/>
                <w:color w:val="auto"/>
                <w:sz w:val="24"/>
                <w:highlight w:val="none"/>
                <w:lang w:val="en-US" w:eastAsia="zh-CN"/>
              </w:rPr>
            </w:pPr>
          </w:p>
        </w:tc>
        <w:tc>
          <w:tcPr>
            <w:tcW w:w="1758" w:type="dxa"/>
            <w:tcBorders>
              <w:top w:val="single" w:color="auto" w:sz="6" w:space="0"/>
              <w:left w:val="single" w:color="auto" w:sz="6" w:space="0"/>
              <w:bottom w:val="single" w:color="auto" w:sz="6" w:space="0"/>
              <w:right w:val="single" w:color="auto" w:sz="6" w:space="0"/>
            </w:tcBorders>
            <w:noWrap w:val="0"/>
            <w:vAlign w:val="center"/>
          </w:tcPr>
          <w:p w14:paraId="0B5975DB">
            <w:pPr>
              <w:autoSpaceDE w:val="0"/>
              <w:autoSpaceDN w:val="0"/>
              <w:adjustRightInd w:val="0"/>
              <w:spacing w:line="360" w:lineRule="auto"/>
              <w:jc w:val="center"/>
              <w:rPr>
                <w:rFonts w:hint="eastAsia" w:ascii="宋体" w:hAnsi="宋体" w:cs="仿宋_GB2312"/>
                <w:color w:val="auto"/>
                <w:sz w:val="24"/>
                <w:highlight w:val="none"/>
              </w:rPr>
            </w:pPr>
          </w:p>
        </w:tc>
      </w:tr>
      <w:tr w14:paraId="4DD435BE">
        <w:tblPrEx>
          <w:tblCellMar>
            <w:top w:w="0" w:type="dxa"/>
            <w:left w:w="108" w:type="dxa"/>
            <w:bottom w:w="0" w:type="dxa"/>
            <w:right w:w="108" w:type="dxa"/>
          </w:tblCellMar>
        </w:tblPrEx>
        <w:trPr>
          <w:trHeight w:val="567" w:hRule="atLeast"/>
        </w:trPr>
        <w:tc>
          <w:tcPr>
            <w:tcW w:w="4434" w:type="dxa"/>
            <w:gridSpan w:val="2"/>
            <w:tcBorders>
              <w:top w:val="single" w:color="auto" w:sz="6" w:space="0"/>
              <w:left w:val="single" w:color="auto" w:sz="6" w:space="0"/>
              <w:bottom w:val="single" w:color="auto" w:sz="6" w:space="0"/>
              <w:right w:val="single" w:color="auto" w:sz="6" w:space="0"/>
            </w:tcBorders>
            <w:noWrap w:val="0"/>
            <w:vAlign w:val="center"/>
          </w:tcPr>
          <w:p w14:paraId="0A665DD0">
            <w:pPr>
              <w:autoSpaceDE w:val="0"/>
              <w:autoSpaceDN w:val="0"/>
              <w:adjustRightInd w:val="0"/>
              <w:spacing w:line="360" w:lineRule="auto"/>
              <w:jc w:val="center"/>
              <w:rPr>
                <w:rFonts w:hint="eastAsia" w:ascii="宋体" w:hAnsi="宋体" w:cs="仿宋_GB2312"/>
                <w:color w:val="auto"/>
                <w:sz w:val="24"/>
                <w:highlight w:val="none"/>
              </w:rPr>
            </w:pPr>
          </w:p>
        </w:tc>
        <w:tc>
          <w:tcPr>
            <w:tcW w:w="2122" w:type="dxa"/>
            <w:tcBorders>
              <w:top w:val="single" w:color="auto" w:sz="6" w:space="0"/>
              <w:left w:val="single" w:color="auto" w:sz="6" w:space="0"/>
              <w:bottom w:val="single" w:color="auto" w:sz="6" w:space="0"/>
              <w:right w:val="single" w:color="auto" w:sz="4" w:space="0"/>
            </w:tcBorders>
            <w:noWrap w:val="0"/>
            <w:vAlign w:val="center"/>
          </w:tcPr>
          <w:p w14:paraId="15D96485">
            <w:pPr>
              <w:autoSpaceDE w:val="0"/>
              <w:autoSpaceDN w:val="0"/>
              <w:adjustRightInd w:val="0"/>
              <w:spacing w:line="360" w:lineRule="auto"/>
              <w:jc w:val="center"/>
              <w:rPr>
                <w:rFonts w:hint="eastAsia" w:ascii="宋体" w:hAnsi="宋体" w:cs="仿宋_GB2312"/>
                <w:color w:val="auto"/>
                <w:sz w:val="24"/>
                <w:highlight w:val="none"/>
              </w:rPr>
            </w:pPr>
          </w:p>
        </w:tc>
        <w:tc>
          <w:tcPr>
            <w:tcW w:w="1564" w:type="dxa"/>
            <w:tcBorders>
              <w:top w:val="single" w:color="auto" w:sz="6" w:space="0"/>
              <w:left w:val="single" w:color="auto" w:sz="4" w:space="0"/>
              <w:bottom w:val="single" w:color="auto" w:sz="6" w:space="0"/>
              <w:right w:val="single" w:color="auto" w:sz="6" w:space="0"/>
            </w:tcBorders>
            <w:noWrap w:val="0"/>
            <w:vAlign w:val="center"/>
          </w:tcPr>
          <w:p w14:paraId="6265FC58">
            <w:pPr>
              <w:autoSpaceDE w:val="0"/>
              <w:autoSpaceDN w:val="0"/>
              <w:adjustRightInd w:val="0"/>
              <w:spacing w:line="360" w:lineRule="auto"/>
              <w:jc w:val="center"/>
              <w:rPr>
                <w:rFonts w:hint="eastAsia" w:ascii="宋体" w:hAnsi="宋体" w:cs="仿宋_GB2312"/>
                <w:color w:val="auto"/>
                <w:sz w:val="24"/>
                <w:highlight w:val="none"/>
                <w:lang w:val="en-US" w:eastAsia="zh-CN"/>
              </w:rPr>
            </w:pPr>
          </w:p>
        </w:tc>
        <w:tc>
          <w:tcPr>
            <w:tcW w:w="1758" w:type="dxa"/>
            <w:tcBorders>
              <w:top w:val="single" w:color="auto" w:sz="6" w:space="0"/>
              <w:left w:val="single" w:color="auto" w:sz="6" w:space="0"/>
              <w:bottom w:val="single" w:color="auto" w:sz="6" w:space="0"/>
              <w:right w:val="single" w:color="auto" w:sz="6" w:space="0"/>
            </w:tcBorders>
            <w:noWrap w:val="0"/>
            <w:vAlign w:val="center"/>
          </w:tcPr>
          <w:p w14:paraId="627A1CE8">
            <w:pPr>
              <w:autoSpaceDE w:val="0"/>
              <w:autoSpaceDN w:val="0"/>
              <w:adjustRightInd w:val="0"/>
              <w:spacing w:line="360" w:lineRule="auto"/>
              <w:jc w:val="center"/>
              <w:rPr>
                <w:rFonts w:hint="eastAsia" w:ascii="宋体" w:hAnsi="宋体" w:cs="仿宋_GB2312"/>
                <w:color w:val="auto"/>
                <w:sz w:val="24"/>
                <w:highlight w:val="none"/>
              </w:rPr>
            </w:pPr>
          </w:p>
        </w:tc>
      </w:tr>
    </w:tbl>
    <w:p w14:paraId="432F6C10">
      <w:pPr>
        <w:pStyle w:val="970"/>
        <w:rPr>
          <w:rFonts w:hint="eastAsia" w:ascii="宋体" w:hAnsi="宋体" w:cs="仿宋_GB2312"/>
          <w:b/>
          <w:color w:val="auto"/>
          <w:sz w:val="24"/>
          <w:highlight w:val="none"/>
        </w:rPr>
      </w:pPr>
    </w:p>
    <w:p w14:paraId="0A443158">
      <w:pPr>
        <w:autoSpaceDE w:val="0"/>
        <w:autoSpaceDN w:val="0"/>
        <w:adjustRightInd w:val="0"/>
        <w:spacing w:line="360" w:lineRule="auto"/>
        <w:rPr>
          <w:rFonts w:hint="eastAsia" w:ascii="宋体" w:hAnsi="宋体" w:cs="仿宋_GB2312"/>
          <w:b/>
          <w:color w:val="auto"/>
          <w:sz w:val="24"/>
          <w:highlight w:val="none"/>
        </w:rPr>
      </w:pPr>
      <w:r>
        <w:rPr>
          <w:rFonts w:hint="eastAsia" w:ascii="宋体" w:hAnsi="宋体" w:cs="仿宋_GB2312"/>
          <w:b/>
          <w:color w:val="auto"/>
          <w:sz w:val="24"/>
          <w:highlight w:val="none"/>
        </w:rPr>
        <w:t>注：须随表提交相应的证书复印件</w:t>
      </w:r>
      <w:r>
        <w:rPr>
          <w:rFonts w:hint="eastAsia" w:ascii="宋体" w:hAnsi="宋体" w:cs="仿宋_GB2312"/>
          <w:b/>
          <w:color w:val="auto"/>
          <w:sz w:val="24"/>
          <w:highlight w:val="none"/>
          <w:lang w:eastAsia="zh-CN"/>
        </w:rPr>
        <w:t>、</w:t>
      </w:r>
      <w:r>
        <w:rPr>
          <w:rFonts w:hint="eastAsia" w:ascii="宋体" w:hAnsi="宋体" w:cs="仿宋_GB2312"/>
          <w:b/>
          <w:color w:val="auto"/>
          <w:sz w:val="24"/>
          <w:highlight w:val="none"/>
        </w:rPr>
        <w:t>近3个月</w:t>
      </w:r>
      <w:r>
        <w:rPr>
          <w:rFonts w:hint="eastAsia" w:ascii="宋体" w:hAnsi="宋体" w:cs="仿宋_GB2312"/>
          <w:b/>
          <w:color w:val="auto"/>
          <w:sz w:val="24"/>
          <w:highlight w:val="none"/>
          <w:lang w:val="en-US" w:eastAsia="zh-CN"/>
        </w:rPr>
        <w:t>内打印的缴</w:t>
      </w:r>
      <w:r>
        <w:rPr>
          <w:rFonts w:hint="eastAsia" w:ascii="宋体" w:hAnsi="宋体" w:cs="仿宋_GB2312"/>
          <w:b/>
          <w:color w:val="auto"/>
          <w:sz w:val="24"/>
          <w:highlight w:val="none"/>
        </w:rPr>
        <w:t>纳社保记录。</w:t>
      </w:r>
    </w:p>
    <w:p w14:paraId="6998E077">
      <w:pPr>
        <w:autoSpaceDE w:val="0"/>
        <w:autoSpaceDN w:val="0"/>
        <w:adjustRightInd w:val="0"/>
        <w:spacing w:line="360" w:lineRule="auto"/>
        <w:rPr>
          <w:rFonts w:hint="eastAsia" w:ascii="宋体" w:hAnsi="宋体" w:cs="仿宋_GB2312"/>
          <w:b/>
          <w:color w:val="auto"/>
          <w:sz w:val="24"/>
          <w:highlight w:val="none"/>
        </w:rPr>
      </w:pPr>
    </w:p>
    <w:p w14:paraId="20BC4BC1">
      <w:pPr>
        <w:rPr>
          <w:rFonts w:hint="eastAsia" w:ascii="宋体" w:hAnsi="宋体" w:cs="仿宋_GB2312"/>
          <w:b/>
          <w:color w:val="auto"/>
          <w:sz w:val="24"/>
          <w:highlight w:val="none"/>
        </w:rPr>
      </w:pPr>
      <w:r>
        <w:rPr>
          <w:rFonts w:hint="eastAsia" w:ascii="宋体" w:hAnsi="宋体" w:cs="仿宋_GB2312"/>
          <w:b/>
          <w:color w:val="auto"/>
          <w:sz w:val="24"/>
          <w:highlight w:val="none"/>
        </w:rPr>
        <w:br w:type="page"/>
      </w:r>
    </w:p>
    <w:p w14:paraId="4C87C91A">
      <w:pPr>
        <w:keepNext/>
        <w:autoSpaceDE w:val="0"/>
        <w:autoSpaceDN w:val="0"/>
        <w:adjustRightInd w:val="0"/>
        <w:spacing w:line="360" w:lineRule="auto"/>
        <w:jc w:val="center"/>
        <w:rPr>
          <w:rFonts w:ascii="宋体" w:hAnsi="宋体" w:cs="仿宋_GB2312"/>
          <w:b/>
          <w:color w:val="auto"/>
          <w:sz w:val="24"/>
          <w:highlight w:val="none"/>
        </w:rPr>
      </w:pPr>
      <w:r>
        <w:rPr>
          <w:rFonts w:hint="eastAsia" w:ascii="宋体" w:hAnsi="宋体" w:cs="仿宋_GB2312"/>
          <w:b/>
          <w:color w:val="auto"/>
          <w:sz w:val="24"/>
          <w:highlight w:val="none"/>
        </w:rPr>
        <w:t>附表B</w:t>
      </w:r>
      <w:r>
        <w:rPr>
          <w:rFonts w:hint="eastAsia" w:ascii="宋体" w:hAnsi="宋体" w:cs="仿宋_GB2312"/>
          <w:b/>
          <w:color w:val="auto"/>
          <w:sz w:val="24"/>
          <w:highlight w:val="none"/>
          <w:lang w:eastAsia="zh-CN"/>
        </w:rPr>
        <w:t>：</w:t>
      </w:r>
      <w:r>
        <w:rPr>
          <w:rFonts w:ascii="宋体" w:hAnsi="宋体" w:cs="仿宋_GB2312"/>
          <w:b/>
          <w:color w:val="auto"/>
          <w:sz w:val="24"/>
          <w:highlight w:val="none"/>
        </w:rPr>
        <w:t>拟投入本项目的</w:t>
      </w:r>
      <w:r>
        <w:rPr>
          <w:rFonts w:hint="eastAsia" w:ascii="宋体" w:hAnsi="宋体" w:cs="仿宋_GB2312"/>
          <w:b/>
          <w:color w:val="auto"/>
          <w:sz w:val="24"/>
          <w:highlight w:val="none"/>
        </w:rPr>
        <w:t>所有</w:t>
      </w:r>
      <w:r>
        <w:rPr>
          <w:rFonts w:ascii="宋体" w:hAnsi="宋体" w:cs="仿宋_GB2312"/>
          <w:b/>
          <w:color w:val="auto"/>
          <w:sz w:val="24"/>
          <w:highlight w:val="none"/>
        </w:rPr>
        <w:t>人员组成表</w:t>
      </w:r>
    </w:p>
    <w:tbl>
      <w:tblPr>
        <w:tblStyle w:val="62"/>
        <w:tblW w:w="9996"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0" w:type="dxa"/>
          <w:bottom w:w="0" w:type="dxa"/>
          <w:right w:w="0" w:type="dxa"/>
        </w:tblCellMar>
      </w:tblPr>
      <w:tblGrid>
        <w:gridCol w:w="604"/>
        <w:gridCol w:w="1066"/>
        <w:gridCol w:w="834"/>
        <w:gridCol w:w="1169"/>
        <w:gridCol w:w="1296"/>
        <w:gridCol w:w="2399"/>
        <w:gridCol w:w="1314"/>
        <w:gridCol w:w="1314"/>
      </w:tblGrid>
      <w:tr w14:paraId="6DB8A1F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0" w:type="dxa"/>
            <w:bottom w:w="0" w:type="dxa"/>
            <w:right w:w="0" w:type="dxa"/>
          </w:tblCellMar>
        </w:tblPrEx>
        <w:trPr>
          <w:trHeight w:val="669" w:hRule="atLeast"/>
          <w:jc w:val="center"/>
        </w:trPr>
        <w:tc>
          <w:tcPr>
            <w:tcW w:w="604" w:type="dxa"/>
            <w:noWrap w:val="0"/>
            <w:vAlign w:val="center"/>
          </w:tcPr>
          <w:p w14:paraId="3C2E2EC5">
            <w:pPr>
              <w:spacing w:line="360" w:lineRule="auto"/>
              <w:jc w:val="center"/>
              <w:rPr>
                <w:rFonts w:ascii="宋体" w:hAnsi="宋体"/>
                <w:color w:val="auto"/>
                <w:sz w:val="24"/>
                <w:szCs w:val="24"/>
                <w:highlight w:val="none"/>
              </w:rPr>
            </w:pPr>
            <w:r>
              <w:rPr>
                <w:rFonts w:ascii="宋体" w:hAnsi="宋体"/>
                <w:color w:val="auto"/>
                <w:sz w:val="24"/>
                <w:szCs w:val="24"/>
                <w:highlight w:val="none"/>
              </w:rPr>
              <w:t>序号</w:t>
            </w:r>
          </w:p>
        </w:tc>
        <w:tc>
          <w:tcPr>
            <w:tcW w:w="1066" w:type="dxa"/>
            <w:noWrap w:val="0"/>
            <w:vAlign w:val="center"/>
          </w:tcPr>
          <w:p w14:paraId="07A04F20">
            <w:pPr>
              <w:spacing w:line="360" w:lineRule="auto"/>
              <w:jc w:val="center"/>
              <w:rPr>
                <w:rFonts w:ascii="宋体" w:hAnsi="宋体"/>
                <w:color w:val="auto"/>
                <w:sz w:val="24"/>
                <w:szCs w:val="24"/>
                <w:highlight w:val="none"/>
              </w:rPr>
            </w:pPr>
            <w:r>
              <w:rPr>
                <w:rFonts w:ascii="宋体" w:hAnsi="宋体"/>
                <w:color w:val="auto"/>
                <w:sz w:val="24"/>
                <w:szCs w:val="24"/>
                <w:highlight w:val="none"/>
              </w:rPr>
              <w:t>姓名</w:t>
            </w:r>
          </w:p>
        </w:tc>
        <w:tc>
          <w:tcPr>
            <w:tcW w:w="834" w:type="dxa"/>
            <w:noWrap w:val="0"/>
            <w:vAlign w:val="center"/>
          </w:tcPr>
          <w:p w14:paraId="07928B8C">
            <w:pPr>
              <w:spacing w:line="360" w:lineRule="auto"/>
              <w:jc w:val="center"/>
              <w:rPr>
                <w:rFonts w:ascii="宋体" w:hAnsi="宋体"/>
                <w:color w:val="auto"/>
                <w:sz w:val="24"/>
                <w:szCs w:val="24"/>
                <w:highlight w:val="none"/>
              </w:rPr>
            </w:pPr>
            <w:r>
              <w:rPr>
                <w:rFonts w:ascii="宋体" w:hAnsi="宋体"/>
                <w:color w:val="auto"/>
                <w:sz w:val="24"/>
                <w:szCs w:val="24"/>
                <w:highlight w:val="none"/>
              </w:rPr>
              <w:t>年龄</w:t>
            </w:r>
          </w:p>
        </w:tc>
        <w:tc>
          <w:tcPr>
            <w:tcW w:w="1169" w:type="dxa"/>
            <w:noWrap w:val="0"/>
            <w:vAlign w:val="center"/>
          </w:tcPr>
          <w:p w14:paraId="4BA361F9">
            <w:pPr>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性别</w:t>
            </w:r>
          </w:p>
        </w:tc>
        <w:tc>
          <w:tcPr>
            <w:tcW w:w="1296" w:type="dxa"/>
            <w:noWrap w:val="0"/>
            <w:vAlign w:val="center"/>
          </w:tcPr>
          <w:p w14:paraId="4D28C8F5">
            <w:pPr>
              <w:spacing w:line="360" w:lineRule="auto"/>
              <w:jc w:val="center"/>
              <w:rPr>
                <w:rFonts w:ascii="宋体" w:hAnsi="宋体"/>
                <w:color w:val="auto"/>
                <w:sz w:val="24"/>
                <w:szCs w:val="24"/>
                <w:highlight w:val="none"/>
              </w:rPr>
            </w:pPr>
            <w:r>
              <w:rPr>
                <w:rFonts w:ascii="宋体" w:hAnsi="宋体"/>
                <w:color w:val="auto"/>
                <w:sz w:val="24"/>
                <w:szCs w:val="24"/>
                <w:highlight w:val="none"/>
              </w:rPr>
              <w:t>所从事专业</w:t>
            </w:r>
          </w:p>
        </w:tc>
        <w:tc>
          <w:tcPr>
            <w:tcW w:w="2399" w:type="dxa"/>
            <w:noWrap w:val="0"/>
            <w:vAlign w:val="center"/>
          </w:tcPr>
          <w:p w14:paraId="3A20D54C">
            <w:pPr>
              <w:spacing w:line="360" w:lineRule="auto"/>
              <w:jc w:val="center"/>
              <w:rPr>
                <w:rFonts w:ascii="宋体" w:hAnsi="宋体"/>
                <w:color w:val="auto"/>
                <w:sz w:val="24"/>
                <w:szCs w:val="24"/>
                <w:highlight w:val="none"/>
              </w:rPr>
            </w:pPr>
            <w:r>
              <w:rPr>
                <w:rFonts w:ascii="宋体" w:hAnsi="宋体"/>
                <w:color w:val="auto"/>
                <w:sz w:val="24"/>
                <w:szCs w:val="24"/>
                <w:highlight w:val="none"/>
              </w:rPr>
              <w:t>拟担任何种专业岗位</w:t>
            </w:r>
          </w:p>
        </w:tc>
        <w:tc>
          <w:tcPr>
            <w:tcW w:w="1314" w:type="dxa"/>
            <w:noWrap w:val="0"/>
            <w:vAlign w:val="center"/>
          </w:tcPr>
          <w:p w14:paraId="08B8CBCD">
            <w:pPr>
              <w:spacing w:line="360" w:lineRule="auto"/>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执业证书</w:t>
            </w:r>
          </w:p>
        </w:tc>
        <w:tc>
          <w:tcPr>
            <w:tcW w:w="1314" w:type="dxa"/>
            <w:noWrap w:val="0"/>
            <w:vAlign w:val="center"/>
          </w:tcPr>
          <w:p w14:paraId="30C4B632">
            <w:pPr>
              <w:spacing w:line="360" w:lineRule="auto"/>
              <w:jc w:val="center"/>
              <w:rPr>
                <w:rFonts w:ascii="宋体" w:hAnsi="宋体"/>
                <w:color w:val="auto"/>
                <w:sz w:val="24"/>
                <w:szCs w:val="24"/>
                <w:highlight w:val="none"/>
              </w:rPr>
            </w:pPr>
            <w:r>
              <w:rPr>
                <w:rFonts w:ascii="宋体" w:hAnsi="宋体"/>
                <w:color w:val="auto"/>
                <w:sz w:val="24"/>
                <w:szCs w:val="24"/>
                <w:highlight w:val="none"/>
              </w:rPr>
              <w:t>备注</w:t>
            </w:r>
          </w:p>
        </w:tc>
      </w:tr>
      <w:tr w14:paraId="377F6BF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0" w:type="dxa"/>
            <w:bottom w:w="0" w:type="dxa"/>
            <w:right w:w="0" w:type="dxa"/>
          </w:tblCellMar>
        </w:tblPrEx>
        <w:trPr>
          <w:trHeight w:val="630" w:hRule="atLeast"/>
          <w:jc w:val="center"/>
        </w:trPr>
        <w:tc>
          <w:tcPr>
            <w:tcW w:w="604" w:type="dxa"/>
            <w:noWrap w:val="0"/>
            <w:vAlign w:val="center"/>
          </w:tcPr>
          <w:p w14:paraId="52892B05">
            <w:pPr>
              <w:spacing w:line="360" w:lineRule="auto"/>
              <w:jc w:val="center"/>
              <w:rPr>
                <w:rFonts w:ascii="宋体" w:hAnsi="宋体"/>
                <w:color w:val="auto"/>
                <w:sz w:val="24"/>
                <w:szCs w:val="24"/>
                <w:highlight w:val="none"/>
              </w:rPr>
            </w:pPr>
          </w:p>
        </w:tc>
        <w:tc>
          <w:tcPr>
            <w:tcW w:w="1066" w:type="dxa"/>
            <w:noWrap w:val="0"/>
            <w:vAlign w:val="center"/>
          </w:tcPr>
          <w:p w14:paraId="2C9D1D5C">
            <w:pPr>
              <w:spacing w:line="360" w:lineRule="auto"/>
              <w:jc w:val="center"/>
              <w:rPr>
                <w:rFonts w:ascii="宋体" w:hAnsi="宋体"/>
                <w:color w:val="auto"/>
                <w:sz w:val="24"/>
                <w:szCs w:val="24"/>
                <w:highlight w:val="none"/>
              </w:rPr>
            </w:pPr>
          </w:p>
        </w:tc>
        <w:tc>
          <w:tcPr>
            <w:tcW w:w="834" w:type="dxa"/>
            <w:noWrap w:val="0"/>
            <w:vAlign w:val="center"/>
          </w:tcPr>
          <w:p w14:paraId="0FBEE866">
            <w:pPr>
              <w:spacing w:line="360" w:lineRule="auto"/>
              <w:jc w:val="center"/>
              <w:rPr>
                <w:rFonts w:ascii="宋体" w:hAnsi="宋体"/>
                <w:color w:val="auto"/>
                <w:sz w:val="24"/>
                <w:szCs w:val="24"/>
                <w:highlight w:val="none"/>
              </w:rPr>
            </w:pPr>
          </w:p>
        </w:tc>
        <w:tc>
          <w:tcPr>
            <w:tcW w:w="1169" w:type="dxa"/>
            <w:noWrap w:val="0"/>
            <w:vAlign w:val="center"/>
          </w:tcPr>
          <w:p w14:paraId="4B997637">
            <w:pPr>
              <w:spacing w:line="360" w:lineRule="auto"/>
              <w:jc w:val="center"/>
              <w:rPr>
                <w:rFonts w:ascii="宋体" w:hAnsi="宋体"/>
                <w:color w:val="auto"/>
                <w:sz w:val="24"/>
                <w:szCs w:val="24"/>
                <w:highlight w:val="none"/>
              </w:rPr>
            </w:pPr>
          </w:p>
        </w:tc>
        <w:tc>
          <w:tcPr>
            <w:tcW w:w="1296" w:type="dxa"/>
            <w:noWrap w:val="0"/>
            <w:vAlign w:val="center"/>
          </w:tcPr>
          <w:p w14:paraId="4916ABBA">
            <w:pPr>
              <w:spacing w:line="360" w:lineRule="auto"/>
              <w:jc w:val="center"/>
              <w:rPr>
                <w:rFonts w:ascii="宋体" w:hAnsi="宋体"/>
                <w:color w:val="auto"/>
                <w:sz w:val="24"/>
                <w:szCs w:val="24"/>
                <w:highlight w:val="none"/>
              </w:rPr>
            </w:pPr>
          </w:p>
        </w:tc>
        <w:tc>
          <w:tcPr>
            <w:tcW w:w="2399" w:type="dxa"/>
            <w:noWrap w:val="0"/>
            <w:vAlign w:val="center"/>
          </w:tcPr>
          <w:p w14:paraId="4CFBFE69">
            <w:pPr>
              <w:spacing w:line="360" w:lineRule="auto"/>
              <w:jc w:val="center"/>
              <w:rPr>
                <w:rFonts w:ascii="宋体" w:hAnsi="宋体"/>
                <w:color w:val="auto"/>
                <w:sz w:val="24"/>
                <w:szCs w:val="24"/>
                <w:highlight w:val="none"/>
              </w:rPr>
            </w:pPr>
          </w:p>
        </w:tc>
        <w:tc>
          <w:tcPr>
            <w:tcW w:w="1314" w:type="dxa"/>
            <w:noWrap w:val="0"/>
            <w:vAlign w:val="center"/>
          </w:tcPr>
          <w:p w14:paraId="04A51E5E">
            <w:pPr>
              <w:spacing w:line="360" w:lineRule="auto"/>
              <w:jc w:val="center"/>
              <w:rPr>
                <w:rFonts w:hint="eastAsia" w:ascii="宋体" w:hAnsi="宋体"/>
                <w:color w:val="auto"/>
                <w:sz w:val="24"/>
                <w:szCs w:val="24"/>
                <w:highlight w:val="none"/>
              </w:rPr>
            </w:pPr>
          </w:p>
        </w:tc>
        <w:tc>
          <w:tcPr>
            <w:tcW w:w="1314" w:type="dxa"/>
            <w:noWrap w:val="0"/>
            <w:vAlign w:val="center"/>
          </w:tcPr>
          <w:p w14:paraId="6D71AA1D">
            <w:pPr>
              <w:spacing w:line="360" w:lineRule="auto"/>
              <w:jc w:val="center"/>
              <w:rPr>
                <w:rFonts w:hint="eastAsia" w:ascii="宋体" w:hAnsi="宋体"/>
                <w:color w:val="auto"/>
                <w:sz w:val="24"/>
                <w:szCs w:val="24"/>
                <w:highlight w:val="none"/>
              </w:rPr>
            </w:pPr>
          </w:p>
        </w:tc>
      </w:tr>
      <w:tr w14:paraId="598D0FF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0" w:type="dxa"/>
            <w:bottom w:w="0" w:type="dxa"/>
            <w:right w:w="0" w:type="dxa"/>
          </w:tblCellMar>
        </w:tblPrEx>
        <w:trPr>
          <w:trHeight w:val="630" w:hRule="atLeast"/>
          <w:jc w:val="center"/>
        </w:trPr>
        <w:tc>
          <w:tcPr>
            <w:tcW w:w="604" w:type="dxa"/>
            <w:noWrap w:val="0"/>
            <w:vAlign w:val="center"/>
          </w:tcPr>
          <w:p w14:paraId="779E9864">
            <w:pPr>
              <w:spacing w:line="360" w:lineRule="auto"/>
              <w:jc w:val="center"/>
              <w:rPr>
                <w:rFonts w:ascii="宋体" w:hAnsi="宋体"/>
                <w:color w:val="auto"/>
                <w:sz w:val="24"/>
                <w:szCs w:val="24"/>
                <w:highlight w:val="none"/>
              </w:rPr>
            </w:pPr>
          </w:p>
        </w:tc>
        <w:tc>
          <w:tcPr>
            <w:tcW w:w="1066" w:type="dxa"/>
            <w:noWrap w:val="0"/>
            <w:vAlign w:val="center"/>
          </w:tcPr>
          <w:p w14:paraId="1FF367EB">
            <w:pPr>
              <w:spacing w:line="360" w:lineRule="auto"/>
              <w:jc w:val="center"/>
              <w:rPr>
                <w:rFonts w:ascii="宋体" w:hAnsi="宋体"/>
                <w:color w:val="auto"/>
                <w:sz w:val="24"/>
                <w:szCs w:val="24"/>
                <w:highlight w:val="none"/>
              </w:rPr>
            </w:pPr>
          </w:p>
        </w:tc>
        <w:tc>
          <w:tcPr>
            <w:tcW w:w="834" w:type="dxa"/>
            <w:noWrap w:val="0"/>
            <w:vAlign w:val="center"/>
          </w:tcPr>
          <w:p w14:paraId="6DC6D19C">
            <w:pPr>
              <w:spacing w:line="360" w:lineRule="auto"/>
              <w:jc w:val="center"/>
              <w:rPr>
                <w:rFonts w:ascii="宋体" w:hAnsi="宋体"/>
                <w:color w:val="auto"/>
                <w:sz w:val="24"/>
                <w:szCs w:val="24"/>
                <w:highlight w:val="none"/>
              </w:rPr>
            </w:pPr>
          </w:p>
        </w:tc>
        <w:tc>
          <w:tcPr>
            <w:tcW w:w="1169" w:type="dxa"/>
            <w:noWrap w:val="0"/>
            <w:vAlign w:val="center"/>
          </w:tcPr>
          <w:p w14:paraId="7C5E92E7">
            <w:pPr>
              <w:spacing w:line="360" w:lineRule="auto"/>
              <w:jc w:val="center"/>
              <w:rPr>
                <w:rFonts w:ascii="宋体" w:hAnsi="宋体"/>
                <w:color w:val="auto"/>
                <w:sz w:val="24"/>
                <w:szCs w:val="24"/>
                <w:highlight w:val="none"/>
              </w:rPr>
            </w:pPr>
          </w:p>
        </w:tc>
        <w:tc>
          <w:tcPr>
            <w:tcW w:w="1296" w:type="dxa"/>
            <w:noWrap w:val="0"/>
            <w:vAlign w:val="center"/>
          </w:tcPr>
          <w:p w14:paraId="1BFA5224">
            <w:pPr>
              <w:spacing w:line="360" w:lineRule="auto"/>
              <w:jc w:val="center"/>
              <w:rPr>
                <w:rFonts w:ascii="宋体" w:hAnsi="宋体"/>
                <w:color w:val="auto"/>
                <w:sz w:val="24"/>
                <w:szCs w:val="24"/>
                <w:highlight w:val="none"/>
              </w:rPr>
            </w:pPr>
          </w:p>
        </w:tc>
        <w:tc>
          <w:tcPr>
            <w:tcW w:w="2399" w:type="dxa"/>
            <w:noWrap w:val="0"/>
            <w:vAlign w:val="center"/>
          </w:tcPr>
          <w:p w14:paraId="7F47D721">
            <w:pPr>
              <w:spacing w:line="360" w:lineRule="auto"/>
              <w:jc w:val="center"/>
              <w:rPr>
                <w:rFonts w:hint="eastAsia" w:ascii="宋体" w:hAnsi="宋体"/>
                <w:color w:val="auto"/>
                <w:sz w:val="24"/>
                <w:szCs w:val="24"/>
                <w:highlight w:val="none"/>
              </w:rPr>
            </w:pPr>
          </w:p>
        </w:tc>
        <w:tc>
          <w:tcPr>
            <w:tcW w:w="1314" w:type="dxa"/>
            <w:noWrap w:val="0"/>
            <w:vAlign w:val="center"/>
          </w:tcPr>
          <w:p w14:paraId="1BDED7D1">
            <w:pPr>
              <w:spacing w:line="360" w:lineRule="auto"/>
              <w:jc w:val="center"/>
              <w:rPr>
                <w:rFonts w:hint="eastAsia" w:ascii="宋体" w:hAnsi="宋体"/>
                <w:color w:val="auto"/>
                <w:sz w:val="24"/>
                <w:szCs w:val="24"/>
                <w:highlight w:val="none"/>
              </w:rPr>
            </w:pPr>
          </w:p>
        </w:tc>
        <w:tc>
          <w:tcPr>
            <w:tcW w:w="1314" w:type="dxa"/>
            <w:noWrap w:val="0"/>
            <w:vAlign w:val="center"/>
          </w:tcPr>
          <w:p w14:paraId="5D92086A">
            <w:pPr>
              <w:spacing w:line="360" w:lineRule="auto"/>
              <w:jc w:val="center"/>
              <w:rPr>
                <w:rFonts w:hint="eastAsia" w:ascii="宋体" w:hAnsi="宋体"/>
                <w:color w:val="auto"/>
                <w:sz w:val="24"/>
                <w:szCs w:val="24"/>
                <w:highlight w:val="none"/>
              </w:rPr>
            </w:pPr>
          </w:p>
        </w:tc>
      </w:tr>
      <w:tr w14:paraId="1786DF0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0" w:type="dxa"/>
            <w:bottom w:w="0" w:type="dxa"/>
            <w:right w:w="0" w:type="dxa"/>
          </w:tblCellMar>
        </w:tblPrEx>
        <w:trPr>
          <w:trHeight w:val="630" w:hRule="atLeast"/>
          <w:jc w:val="center"/>
        </w:trPr>
        <w:tc>
          <w:tcPr>
            <w:tcW w:w="604" w:type="dxa"/>
            <w:noWrap w:val="0"/>
            <w:vAlign w:val="center"/>
          </w:tcPr>
          <w:p w14:paraId="5BA27387">
            <w:pPr>
              <w:spacing w:line="360" w:lineRule="auto"/>
              <w:jc w:val="center"/>
              <w:rPr>
                <w:rFonts w:ascii="宋体" w:hAnsi="宋体"/>
                <w:color w:val="auto"/>
                <w:sz w:val="24"/>
                <w:szCs w:val="24"/>
                <w:highlight w:val="none"/>
              </w:rPr>
            </w:pPr>
          </w:p>
        </w:tc>
        <w:tc>
          <w:tcPr>
            <w:tcW w:w="1066" w:type="dxa"/>
            <w:noWrap w:val="0"/>
            <w:vAlign w:val="center"/>
          </w:tcPr>
          <w:p w14:paraId="6F7ABCC8">
            <w:pPr>
              <w:spacing w:line="360" w:lineRule="auto"/>
              <w:jc w:val="center"/>
              <w:rPr>
                <w:rFonts w:ascii="宋体" w:hAnsi="宋体"/>
                <w:color w:val="auto"/>
                <w:sz w:val="24"/>
                <w:szCs w:val="24"/>
                <w:highlight w:val="none"/>
              </w:rPr>
            </w:pPr>
          </w:p>
        </w:tc>
        <w:tc>
          <w:tcPr>
            <w:tcW w:w="834" w:type="dxa"/>
            <w:noWrap w:val="0"/>
            <w:vAlign w:val="center"/>
          </w:tcPr>
          <w:p w14:paraId="2A943876">
            <w:pPr>
              <w:spacing w:line="360" w:lineRule="auto"/>
              <w:jc w:val="center"/>
              <w:rPr>
                <w:rFonts w:ascii="宋体" w:hAnsi="宋体"/>
                <w:color w:val="auto"/>
                <w:sz w:val="24"/>
                <w:szCs w:val="24"/>
                <w:highlight w:val="none"/>
              </w:rPr>
            </w:pPr>
          </w:p>
        </w:tc>
        <w:tc>
          <w:tcPr>
            <w:tcW w:w="1169" w:type="dxa"/>
            <w:noWrap w:val="0"/>
            <w:vAlign w:val="center"/>
          </w:tcPr>
          <w:p w14:paraId="467EA21B">
            <w:pPr>
              <w:spacing w:line="360" w:lineRule="auto"/>
              <w:jc w:val="center"/>
              <w:rPr>
                <w:rFonts w:ascii="宋体" w:hAnsi="宋体"/>
                <w:color w:val="auto"/>
                <w:sz w:val="24"/>
                <w:szCs w:val="24"/>
                <w:highlight w:val="none"/>
              </w:rPr>
            </w:pPr>
          </w:p>
        </w:tc>
        <w:tc>
          <w:tcPr>
            <w:tcW w:w="1296" w:type="dxa"/>
            <w:noWrap w:val="0"/>
            <w:vAlign w:val="center"/>
          </w:tcPr>
          <w:p w14:paraId="6B0E78FC">
            <w:pPr>
              <w:spacing w:line="360" w:lineRule="auto"/>
              <w:jc w:val="center"/>
              <w:rPr>
                <w:rFonts w:ascii="宋体" w:hAnsi="宋体"/>
                <w:color w:val="auto"/>
                <w:sz w:val="24"/>
                <w:szCs w:val="24"/>
                <w:highlight w:val="none"/>
              </w:rPr>
            </w:pPr>
          </w:p>
        </w:tc>
        <w:tc>
          <w:tcPr>
            <w:tcW w:w="2399" w:type="dxa"/>
            <w:noWrap w:val="0"/>
            <w:vAlign w:val="center"/>
          </w:tcPr>
          <w:p w14:paraId="4907502E">
            <w:pPr>
              <w:spacing w:line="360" w:lineRule="auto"/>
              <w:jc w:val="center"/>
              <w:rPr>
                <w:rFonts w:ascii="宋体" w:hAnsi="宋体"/>
                <w:color w:val="auto"/>
                <w:sz w:val="24"/>
                <w:szCs w:val="24"/>
                <w:highlight w:val="none"/>
              </w:rPr>
            </w:pPr>
          </w:p>
        </w:tc>
        <w:tc>
          <w:tcPr>
            <w:tcW w:w="1314" w:type="dxa"/>
            <w:noWrap w:val="0"/>
            <w:vAlign w:val="center"/>
          </w:tcPr>
          <w:p w14:paraId="5244504D">
            <w:pPr>
              <w:spacing w:line="360" w:lineRule="auto"/>
              <w:jc w:val="center"/>
              <w:rPr>
                <w:rFonts w:ascii="宋体" w:hAnsi="宋体"/>
                <w:color w:val="auto"/>
                <w:sz w:val="24"/>
                <w:szCs w:val="24"/>
                <w:highlight w:val="none"/>
              </w:rPr>
            </w:pPr>
          </w:p>
        </w:tc>
        <w:tc>
          <w:tcPr>
            <w:tcW w:w="1314" w:type="dxa"/>
            <w:noWrap w:val="0"/>
            <w:vAlign w:val="center"/>
          </w:tcPr>
          <w:p w14:paraId="177C3373">
            <w:pPr>
              <w:spacing w:line="360" w:lineRule="auto"/>
              <w:jc w:val="center"/>
              <w:rPr>
                <w:rFonts w:ascii="宋体" w:hAnsi="宋体"/>
                <w:color w:val="auto"/>
                <w:sz w:val="24"/>
                <w:szCs w:val="24"/>
                <w:highlight w:val="none"/>
              </w:rPr>
            </w:pPr>
          </w:p>
        </w:tc>
      </w:tr>
      <w:tr w14:paraId="2C4BE05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0" w:type="dxa"/>
            <w:bottom w:w="0" w:type="dxa"/>
            <w:right w:w="0" w:type="dxa"/>
          </w:tblCellMar>
        </w:tblPrEx>
        <w:trPr>
          <w:trHeight w:val="689" w:hRule="atLeast"/>
          <w:jc w:val="center"/>
        </w:trPr>
        <w:tc>
          <w:tcPr>
            <w:tcW w:w="604" w:type="dxa"/>
            <w:noWrap w:val="0"/>
            <w:vAlign w:val="center"/>
          </w:tcPr>
          <w:p w14:paraId="5750AE39">
            <w:pPr>
              <w:spacing w:line="360" w:lineRule="auto"/>
              <w:jc w:val="center"/>
              <w:rPr>
                <w:rFonts w:ascii="宋体" w:hAnsi="宋体"/>
                <w:color w:val="auto"/>
                <w:sz w:val="24"/>
                <w:szCs w:val="24"/>
                <w:highlight w:val="none"/>
              </w:rPr>
            </w:pPr>
          </w:p>
        </w:tc>
        <w:tc>
          <w:tcPr>
            <w:tcW w:w="1066" w:type="dxa"/>
            <w:noWrap w:val="0"/>
            <w:vAlign w:val="center"/>
          </w:tcPr>
          <w:p w14:paraId="319BFD65">
            <w:pPr>
              <w:spacing w:line="360" w:lineRule="auto"/>
              <w:jc w:val="center"/>
              <w:rPr>
                <w:rFonts w:ascii="宋体" w:hAnsi="宋体"/>
                <w:color w:val="auto"/>
                <w:sz w:val="24"/>
                <w:szCs w:val="24"/>
                <w:highlight w:val="none"/>
              </w:rPr>
            </w:pPr>
          </w:p>
        </w:tc>
        <w:tc>
          <w:tcPr>
            <w:tcW w:w="834" w:type="dxa"/>
            <w:noWrap w:val="0"/>
            <w:vAlign w:val="center"/>
          </w:tcPr>
          <w:p w14:paraId="636A04B3">
            <w:pPr>
              <w:spacing w:line="360" w:lineRule="auto"/>
              <w:jc w:val="center"/>
              <w:rPr>
                <w:rFonts w:ascii="宋体" w:hAnsi="宋体"/>
                <w:color w:val="auto"/>
                <w:sz w:val="24"/>
                <w:szCs w:val="24"/>
                <w:highlight w:val="none"/>
              </w:rPr>
            </w:pPr>
          </w:p>
        </w:tc>
        <w:tc>
          <w:tcPr>
            <w:tcW w:w="1169" w:type="dxa"/>
            <w:noWrap w:val="0"/>
            <w:vAlign w:val="center"/>
          </w:tcPr>
          <w:p w14:paraId="4E2005D2">
            <w:pPr>
              <w:spacing w:line="360" w:lineRule="auto"/>
              <w:jc w:val="center"/>
              <w:rPr>
                <w:rFonts w:ascii="宋体" w:hAnsi="宋体"/>
                <w:color w:val="auto"/>
                <w:sz w:val="24"/>
                <w:szCs w:val="24"/>
                <w:highlight w:val="none"/>
              </w:rPr>
            </w:pPr>
          </w:p>
        </w:tc>
        <w:tc>
          <w:tcPr>
            <w:tcW w:w="1296" w:type="dxa"/>
            <w:noWrap w:val="0"/>
            <w:vAlign w:val="center"/>
          </w:tcPr>
          <w:p w14:paraId="01E682EB">
            <w:pPr>
              <w:spacing w:line="360" w:lineRule="auto"/>
              <w:jc w:val="center"/>
              <w:rPr>
                <w:rFonts w:ascii="宋体" w:hAnsi="宋体"/>
                <w:color w:val="auto"/>
                <w:sz w:val="24"/>
                <w:szCs w:val="24"/>
                <w:highlight w:val="none"/>
              </w:rPr>
            </w:pPr>
          </w:p>
        </w:tc>
        <w:tc>
          <w:tcPr>
            <w:tcW w:w="2399" w:type="dxa"/>
            <w:noWrap w:val="0"/>
            <w:vAlign w:val="center"/>
          </w:tcPr>
          <w:p w14:paraId="29EBFAB1">
            <w:pPr>
              <w:spacing w:line="360" w:lineRule="auto"/>
              <w:jc w:val="center"/>
              <w:rPr>
                <w:rFonts w:ascii="宋体" w:hAnsi="宋体"/>
                <w:color w:val="auto"/>
                <w:sz w:val="24"/>
                <w:szCs w:val="24"/>
                <w:highlight w:val="none"/>
              </w:rPr>
            </w:pPr>
          </w:p>
        </w:tc>
        <w:tc>
          <w:tcPr>
            <w:tcW w:w="1314" w:type="dxa"/>
            <w:noWrap w:val="0"/>
            <w:vAlign w:val="center"/>
          </w:tcPr>
          <w:p w14:paraId="7205B538">
            <w:pPr>
              <w:spacing w:line="360" w:lineRule="auto"/>
              <w:jc w:val="center"/>
              <w:rPr>
                <w:rFonts w:ascii="宋体" w:hAnsi="宋体"/>
                <w:color w:val="auto"/>
                <w:sz w:val="24"/>
                <w:szCs w:val="24"/>
                <w:highlight w:val="none"/>
              </w:rPr>
            </w:pPr>
          </w:p>
        </w:tc>
        <w:tc>
          <w:tcPr>
            <w:tcW w:w="1314" w:type="dxa"/>
            <w:noWrap w:val="0"/>
            <w:vAlign w:val="center"/>
          </w:tcPr>
          <w:p w14:paraId="4C999986">
            <w:pPr>
              <w:spacing w:line="360" w:lineRule="auto"/>
              <w:jc w:val="center"/>
              <w:rPr>
                <w:rFonts w:ascii="宋体" w:hAnsi="宋体"/>
                <w:color w:val="auto"/>
                <w:sz w:val="24"/>
                <w:szCs w:val="24"/>
                <w:highlight w:val="none"/>
              </w:rPr>
            </w:pPr>
          </w:p>
        </w:tc>
      </w:tr>
    </w:tbl>
    <w:p w14:paraId="188F49D3">
      <w:pPr>
        <w:autoSpaceDE w:val="0"/>
        <w:autoSpaceDN w:val="0"/>
        <w:adjustRightInd w:val="0"/>
        <w:spacing w:line="360" w:lineRule="auto"/>
        <w:rPr>
          <w:rFonts w:hint="eastAsia" w:ascii="宋体" w:hAnsi="宋体" w:cs="仿宋_GB2312"/>
          <w:b/>
          <w:bCs/>
          <w:color w:val="auto"/>
          <w:sz w:val="30"/>
          <w:szCs w:val="30"/>
          <w:highlight w:val="none"/>
        </w:rPr>
      </w:pPr>
      <w:r>
        <w:rPr>
          <w:rFonts w:hint="eastAsia" w:ascii="宋体" w:hAnsi="宋体" w:cs="仿宋_GB2312"/>
          <w:b/>
          <w:color w:val="auto"/>
          <w:sz w:val="24"/>
          <w:highlight w:val="none"/>
        </w:rPr>
        <w:t>本项目小组人员</w:t>
      </w:r>
      <w:r>
        <w:rPr>
          <w:rFonts w:hint="eastAsia" w:ascii="宋体" w:hAnsi="宋体" w:cs="仿宋_GB2312"/>
          <w:b/>
          <w:color w:val="auto"/>
          <w:sz w:val="24"/>
          <w:highlight w:val="none"/>
          <w:lang w:val="en-US" w:eastAsia="zh-CN"/>
        </w:rPr>
        <w:t>证书，</w:t>
      </w:r>
      <w:r>
        <w:rPr>
          <w:rFonts w:hint="eastAsia" w:ascii="宋体" w:hAnsi="宋体" w:cs="仿宋_GB2312"/>
          <w:b/>
          <w:color w:val="auto"/>
          <w:sz w:val="24"/>
          <w:highlight w:val="none"/>
        </w:rPr>
        <w:t>近3个月</w:t>
      </w:r>
      <w:r>
        <w:rPr>
          <w:rFonts w:hint="eastAsia" w:ascii="宋体" w:hAnsi="宋体" w:cs="仿宋_GB2312"/>
          <w:b/>
          <w:color w:val="auto"/>
          <w:sz w:val="24"/>
          <w:highlight w:val="none"/>
          <w:lang w:val="en-US" w:eastAsia="zh-CN"/>
        </w:rPr>
        <w:t>内打印的缴</w:t>
      </w:r>
      <w:r>
        <w:rPr>
          <w:rFonts w:hint="eastAsia" w:ascii="宋体" w:hAnsi="宋体" w:cs="仿宋_GB2312"/>
          <w:b/>
          <w:color w:val="auto"/>
          <w:sz w:val="24"/>
          <w:highlight w:val="none"/>
        </w:rPr>
        <w:t>纳社保记录情况表</w:t>
      </w:r>
      <w:r>
        <w:rPr>
          <w:rFonts w:hint="eastAsia" w:ascii="宋体" w:hAnsi="宋体" w:cs="仿宋_GB2312"/>
          <w:color w:val="auto"/>
          <w:sz w:val="24"/>
          <w:highlight w:val="none"/>
        </w:rPr>
        <w:t>（以社保缴纳凭证作为附件）</w:t>
      </w:r>
    </w:p>
    <w:p w14:paraId="06AC827B">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 xml:space="preserve">  供应商名称(电子签名)：                              </w:t>
      </w:r>
    </w:p>
    <w:p w14:paraId="6F8D5088">
      <w:pPr>
        <w:spacing w:line="360" w:lineRule="auto"/>
        <w:jc w:val="center"/>
        <w:rPr>
          <w:rFonts w:ascii="宋体" w:hAnsi="宋体" w:cs="宋体"/>
          <w:b/>
          <w:color w:val="auto"/>
          <w:kern w:val="0"/>
          <w:sz w:val="32"/>
          <w:szCs w:val="32"/>
          <w:highlight w:val="none"/>
        </w:rPr>
      </w:pPr>
      <w:r>
        <w:rPr>
          <w:rFonts w:hint="eastAsia" w:ascii="宋体" w:hAnsi="宋体" w:cs="宋体"/>
          <w:color w:val="auto"/>
          <w:kern w:val="0"/>
          <w:sz w:val="24"/>
          <w:highlight w:val="none"/>
          <w:lang w:val="zh-CN"/>
        </w:rPr>
        <w:t xml:space="preserve">                   日期：  年  月  日</w:t>
      </w:r>
    </w:p>
    <w:p w14:paraId="331B872A">
      <w:pPr>
        <w:jc w:val="center"/>
        <w:rPr>
          <w:rFonts w:ascii="宋体" w:hAnsi="宋体" w:cs="宋体"/>
          <w:b/>
          <w:color w:val="auto"/>
          <w:kern w:val="0"/>
          <w:sz w:val="32"/>
          <w:szCs w:val="32"/>
          <w:highlight w:val="none"/>
        </w:rPr>
      </w:pPr>
    </w:p>
    <w:p w14:paraId="70AD35EC">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40A6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D50A9A3">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3F56C63E">
            <w:pPr>
              <w:jc w:val="center"/>
              <w:rPr>
                <w:rFonts w:ascii="宋体" w:hAnsi="宋体" w:cs="宋体"/>
                <w:b/>
                <w:bCs/>
                <w:color w:val="auto"/>
                <w:sz w:val="24"/>
                <w:highlight w:val="none"/>
              </w:rPr>
            </w:pPr>
            <w:r>
              <w:rPr>
                <w:rFonts w:hint="eastAsia" w:ascii="宋体" w:hAnsi="宋体" w:cs="宋体"/>
                <w:b/>
                <w:bCs/>
                <w:color w:val="auto"/>
                <w:sz w:val="24"/>
                <w:highlight w:val="none"/>
              </w:rPr>
              <w:t>采购文件章节及具体内容</w:t>
            </w:r>
          </w:p>
        </w:tc>
        <w:tc>
          <w:tcPr>
            <w:tcW w:w="3546" w:type="dxa"/>
          </w:tcPr>
          <w:p w14:paraId="41A6B8F5">
            <w:pPr>
              <w:jc w:val="center"/>
              <w:rPr>
                <w:rFonts w:ascii="宋体" w:hAnsi="宋体" w:cs="宋体"/>
                <w:b/>
                <w:bCs/>
                <w:color w:val="auto"/>
                <w:sz w:val="24"/>
                <w:highlight w:val="none"/>
              </w:rPr>
            </w:pPr>
            <w:r>
              <w:rPr>
                <w:rFonts w:hint="eastAsia" w:ascii="宋体" w:hAnsi="宋体" w:cs="宋体"/>
                <w:b/>
                <w:bCs/>
                <w:color w:val="auto"/>
                <w:sz w:val="24"/>
                <w:highlight w:val="none"/>
              </w:rPr>
              <w:t>响应文件章节及具体内容</w:t>
            </w:r>
          </w:p>
        </w:tc>
        <w:tc>
          <w:tcPr>
            <w:tcW w:w="1276" w:type="dxa"/>
          </w:tcPr>
          <w:p w14:paraId="2D72ACEC">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343FE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679B2CB">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54B6F9D8">
            <w:pPr>
              <w:jc w:val="center"/>
              <w:rPr>
                <w:rFonts w:ascii="宋体" w:hAnsi="宋体" w:cs="宋体"/>
                <w:b/>
                <w:color w:val="auto"/>
                <w:kern w:val="0"/>
                <w:sz w:val="32"/>
                <w:szCs w:val="32"/>
                <w:highlight w:val="none"/>
              </w:rPr>
            </w:pPr>
          </w:p>
        </w:tc>
        <w:tc>
          <w:tcPr>
            <w:tcW w:w="3546" w:type="dxa"/>
          </w:tcPr>
          <w:p w14:paraId="7DEE2AFE">
            <w:pPr>
              <w:jc w:val="center"/>
              <w:rPr>
                <w:rFonts w:ascii="宋体" w:hAnsi="宋体" w:cs="宋体"/>
                <w:b/>
                <w:color w:val="auto"/>
                <w:kern w:val="0"/>
                <w:sz w:val="32"/>
                <w:szCs w:val="32"/>
                <w:highlight w:val="none"/>
              </w:rPr>
            </w:pPr>
          </w:p>
        </w:tc>
        <w:tc>
          <w:tcPr>
            <w:tcW w:w="1276" w:type="dxa"/>
          </w:tcPr>
          <w:p w14:paraId="629196CE">
            <w:pPr>
              <w:jc w:val="center"/>
              <w:rPr>
                <w:rFonts w:ascii="宋体" w:hAnsi="宋体" w:cs="宋体"/>
                <w:b/>
                <w:color w:val="auto"/>
                <w:kern w:val="0"/>
                <w:sz w:val="32"/>
                <w:szCs w:val="32"/>
                <w:highlight w:val="none"/>
              </w:rPr>
            </w:pPr>
          </w:p>
        </w:tc>
      </w:tr>
      <w:tr w14:paraId="019E4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0BCD334">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1BA3DDB5">
            <w:pPr>
              <w:jc w:val="center"/>
              <w:rPr>
                <w:rFonts w:ascii="宋体" w:hAnsi="宋体" w:cs="宋体"/>
                <w:b/>
                <w:color w:val="auto"/>
                <w:kern w:val="0"/>
                <w:sz w:val="32"/>
                <w:szCs w:val="32"/>
                <w:highlight w:val="none"/>
              </w:rPr>
            </w:pPr>
          </w:p>
        </w:tc>
        <w:tc>
          <w:tcPr>
            <w:tcW w:w="3546" w:type="dxa"/>
          </w:tcPr>
          <w:p w14:paraId="36B1D457">
            <w:pPr>
              <w:jc w:val="center"/>
              <w:rPr>
                <w:rFonts w:ascii="宋体" w:hAnsi="宋体" w:cs="宋体"/>
                <w:b/>
                <w:color w:val="auto"/>
                <w:kern w:val="0"/>
                <w:sz w:val="32"/>
                <w:szCs w:val="32"/>
                <w:highlight w:val="none"/>
              </w:rPr>
            </w:pPr>
          </w:p>
        </w:tc>
        <w:tc>
          <w:tcPr>
            <w:tcW w:w="1276" w:type="dxa"/>
          </w:tcPr>
          <w:p w14:paraId="00881463">
            <w:pPr>
              <w:jc w:val="center"/>
              <w:rPr>
                <w:rFonts w:ascii="宋体" w:hAnsi="宋体" w:cs="宋体"/>
                <w:b/>
                <w:color w:val="auto"/>
                <w:kern w:val="0"/>
                <w:sz w:val="32"/>
                <w:szCs w:val="32"/>
                <w:highlight w:val="none"/>
              </w:rPr>
            </w:pPr>
          </w:p>
        </w:tc>
      </w:tr>
      <w:tr w14:paraId="6D3AA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6E31F3F">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1B053D02">
            <w:pPr>
              <w:jc w:val="center"/>
              <w:rPr>
                <w:rFonts w:ascii="宋体" w:hAnsi="宋体" w:cs="宋体"/>
                <w:b/>
                <w:color w:val="auto"/>
                <w:kern w:val="0"/>
                <w:sz w:val="32"/>
                <w:szCs w:val="32"/>
                <w:highlight w:val="none"/>
              </w:rPr>
            </w:pPr>
          </w:p>
        </w:tc>
        <w:tc>
          <w:tcPr>
            <w:tcW w:w="3546" w:type="dxa"/>
          </w:tcPr>
          <w:p w14:paraId="2A13FA7C">
            <w:pPr>
              <w:jc w:val="center"/>
              <w:rPr>
                <w:rFonts w:ascii="宋体" w:hAnsi="宋体" w:cs="宋体"/>
                <w:b/>
                <w:color w:val="auto"/>
                <w:kern w:val="0"/>
                <w:sz w:val="32"/>
                <w:szCs w:val="32"/>
                <w:highlight w:val="none"/>
              </w:rPr>
            </w:pPr>
          </w:p>
        </w:tc>
        <w:tc>
          <w:tcPr>
            <w:tcW w:w="1276" w:type="dxa"/>
          </w:tcPr>
          <w:p w14:paraId="0FFF2641">
            <w:pPr>
              <w:jc w:val="center"/>
              <w:rPr>
                <w:rFonts w:ascii="宋体" w:hAnsi="宋体" w:cs="宋体"/>
                <w:b/>
                <w:color w:val="auto"/>
                <w:kern w:val="0"/>
                <w:sz w:val="32"/>
                <w:szCs w:val="32"/>
                <w:highlight w:val="none"/>
              </w:rPr>
            </w:pPr>
          </w:p>
        </w:tc>
      </w:tr>
    </w:tbl>
    <w:p w14:paraId="781432C6">
      <w:pPr>
        <w:jc w:val="left"/>
        <w:rPr>
          <w:rFonts w:ascii="宋体" w:hAnsi="宋体" w:cs="宋体"/>
          <w:color w:val="auto"/>
          <w:kern w:val="0"/>
          <w:sz w:val="24"/>
          <w:highlight w:val="none"/>
        </w:rPr>
      </w:pPr>
      <w:r>
        <w:rPr>
          <w:rFonts w:hint="eastAsia" w:ascii="宋体" w:hAnsi="宋体" w:cs="宋体"/>
          <w:color w:val="auto"/>
          <w:kern w:val="0"/>
          <w:sz w:val="24"/>
          <w:highlight w:val="none"/>
        </w:rPr>
        <w:t>供应商保证：除商务技术偏离表列出的偏离外，供应商响应采购文件的全部要求</w:t>
      </w:r>
    </w:p>
    <w:p w14:paraId="26993DF5">
      <w:pPr>
        <w:jc w:val="both"/>
        <w:rPr>
          <w:rFonts w:ascii="宋体" w:hAnsi="宋体" w:cs="宋体"/>
          <w:b/>
          <w:color w:val="auto"/>
          <w:kern w:val="0"/>
          <w:sz w:val="32"/>
          <w:szCs w:val="32"/>
          <w:highlight w:val="none"/>
        </w:rPr>
      </w:pPr>
    </w:p>
    <w:p w14:paraId="06B784D0">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p>
    <w:p w14:paraId="51A0B56C">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18E8F7D1">
      <w:pPr>
        <w:spacing w:line="360" w:lineRule="auto"/>
        <w:ind w:right="420"/>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2.本表格所反映的偏离情况与“符合性审查资料”、“评标标准相应的商务技术资料”不一致的，以“符合性审查资料”、“评标标准相应的商务技术资料”为准。</w:t>
      </w:r>
    </w:p>
    <w:p w14:paraId="74D27FA2">
      <w:pPr>
        <w:rPr>
          <w:rFonts w:ascii="宋体" w:hAnsi="宋体" w:cs="宋体"/>
          <w:b w:val="0"/>
          <w:bCs w:val="0"/>
          <w:color w:val="auto"/>
          <w:sz w:val="24"/>
          <w:szCs w:val="24"/>
          <w:highlight w:val="none"/>
        </w:rPr>
        <w:sectPr>
          <w:footerReference r:id="rId12" w:type="first"/>
          <w:footerReference r:id="rId11"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b w:val="0"/>
          <w:bCs w:val="0"/>
          <w:color w:val="auto"/>
          <w:sz w:val="24"/>
          <w:szCs w:val="24"/>
          <w:highlight w:val="none"/>
        </w:rPr>
        <w:t>3.投标人须保证：除商务技术偏离表列出的偏离外，投标人响应招标文件的全部非实质性要求。</w:t>
      </w:r>
    </w:p>
    <w:p w14:paraId="114A4596">
      <w:pPr>
        <w:snapToGrid w:val="0"/>
        <w:jc w:val="center"/>
        <w:rPr>
          <w:rFonts w:ascii="宋体" w:hAnsi="宋体" w:cs="宋体"/>
          <w:b/>
          <w:color w:val="auto"/>
          <w:kern w:val="0"/>
          <w:sz w:val="32"/>
          <w:szCs w:val="32"/>
          <w:highlight w:val="none"/>
        </w:rPr>
      </w:pPr>
      <w:r>
        <w:rPr>
          <w:rFonts w:hint="eastAsia" w:ascii="宋体" w:hAnsi="宋体" w:cs="宋体"/>
          <w:b/>
          <w:bCs/>
          <w:color w:val="auto"/>
          <w:sz w:val="32"/>
          <w:szCs w:val="32"/>
          <w:highlight w:val="none"/>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采购供应商廉洁自律承诺书</w:t>
      </w:r>
    </w:p>
    <w:p w14:paraId="29126CBF">
      <w:pPr>
        <w:snapToGrid w:val="0"/>
        <w:spacing w:line="360" w:lineRule="auto"/>
        <w:rPr>
          <w:rFonts w:ascii="宋体" w:hAnsi="宋体" w:cs="宋体"/>
          <w:color w:val="auto"/>
          <w:sz w:val="24"/>
          <w:highlight w:val="none"/>
        </w:rPr>
      </w:pPr>
    </w:p>
    <w:p w14:paraId="41FC9690">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杭州市美术职业学校</w:t>
      </w:r>
      <w:r>
        <w:rPr>
          <w:rFonts w:hint="eastAsia" w:ascii="宋体" w:hAnsi="宋体" w:cs="宋体"/>
          <w:color w:val="auto"/>
          <w:sz w:val="24"/>
          <w:highlight w:val="none"/>
        </w:rPr>
        <w:t>、</w:t>
      </w:r>
      <w:r>
        <w:rPr>
          <w:rFonts w:hint="eastAsia" w:ascii="宋体" w:hAnsi="宋体" w:cs="宋体"/>
          <w:color w:val="auto"/>
          <w:sz w:val="24"/>
          <w:highlight w:val="none"/>
          <w:lang w:eastAsia="zh-CN"/>
        </w:rPr>
        <w:t>杭州洲源招标代理有限公司</w:t>
      </w:r>
      <w:r>
        <w:rPr>
          <w:rFonts w:hint="eastAsia" w:ascii="宋体" w:hAnsi="宋体" w:cs="宋体"/>
          <w:color w:val="auto"/>
          <w:kern w:val="0"/>
          <w:sz w:val="24"/>
          <w:highlight w:val="none"/>
          <w:lang w:val="zh-CN"/>
        </w:rPr>
        <w:t>：</w:t>
      </w:r>
    </w:p>
    <w:p w14:paraId="550B725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7F60B6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19C4301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7442BA7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181C8A3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63D561C9">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五、不为项目有关人员个人装修住房、婚丧嫁娶、配偶子女工作安排等提供好处；</w:t>
      </w:r>
    </w:p>
    <w:p w14:paraId="46E9613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11E9B5C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06429DDE">
      <w:pPr>
        <w:autoSpaceDE w:val="0"/>
        <w:autoSpaceDN w:val="0"/>
        <w:spacing w:line="360" w:lineRule="auto"/>
        <w:ind w:left="2"/>
        <w:jc w:val="left"/>
        <w:rPr>
          <w:rFonts w:ascii="宋体" w:hAnsi="宋体" w:cs="宋体"/>
          <w:color w:val="auto"/>
          <w:kern w:val="0"/>
          <w:sz w:val="24"/>
          <w:highlight w:val="none"/>
          <w:lang w:val="zh-CN"/>
        </w:rPr>
      </w:pPr>
    </w:p>
    <w:p w14:paraId="0FEC8E4E">
      <w:pPr>
        <w:autoSpaceDE w:val="0"/>
        <w:autoSpaceDN w:val="0"/>
        <w:spacing w:line="360" w:lineRule="auto"/>
        <w:ind w:left="2"/>
        <w:jc w:val="left"/>
        <w:rPr>
          <w:rFonts w:ascii="宋体" w:hAnsi="宋体" w:cs="宋体"/>
          <w:color w:val="auto"/>
          <w:kern w:val="0"/>
          <w:sz w:val="24"/>
          <w:highlight w:val="none"/>
          <w:lang w:val="zh-CN"/>
        </w:rPr>
      </w:pPr>
    </w:p>
    <w:p w14:paraId="337ADE1B">
      <w:pPr>
        <w:autoSpaceDE w:val="0"/>
        <w:autoSpaceDN w:val="0"/>
        <w:spacing w:line="360" w:lineRule="auto"/>
        <w:ind w:left="2"/>
        <w:jc w:val="left"/>
        <w:rPr>
          <w:rFonts w:ascii="宋体" w:hAnsi="宋体" w:cs="宋体"/>
          <w:color w:val="auto"/>
          <w:kern w:val="0"/>
          <w:sz w:val="24"/>
          <w:highlight w:val="none"/>
          <w:lang w:val="zh-CN"/>
        </w:rPr>
      </w:pPr>
    </w:p>
    <w:p w14:paraId="013252EF">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42EAA0F3">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0E4BA6FA">
      <w:pPr>
        <w:spacing w:line="360" w:lineRule="auto"/>
        <w:jc w:val="center"/>
        <w:rPr>
          <w:rFonts w:ascii="宋体" w:hAnsi="宋体" w:cs="宋体"/>
          <w:b/>
          <w:bCs/>
          <w:color w:val="auto"/>
          <w:sz w:val="24"/>
          <w:highlight w:val="none"/>
        </w:rPr>
      </w:pPr>
    </w:p>
    <w:p w14:paraId="7CF00F1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03524BC">
      <w:pPr>
        <w:spacing w:line="360" w:lineRule="auto"/>
        <w:jc w:val="center"/>
        <w:rPr>
          <w:rFonts w:ascii="宋体" w:hAnsi="宋体" w:cs="宋体"/>
          <w:b/>
          <w:bCs/>
          <w:color w:val="auto"/>
          <w:sz w:val="24"/>
          <w:highlight w:val="none"/>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43196F2F">
      <w:pPr>
        <w:spacing w:line="360" w:lineRule="auto"/>
        <w:jc w:val="center"/>
        <w:outlineLvl w:val="0"/>
        <w:rPr>
          <w:rFonts w:hint="eastAsia" w:ascii="宋体" w:hAnsi="宋体" w:cs="宋体"/>
          <w:b/>
          <w:color w:val="auto"/>
          <w:kern w:val="0"/>
          <w:sz w:val="36"/>
          <w:szCs w:val="36"/>
          <w:highlight w:val="none"/>
        </w:rPr>
      </w:pPr>
    </w:p>
    <w:p w14:paraId="139C9222">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5BE67186">
      <w:pPr>
        <w:spacing w:line="360" w:lineRule="auto"/>
        <w:jc w:val="center"/>
        <w:outlineLvl w:val="0"/>
        <w:rPr>
          <w:rFonts w:hint="eastAsia" w:ascii="宋体" w:hAnsi="宋体" w:cs="宋体"/>
          <w:b/>
          <w:color w:val="auto"/>
          <w:kern w:val="0"/>
          <w:sz w:val="36"/>
          <w:szCs w:val="36"/>
          <w:highlight w:val="none"/>
        </w:rPr>
      </w:pPr>
    </w:p>
    <w:p w14:paraId="41A3B3E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4E8DCF8">
      <w:pPr>
        <w:spacing w:line="360" w:lineRule="auto"/>
        <w:jc w:val="center"/>
        <w:outlineLvl w:val="0"/>
        <w:rPr>
          <w:rFonts w:ascii="宋体" w:hAnsi="宋体" w:cs="宋体"/>
          <w:b/>
          <w:color w:val="auto"/>
          <w:kern w:val="0"/>
          <w:sz w:val="36"/>
          <w:szCs w:val="36"/>
          <w:highlight w:val="none"/>
        </w:rPr>
      </w:pPr>
    </w:p>
    <w:p w14:paraId="1BEAEDD0">
      <w:pPr>
        <w:numPr>
          <w:ilvl w:val="0"/>
          <w:numId w:val="15"/>
        </w:numPr>
        <w:snapToGrid w:val="0"/>
        <w:spacing w:line="360" w:lineRule="auto"/>
        <w:ind w:left="0" w:leftChars="0" w:firstLine="420" w:firstLineChars="0"/>
        <w:rPr>
          <w:rFonts w:ascii="宋体" w:hAnsi="宋体" w:cs="宋体"/>
          <w:color w:val="auto"/>
          <w:sz w:val="24"/>
          <w:highlight w:val="none"/>
        </w:rPr>
      </w:pPr>
      <w:r>
        <w:rPr>
          <w:rFonts w:hint="eastAsia" w:ascii="宋体" w:hAnsi="宋体" w:cs="宋体"/>
          <w:color w:val="auto"/>
          <w:sz w:val="24"/>
          <w:highlight w:val="none"/>
        </w:rPr>
        <w:t>报价单…………………………………………………………………………（页码）</w:t>
      </w:r>
    </w:p>
    <w:p w14:paraId="1BA254A5">
      <w:pPr>
        <w:numPr>
          <w:ilvl w:val="0"/>
          <w:numId w:val="15"/>
        </w:numPr>
        <w:snapToGrid w:val="0"/>
        <w:spacing w:line="360" w:lineRule="auto"/>
        <w:ind w:left="0" w:leftChars="0" w:firstLine="420" w:firstLineChars="0"/>
        <w:rPr>
          <w:rFonts w:ascii="宋体" w:hAnsi="宋体" w:cs="宋体"/>
          <w:color w:val="auto"/>
          <w:sz w:val="24"/>
          <w:highlight w:val="none"/>
        </w:rPr>
      </w:pPr>
      <w:r>
        <w:rPr>
          <w:rFonts w:hint="eastAsia" w:ascii="宋体" w:hAnsi="宋体" w:cs="宋体"/>
          <w:color w:val="auto"/>
          <w:sz w:val="24"/>
          <w:highlight w:val="none"/>
        </w:rPr>
        <w:t>已标价工程量清单……………………………………………………………（页码）</w:t>
      </w:r>
    </w:p>
    <w:p w14:paraId="024F1721">
      <w:pPr>
        <w:numPr>
          <w:ilvl w:val="0"/>
          <w:numId w:val="15"/>
        </w:numPr>
        <w:snapToGrid w:val="0"/>
        <w:spacing w:line="360" w:lineRule="auto"/>
        <w:ind w:left="0" w:leftChars="0" w:firstLine="420" w:firstLineChars="0"/>
        <w:rPr>
          <w:rFonts w:ascii="宋体" w:hAnsi="宋体" w:cs="宋体"/>
          <w:color w:val="auto"/>
          <w:sz w:val="24"/>
          <w:highlight w:val="none"/>
        </w:rPr>
      </w:pPr>
      <w:r>
        <w:rPr>
          <w:rFonts w:hint="eastAsia" w:ascii="宋体" w:hAnsi="宋体" w:cs="宋体"/>
          <w:color w:val="auto"/>
          <w:sz w:val="24"/>
          <w:highlight w:val="none"/>
          <w:lang w:val="en-US" w:eastAsia="zh-CN"/>
        </w:rPr>
        <w:t>中小企业声明函</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如果有</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782EB123">
      <w:pPr>
        <w:numPr>
          <w:ilvl w:val="0"/>
          <w:numId w:val="0"/>
        </w:numPr>
        <w:snapToGrid w:val="0"/>
        <w:spacing w:line="360" w:lineRule="auto"/>
        <w:ind w:left="420" w:leftChars="0"/>
        <w:rPr>
          <w:rFonts w:ascii="宋体" w:hAnsi="宋体" w:cs="宋体"/>
          <w:color w:val="auto"/>
          <w:sz w:val="24"/>
          <w:highlight w:val="none"/>
        </w:rPr>
      </w:pPr>
    </w:p>
    <w:p w14:paraId="2F3004CE">
      <w:pPr>
        <w:snapToGrid w:val="0"/>
        <w:spacing w:line="360" w:lineRule="auto"/>
        <w:ind w:right="480"/>
        <w:jc w:val="center"/>
        <w:rPr>
          <w:rFonts w:ascii="宋体" w:hAnsi="宋体" w:cs="宋体"/>
          <w:b/>
          <w:color w:val="auto"/>
          <w:kern w:val="0"/>
          <w:sz w:val="32"/>
          <w:szCs w:val="32"/>
          <w:highlight w:val="none"/>
        </w:rPr>
      </w:pPr>
    </w:p>
    <w:p w14:paraId="0DF6CE2A">
      <w:pPr>
        <w:snapToGrid w:val="0"/>
        <w:spacing w:line="360" w:lineRule="auto"/>
        <w:ind w:right="480"/>
        <w:jc w:val="center"/>
        <w:rPr>
          <w:rFonts w:ascii="宋体" w:hAnsi="宋体" w:cs="宋体"/>
          <w:b/>
          <w:color w:val="auto"/>
          <w:kern w:val="0"/>
          <w:sz w:val="32"/>
          <w:szCs w:val="32"/>
          <w:highlight w:val="none"/>
        </w:rPr>
      </w:pPr>
    </w:p>
    <w:p w14:paraId="411229E1">
      <w:pPr>
        <w:snapToGrid w:val="0"/>
        <w:spacing w:line="360" w:lineRule="auto"/>
        <w:ind w:right="480"/>
        <w:jc w:val="center"/>
        <w:rPr>
          <w:rFonts w:ascii="宋体" w:hAnsi="宋体" w:cs="宋体"/>
          <w:b/>
          <w:color w:val="auto"/>
          <w:kern w:val="0"/>
          <w:sz w:val="32"/>
          <w:szCs w:val="32"/>
          <w:highlight w:val="none"/>
        </w:rPr>
      </w:pPr>
    </w:p>
    <w:p w14:paraId="0CA95C4F">
      <w:pPr>
        <w:snapToGrid w:val="0"/>
        <w:spacing w:line="360" w:lineRule="auto"/>
        <w:ind w:right="480"/>
        <w:jc w:val="center"/>
        <w:rPr>
          <w:rFonts w:ascii="宋体" w:hAnsi="宋体" w:cs="宋体"/>
          <w:b/>
          <w:color w:val="auto"/>
          <w:kern w:val="0"/>
          <w:sz w:val="32"/>
          <w:szCs w:val="32"/>
          <w:highlight w:val="none"/>
        </w:rPr>
      </w:pPr>
    </w:p>
    <w:p w14:paraId="5301565C">
      <w:pPr>
        <w:snapToGrid w:val="0"/>
        <w:spacing w:line="360" w:lineRule="auto"/>
        <w:ind w:right="480"/>
        <w:jc w:val="center"/>
        <w:rPr>
          <w:rFonts w:ascii="宋体" w:hAnsi="宋体" w:cs="宋体"/>
          <w:b/>
          <w:color w:val="auto"/>
          <w:kern w:val="0"/>
          <w:sz w:val="32"/>
          <w:szCs w:val="32"/>
          <w:highlight w:val="none"/>
        </w:rPr>
      </w:pPr>
    </w:p>
    <w:p w14:paraId="3AB6E202">
      <w:pPr>
        <w:snapToGrid w:val="0"/>
        <w:spacing w:line="360" w:lineRule="auto"/>
        <w:ind w:right="480"/>
        <w:jc w:val="center"/>
        <w:rPr>
          <w:rFonts w:ascii="宋体" w:hAnsi="宋体" w:cs="宋体"/>
          <w:b/>
          <w:color w:val="auto"/>
          <w:kern w:val="0"/>
          <w:sz w:val="32"/>
          <w:szCs w:val="32"/>
          <w:highlight w:val="none"/>
        </w:rPr>
      </w:pPr>
    </w:p>
    <w:p w14:paraId="7334C4FA">
      <w:pPr>
        <w:snapToGrid w:val="0"/>
        <w:spacing w:line="360" w:lineRule="auto"/>
        <w:ind w:right="480"/>
        <w:jc w:val="center"/>
        <w:rPr>
          <w:rFonts w:ascii="宋体" w:hAnsi="宋体" w:cs="宋体"/>
          <w:b/>
          <w:color w:val="auto"/>
          <w:kern w:val="0"/>
          <w:sz w:val="32"/>
          <w:szCs w:val="32"/>
          <w:highlight w:val="none"/>
        </w:rPr>
      </w:pPr>
    </w:p>
    <w:p w14:paraId="714FA6EB">
      <w:pPr>
        <w:snapToGrid w:val="0"/>
        <w:spacing w:line="360" w:lineRule="auto"/>
        <w:ind w:right="480"/>
        <w:jc w:val="center"/>
        <w:rPr>
          <w:rFonts w:ascii="宋体" w:hAnsi="宋体" w:cs="宋体"/>
          <w:b/>
          <w:color w:val="auto"/>
          <w:kern w:val="0"/>
          <w:sz w:val="32"/>
          <w:szCs w:val="32"/>
          <w:highlight w:val="none"/>
        </w:rPr>
      </w:pPr>
    </w:p>
    <w:p w14:paraId="44EBEE39">
      <w:pPr>
        <w:snapToGrid w:val="0"/>
        <w:spacing w:line="360" w:lineRule="auto"/>
        <w:ind w:right="480"/>
        <w:jc w:val="center"/>
        <w:rPr>
          <w:rFonts w:ascii="宋体" w:hAnsi="宋体" w:cs="宋体"/>
          <w:b/>
          <w:color w:val="auto"/>
          <w:kern w:val="0"/>
          <w:sz w:val="32"/>
          <w:szCs w:val="32"/>
          <w:highlight w:val="none"/>
        </w:rPr>
      </w:pPr>
    </w:p>
    <w:p w14:paraId="3B16B91D">
      <w:pPr>
        <w:snapToGrid w:val="0"/>
        <w:spacing w:line="360" w:lineRule="auto"/>
        <w:ind w:right="480"/>
        <w:jc w:val="center"/>
        <w:rPr>
          <w:rFonts w:ascii="宋体" w:hAnsi="宋体" w:cs="宋体"/>
          <w:b/>
          <w:color w:val="auto"/>
          <w:kern w:val="0"/>
          <w:sz w:val="32"/>
          <w:szCs w:val="32"/>
          <w:highlight w:val="none"/>
        </w:rPr>
      </w:pPr>
    </w:p>
    <w:p w14:paraId="4171986E">
      <w:pPr>
        <w:snapToGrid w:val="0"/>
        <w:spacing w:line="360" w:lineRule="auto"/>
        <w:ind w:right="480"/>
        <w:jc w:val="center"/>
        <w:rPr>
          <w:rFonts w:ascii="宋体" w:hAnsi="宋体" w:cs="宋体"/>
          <w:b/>
          <w:color w:val="auto"/>
          <w:kern w:val="0"/>
          <w:sz w:val="32"/>
          <w:szCs w:val="32"/>
          <w:highlight w:val="none"/>
        </w:rPr>
      </w:pPr>
    </w:p>
    <w:p w14:paraId="70BBC4C9">
      <w:pPr>
        <w:snapToGrid w:val="0"/>
        <w:spacing w:line="360" w:lineRule="auto"/>
        <w:ind w:right="480"/>
        <w:jc w:val="center"/>
        <w:rPr>
          <w:rFonts w:ascii="宋体" w:hAnsi="宋体" w:cs="宋体"/>
          <w:b/>
          <w:color w:val="auto"/>
          <w:kern w:val="0"/>
          <w:sz w:val="32"/>
          <w:szCs w:val="32"/>
          <w:highlight w:val="none"/>
        </w:rPr>
      </w:pPr>
    </w:p>
    <w:p w14:paraId="689F6E0C">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footerReference r:id="rId15" w:type="first"/>
          <w:headerReference r:id="rId13" w:type="default"/>
          <w:footerReference r:id="rId14"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0CC06949">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一、报价单</w:t>
      </w:r>
    </w:p>
    <w:p w14:paraId="6603ADB6">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杭州市美术职业学校</w:t>
      </w:r>
      <w:r>
        <w:rPr>
          <w:rFonts w:hint="eastAsia" w:ascii="宋体" w:hAnsi="宋体" w:cs="宋体"/>
          <w:color w:val="auto"/>
          <w:sz w:val="24"/>
          <w:highlight w:val="none"/>
        </w:rPr>
        <w:t>、</w:t>
      </w:r>
      <w:r>
        <w:rPr>
          <w:rFonts w:hint="eastAsia" w:ascii="宋体" w:hAnsi="宋体" w:cs="宋体"/>
          <w:color w:val="auto"/>
          <w:sz w:val="24"/>
          <w:highlight w:val="none"/>
          <w:lang w:eastAsia="zh-CN"/>
        </w:rPr>
        <w:t>杭州洲源招标代理有限公司</w:t>
      </w:r>
      <w:r>
        <w:rPr>
          <w:rFonts w:hint="eastAsia" w:ascii="宋体" w:hAnsi="宋体" w:cs="宋体"/>
          <w:color w:val="auto"/>
          <w:kern w:val="0"/>
          <w:sz w:val="24"/>
          <w:highlight w:val="none"/>
          <w:lang w:val="zh-CN"/>
        </w:rPr>
        <w:t>：</w:t>
      </w:r>
    </w:p>
    <w:p w14:paraId="24DF34B7">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按你方采购文件要求，我们</w:t>
      </w:r>
      <w:r>
        <w:rPr>
          <w:rFonts w:hint="eastAsia" w:ascii="宋体" w:hAnsi="宋体" w:cs="宋体"/>
          <w:color w:val="auto"/>
          <w:kern w:val="0"/>
          <w:sz w:val="24"/>
          <w:highlight w:val="none"/>
          <w:u w:val="single"/>
          <w:lang w:val="zh-CN"/>
        </w:rPr>
        <w:t>本响应文件签字方</w:t>
      </w:r>
      <w:r>
        <w:rPr>
          <w:rFonts w:hint="eastAsia" w:ascii="宋体" w:hAnsi="宋体" w:cs="宋体"/>
          <w:color w:val="auto"/>
          <w:kern w:val="0"/>
          <w:sz w:val="24"/>
          <w:highlight w:val="none"/>
          <w:lang w:val="zh-CN"/>
        </w:rPr>
        <w:t>，谨此向你方发出要约如下：如你方接受本投标，我方承诺按照如下报价单的价格完成</w:t>
      </w:r>
      <w:r>
        <w:rPr>
          <w:rFonts w:hint="eastAsia" w:ascii="宋体" w:hAnsi="宋体" w:cs="宋体"/>
          <w:color w:val="auto"/>
          <w:sz w:val="24"/>
          <w:highlight w:val="none"/>
          <w:lang w:eastAsia="zh-CN"/>
        </w:rPr>
        <w:t>杭州市美术职业学校（凤山校区）门卫楼及大礼堂外立面工程</w:t>
      </w:r>
      <w:r>
        <w:rPr>
          <w:rFonts w:hint="eastAsia" w:ascii="宋体" w:hAnsi="宋体" w:cs="宋体"/>
          <w:color w:val="auto"/>
          <w:kern w:val="0"/>
          <w:sz w:val="24"/>
          <w:highlight w:val="none"/>
          <w:lang w:val="zh-CN"/>
        </w:rPr>
        <w:t>【项目编号：</w:t>
      </w:r>
      <w:r>
        <w:rPr>
          <w:rFonts w:hint="eastAsia" w:ascii="宋体" w:hAnsi="宋体" w:cs="宋体"/>
          <w:color w:val="auto"/>
          <w:sz w:val="24"/>
          <w:highlight w:val="none"/>
          <w:lang w:eastAsia="zh-CN"/>
        </w:rPr>
        <w:t>MSZX-2025-004</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1F01B159">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报价单(单位均为人民币元)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3118"/>
        <w:gridCol w:w="2552"/>
        <w:gridCol w:w="1984"/>
        <w:gridCol w:w="3119"/>
      </w:tblGrid>
      <w:tr w14:paraId="346A6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951" w:type="dxa"/>
            <w:vAlign w:val="center"/>
          </w:tcPr>
          <w:p w14:paraId="51800B2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项目名称</w:t>
            </w:r>
          </w:p>
        </w:tc>
        <w:tc>
          <w:tcPr>
            <w:tcW w:w="1843" w:type="dxa"/>
          </w:tcPr>
          <w:p w14:paraId="45BE0E4A">
            <w:pPr>
              <w:spacing w:line="360" w:lineRule="auto"/>
              <w:jc w:val="center"/>
              <w:rPr>
                <w:rFonts w:ascii="宋体" w:hAnsi="宋体" w:cs="宋体"/>
                <w:b/>
                <w:color w:val="auto"/>
                <w:sz w:val="24"/>
                <w:highlight w:val="none"/>
              </w:rPr>
            </w:pPr>
          </w:p>
          <w:p w14:paraId="77E7DA0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施工范围</w:t>
            </w:r>
          </w:p>
        </w:tc>
        <w:tc>
          <w:tcPr>
            <w:tcW w:w="3118" w:type="dxa"/>
            <w:vAlign w:val="center"/>
          </w:tcPr>
          <w:p w14:paraId="42D274D6">
            <w:pPr>
              <w:spacing w:line="360" w:lineRule="auto"/>
              <w:jc w:val="center"/>
              <w:rPr>
                <w:rFonts w:hint="eastAsia" w:ascii="宋体" w:hAnsi="宋体" w:eastAsia="宋体" w:cs="宋体"/>
                <w:b/>
                <w:color w:val="auto"/>
                <w:sz w:val="24"/>
                <w:highlight w:val="none"/>
                <w:lang w:eastAsia="zh-CN"/>
              </w:rPr>
            </w:pPr>
            <w:r>
              <w:rPr>
                <w:rFonts w:hint="eastAsia" w:ascii="宋体" w:hAnsi="宋体" w:cs="宋体"/>
                <w:b/>
                <w:color w:val="auto"/>
                <w:sz w:val="24"/>
                <w:highlight w:val="none"/>
              </w:rPr>
              <w:t>施工工期</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天</w:t>
            </w:r>
            <w:r>
              <w:rPr>
                <w:rFonts w:hint="eastAsia" w:ascii="宋体" w:hAnsi="宋体" w:cs="宋体"/>
                <w:b/>
                <w:color w:val="auto"/>
                <w:sz w:val="24"/>
                <w:highlight w:val="none"/>
                <w:lang w:eastAsia="zh-CN"/>
              </w:rPr>
              <w:t>）</w:t>
            </w:r>
          </w:p>
        </w:tc>
        <w:tc>
          <w:tcPr>
            <w:tcW w:w="2552" w:type="dxa"/>
            <w:vAlign w:val="center"/>
          </w:tcPr>
          <w:p w14:paraId="1348C99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项目经理</w:t>
            </w:r>
          </w:p>
        </w:tc>
        <w:tc>
          <w:tcPr>
            <w:tcW w:w="1984" w:type="dxa"/>
            <w:vAlign w:val="center"/>
          </w:tcPr>
          <w:p w14:paraId="0244964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执业证书信息</w:t>
            </w:r>
          </w:p>
        </w:tc>
        <w:tc>
          <w:tcPr>
            <w:tcW w:w="3119" w:type="dxa"/>
            <w:vAlign w:val="center"/>
          </w:tcPr>
          <w:p w14:paraId="3CCD40AF">
            <w:pPr>
              <w:spacing w:line="360" w:lineRule="auto"/>
              <w:jc w:val="center"/>
              <w:rPr>
                <w:rFonts w:ascii="宋体" w:hAnsi="宋体" w:cs="宋体"/>
                <w:b/>
                <w:color w:val="auto"/>
                <w:sz w:val="24"/>
                <w:highlight w:val="none"/>
              </w:rPr>
            </w:pPr>
          </w:p>
          <w:p w14:paraId="6235825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22947F54">
            <w:pPr>
              <w:spacing w:line="360" w:lineRule="auto"/>
              <w:jc w:val="center"/>
              <w:rPr>
                <w:rFonts w:ascii="宋体" w:hAnsi="宋体" w:cs="宋体"/>
                <w:b/>
                <w:color w:val="auto"/>
                <w:sz w:val="24"/>
                <w:highlight w:val="none"/>
              </w:rPr>
            </w:pPr>
          </w:p>
        </w:tc>
      </w:tr>
      <w:tr w14:paraId="17C50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14:paraId="190537F5">
            <w:pPr>
              <w:snapToGrid w:val="0"/>
              <w:spacing w:line="360" w:lineRule="auto"/>
              <w:jc w:val="center"/>
              <w:rPr>
                <w:rFonts w:ascii="宋体" w:hAnsi="宋体" w:cs="宋体"/>
                <w:color w:val="auto"/>
                <w:sz w:val="24"/>
                <w:highlight w:val="none"/>
              </w:rPr>
            </w:pPr>
          </w:p>
        </w:tc>
        <w:tc>
          <w:tcPr>
            <w:tcW w:w="1843" w:type="dxa"/>
            <w:vAlign w:val="center"/>
          </w:tcPr>
          <w:p w14:paraId="28E078D7">
            <w:pPr>
              <w:snapToGrid w:val="0"/>
              <w:spacing w:line="360" w:lineRule="auto"/>
              <w:jc w:val="center"/>
              <w:rPr>
                <w:rFonts w:ascii="宋体" w:hAnsi="宋体" w:cs="宋体"/>
                <w:color w:val="auto"/>
                <w:sz w:val="24"/>
                <w:highlight w:val="none"/>
              </w:rPr>
            </w:pPr>
          </w:p>
        </w:tc>
        <w:tc>
          <w:tcPr>
            <w:tcW w:w="3118" w:type="dxa"/>
            <w:vAlign w:val="center"/>
          </w:tcPr>
          <w:p w14:paraId="2DA8105E">
            <w:pPr>
              <w:snapToGrid w:val="0"/>
              <w:spacing w:line="360" w:lineRule="auto"/>
              <w:jc w:val="center"/>
              <w:rPr>
                <w:rFonts w:ascii="宋体" w:hAnsi="宋体" w:cs="宋体"/>
                <w:color w:val="auto"/>
                <w:sz w:val="24"/>
                <w:highlight w:val="none"/>
              </w:rPr>
            </w:pPr>
          </w:p>
        </w:tc>
        <w:tc>
          <w:tcPr>
            <w:tcW w:w="2552" w:type="dxa"/>
            <w:vAlign w:val="center"/>
          </w:tcPr>
          <w:p w14:paraId="61C16253">
            <w:pPr>
              <w:spacing w:line="360" w:lineRule="auto"/>
              <w:jc w:val="center"/>
              <w:rPr>
                <w:rFonts w:ascii="宋体" w:hAnsi="宋体" w:cs="宋体"/>
                <w:color w:val="auto"/>
                <w:sz w:val="24"/>
                <w:highlight w:val="none"/>
              </w:rPr>
            </w:pPr>
          </w:p>
        </w:tc>
        <w:tc>
          <w:tcPr>
            <w:tcW w:w="1984" w:type="dxa"/>
            <w:vAlign w:val="center"/>
          </w:tcPr>
          <w:p w14:paraId="14397240">
            <w:pPr>
              <w:spacing w:line="360" w:lineRule="auto"/>
              <w:jc w:val="center"/>
              <w:rPr>
                <w:rFonts w:ascii="宋体" w:hAnsi="宋体" w:cs="宋体"/>
                <w:color w:val="auto"/>
                <w:sz w:val="24"/>
                <w:highlight w:val="none"/>
              </w:rPr>
            </w:pPr>
          </w:p>
        </w:tc>
        <w:tc>
          <w:tcPr>
            <w:tcW w:w="3119" w:type="dxa"/>
            <w:vAlign w:val="center"/>
          </w:tcPr>
          <w:p w14:paraId="5A2F2E68">
            <w:pPr>
              <w:spacing w:line="360" w:lineRule="auto"/>
              <w:jc w:val="center"/>
              <w:rPr>
                <w:rFonts w:ascii="宋体" w:hAnsi="宋体" w:cs="宋体"/>
                <w:color w:val="auto"/>
                <w:sz w:val="24"/>
                <w:highlight w:val="none"/>
              </w:rPr>
            </w:pPr>
          </w:p>
        </w:tc>
      </w:tr>
      <w:tr w14:paraId="3EC49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14:paraId="514F2C7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磋商报价（小写）</w:t>
            </w:r>
          </w:p>
        </w:tc>
        <w:tc>
          <w:tcPr>
            <w:tcW w:w="7655" w:type="dxa"/>
            <w:gridSpan w:val="3"/>
            <w:vAlign w:val="center"/>
          </w:tcPr>
          <w:p w14:paraId="7C1A4AFA">
            <w:pPr>
              <w:spacing w:line="360" w:lineRule="auto"/>
              <w:jc w:val="center"/>
              <w:rPr>
                <w:rFonts w:ascii="宋体" w:hAnsi="宋体" w:cs="宋体"/>
                <w:color w:val="auto"/>
                <w:sz w:val="24"/>
                <w:highlight w:val="none"/>
              </w:rPr>
            </w:pPr>
          </w:p>
        </w:tc>
      </w:tr>
      <w:tr w14:paraId="5746C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14:paraId="342E256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磋商报价（大写）</w:t>
            </w:r>
          </w:p>
        </w:tc>
        <w:tc>
          <w:tcPr>
            <w:tcW w:w="7655" w:type="dxa"/>
            <w:gridSpan w:val="3"/>
            <w:vAlign w:val="center"/>
          </w:tcPr>
          <w:p w14:paraId="67EEF363">
            <w:pPr>
              <w:spacing w:line="360" w:lineRule="auto"/>
              <w:jc w:val="center"/>
              <w:rPr>
                <w:rFonts w:ascii="宋体" w:hAnsi="宋体" w:cs="宋体"/>
                <w:color w:val="auto"/>
                <w:sz w:val="24"/>
                <w:highlight w:val="none"/>
              </w:rPr>
            </w:pPr>
          </w:p>
        </w:tc>
      </w:tr>
    </w:tbl>
    <w:p w14:paraId="1608469D">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57A59D1E">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响应文件含有采购人不能接受的附加条件，响应文件无效</w:t>
      </w:r>
      <w:r>
        <w:rPr>
          <w:rFonts w:hint="eastAsia" w:ascii="宋体" w:hAnsi="宋体" w:cs="宋体"/>
          <w:b/>
          <w:color w:val="auto"/>
          <w:kern w:val="0"/>
          <w:sz w:val="24"/>
          <w:highlight w:val="none"/>
          <w:lang w:val="zh-CN"/>
        </w:rPr>
        <w:t>；</w:t>
      </w:r>
    </w:p>
    <w:p w14:paraId="1727F97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bCs/>
          <w:color w:val="auto"/>
          <w:kern w:val="0"/>
          <w:sz w:val="24"/>
          <w:highlight w:val="none"/>
          <w:lang w:val="zh-CN"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宋体" w:hAnsi="宋体" w:cs="宋体"/>
          <w:b/>
          <w:bCs/>
          <w:color w:val="auto"/>
          <w:kern w:val="0"/>
          <w:sz w:val="24"/>
          <w:highlight w:val="none"/>
          <w:lang w:val="zh-CN"/>
        </w:rPr>
        <w:t>总价</w:t>
      </w:r>
      <w:r>
        <w:rPr>
          <w:rFonts w:hint="eastAsia" w:ascii="宋体" w:hAnsi="宋体" w:cs="宋体"/>
          <w:b/>
          <w:bCs/>
          <w:color w:val="auto"/>
          <w:kern w:val="0"/>
          <w:sz w:val="24"/>
          <w:highlight w:val="none"/>
          <w:lang w:val="zh-CN" w:eastAsia="zh-CN"/>
        </w:rPr>
        <w:t>不为零</w:t>
      </w:r>
      <w:r>
        <w:rPr>
          <w:rFonts w:hint="eastAsia" w:ascii="宋体" w:hAnsi="宋体" w:cs="宋体"/>
          <w:b/>
          <w:bCs/>
          <w:color w:val="auto"/>
          <w:kern w:val="0"/>
          <w:sz w:val="24"/>
          <w:highlight w:val="none"/>
          <w:lang w:val="zh-CN"/>
        </w:rPr>
        <w:t>，报价明细表中</w:t>
      </w:r>
      <w:r>
        <w:rPr>
          <w:rFonts w:hint="eastAsia" w:ascii="宋体" w:hAnsi="宋体" w:cs="宋体"/>
          <w:b/>
          <w:bCs/>
          <w:color w:val="auto"/>
          <w:kern w:val="0"/>
          <w:sz w:val="24"/>
          <w:highlight w:val="none"/>
          <w:lang w:val="zh-CN" w:eastAsia="zh-CN"/>
        </w:rPr>
        <w:t>部分</w:t>
      </w:r>
      <w:r>
        <w:rPr>
          <w:rFonts w:hint="eastAsia" w:ascii="宋体" w:hAnsi="宋体" w:cs="宋体"/>
          <w:b/>
          <w:bCs/>
          <w:color w:val="auto"/>
          <w:kern w:val="0"/>
          <w:sz w:val="24"/>
          <w:highlight w:val="none"/>
          <w:lang w:val="zh-CN"/>
        </w:rPr>
        <w:t>产品、服务单价为零的，视作已包含在总价中</w:t>
      </w:r>
      <w:r>
        <w:rPr>
          <w:rFonts w:hint="eastAsia" w:ascii="宋体" w:hAnsi="宋体" w:cs="宋体"/>
          <w:b/>
          <w:bCs/>
          <w:color w:val="auto"/>
          <w:kern w:val="0"/>
          <w:sz w:val="24"/>
          <w:highlight w:val="none"/>
          <w:lang w:val="zh-CN" w:eastAsia="zh-CN"/>
        </w:rPr>
        <w:t>。</w:t>
      </w:r>
      <w:r>
        <w:rPr>
          <w:rFonts w:hint="eastAsia" w:ascii="宋体" w:hAnsi="宋体" w:cs="宋体"/>
          <w:b/>
          <w:color w:val="auto"/>
          <w:kern w:val="0"/>
          <w:sz w:val="24"/>
          <w:highlight w:val="none"/>
          <w:lang w:val="zh-CN"/>
        </w:rPr>
        <w:t>采购内容未包含在《报价单》名称栏中，供应商不能作出合理解释的，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响应文件含有采购人不能接受的附加条件的，响应文件无效。</w:t>
      </w:r>
    </w:p>
    <w:p w14:paraId="177DA409">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3、特别提示：采购代理机构将对项目名称和项目编号，成交供应商名称、地址和成交金额、施工范围、施工工期、项目经理、执业证书信息、品牌（如果有）、规格型号、数量、单价等予以公示。</w:t>
      </w:r>
    </w:p>
    <w:p w14:paraId="41C4A44F">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szCs w:val="22"/>
          <w:highlight w:val="none"/>
          <w:lang w:val="zh-CN"/>
        </w:rPr>
        <w:t>4、</w:t>
      </w:r>
      <w:r>
        <w:rPr>
          <w:rFonts w:hint="eastAsia" w:ascii="宋体" w:hAnsi="宋体" w:cs="宋体"/>
          <w:color w:val="auto"/>
          <w:kern w:val="0"/>
          <w:sz w:val="24"/>
          <w:highlight w:val="none"/>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2EB87C7E">
      <w:pPr>
        <w:spacing w:line="360" w:lineRule="auto"/>
        <w:ind w:firstLine="482" w:firstLineChars="200"/>
        <w:rPr>
          <w:rFonts w:ascii="宋体" w:hAnsi="宋体" w:cs="宋体"/>
          <w:b/>
          <w:color w:val="auto"/>
          <w:kern w:val="0"/>
          <w:sz w:val="24"/>
          <w:highlight w:val="none"/>
        </w:rPr>
      </w:pPr>
    </w:p>
    <w:p w14:paraId="740E4C5C">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24A1E83C">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40" w:right="1080" w:bottom="1440" w:left="1080"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277AFF58">
      <w:pPr>
        <w:tabs>
          <w:tab w:val="left" w:pos="1313"/>
        </w:tabs>
        <w:snapToGrid w:val="0"/>
        <w:spacing w:before="120" w:after="120" w:line="360" w:lineRule="auto"/>
        <w:jc w:val="both"/>
        <w:rPr>
          <w:rFonts w:ascii="宋体" w:hAnsi="宋体" w:cs="宋体"/>
          <w:color w:val="auto"/>
          <w:sz w:val="24"/>
          <w:highlight w:val="none"/>
        </w:rPr>
      </w:pPr>
    </w:p>
    <w:p w14:paraId="6E3596D6">
      <w:pPr>
        <w:pStyle w:val="693"/>
        <w:keepNext w:val="0"/>
        <w:pageBreakBefore w:val="0"/>
        <w:tabs>
          <w:tab w:val="clear" w:pos="720"/>
        </w:tabs>
        <w:snapToGrid w:val="0"/>
        <w:spacing w:before="120" w:after="120"/>
        <w:outlineLvl w:val="9"/>
        <w:rPr>
          <w:rFonts w:hint="eastAsia" w:ascii="宋体" w:hAnsi="宋体" w:eastAsia="宋体" w:cs="宋体"/>
          <w:color w:val="auto"/>
          <w:kern w:val="2"/>
          <w:sz w:val="32"/>
          <w:szCs w:val="32"/>
          <w:highlight w:val="none"/>
        </w:rPr>
      </w:pPr>
    </w:p>
    <w:p w14:paraId="5A096F38">
      <w:pPr>
        <w:pStyle w:val="693"/>
        <w:keepNext w:val="0"/>
        <w:pageBreakBefore w:val="0"/>
        <w:tabs>
          <w:tab w:val="clear" w:pos="720"/>
        </w:tabs>
        <w:snapToGrid w:val="0"/>
        <w:spacing w:before="120" w:after="120"/>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kern w:val="2"/>
          <w:sz w:val="32"/>
          <w:szCs w:val="32"/>
          <w:highlight w:val="none"/>
        </w:rPr>
        <w:t>已标价工程量清单</w:t>
      </w:r>
    </w:p>
    <w:p w14:paraId="24EBCC1C">
      <w:pPr>
        <w:keepNext w:val="0"/>
        <w:keepLines w:val="0"/>
        <w:pageBreakBefore w:val="0"/>
        <w:widowControl w:val="0"/>
        <w:kinsoku/>
        <w:wordWrap/>
        <w:overflowPunct/>
        <w:topLinePunct w:val="0"/>
        <w:autoSpaceDE/>
        <w:autoSpaceDN/>
        <w:bidi w:val="0"/>
        <w:snapToGrid/>
        <w:spacing w:line="360" w:lineRule="auto"/>
        <w:ind w:right="420"/>
        <w:jc w:val="center"/>
        <w:textAlignment w:val="auto"/>
        <w:rPr>
          <w:rFonts w:ascii="宋体" w:hAnsi="宋体" w:cs="宋体"/>
          <w:color w:val="auto"/>
          <w:sz w:val="24"/>
          <w:highlight w:val="none"/>
        </w:rPr>
      </w:pPr>
      <w:r>
        <w:rPr>
          <w:rFonts w:hint="eastAsia" w:ascii="宋体" w:hAnsi="宋体" w:cs="宋体"/>
          <w:color w:val="auto"/>
          <w:sz w:val="24"/>
          <w:highlight w:val="none"/>
        </w:rPr>
        <w:t>注：按采购文件工程量清单编制</w:t>
      </w:r>
    </w:p>
    <w:p w14:paraId="13E2EC9A">
      <w:pPr>
        <w:pStyle w:val="61"/>
        <w:keepNext w:val="0"/>
        <w:keepLines w:val="0"/>
        <w:pageBreakBefore w:val="0"/>
        <w:widowControl w:val="0"/>
        <w:kinsoku/>
        <w:wordWrap/>
        <w:overflowPunct/>
        <w:topLinePunct w:val="0"/>
        <w:autoSpaceDE/>
        <w:autoSpaceDN/>
        <w:bidi w:val="0"/>
        <w:snapToGrid/>
        <w:spacing w:line="360" w:lineRule="auto"/>
        <w:ind w:firstLine="480"/>
        <w:textAlignment w:val="auto"/>
        <w:rPr>
          <w:rFonts w:cs="宋体"/>
          <w:color w:val="auto"/>
          <w:sz w:val="24"/>
          <w:highlight w:val="none"/>
        </w:rPr>
      </w:pPr>
    </w:p>
    <w:p w14:paraId="0098DC90">
      <w:pPr>
        <w:pStyle w:val="61"/>
        <w:keepNext w:val="0"/>
        <w:keepLines w:val="0"/>
        <w:pageBreakBefore w:val="0"/>
        <w:widowControl w:val="0"/>
        <w:kinsoku/>
        <w:wordWrap/>
        <w:overflowPunct/>
        <w:topLinePunct w:val="0"/>
        <w:autoSpaceDE/>
        <w:autoSpaceDN/>
        <w:bidi w:val="0"/>
        <w:snapToGrid/>
        <w:spacing w:line="360" w:lineRule="auto"/>
        <w:ind w:firstLine="480"/>
        <w:textAlignment w:val="auto"/>
        <w:rPr>
          <w:rFonts w:cs="宋体"/>
          <w:color w:val="auto"/>
          <w:sz w:val="24"/>
          <w:highlight w:val="none"/>
        </w:rPr>
      </w:pPr>
    </w:p>
    <w:p w14:paraId="6AA26792">
      <w:pPr>
        <w:pStyle w:val="61"/>
        <w:keepNext w:val="0"/>
        <w:keepLines w:val="0"/>
        <w:pageBreakBefore w:val="0"/>
        <w:widowControl w:val="0"/>
        <w:kinsoku/>
        <w:wordWrap/>
        <w:overflowPunct/>
        <w:topLinePunct w:val="0"/>
        <w:autoSpaceDE/>
        <w:autoSpaceDN/>
        <w:bidi w:val="0"/>
        <w:snapToGrid/>
        <w:spacing w:line="360" w:lineRule="auto"/>
        <w:ind w:left="0" w:leftChars="0" w:firstLine="0" w:firstLineChars="0"/>
        <w:textAlignment w:val="auto"/>
        <w:rPr>
          <w:rFonts w:ascii="宋体" w:hAnsi="宋体" w:cs="宋体"/>
          <w:b/>
          <w:color w:val="auto"/>
          <w:kern w:val="0"/>
          <w:sz w:val="36"/>
          <w:szCs w:val="36"/>
          <w:highlight w:val="none"/>
        </w:rPr>
      </w:pPr>
      <w:r>
        <w:rPr>
          <w:rFonts w:hint="eastAsia" w:cs="宋体"/>
          <w:b/>
          <w:bCs/>
          <w:color w:val="auto"/>
          <w:sz w:val="32"/>
          <w:szCs w:val="32"/>
          <w:highlight w:val="none"/>
        </w:rPr>
        <w:t>注：按封面格式要求签章，投标报价封面须体现投标报价编制人员的执业章并本人签字</w:t>
      </w:r>
    </w:p>
    <w:p w14:paraId="4E20C66E">
      <w:pPr>
        <w:spacing w:line="360" w:lineRule="auto"/>
        <w:ind w:right="420" w:firstLine="3614" w:firstLineChars="1000"/>
        <w:rPr>
          <w:rFonts w:ascii="宋体" w:hAnsi="宋体" w:cs="宋体"/>
          <w:b/>
          <w:color w:val="auto"/>
          <w:kern w:val="0"/>
          <w:sz w:val="36"/>
          <w:szCs w:val="36"/>
          <w:highlight w:val="none"/>
        </w:rPr>
      </w:pPr>
    </w:p>
    <w:p w14:paraId="7FA7ADA4">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三</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bookmarkStart w:id="398" w:name="_Hlk101259491"/>
      <w:r>
        <w:rPr>
          <w:rFonts w:hint="eastAsia" w:ascii="宋体" w:hAnsi="宋体" w:eastAsia="宋体" w:cs="宋体"/>
          <w:color w:val="auto"/>
          <w:sz w:val="32"/>
          <w:szCs w:val="32"/>
          <w:highlight w:val="none"/>
        </w:rPr>
        <w:t>（如果有）</w:t>
      </w:r>
      <w:bookmarkEnd w:id="398"/>
    </w:p>
    <w:p w14:paraId="32648109">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[竞争性磋商公告落实</w:t>
      </w:r>
      <w:r>
        <w:rPr>
          <w:rFonts w:hint="eastAsia" w:ascii="宋体" w:hAnsi="宋体" w:cs="宋体"/>
          <w:b/>
          <w:color w:val="auto"/>
          <w:sz w:val="24"/>
          <w:highlight w:val="none"/>
          <w:lang w:eastAsia="zh-CN"/>
        </w:rPr>
        <w:t>采购</w:t>
      </w:r>
      <w:r>
        <w:rPr>
          <w:rFonts w:hint="eastAsia" w:ascii="宋体" w:hAnsi="宋体" w:cs="宋体"/>
          <w:b/>
          <w:color w:val="auto"/>
          <w:sz w:val="24"/>
          <w:highlight w:val="none"/>
        </w:rPr>
        <w:t>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4D70CE64">
      <w:pPr>
        <w:spacing w:line="360" w:lineRule="auto"/>
        <w:ind w:right="420" w:firstLine="3614" w:firstLineChars="1000"/>
        <w:rPr>
          <w:rFonts w:ascii="宋体" w:hAnsi="宋体" w:cs="宋体"/>
          <w:b/>
          <w:color w:val="auto"/>
          <w:kern w:val="0"/>
          <w:sz w:val="36"/>
          <w:szCs w:val="36"/>
          <w:highlight w:val="none"/>
        </w:rPr>
      </w:pPr>
    </w:p>
    <w:p w14:paraId="070F29EC">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399" w:name="_Toc465665161"/>
      <w:r>
        <w:rPr>
          <w:rFonts w:hint="eastAsia" w:ascii="宋体" w:hAnsi="宋体" w:cs="宋体"/>
          <w:color w:val="auto"/>
          <w:highlight w:val="none"/>
        </w:rPr>
        <w:t>附件</w:t>
      </w:r>
      <w:bookmarkEnd w:id="399"/>
    </w:p>
    <w:p w14:paraId="0F30B30D">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C99BFAA">
      <w:pPr>
        <w:spacing w:line="360" w:lineRule="auto"/>
        <w:jc w:val="center"/>
        <w:rPr>
          <w:rFonts w:ascii="宋体" w:hAnsi="宋体" w:cs="宋体"/>
          <w:b/>
          <w:color w:val="auto"/>
          <w:spacing w:val="6"/>
          <w:sz w:val="32"/>
          <w:szCs w:val="32"/>
          <w:highlight w:val="none"/>
        </w:rPr>
      </w:pPr>
      <w:bookmarkStart w:id="400" w:name="OLE_LINK13"/>
      <w:bookmarkStart w:id="401" w:name="OLE_LINK14"/>
      <w:r>
        <w:rPr>
          <w:rFonts w:hint="eastAsia" w:ascii="宋体" w:hAnsi="宋体" w:cs="宋体"/>
          <w:b/>
          <w:color w:val="auto"/>
          <w:spacing w:val="6"/>
          <w:sz w:val="32"/>
          <w:szCs w:val="32"/>
          <w:highlight w:val="none"/>
        </w:rPr>
        <w:t>残疾人福利性单位声明函</w:t>
      </w:r>
    </w:p>
    <w:bookmarkEnd w:id="400"/>
    <w:bookmarkEnd w:id="401"/>
    <w:p w14:paraId="24C68156">
      <w:pPr>
        <w:spacing w:line="360" w:lineRule="auto"/>
        <w:rPr>
          <w:rFonts w:ascii="宋体" w:hAnsi="宋体" w:cs="宋体"/>
          <w:b/>
          <w:color w:val="auto"/>
          <w:spacing w:val="6"/>
          <w:sz w:val="30"/>
          <w:szCs w:val="30"/>
          <w:highlight w:val="none"/>
        </w:rPr>
      </w:pPr>
    </w:p>
    <w:p w14:paraId="2ED192F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__单位的______项目采购活动提供本单位制造的货物（由本单位承担工程/提供服务），或者提供其他残疾人福利性单位制造的货物（不包括使用非残疾人福利性单位注册商标的货物）。</w:t>
      </w:r>
    </w:p>
    <w:p w14:paraId="07A5552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70AA9CF4">
      <w:pPr>
        <w:spacing w:line="360" w:lineRule="auto"/>
        <w:ind w:firstLine="480" w:firstLineChars="200"/>
        <w:rPr>
          <w:rFonts w:ascii="宋体" w:hAnsi="宋体" w:cs="宋体"/>
          <w:color w:val="auto"/>
          <w:sz w:val="24"/>
          <w:highlight w:val="none"/>
        </w:rPr>
      </w:pPr>
    </w:p>
    <w:p w14:paraId="788EAEDC">
      <w:pPr>
        <w:spacing w:line="360" w:lineRule="auto"/>
        <w:ind w:firstLine="480" w:firstLineChars="200"/>
        <w:rPr>
          <w:rFonts w:ascii="宋体" w:hAnsi="宋体" w:cs="宋体"/>
          <w:color w:val="auto"/>
          <w:sz w:val="24"/>
          <w:highlight w:val="none"/>
        </w:rPr>
      </w:pPr>
    </w:p>
    <w:p w14:paraId="544C3799">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供应商名称（电子签名）</w:t>
      </w:r>
      <w:r>
        <w:rPr>
          <w:rFonts w:hint="eastAsia" w:ascii="宋体" w:hAnsi="宋体" w:cs="宋体"/>
          <w:color w:val="auto"/>
          <w:sz w:val="24"/>
          <w:highlight w:val="none"/>
        </w:rPr>
        <w:t>：</w:t>
      </w:r>
    </w:p>
    <w:p w14:paraId="4A9D0789">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64DA20B1">
      <w:pPr>
        <w:spacing w:line="360" w:lineRule="auto"/>
        <w:ind w:firstLine="480" w:firstLineChars="200"/>
        <w:rPr>
          <w:rFonts w:ascii="宋体" w:hAnsi="宋体" w:cs="宋体"/>
          <w:color w:val="auto"/>
          <w:sz w:val="24"/>
          <w:highlight w:val="none"/>
        </w:rPr>
      </w:pPr>
    </w:p>
    <w:p w14:paraId="35C72A33">
      <w:pPr>
        <w:spacing w:line="360" w:lineRule="auto"/>
        <w:ind w:firstLine="420" w:firstLineChars="200"/>
        <w:rPr>
          <w:rFonts w:ascii="宋体" w:hAnsi="宋体" w:cs="宋体"/>
          <w:color w:val="auto"/>
          <w:highlight w:val="none"/>
        </w:rPr>
      </w:pPr>
    </w:p>
    <w:p w14:paraId="6A9DD65B">
      <w:pPr>
        <w:spacing w:line="360" w:lineRule="auto"/>
        <w:ind w:firstLine="420" w:firstLineChars="200"/>
        <w:rPr>
          <w:rFonts w:ascii="宋体" w:hAnsi="宋体" w:cs="宋体"/>
          <w:color w:val="auto"/>
          <w:highlight w:val="none"/>
        </w:rPr>
      </w:pPr>
    </w:p>
    <w:p w14:paraId="6C0037F8">
      <w:pPr>
        <w:spacing w:line="360" w:lineRule="auto"/>
        <w:ind w:firstLine="420" w:firstLineChars="200"/>
        <w:rPr>
          <w:rFonts w:ascii="宋体" w:hAnsi="宋体" w:cs="宋体"/>
          <w:color w:val="auto"/>
          <w:highlight w:val="none"/>
        </w:rPr>
      </w:pPr>
    </w:p>
    <w:p w14:paraId="640C1A03">
      <w:pPr>
        <w:spacing w:line="360" w:lineRule="auto"/>
        <w:ind w:firstLine="420" w:firstLineChars="200"/>
        <w:rPr>
          <w:rFonts w:ascii="宋体" w:hAnsi="宋体" w:cs="宋体"/>
          <w:color w:val="auto"/>
          <w:highlight w:val="none"/>
        </w:rPr>
      </w:pPr>
    </w:p>
    <w:p w14:paraId="4D1DEE6F">
      <w:pPr>
        <w:spacing w:line="360" w:lineRule="auto"/>
        <w:rPr>
          <w:rFonts w:ascii="宋体" w:hAnsi="宋体" w:cs="宋体"/>
          <w:b/>
          <w:color w:val="auto"/>
          <w:sz w:val="24"/>
          <w:highlight w:val="none"/>
        </w:rPr>
      </w:pPr>
    </w:p>
    <w:p w14:paraId="032652AE">
      <w:pPr>
        <w:spacing w:line="360" w:lineRule="auto"/>
        <w:rPr>
          <w:rFonts w:ascii="宋体" w:hAnsi="宋体" w:cs="宋体"/>
          <w:b/>
          <w:color w:val="auto"/>
          <w:sz w:val="24"/>
          <w:highlight w:val="none"/>
        </w:rPr>
      </w:pPr>
    </w:p>
    <w:p w14:paraId="25F2DA83">
      <w:pPr>
        <w:spacing w:line="360" w:lineRule="auto"/>
        <w:rPr>
          <w:rFonts w:ascii="宋体" w:hAnsi="宋体" w:cs="宋体"/>
          <w:b/>
          <w:color w:val="auto"/>
          <w:sz w:val="24"/>
          <w:highlight w:val="none"/>
        </w:rPr>
      </w:pPr>
    </w:p>
    <w:p w14:paraId="74CDB2F6">
      <w:pPr>
        <w:spacing w:line="360" w:lineRule="auto"/>
        <w:rPr>
          <w:rFonts w:ascii="宋体" w:hAnsi="宋体" w:cs="宋体"/>
          <w:b/>
          <w:color w:val="auto"/>
          <w:sz w:val="24"/>
          <w:highlight w:val="none"/>
        </w:rPr>
      </w:pPr>
    </w:p>
    <w:p w14:paraId="4D3EEB4D">
      <w:pPr>
        <w:spacing w:line="360" w:lineRule="auto"/>
        <w:rPr>
          <w:rFonts w:ascii="宋体" w:hAnsi="宋体" w:cs="宋体"/>
          <w:b/>
          <w:color w:val="auto"/>
          <w:sz w:val="24"/>
          <w:highlight w:val="none"/>
        </w:rPr>
      </w:pPr>
    </w:p>
    <w:p w14:paraId="5012A329">
      <w:pPr>
        <w:spacing w:line="360" w:lineRule="auto"/>
        <w:rPr>
          <w:rFonts w:ascii="宋体" w:hAnsi="宋体" w:cs="宋体"/>
          <w:b/>
          <w:color w:val="auto"/>
          <w:sz w:val="24"/>
          <w:highlight w:val="none"/>
        </w:rPr>
      </w:pPr>
    </w:p>
    <w:p w14:paraId="5A384AEF">
      <w:pPr>
        <w:spacing w:line="360" w:lineRule="auto"/>
        <w:rPr>
          <w:rFonts w:ascii="宋体" w:hAnsi="宋体" w:cs="宋体"/>
          <w:b/>
          <w:color w:val="auto"/>
          <w:sz w:val="24"/>
          <w:highlight w:val="none"/>
        </w:rPr>
      </w:pPr>
    </w:p>
    <w:p w14:paraId="71DC4DC3">
      <w:pPr>
        <w:spacing w:line="360" w:lineRule="auto"/>
        <w:rPr>
          <w:rFonts w:ascii="宋体" w:hAnsi="宋体" w:cs="宋体"/>
          <w:b/>
          <w:color w:val="auto"/>
          <w:sz w:val="24"/>
          <w:highlight w:val="none"/>
        </w:rPr>
      </w:pPr>
    </w:p>
    <w:p w14:paraId="7CE92595">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491654A6">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63FB658F">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5ACC5CF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14:paraId="010DC1B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14:paraId="443ABB0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14:paraId="0AB9DB8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14:paraId="6CDC9D1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A11D1A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B041BE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5EFB969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14:paraId="7E2ED0D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14:paraId="3DE697C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14:paraId="4C6F67D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14:paraId="69CF59FF">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37B1FCF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14:paraId="670874F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14:paraId="03D2BE8A">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14:paraId="182DFE1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14:paraId="1F9CE6B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14:paraId="1402E48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2F31CD5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5AA07F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000790D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14:paraId="0485ABB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D8A52E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098F6492">
      <w:pPr>
        <w:spacing w:line="360" w:lineRule="auto"/>
        <w:jc w:val="center"/>
        <w:rPr>
          <w:rFonts w:ascii="宋体" w:hAnsi="宋体" w:cs="宋体"/>
          <w:b/>
          <w:bCs/>
          <w:color w:val="auto"/>
          <w:sz w:val="24"/>
          <w:highlight w:val="none"/>
        </w:rPr>
      </w:pPr>
    </w:p>
    <w:p w14:paraId="13601C46">
      <w:pPr>
        <w:spacing w:line="360" w:lineRule="auto"/>
        <w:rPr>
          <w:rFonts w:ascii="宋体" w:hAnsi="宋体" w:cs="宋体"/>
          <w:b/>
          <w:color w:val="auto"/>
          <w:sz w:val="24"/>
          <w:highlight w:val="none"/>
        </w:rPr>
      </w:pPr>
    </w:p>
    <w:p w14:paraId="28879EB8">
      <w:pPr>
        <w:spacing w:line="360" w:lineRule="auto"/>
        <w:rPr>
          <w:rFonts w:ascii="宋体" w:hAnsi="宋体" w:cs="宋体"/>
          <w:b/>
          <w:color w:val="auto"/>
          <w:sz w:val="24"/>
          <w:highlight w:val="none"/>
        </w:rPr>
      </w:pPr>
    </w:p>
    <w:p w14:paraId="1E93BCEA">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674C436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727DDB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06816FF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0FDD19E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F9EF77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5B54D4B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50C297E7">
      <w:pPr>
        <w:widowControl/>
        <w:spacing w:line="360" w:lineRule="auto"/>
        <w:ind w:firstLine="600" w:firstLineChars="200"/>
        <w:jc w:val="left"/>
        <w:rPr>
          <w:rFonts w:ascii="宋体" w:hAnsi="宋体" w:cs="宋体"/>
          <w:color w:val="auto"/>
          <w:sz w:val="30"/>
          <w:szCs w:val="30"/>
          <w:highlight w:val="none"/>
        </w:rPr>
      </w:pPr>
    </w:p>
    <w:p w14:paraId="7D4EEA3A">
      <w:pPr>
        <w:spacing w:line="360" w:lineRule="auto"/>
        <w:jc w:val="center"/>
        <w:rPr>
          <w:rFonts w:ascii="宋体" w:hAnsi="宋体" w:cs="宋体"/>
          <w:b/>
          <w:color w:val="auto"/>
          <w:spacing w:val="6"/>
          <w:sz w:val="32"/>
          <w:szCs w:val="32"/>
          <w:highlight w:val="none"/>
        </w:rPr>
      </w:pPr>
    </w:p>
    <w:p w14:paraId="06149303">
      <w:pPr>
        <w:spacing w:line="360" w:lineRule="auto"/>
        <w:jc w:val="center"/>
        <w:rPr>
          <w:rFonts w:ascii="宋体" w:hAnsi="宋体" w:cs="宋体"/>
          <w:b/>
          <w:color w:val="auto"/>
          <w:spacing w:val="6"/>
          <w:sz w:val="32"/>
          <w:szCs w:val="32"/>
          <w:highlight w:val="none"/>
        </w:rPr>
      </w:pPr>
    </w:p>
    <w:p w14:paraId="205AFFBA">
      <w:pPr>
        <w:spacing w:line="360" w:lineRule="auto"/>
        <w:jc w:val="center"/>
        <w:rPr>
          <w:rFonts w:ascii="宋体" w:hAnsi="宋体" w:cs="宋体"/>
          <w:b/>
          <w:color w:val="auto"/>
          <w:spacing w:val="6"/>
          <w:sz w:val="32"/>
          <w:szCs w:val="32"/>
          <w:highlight w:val="none"/>
        </w:rPr>
      </w:pPr>
    </w:p>
    <w:p w14:paraId="01A23AA3">
      <w:pPr>
        <w:spacing w:line="360" w:lineRule="auto"/>
        <w:jc w:val="center"/>
        <w:rPr>
          <w:rFonts w:ascii="宋体" w:hAnsi="宋体" w:cs="宋体"/>
          <w:b/>
          <w:color w:val="auto"/>
          <w:spacing w:val="6"/>
          <w:sz w:val="32"/>
          <w:szCs w:val="32"/>
          <w:highlight w:val="none"/>
        </w:rPr>
      </w:pPr>
    </w:p>
    <w:p w14:paraId="5A78C8EC">
      <w:pPr>
        <w:spacing w:line="360" w:lineRule="auto"/>
        <w:jc w:val="center"/>
        <w:rPr>
          <w:rFonts w:ascii="宋体" w:hAnsi="宋体" w:cs="宋体"/>
          <w:b/>
          <w:color w:val="auto"/>
          <w:spacing w:val="6"/>
          <w:sz w:val="32"/>
          <w:szCs w:val="32"/>
          <w:highlight w:val="none"/>
        </w:rPr>
      </w:pPr>
    </w:p>
    <w:p w14:paraId="461E614E">
      <w:pPr>
        <w:spacing w:line="360" w:lineRule="auto"/>
        <w:jc w:val="center"/>
        <w:rPr>
          <w:rFonts w:ascii="宋体" w:hAnsi="宋体" w:cs="宋体"/>
          <w:b/>
          <w:color w:val="auto"/>
          <w:spacing w:val="6"/>
          <w:sz w:val="32"/>
          <w:szCs w:val="32"/>
          <w:highlight w:val="none"/>
        </w:rPr>
      </w:pPr>
    </w:p>
    <w:p w14:paraId="44D3CB3D">
      <w:pPr>
        <w:spacing w:line="360" w:lineRule="auto"/>
        <w:jc w:val="center"/>
        <w:rPr>
          <w:rFonts w:ascii="宋体" w:hAnsi="宋体" w:cs="宋体"/>
          <w:b/>
          <w:color w:val="auto"/>
          <w:spacing w:val="6"/>
          <w:sz w:val="32"/>
          <w:szCs w:val="32"/>
          <w:highlight w:val="none"/>
        </w:rPr>
      </w:pPr>
    </w:p>
    <w:p w14:paraId="6AA2CBF7">
      <w:pPr>
        <w:spacing w:line="360" w:lineRule="auto"/>
        <w:jc w:val="center"/>
        <w:rPr>
          <w:rFonts w:ascii="宋体" w:hAnsi="宋体" w:cs="宋体"/>
          <w:b/>
          <w:color w:val="auto"/>
          <w:spacing w:val="6"/>
          <w:sz w:val="32"/>
          <w:szCs w:val="32"/>
          <w:highlight w:val="none"/>
        </w:rPr>
      </w:pPr>
    </w:p>
    <w:p w14:paraId="3956C582">
      <w:pPr>
        <w:spacing w:line="360" w:lineRule="auto"/>
        <w:jc w:val="center"/>
        <w:rPr>
          <w:rFonts w:ascii="宋体" w:hAnsi="宋体" w:cs="宋体"/>
          <w:b/>
          <w:color w:val="auto"/>
          <w:spacing w:val="6"/>
          <w:sz w:val="32"/>
          <w:szCs w:val="32"/>
          <w:highlight w:val="none"/>
        </w:rPr>
      </w:pPr>
    </w:p>
    <w:p w14:paraId="7288D064">
      <w:pPr>
        <w:spacing w:line="360" w:lineRule="auto"/>
        <w:jc w:val="center"/>
        <w:rPr>
          <w:rFonts w:ascii="宋体" w:hAnsi="宋体" w:cs="宋体"/>
          <w:b/>
          <w:color w:val="auto"/>
          <w:spacing w:val="6"/>
          <w:sz w:val="32"/>
          <w:szCs w:val="32"/>
          <w:highlight w:val="none"/>
        </w:rPr>
      </w:pPr>
    </w:p>
    <w:p w14:paraId="1C3602D2">
      <w:pPr>
        <w:spacing w:line="360" w:lineRule="auto"/>
        <w:jc w:val="center"/>
        <w:rPr>
          <w:rFonts w:ascii="宋体" w:hAnsi="宋体" w:cs="宋体"/>
          <w:b/>
          <w:color w:val="auto"/>
          <w:spacing w:val="6"/>
          <w:sz w:val="32"/>
          <w:szCs w:val="32"/>
          <w:highlight w:val="none"/>
        </w:rPr>
      </w:pPr>
    </w:p>
    <w:p w14:paraId="67591209">
      <w:pPr>
        <w:spacing w:line="360" w:lineRule="auto"/>
        <w:jc w:val="center"/>
        <w:rPr>
          <w:rFonts w:ascii="宋体" w:hAnsi="宋体" w:cs="宋体"/>
          <w:b/>
          <w:color w:val="auto"/>
          <w:spacing w:val="6"/>
          <w:sz w:val="32"/>
          <w:szCs w:val="32"/>
          <w:highlight w:val="none"/>
        </w:rPr>
      </w:pPr>
    </w:p>
    <w:p w14:paraId="289BE292">
      <w:pPr>
        <w:spacing w:line="360" w:lineRule="auto"/>
        <w:jc w:val="left"/>
        <w:rPr>
          <w:rFonts w:ascii="宋体" w:hAnsi="宋体" w:cs="宋体"/>
          <w:b/>
          <w:color w:val="auto"/>
          <w:spacing w:val="6"/>
          <w:sz w:val="32"/>
          <w:szCs w:val="32"/>
          <w:highlight w:val="none"/>
        </w:rPr>
      </w:pPr>
    </w:p>
    <w:p w14:paraId="3C408416">
      <w:pPr>
        <w:spacing w:line="360" w:lineRule="auto"/>
        <w:jc w:val="left"/>
        <w:rPr>
          <w:rFonts w:ascii="宋体" w:hAnsi="宋体" w:cs="宋体"/>
          <w:b/>
          <w:color w:val="auto"/>
          <w:spacing w:val="6"/>
          <w:sz w:val="32"/>
          <w:szCs w:val="32"/>
          <w:highlight w:val="none"/>
        </w:rPr>
      </w:pPr>
    </w:p>
    <w:p w14:paraId="5DEE8479">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23BBD72A">
      <w:pPr>
        <w:spacing w:line="360" w:lineRule="auto"/>
        <w:jc w:val="center"/>
        <w:rPr>
          <w:rFonts w:ascii="宋体" w:hAnsi="宋体" w:cs="宋体"/>
          <w:b/>
          <w:color w:val="auto"/>
          <w:sz w:val="24"/>
          <w:highlight w:val="none"/>
        </w:rPr>
      </w:pPr>
    </w:p>
    <w:p w14:paraId="7E0D94C6">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06176858">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0DBBEAD6">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14:paraId="059E3D04">
      <w:pPr>
        <w:spacing w:line="360" w:lineRule="auto"/>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p>
    <w:p w14:paraId="6F71DB9A">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3D611F9">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14:paraId="16D9FA7C">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14:paraId="08F71933">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14:paraId="72587F26">
      <w:pPr>
        <w:spacing w:line="360" w:lineRule="auto"/>
        <w:rPr>
          <w:rFonts w:hint="eastAsia" w:ascii="宋体" w:hAnsi="宋体" w:eastAsia="宋体" w:cs="宋体"/>
          <w:color w:val="auto"/>
          <w:sz w:val="24"/>
          <w:highlight w:val="none"/>
          <w:u w:val="single"/>
          <w:lang w:val="en-US" w:eastAsia="zh-CN"/>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p>
    <w:p w14:paraId="330B1AA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7E3FF25">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8D407D7">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142C4C7F">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CC4794B">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14:paraId="0667D0FB">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p>
    <w:p w14:paraId="2392DBC0">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14:paraId="24F2D79A">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5F5C74A0">
      <w:pPr>
        <w:spacing w:line="360" w:lineRule="auto"/>
        <w:rPr>
          <w:rFonts w:ascii="宋体" w:hAnsi="宋体" w:cs="宋体"/>
          <w:b/>
          <w:bCs/>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14:paraId="71D0B2E4">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14:paraId="4507A70A">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14:paraId="1335FA31">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14:paraId="5EACF2C3">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14:paraId="4EE0F089">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14:paraId="2C2DFC32">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39130570">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594EFCD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1C11993">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55C0779E">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6038D094">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14:paraId="2F203812">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14:paraId="7F6A998A">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14:paraId="0F6C9628">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14:paraId="285F559F">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14:paraId="4000C80A">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0178C30B">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22E5F5B1">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6C558DB">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84B1A07">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08DC6FC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7BD466E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5620B032">
      <w:pPr>
        <w:spacing w:line="360" w:lineRule="auto"/>
        <w:rPr>
          <w:rFonts w:ascii="宋体" w:hAnsi="宋体" w:cs="宋体"/>
          <w:b/>
          <w:color w:val="auto"/>
          <w:sz w:val="24"/>
          <w:highlight w:val="none"/>
        </w:rPr>
      </w:pPr>
    </w:p>
    <w:p w14:paraId="65169042">
      <w:pPr>
        <w:spacing w:line="360" w:lineRule="auto"/>
        <w:rPr>
          <w:rFonts w:ascii="宋体" w:hAnsi="宋体" w:cs="宋体"/>
          <w:b/>
          <w:color w:val="auto"/>
          <w:sz w:val="24"/>
          <w:highlight w:val="none"/>
        </w:rPr>
      </w:pPr>
    </w:p>
    <w:p w14:paraId="1076570E">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27C17D70">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0B2E658B">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3591A4A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02E0413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5FACA77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44970A2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C7A3EA0">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6663591E">
      <w:pPr>
        <w:spacing w:line="360" w:lineRule="auto"/>
        <w:rPr>
          <w:rFonts w:ascii="宋体" w:hAnsi="宋体" w:cs="宋体"/>
          <w:b/>
          <w:color w:val="auto"/>
          <w:sz w:val="24"/>
          <w:highlight w:val="none"/>
        </w:rPr>
      </w:pPr>
    </w:p>
    <w:p w14:paraId="19A98907">
      <w:pPr>
        <w:autoSpaceDE w:val="0"/>
        <w:autoSpaceDN w:val="0"/>
        <w:jc w:val="center"/>
        <w:rPr>
          <w:rFonts w:ascii="宋体" w:hAnsi="宋体" w:cs="宋体"/>
          <w:b/>
          <w:color w:val="auto"/>
          <w:spacing w:val="6"/>
          <w:sz w:val="32"/>
          <w:szCs w:val="32"/>
          <w:highlight w:val="none"/>
        </w:rPr>
      </w:pPr>
    </w:p>
    <w:p w14:paraId="1E19687A">
      <w:pPr>
        <w:autoSpaceDE w:val="0"/>
        <w:autoSpaceDN w:val="0"/>
        <w:jc w:val="center"/>
        <w:rPr>
          <w:rFonts w:ascii="宋体" w:hAnsi="宋体" w:cs="宋体"/>
          <w:b/>
          <w:color w:val="auto"/>
          <w:spacing w:val="6"/>
          <w:sz w:val="32"/>
          <w:szCs w:val="32"/>
          <w:highlight w:val="none"/>
        </w:rPr>
      </w:pPr>
    </w:p>
    <w:p w14:paraId="6366093E">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2AD3FB38">
      <w:pPr>
        <w:spacing w:line="360" w:lineRule="auto"/>
        <w:rPr>
          <w:rFonts w:ascii="宋体" w:hAnsi="宋体" w:cs="宋体"/>
          <w:color w:val="auto"/>
          <w:sz w:val="24"/>
          <w:highlight w:val="none"/>
          <w:u w:val="single"/>
        </w:rPr>
      </w:pPr>
    </w:p>
    <w:p w14:paraId="1FFA9824">
      <w:pPr>
        <w:spacing w:line="360" w:lineRule="auto"/>
        <w:rPr>
          <w:rFonts w:hint="eastAsia" w:ascii="宋体" w:hAnsi="宋体" w:eastAsia="宋体" w:cs="宋体"/>
          <w:color w:val="auto"/>
          <w:sz w:val="24"/>
          <w:highlight w:val="none"/>
          <w:u w:val="none"/>
          <w:lang w:eastAsia="zh-CN"/>
        </w:rPr>
      </w:pPr>
      <w:r>
        <w:rPr>
          <w:rFonts w:hint="eastAsia" w:ascii="宋体" w:hAnsi="宋体" w:cs="宋体"/>
          <w:color w:val="auto"/>
          <w:sz w:val="24"/>
          <w:highlight w:val="none"/>
          <w:u w:val="none"/>
          <w:lang w:eastAsia="zh-CN"/>
        </w:rPr>
        <w:t>杭州市美术职业学校</w:t>
      </w:r>
      <w:r>
        <w:rPr>
          <w:rFonts w:hint="eastAsia" w:ascii="宋体" w:hAnsi="宋体" w:cs="宋体"/>
          <w:color w:val="auto"/>
          <w:sz w:val="24"/>
          <w:highlight w:val="none"/>
          <w:u w:val="none"/>
        </w:rPr>
        <w:t>、</w:t>
      </w:r>
      <w:r>
        <w:rPr>
          <w:rFonts w:hint="eastAsia" w:ascii="宋体" w:hAnsi="宋体" w:cs="宋体"/>
          <w:color w:val="auto"/>
          <w:sz w:val="24"/>
          <w:highlight w:val="none"/>
          <w:u w:val="none"/>
          <w:lang w:eastAsia="zh-CN"/>
        </w:rPr>
        <w:t>杭州洲源招标代理有限公司：</w:t>
      </w:r>
    </w:p>
    <w:p w14:paraId="3F65A749">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(供应商全称)是中华人民共和国依法登记注册的合法企业，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杭州市美术职业学校（凤山校区）门卫楼及大礼堂外立面工程</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MSZX-2025-004</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5D6BC9A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6B378034">
      <w:pPr>
        <w:spacing w:line="360" w:lineRule="auto"/>
        <w:ind w:firstLine="494"/>
        <w:rPr>
          <w:rFonts w:ascii="宋体" w:hAnsi="宋体" w:cs="宋体"/>
          <w:color w:val="auto"/>
          <w:sz w:val="24"/>
          <w:highlight w:val="none"/>
        </w:rPr>
      </w:pPr>
    </w:p>
    <w:p w14:paraId="5607EBFB">
      <w:pPr>
        <w:spacing w:line="360" w:lineRule="auto"/>
        <w:ind w:firstLine="494"/>
        <w:rPr>
          <w:rFonts w:ascii="宋体" w:hAnsi="宋体" w:cs="宋体"/>
          <w:color w:val="auto"/>
          <w:sz w:val="24"/>
          <w:highlight w:val="none"/>
        </w:rPr>
      </w:pPr>
    </w:p>
    <w:p w14:paraId="6FEA8114">
      <w:pPr>
        <w:spacing w:line="360" w:lineRule="auto"/>
        <w:ind w:firstLine="494"/>
        <w:rPr>
          <w:rFonts w:ascii="宋体" w:hAnsi="宋体" w:cs="宋体"/>
          <w:color w:val="auto"/>
          <w:sz w:val="24"/>
          <w:highlight w:val="none"/>
        </w:rPr>
      </w:pPr>
    </w:p>
    <w:p w14:paraId="3D9932DE">
      <w:pPr>
        <w:spacing w:line="360" w:lineRule="auto"/>
        <w:ind w:firstLine="494"/>
        <w:rPr>
          <w:rFonts w:ascii="宋体" w:hAnsi="宋体" w:cs="宋体"/>
          <w:color w:val="auto"/>
          <w:sz w:val="24"/>
          <w:highlight w:val="none"/>
        </w:rPr>
      </w:pPr>
    </w:p>
    <w:p w14:paraId="2ED54600">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供应商（法定名称章）：</w:t>
      </w:r>
    </w:p>
    <w:p w14:paraId="0B890EF5">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0BF15CA">
      <w:pPr>
        <w:rPr>
          <w:rFonts w:ascii="宋体" w:hAnsi="宋体" w:cs="宋体"/>
          <w:color w:val="auto"/>
          <w:sz w:val="24"/>
          <w:highlight w:val="none"/>
        </w:rPr>
      </w:pPr>
      <w:r>
        <w:rPr>
          <w:rFonts w:hint="eastAsia" w:ascii="宋体" w:hAnsi="宋体" w:cs="宋体"/>
          <w:b/>
          <w:bCs/>
          <w:color w:val="auto"/>
          <w:sz w:val="24"/>
          <w:highlight w:val="none"/>
        </w:rPr>
        <w:t>附：</w:t>
      </w:r>
    </w:p>
    <w:p w14:paraId="3F78BAD4">
      <w:pPr>
        <w:spacing w:line="360" w:lineRule="auto"/>
        <w:rPr>
          <w:rFonts w:ascii="宋体" w:hAnsi="宋体" w:cs="宋体"/>
          <w:bCs/>
          <w:color w:val="auto"/>
          <w:sz w:val="24"/>
          <w:highlight w:val="none"/>
        </w:rPr>
      </w:pPr>
      <w:r>
        <w:rPr>
          <w:rFonts w:hint="eastAsia" w:ascii="宋体" w:hAnsi="宋体" w:cs="宋体"/>
          <w:b w:val="0"/>
          <w:bCs w:val="0"/>
          <w:color w:val="auto"/>
          <w:sz w:val="24"/>
          <w:highlight w:val="none"/>
        </w:rPr>
        <mc:AlternateContent>
          <mc:Choice Requires="wps">
            <w:drawing>
              <wp:anchor distT="0" distB="0" distL="0" distR="0" simplePos="0" relativeHeight="251663360"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ln>
                      </wps:spPr>
                      <wps:bodyPr/>
                    </wps:wsp>
                  </a:graphicData>
                </a:graphic>
              </wp:anchor>
            </w:drawing>
          </mc:Choice>
          <mc:Fallback>
            <w:pict>
              <v:rect id="Rectangle 17" o:spid="_x0000_s1026" o:spt="1" style="position:absolute;left:0pt;margin-left:238.9pt;margin-top:28.05pt;height:177.45pt;width:212.95pt;z-index:-251653120;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&#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xz/jB2AAAAAoBAAAPAAAAAAAAAAEAIAAAACIAAABk&#10;cnMvZG93bnJldi54bWxQSwECFAAUAAAACACHTuJAC9UheM0BAADGAwAADgAAAAAAAAABACAAAAAn&#10;AQAAZHJzL2Uyb0RvYy54bWxQSwUGAAAAAAYABgBZAQAAZgUAAAAA&#10;">
                <v:fill on="t" focussize="0,0"/>
                <v:stroke color="#000000" joinstyle="miter"/>
                <v:imagedata o:title=""/>
                <o:lock v:ext="edit" aspectratio="f"/>
              </v:rect>
            </w:pict>
          </mc:Fallback>
        </mc:AlternateContent>
      </w:r>
      <w:r>
        <w:rPr>
          <w:rFonts w:hint="eastAsia" w:ascii="宋体" w:hAnsi="宋体" w:cs="宋体"/>
          <w:b w:val="0"/>
          <w:bCs w:val="0"/>
          <w:color w:val="auto"/>
          <w:sz w:val="24"/>
          <w:highlight w:val="none"/>
        </w:rPr>
        <mc:AlternateContent>
          <mc:Choice Requires="wps">
            <w:drawing>
              <wp:anchor distT="0" distB="0" distL="0" distR="0" simplePos="0" relativeHeight="251664384"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ln>
                      </wps:spPr>
                      <wps:bodyPr/>
                    </wps:wsp>
                  </a:graphicData>
                </a:graphic>
              </wp:anchor>
            </w:drawing>
          </mc:Choice>
          <mc:Fallback>
            <w:pict>
              <v:rect id="Rectangle 16" o:spid="_x0000_s1026" o:spt="1" style="position:absolute;left:0pt;margin-left:-7.2pt;margin-top:30.3pt;height:177.45pt;width:208.5pt;z-index:-251652096;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d07BY2AAAAAoBAAAPAAAAAAAAAAEAIAAAACIAAABk&#10;cnMvZG93bnJldi54bWxQSwECFAAUAAAACACHTuJAD8HNp80BAADGAwAADgAAAAAAAAABACAAAAAn&#10;AQAAZHJzL2Uyb0RvYy54bWxQSwUGAAAAAAYABgBZAQAAZgUAAAAA&#10;">
                <v:fill on="t" focussize="0,0"/>
                <v:stroke color="#000000" joinstyle="miter"/>
                <v:imagedata o:title=""/>
                <o:lock v:ext="edit" aspectratio="f"/>
              </v:rect>
            </w:pict>
          </mc:Fallback>
        </mc:AlternateContent>
      </w:r>
      <w:r>
        <w:rPr>
          <w:rFonts w:hint="eastAsia" w:ascii="宋体" w:hAnsi="宋体" w:cs="宋体"/>
          <w:b w:val="0"/>
          <w:bCs w:val="0"/>
          <w:color w:val="auto"/>
          <w:sz w:val="24"/>
          <w:highlight w:val="none"/>
        </w:rPr>
        <w:t xml:space="preserve">供应商法定名称章（印模）        </w:t>
      </w:r>
      <w:r>
        <w:rPr>
          <w:rFonts w:hint="eastAsia" w:ascii="宋体" w:hAnsi="宋体" w:cs="宋体"/>
          <w:color w:val="auto"/>
          <w:sz w:val="24"/>
          <w:highlight w:val="none"/>
        </w:rPr>
        <w:t xml:space="preserve">        供应商“XX专用章”（印模）</w:t>
      </w:r>
    </w:p>
    <w:p w14:paraId="31A40B73">
      <w:pPr>
        <w:autoSpaceDE w:val="0"/>
        <w:autoSpaceDN w:val="0"/>
        <w:jc w:val="center"/>
        <w:rPr>
          <w:rFonts w:ascii="宋体" w:hAnsi="宋体" w:cs="宋体"/>
          <w:b/>
          <w:color w:val="auto"/>
          <w:spacing w:val="6"/>
          <w:sz w:val="32"/>
          <w:szCs w:val="32"/>
          <w:highlight w:val="none"/>
        </w:rPr>
      </w:pPr>
    </w:p>
    <w:p w14:paraId="6E4BCDB1">
      <w:pPr>
        <w:autoSpaceDE w:val="0"/>
        <w:autoSpaceDN w:val="0"/>
        <w:jc w:val="center"/>
        <w:rPr>
          <w:rFonts w:ascii="宋体" w:hAnsi="宋体" w:cs="宋体"/>
          <w:b/>
          <w:color w:val="auto"/>
          <w:spacing w:val="6"/>
          <w:sz w:val="32"/>
          <w:szCs w:val="32"/>
          <w:highlight w:val="none"/>
        </w:rPr>
      </w:pPr>
    </w:p>
    <w:p w14:paraId="3BC520F1">
      <w:pPr>
        <w:autoSpaceDE w:val="0"/>
        <w:autoSpaceDN w:val="0"/>
        <w:jc w:val="center"/>
        <w:rPr>
          <w:rFonts w:ascii="宋体" w:hAnsi="宋体" w:cs="宋体"/>
          <w:b/>
          <w:color w:val="auto"/>
          <w:spacing w:val="6"/>
          <w:sz w:val="32"/>
          <w:szCs w:val="32"/>
          <w:highlight w:val="none"/>
        </w:rPr>
      </w:pPr>
    </w:p>
    <w:p w14:paraId="4FF6A9A9">
      <w:pPr>
        <w:autoSpaceDE w:val="0"/>
        <w:autoSpaceDN w:val="0"/>
        <w:jc w:val="center"/>
        <w:rPr>
          <w:rFonts w:ascii="宋体" w:hAnsi="宋体" w:cs="宋体"/>
          <w:b/>
          <w:color w:val="auto"/>
          <w:spacing w:val="6"/>
          <w:sz w:val="32"/>
          <w:szCs w:val="32"/>
          <w:highlight w:val="none"/>
        </w:rPr>
      </w:pPr>
    </w:p>
    <w:p w14:paraId="0818467B">
      <w:pPr>
        <w:autoSpaceDE w:val="0"/>
        <w:autoSpaceDN w:val="0"/>
        <w:jc w:val="center"/>
        <w:rPr>
          <w:rFonts w:ascii="宋体" w:hAnsi="宋体" w:cs="宋体"/>
          <w:b/>
          <w:color w:val="auto"/>
          <w:spacing w:val="6"/>
          <w:sz w:val="32"/>
          <w:szCs w:val="32"/>
          <w:highlight w:val="none"/>
        </w:rPr>
      </w:pPr>
    </w:p>
    <w:p w14:paraId="6379E5FF">
      <w:pPr>
        <w:autoSpaceDE w:val="0"/>
        <w:autoSpaceDN w:val="0"/>
        <w:jc w:val="center"/>
        <w:rPr>
          <w:rFonts w:ascii="宋体" w:hAnsi="宋体" w:cs="宋体"/>
          <w:b/>
          <w:color w:val="auto"/>
          <w:spacing w:val="6"/>
          <w:sz w:val="32"/>
          <w:szCs w:val="32"/>
          <w:highlight w:val="none"/>
        </w:rPr>
      </w:pPr>
    </w:p>
    <w:p w14:paraId="10BEC62C">
      <w:pPr>
        <w:autoSpaceDE w:val="0"/>
        <w:autoSpaceDN w:val="0"/>
        <w:jc w:val="center"/>
        <w:rPr>
          <w:rFonts w:ascii="宋体" w:hAnsi="宋体" w:cs="宋体"/>
          <w:b/>
          <w:color w:val="auto"/>
          <w:spacing w:val="6"/>
          <w:sz w:val="32"/>
          <w:szCs w:val="32"/>
          <w:highlight w:val="none"/>
        </w:rPr>
      </w:pPr>
    </w:p>
    <w:p w14:paraId="6F99D4ED">
      <w:pPr>
        <w:autoSpaceDE w:val="0"/>
        <w:autoSpaceDN w:val="0"/>
        <w:jc w:val="center"/>
        <w:rPr>
          <w:rFonts w:ascii="宋体" w:hAnsi="宋体" w:cs="宋体"/>
          <w:b/>
          <w:color w:val="auto"/>
          <w:spacing w:val="6"/>
          <w:sz w:val="32"/>
          <w:szCs w:val="32"/>
          <w:highlight w:val="none"/>
        </w:rPr>
      </w:pPr>
    </w:p>
    <w:p w14:paraId="7C8CFB20">
      <w:pPr>
        <w:autoSpaceDE w:val="0"/>
        <w:autoSpaceDN w:val="0"/>
        <w:jc w:val="center"/>
        <w:rPr>
          <w:rFonts w:ascii="宋体" w:hAnsi="宋体" w:cs="宋体"/>
          <w:b/>
          <w:color w:val="auto"/>
          <w:spacing w:val="6"/>
          <w:sz w:val="32"/>
          <w:szCs w:val="32"/>
          <w:highlight w:val="none"/>
        </w:rPr>
      </w:pPr>
    </w:p>
    <w:p w14:paraId="1F949C34">
      <w:pPr>
        <w:autoSpaceDE w:val="0"/>
        <w:autoSpaceDN w:val="0"/>
        <w:jc w:val="center"/>
        <w:rPr>
          <w:rFonts w:ascii="宋体" w:hAnsi="宋体" w:cs="宋体"/>
          <w:b/>
          <w:color w:val="auto"/>
          <w:spacing w:val="6"/>
          <w:sz w:val="32"/>
          <w:szCs w:val="32"/>
          <w:highlight w:val="none"/>
        </w:rPr>
      </w:pPr>
    </w:p>
    <w:p w14:paraId="06CFE3D8">
      <w:pPr>
        <w:autoSpaceDE w:val="0"/>
        <w:autoSpaceDN w:val="0"/>
        <w:jc w:val="center"/>
        <w:rPr>
          <w:rFonts w:ascii="宋体" w:hAnsi="宋体" w:cs="宋体"/>
          <w:b/>
          <w:color w:val="auto"/>
          <w:spacing w:val="6"/>
          <w:sz w:val="32"/>
          <w:szCs w:val="32"/>
          <w:highlight w:val="none"/>
        </w:rPr>
      </w:pPr>
    </w:p>
    <w:p w14:paraId="75D0897D">
      <w:pPr>
        <w:autoSpaceDE w:val="0"/>
        <w:autoSpaceDN w:val="0"/>
        <w:jc w:val="center"/>
        <w:rPr>
          <w:rFonts w:ascii="宋体" w:hAnsi="宋体" w:cs="宋体"/>
          <w:b/>
          <w:color w:val="auto"/>
          <w:spacing w:val="6"/>
          <w:sz w:val="32"/>
          <w:szCs w:val="32"/>
          <w:highlight w:val="none"/>
        </w:rPr>
      </w:pPr>
    </w:p>
    <w:p w14:paraId="2AFF0935">
      <w:pPr>
        <w:autoSpaceDE w:val="0"/>
        <w:autoSpaceDN w:val="0"/>
        <w:jc w:val="center"/>
        <w:rPr>
          <w:rFonts w:ascii="宋体" w:hAnsi="宋体" w:cs="宋体"/>
          <w:b/>
          <w:color w:val="auto"/>
          <w:spacing w:val="6"/>
          <w:sz w:val="32"/>
          <w:szCs w:val="32"/>
          <w:highlight w:val="none"/>
        </w:rPr>
      </w:pPr>
    </w:p>
    <w:p w14:paraId="1B0E0CF3">
      <w:pPr>
        <w:autoSpaceDE w:val="0"/>
        <w:autoSpaceDN w:val="0"/>
        <w:jc w:val="center"/>
        <w:rPr>
          <w:rFonts w:ascii="宋体" w:hAnsi="宋体" w:cs="宋体"/>
          <w:b/>
          <w:color w:val="auto"/>
          <w:spacing w:val="6"/>
          <w:sz w:val="32"/>
          <w:szCs w:val="32"/>
          <w:highlight w:val="none"/>
        </w:rPr>
      </w:pPr>
    </w:p>
    <w:p w14:paraId="6F35C544">
      <w:pPr>
        <w:autoSpaceDE w:val="0"/>
        <w:autoSpaceDN w:val="0"/>
        <w:jc w:val="center"/>
        <w:rPr>
          <w:rFonts w:ascii="宋体" w:hAnsi="宋体" w:cs="宋体"/>
          <w:b/>
          <w:color w:val="auto"/>
          <w:spacing w:val="6"/>
          <w:sz w:val="32"/>
          <w:szCs w:val="32"/>
          <w:highlight w:val="none"/>
        </w:rPr>
      </w:pPr>
    </w:p>
    <w:p w14:paraId="6DCEB3B6">
      <w:pPr>
        <w:autoSpaceDE w:val="0"/>
        <w:autoSpaceDN w:val="0"/>
        <w:jc w:val="center"/>
        <w:rPr>
          <w:rFonts w:ascii="宋体" w:hAnsi="宋体" w:cs="宋体"/>
          <w:b/>
          <w:color w:val="auto"/>
          <w:spacing w:val="6"/>
          <w:sz w:val="32"/>
          <w:szCs w:val="32"/>
          <w:highlight w:val="none"/>
        </w:rPr>
      </w:pPr>
    </w:p>
    <w:p w14:paraId="0E89490E">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附件5：</w:t>
      </w:r>
      <w:r>
        <w:rPr>
          <w:rFonts w:hint="eastAsia" w:ascii="宋体" w:hAnsi="宋体" w:cs="宋体"/>
          <w:b/>
          <w:color w:val="auto"/>
          <w:kern w:val="0"/>
          <w:sz w:val="32"/>
          <w:szCs w:val="32"/>
          <w:highlight w:val="none"/>
          <w:lang w:val="zh-CN"/>
        </w:rPr>
        <w:t>联合协议</w:t>
      </w:r>
    </w:p>
    <w:p w14:paraId="2DADAEF9">
      <w:pPr>
        <w:keepNext w:val="0"/>
        <w:keepLines w:val="0"/>
        <w:pageBreakBefore w:val="0"/>
        <w:widowControl/>
        <w:kinsoku/>
        <w:wordWrap/>
        <w:overflowPunct/>
        <w:topLinePunct w:val="0"/>
        <w:autoSpaceDE/>
        <w:autoSpaceDN/>
        <w:bidi w:val="0"/>
        <w:adjustRightInd w:val="0"/>
        <w:spacing w:line="312" w:lineRule="auto"/>
        <w:ind w:firstLine="482" w:firstLineChars="200"/>
        <w:jc w:val="left"/>
        <w:textAlignment w:val="auto"/>
        <w:rPr>
          <w:rFonts w:ascii="宋体" w:hAnsi="宋体" w:cs="宋体"/>
          <w:b/>
          <w:color w:val="auto"/>
          <w:sz w:val="24"/>
          <w:highlight w:val="none"/>
        </w:rPr>
      </w:pPr>
      <w:r>
        <w:rPr>
          <w:rFonts w:hint="eastAsia" w:ascii="宋体" w:hAnsi="宋体" w:cs="宋体"/>
          <w:b/>
          <w:color w:val="auto"/>
          <w:sz w:val="24"/>
          <w:highlight w:val="none"/>
        </w:rPr>
        <w:t>（以联合体形式参与的，提供联合协议；本项目不接受联合体或者供应商不以联合体形式参与的，则不需要提供）</w:t>
      </w:r>
    </w:p>
    <w:p w14:paraId="2C0570EB">
      <w:pPr>
        <w:keepNext w:val="0"/>
        <w:keepLines w:val="0"/>
        <w:pageBreakBefore w:val="0"/>
        <w:kinsoku/>
        <w:wordWrap/>
        <w:overflowPunct/>
        <w:topLinePunct w:val="0"/>
        <w:autoSpaceDE/>
        <w:autoSpaceDN/>
        <w:bidi w:val="0"/>
        <w:adjustRightInd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组成一个联合体，以一个供应商的身份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杭州市美术职业学校（凤山校区）门卫楼及大礼堂外立面工程</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MSZX-2025-004</w:t>
      </w:r>
      <w:r>
        <w:rPr>
          <w:rFonts w:hint="eastAsia" w:ascii="宋体" w:hAnsi="宋体" w:cs="宋体"/>
          <w:color w:val="auto"/>
          <w:sz w:val="24"/>
          <w:highlight w:val="none"/>
        </w:rPr>
        <w:t>】</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 xml:space="preserve">。 </w:t>
      </w:r>
    </w:p>
    <w:p w14:paraId="00664DBF">
      <w:pPr>
        <w:keepNext w:val="0"/>
        <w:keepLines w:val="0"/>
        <w:pageBreakBefore w:val="0"/>
        <w:kinsoku/>
        <w:wordWrap/>
        <w:overflowPunct/>
        <w:topLinePunct w:val="0"/>
        <w:autoSpaceDE/>
        <w:autoSpaceDN/>
        <w:bidi w:val="0"/>
        <w:adjustRightInd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20274DA9">
      <w:pPr>
        <w:keepNext w:val="0"/>
        <w:keepLines w:val="0"/>
        <w:pageBreakBefore w:val="0"/>
        <w:kinsoku/>
        <w:wordWrap/>
        <w:overflowPunct/>
        <w:topLinePunct w:val="0"/>
        <w:autoSpaceDE/>
        <w:autoSpaceDN/>
        <w:bidi w:val="0"/>
        <w:adjustRightInd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授权代表根据采购文件规定及</w:t>
      </w:r>
      <w:r>
        <w:rPr>
          <w:rFonts w:hint="eastAsia" w:ascii="宋体" w:hAnsi="宋体" w:cs="宋体"/>
          <w:color w:val="auto"/>
          <w:kern w:val="0"/>
          <w:sz w:val="24"/>
          <w:highlight w:val="none"/>
        </w:rPr>
        <w:t>响应内容</w:t>
      </w:r>
      <w:r>
        <w:rPr>
          <w:rFonts w:hint="eastAsia" w:ascii="宋体" w:hAnsi="宋体" w:cs="宋体"/>
          <w:color w:val="auto"/>
          <w:kern w:val="0"/>
          <w:sz w:val="24"/>
          <w:highlight w:val="none"/>
          <w:lang w:val="zh-CN"/>
        </w:rPr>
        <w:t>而对采购人、采购代理机构所作的任何合法承诺，包括书面澄清及相应等均对联合投标各方产生约束力。</w:t>
      </w:r>
    </w:p>
    <w:p w14:paraId="74C729EF">
      <w:pPr>
        <w:keepNext w:val="0"/>
        <w:keepLines w:val="0"/>
        <w:pageBreakBefore w:val="0"/>
        <w:kinsoku/>
        <w:wordWrap/>
        <w:overflowPunct/>
        <w:topLinePunct w:val="0"/>
        <w:autoSpaceDE/>
        <w:autoSpaceDN/>
        <w:bidi w:val="0"/>
        <w:adjustRightInd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中，分工如下：</w:t>
      </w:r>
    </w:p>
    <w:p w14:paraId="6AFF3742">
      <w:pPr>
        <w:keepNext w:val="0"/>
        <w:keepLines w:val="0"/>
        <w:pageBreakBefore w:val="0"/>
        <w:kinsoku/>
        <w:wordWrap/>
        <w:overflowPunct/>
        <w:topLinePunct w:val="0"/>
        <w:autoSpaceDE/>
        <w:autoSpaceDN/>
        <w:bidi w:val="0"/>
        <w:adjustRightInd w:val="0"/>
        <w:snapToGrid w:val="0"/>
        <w:spacing w:line="312" w:lineRule="auto"/>
        <w:ind w:firstLine="576"/>
        <w:textAlignment w:val="auto"/>
        <w:rPr>
          <w:rFonts w:ascii="宋体" w:hAnsi="宋体" w:cs="宋体"/>
          <w:color w:val="auto"/>
          <w:kern w:val="0"/>
          <w:sz w:val="24"/>
          <w:highlight w:val="none"/>
          <w:lang w:val="zh-CN"/>
        </w:rPr>
      </w:pPr>
      <w:bookmarkStart w:id="402"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7CBB83B0">
      <w:pPr>
        <w:keepNext w:val="0"/>
        <w:keepLines w:val="0"/>
        <w:pageBreakBefore w:val="0"/>
        <w:kinsoku/>
        <w:wordWrap/>
        <w:overflowPunct/>
        <w:topLinePunct w:val="0"/>
        <w:autoSpaceDE/>
        <w:autoSpaceDN/>
        <w:bidi w:val="0"/>
        <w:adjustRightInd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（联合体成员2）</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32922C4">
      <w:pPr>
        <w:keepNext w:val="0"/>
        <w:keepLines w:val="0"/>
        <w:pageBreakBefore w:val="0"/>
        <w:kinsoku/>
        <w:wordWrap/>
        <w:overflowPunct/>
        <w:topLinePunct w:val="0"/>
        <w:autoSpaceDE/>
        <w:autoSpaceDN/>
        <w:bidi w:val="0"/>
        <w:adjustRightInd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402"/>
    <w:p w14:paraId="76FE5DB8">
      <w:pPr>
        <w:keepNext w:val="0"/>
        <w:keepLines w:val="0"/>
        <w:pageBreakBefore w:val="0"/>
        <w:kinsoku/>
        <w:wordWrap/>
        <w:overflowPunct/>
        <w:topLinePunct w:val="0"/>
        <w:autoSpaceDE/>
        <w:autoSpaceDN/>
        <w:bidi w:val="0"/>
        <w:adjustRightInd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6313B64F">
      <w:pPr>
        <w:keepNext w:val="0"/>
        <w:keepLines w:val="0"/>
        <w:pageBreakBefore w:val="0"/>
        <w:kinsoku/>
        <w:wordWrap/>
        <w:overflowPunct/>
        <w:topLinePunct w:val="0"/>
        <w:autoSpaceDE/>
        <w:autoSpaceDN/>
        <w:bidi w:val="0"/>
        <w:adjustRightInd w:val="0"/>
        <w:snapToGrid w:val="0"/>
        <w:spacing w:line="312" w:lineRule="auto"/>
        <w:ind w:firstLine="576"/>
        <w:textAlignment w:val="auto"/>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（联合体成员X,……）</w:t>
      </w:r>
      <w:r>
        <w:rPr>
          <w:rFonts w:hint="eastAsia" w:ascii="宋体" w:hAnsi="宋体" w:cs="宋体"/>
          <w:color w:val="auto"/>
          <w:kern w:val="0"/>
          <w:sz w:val="24"/>
          <w:highlight w:val="none"/>
        </w:rPr>
        <w:t>提供的全部工程由小微企业承建，其合同份额占到合同总金额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（未预留份额专门面向中小企业采购的的采购项目，以及预留份额中的非预留部分采购包，接受联合体</w:t>
      </w:r>
      <w:r>
        <w:rPr>
          <w:rFonts w:hint="eastAsia" w:ascii="宋体" w:hAnsi="宋体" w:cs="宋体"/>
          <w:b/>
          <w:color w:val="auto"/>
          <w:kern w:val="0"/>
          <w:sz w:val="24"/>
          <w:highlight w:val="none"/>
        </w:rPr>
        <w:t>磋商</w:t>
      </w:r>
      <w:r>
        <w:rPr>
          <w:rFonts w:hint="eastAsia" w:ascii="宋体" w:hAnsi="宋体" w:cs="宋体"/>
          <w:b/>
          <w:color w:val="auto"/>
          <w:kern w:val="0"/>
          <w:sz w:val="24"/>
          <w:highlight w:val="none"/>
          <w:lang w:val="zh-CN"/>
        </w:rPr>
        <w:t>的，联合协议约定小微企业的合同份额占到合同总金额30%以上的，对联合体报价给予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70F86AAC">
      <w:pPr>
        <w:keepNext w:val="0"/>
        <w:keepLines w:val="0"/>
        <w:pageBreakBefore w:val="0"/>
        <w:kinsoku/>
        <w:wordWrap/>
        <w:overflowPunct/>
        <w:topLinePunct w:val="0"/>
        <w:autoSpaceDE/>
        <w:autoSpaceDN/>
        <w:bidi w:val="0"/>
        <w:adjustRightInd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048FC529">
      <w:pPr>
        <w:keepNext w:val="0"/>
        <w:keepLines w:val="0"/>
        <w:pageBreakBefore w:val="0"/>
        <w:kinsoku/>
        <w:wordWrap/>
        <w:overflowPunct/>
        <w:topLinePunct w:val="0"/>
        <w:autoSpaceDE/>
        <w:autoSpaceDN/>
        <w:bidi w:val="0"/>
        <w:adjustRightInd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五、如果成交，</w:t>
      </w:r>
      <w:r>
        <w:rPr>
          <w:rFonts w:hint="eastAsia" w:ascii="宋体" w:hAnsi="宋体" w:cs="宋体"/>
          <w:color w:val="auto"/>
          <w:sz w:val="24"/>
          <w:highlight w:val="none"/>
        </w:rPr>
        <w:t>联合体各成员方共同与采购人签订合同，并就采购合同约定的事项对采购人承担连带责任。</w:t>
      </w:r>
    </w:p>
    <w:p w14:paraId="6B89B433">
      <w:pPr>
        <w:keepNext w:val="0"/>
        <w:keepLines w:val="0"/>
        <w:pageBreakBefore w:val="0"/>
        <w:kinsoku/>
        <w:wordWrap/>
        <w:overflowPunct/>
        <w:topLinePunct w:val="0"/>
        <w:autoSpaceDE/>
        <w:autoSpaceDN/>
        <w:bidi w:val="0"/>
        <w:adjustRightInd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的其他事宜：</w:t>
      </w:r>
    </w:p>
    <w:p w14:paraId="1095D85F">
      <w:pPr>
        <w:keepNext w:val="0"/>
        <w:keepLines w:val="0"/>
        <w:pageBreakBefore w:val="0"/>
        <w:kinsoku/>
        <w:wordWrap/>
        <w:overflowPunct/>
        <w:topLinePunct w:val="0"/>
        <w:autoSpaceDE/>
        <w:autoSpaceDN/>
        <w:bidi w:val="0"/>
        <w:adjustRightInd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1、联合体各方不再单独参加或者与其他供应商另外组成联合体参加同一合同项下的采购活动。</w:t>
      </w:r>
    </w:p>
    <w:p w14:paraId="04FA2AD3">
      <w:pPr>
        <w:keepNext w:val="0"/>
        <w:keepLines w:val="0"/>
        <w:pageBreakBefore w:val="0"/>
        <w:kinsoku/>
        <w:wordWrap/>
        <w:overflowPunct/>
        <w:topLinePunct w:val="0"/>
        <w:autoSpaceDE/>
        <w:autoSpaceDN/>
        <w:bidi w:val="0"/>
        <w:adjustRightInd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0531E04">
      <w:pPr>
        <w:keepNext w:val="0"/>
        <w:keepLines w:val="0"/>
        <w:pageBreakBefore w:val="0"/>
        <w:kinsoku/>
        <w:wordWrap/>
        <w:overflowPunct/>
        <w:topLinePunct w:val="0"/>
        <w:autoSpaceDE/>
        <w:autoSpaceDN/>
        <w:bidi w:val="0"/>
        <w:adjustRightInd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23170E00">
      <w:pPr>
        <w:keepNext w:val="0"/>
        <w:keepLines w:val="0"/>
        <w:pageBreakBefore w:val="0"/>
        <w:kinsoku/>
        <w:wordWrap/>
        <w:overflowPunct/>
        <w:topLinePunct w:val="0"/>
        <w:autoSpaceDE/>
        <w:autoSpaceDN/>
        <w:bidi w:val="0"/>
        <w:adjustRightInd w:val="0"/>
        <w:snapToGrid w:val="0"/>
        <w:spacing w:line="312" w:lineRule="auto"/>
        <w:ind w:firstLine="5040" w:firstLineChars="2100"/>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63B60F3">
      <w:pPr>
        <w:keepNext w:val="0"/>
        <w:keepLines w:val="0"/>
        <w:pageBreakBefore w:val="0"/>
        <w:kinsoku/>
        <w:wordWrap/>
        <w:overflowPunct/>
        <w:topLinePunct w:val="0"/>
        <w:autoSpaceDE/>
        <w:autoSpaceDN/>
        <w:bidi w:val="0"/>
        <w:adjustRightInd w:val="0"/>
        <w:snapToGrid w:val="0"/>
        <w:spacing w:line="312" w:lineRule="auto"/>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r>
        <w:rPr>
          <w:rFonts w:hint="eastAsia" w:ascii="宋体" w:hAnsi="宋体" w:cs="宋体"/>
          <w:color w:val="auto"/>
          <w:sz w:val="24"/>
          <w:highlight w:val="none"/>
        </w:rPr>
        <w:t>注：按本格式和要求提供。</w:t>
      </w:r>
      <w:r>
        <w:rPr>
          <w:rFonts w:hint="eastAsia" w:ascii="宋体" w:hAnsi="宋体" w:cs="宋体"/>
          <w:color w:val="auto"/>
          <w:sz w:val="24"/>
          <w:highlight w:val="none"/>
          <w:lang w:val="en-US" w:eastAsia="zh-CN"/>
        </w:rPr>
        <w:t xml:space="preserve">               </w:t>
      </w:r>
      <w:r>
        <w:rPr>
          <w:rFonts w:hint="eastAsia" w:ascii="宋体" w:hAnsi="宋体" w:cs="宋体"/>
          <w:color w:val="auto"/>
          <w:kern w:val="0"/>
          <w:sz w:val="24"/>
          <w:highlight w:val="none"/>
          <w:lang w:val="zh-CN"/>
        </w:rPr>
        <w:t xml:space="preserve">日期：  年  月   日                                          </w:t>
      </w:r>
    </w:p>
    <w:p w14:paraId="079AA52C">
      <w:pPr>
        <w:autoSpaceDE w:val="0"/>
        <w:autoSpaceDN w:val="0"/>
        <w:jc w:val="center"/>
        <w:rPr>
          <w:rFonts w:ascii="宋体" w:hAnsi="宋体" w:cs="宋体"/>
          <w:b/>
          <w:color w:val="auto"/>
          <w:spacing w:val="6"/>
          <w:sz w:val="32"/>
          <w:szCs w:val="32"/>
          <w:highlight w:val="none"/>
        </w:rPr>
        <w:sectPr>
          <w:footerReference r:id="rId18" w:type="first"/>
          <w:headerReference r:id="rId16" w:type="default"/>
          <w:footerReference r:id="rId17"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575C90B8">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附件6：</w:t>
      </w:r>
      <w:r>
        <w:rPr>
          <w:rFonts w:hint="eastAsia" w:ascii="宋体" w:hAnsi="宋体" w:cs="宋体"/>
          <w:b/>
          <w:color w:val="auto"/>
          <w:kern w:val="0"/>
          <w:sz w:val="32"/>
          <w:szCs w:val="32"/>
          <w:highlight w:val="none"/>
        </w:rPr>
        <w:t>分包意向协议</w:t>
      </w:r>
    </w:p>
    <w:p w14:paraId="5D8B6954">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成交后以分包方式履行合同的，提供分包意向协议；采购人不同意分包或者供应商成交后不以分包方式履行合同的，则不需要提供。</w:t>
      </w:r>
      <w:r>
        <w:rPr>
          <w:rFonts w:hint="eastAsia" w:ascii="宋体" w:hAnsi="宋体" w:cs="宋体"/>
          <w:color w:val="auto"/>
          <w:sz w:val="24"/>
          <w:highlight w:val="none"/>
        </w:rPr>
        <w:t>）</w:t>
      </w:r>
    </w:p>
    <w:p w14:paraId="2816AD0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杭州市美术职业学校（凤山校区）门卫楼及大礼堂外立面工程</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MSZX-2025-004</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的成交供应商，将依法采取分包方式履行合同。</w:t>
      </w: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616E7EF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33235D4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hint="eastAsia"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3A2C9779">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59B92A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62CA7412">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rPr>
        <w:t>1、</w:t>
      </w:r>
      <w:r>
        <w:rPr>
          <w:rFonts w:hint="eastAsia" w:ascii="宋体" w:hAnsi="宋体" w:cs="宋体"/>
          <w:color w:val="auto"/>
          <w:kern w:val="0"/>
          <w:sz w:val="24"/>
          <w:highlight w:val="none"/>
          <w:u w:val="single"/>
        </w:rPr>
        <w:t>（分包供应商X,……）提供的工程全部由小微企业承建，</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3BFE121B">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3"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要求合同分包形式参加的项目或采购包，供应商按采购文件第一部分竞争性磋商公告申请人的资格要求中规定的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403"/>
    </w:p>
    <w:p w14:paraId="1B1E618A">
      <w:pPr>
        <w:snapToGrid w:val="0"/>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22E374CC">
      <w:pPr>
        <w:snapToGrid w:val="0"/>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5F7FA537">
      <w:pPr>
        <w:snapToGrid w:val="0"/>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24E8112B">
      <w:pPr>
        <w:snapToGrid w:val="0"/>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74B78FA">
      <w:pPr>
        <w:snapToGrid w:val="0"/>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3DD9EAAD">
      <w:pPr>
        <w:snapToGrid w:val="0"/>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D6E0657">
      <w:pPr>
        <w:snapToGrid w:val="0"/>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631B5F5E">
      <w:pPr>
        <w:snapToGrid w:val="0"/>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116F6C1">
      <w:pPr>
        <w:snapToGrid w:val="0"/>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ED0C714">
      <w:pPr>
        <w:snapToGrid w:val="0"/>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2564772">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w:t>
      </w:r>
    </w:p>
    <w:p w14:paraId="2A105422">
      <w:pPr>
        <w:snapToGrid w:val="0"/>
        <w:spacing w:line="360" w:lineRule="auto"/>
        <w:ind w:firstLine="5640" w:firstLineChars="23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w:t>
      </w:r>
    </w:p>
    <w:p w14:paraId="5D11C6F4">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616F5DE8">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6318789">
      <w:pPr>
        <w:autoSpaceDE w:val="0"/>
        <w:autoSpaceDN w:val="0"/>
        <w:jc w:val="center"/>
        <w:rPr>
          <w:rFonts w:ascii="宋体" w:hAnsi="宋体" w:cs="宋体"/>
          <w:b/>
          <w:color w:val="auto"/>
          <w:spacing w:val="6"/>
          <w:sz w:val="32"/>
          <w:szCs w:val="32"/>
          <w:highlight w:val="none"/>
        </w:rPr>
      </w:pPr>
    </w:p>
    <w:p w14:paraId="35D35697">
      <w:pPr>
        <w:autoSpaceDE w:val="0"/>
        <w:autoSpaceDN w:val="0"/>
        <w:jc w:val="center"/>
        <w:rPr>
          <w:rFonts w:ascii="宋体" w:hAnsi="宋体" w:cs="宋体"/>
          <w:b/>
          <w:color w:val="auto"/>
          <w:spacing w:val="6"/>
          <w:sz w:val="32"/>
          <w:szCs w:val="32"/>
          <w:highlight w:val="none"/>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7C4804F3">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附件7：</w:t>
      </w:r>
      <w:r>
        <w:rPr>
          <w:rFonts w:hint="eastAsia" w:ascii="宋体" w:hAnsi="宋体" w:cs="宋体"/>
          <w:b/>
          <w:color w:val="auto"/>
          <w:sz w:val="32"/>
          <w:szCs w:val="32"/>
          <w:highlight w:val="none"/>
        </w:rPr>
        <w:t>中小企业声明函</w:t>
      </w:r>
    </w:p>
    <w:p w14:paraId="7E8B3CCE">
      <w:pPr>
        <w:spacing w:line="360" w:lineRule="auto"/>
        <w:jc w:val="center"/>
        <w:rPr>
          <w:rFonts w:ascii="宋体" w:hAnsi="宋体" w:cs="宋体"/>
          <w:color w:val="auto"/>
          <w:sz w:val="24"/>
          <w:highlight w:val="none"/>
          <w:u w:val="single"/>
        </w:rPr>
      </w:pPr>
    </w:p>
    <w:p w14:paraId="055B0424">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中小企业声明函（工程）</w:t>
      </w:r>
    </w:p>
    <w:p w14:paraId="4AB9E978">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杭州市美术职业学校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杭州市美术职业学校（凤山校区）门卫楼及大礼堂外立面工程</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采购活动，工程的施工单位全部为符合政策要求的中小企业。相关企业（含联合体中的中小企业、签订分包意向协议的中小企业）的具体情况如下：</w:t>
      </w:r>
    </w:p>
    <w:p w14:paraId="10CD9FB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4AB4CF7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6274284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7D463E4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642E561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10BF148A">
      <w:pPr>
        <w:spacing w:line="360" w:lineRule="auto"/>
        <w:ind w:firstLine="480" w:firstLineChars="200"/>
        <w:rPr>
          <w:rFonts w:ascii="宋体" w:hAnsi="宋体" w:cs="宋体"/>
          <w:color w:val="auto"/>
          <w:sz w:val="24"/>
          <w:highlight w:val="none"/>
        </w:rPr>
      </w:pPr>
    </w:p>
    <w:p w14:paraId="36FB1A1C">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6A6936E1">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1A90C22">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从业人员、营业收入、资产总额填报上一年度数据，无上一年度数据的新成立企业可不填报。</w:t>
      </w:r>
    </w:p>
    <w:p w14:paraId="4A04D064">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4D9938C1">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sz w:val="24"/>
          <w:highlight w:val="none"/>
          <w:lang w:val="en-US" w:eastAsia="zh-CN"/>
        </w:rPr>
      </w:pPr>
      <w:r>
        <w:rPr>
          <w:rFonts w:hint="eastAsia" w:ascii="宋体" w:hAnsi="宋体" w:eastAsia="宋体" w:cs="宋体"/>
          <w:color w:val="auto"/>
          <w:kern w:val="2"/>
          <w:sz w:val="24"/>
          <w:szCs w:val="24"/>
          <w:highlight w:val="none"/>
          <w:lang w:val="en-US" w:eastAsia="zh-CN" w:bidi="ar"/>
          <w:woUserID w:val="1"/>
        </w:rPr>
        <w:t>①从业人员、营业收入、资产总额填报上一年度数据，无上一年度数据的新成立企业可不填报</w:t>
      </w:r>
      <w:r>
        <w:rPr>
          <w:rFonts w:hint="eastAsia" w:ascii="宋体" w:hAnsi="宋体" w:eastAsia="宋体" w:cs="宋体"/>
          <w:color w:val="auto"/>
          <w:sz w:val="24"/>
          <w:highlight w:val="none"/>
          <w:lang w:val="en-US" w:eastAsia="zh-CN"/>
        </w:rPr>
        <w:t>。</w:t>
      </w:r>
    </w:p>
    <w:p w14:paraId="685823EB">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仿宋_GB2312"/>
          <w:b/>
          <w:bCs w:val="0"/>
          <w:color w:val="auto"/>
          <w:kern w:val="2"/>
          <w:sz w:val="24"/>
          <w:szCs w:val="24"/>
          <w:highlight w:val="none"/>
          <w:woUserID w:val="1"/>
        </w:rPr>
      </w:pPr>
      <w:r>
        <w:rPr>
          <w:rFonts w:hint="eastAsia" w:ascii="宋体" w:hAnsi="宋体" w:eastAsia="宋体" w:cs="宋体"/>
          <w:color w:val="auto"/>
          <w:sz w:val="24"/>
          <w:highlight w:val="none"/>
          <w:lang w:val="en-US" w:eastAsia="zh-CN"/>
        </w:rPr>
        <w:t>②《中小企业声明函》中“标的名称”、“采购文件中明确的所属行业”依据招标文件第二部分投标人须知前附表中“采购标的及其对应的中小企业划分标准所属行业”的指引，逐一填写，不得缺漏。</w:t>
      </w:r>
    </w:p>
    <w:p w14:paraId="12E41085">
      <w:pPr>
        <w:spacing w:line="360" w:lineRule="auto"/>
        <w:jc w:val="center"/>
        <w:rPr>
          <w:rFonts w:ascii="宋体" w:hAnsi="宋体" w:cs="宋体"/>
          <w:b/>
          <w:color w:val="auto"/>
          <w:sz w:val="32"/>
          <w:szCs w:val="32"/>
          <w:highlight w:val="none"/>
        </w:rPr>
      </w:pPr>
    </w:p>
    <w:p w14:paraId="34E135D1">
      <w:pPr>
        <w:spacing w:line="360" w:lineRule="auto"/>
        <w:jc w:val="center"/>
        <w:rPr>
          <w:rFonts w:ascii="宋体" w:hAnsi="宋体" w:cs="宋体"/>
          <w:b/>
          <w:color w:val="auto"/>
          <w:sz w:val="32"/>
          <w:szCs w:val="32"/>
          <w:highlight w:val="none"/>
        </w:rPr>
      </w:pPr>
    </w:p>
    <w:p w14:paraId="7A96258B">
      <w:pPr>
        <w:spacing w:line="360" w:lineRule="auto"/>
        <w:jc w:val="center"/>
        <w:rPr>
          <w:rFonts w:ascii="宋体" w:hAnsi="宋体" w:cs="宋体"/>
          <w:b/>
          <w:color w:val="auto"/>
          <w:sz w:val="32"/>
          <w:szCs w:val="32"/>
          <w:highlight w:val="none"/>
        </w:rPr>
      </w:pPr>
    </w:p>
    <w:p w14:paraId="7691C0B2">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附件8：工程量清单（另附）</w:t>
      </w:r>
    </w:p>
    <w:p w14:paraId="1AED6210">
      <w:pPr>
        <w:spacing w:line="360" w:lineRule="auto"/>
        <w:rPr>
          <w:rFonts w:ascii="宋体" w:hAnsi="宋体" w:cs="宋体"/>
          <w:b/>
          <w:color w:val="auto"/>
          <w:spacing w:val="6"/>
          <w:sz w:val="32"/>
          <w:szCs w:val="32"/>
          <w:highlight w:val="none"/>
        </w:rPr>
      </w:pPr>
    </w:p>
    <w:p w14:paraId="2F7D9988">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附件9：图纸（另附）</w:t>
      </w:r>
    </w:p>
    <w:p w14:paraId="16DD63A0">
      <w:pPr>
        <w:pStyle w:val="25"/>
        <w:rPr>
          <w:rFonts w:cs="宋体"/>
          <w:color w:val="auto"/>
          <w:highlight w:val="none"/>
        </w:rPr>
      </w:pPr>
    </w:p>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0"/>
    <w:family w:val="auto"/>
    <w:pitch w:val="default"/>
    <w:sig w:usb0="00000000" w:usb1="00000000" w:usb2="00000000" w:usb3="00000000" w:csb0="8000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1C2D7">
    <w:pPr>
      <w:pStyle w:val="40"/>
      <w:rPr>
        <w:rFonts w:ascii="仿宋_GB2312" w:eastAsia="仿宋_GB2312"/>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20447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2044700" cy="1828800"/>
                      </a:xfrm>
                      <a:prstGeom prst="rect">
                        <a:avLst/>
                      </a:prstGeom>
                      <a:ln>
                        <a:noFill/>
                      </a:ln>
                    </wps:spPr>
                    <wps:txbx>
                      <w:txbxContent>
                        <w:p w14:paraId="75DE75FA">
                          <w:pPr>
                            <w:pStyle w:val="40"/>
                            <w:jc w:val="center"/>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90</w:t>
                          </w:r>
                          <w:r>
                            <w:fldChar w:fldCharType="end"/>
                          </w:r>
                        </w:p>
                      </w:txbxContent>
                    </wps:txbx>
                    <wps:bodyPr lIns="0" tIns="0" rIns="0" bIns="0">
                      <a:spAutoFit/>
                    </wps:bodyPr>
                  </wps:wsp>
                </a:graphicData>
              </a:graphic>
            </wp:anchor>
          </w:drawing>
        </mc:Choice>
        <mc:Fallback>
          <w:pict>
            <v:rect id="文本框 1" o:spid="_x0000_s1026" o:spt="1" style="position:absolute;left:0pt;margin-top:0pt;height:144pt;width:161pt;mso-position-horizontal:center;mso-position-horizontal-relative:margin;z-index:251659264;mso-width-relative:page;mso-height-relative:page;" filled="f" stroked="f" coordsize="21600,21600" o:gfxdata="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gZCC3UAAAABQEAAA8AAAAAAAAAAQAgAAAAIgAAAGRycy9kb3ducmV2LnhtbFBLAQIUABQAAAAI&#10;AIdO4kC6LvXQuAEAAG8DAAAOAAAAAAAAAAEAIAAAACMBAABkcnMvZTJvRG9jLnhtbFBLBQYAAAAA&#10;BgAGAFkBAABNBQAAAAA=&#10;">
              <v:fill on="f" focussize="0,0"/>
              <v:stroke on="f"/>
              <v:imagedata o:title=""/>
              <o:lock v:ext="edit" aspectratio="f"/>
              <v:textbox inset="0mm,0mm,0mm,0mm" style="mso-fit-shape-to-text:t;">
                <w:txbxContent>
                  <w:p w14:paraId="75DE75FA">
                    <w:pPr>
                      <w:pStyle w:val="40"/>
                      <w:jc w:val="center"/>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90</w:t>
                    </w:r>
                    <w:r>
                      <w:fldChar w:fldCharType="end"/>
                    </w:r>
                  </w:p>
                </w:txbxContent>
              </v:textbox>
            </v:rect>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3A829">
    <w:pPr>
      <w:pStyle w:val="40"/>
      <w:rPr>
        <w:rFonts w:ascii="仿宋_GB2312" w:eastAsia="仿宋_GB2312"/>
        <w:szCs w:val="24"/>
      </w:rPr>
    </w:pPr>
    <w:r>
      <mc:AlternateContent>
        <mc:Choice Requires="wps">
          <w:drawing>
            <wp:anchor distT="0" distB="0" distL="0" distR="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5" name="文本框 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8E45C39">
                          <w:pPr>
                            <w:pStyle w:val="40"/>
                          </w:pPr>
                          <w:r>
                            <w:fldChar w:fldCharType="begin"/>
                          </w:r>
                          <w:r>
                            <w:instrText xml:space="preserve"> PAGE  \* MERGEFORMAT </w:instrText>
                          </w:r>
                          <w:r>
                            <w:fldChar w:fldCharType="separate"/>
                          </w:r>
                          <w:r>
                            <w:t>90</w:t>
                          </w:r>
                          <w:r>
                            <w:fldChar w:fldCharType="end"/>
                          </w:r>
                          <w:r>
                            <w:t xml:space="preserve"> / </w:t>
                          </w:r>
                          <w:r>
                            <w:fldChar w:fldCharType="begin"/>
                          </w:r>
                          <w:r>
                            <w:instrText xml:space="preserve"> NUMPAGES  \* MERGEFORMAT </w:instrText>
                          </w:r>
                          <w:r>
                            <w:fldChar w:fldCharType="separate"/>
                          </w:r>
                          <w:r>
                            <w:t>90</w:t>
                          </w:r>
                          <w:r>
                            <w:fldChar w:fldCharType="end"/>
                          </w:r>
                        </w:p>
                      </w:txbxContent>
                    </wps:txbx>
                    <wps:bodyPr wrap="none" lIns="0" tIns="0" rIns="0" bIns="0">
                      <a:spAutoFit/>
                    </wps:bodyPr>
                  </wps:wsp>
                </a:graphicData>
              </a:graphic>
            </wp:anchor>
          </w:drawing>
        </mc:Choice>
        <mc:Fallback>
          <w:pict>
            <v:rect id="文本框 9" o:spid="_x0000_s1026" o:spt="1"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5dblS0AAAAAUBAAAPAAAAAAAAAAEAIAAAACIAAABkcnMvZG93bnJldi54bWxQSwECFAAUAAAA&#10;CACHTuJAbCllnL0BAAB7AwAADgAAAAAAAAABACAAAAAfAQAAZHJzL2Uyb0RvYy54bWxQSwUGAAAA&#10;AAYABgBZAQAATgUAAAAA&#10;">
              <v:fill on="f" focussize="0,0"/>
              <v:stroke on="f"/>
              <v:imagedata o:title=""/>
              <o:lock v:ext="edit" aspectratio="f"/>
              <v:textbox inset="0mm,0mm,0mm,0mm" style="mso-fit-shape-to-text:t;">
                <w:txbxContent>
                  <w:p w14:paraId="78E45C39">
                    <w:pPr>
                      <w:pStyle w:val="40"/>
                    </w:pPr>
                    <w:r>
                      <w:fldChar w:fldCharType="begin"/>
                    </w:r>
                    <w:r>
                      <w:instrText xml:space="preserve"> PAGE  \* MERGEFORMAT </w:instrText>
                    </w:r>
                    <w:r>
                      <w:fldChar w:fldCharType="separate"/>
                    </w:r>
                    <w:r>
                      <w:t>90</w:t>
                    </w:r>
                    <w:r>
                      <w:fldChar w:fldCharType="end"/>
                    </w:r>
                    <w:r>
                      <w:t xml:space="preserve"> / </w:t>
                    </w:r>
                    <w:r>
                      <w:fldChar w:fldCharType="begin"/>
                    </w:r>
                    <w:r>
                      <w:instrText xml:space="preserve"> NUMPAGES  \* MERGEFORMAT </w:instrText>
                    </w:r>
                    <w:r>
                      <w:fldChar w:fldCharType="separate"/>
                    </w:r>
                    <w:r>
                      <w:t>90</w:t>
                    </w:r>
                    <w:r>
                      <w:fldChar w:fldCharType="end"/>
                    </w:r>
                  </w:p>
                </w:txbxContent>
              </v:textbox>
            </v:rect>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017AD">
    <w:pPr>
      <w:pStyle w:val="40"/>
      <w:rPr>
        <w:rFonts w:ascii="仿宋_GB2312" w:eastAsia="仿宋_GB2312"/>
      </w:rPr>
    </w:pPr>
    <w:r>
      <mc:AlternateContent>
        <mc:Choice Requires="wps">
          <w:drawing>
            <wp:anchor distT="0" distB="0" distL="0" distR="0" simplePos="0" relativeHeight="251668480" behindDoc="0" locked="0" layoutInCell="1" allowOverlap="1">
              <wp:simplePos x="0" y="0"/>
              <wp:positionH relativeFrom="margin">
                <wp:align>center</wp:align>
              </wp:positionH>
              <wp:positionV relativeFrom="paragraph">
                <wp:posOffset>0</wp:posOffset>
              </wp:positionV>
              <wp:extent cx="2184400" cy="1828800"/>
              <wp:effectExtent l="0" t="0" r="0" b="0"/>
              <wp:wrapNone/>
              <wp:docPr id="4106" name="文本框 10"/>
              <wp:cNvGraphicFramePr/>
              <a:graphic xmlns:a="http://schemas.openxmlformats.org/drawingml/2006/main">
                <a:graphicData uri="http://schemas.microsoft.com/office/word/2010/wordprocessingShape">
                  <wps:wsp>
                    <wps:cNvSpPr/>
                    <wps:spPr>
                      <a:xfrm>
                        <a:off x="0" y="0"/>
                        <a:ext cx="2184400" cy="1828800"/>
                      </a:xfrm>
                      <a:prstGeom prst="rect">
                        <a:avLst/>
                      </a:prstGeom>
                      <a:ln>
                        <a:noFill/>
                      </a:ln>
                    </wps:spPr>
                    <wps:txbx>
                      <w:txbxContent>
                        <w:p w14:paraId="7C795D52">
                          <w:pPr>
                            <w:pStyle w:val="40"/>
                            <w:jc w:val="center"/>
                          </w:pPr>
                          <w:r>
                            <w:fldChar w:fldCharType="begin"/>
                          </w:r>
                          <w:r>
                            <w:instrText xml:space="preserve"> PAGE  \* MERGEFORMAT </w:instrText>
                          </w:r>
                          <w:r>
                            <w:fldChar w:fldCharType="separate"/>
                          </w:r>
                          <w:r>
                            <w:t>88</w:t>
                          </w:r>
                          <w:r>
                            <w:fldChar w:fldCharType="end"/>
                          </w:r>
                          <w:r>
                            <w:t xml:space="preserve"> / </w:t>
                          </w:r>
                          <w:r>
                            <w:fldChar w:fldCharType="begin"/>
                          </w:r>
                          <w:r>
                            <w:instrText xml:space="preserve"> NUMPAGES  \* MERGEFORMAT </w:instrText>
                          </w:r>
                          <w:r>
                            <w:fldChar w:fldCharType="separate"/>
                          </w:r>
                          <w:r>
                            <w:t>90</w:t>
                          </w:r>
                          <w:r>
                            <w:fldChar w:fldCharType="end"/>
                          </w:r>
                        </w:p>
                      </w:txbxContent>
                    </wps:txbx>
                    <wps:bodyPr lIns="0" tIns="0" rIns="0" bIns="0">
                      <a:spAutoFit/>
                    </wps:bodyPr>
                  </wps:wsp>
                </a:graphicData>
              </a:graphic>
            </wp:anchor>
          </w:drawing>
        </mc:Choice>
        <mc:Fallback>
          <w:pict>
            <v:rect id="文本框 10" o:spid="_x0000_s1026" o:spt="1" style="position:absolute;left:0pt;margin-top:0pt;height:144pt;width:172pt;mso-position-horizontal:center;mso-position-horizontal-relative:margin;z-index:251668480;mso-width-relative:page;mso-height-relative:page;" filled="f" stroked="f" coordsize="21600,21600" o:gfxdata="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NGDKzXVAAAABQEAAA8AAAAAAAAAAQAgAAAAIgAAAGRycy9kb3ducmV2LnhtbFBLAQIUABQAAAAI&#10;AIdO4kCYLAGotwEAAHADAAAOAAAAAAAAAAEAIAAAACQBAABkcnMvZTJvRG9jLnhtbFBLBQYAAAAA&#10;BgAGAFkBAABNBQAAAAA=&#10;">
              <v:fill on="f" focussize="0,0"/>
              <v:stroke on="f"/>
              <v:imagedata o:title=""/>
              <o:lock v:ext="edit" aspectratio="f"/>
              <v:textbox inset="0mm,0mm,0mm,0mm" style="mso-fit-shape-to-text:t;">
                <w:txbxContent>
                  <w:p w14:paraId="7C795D52">
                    <w:pPr>
                      <w:pStyle w:val="40"/>
                      <w:jc w:val="center"/>
                    </w:pPr>
                    <w:r>
                      <w:fldChar w:fldCharType="begin"/>
                    </w:r>
                    <w:r>
                      <w:instrText xml:space="preserve"> PAGE  \* MERGEFORMAT </w:instrText>
                    </w:r>
                    <w:r>
                      <w:fldChar w:fldCharType="separate"/>
                    </w:r>
                    <w:r>
                      <w:t>88</w:t>
                    </w:r>
                    <w:r>
                      <w:fldChar w:fldCharType="end"/>
                    </w:r>
                    <w:r>
                      <w:t xml:space="preserve"> / </w:t>
                    </w:r>
                    <w:r>
                      <w:fldChar w:fldCharType="begin"/>
                    </w:r>
                    <w:r>
                      <w:instrText xml:space="preserve"> NUMPAGES  \* MERGEFORMAT </w:instrText>
                    </w:r>
                    <w:r>
                      <w:fldChar w:fldCharType="separate"/>
                    </w:r>
                    <w:r>
                      <w:t>90</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88492">
    <w:pPr>
      <w:pStyle w:val="40"/>
      <w:framePr w:wrap="around" w:vAnchor="text" w:hAnchor="margin" w:xAlign="right" w:y="1"/>
      <w:rPr>
        <w:rStyle w:val="72"/>
      </w:rPr>
    </w:pPr>
    <w:r>
      <w:fldChar w:fldCharType="begin"/>
    </w:r>
    <w:r>
      <w:rPr>
        <w:rStyle w:val="72"/>
      </w:rPr>
      <w:instrText xml:space="preserve">PAGE  </w:instrText>
    </w:r>
    <w:r>
      <w:fldChar w:fldCharType="end"/>
    </w:r>
  </w:p>
  <w:p w14:paraId="2A5384B3">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2C74B">
    <w:pPr>
      <w:pStyle w:val="40"/>
      <w:rPr>
        <w:rFonts w:ascii="仿宋_GB2312" w:eastAsia="仿宋_GB2312"/>
      </w:rPr>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961390" cy="1828800"/>
              <wp:effectExtent l="0" t="0" r="0" b="0"/>
              <wp:wrapNone/>
              <wp:docPr id="4098" name="文本框 2"/>
              <wp:cNvGraphicFramePr/>
              <a:graphic xmlns:a="http://schemas.openxmlformats.org/drawingml/2006/main">
                <a:graphicData uri="http://schemas.microsoft.com/office/word/2010/wordprocessingShape">
                  <wps:wsp>
                    <wps:cNvSpPr/>
                    <wps:spPr>
                      <a:xfrm>
                        <a:off x="0" y="0"/>
                        <a:ext cx="961390" cy="1828800"/>
                      </a:xfrm>
                      <a:prstGeom prst="rect">
                        <a:avLst/>
                      </a:prstGeom>
                      <a:ln>
                        <a:noFill/>
                      </a:ln>
                    </wps:spPr>
                    <wps:txbx>
                      <w:txbxContent>
                        <w:p w14:paraId="4B94821E">
                          <w:pPr>
                            <w:pStyle w:val="40"/>
                            <w:jc w:val="center"/>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90</w:t>
                          </w:r>
                          <w:r>
                            <w:fldChar w:fldCharType="end"/>
                          </w:r>
                        </w:p>
                      </w:txbxContent>
                    </wps:txbx>
                    <wps:bodyPr wrap="square" lIns="0" tIns="0" rIns="0" bIns="0">
                      <a:spAutoFit/>
                    </wps:bodyPr>
                  </wps:wsp>
                </a:graphicData>
              </a:graphic>
            </wp:anchor>
          </w:drawing>
        </mc:Choice>
        <mc:Fallback>
          <w:pict>
            <v:rect id="文本框 2" o:spid="_x0000_s1026" o:spt="1" style="position:absolute;left:0pt;margin-top:0pt;height:144pt;width:75.7pt;mso-position-horizontal:center;mso-position-horizontal-relative:margin;z-index:251660288;mso-width-relative:page;mso-height-relative:page;" filled="f" stroked="f" coordsize="21600,21600" o:gfxdata="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v46JtUAAAAFAQAADwAAAAAAAAABACAAAAAiAAAAZHJzL2Rvd25yZXYueG1s&#10;UEsBAhQAFAAAAAgAh07iQAKJuzrCAQAAfAMAAA4AAAAAAAAAAQAgAAAAJAEAAGRycy9lMm9Eb2Mu&#10;eG1sUEsFBgAAAAAGAAYAWQEAAFgFAAAAAA==&#10;">
              <v:fill on="f" focussize="0,0"/>
              <v:stroke on="f"/>
              <v:imagedata o:title=""/>
              <o:lock v:ext="edit" aspectratio="f"/>
              <v:textbox inset="0mm,0mm,0mm,0mm" style="mso-fit-shape-to-text:t;">
                <w:txbxContent>
                  <w:p w14:paraId="4B94821E">
                    <w:pPr>
                      <w:pStyle w:val="40"/>
                      <w:jc w:val="center"/>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90</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3BDAC">
    <w:pPr>
      <w:rPr>
        <w:rFonts w:ascii="仿宋_GB2312" w:eastAsia="仿宋_GB2312"/>
      </w:rPr>
    </w:pPr>
    <w: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2184400" cy="1828800"/>
              <wp:effectExtent l="0" t="0" r="0" b="0"/>
              <wp:wrapNone/>
              <wp:docPr id="4099" name="文本框 3"/>
              <wp:cNvGraphicFramePr/>
              <a:graphic xmlns:a="http://schemas.openxmlformats.org/drawingml/2006/main">
                <a:graphicData uri="http://schemas.microsoft.com/office/word/2010/wordprocessingShape">
                  <wps:wsp>
                    <wps:cNvSpPr/>
                    <wps:spPr>
                      <a:xfrm>
                        <a:off x="0" y="0"/>
                        <a:ext cx="2184400" cy="1828800"/>
                      </a:xfrm>
                      <a:prstGeom prst="rect">
                        <a:avLst/>
                      </a:prstGeom>
                      <a:ln>
                        <a:noFill/>
                      </a:ln>
                    </wps:spPr>
                    <wps:txbx>
                      <w:txbxContent>
                        <w:p w14:paraId="6400B24E">
                          <w:pPr>
                            <w:pStyle w:val="40"/>
                            <w:jc w:val="center"/>
                          </w:pPr>
                          <w:r>
                            <w:fldChar w:fldCharType="begin"/>
                          </w:r>
                          <w:r>
                            <w:instrText xml:space="preserve"> PAGE  \* MERGEFORMAT </w:instrText>
                          </w:r>
                          <w:r>
                            <w:fldChar w:fldCharType="separate"/>
                          </w:r>
                          <w:r>
                            <w:t>65</w:t>
                          </w:r>
                          <w:r>
                            <w:fldChar w:fldCharType="end"/>
                          </w:r>
                          <w:r>
                            <w:t xml:space="preserve"> / </w:t>
                          </w:r>
                          <w:r>
                            <w:fldChar w:fldCharType="begin"/>
                          </w:r>
                          <w:r>
                            <w:instrText xml:space="preserve"> NUMPAGES  \* MERGEFORMAT </w:instrText>
                          </w:r>
                          <w:r>
                            <w:fldChar w:fldCharType="separate"/>
                          </w:r>
                          <w:r>
                            <w:t>90</w:t>
                          </w:r>
                          <w:r>
                            <w:fldChar w:fldCharType="end"/>
                          </w:r>
                        </w:p>
                      </w:txbxContent>
                    </wps:txbx>
                    <wps:bodyPr lIns="0" tIns="0" rIns="0" bIns="0">
                      <a:spAutoFit/>
                    </wps:bodyPr>
                  </wps:wsp>
                </a:graphicData>
              </a:graphic>
            </wp:anchor>
          </w:drawing>
        </mc:Choice>
        <mc:Fallback>
          <w:pict>
            <v:rect id="文本框 3" o:spid="_x0000_s1026" o:spt="1" style="position:absolute;left:0pt;margin-top:0pt;height:144pt;width:172pt;mso-position-horizontal:center;mso-position-horizontal-relative:margin;z-index:251661312;mso-width-relative:page;mso-height-relative:page;" filled="f" stroked="f" coordsize="21600,21600" o:gfxdata="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0YMrNdUAAAAFAQAADwAAAAAAAAABACAAAAAiAAAAZHJzL2Rvd25yZXYueG1sUEsBAhQAFAAA&#10;AAgAh07iQGP7Nee5AQAAbwMAAA4AAAAAAAAAAQAgAAAAJAEAAGRycy9lMm9Eb2MueG1sUEsFBgAA&#10;AAAGAAYAWQEAAE8FAAAAAA==&#10;">
              <v:fill on="f" focussize="0,0"/>
              <v:stroke on="f"/>
              <v:imagedata o:title=""/>
              <o:lock v:ext="edit" aspectratio="f"/>
              <v:textbox inset="0mm,0mm,0mm,0mm" style="mso-fit-shape-to-text:t;">
                <w:txbxContent>
                  <w:p w14:paraId="6400B24E">
                    <w:pPr>
                      <w:pStyle w:val="40"/>
                      <w:jc w:val="center"/>
                    </w:pPr>
                    <w:r>
                      <w:fldChar w:fldCharType="begin"/>
                    </w:r>
                    <w:r>
                      <w:instrText xml:space="preserve"> PAGE  \* MERGEFORMAT </w:instrText>
                    </w:r>
                    <w:r>
                      <w:fldChar w:fldCharType="separate"/>
                    </w:r>
                    <w:r>
                      <w:t>65</w:t>
                    </w:r>
                    <w:r>
                      <w:fldChar w:fldCharType="end"/>
                    </w:r>
                    <w:r>
                      <w:t xml:space="preserve"> / </w:t>
                    </w:r>
                    <w:r>
                      <w:fldChar w:fldCharType="begin"/>
                    </w:r>
                    <w:r>
                      <w:instrText xml:space="preserve"> NUMPAGES  \* MERGEFORMAT </w:instrText>
                    </w:r>
                    <w:r>
                      <w:fldChar w:fldCharType="separate"/>
                    </w:r>
                    <w:r>
                      <w:t>90</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2B7A5">
    <w:pPr>
      <w:rPr>
        <w:rFonts w:ascii="仿宋_GB2312" w:eastAsia="仿宋_GB2312"/>
      </w:rPr>
    </w:pPr>
    <w:r>
      <mc:AlternateContent>
        <mc:Choice Requires="wps">
          <w:drawing>
            <wp:anchor distT="0" distB="0" distL="0" distR="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1CCCC0F">
                          <w:pPr>
                            <w:pStyle w:val="40"/>
                          </w:pPr>
                          <w:r>
                            <w:fldChar w:fldCharType="begin"/>
                          </w:r>
                          <w:r>
                            <w:instrText xml:space="preserve"> PAGE  \* MERGEFORMAT </w:instrText>
                          </w:r>
                          <w:r>
                            <w:fldChar w:fldCharType="separate"/>
                          </w:r>
                          <w:r>
                            <w:t>64</w:t>
                          </w:r>
                          <w:r>
                            <w:fldChar w:fldCharType="end"/>
                          </w:r>
                          <w:r>
                            <w:t xml:space="preserve"> / </w:t>
                          </w:r>
                          <w:r>
                            <w:fldChar w:fldCharType="begin"/>
                          </w:r>
                          <w:r>
                            <w:instrText xml:space="preserve"> NUMPAGES  \* MERGEFORMAT </w:instrText>
                          </w:r>
                          <w:r>
                            <w:fldChar w:fldCharType="separate"/>
                          </w:r>
                          <w:r>
                            <w:t>90</w:t>
                          </w:r>
                          <w:r>
                            <w:fldChar w:fldCharType="end"/>
                          </w:r>
                        </w:p>
                      </w:txbxContent>
                    </wps:txbx>
                    <wps:bodyPr wrap="none" lIns="0" tIns="0" rIns="0" bIns="0">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uXW5UtAAAAAFAQAADwAAAAAAAAABACAAAAAiAAAAZHJzL2Rvd25yZXYueG1sUEsBAhQAFAAAAAgA&#10;h07iQGRKQbW7AQAAewMAAA4AAAAAAAAAAQAgAAAAHwEAAGRycy9lMm9Eb2MueG1sUEsFBgAAAAAG&#10;AAYAWQEAAEwFAAAAAA==&#10;">
              <v:fill on="f" focussize="0,0"/>
              <v:stroke on="f"/>
              <v:imagedata o:title=""/>
              <o:lock v:ext="edit" aspectratio="f"/>
              <v:textbox inset="0mm,0mm,0mm,0mm" style="mso-fit-shape-to-text:t;">
                <w:txbxContent>
                  <w:p w14:paraId="61CCCC0F">
                    <w:pPr>
                      <w:pStyle w:val="40"/>
                    </w:pPr>
                    <w:r>
                      <w:fldChar w:fldCharType="begin"/>
                    </w:r>
                    <w:r>
                      <w:instrText xml:space="preserve"> PAGE  \* MERGEFORMAT </w:instrText>
                    </w:r>
                    <w:r>
                      <w:fldChar w:fldCharType="separate"/>
                    </w:r>
                    <w:r>
                      <w:t>64</w:t>
                    </w:r>
                    <w:r>
                      <w:fldChar w:fldCharType="end"/>
                    </w:r>
                    <w:r>
                      <w:t xml:space="preserve"> / </w:t>
                    </w:r>
                    <w:r>
                      <w:fldChar w:fldCharType="begin"/>
                    </w:r>
                    <w:r>
                      <w:instrText xml:space="preserve"> NUMPAGES  \* MERGEFORMAT </w:instrText>
                    </w:r>
                    <w:r>
                      <w:fldChar w:fldCharType="separate"/>
                    </w:r>
                    <w:r>
                      <w:t>90</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1D7CB">
    <w:pPr>
      <w:rPr>
        <w:rFonts w:ascii="仿宋_GB2312" w:eastAsia="仿宋_GB2312"/>
      </w:rPr>
    </w:pPr>
    <w:r>
      <mc:AlternateContent>
        <mc:Choice Requires="wps">
          <w:drawing>
            <wp:anchor distT="0" distB="0" distL="0" distR="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1"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E702D89">
                          <w:pPr>
                            <w:pStyle w:val="40"/>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90</w:t>
                          </w:r>
                          <w:r>
                            <w:fldChar w:fldCharType="end"/>
                          </w:r>
                        </w:p>
                      </w:txbxContent>
                    </wps:txbx>
                    <wps:bodyPr wrap="none" lIns="0" tIns="0" rIns="0" bIns="0">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l1uVLQAAAABQEAAA8AAAAAAAAAAQAgAAAAIgAAAGRycy9kb3ducmV2LnhtbFBLAQIUABQAAAAI&#10;AIdO4kA4bsbOvAEAAHsDAAAOAAAAAAAAAAEAIAAAAB8BAABkcnMvZTJvRG9jLnhtbFBLBQYAAAAA&#10;BgAGAFkBAABNBQAAAAA=&#10;">
              <v:fill on="f" focussize="0,0"/>
              <v:stroke on="f"/>
              <v:imagedata o:title=""/>
              <o:lock v:ext="edit" aspectratio="f"/>
              <v:textbox inset="0mm,0mm,0mm,0mm" style="mso-fit-shape-to-text:t;">
                <w:txbxContent>
                  <w:p w14:paraId="2E702D89">
                    <w:pPr>
                      <w:pStyle w:val="40"/>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90</w:t>
                    </w:r>
                    <w:r>
                      <w:fldChar w:fldCharType="end"/>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819C0">
    <w:pPr>
      <w:rPr>
        <w:rFonts w:ascii="仿宋_GB2312" w:eastAsia="仿宋_GB2312"/>
      </w:rPr>
    </w:pPr>
    <w:r>
      <mc:AlternateContent>
        <mc:Choice Requires="wps">
          <w:drawing>
            <wp:anchor distT="0" distB="0" distL="0" distR="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2"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993AF53">
                          <w:pPr>
                            <w:pStyle w:val="40"/>
                          </w:pPr>
                          <w:r>
                            <w:fldChar w:fldCharType="begin"/>
                          </w:r>
                          <w:r>
                            <w:instrText xml:space="preserve"> PAGE  \* MERGEFORMAT </w:instrText>
                          </w:r>
                          <w:r>
                            <w:fldChar w:fldCharType="separate"/>
                          </w:r>
                          <w:r>
                            <w:t>76</w:t>
                          </w:r>
                          <w:r>
                            <w:fldChar w:fldCharType="end"/>
                          </w:r>
                          <w:r>
                            <w:t xml:space="preserve"> / </w:t>
                          </w:r>
                          <w:r>
                            <w:fldChar w:fldCharType="begin"/>
                          </w:r>
                          <w:r>
                            <w:instrText xml:space="preserve"> NUMPAGES  \* MERGEFORMAT </w:instrText>
                          </w:r>
                          <w:r>
                            <w:fldChar w:fldCharType="separate"/>
                          </w:r>
                          <w:r>
                            <w:t>90</w:t>
                          </w:r>
                          <w:r>
                            <w:fldChar w:fldCharType="end"/>
                          </w:r>
                        </w:p>
                      </w:txbxContent>
                    </wps:txbx>
                    <wps:bodyPr wrap="none" lIns="0" tIns="0" rIns="0" bIns="0">
                      <a:spAutoFit/>
                    </wps:bodyPr>
                  </wps:wsp>
                </a:graphicData>
              </a:graphic>
            </wp:anchor>
          </w:drawing>
        </mc:Choice>
        <mc:Fallback>
          <w:pict>
            <v:rect id="文本框 6" o:spid="_x0000_s1026" o:spt="1"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l1uVLQAAAABQEAAA8AAAAAAAAAAQAgAAAAIgAAAGRycy9kb3ducmV2LnhtbFBLAQIUABQAAAAI&#10;AIdO4kDcAk9CvAEAAHsDAAAOAAAAAAAAAAEAIAAAAB8BAABkcnMvZTJvRG9jLnhtbFBLBQYAAAAA&#10;BgAGAFkBAABNBQAAAAA=&#10;">
              <v:fill on="f" focussize="0,0"/>
              <v:stroke on="f"/>
              <v:imagedata o:title=""/>
              <o:lock v:ext="edit" aspectratio="f"/>
              <v:textbox inset="0mm,0mm,0mm,0mm" style="mso-fit-shape-to-text:t;">
                <w:txbxContent>
                  <w:p w14:paraId="2993AF53">
                    <w:pPr>
                      <w:pStyle w:val="40"/>
                    </w:pPr>
                    <w:r>
                      <w:fldChar w:fldCharType="begin"/>
                    </w:r>
                    <w:r>
                      <w:instrText xml:space="preserve"> PAGE  \* MERGEFORMAT </w:instrText>
                    </w:r>
                    <w:r>
                      <w:fldChar w:fldCharType="separate"/>
                    </w:r>
                    <w:r>
                      <w:t>76</w:t>
                    </w:r>
                    <w:r>
                      <w:fldChar w:fldCharType="end"/>
                    </w:r>
                    <w:r>
                      <w:t xml:space="preserve"> / </w:t>
                    </w:r>
                    <w:r>
                      <w:fldChar w:fldCharType="begin"/>
                    </w:r>
                    <w:r>
                      <w:instrText xml:space="preserve"> NUMPAGES  \* MERGEFORMAT </w:instrText>
                    </w:r>
                    <w:r>
                      <w:fldChar w:fldCharType="separate"/>
                    </w:r>
                    <w:r>
                      <w:t>90</w:t>
                    </w:r>
                    <w:r>
                      <w:fldChar w:fldCharType="end"/>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9A1B1">
    <w:pPr>
      <w:rPr>
        <w:rFonts w:ascii="仿宋_GB2312" w:eastAsia="仿宋_GB2312"/>
      </w:rPr>
    </w:pPr>
    <w:r>
      <mc:AlternateContent>
        <mc:Choice Requires="wps">
          <w:drawing>
            <wp:anchor distT="0" distB="0" distL="0" distR="0" simplePos="0" relativeHeight="251665408" behindDoc="0" locked="0" layoutInCell="1" allowOverlap="1">
              <wp:simplePos x="0" y="0"/>
              <wp:positionH relativeFrom="margin">
                <wp:align>center</wp:align>
              </wp:positionH>
              <wp:positionV relativeFrom="paragraph">
                <wp:posOffset>0</wp:posOffset>
              </wp:positionV>
              <wp:extent cx="422910" cy="120650"/>
              <wp:effectExtent l="0" t="0" r="0" b="0"/>
              <wp:wrapNone/>
              <wp:docPr id="4103" name="文本框 7"/>
              <wp:cNvGraphicFramePr/>
              <a:graphic xmlns:a="http://schemas.openxmlformats.org/drawingml/2006/main">
                <a:graphicData uri="http://schemas.microsoft.com/office/word/2010/wordprocessingShape">
                  <wps:wsp>
                    <wps:cNvSpPr/>
                    <wps:spPr>
                      <a:xfrm>
                        <a:off x="0" y="0"/>
                        <a:ext cx="422910" cy="120650"/>
                      </a:xfrm>
                      <a:prstGeom prst="rect">
                        <a:avLst/>
                      </a:prstGeom>
                      <a:ln>
                        <a:noFill/>
                      </a:ln>
                    </wps:spPr>
                    <wps:txbx>
                      <w:txbxContent>
                        <w:p w14:paraId="1B254E7C">
                          <w:pPr>
                            <w:pStyle w:val="40"/>
                          </w:pPr>
                          <w:r>
                            <w:fldChar w:fldCharType="begin"/>
                          </w:r>
                          <w:r>
                            <w:instrText xml:space="preserve"> PAGE  \* MERGEFORMAT </w:instrText>
                          </w:r>
                          <w:r>
                            <w:fldChar w:fldCharType="separate"/>
                          </w:r>
                          <w:r>
                            <w:t>79</w:t>
                          </w:r>
                          <w:r>
                            <w:fldChar w:fldCharType="end"/>
                          </w:r>
                          <w:r>
                            <w:t xml:space="preserve"> / </w:t>
                          </w:r>
                          <w:r>
                            <w:fldChar w:fldCharType="begin"/>
                          </w:r>
                          <w:r>
                            <w:instrText xml:space="preserve"> NUMPAGES  \* MERGEFORMAT </w:instrText>
                          </w:r>
                          <w:r>
                            <w:fldChar w:fldCharType="separate"/>
                          </w:r>
                          <w:r>
                            <w:t>90</w:t>
                          </w:r>
                          <w:r>
                            <w:fldChar w:fldCharType="end"/>
                          </w:r>
                        </w:p>
                      </w:txbxContent>
                    </wps:txbx>
                    <wps:bodyPr wrap="square" lIns="0" tIns="0" rIns="0" bIns="0">
                      <a:noAutofit/>
                    </wps:bodyPr>
                  </wps:wsp>
                </a:graphicData>
              </a:graphic>
            </wp:anchor>
          </w:drawing>
        </mc:Choice>
        <mc:Fallback>
          <w:pict>
            <v:rect id="文本框 7" o:spid="_x0000_s1026" o:spt="1" style="position:absolute;left:0pt;margin-top:0pt;height:9.5pt;width:33.3pt;mso-position-horizontal:center;mso-position-horizontal-relative:margin;z-index:251665408;mso-width-relative:page;mso-height-relative:page;" filled="f" stroked="f" coordsize="21600,21600" o:gfxdata="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ALK3UAAAAAwEAAA8AAAAAAAAAAQAgAAAAIgAAAGRycy9kb3ducmV2LnhtbFBL&#10;AQIUABQAAAAIAIdO4kCR1IFcwQEAAHsDAAAOAAAAAAAAAAEAIAAAACMBAABkcnMvZTJvRG9jLnht&#10;bFBLBQYAAAAABgAGAFkBAABWBQAAAAA=&#10;">
              <v:fill on="f" focussize="0,0"/>
              <v:stroke on="f"/>
              <v:imagedata o:title=""/>
              <o:lock v:ext="edit" aspectratio="f"/>
              <v:textbox inset="0mm,0mm,0mm,0mm">
                <w:txbxContent>
                  <w:p w14:paraId="1B254E7C">
                    <w:pPr>
                      <w:pStyle w:val="40"/>
                    </w:pPr>
                    <w:r>
                      <w:fldChar w:fldCharType="begin"/>
                    </w:r>
                    <w:r>
                      <w:instrText xml:space="preserve"> PAGE  \* MERGEFORMAT </w:instrText>
                    </w:r>
                    <w:r>
                      <w:fldChar w:fldCharType="separate"/>
                    </w:r>
                    <w:r>
                      <w:t>79</w:t>
                    </w:r>
                    <w:r>
                      <w:fldChar w:fldCharType="end"/>
                    </w:r>
                    <w:r>
                      <w:t xml:space="preserve"> / </w:t>
                    </w:r>
                    <w:r>
                      <w:fldChar w:fldCharType="begin"/>
                    </w:r>
                    <w:r>
                      <w:instrText xml:space="preserve"> NUMPAGES  \* MERGEFORMAT </w:instrText>
                    </w:r>
                    <w:r>
                      <w:fldChar w:fldCharType="separate"/>
                    </w:r>
                    <w:r>
                      <w:t>90</w:t>
                    </w:r>
                    <w:r>
                      <w:fldChar w:fldCharType="end"/>
                    </w:r>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BBF16">
    <w:pPr>
      <w:rPr>
        <w:rFonts w:ascii="仿宋_GB2312" w:eastAsia="仿宋_GB2312"/>
      </w:rPr>
    </w:pPr>
    <w:r>
      <mc:AlternateContent>
        <mc:Choice Requires="wps">
          <w:drawing>
            <wp:anchor distT="0" distB="0" distL="0" distR="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4"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0624FCB">
                          <w:pPr>
                            <w:pStyle w:val="40"/>
                          </w:pPr>
                          <w:r>
                            <w:fldChar w:fldCharType="begin"/>
                          </w:r>
                          <w:r>
                            <w:instrText xml:space="preserve"> PAGE  \* MERGEFORMAT </w:instrText>
                          </w:r>
                          <w:r>
                            <w:fldChar w:fldCharType="separate"/>
                          </w:r>
                          <w:r>
                            <w:t>78</w:t>
                          </w:r>
                          <w:r>
                            <w:fldChar w:fldCharType="end"/>
                          </w:r>
                          <w:r>
                            <w:t xml:space="preserve"> / </w:t>
                          </w:r>
                          <w:r>
                            <w:fldChar w:fldCharType="begin"/>
                          </w:r>
                          <w:r>
                            <w:instrText xml:space="preserve"> NUMPAGES  \* MERGEFORMAT </w:instrText>
                          </w:r>
                          <w:r>
                            <w:fldChar w:fldCharType="separate"/>
                          </w:r>
                          <w:r>
                            <w:t>90</w:t>
                          </w:r>
                          <w:r>
                            <w:fldChar w:fldCharType="end"/>
                          </w:r>
                        </w:p>
                      </w:txbxContent>
                    </wps:txbx>
                    <wps:bodyPr wrap="none" lIns="0" tIns="0" rIns="0" bIns="0">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l1uVLQAAAABQEAAA8AAAAAAAAAAQAgAAAAIgAAAGRycy9kb3ducmV2LnhtbFBLAQIUABQAAAAI&#10;AIdO4kAwDeLnvAEAAHsDAAAOAAAAAAAAAAEAIAAAAB8BAABkcnMvZTJvRG9jLnhtbFBLBQYAAAAA&#10;BgAGAFkBAABNBQAAAAA=&#10;">
              <v:fill on="f" focussize="0,0"/>
              <v:stroke on="f"/>
              <v:imagedata o:title=""/>
              <o:lock v:ext="edit" aspectratio="f"/>
              <v:textbox inset="0mm,0mm,0mm,0mm" style="mso-fit-shape-to-text:t;">
                <w:txbxContent>
                  <w:p w14:paraId="50624FCB">
                    <w:pPr>
                      <w:pStyle w:val="40"/>
                    </w:pPr>
                    <w:r>
                      <w:fldChar w:fldCharType="begin"/>
                    </w:r>
                    <w:r>
                      <w:instrText xml:space="preserve"> PAGE  \* MERGEFORMAT </w:instrText>
                    </w:r>
                    <w:r>
                      <w:fldChar w:fldCharType="separate"/>
                    </w:r>
                    <w:r>
                      <w:t>78</w:t>
                    </w:r>
                    <w:r>
                      <w:fldChar w:fldCharType="end"/>
                    </w:r>
                    <w:r>
                      <w:t xml:space="preserve"> / </w:t>
                    </w:r>
                    <w:r>
                      <w:fldChar w:fldCharType="begin"/>
                    </w:r>
                    <w:r>
                      <w:instrText xml:space="preserve"> NUMPAGES  \* MERGEFORMAT </w:instrText>
                    </w:r>
                    <w:r>
                      <w:fldChar w:fldCharType="separate"/>
                    </w:r>
                    <w:r>
                      <w:t>90</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46AAB">
    <w:pPr>
      <w:pStyle w:val="41"/>
      <w:pBdr>
        <w:bottom w:val="single" w:color="auto" w:sz="6" w:space="0"/>
      </w:pBdr>
      <w:tabs>
        <w:tab w:val="clear" w:pos="4153"/>
        <w:tab w:val="clear" w:pos="8306"/>
      </w:tabs>
      <w:jc w:val="right"/>
    </w:pP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C9209">
    <w:pPr>
      <w:pStyle w:val="41"/>
      <w:pBdr>
        <w:bottom w:val="single" w:color="auto" w:sz="6" w:space="0"/>
      </w:pBdr>
      <w:tabs>
        <w:tab w:val="clear" w:pos="4153"/>
        <w:tab w:val="clear" w:pos="8306"/>
      </w:tabs>
      <w:jc w:val="right"/>
    </w:pP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19850">
    <w:pPr>
      <w:pStyle w:val="41"/>
      <w:pBdr>
        <w:bottom w:val="single" w:color="auto" w:sz="6" w:space="0"/>
      </w:pBdr>
      <w:tabs>
        <w:tab w:val="clear" w:pos="4153"/>
        <w:tab w:val="clear" w:pos="8306"/>
      </w:tabs>
      <w:jc w:val="right"/>
    </w:pPr>
    <w:r>
      <w:rPr>
        <w:rFonts w:hint="eastAsia"/>
        <w:lang w:val="zh-CN"/>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B134F">
    <w:pPr>
      <w:pStyle w:val="41"/>
      <w:pBdr>
        <w:bottom w:val="single" w:color="auto" w:sz="6" w:space="0"/>
      </w:pBdr>
      <w:tabs>
        <w:tab w:val="clear" w:pos="4153"/>
        <w:tab w:val="clear" w:pos="8306"/>
      </w:tabs>
      <w:jc w:val="right"/>
      <w:rPr>
        <w:rFonts w:ascii="仿宋_GB2312" w:eastAsia="仿宋_GB2312"/>
        <w:b/>
        <w:i/>
        <w:u w:val="single"/>
      </w:rPr>
    </w:pPr>
    <w:r>
      <w:rPr>
        <w:rFonts w:hint="eastAsia"/>
        <w:lang w:val="en-US" w:eastAsia="zh-CN"/>
      </w:rPr>
      <w:t>杭州市教育局-</w:t>
    </w:r>
    <w:r>
      <w:rPr>
        <w:rFonts w:hint="eastAsia"/>
        <w:lang w:val="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61928">
    <w:pPr>
      <w:pStyle w:val="41"/>
      <w:pBdr>
        <w:bottom w:val="single" w:color="auto" w:sz="6" w:space="0"/>
      </w:pBdr>
      <w:tabs>
        <w:tab w:val="clear" w:pos="4153"/>
        <w:tab w:val="clear" w:pos="8306"/>
      </w:tabs>
      <w:jc w:val="right"/>
      <w:rPr>
        <w:rFonts w:ascii="仿宋_GB2312"/>
        <w:b/>
        <w:i/>
        <w:iCs/>
        <w:u w:val="single"/>
      </w:rPr>
    </w:pP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E11BA9"/>
    <w:multiLevelType w:val="singleLevel"/>
    <w:tmpl w:val="9CE11BA9"/>
    <w:lvl w:ilvl="0" w:tentative="0">
      <w:start w:val="1"/>
      <w:numFmt w:val="decimal"/>
      <w:suff w:val="nothing"/>
      <w:lvlText w:val="%1、"/>
      <w:lvlJc w:val="left"/>
    </w:lvl>
  </w:abstractNum>
  <w:abstractNum w:abstractNumId="1">
    <w:nsid w:val="A4EA72A6"/>
    <w:multiLevelType w:val="singleLevel"/>
    <w:tmpl w:val="A4EA72A6"/>
    <w:lvl w:ilvl="0" w:tentative="0">
      <w:start w:val="1"/>
      <w:numFmt w:val="decimalEnclosedCircleChinese"/>
      <w:suff w:val="nothing"/>
      <w:lvlText w:val="%1　"/>
      <w:lvlJc w:val="left"/>
      <w:pPr>
        <w:ind w:left="0" w:firstLine="400"/>
      </w:pPr>
      <w:rPr>
        <w:rFonts w:hint="eastAsia"/>
      </w:rPr>
    </w:lvl>
  </w:abstractNum>
  <w:abstractNum w:abstractNumId="2">
    <w:nsid w:val="D9A795E6"/>
    <w:multiLevelType w:val="singleLevel"/>
    <w:tmpl w:val="D9A795E6"/>
    <w:lvl w:ilvl="0" w:tentative="0">
      <w:start w:val="1"/>
      <w:numFmt w:val="chineseCounting"/>
      <w:suff w:val="nothing"/>
      <w:lvlText w:val="%1、"/>
      <w:lvlJc w:val="left"/>
      <w:pPr>
        <w:ind w:left="0" w:firstLine="420"/>
      </w:pPr>
      <w:rPr>
        <w:rFonts w:hint="eastAsia"/>
      </w:rPr>
    </w:lvl>
  </w:abstractNum>
  <w:abstractNum w:abstractNumId="3">
    <w:nsid w:val="00000001"/>
    <w:multiLevelType w:val="singleLevel"/>
    <w:tmpl w:val="00000001"/>
    <w:lvl w:ilvl="0" w:tentative="0">
      <w:start w:val="1"/>
      <w:numFmt w:val="decimalEnclosedCircleChinese"/>
      <w:suff w:val="nothing"/>
      <w:lvlText w:val="%1　"/>
      <w:lvlJc w:val="left"/>
      <w:pPr>
        <w:ind w:left="0" w:firstLine="400"/>
      </w:pPr>
      <w:rPr>
        <w:rFonts w:hint="eastAsia" w:ascii="宋体" w:hAnsi="宋体" w:eastAsia="宋体" w:cs="宋体"/>
      </w:rPr>
    </w:lvl>
  </w:abstractNum>
  <w:abstractNum w:abstractNumId="4">
    <w:nsid w:val="00000002"/>
    <w:multiLevelType w:val="singleLevel"/>
    <w:tmpl w:val="00000002"/>
    <w:lvl w:ilvl="0" w:tentative="0">
      <w:start w:val="1"/>
      <w:numFmt w:val="decimalEnclosedCircleChinese"/>
      <w:suff w:val="nothing"/>
      <w:lvlText w:val="%1　"/>
      <w:lvlJc w:val="left"/>
      <w:pPr>
        <w:ind w:left="26" w:firstLine="400"/>
      </w:pPr>
      <w:rPr>
        <w:rFonts w:hint="eastAsia" w:ascii="宋体" w:hAnsi="宋体" w:eastAsia="宋体" w:cs="宋体"/>
        <w:lang w:val="en-US"/>
      </w:rPr>
    </w:lvl>
  </w:abstractNum>
  <w:abstractNum w:abstractNumId="5">
    <w:nsid w:val="00000003"/>
    <w:multiLevelType w:val="multilevel"/>
    <w:tmpl w:val="00000003"/>
    <w:lvl w:ilvl="0" w:tentative="0">
      <w:start w:val="1"/>
      <w:numFmt w:val="decimal"/>
      <w:suff w:val="nothing"/>
      <w:lvlText w:val="（%1）"/>
      <w:lvlJc w:val="left"/>
      <w:rPr>
        <w:rFonts w:hint="default"/>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04"/>
    <w:multiLevelType w:val="multilevel"/>
    <w:tmpl w:val="00000004"/>
    <w:lvl w:ilvl="0" w:tentative="0">
      <w:start w:val="1"/>
      <w:numFmt w:val="decimal"/>
      <w:suff w:val="nothing"/>
      <w:lvlText w:val="（%1）"/>
      <w:lvlJc w:val="left"/>
      <w:pPr>
        <w:ind w:left="840" w:hanging="420"/>
      </w:pPr>
      <w:rPr>
        <w:rFonts w:hint="default"/>
        <w:b w:val="0"/>
        <w:bCs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00000005"/>
    <w:multiLevelType w:val="singleLevel"/>
    <w:tmpl w:val="00000005"/>
    <w:lvl w:ilvl="0" w:tentative="0">
      <w:start w:val="10"/>
      <w:numFmt w:val="decimal"/>
      <w:suff w:val="nothing"/>
      <w:lvlText w:val="（%1）"/>
      <w:lvlJc w:val="left"/>
    </w:lvl>
  </w:abstractNum>
  <w:abstractNum w:abstractNumId="8">
    <w:nsid w:val="00000006"/>
    <w:multiLevelType w:val="singleLevel"/>
    <w:tmpl w:val="00000006"/>
    <w:lvl w:ilvl="0" w:tentative="0">
      <w:start w:val="1"/>
      <w:numFmt w:val="decimal"/>
      <w:suff w:val="nothing"/>
      <w:lvlText w:val="（%1）"/>
      <w:lvlJc w:val="left"/>
      <w:pPr>
        <w:tabs>
          <w:tab w:val="left" w:pos="0"/>
        </w:tabs>
      </w:pPr>
      <w:rPr>
        <w:rFonts w:hint="default"/>
      </w:rPr>
    </w:lvl>
  </w:abstractNum>
  <w:abstractNum w:abstractNumId="9">
    <w:nsid w:val="00000007"/>
    <w:multiLevelType w:val="singleLevel"/>
    <w:tmpl w:val="00000007"/>
    <w:lvl w:ilvl="0" w:tentative="0">
      <w:start w:val="1"/>
      <w:numFmt w:val="decimalEnclosedCircleChinese"/>
      <w:suff w:val="nothing"/>
      <w:lvlText w:val="%1　"/>
      <w:lvlJc w:val="left"/>
      <w:pPr>
        <w:ind w:left="0" w:firstLine="400"/>
      </w:pPr>
      <w:rPr>
        <w:rFonts w:hint="eastAsia" w:ascii="宋体" w:hAnsi="宋体" w:eastAsia="宋体" w:cs="宋体"/>
      </w:rPr>
    </w:lvl>
  </w:abstractNum>
  <w:abstractNum w:abstractNumId="10">
    <w:nsid w:val="00000008"/>
    <w:multiLevelType w:val="singleLevel"/>
    <w:tmpl w:val="00000008"/>
    <w:lvl w:ilvl="0" w:tentative="0">
      <w:start w:val="1"/>
      <w:numFmt w:val="decimal"/>
      <w:lvlText w:val="(%1)"/>
      <w:lvlJc w:val="left"/>
      <w:pPr>
        <w:ind w:left="425" w:hanging="425"/>
      </w:pPr>
      <w:rPr>
        <w:rFonts w:hint="default"/>
      </w:rPr>
    </w:lvl>
  </w:abstractNum>
  <w:abstractNum w:abstractNumId="11">
    <w:nsid w:val="0053208E"/>
    <w:multiLevelType w:val="singleLevel"/>
    <w:tmpl w:val="0053208E"/>
    <w:lvl w:ilvl="0" w:tentative="0">
      <w:start w:val="1"/>
      <w:numFmt w:val="decimal"/>
      <w:suff w:val="nothing"/>
      <w:lvlText w:val="（%1）"/>
      <w:lvlJc w:val="left"/>
      <w:pPr>
        <w:tabs>
          <w:tab w:val="left" w:pos="0"/>
        </w:tabs>
      </w:pPr>
      <w:rPr>
        <w:rFonts w:hint="default"/>
      </w:rPr>
    </w:lvl>
  </w:abstractNum>
  <w:abstractNum w:abstractNumId="12">
    <w:nsid w:val="0BB7923E"/>
    <w:multiLevelType w:val="singleLevel"/>
    <w:tmpl w:val="0BB7923E"/>
    <w:lvl w:ilvl="0" w:tentative="0">
      <w:start w:val="1"/>
      <w:numFmt w:val="chineseCounting"/>
      <w:suff w:val="nothing"/>
      <w:lvlText w:val="%1、"/>
      <w:lvlJc w:val="left"/>
      <w:pPr>
        <w:ind w:left="0" w:firstLine="420"/>
      </w:pPr>
      <w:rPr>
        <w:rFonts w:hint="eastAsia"/>
      </w:rPr>
    </w:lvl>
  </w:abstractNum>
  <w:abstractNum w:abstractNumId="13">
    <w:nsid w:val="139CE472"/>
    <w:multiLevelType w:val="singleLevel"/>
    <w:tmpl w:val="139CE472"/>
    <w:lvl w:ilvl="0" w:tentative="0">
      <w:start w:val="1"/>
      <w:numFmt w:val="chineseCounting"/>
      <w:suff w:val="nothing"/>
      <w:lvlText w:val="%1、"/>
      <w:lvlJc w:val="left"/>
      <w:pPr>
        <w:ind w:left="0" w:firstLine="420"/>
      </w:pPr>
      <w:rPr>
        <w:rFonts w:hint="eastAsia"/>
      </w:rPr>
    </w:lvl>
  </w:abstractNum>
  <w:abstractNum w:abstractNumId="14">
    <w:nsid w:val="40D082BB"/>
    <w:multiLevelType w:val="singleLevel"/>
    <w:tmpl w:val="40D082BB"/>
    <w:lvl w:ilvl="0" w:tentative="0">
      <w:start w:val="1"/>
      <w:numFmt w:val="decimal"/>
      <w:suff w:val="nothing"/>
      <w:lvlText w:val="（%1）"/>
      <w:lvlJc w:val="left"/>
    </w:lvl>
  </w:abstractNum>
  <w:num w:numId="1">
    <w:abstractNumId w:val="14"/>
  </w:num>
  <w:num w:numId="2">
    <w:abstractNumId w:val="5"/>
  </w:num>
  <w:num w:numId="3">
    <w:abstractNumId w:val="11"/>
  </w:num>
  <w:num w:numId="4">
    <w:abstractNumId w:val="9"/>
  </w:num>
  <w:num w:numId="5">
    <w:abstractNumId w:val="3"/>
  </w:num>
  <w:num w:numId="6">
    <w:abstractNumId w:val="8"/>
  </w:num>
  <w:num w:numId="7">
    <w:abstractNumId w:val="6"/>
  </w:num>
  <w:num w:numId="8">
    <w:abstractNumId w:val="4"/>
  </w:num>
  <w:num w:numId="9">
    <w:abstractNumId w:val="7"/>
  </w:num>
  <w:num w:numId="10">
    <w:abstractNumId w:val="1"/>
  </w:num>
  <w:num w:numId="11">
    <w:abstractNumId w:val="10"/>
  </w:num>
  <w:num w:numId="12">
    <w:abstractNumId w:val="2"/>
  </w:num>
  <w:num w:numId="13">
    <w:abstractNumId w:val="12"/>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jZGQ3ZjZkZGNiZmVlYjc2YzkxZWFiMjMyOTNkMjUifQ=="/>
  </w:docVars>
  <w:rsids>
    <w:rsidRoot w:val="00F56326"/>
    <w:rsid w:val="000838B2"/>
    <w:rsid w:val="004B2B21"/>
    <w:rsid w:val="005361CA"/>
    <w:rsid w:val="005674B3"/>
    <w:rsid w:val="00647380"/>
    <w:rsid w:val="00691113"/>
    <w:rsid w:val="007C0E0B"/>
    <w:rsid w:val="00902C2A"/>
    <w:rsid w:val="00F56326"/>
    <w:rsid w:val="012670EA"/>
    <w:rsid w:val="017C1F3E"/>
    <w:rsid w:val="02EF2307"/>
    <w:rsid w:val="03576B4C"/>
    <w:rsid w:val="03630182"/>
    <w:rsid w:val="03DE3CAC"/>
    <w:rsid w:val="05D463B4"/>
    <w:rsid w:val="06035D9B"/>
    <w:rsid w:val="06043D3F"/>
    <w:rsid w:val="072C7BDF"/>
    <w:rsid w:val="079C56C2"/>
    <w:rsid w:val="08B31F2F"/>
    <w:rsid w:val="094871C7"/>
    <w:rsid w:val="09B26C75"/>
    <w:rsid w:val="09FB55B8"/>
    <w:rsid w:val="0A40135B"/>
    <w:rsid w:val="0A551517"/>
    <w:rsid w:val="0A7C1560"/>
    <w:rsid w:val="0B39546C"/>
    <w:rsid w:val="0CB56935"/>
    <w:rsid w:val="0DA970D9"/>
    <w:rsid w:val="0E2D30CF"/>
    <w:rsid w:val="0EA248A7"/>
    <w:rsid w:val="0F2E7521"/>
    <w:rsid w:val="0F764327"/>
    <w:rsid w:val="10AA179B"/>
    <w:rsid w:val="11162836"/>
    <w:rsid w:val="11893B3C"/>
    <w:rsid w:val="126259AC"/>
    <w:rsid w:val="13127BDF"/>
    <w:rsid w:val="13526141"/>
    <w:rsid w:val="15267EF7"/>
    <w:rsid w:val="15EE7D7F"/>
    <w:rsid w:val="166A1338"/>
    <w:rsid w:val="16FD2FE1"/>
    <w:rsid w:val="176C12B2"/>
    <w:rsid w:val="18177C78"/>
    <w:rsid w:val="18FC27B3"/>
    <w:rsid w:val="1A510037"/>
    <w:rsid w:val="1AAF27C6"/>
    <w:rsid w:val="1AB75623"/>
    <w:rsid w:val="1AC30115"/>
    <w:rsid w:val="1B09565B"/>
    <w:rsid w:val="1B1E690C"/>
    <w:rsid w:val="1B214388"/>
    <w:rsid w:val="1BDB2B53"/>
    <w:rsid w:val="1CD97016"/>
    <w:rsid w:val="1D6A3EF2"/>
    <w:rsid w:val="1E3A3AFB"/>
    <w:rsid w:val="1E9A15CA"/>
    <w:rsid w:val="1ED579B0"/>
    <w:rsid w:val="1F4D1FBA"/>
    <w:rsid w:val="1F8706E3"/>
    <w:rsid w:val="1FF91E11"/>
    <w:rsid w:val="20F848F5"/>
    <w:rsid w:val="22577B9F"/>
    <w:rsid w:val="23D5257E"/>
    <w:rsid w:val="245B6DB7"/>
    <w:rsid w:val="25B20F98"/>
    <w:rsid w:val="25EB64DA"/>
    <w:rsid w:val="2652435A"/>
    <w:rsid w:val="26A22DE9"/>
    <w:rsid w:val="26DC3B3F"/>
    <w:rsid w:val="27675BE3"/>
    <w:rsid w:val="289C718A"/>
    <w:rsid w:val="28FE168D"/>
    <w:rsid w:val="2B5B47EE"/>
    <w:rsid w:val="2BAE6474"/>
    <w:rsid w:val="2BB664AB"/>
    <w:rsid w:val="2C174955"/>
    <w:rsid w:val="2C471B3F"/>
    <w:rsid w:val="2CDF390C"/>
    <w:rsid w:val="2D3D2C71"/>
    <w:rsid w:val="2DC93154"/>
    <w:rsid w:val="2E187C37"/>
    <w:rsid w:val="2E76082D"/>
    <w:rsid w:val="2F8D29E4"/>
    <w:rsid w:val="30B33C47"/>
    <w:rsid w:val="30C714A1"/>
    <w:rsid w:val="31526B07"/>
    <w:rsid w:val="31674459"/>
    <w:rsid w:val="319F103E"/>
    <w:rsid w:val="33603F7E"/>
    <w:rsid w:val="337F7FE5"/>
    <w:rsid w:val="33B2468A"/>
    <w:rsid w:val="33B757FC"/>
    <w:rsid w:val="34A60DA4"/>
    <w:rsid w:val="34EE5C6F"/>
    <w:rsid w:val="3550415A"/>
    <w:rsid w:val="366A124C"/>
    <w:rsid w:val="366B28CE"/>
    <w:rsid w:val="36CA07CF"/>
    <w:rsid w:val="37DE357F"/>
    <w:rsid w:val="39630382"/>
    <w:rsid w:val="39BF39F7"/>
    <w:rsid w:val="3AC626CB"/>
    <w:rsid w:val="3B005CDB"/>
    <w:rsid w:val="3C97441D"/>
    <w:rsid w:val="3F377AF8"/>
    <w:rsid w:val="3F5601A9"/>
    <w:rsid w:val="402406BD"/>
    <w:rsid w:val="408E01BE"/>
    <w:rsid w:val="40CB0B39"/>
    <w:rsid w:val="41EF6EFD"/>
    <w:rsid w:val="429E4757"/>
    <w:rsid w:val="42DF22D7"/>
    <w:rsid w:val="431A017F"/>
    <w:rsid w:val="433612FE"/>
    <w:rsid w:val="44104FA2"/>
    <w:rsid w:val="449B6B1A"/>
    <w:rsid w:val="44E328F5"/>
    <w:rsid w:val="455E0778"/>
    <w:rsid w:val="4564465A"/>
    <w:rsid w:val="462E594E"/>
    <w:rsid w:val="46C12353"/>
    <w:rsid w:val="47503B46"/>
    <w:rsid w:val="47655F00"/>
    <w:rsid w:val="47F15329"/>
    <w:rsid w:val="47F71CFF"/>
    <w:rsid w:val="48374534"/>
    <w:rsid w:val="483A5C59"/>
    <w:rsid w:val="48707991"/>
    <w:rsid w:val="49840258"/>
    <w:rsid w:val="4A7F2E19"/>
    <w:rsid w:val="4B966742"/>
    <w:rsid w:val="4C364951"/>
    <w:rsid w:val="4E6E0E13"/>
    <w:rsid w:val="4E7F4E51"/>
    <w:rsid w:val="4E971E79"/>
    <w:rsid w:val="4EBC30A0"/>
    <w:rsid w:val="4F460032"/>
    <w:rsid w:val="4FAD7F37"/>
    <w:rsid w:val="4FC004A6"/>
    <w:rsid w:val="50210776"/>
    <w:rsid w:val="50A552DB"/>
    <w:rsid w:val="50E977FF"/>
    <w:rsid w:val="512F7004"/>
    <w:rsid w:val="515A3F3F"/>
    <w:rsid w:val="52345E12"/>
    <w:rsid w:val="527254DE"/>
    <w:rsid w:val="52A71396"/>
    <w:rsid w:val="52C51B2E"/>
    <w:rsid w:val="53545055"/>
    <w:rsid w:val="5455090C"/>
    <w:rsid w:val="547372DB"/>
    <w:rsid w:val="54B22733"/>
    <w:rsid w:val="54E11C16"/>
    <w:rsid w:val="5560182B"/>
    <w:rsid w:val="55B670AB"/>
    <w:rsid w:val="563A572B"/>
    <w:rsid w:val="56CE4A87"/>
    <w:rsid w:val="57560774"/>
    <w:rsid w:val="57853108"/>
    <w:rsid w:val="58297DCC"/>
    <w:rsid w:val="589A2E73"/>
    <w:rsid w:val="58ED3B83"/>
    <w:rsid w:val="5A1804F3"/>
    <w:rsid w:val="5A225816"/>
    <w:rsid w:val="5A302B55"/>
    <w:rsid w:val="5ABD34F0"/>
    <w:rsid w:val="5B235D59"/>
    <w:rsid w:val="5B2B06FA"/>
    <w:rsid w:val="5B2D6220"/>
    <w:rsid w:val="5B3B6D38"/>
    <w:rsid w:val="5C61170D"/>
    <w:rsid w:val="5CDB4954"/>
    <w:rsid w:val="5CDC42D1"/>
    <w:rsid w:val="5D041203"/>
    <w:rsid w:val="5D090655"/>
    <w:rsid w:val="5DBC7771"/>
    <w:rsid w:val="5EA367AF"/>
    <w:rsid w:val="5EE0003A"/>
    <w:rsid w:val="5FA47637"/>
    <w:rsid w:val="60AF6C6A"/>
    <w:rsid w:val="60F35816"/>
    <w:rsid w:val="611D6D37"/>
    <w:rsid w:val="61FB6DFD"/>
    <w:rsid w:val="61FD0DEF"/>
    <w:rsid w:val="622301A1"/>
    <w:rsid w:val="62871875"/>
    <w:rsid w:val="629217CD"/>
    <w:rsid w:val="62BE3C02"/>
    <w:rsid w:val="6334218D"/>
    <w:rsid w:val="63484E98"/>
    <w:rsid w:val="6367429A"/>
    <w:rsid w:val="63687FA9"/>
    <w:rsid w:val="63FD1194"/>
    <w:rsid w:val="6435437D"/>
    <w:rsid w:val="648F64D0"/>
    <w:rsid w:val="65080952"/>
    <w:rsid w:val="65C854C3"/>
    <w:rsid w:val="662E07D9"/>
    <w:rsid w:val="667E6212"/>
    <w:rsid w:val="66AD10D3"/>
    <w:rsid w:val="674A1F08"/>
    <w:rsid w:val="675447FA"/>
    <w:rsid w:val="67D70473"/>
    <w:rsid w:val="67EC2FBF"/>
    <w:rsid w:val="689F03AC"/>
    <w:rsid w:val="694729C8"/>
    <w:rsid w:val="6CFD1171"/>
    <w:rsid w:val="6D0112BB"/>
    <w:rsid w:val="6EA3753C"/>
    <w:rsid w:val="6EAD542B"/>
    <w:rsid w:val="6EBE093D"/>
    <w:rsid w:val="6F4240ED"/>
    <w:rsid w:val="6FCE10E6"/>
    <w:rsid w:val="706758D9"/>
    <w:rsid w:val="71761CBC"/>
    <w:rsid w:val="71EB73EE"/>
    <w:rsid w:val="721979FE"/>
    <w:rsid w:val="721A70CF"/>
    <w:rsid w:val="7229553C"/>
    <w:rsid w:val="72635745"/>
    <w:rsid w:val="72ED0F3E"/>
    <w:rsid w:val="72F444A2"/>
    <w:rsid w:val="72F71D37"/>
    <w:rsid w:val="7443665D"/>
    <w:rsid w:val="74B90CE4"/>
    <w:rsid w:val="74EB068B"/>
    <w:rsid w:val="7554713D"/>
    <w:rsid w:val="7559013B"/>
    <w:rsid w:val="75D74BA4"/>
    <w:rsid w:val="75E03821"/>
    <w:rsid w:val="76141C2A"/>
    <w:rsid w:val="764C4802"/>
    <w:rsid w:val="76D64504"/>
    <w:rsid w:val="7757167F"/>
    <w:rsid w:val="786818F3"/>
    <w:rsid w:val="78C21DB8"/>
    <w:rsid w:val="795E51BB"/>
    <w:rsid w:val="7AF3148F"/>
    <w:rsid w:val="7B8476F2"/>
    <w:rsid w:val="7C7B2E38"/>
    <w:rsid w:val="7D0E2112"/>
    <w:rsid w:val="7E2C00F9"/>
    <w:rsid w:val="7E5621D7"/>
    <w:rsid w:val="7E945D07"/>
    <w:rsid w:val="7ED46CB6"/>
    <w:rsid w:val="7EEA3BB2"/>
    <w:rsid w:val="7F2428C7"/>
    <w:rsid w:val="7FB15C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qFormat="1" w:unhideWhenUsed="0" w:uiPriority="0" w:semiHidden="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next w:val="1"/>
    <w:link w:val="321"/>
    <w:qFormat/>
    <w:uiPriority w:val="0"/>
    <w:pPr>
      <w:ind w:firstLine="420"/>
    </w:pPr>
    <w:rPr>
      <w:rFonts w:hAnsi="Calibri" w:cs="Times New Roman"/>
      <w:snapToGrid/>
      <w:szCs w:val="20"/>
    </w:rPr>
  </w:style>
  <w:style w:type="paragraph" w:styleId="6">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caption"/>
    <w:basedOn w:val="1"/>
    <w:next w:val="1"/>
    <w:link w:val="229"/>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2"/>
    <w:qFormat/>
    <w:uiPriority w:val="0"/>
    <w:pPr>
      <w:shd w:val="clear" w:color="auto" w:fill="000080"/>
    </w:pPr>
  </w:style>
  <w:style w:type="paragraph" w:styleId="20">
    <w:name w:val="annotation text"/>
    <w:basedOn w:val="1"/>
    <w:link w:val="344"/>
    <w:qFormat/>
    <w:uiPriority w:val="99"/>
    <w:pPr>
      <w:jc w:val="left"/>
    </w:pPr>
  </w:style>
  <w:style w:type="paragraph" w:styleId="21">
    <w:name w:val="Salutation"/>
    <w:basedOn w:val="1"/>
    <w:next w:val="1"/>
    <w:link w:val="298"/>
    <w:qFormat/>
    <w:uiPriority w:val="0"/>
    <w:rPr>
      <w:rFonts w:ascii="仿宋_GB2312" w:eastAsia="仿宋_GB2312"/>
      <w:sz w:val="28"/>
      <w:szCs w:val="20"/>
    </w:rPr>
  </w:style>
  <w:style w:type="paragraph" w:styleId="22">
    <w:name w:val="Body Text 3"/>
    <w:basedOn w:val="1"/>
    <w:link w:val="330"/>
    <w:qFormat/>
    <w:uiPriority w:val="0"/>
    <w:pPr>
      <w:jc w:val="center"/>
    </w:pPr>
    <w:rPr>
      <w:szCs w:val="20"/>
    </w:rPr>
  </w:style>
  <w:style w:type="paragraph" w:styleId="23">
    <w:name w:val="List Bullet 3"/>
    <w:basedOn w:val="1"/>
    <w:qFormat/>
    <w:uiPriority w:val="0"/>
    <w:pPr>
      <w:snapToGrid w:val="0"/>
      <w:spacing w:line="360" w:lineRule="auto"/>
      <w:ind w:left="360" w:right="238" w:hanging="360"/>
      <w:contextualSpacing/>
    </w:pPr>
    <w:rPr>
      <w:sz w:val="24"/>
    </w:rPr>
  </w:style>
  <w:style w:type="paragraph" w:styleId="24">
    <w:name w:val="Body Text"/>
    <w:basedOn w:val="1"/>
    <w:next w:val="1"/>
    <w:link w:val="430"/>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1"/>
    <w:link w:val="265"/>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5"/>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1"/>
    <w:qFormat/>
    <w:uiPriority w:val="0"/>
    <w:pPr>
      <w:ind w:left="100" w:leftChars="2500"/>
    </w:pPr>
    <w:rPr>
      <w:rFonts w:ascii="宋体"/>
      <w:sz w:val="24"/>
      <w:szCs w:val="21"/>
      <w:lang w:val="zh-CN"/>
    </w:rPr>
  </w:style>
  <w:style w:type="paragraph" w:styleId="37">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8">
    <w:name w:val="endnote text"/>
    <w:basedOn w:val="1"/>
    <w:link w:val="932"/>
    <w:qFormat/>
    <w:uiPriority w:val="0"/>
    <w:rPr>
      <w:lang w:val="zh-CN"/>
    </w:rPr>
  </w:style>
  <w:style w:type="paragraph" w:styleId="39">
    <w:name w:val="Balloon Text"/>
    <w:basedOn w:val="1"/>
    <w:link w:val="188"/>
    <w:qFormat/>
    <w:uiPriority w:val="0"/>
    <w:rPr>
      <w:sz w:val="18"/>
      <w:szCs w:val="18"/>
    </w:rPr>
  </w:style>
  <w:style w:type="paragraph" w:styleId="40">
    <w:name w:val="footer"/>
    <w:basedOn w:val="1"/>
    <w:link w:val="383"/>
    <w:qFormat/>
    <w:uiPriority w:val="99"/>
    <w:pPr>
      <w:tabs>
        <w:tab w:val="center" w:pos="4153"/>
        <w:tab w:val="right" w:pos="8306"/>
      </w:tabs>
      <w:snapToGrid w:val="0"/>
      <w:jc w:val="left"/>
    </w:pPr>
    <w:rPr>
      <w:sz w:val="18"/>
      <w:szCs w:val="18"/>
    </w:rPr>
  </w:style>
  <w:style w:type="paragraph" w:styleId="41">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6"/>
    <w:link w:val="310"/>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6"/>
    <w:qFormat/>
    <w:uiPriority w:val="0"/>
    <w:rPr>
      <w:b/>
      <w:bCs/>
    </w:rPr>
  </w:style>
  <w:style w:type="paragraph" w:styleId="61">
    <w:name w:val="Body Text First Indent 2"/>
    <w:basedOn w:val="25"/>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_b01b611a-4f85-46e2-b9f3-680bff01b964"/>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字符"/>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_03b4b916-3f77-4daa-a81b-11c1b038b137"/>
    <w:qFormat/>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文本首行缩进 2 字符"/>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字符"/>
    <w:link w:val="47"/>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字符"/>
    <w:link w:val="9"/>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4"/>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字符"/>
    <w:link w:val="36"/>
    <w:qFormat/>
    <w:uiPriority w:val="0"/>
    <w:rPr>
      <w:rFonts w:ascii="宋体"/>
      <w:kern w:val="2"/>
      <w:sz w:val="24"/>
      <w:szCs w:val="21"/>
      <w:lang w:val="zh-CN"/>
    </w:rPr>
  </w:style>
  <w:style w:type="character" w:customStyle="1" w:styleId="182">
    <w:name w:val="标题 9 字符"/>
    <w:link w:val="12"/>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qFormat/>
    <w:uiPriority w:val="99"/>
    <w:rPr>
      <w:rFonts w:ascii="Times New Roman" w:hAnsi="Times New Roman" w:eastAsia="宋体" w:cs="Times New Roman"/>
      <w:szCs w:val="24"/>
    </w:rPr>
  </w:style>
  <w:style w:type="character" w:customStyle="1" w:styleId="188">
    <w:name w:val="批注框文本 字符1"/>
    <w:link w:val="39"/>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6"/>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字符"/>
    <w:link w:val="19"/>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字符"/>
    <w:link w:val="30"/>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7"/>
    <w:link w:val="222"/>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_ecce25d3-ee21-4084-af77-8a1793f0d566"/>
    <w:qFormat/>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字符"/>
    <w:link w:val="17"/>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列出段落1"/>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字符1"/>
    <w:link w:val="25"/>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_edb755db-592d-458a-8cb1-d9dede147a49"/>
    <w:qFormat/>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字符1"/>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8"/>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1"/>
    <w:qFormat/>
    <w:uiPriority w:val="0"/>
    <w:rPr>
      <w:rFonts w:ascii="仿宋_GB2312" w:eastAsia="仿宋_GB2312"/>
      <w:kern w:val="2"/>
      <w:sz w:val="28"/>
    </w:rPr>
  </w:style>
  <w:style w:type="character" w:customStyle="1" w:styleId="299">
    <w:name w:val="文本正文 Char Char"/>
    <w:qFormat/>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7"/>
    <w:qFormat/>
    <w:uiPriority w:val="0"/>
    <w:rPr>
      <w:rFonts w:ascii="黑体" w:hAnsi="Courier New" w:eastAsia="黑体"/>
    </w:rPr>
  </w:style>
  <w:style w:type="character" w:customStyle="1" w:styleId="302">
    <w:name w:val="正文文本 2 字符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7"/>
    <w:link w:val="413"/>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10"/>
    <w:qFormat/>
    <w:uiPriority w:val="0"/>
    <w:rPr>
      <w:b/>
      <w:bCs/>
      <w:kern w:val="2"/>
      <w:sz w:val="24"/>
      <w:szCs w:val="24"/>
    </w:rPr>
  </w:style>
  <w:style w:type="character" w:customStyle="1" w:styleId="308">
    <w:name w:val="正文文本缩进 2 字符"/>
    <w:link w:val="37"/>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50"/>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文本首行缩进 字符"/>
    <w:link w:val="2"/>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字符1"/>
    <w:link w:val="7"/>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字符"/>
    <w:link w:val="22"/>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字符1"/>
    <w:link w:val="20"/>
    <w:qFormat/>
    <w:uiPriority w:val="0"/>
    <w:rPr>
      <w:kern w:val="2"/>
      <w:sz w:val="21"/>
      <w:szCs w:val="24"/>
    </w:rPr>
  </w:style>
  <w:style w:type="character" w:customStyle="1" w:styleId="345">
    <w:name w:val="签名 字符"/>
    <w:link w:val="42"/>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11"/>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3"/>
    <w:qFormat/>
    <w:uiPriority w:val="0"/>
    <w:rPr>
      <w:kern w:val="2"/>
      <w:sz w:val="24"/>
    </w:rPr>
  </w:style>
  <w:style w:type="character" w:customStyle="1" w:styleId="376">
    <w:name w:val="日期 Char1"/>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40"/>
    <w:qFormat/>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1"/>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6"/>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7"/>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qFormat/>
    <w:uiPriority w:val="0"/>
    <w:pPr>
      <w:keepLines w:val="0"/>
      <w:widowControl/>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outlineLvl w:val="5"/>
    </w:pPr>
  </w:style>
  <w:style w:type="paragraph" w:customStyle="1" w:styleId="474">
    <w:name w:val="5级标题"/>
    <w:basedOn w:val="475"/>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无间隔2"/>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5"/>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8"/>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7"/>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Lines="50"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6">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ind w:left="1680"/>
      <w:outlineLvl w:val="2"/>
    </w:pPr>
  </w:style>
  <w:style w:type="paragraph" w:customStyle="1" w:styleId="658">
    <w:name w:val="章标题"/>
    <w:next w:val="640"/>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7"/>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Lines="50"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5"/>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0">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3">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7"/>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9"/>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8"/>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字符"/>
    <w:link w:val="38"/>
    <w:qFormat/>
    <w:uiPriority w:val="0"/>
    <w:rPr>
      <w:kern w:val="2"/>
      <w:sz w:val="21"/>
      <w:szCs w:val="24"/>
      <w:lang w:val="zh-CN"/>
    </w:rPr>
  </w:style>
  <w:style w:type="character" w:customStyle="1" w:styleId="933">
    <w:name w:val="无间隔 字符"/>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样式 标题 2 + Times New Roman 四号 非加粗 段前: 5 磅 段后: 0 磅 行距: 固定值 20..."/>
    <w:basedOn w:val="4"/>
    <w:qFormat/>
    <w:uiPriority w:val="0"/>
    <w:pPr>
      <w:tabs>
        <w:tab w:val="clear" w:pos="432"/>
      </w:tabs>
      <w:spacing w:before="100" w:line="400" w:lineRule="exact"/>
    </w:pPr>
    <w:rPr>
      <w:rFonts w:ascii="Times New Roman" w:hAnsi="Times New Roman" w:eastAsia="黑体" w:cs="宋体"/>
      <w:b w:val="0"/>
      <w:sz w:val="28"/>
      <w:szCs w:val="20"/>
    </w:rPr>
  </w:style>
  <w:style w:type="paragraph" w:customStyle="1" w:styleId="965">
    <w:name w:val="p16"/>
    <w:basedOn w:val="1"/>
    <w:qFormat/>
    <w:uiPriority w:val="0"/>
    <w:pPr>
      <w:widowControl/>
      <w:spacing w:before="100" w:after="100"/>
      <w:jc w:val="left"/>
    </w:pPr>
    <w:rPr>
      <w:rFonts w:ascii="宋体" w:hAnsi="宋体" w:cs="宋体"/>
      <w:color w:val="000000"/>
      <w:kern w:val="0"/>
      <w:sz w:val="24"/>
    </w:rPr>
  </w:style>
  <w:style w:type="paragraph" w:customStyle="1" w:styleId="966">
    <w:name w:val="修订4"/>
    <w:qFormat/>
    <w:uiPriority w:val="99"/>
    <w:rPr>
      <w:rFonts w:ascii="Times New Roman" w:hAnsi="Times New Roman" w:eastAsia="宋体" w:cs="Times New Roman"/>
      <w:kern w:val="2"/>
      <w:sz w:val="21"/>
      <w:szCs w:val="24"/>
      <w:lang w:val="en-US" w:eastAsia="zh-CN" w:bidi="ar-SA"/>
    </w:rPr>
  </w:style>
  <w:style w:type="paragraph" w:customStyle="1" w:styleId="967">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968">
    <w:name w:val="List Paragraph_41d0cc91-dce1-4733-b767-3adef058dad0"/>
    <w:basedOn w:val="1"/>
    <w:qFormat/>
    <w:uiPriority w:val="34"/>
    <w:pPr>
      <w:ind w:firstLine="420" w:firstLineChars="200"/>
    </w:pPr>
  </w:style>
  <w:style w:type="paragraph" w:styleId="969">
    <w:name w:val="List Paragraph"/>
    <w:basedOn w:val="1"/>
    <w:qFormat/>
    <w:uiPriority w:val="0"/>
    <w:pPr>
      <w:ind w:firstLine="420" w:firstLineChars="200"/>
    </w:pPr>
  </w:style>
  <w:style w:type="paragraph" w:customStyle="1" w:styleId="970">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971">
    <w:name w:val="Revision_fbf35bdd-e3e5-4dd9-843f-3df11653d3cf"/>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customXml" Target="../customXml/item10.xml"/><Relationship Id="rId3" Type="http://schemas.openxmlformats.org/officeDocument/2006/relationships/header" Target="header1.xml"/><Relationship Id="rId29" Type="http://schemas.openxmlformats.org/officeDocument/2006/relationships/customXml" Target="../customXml/item9.xml"/><Relationship Id="rId28" Type="http://schemas.openxmlformats.org/officeDocument/2006/relationships/customXml" Target="../customXml/item8.xml"/><Relationship Id="rId27" Type="http://schemas.openxmlformats.org/officeDocument/2006/relationships/customXml" Target="../customXml/item7.xml"/><Relationship Id="rId26" Type="http://schemas.openxmlformats.org/officeDocument/2006/relationships/customXml" Target="../customXml/item6.xml"/><Relationship Id="rId25" Type="http://schemas.openxmlformats.org/officeDocument/2006/relationships/customXml" Target="../customXml/item5.xml"/><Relationship Id="rId24" Type="http://schemas.openxmlformats.org/officeDocument/2006/relationships/customXml" Target="../customXml/item4.xml"/><Relationship Id="rId23" Type="http://schemas.openxmlformats.org/officeDocument/2006/relationships/customXml" Target="../customXml/item3.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F437C461-3A7E-417E-BFBA-4E0E9CE8EFCD}">
  <ds:schemaRefs/>
</ds:datastoreItem>
</file>

<file path=customXml/itemProps2.xml><?xml version="1.0" encoding="utf-8"?>
<ds:datastoreItem xmlns:ds="http://schemas.openxmlformats.org/officeDocument/2006/customXml" ds:itemID="{2AFE4B50-4541-4C0A-8826-E5F6785E6F95}">
  <ds:schemaRefs/>
</ds:datastoreItem>
</file>

<file path=customXml/itemProps3.xml><?xml version="1.0" encoding="utf-8"?>
<ds:datastoreItem xmlns:ds="http://schemas.openxmlformats.org/officeDocument/2006/customXml" ds:itemID="{11B7DEF0-68A3-4D5A-B95E-711ED6C818D9}">
  <ds:schemaRefs/>
</ds:datastoreItem>
</file>

<file path=customXml/itemProps4.xml><?xml version="1.0" encoding="utf-8"?>
<ds:datastoreItem xmlns:ds="http://schemas.openxmlformats.org/officeDocument/2006/customXml" ds:itemID="{A0AEC046-4569-43C6-AE55-1C6E4B51ED35}">
  <ds:schemaRefs/>
</ds:datastoreItem>
</file>

<file path=customXml/itemProps5.xml><?xml version="1.0" encoding="utf-8"?>
<ds:datastoreItem xmlns:ds="http://schemas.openxmlformats.org/officeDocument/2006/customXml" ds:itemID="{AF0CF2AC-8989-4966-97B7-7A30421FEC48}">
  <ds:schemaRefs/>
</ds:datastoreItem>
</file>

<file path=customXml/itemProps6.xml><?xml version="1.0" encoding="utf-8"?>
<ds:datastoreItem xmlns:ds="http://schemas.openxmlformats.org/officeDocument/2006/customXml" ds:itemID="{58AB4CF5-A766-496D-BCB2-7836FD1EB665}">
  <ds:schemaRefs/>
</ds:datastoreItem>
</file>

<file path=customXml/itemProps7.xml><?xml version="1.0" encoding="utf-8"?>
<ds:datastoreItem xmlns:ds="http://schemas.openxmlformats.org/officeDocument/2006/customXml" ds:itemID="{7493D0BD-35E5-41E9-B0EE-10C81A904C52}">
  <ds:schemaRefs/>
</ds:datastoreItem>
</file>

<file path=customXml/itemProps8.xml><?xml version="1.0" encoding="utf-8"?>
<ds:datastoreItem xmlns:ds="http://schemas.openxmlformats.org/officeDocument/2006/customXml" ds:itemID="{2D58BC97-5977-49F3-AEDB-8959EF655D4F}">
  <ds:schemaRefs/>
</ds:datastoreItem>
</file>

<file path=customXml/itemProps9.xml><?xml version="1.0" encoding="utf-8"?>
<ds:datastoreItem xmlns:ds="http://schemas.openxmlformats.org/officeDocument/2006/customXml" ds:itemID="{D292A61C-0A86-408F-A48A-6A68DD3E150B}">
  <ds:schemaRefs/>
</ds:datastoreItem>
</file>

<file path=docProps/app.xml><?xml version="1.0" encoding="utf-8"?>
<Properties xmlns="http://schemas.openxmlformats.org/officeDocument/2006/extended-properties" xmlns:vt="http://schemas.openxmlformats.org/officeDocument/2006/docPropsVTypes">
  <Template>Normal.dotm</Template>
  <Pages>89</Pages>
  <Words>23987</Words>
  <Characters>25674</Characters>
  <Lines>456</Lines>
  <Paragraphs>128</Paragraphs>
  <TotalTime>3</TotalTime>
  <ScaleCrop>false</ScaleCrop>
  <LinksUpToDate>false</LinksUpToDate>
  <CharactersWithSpaces>25979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2022-05-06T23:35:00Z</dcterms:created>
  <dc:creator>DELL</dc:creator>
  <cp:lastModifiedBy>呱呱</cp:lastModifiedBy>
  <cp:lastPrinted>2021-12-27T03:06:00Z</cp:lastPrinted>
  <dcterms:modified xsi:type="dcterms:W3CDTF">2025-07-02T15:40:29Z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6F4F0E18856040C6AC5C755693928C7F_13</vt:lpwstr>
  </property>
  <property fmtid="{D5CDD505-2E9C-101B-9397-08002B2CF9AE}" pid="5" name="commondata">
    <vt:lpwstr>eyJoZGlkIjoiNGNlMmFkMDQ1NDY0ZmRiM2Q0NjY4NTFjN2IwMTllYjMifQ==</vt:lpwstr>
  </property>
  <property fmtid="{D5CDD505-2E9C-101B-9397-08002B2CF9AE}" pid="6" name="KSOTemplateDocerSaveRecord">
    <vt:lpwstr>eyJoZGlkIjoiMTFjZGQ3ZjZkZGNiZmVlYjc2YzkxZWFiMjMyOTNkMjUiLCJ1c2VySWQiOiI0NDg3MDg0OTkifQ==</vt:lpwstr>
  </property>
</Properties>
</file>