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9FBE6">
      <w:pPr>
        <w:pStyle w:val="2"/>
        <w:tabs>
          <w:tab w:val="left" w:pos="2544"/>
          <w:tab w:val="center" w:pos="4320"/>
        </w:tabs>
        <w:adjustRightInd w:val="0"/>
        <w:snapToGrid w:val="0"/>
        <w:spacing w:before="0" w:after="0" w:line="240" w:lineRule="auto"/>
        <w:jc w:val="center"/>
        <w:rPr>
          <w:rFonts w:hint="default" w:ascii="宋体" w:hAnsi="宋体"/>
          <w:bCs w:val="0"/>
          <w:sz w:val="36"/>
          <w:szCs w:val="28"/>
          <w:lang w:val="en-US" w:eastAsia="zh-CN"/>
        </w:rPr>
      </w:pPr>
      <w:r>
        <w:rPr>
          <w:rFonts w:hint="eastAsia" w:ascii="宋体" w:hAnsi="宋体"/>
          <w:bCs w:val="0"/>
          <w:sz w:val="36"/>
          <w:szCs w:val="28"/>
          <w:lang w:val="en-US" w:eastAsia="zh-CN"/>
        </w:rPr>
        <w:t>答疑公告</w:t>
      </w:r>
    </w:p>
    <w:p w14:paraId="6514ED58">
      <w:pPr>
        <w:pStyle w:val="8"/>
        <w:adjustRightInd w:val="0"/>
        <w:snapToGrid w:val="0"/>
        <w:spacing w:before="0" w:beforeAutospacing="0" w:after="0" w:afterAutospacing="0" w:line="360" w:lineRule="auto"/>
        <w:jc w:val="both"/>
        <w:rPr>
          <w:rFonts w:hint="eastAsia" w:eastAsia="宋体" w:cs="宋体"/>
          <w:sz w:val="21"/>
          <w:szCs w:val="21"/>
          <w:lang w:val="en-US" w:eastAsia="zh-CN"/>
        </w:rPr>
      </w:pPr>
    </w:p>
    <w:p w14:paraId="621A135A">
      <w:pPr>
        <w:pStyle w:val="8"/>
        <w:adjustRightInd w:val="0"/>
        <w:snapToGrid w:val="0"/>
        <w:spacing w:before="0" w:beforeAutospacing="0" w:after="0" w:afterAutospacing="0" w:line="360" w:lineRule="auto"/>
        <w:jc w:val="both"/>
        <w:rPr>
          <w:rFonts w:hint="eastAsia" w:ascii="宋体" w:hAnsi="宋体" w:eastAsia="宋体" w:cs="宋体"/>
          <w:sz w:val="28"/>
          <w:szCs w:val="28"/>
          <w:lang w:val="en-US" w:eastAsia="zh-CN"/>
        </w:rPr>
      </w:pPr>
      <w:r>
        <w:rPr>
          <w:rFonts w:hint="eastAsia" w:eastAsia="宋体" w:cs="宋体"/>
          <w:sz w:val="28"/>
          <w:szCs w:val="28"/>
          <w:lang w:val="en-US" w:eastAsia="zh-CN"/>
        </w:rPr>
        <w:t>各投标人：</w:t>
      </w:r>
    </w:p>
    <w:p w14:paraId="4482C26A">
      <w:pPr>
        <w:pStyle w:val="8"/>
        <w:adjustRightInd w:val="0"/>
        <w:snapToGrid w:val="0"/>
        <w:spacing w:before="0" w:beforeAutospacing="0" w:after="0" w:afterAutospacing="0" w:line="360" w:lineRule="auto"/>
        <w:ind w:firstLine="560" w:firstLineChars="200"/>
        <w:jc w:val="both"/>
        <w:rPr>
          <w:rFonts w:hint="eastAsia" w:ascii="宋体" w:hAnsi="宋体" w:eastAsia="宋体" w:cs="宋体"/>
          <w:sz w:val="28"/>
          <w:szCs w:val="28"/>
          <w:lang w:val="en-US" w:eastAsia="zh-CN"/>
        </w:rPr>
      </w:pPr>
      <w:r>
        <w:rPr>
          <w:rFonts w:ascii="宋体" w:hAnsi="宋体" w:eastAsia="宋体" w:cs="宋体"/>
          <w:sz w:val="28"/>
          <w:szCs w:val="28"/>
        </w:rPr>
        <w:t>本招标</w:t>
      </w:r>
      <w:r>
        <w:rPr>
          <w:rFonts w:hint="eastAsia" w:eastAsia="宋体" w:cs="宋体"/>
          <w:sz w:val="28"/>
          <w:szCs w:val="28"/>
          <w:lang w:val="en-US" w:eastAsia="zh-CN"/>
        </w:rPr>
        <w:t>答疑公告</w:t>
      </w:r>
      <w:r>
        <w:rPr>
          <w:rFonts w:ascii="宋体" w:hAnsi="宋体" w:eastAsia="宋体" w:cs="宋体"/>
          <w:sz w:val="28"/>
          <w:szCs w:val="28"/>
        </w:rPr>
        <w:t>是招标人对有关招标事宜的</w:t>
      </w:r>
      <w:r>
        <w:rPr>
          <w:rFonts w:hint="eastAsia" w:eastAsia="宋体" w:cs="宋体"/>
          <w:sz w:val="28"/>
          <w:szCs w:val="28"/>
          <w:lang w:val="en-US" w:eastAsia="zh-CN"/>
        </w:rPr>
        <w:t>澄清</w:t>
      </w:r>
      <w:r>
        <w:rPr>
          <w:rFonts w:ascii="宋体" w:hAnsi="宋体" w:eastAsia="宋体" w:cs="宋体"/>
          <w:sz w:val="28"/>
          <w:szCs w:val="28"/>
        </w:rPr>
        <w:t>说明，请各投标人对照招标文件仔细阅读。</w:t>
      </w:r>
      <w:r>
        <w:rPr>
          <w:rFonts w:hint="eastAsia" w:eastAsia="宋体" w:cs="宋体"/>
          <w:sz w:val="28"/>
          <w:szCs w:val="28"/>
          <w:lang w:val="en-US" w:eastAsia="zh-CN"/>
        </w:rPr>
        <w:t>回复内容如下：</w:t>
      </w:r>
    </w:p>
    <w:p w14:paraId="705CA11C">
      <w:pPr>
        <w:pStyle w:val="8"/>
        <w:numPr>
          <w:ilvl w:val="0"/>
          <w:numId w:val="1"/>
        </w:numPr>
        <w:adjustRightInd w:val="0"/>
        <w:snapToGrid w:val="0"/>
        <w:spacing w:before="0" w:beforeAutospacing="0" w:after="0" w:afterAutospacing="0" w:line="360" w:lineRule="auto"/>
        <w:ind w:left="-422" w:leftChars="0" w:firstLine="422" w:firstLineChars="0"/>
        <w:jc w:val="both"/>
        <w:rPr>
          <w:rFonts w:hint="eastAsia"/>
          <w:b/>
          <w:snapToGrid w:val="0"/>
          <w:sz w:val="28"/>
          <w:szCs w:val="28"/>
          <w:lang w:val="en-US" w:eastAsia="zh-CN"/>
        </w:rPr>
      </w:pPr>
      <w:r>
        <w:rPr>
          <w:rFonts w:hint="eastAsia"/>
          <w:b/>
          <w:snapToGrid w:val="0"/>
          <w:sz w:val="28"/>
          <w:szCs w:val="28"/>
          <w:lang w:val="en-US" w:eastAsia="zh-CN"/>
        </w:rPr>
        <w:t>项目基本情况</w:t>
      </w:r>
    </w:p>
    <w:p w14:paraId="4ABC3910">
      <w:pPr>
        <w:pStyle w:val="8"/>
        <w:numPr>
          <w:ilvl w:val="0"/>
          <w:numId w:val="0"/>
        </w:numPr>
        <w:adjustRightInd w:val="0"/>
        <w:snapToGrid w:val="0"/>
        <w:spacing w:before="0" w:beforeAutospacing="0" w:after="0" w:afterAutospacing="0" w:line="360" w:lineRule="auto"/>
        <w:ind w:leftChars="0"/>
        <w:jc w:val="both"/>
        <w:rPr>
          <w:rFonts w:hint="default"/>
          <w:b w:val="0"/>
          <w:bCs/>
          <w:snapToGrid w:val="0"/>
          <w:sz w:val="28"/>
          <w:szCs w:val="28"/>
          <w:u w:val="single"/>
          <w:lang w:val="en-US" w:eastAsia="zh-CN"/>
        </w:rPr>
      </w:pPr>
      <w:r>
        <w:rPr>
          <w:rFonts w:hint="eastAsia"/>
          <w:b w:val="0"/>
          <w:bCs/>
          <w:snapToGrid w:val="0"/>
          <w:sz w:val="28"/>
          <w:szCs w:val="28"/>
          <w:lang w:val="en-US" w:eastAsia="zh-CN"/>
        </w:rPr>
        <w:t>项目编号：NY-1HZB2506043</w:t>
      </w:r>
    </w:p>
    <w:p w14:paraId="782D6084">
      <w:pPr>
        <w:pStyle w:val="8"/>
        <w:numPr>
          <w:ilvl w:val="0"/>
          <w:numId w:val="0"/>
        </w:numPr>
        <w:adjustRightInd w:val="0"/>
        <w:snapToGrid w:val="0"/>
        <w:spacing w:before="0" w:beforeAutospacing="0" w:after="0" w:afterAutospacing="0" w:line="360" w:lineRule="auto"/>
        <w:ind w:left="1400" w:leftChars="0" w:hanging="1400" w:hangingChars="500"/>
        <w:jc w:val="both"/>
        <w:rPr>
          <w:rFonts w:hint="default"/>
          <w:b w:val="0"/>
          <w:bCs/>
          <w:snapToGrid w:val="0"/>
          <w:sz w:val="28"/>
          <w:szCs w:val="28"/>
          <w:u w:val="single"/>
          <w:lang w:val="en-US" w:eastAsia="zh-CN"/>
        </w:rPr>
      </w:pPr>
      <w:r>
        <w:rPr>
          <w:rFonts w:hint="eastAsia"/>
          <w:b w:val="0"/>
          <w:bCs/>
          <w:snapToGrid w:val="0"/>
          <w:sz w:val="28"/>
          <w:szCs w:val="28"/>
          <w:u w:val="none"/>
          <w:lang w:val="en-US" w:eastAsia="zh-CN"/>
        </w:rPr>
        <w:t>项目名称：舟山市高新区110MW/220MWh电网侧储能项目储能设备采购项目</w:t>
      </w:r>
    </w:p>
    <w:p w14:paraId="58118182">
      <w:pPr>
        <w:pStyle w:val="8"/>
        <w:numPr>
          <w:ilvl w:val="0"/>
          <w:numId w:val="0"/>
        </w:numPr>
        <w:adjustRightInd w:val="0"/>
        <w:snapToGrid w:val="0"/>
        <w:spacing w:before="0" w:beforeAutospacing="0" w:after="0" w:afterAutospacing="0" w:line="360" w:lineRule="auto"/>
        <w:ind w:leftChars="0"/>
        <w:jc w:val="both"/>
        <w:rPr>
          <w:rFonts w:hint="default"/>
          <w:b w:val="0"/>
          <w:bCs/>
          <w:snapToGrid w:val="0"/>
          <w:sz w:val="28"/>
          <w:szCs w:val="28"/>
          <w:u w:val="single"/>
          <w:lang w:val="en-US" w:eastAsia="zh-CN"/>
        </w:rPr>
      </w:pPr>
      <w:r>
        <w:rPr>
          <w:rFonts w:hint="eastAsia"/>
          <w:b w:val="0"/>
          <w:bCs/>
          <w:snapToGrid w:val="0"/>
          <w:sz w:val="28"/>
          <w:szCs w:val="28"/>
          <w:u w:val="none"/>
          <w:lang w:val="en-US" w:eastAsia="zh-CN"/>
        </w:rPr>
        <w:t>首次公告时间：</w:t>
      </w:r>
      <w:r>
        <w:rPr>
          <w:rFonts w:hint="eastAsia"/>
          <w:b w:val="0"/>
          <w:bCs/>
          <w:snapToGrid w:val="0"/>
          <w:sz w:val="28"/>
          <w:szCs w:val="28"/>
          <w:u w:val="single"/>
          <w:lang w:val="en-US" w:eastAsia="zh-CN"/>
        </w:rPr>
        <w:t>2025年6月30日</w:t>
      </w:r>
    </w:p>
    <w:p w14:paraId="08A0F305">
      <w:pPr>
        <w:pStyle w:val="8"/>
        <w:numPr>
          <w:ilvl w:val="0"/>
          <w:numId w:val="1"/>
        </w:numPr>
        <w:adjustRightInd w:val="0"/>
        <w:snapToGrid w:val="0"/>
        <w:spacing w:before="0" w:beforeAutospacing="0" w:after="0" w:afterAutospacing="0" w:line="360" w:lineRule="auto"/>
        <w:ind w:left="-422" w:leftChars="0" w:firstLine="422" w:firstLineChars="0"/>
        <w:jc w:val="both"/>
        <w:rPr>
          <w:rFonts w:hint="default"/>
          <w:b/>
          <w:snapToGrid w:val="0"/>
          <w:sz w:val="28"/>
          <w:szCs w:val="28"/>
          <w:lang w:val="en-US" w:eastAsia="zh-CN"/>
        </w:rPr>
      </w:pPr>
      <w:r>
        <w:rPr>
          <w:rFonts w:hint="eastAsia"/>
          <w:b/>
          <w:snapToGrid w:val="0"/>
          <w:sz w:val="28"/>
          <w:szCs w:val="28"/>
          <w:lang w:val="en-US" w:eastAsia="zh-CN"/>
        </w:rPr>
        <w:t>疑问回复</w:t>
      </w:r>
    </w:p>
    <w:p w14:paraId="70517ACA">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60" w:lineRule="exact"/>
        <w:ind w:leftChars="0"/>
        <w:jc w:val="both"/>
        <w:textAlignment w:val="auto"/>
        <w:rPr>
          <w:rFonts w:hint="eastAsia"/>
          <w:b w:val="0"/>
          <w:bCs/>
          <w:snapToGrid w:val="0"/>
          <w:sz w:val="28"/>
          <w:szCs w:val="28"/>
          <w:highlight w:val="none"/>
          <w:lang w:val="en-US" w:eastAsia="zh-CN"/>
        </w:rPr>
      </w:pPr>
      <w:r>
        <w:rPr>
          <w:rFonts w:hint="eastAsia"/>
          <w:b/>
          <w:bCs w:val="0"/>
          <w:snapToGrid w:val="0"/>
          <w:sz w:val="28"/>
          <w:szCs w:val="28"/>
          <w:highlight w:val="none"/>
          <w:lang w:val="en-US" w:eastAsia="zh-CN"/>
        </w:rPr>
        <w:t>疑问1：</w:t>
      </w:r>
      <w:r>
        <w:rPr>
          <w:rFonts w:hint="eastAsia"/>
          <w:b w:val="0"/>
          <w:bCs/>
          <w:snapToGrid w:val="0"/>
          <w:sz w:val="28"/>
          <w:szCs w:val="28"/>
          <w:highlight w:val="none"/>
          <w:lang w:val="en-US" w:eastAsia="zh-CN"/>
        </w:rPr>
        <w:t>技术协议书 4.3 中压部分主要技术参数及要求 “变压器、高压室作为变流升压系统设备不可分割的整体由同一中标人成套提供。储能系统升压变采用干变方案，与环网柜、储能变流器成套集成。” 4.3.7高压室技术要求 “高压室采用断路器+隔离开关方案，设置避雷器等，与变压器、PCS成套集成。”提问：上述高压室和环网柜描述前后矛盾，请问采用环网柜还是高压柜？</w:t>
      </w:r>
    </w:p>
    <w:p w14:paraId="3960B24C">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default"/>
          <w:b w:val="0"/>
          <w:bCs/>
          <w:snapToGrid w:val="0"/>
          <w:sz w:val="28"/>
          <w:szCs w:val="28"/>
          <w:highlight w:val="none"/>
          <w:lang w:val="en-US" w:eastAsia="zh-CN"/>
        </w:rPr>
      </w:pPr>
      <w:r>
        <w:rPr>
          <w:rFonts w:hint="eastAsia" w:ascii="宋体" w:hAnsi="宋体" w:cs="宋体"/>
          <w:b/>
          <w:bCs w:val="0"/>
          <w:snapToGrid w:val="0"/>
          <w:sz w:val="28"/>
          <w:szCs w:val="28"/>
          <w:lang w:val="en-US" w:eastAsia="zh-CN"/>
        </w:rPr>
        <w:t>答：</w:t>
      </w:r>
      <w:r>
        <w:rPr>
          <w:rFonts w:hint="eastAsia" w:cs="宋体"/>
          <w:b/>
          <w:bCs w:val="0"/>
          <w:snapToGrid w:val="0"/>
          <w:sz w:val="28"/>
          <w:szCs w:val="28"/>
          <w:lang w:val="en-US" w:eastAsia="zh-CN"/>
        </w:rPr>
        <w:t>采用高压室型式。</w:t>
      </w:r>
    </w:p>
    <w:p w14:paraId="0D3B9F5C">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60" w:lineRule="exact"/>
        <w:ind w:leftChars="0"/>
        <w:jc w:val="both"/>
        <w:textAlignment w:val="auto"/>
        <w:rPr>
          <w:rFonts w:hint="eastAsia"/>
          <w:b/>
          <w:bCs w:val="0"/>
          <w:snapToGrid w:val="0"/>
          <w:sz w:val="28"/>
          <w:szCs w:val="28"/>
          <w:highlight w:val="none"/>
          <w:lang w:val="en-US" w:eastAsia="zh-CN"/>
        </w:rPr>
      </w:pPr>
      <w:r>
        <w:rPr>
          <w:rFonts w:hint="eastAsia"/>
          <w:b/>
          <w:bCs w:val="0"/>
          <w:snapToGrid w:val="0"/>
          <w:sz w:val="28"/>
          <w:szCs w:val="28"/>
          <w:highlight w:val="none"/>
          <w:lang w:val="en-US" w:eastAsia="zh-CN"/>
        </w:rPr>
        <w:t>疑问2：</w:t>
      </w:r>
      <w:r>
        <w:rPr>
          <w:rFonts w:hint="eastAsia"/>
          <w:b w:val="0"/>
          <w:bCs/>
          <w:snapToGrid w:val="0"/>
          <w:sz w:val="28"/>
          <w:szCs w:val="28"/>
          <w:highlight w:val="none"/>
          <w:lang w:val="en-US" w:eastAsia="zh-CN"/>
        </w:rPr>
        <w:t xml:space="preserve">技术协议书（100MW/200MWh）和招标文件（110MW/220MWh）储能容量不符，以哪个为准？ </w:t>
      </w:r>
    </w:p>
    <w:p w14:paraId="377BEB7F">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default"/>
          <w:b/>
          <w:bCs w:val="0"/>
          <w:snapToGrid w:val="0"/>
          <w:sz w:val="28"/>
          <w:szCs w:val="28"/>
          <w:lang w:val="en-US" w:eastAsia="zh-CN"/>
        </w:rPr>
      </w:pPr>
      <w:r>
        <w:rPr>
          <w:rFonts w:hint="eastAsia" w:ascii="宋体" w:hAnsi="宋体" w:cs="宋体"/>
          <w:b/>
          <w:bCs w:val="0"/>
          <w:snapToGrid w:val="0"/>
          <w:sz w:val="28"/>
          <w:szCs w:val="28"/>
          <w:lang w:val="en-US" w:eastAsia="zh-CN"/>
        </w:rPr>
        <w:t>答：</w:t>
      </w:r>
      <w:r>
        <w:rPr>
          <w:rFonts w:hint="eastAsia" w:cs="宋体"/>
          <w:b/>
          <w:bCs w:val="0"/>
          <w:snapToGrid w:val="0"/>
          <w:sz w:val="28"/>
          <w:szCs w:val="28"/>
          <w:lang w:val="en-US" w:eastAsia="zh-CN"/>
        </w:rPr>
        <w:t>标称容量100MW/200MWh,超配10%，实际容量为110MW/220MWh。</w:t>
      </w:r>
    </w:p>
    <w:p w14:paraId="1F6BAA35">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60" w:lineRule="exact"/>
        <w:ind w:leftChars="0"/>
        <w:jc w:val="both"/>
        <w:textAlignment w:val="auto"/>
        <w:rPr>
          <w:rFonts w:hint="eastAsia"/>
          <w:b/>
          <w:bCs w:val="0"/>
          <w:snapToGrid w:val="0"/>
          <w:sz w:val="28"/>
          <w:szCs w:val="28"/>
          <w:lang w:val="en-US" w:eastAsia="zh-CN"/>
        </w:rPr>
      </w:pPr>
      <w:r>
        <w:rPr>
          <w:rFonts w:hint="eastAsia"/>
          <w:b/>
          <w:bCs w:val="0"/>
          <w:snapToGrid w:val="0"/>
          <w:sz w:val="28"/>
          <w:szCs w:val="28"/>
          <w:lang w:val="en-US" w:eastAsia="zh-CN"/>
        </w:rPr>
        <w:t>疑问3：</w:t>
      </w:r>
      <w:r>
        <w:rPr>
          <w:rFonts w:hint="eastAsia"/>
          <w:b w:val="0"/>
          <w:bCs/>
          <w:snapToGrid w:val="0"/>
          <w:sz w:val="28"/>
          <w:szCs w:val="28"/>
          <w:lang w:val="en-US" w:eastAsia="zh-CN"/>
        </w:rPr>
        <w:t>技术协议书 2.1 项目概况 “本项目储能系统建设规模为100MW/200MWh（交流并网点容量），由22个5MW/10.0318MWh储能单元组成，每个5MW/10.0318MWh储能单元包含1台5MW升压变流一体机，2台5.0159MWh储能电池预制舱，共计22个储能单元以4回35kV集电线路接至升压站。” 提问：我司拟采用16套6.7MW/13.374MWh和1套3.34MW/6.269MWh的方案，这样配置减少占地面积，是否可以？</w:t>
      </w:r>
    </w:p>
    <w:p w14:paraId="6DB27224">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default" w:ascii="宋体" w:hAnsi="宋体" w:eastAsia="宋体" w:cs="宋体"/>
          <w:b w:val="0"/>
          <w:bCs/>
          <w:snapToGrid w:val="0"/>
          <w:sz w:val="28"/>
          <w:szCs w:val="28"/>
          <w:lang w:val="en-US" w:eastAsia="zh-CN"/>
        </w:rPr>
      </w:pPr>
      <w:r>
        <w:rPr>
          <w:rFonts w:hint="eastAsia"/>
          <w:b/>
          <w:bCs w:val="0"/>
          <w:snapToGrid w:val="0"/>
          <w:sz w:val="28"/>
          <w:szCs w:val="28"/>
          <w:lang w:val="en-US" w:eastAsia="zh-CN"/>
        </w:rPr>
        <w:t>答：按原招标文件执行。</w:t>
      </w:r>
    </w:p>
    <w:p w14:paraId="5118DD4B">
      <w:pPr>
        <w:pStyle w:val="3"/>
        <w:numPr>
          <w:ilvl w:val="0"/>
          <w:numId w:val="2"/>
        </w:numPr>
        <w:spacing w:before="4"/>
        <w:ind w:left="0" w:leftChars="0" w:firstLine="0" w:firstLineChars="0"/>
        <w:jc w:val="left"/>
        <w:rPr>
          <w:rFonts w:hint="eastAsia" w:ascii="宋体" w:hAnsi="宋体" w:eastAsia="宋体" w:cs="宋体"/>
          <w:b w:val="0"/>
          <w:bCs/>
          <w:snapToGrid w:val="0"/>
          <w:sz w:val="28"/>
          <w:szCs w:val="28"/>
          <w:lang w:val="en-US" w:eastAsia="zh-CN"/>
        </w:rPr>
      </w:pPr>
      <w:r>
        <w:rPr>
          <w:rFonts w:hint="eastAsia"/>
          <w:b/>
          <w:bCs w:val="0"/>
          <w:snapToGrid w:val="0"/>
          <w:sz w:val="28"/>
          <w:szCs w:val="28"/>
          <w:lang w:val="en-US" w:eastAsia="zh-CN"/>
        </w:rPr>
        <w:t>疑问4：</w:t>
      </w:r>
      <w:r>
        <w:rPr>
          <w:rFonts w:hint="eastAsia" w:ascii="宋体" w:hAnsi="宋体" w:eastAsia="宋体" w:cs="宋体"/>
          <w:b w:val="0"/>
          <w:bCs/>
          <w:snapToGrid w:val="0"/>
          <w:sz w:val="28"/>
          <w:szCs w:val="28"/>
          <w:lang w:val="en-US" w:eastAsia="zh-CN"/>
        </w:rPr>
        <w:t xml:space="preserve">第四章 合同条款及格式  九、付款 1.本合同综合单价固定。如遇国家增值税税率调整，乙方承诺当期不含税单价保持不变。 请问： 1、请问能否增加电池舱价格和原材料价格之间的价格联动公式？可保障双方利益。 </w:t>
      </w:r>
    </w:p>
    <w:p w14:paraId="1CBA9A14">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宋体" w:hAnsi="宋体" w:eastAsia="宋体" w:cs="宋体"/>
          <w:b w:val="0"/>
          <w:bCs/>
          <w:snapToGrid w:val="0"/>
          <w:sz w:val="28"/>
          <w:szCs w:val="28"/>
          <w:lang w:val="en-US" w:eastAsia="zh-CN"/>
        </w:rPr>
      </w:pPr>
      <w:r>
        <w:rPr>
          <w:rFonts w:hint="eastAsia" w:ascii="宋体" w:hAnsi="宋体" w:eastAsia="宋体" w:cs="宋体"/>
          <w:b w:val="0"/>
          <w:bCs/>
          <w:snapToGrid w:val="0"/>
          <w:sz w:val="28"/>
          <w:szCs w:val="28"/>
          <w:lang w:val="en-US" w:eastAsia="zh-CN"/>
        </w:rPr>
        <w:t xml:space="preserve"> </w:t>
      </w:r>
      <w:r>
        <w:rPr>
          <w:rFonts w:hint="eastAsia"/>
          <w:b/>
          <w:bCs w:val="0"/>
          <w:snapToGrid w:val="0"/>
          <w:sz w:val="28"/>
          <w:szCs w:val="28"/>
          <w:lang w:val="en-US" w:eastAsia="zh-CN"/>
        </w:rPr>
        <w:t>答：按原招标文件执行。</w:t>
      </w:r>
    </w:p>
    <w:p w14:paraId="23C83EBC">
      <w:pPr>
        <w:pStyle w:val="3"/>
        <w:numPr>
          <w:ilvl w:val="0"/>
          <w:numId w:val="2"/>
        </w:numPr>
        <w:spacing w:before="4"/>
        <w:ind w:left="0" w:leftChars="0" w:firstLine="0" w:firstLineChars="0"/>
        <w:jc w:val="left"/>
        <w:rPr>
          <w:rFonts w:hint="eastAsia" w:ascii="宋体" w:hAnsi="宋体" w:eastAsia="宋体" w:cs="宋体"/>
          <w:b w:val="0"/>
          <w:bCs/>
          <w:snapToGrid w:val="0"/>
          <w:sz w:val="28"/>
          <w:szCs w:val="28"/>
          <w:lang w:val="en-US" w:eastAsia="zh-CN"/>
        </w:rPr>
      </w:pPr>
      <w:r>
        <w:rPr>
          <w:rFonts w:hint="eastAsia"/>
          <w:b/>
          <w:bCs w:val="0"/>
          <w:snapToGrid w:val="0"/>
          <w:sz w:val="28"/>
          <w:szCs w:val="28"/>
          <w:lang w:val="en-US" w:eastAsia="zh-CN"/>
        </w:rPr>
        <w:t>疑问5</w:t>
      </w:r>
      <w:r>
        <w:rPr>
          <w:rFonts w:hint="eastAsia"/>
          <w:b w:val="0"/>
          <w:bCs/>
          <w:snapToGrid w:val="0"/>
          <w:sz w:val="28"/>
          <w:szCs w:val="28"/>
          <w:lang w:val="en-US" w:eastAsia="zh-CN"/>
        </w:rPr>
        <w:t>：</w:t>
      </w:r>
      <w:r>
        <w:rPr>
          <w:rFonts w:hint="eastAsia" w:ascii="宋体" w:hAnsi="宋体" w:eastAsia="宋体" w:cs="宋体"/>
          <w:b w:val="0"/>
          <w:bCs/>
          <w:snapToGrid w:val="0"/>
          <w:sz w:val="28"/>
          <w:szCs w:val="28"/>
          <w:u w:val="none"/>
          <w:lang w:val="en-US" w:eastAsia="zh-CN"/>
        </w:rPr>
        <w:t xml:space="preserve">第四章 合同条款及格式 九、付款 </w:t>
      </w:r>
      <w:r>
        <w:rPr>
          <w:rFonts w:hint="eastAsia" w:cs="宋体"/>
          <w:sz w:val="28"/>
          <w:szCs w:val="28"/>
          <w:u w:val="none"/>
          <w:lang w:val="zh-CN"/>
        </w:rPr>
        <w:t>2.付款方式：合同签订后甲方向乙方支付合同价的5%（最高500万元），乙方开始排产。后续均为甲方收到业主方款项后支付，具体为收到业主方预付款后支付至合同价的30%，发货前且图纸盖章确认后付至合同金额的60%，到货后付至实际供货数量对应的合同金额的80%，并网试验通过后支付至实际供货数量对应的合同金额的85%；涉网试验完成后，支付至实际供货数量对应的合同金额的90%:项目竣工验收合格(含并网试验涉网试验验收合格)提供完整的竣工资料并结算完成后，支付至完成供货数量对应的合同金额的100%，付款前乙方应提供完成供货数量对应的合同金额1.5%的银行保函作为质保金，时间同保修期。保修期结束且无质量问题，甲方确认后 30 日内无息退还。如保修期内因产品质量问题扣款后不足时，乙方应补足。</w:t>
      </w:r>
      <w:r>
        <w:rPr>
          <w:rFonts w:hint="eastAsia" w:ascii="宋体" w:hAnsi="宋体" w:eastAsia="宋体" w:cs="宋体"/>
          <w:b w:val="0"/>
          <w:bCs/>
          <w:snapToGrid w:val="0"/>
          <w:sz w:val="28"/>
          <w:szCs w:val="28"/>
          <w:lang w:val="en-US" w:eastAsia="zh-CN"/>
        </w:rPr>
        <w:t>请问： 1、请问业主付款的账期及各阶段款项的请款资料都有哪些？ 2、请问若业主未付款，但乙方已正常履约，款项是否可照常支付？</w:t>
      </w:r>
      <w:r>
        <w:rPr>
          <w:rFonts w:hint="eastAsia" w:ascii="宋体" w:hAnsi="宋体" w:eastAsia="宋体" w:cs="宋体"/>
          <w:b w:val="0"/>
          <w:bCs/>
          <w:snapToGrid w:val="0"/>
          <w:sz w:val="28"/>
          <w:szCs w:val="28"/>
          <w:u w:val="none"/>
          <w:lang w:val="en-US" w:eastAsia="zh-CN"/>
        </w:rPr>
        <w:t xml:space="preserve"> 3、</w:t>
      </w:r>
      <w:r>
        <w:rPr>
          <w:rFonts w:hint="eastAsia" w:cs="宋体"/>
          <w:sz w:val="28"/>
          <w:szCs w:val="28"/>
          <w:u w:val="none"/>
          <w:lang w:val="zh-CN"/>
        </w:rPr>
        <w:t xml:space="preserve">请问若非乙方原因导致到货后30日仍未进行到货验收，那是否可视为已完成到货验收？ </w:t>
      </w:r>
      <w:r>
        <w:rPr>
          <w:rFonts w:hint="eastAsia" w:cs="宋体"/>
          <w:sz w:val="28"/>
          <w:szCs w:val="28"/>
          <w:u w:val="none"/>
          <w:lang w:val="en-US" w:eastAsia="zh-CN"/>
        </w:rPr>
        <w:t>4、</w:t>
      </w:r>
      <w:r>
        <w:rPr>
          <w:rFonts w:hint="eastAsia" w:cs="宋体"/>
          <w:sz w:val="28"/>
          <w:szCs w:val="28"/>
          <w:u w:val="none"/>
          <w:lang w:val="zh-CN"/>
        </w:rPr>
        <w:t xml:space="preserve">请问若非乙方原因导致到货后90日仍未进行并网及涉网试验，那是否可视为已完成并网及涉网试验？ </w:t>
      </w:r>
    </w:p>
    <w:p w14:paraId="2A3A2E75">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cs="宋体"/>
          <w:sz w:val="28"/>
          <w:szCs w:val="28"/>
          <w:u w:val="single"/>
          <w:lang w:val="zh-CN"/>
        </w:rPr>
      </w:pPr>
      <w:r>
        <w:rPr>
          <w:rFonts w:hint="eastAsia" w:ascii="宋体" w:hAnsi="宋体" w:eastAsia="宋体" w:cs="宋体"/>
          <w:b w:val="0"/>
          <w:bCs/>
          <w:snapToGrid w:val="0"/>
          <w:sz w:val="28"/>
          <w:szCs w:val="28"/>
          <w:lang w:val="en-US" w:eastAsia="zh-CN"/>
        </w:rPr>
        <w:t xml:space="preserve"> </w:t>
      </w:r>
      <w:r>
        <w:rPr>
          <w:rFonts w:hint="eastAsia"/>
          <w:b/>
          <w:bCs w:val="0"/>
          <w:snapToGrid w:val="0"/>
          <w:sz w:val="28"/>
          <w:szCs w:val="28"/>
          <w:lang w:val="en-US" w:eastAsia="zh-CN"/>
        </w:rPr>
        <w:t>答：按招标文件约定条款执行。</w:t>
      </w:r>
    </w:p>
    <w:p w14:paraId="6A9142E5">
      <w:pPr>
        <w:pStyle w:val="3"/>
        <w:numPr>
          <w:ilvl w:val="0"/>
          <w:numId w:val="2"/>
        </w:numPr>
        <w:spacing w:before="4"/>
        <w:ind w:left="0" w:leftChars="0" w:firstLine="0" w:firstLineChars="0"/>
        <w:jc w:val="left"/>
        <w:rPr>
          <w:rFonts w:hint="eastAsia" w:cs="宋体"/>
          <w:sz w:val="28"/>
          <w:szCs w:val="28"/>
          <w:u w:val="none"/>
          <w:lang w:val="zh-CN"/>
        </w:rPr>
      </w:pPr>
      <w:r>
        <w:rPr>
          <w:rFonts w:hint="eastAsia"/>
          <w:b/>
          <w:bCs w:val="0"/>
          <w:snapToGrid w:val="0"/>
          <w:sz w:val="28"/>
          <w:szCs w:val="28"/>
          <w:u w:val="none"/>
          <w:lang w:val="en-US" w:eastAsia="zh-CN"/>
        </w:rPr>
        <w:t>疑问6：</w:t>
      </w:r>
      <w:r>
        <w:rPr>
          <w:rFonts w:hint="eastAsia"/>
          <w:b w:val="0"/>
          <w:bCs/>
          <w:snapToGrid w:val="0"/>
          <w:sz w:val="28"/>
          <w:szCs w:val="28"/>
          <w:u w:val="none"/>
          <w:lang w:val="en-US" w:eastAsia="zh-CN"/>
        </w:rPr>
        <w:t xml:space="preserve">第四章 合同条款及格式 </w:t>
      </w:r>
      <w:r>
        <w:rPr>
          <w:rFonts w:hint="eastAsia" w:cs="宋体"/>
          <w:sz w:val="28"/>
          <w:szCs w:val="28"/>
          <w:u w:val="none"/>
          <w:lang w:val="zh-CN"/>
        </w:rPr>
        <w:t xml:space="preserve">九、付款 3.甲方付款前乙方应提供相应数额的增值税专用发票，否则甲方有权拒绝付款且不视为甲方违约。 4.甲方有权采用银行承兑汇票方式来支付货款。5.履约保证金： 缴纳金额：合同签约价的2%； 缴纳形式：银行转账或银行保函。 缴纳时间：乙方应在中标通知书领取之后14天内将履约保证金的缴纳凭证提交甲方。 请问： 1、增值税专用发票是否可在并网验收后一次性开具合同金额100%？ 2、银行承兑汇票的付款期限为多长时间？ </w:t>
      </w:r>
      <w:r>
        <w:rPr>
          <w:rFonts w:hint="eastAsia" w:cs="宋体"/>
          <w:sz w:val="28"/>
          <w:szCs w:val="28"/>
          <w:u w:val="none"/>
          <w:lang w:val="en-US" w:eastAsia="zh-CN"/>
        </w:rPr>
        <w:t>3、</w:t>
      </w:r>
      <w:r>
        <w:rPr>
          <w:rFonts w:hint="eastAsia" w:cs="宋体"/>
          <w:sz w:val="28"/>
          <w:szCs w:val="28"/>
          <w:u w:val="none"/>
          <w:lang w:val="zh-CN"/>
        </w:rPr>
        <w:t xml:space="preserve">履约保证金的缴纳时间是否可改为合同签署后14天内？ </w:t>
      </w:r>
    </w:p>
    <w:p w14:paraId="1AE04178">
      <w:pPr>
        <w:pStyle w:val="3"/>
        <w:numPr>
          <w:ilvl w:val="0"/>
          <w:numId w:val="0"/>
        </w:numPr>
        <w:spacing w:before="4"/>
        <w:ind w:leftChars="0"/>
        <w:jc w:val="left"/>
        <w:rPr>
          <w:rFonts w:hint="eastAsia"/>
          <w:b/>
          <w:bCs w:val="0"/>
          <w:snapToGrid w:val="0"/>
          <w:sz w:val="28"/>
          <w:szCs w:val="28"/>
          <w:lang w:val="zh-CN" w:eastAsia="zh-CN"/>
        </w:rPr>
      </w:pPr>
      <w:r>
        <w:rPr>
          <w:rFonts w:hint="eastAsia"/>
          <w:b/>
          <w:bCs w:val="0"/>
          <w:snapToGrid w:val="0"/>
          <w:sz w:val="28"/>
          <w:szCs w:val="28"/>
          <w:lang w:val="en-US" w:eastAsia="zh-CN"/>
        </w:rPr>
        <w:t>答：1、</w:t>
      </w:r>
      <w:r>
        <w:rPr>
          <w:rFonts w:hint="eastAsia" w:cs="宋体"/>
          <w:b/>
          <w:bCs w:val="0"/>
          <w:sz w:val="28"/>
          <w:szCs w:val="28"/>
          <w:u w:val="none"/>
          <w:lang w:val="zh-CN"/>
        </w:rPr>
        <w:t>增值税专用发票可以在并网验收后一次性开具合同金额100%；</w:t>
      </w:r>
      <w:r>
        <w:rPr>
          <w:rFonts w:hint="eastAsia" w:cs="宋体"/>
          <w:b/>
          <w:bCs w:val="0"/>
          <w:sz w:val="28"/>
          <w:szCs w:val="28"/>
          <w:u w:val="none"/>
          <w:lang w:val="en-US" w:eastAsia="zh-CN"/>
        </w:rPr>
        <w:t>2、最长不超过6个月；3、按原招标文件执行。</w:t>
      </w:r>
    </w:p>
    <w:p w14:paraId="7E532C0D">
      <w:pPr>
        <w:pStyle w:val="3"/>
        <w:numPr>
          <w:ilvl w:val="0"/>
          <w:numId w:val="2"/>
        </w:numPr>
        <w:spacing w:before="4"/>
        <w:ind w:left="0" w:leftChars="0" w:firstLine="0" w:firstLineChars="0"/>
        <w:jc w:val="left"/>
        <w:rPr>
          <w:rFonts w:hint="eastAsia" w:cs="宋体"/>
          <w:sz w:val="28"/>
          <w:szCs w:val="28"/>
          <w:u w:val="none"/>
          <w:lang w:val="zh-CN"/>
        </w:rPr>
      </w:pPr>
      <w:r>
        <w:rPr>
          <w:rFonts w:hint="eastAsia"/>
          <w:b/>
          <w:bCs w:val="0"/>
          <w:snapToGrid w:val="0"/>
          <w:sz w:val="28"/>
          <w:szCs w:val="28"/>
          <w:u w:val="none"/>
          <w:lang w:val="en-US" w:eastAsia="zh-CN"/>
        </w:rPr>
        <w:t>疑问7：</w:t>
      </w:r>
      <w:r>
        <w:rPr>
          <w:rFonts w:hint="eastAsia"/>
          <w:b w:val="0"/>
          <w:bCs/>
          <w:snapToGrid w:val="0"/>
          <w:sz w:val="28"/>
          <w:szCs w:val="28"/>
          <w:u w:val="none"/>
          <w:lang w:val="en-US" w:eastAsia="zh-CN"/>
        </w:rPr>
        <w:t>第四章 合同条款及格式</w:t>
      </w:r>
      <w:r>
        <w:rPr>
          <w:rFonts w:hint="eastAsia" w:cs="宋体"/>
          <w:sz w:val="28"/>
          <w:szCs w:val="28"/>
          <w:u w:val="none"/>
          <w:lang w:val="zh-CN"/>
        </w:rPr>
        <w:t xml:space="preserve"> 十、验收 2.甲方有权在所有到货的货物中随机抽取样品，进行委托检验，检验合格检验费用由甲方支付，检验不合格检验费用由乙方支付。 请问： 1、到货抽检主要会涉及哪些参数的检测，若检测合格后，检测设备是否可直接再利用，不影响项目进度？ </w:t>
      </w:r>
    </w:p>
    <w:p w14:paraId="27077AFD">
      <w:pPr>
        <w:pStyle w:val="3"/>
        <w:numPr>
          <w:ilvl w:val="0"/>
          <w:numId w:val="0"/>
        </w:numPr>
        <w:spacing w:before="4"/>
        <w:ind w:leftChars="0"/>
        <w:jc w:val="left"/>
        <w:rPr>
          <w:rFonts w:hint="eastAsia" w:cs="宋体"/>
          <w:b/>
          <w:bCs/>
          <w:sz w:val="28"/>
          <w:szCs w:val="28"/>
          <w:u w:val="single"/>
          <w:lang w:val="zh-CN"/>
        </w:rPr>
      </w:pPr>
      <w:r>
        <w:rPr>
          <w:rFonts w:hint="eastAsia"/>
          <w:b/>
          <w:bCs w:val="0"/>
          <w:snapToGrid w:val="0"/>
          <w:sz w:val="28"/>
          <w:szCs w:val="28"/>
          <w:lang w:val="en-US" w:eastAsia="zh-CN"/>
        </w:rPr>
        <w:t>答：</w:t>
      </w:r>
      <w:r>
        <w:rPr>
          <w:rFonts w:hint="eastAsia" w:cs="宋体"/>
          <w:b/>
          <w:bCs/>
          <w:sz w:val="28"/>
          <w:szCs w:val="28"/>
          <w:u w:val="none"/>
          <w:lang w:val="zh-CN"/>
        </w:rPr>
        <w:t>到货抽检涉及参数由招标人根据实际情况进行决定，检测合格后，在不影响项目进度的前提下，检测设备可直接再利用。</w:t>
      </w:r>
    </w:p>
    <w:p w14:paraId="5E268FC7">
      <w:pPr>
        <w:pStyle w:val="3"/>
        <w:numPr>
          <w:ilvl w:val="0"/>
          <w:numId w:val="2"/>
        </w:numPr>
        <w:spacing w:before="4"/>
        <w:ind w:left="0" w:leftChars="0" w:firstLine="0" w:firstLineChars="0"/>
        <w:jc w:val="left"/>
        <w:rPr>
          <w:rFonts w:hint="eastAsia" w:cs="宋体"/>
          <w:sz w:val="28"/>
          <w:szCs w:val="28"/>
          <w:u w:val="none"/>
          <w:lang w:val="zh-CN"/>
        </w:rPr>
      </w:pPr>
      <w:r>
        <w:rPr>
          <w:rFonts w:hint="eastAsia"/>
          <w:b/>
          <w:bCs w:val="0"/>
          <w:snapToGrid w:val="0"/>
          <w:sz w:val="28"/>
          <w:szCs w:val="28"/>
          <w:u w:val="none"/>
          <w:lang w:val="en-US" w:eastAsia="zh-CN"/>
        </w:rPr>
        <w:t>疑问8：</w:t>
      </w:r>
      <w:r>
        <w:rPr>
          <w:rFonts w:hint="eastAsia"/>
          <w:b w:val="0"/>
          <w:bCs/>
          <w:snapToGrid w:val="0"/>
          <w:sz w:val="28"/>
          <w:szCs w:val="28"/>
          <w:u w:val="none"/>
          <w:lang w:val="en-US" w:eastAsia="zh-CN"/>
        </w:rPr>
        <w:t xml:space="preserve">第四章 合同条款及格式 </w:t>
      </w:r>
      <w:r>
        <w:rPr>
          <w:rFonts w:hint="eastAsia" w:cs="宋体"/>
          <w:sz w:val="28"/>
          <w:szCs w:val="28"/>
          <w:u w:val="none"/>
          <w:lang w:val="zh-CN"/>
        </w:rPr>
        <w:t xml:space="preserve"> 十一、保修期 6.质量安全监督部门在工程质量监督管理过程中，如需作一定的抽检，乙方应予以支持配合其费用由乙方自行承担。 请问： 1、若是要求进行抽检，抽检费用是否可改为若检验合格检验费用由甲方支付，检验不合格检验费用由乙方支付？ </w:t>
      </w:r>
    </w:p>
    <w:p w14:paraId="60BE06F6">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cs="宋体"/>
          <w:sz w:val="28"/>
          <w:szCs w:val="28"/>
          <w:u w:val="single"/>
          <w:lang w:val="zh-CN"/>
        </w:rPr>
      </w:pPr>
      <w:r>
        <w:rPr>
          <w:rFonts w:hint="eastAsia"/>
          <w:b/>
          <w:bCs w:val="0"/>
          <w:snapToGrid w:val="0"/>
          <w:sz w:val="28"/>
          <w:szCs w:val="28"/>
          <w:lang w:val="en-US" w:eastAsia="zh-CN"/>
        </w:rPr>
        <w:t>答：按原招标文件执行。</w:t>
      </w:r>
    </w:p>
    <w:p w14:paraId="3F93D10C">
      <w:pPr>
        <w:pStyle w:val="3"/>
        <w:numPr>
          <w:ilvl w:val="0"/>
          <w:numId w:val="2"/>
        </w:numPr>
        <w:spacing w:before="4"/>
        <w:ind w:left="0" w:leftChars="0" w:firstLine="0" w:firstLineChars="0"/>
        <w:jc w:val="left"/>
        <w:rPr>
          <w:rFonts w:hint="eastAsia" w:cs="宋体"/>
          <w:sz w:val="28"/>
          <w:szCs w:val="28"/>
          <w:u w:val="single"/>
          <w:lang w:val="zh-CN"/>
        </w:rPr>
      </w:pPr>
      <w:r>
        <w:rPr>
          <w:rFonts w:hint="eastAsia"/>
          <w:b/>
          <w:bCs w:val="0"/>
          <w:snapToGrid w:val="0"/>
          <w:sz w:val="28"/>
          <w:szCs w:val="28"/>
          <w:u w:val="none"/>
          <w:lang w:val="en-US" w:eastAsia="zh-CN"/>
        </w:rPr>
        <w:t>疑问9</w:t>
      </w:r>
      <w:r>
        <w:rPr>
          <w:rFonts w:hint="eastAsia" w:cs="宋体"/>
          <w:b/>
          <w:bCs w:val="0"/>
          <w:sz w:val="28"/>
          <w:szCs w:val="28"/>
          <w:u w:val="none"/>
          <w:lang w:val="en-US" w:eastAsia="zh-CN"/>
        </w:rPr>
        <w:t>:</w:t>
      </w:r>
      <w:r>
        <w:rPr>
          <w:rFonts w:hint="eastAsia" w:cs="宋体"/>
          <w:b/>
          <w:bCs w:val="0"/>
          <w:sz w:val="28"/>
          <w:szCs w:val="28"/>
          <w:u w:val="none"/>
          <w:lang w:val="zh-CN"/>
        </w:rPr>
        <w:t xml:space="preserve"> </w:t>
      </w:r>
      <w:r>
        <w:rPr>
          <w:rFonts w:hint="eastAsia" w:cs="宋体"/>
          <w:sz w:val="28"/>
          <w:szCs w:val="28"/>
          <w:u w:val="none"/>
          <w:lang w:val="zh-CN"/>
        </w:rPr>
        <w:t xml:space="preserve">十二、服务保障 6.在产品的寿命期内，当产品出现故障时，乙方必须保证24小时内有能力解决问题的技术人员到达现场，乙方技术人员对故障设备的完全修复时间不能大于48小时。从甲方发出故障通知算起，设备总修复时间不会超过72小时。 请问： 1、是否可以更改为24小时响应，48小时到达现场，总修复时间不超过168小时？ </w:t>
      </w:r>
    </w:p>
    <w:p w14:paraId="2962A49C">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cs="宋体"/>
          <w:sz w:val="28"/>
          <w:szCs w:val="28"/>
          <w:u w:val="single"/>
          <w:lang w:val="zh-CN"/>
        </w:rPr>
      </w:pPr>
      <w:r>
        <w:rPr>
          <w:rFonts w:hint="eastAsia"/>
          <w:b/>
          <w:bCs w:val="0"/>
          <w:snapToGrid w:val="0"/>
          <w:sz w:val="28"/>
          <w:szCs w:val="28"/>
          <w:lang w:val="en-US" w:eastAsia="zh-CN"/>
        </w:rPr>
        <w:t>答：按原招标文件执行。</w:t>
      </w:r>
    </w:p>
    <w:p w14:paraId="47C4DF18">
      <w:pPr>
        <w:pStyle w:val="3"/>
        <w:numPr>
          <w:ilvl w:val="0"/>
          <w:numId w:val="2"/>
        </w:numPr>
        <w:spacing w:before="4"/>
        <w:ind w:left="0" w:leftChars="0" w:firstLine="0" w:firstLineChars="0"/>
        <w:jc w:val="left"/>
        <w:rPr>
          <w:rFonts w:hint="eastAsia" w:cs="宋体"/>
          <w:sz w:val="28"/>
          <w:szCs w:val="28"/>
          <w:u w:val="none"/>
          <w:lang w:val="zh-CN"/>
        </w:rPr>
      </w:pPr>
      <w:r>
        <w:rPr>
          <w:rFonts w:hint="eastAsia"/>
          <w:b/>
          <w:bCs w:val="0"/>
          <w:snapToGrid w:val="0"/>
          <w:sz w:val="28"/>
          <w:szCs w:val="28"/>
          <w:u w:val="none"/>
          <w:lang w:val="en-US" w:eastAsia="zh-CN"/>
        </w:rPr>
        <w:t>疑问10:</w:t>
      </w:r>
      <w:r>
        <w:rPr>
          <w:rFonts w:hint="eastAsia" w:cs="宋体"/>
          <w:sz w:val="28"/>
          <w:szCs w:val="28"/>
          <w:u w:val="none"/>
          <w:lang w:val="zh-CN"/>
        </w:rPr>
        <w:t>十三、双方责任 2.2乙方应采取严格有效的安全防护措施，在卸货作业中遇到的任何安全事故均由乙方自行负责，甲方受到有关部门处罚或向第三方承担赔偿责任的，可向乙方追偿。 请问： 1、“在卸货作业中遇到的任何安全事故”是否可改为“在卸货作业中乙方引起的任何安全事故”？</w:t>
      </w:r>
    </w:p>
    <w:p w14:paraId="463822D8">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cs="宋体"/>
          <w:sz w:val="28"/>
          <w:szCs w:val="28"/>
          <w:u w:val="single"/>
          <w:lang w:val="zh-CN"/>
        </w:rPr>
      </w:pPr>
      <w:r>
        <w:rPr>
          <w:rFonts w:hint="eastAsia"/>
          <w:b/>
          <w:bCs w:val="0"/>
          <w:snapToGrid w:val="0"/>
          <w:sz w:val="28"/>
          <w:szCs w:val="28"/>
          <w:lang w:val="en-US" w:eastAsia="zh-CN"/>
        </w:rPr>
        <w:t>答：按原招标文件执行。</w:t>
      </w:r>
    </w:p>
    <w:p w14:paraId="64637B57">
      <w:pPr>
        <w:pStyle w:val="3"/>
        <w:numPr>
          <w:ilvl w:val="0"/>
          <w:numId w:val="2"/>
        </w:numPr>
        <w:spacing w:before="4"/>
        <w:ind w:left="0" w:leftChars="0" w:firstLine="0" w:firstLineChars="0"/>
        <w:jc w:val="left"/>
        <w:rPr>
          <w:rFonts w:hint="eastAsia" w:cs="宋体"/>
          <w:sz w:val="28"/>
          <w:szCs w:val="28"/>
          <w:u w:val="none"/>
          <w:lang w:val="zh-CN"/>
        </w:rPr>
      </w:pPr>
      <w:r>
        <w:rPr>
          <w:rFonts w:hint="eastAsia"/>
          <w:b/>
          <w:bCs w:val="0"/>
          <w:snapToGrid w:val="0"/>
          <w:sz w:val="28"/>
          <w:szCs w:val="28"/>
          <w:u w:val="none"/>
          <w:lang w:val="en-US" w:eastAsia="zh-CN"/>
        </w:rPr>
        <w:t>疑问11</w:t>
      </w:r>
      <w:r>
        <w:rPr>
          <w:rFonts w:hint="eastAsia" w:cs="宋体"/>
          <w:b/>
          <w:bCs w:val="0"/>
          <w:sz w:val="28"/>
          <w:szCs w:val="28"/>
          <w:u w:val="none"/>
          <w:lang w:val="en-US" w:eastAsia="zh-CN"/>
        </w:rPr>
        <w:t>:</w:t>
      </w:r>
      <w:r>
        <w:rPr>
          <w:rFonts w:hint="eastAsia" w:cs="宋体"/>
          <w:b/>
          <w:bCs w:val="0"/>
          <w:sz w:val="28"/>
          <w:szCs w:val="28"/>
          <w:u w:val="none"/>
          <w:lang w:val="zh-CN"/>
        </w:rPr>
        <w:t xml:space="preserve"> </w:t>
      </w:r>
      <w:r>
        <w:rPr>
          <w:rFonts w:hint="eastAsia" w:cs="宋体"/>
          <w:sz w:val="28"/>
          <w:szCs w:val="28"/>
          <w:u w:val="none"/>
          <w:lang w:val="zh-CN"/>
        </w:rPr>
        <w:t xml:space="preserve">十四、逾期交货和违约索赔 1.乙方逾期交货 乙方逾期交货，每逾期一天，应按照逾期交货部分总价的千分之三（3‰）向甲方支付违约金。违约金不超过逾期部分货款总额。如乙方逾期交货超过二个自然周（14个自然日），则视为不能交货。 请问： 1、逾期违约金是否可改为逾期交货部分总价的万分之三（0.03%）？ 2、乙方所受到的违约责任是否可以约定上限，比如合同总金额的10%？ </w:t>
      </w:r>
    </w:p>
    <w:p w14:paraId="44F51BE6">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cs="宋体"/>
          <w:sz w:val="28"/>
          <w:szCs w:val="28"/>
          <w:u w:val="single"/>
          <w:lang w:val="zh-CN"/>
        </w:rPr>
      </w:pPr>
      <w:r>
        <w:rPr>
          <w:rFonts w:hint="eastAsia"/>
          <w:b/>
          <w:bCs w:val="0"/>
          <w:snapToGrid w:val="0"/>
          <w:sz w:val="28"/>
          <w:szCs w:val="28"/>
          <w:lang w:val="en-US" w:eastAsia="zh-CN"/>
        </w:rPr>
        <w:t>答：按原招标文件执行。</w:t>
      </w:r>
    </w:p>
    <w:p w14:paraId="539A150F">
      <w:pPr>
        <w:pStyle w:val="3"/>
        <w:numPr>
          <w:ilvl w:val="0"/>
          <w:numId w:val="2"/>
        </w:numPr>
        <w:spacing w:before="4"/>
        <w:ind w:left="0" w:leftChars="0" w:firstLine="0" w:firstLineChars="0"/>
        <w:jc w:val="left"/>
        <w:rPr>
          <w:rFonts w:hint="eastAsia" w:cs="宋体"/>
          <w:sz w:val="28"/>
          <w:szCs w:val="28"/>
          <w:u w:val="none"/>
          <w:lang w:val="zh-CN"/>
        </w:rPr>
      </w:pPr>
      <w:r>
        <w:rPr>
          <w:rFonts w:hint="eastAsia"/>
          <w:b/>
          <w:bCs w:val="0"/>
          <w:snapToGrid w:val="0"/>
          <w:sz w:val="28"/>
          <w:szCs w:val="28"/>
          <w:u w:val="none"/>
          <w:lang w:val="en-US" w:eastAsia="zh-CN"/>
        </w:rPr>
        <w:t>疑问12：</w:t>
      </w:r>
      <w:r>
        <w:rPr>
          <w:rFonts w:hint="eastAsia" w:cs="宋体"/>
          <w:sz w:val="28"/>
          <w:szCs w:val="28"/>
          <w:u w:val="none"/>
          <w:lang w:val="zh-CN"/>
        </w:rPr>
        <w:t xml:space="preserve">十二、服务保障 售后服务 5.储能系统在进行并网试验和涉网试验期间，当产品硬件发生故障且现场无相应备件情况下，乙方应在发生故障12小时内将相应硬件设备送达现场；若产品出现重大事故（如IGPT炸机、电抗器烧毁、变压器故障等），乙方应立即调运设备及人员赴现场进行抢修，并在48小时内完成故障硬件修复，保障调试试验工作正常展开。若乙方未能按照要求处理完成，甲方可采用不支付尾款的方式，乙方须赔偿招标人因此而产生的损失。十四、逾期交货和违约索赔 6.乙方支付的违约金不足以弥补甲方损失的，还应就违约金与损失之间的差额部分向甲方赔偿；乙方应就甲方的直接损失和间接损失进行全部赔偿，包括但不限于：本合同履行后甲方可以获得的利益；甲方与第三人订立合同可得的预期利益；因乙方违约导致甲方无法向第三人履行，而向第三人赔偿的损失；甲方为主张自身权益支出的诉讼、仲裁费用、律师费、保全担保费或者诉责险保险费、交通费、住宿费、差旅费、执行费及其他一切所有费用。 请问： 1、涉及到损失赔偿内容，因间接损失费用难以精确计算，易引发争议，故赔偿的损失是否可以不考虑间接损失部分或将其改为赔偿实际经济损失？ </w:t>
      </w:r>
    </w:p>
    <w:p w14:paraId="000F3622">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cs="宋体"/>
          <w:sz w:val="28"/>
          <w:szCs w:val="28"/>
          <w:u w:val="none"/>
          <w:lang w:val="zh-CN"/>
        </w:rPr>
      </w:pPr>
      <w:r>
        <w:rPr>
          <w:rFonts w:hint="eastAsia"/>
          <w:b/>
          <w:bCs w:val="0"/>
          <w:snapToGrid w:val="0"/>
          <w:sz w:val="28"/>
          <w:szCs w:val="28"/>
          <w:lang w:val="en-US" w:eastAsia="zh-CN"/>
        </w:rPr>
        <w:t>答：按原招标文件执行。</w:t>
      </w:r>
      <w:r>
        <w:rPr>
          <w:rFonts w:hint="eastAsia" w:cs="宋体"/>
          <w:sz w:val="28"/>
          <w:szCs w:val="28"/>
          <w:u w:val="single"/>
          <w:lang w:val="zh-CN"/>
        </w:rPr>
        <w:br w:type="textWrapping"/>
      </w:r>
      <w:r>
        <w:rPr>
          <w:rFonts w:hint="eastAsia" w:cs="宋体"/>
          <w:b/>
          <w:bCs/>
          <w:sz w:val="28"/>
          <w:szCs w:val="28"/>
          <w:u w:val="none"/>
          <w:lang w:val="en-US" w:eastAsia="zh-CN"/>
        </w:rPr>
        <w:t>13、</w:t>
      </w:r>
      <w:r>
        <w:rPr>
          <w:rFonts w:hint="eastAsia"/>
          <w:b/>
          <w:bCs/>
          <w:snapToGrid w:val="0"/>
          <w:sz w:val="28"/>
          <w:szCs w:val="28"/>
          <w:u w:val="none"/>
          <w:lang w:val="en-US" w:eastAsia="zh-CN"/>
        </w:rPr>
        <w:t>疑问13：</w:t>
      </w:r>
      <w:r>
        <w:rPr>
          <w:rFonts w:hint="eastAsia" w:cs="宋体"/>
          <w:sz w:val="28"/>
          <w:szCs w:val="28"/>
          <w:u w:val="none"/>
          <w:lang w:val="zh-CN"/>
        </w:rPr>
        <w:t xml:space="preserve"> 十四、逾期交货和违约索赔 7.前述乙方应承担的违约金或其他损失，乙方未及时支付的，甲方有权在质量保证金或应付乙方的货款中扣除对应金额。 请问： 1、甲方扣除对应金额前是否可经乙方确认金额无误？ </w:t>
      </w:r>
    </w:p>
    <w:p w14:paraId="0020EBA0">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b/>
          <w:bCs w:val="0"/>
          <w:snapToGrid w:val="0"/>
          <w:sz w:val="28"/>
          <w:szCs w:val="28"/>
          <w:lang w:val="en-US" w:eastAsia="zh-CN"/>
        </w:rPr>
      </w:pPr>
      <w:r>
        <w:rPr>
          <w:rFonts w:hint="eastAsia"/>
          <w:b/>
          <w:bCs w:val="0"/>
          <w:snapToGrid w:val="0"/>
          <w:sz w:val="28"/>
          <w:szCs w:val="28"/>
          <w:lang w:val="en-US" w:eastAsia="zh-CN"/>
        </w:rPr>
        <w:t>答：按原招标文件执行。</w:t>
      </w:r>
    </w:p>
    <w:p w14:paraId="312C8732">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b/>
          <w:bCs w:val="0"/>
          <w:snapToGrid w:val="0"/>
          <w:sz w:val="28"/>
          <w:szCs w:val="28"/>
          <w:highlight w:val="none"/>
          <w:lang w:val="en-US" w:eastAsia="zh-CN"/>
        </w:rPr>
      </w:pPr>
      <w:r>
        <w:rPr>
          <w:rFonts w:hint="eastAsia"/>
          <w:b/>
          <w:bCs w:val="0"/>
          <w:snapToGrid w:val="0"/>
          <w:sz w:val="28"/>
          <w:szCs w:val="28"/>
          <w:highlight w:val="none"/>
          <w:lang w:val="en-US" w:eastAsia="zh-CN"/>
        </w:rPr>
        <w:t>14、疑问14:</w:t>
      </w:r>
      <w:r>
        <w:rPr>
          <w:rFonts w:hint="eastAsia" w:cs="宋体"/>
          <w:sz w:val="28"/>
          <w:szCs w:val="28"/>
          <w:u w:val="none"/>
          <w:lang w:val="en-US" w:eastAsia="zh-CN"/>
        </w:rPr>
        <w:t xml:space="preserve">技术规范书 2.1项目概况 本项目储能系统建设规模为100MW/200MWh（交流并网点容量），由22个5MW/10.0318MWh储能单元组成，每个5MW/10.0318MWh储能单元包含1台5MW升压变流一体机，2台5.0159MWh储能电池预制舱，共计22个储能单元以4回35kV集电线路接至升压站。 表3-1电池系统技术参数表：单个电池集装箱（或电池柜）容量((MWh))大于等于5。 请问： 1、是否可以采用6MW/12MWh的方案，集成度更高，单元数量更少？因为表3-1电池系统技术参数表说大于等于5MWh。2、100MW/200MWh（交流并网点容量），交流并网点容量是指35KV并网点，还是220KV并网点？3、对直流侧总容量是否有要求？如系统效率高，直流侧实际配置容量小于220MWh，但仍能满足交流并网点容量200MWh，是否也可满足要求？ </w:t>
      </w:r>
    </w:p>
    <w:p w14:paraId="54E91983">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b/>
          <w:bCs w:val="0"/>
          <w:snapToGrid w:val="0"/>
          <w:sz w:val="28"/>
          <w:szCs w:val="28"/>
          <w:lang w:val="en-US" w:eastAsia="zh-CN"/>
        </w:rPr>
      </w:pPr>
      <w:r>
        <w:rPr>
          <w:rFonts w:hint="eastAsia"/>
          <w:b/>
          <w:bCs w:val="0"/>
          <w:snapToGrid w:val="0"/>
          <w:sz w:val="28"/>
          <w:szCs w:val="28"/>
          <w:lang w:val="en-US" w:eastAsia="zh-CN"/>
        </w:rPr>
        <w:t>答：1、按技术协议书要求执行；2、交流并网点容量指35KV并网点；3、直流侧实际配置容量需满足220MWh要求。</w:t>
      </w:r>
    </w:p>
    <w:p w14:paraId="2F3BF858">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b/>
          <w:bCs w:val="0"/>
          <w:snapToGrid w:val="0"/>
          <w:sz w:val="28"/>
          <w:szCs w:val="28"/>
          <w:lang w:val="en-US" w:eastAsia="zh-CN"/>
        </w:rPr>
        <w:t>15、</w:t>
      </w:r>
      <w:r>
        <w:rPr>
          <w:rFonts w:hint="eastAsia"/>
          <w:b/>
          <w:bCs w:val="0"/>
          <w:snapToGrid w:val="0"/>
          <w:sz w:val="28"/>
          <w:szCs w:val="28"/>
          <w:highlight w:val="none"/>
          <w:lang w:val="en-US" w:eastAsia="zh-CN"/>
        </w:rPr>
        <w:t>疑问15:</w:t>
      </w:r>
      <w:r>
        <w:rPr>
          <w:rFonts w:hint="eastAsia" w:ascii="宋体" w:hAnsi="宋体" w:eastAsia="宋体" w:cs="宋体"/>
          <w:color w:val="000000"/>
          <w:kern w:val="0"/>
          <w:sz w:val="28"/>
          <w:szCs w:val="28"/>
          <w:lang w:val="en-US" w:eastAsia="zh-CN" w:bidi="ar"/>
        </w:rPr>
        <w:t>1、招标文件第三章：4.供货期、交货地点：一次性供货，招标人指定</w:t>
      </w:r>
      <w:r>
        <w:rPr>
          <w:rFonts w:hint="eastAsia" w:ascii="宋体" w:hAnsi="宋体" w:eastAsia="宋体" w:cs="宋体"/>
          <w:b w:val="0"/>
          <w:bCs w:val="0"/>
          <w:color w:val="000000"/>
          <w:kern w:val="0"/>
          <w:sz w:val="28"/>
          <w:szCs w:val="28"/>
          <w:lang w:val="en-US" w:eastAsia="zh-CN" w:bidi="ar"/>
        </w:rPr>
        <w:t>的地点(车板交货)，由中标人负责吊装就位。请招标人明确交货方式是以车板交付还是基础交付（是否包含电池舱、PCS 舱、EMS 系统设备吊装就位）。</w:t>
      </w:r>
    </w:p>
    <w:p w14:paraId="3DFBB8F1">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cs="宋体"/>
          <w:b/>
          <w:bCs/>
          <w:color w:val="000000"/>
          <w:kern w:val="0"/>
          <w:sz w:val="28"/>
          <w:szCs w:val="28"/>
          <w:lang w:val="en-US" w:eastAsia="zh-CN" w:bidi="ar"/>
        </w:rPr>
      </w:pPr>
      <w:r>
        <w:rPr>
          <w:rFonts w:hint="eastAsia"/>
          <w:b/>
          <w:bCs w:val="0"/>
          <w:snapToGrid w:val="0"/>
          <w:sz w:val="28"/>
          <w:szCs w:val="28"/>
          <w:lang w:val="en-US" w:eastAsia="zh-CN"/>
        </w:rPr>
        <w:t>答：</w:t>
      </w:r>
      <w:r>
        <w:rPr>
          <w:rFonts w:hint="eastAsia" w:cs="宋体"/>
          <w:b/>
          <w:bCs/>
          <w:color w:val="000000"/>
          <w:kern w:val="0"/>
          <w:sz w:val="28"/>
          <w:szCs w:val="28"/>
          <w:lang w:val="en-US" w:eastAsia="zh-CN" w:bidi="ar"/>
        </w:rPr>
        <w:t>按招标文件要求，</w:t>
      </w:r>
      <w:r>
        <w:rPr>
          <w:rFonts w:hint="eastAsia" w:ascii="宋体" w:hAnsi="宋体" w:eastAsia="宋体" w:cs="宋体"/>
          <w:b/>
          <w:bCs/>
          <w:color w:val="000000"/>
          <w:kern w:val="0"/>
          <w:sz w:val="28"/>
          <w:szCs w:val="28"/>
          <w:lang w:val="en-US" w:eastAsia="zh-CN" w:bidi="ar"/>
        </w:rPr>
        <w:t>交货方式是以车板交付</w:t>
      </w:r>
      <w:r>
        <w:rPr>
          <w:rFonts w:hint="eastAsia" w:cs="宋体"/>
          <w:b/>
          <w:bCs/>
          <w:color w:val="000000"/>
          <w:kern w:val="0"/>
          <w:sz w:val="28"/>
          <w:szCs w:val="28"/>
          <w:lang w:val="en-US" w:eastAsia="zh-CN" w:bidi="ar"/>
        </w:rPr>
        <w:t>且所有吊装全部由中标人负责。</w:t>
      </w:r>
    </w:p>
    <w:p w14:paraId="50D165C9">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default" w:cs="宋体"/>
          <w:b w:val="0"/>
          <w:bCs w:val="0"/>
          <w:color w:val="000000"/>
          <w:kern w:val="0"/>
          <w:sz w:val="28"/>
          <w:szCs w:val="28"/>
          <w:lang w:val="en-US" w:eastAsia="zh-CN" w:bidi="ar"/>
        </w:rPr>
      </w:pPr>
      <w:r>
        <w:rPr>
          <w:rFonts w:hint="eastAsia" w:cs="宋体"/>
          <w:b/>
          <w:bCs/>
          <w:color w:val="000000"/>
          <w:kern w:val="0"/>
          <w:sz w:val="28"/>
          <w:szCs w:val="28"/>
          <w:lang w:val="en-US" w:eastAsia="zh-CN" w:bidi="ar"/>
        </w:rPr>
        <w:t>16、</w:t>
      </w:r>
      <w:r>
        <w:rPr>
          <w:rFonts w:hint="eastAsia"/>
          <w:b/>
          <w:bCs w:val="0"/>
          <w:snapToGrid w:val="0"/>
          <w:sz w:val="28"/>
          <w:szCs w:val="28"/>
          <w:highlight w:val="none"/>
          <w:lang w:val="en-US" w:eastAsia="zh-CN"/>
        </w:rPr>
        <w:t>疑问16:</w:t>
      </w:r>
      <w:r>
        <w:rPr>
          <w:rFonts w:hint="eastAsia" w:cs="宋体"/>
          <w:b w:val="0"/>
          <w:bCs w:val="0"/>
          <w:color w:val="000000"/>
          <w:kern w:val="0"/>
          <w:sz w:val="28"/>
          <w:szCs w:val="28"/>
          <w:lang w:val="en-US" w:eastAsia="zh-CN" w:bidi="ar"/>
        </w:rPr>
        <w:t>招标文件第三章：三、推荐品牌：品牌限于厦门海辰、万帮数字、欣旺达、中车株洲所内，投标人如为上述品牌的代理商须取得本项目授权。请招标人明确品牌限于厦门海辰、万帮数字、欣旺达、中车株洲所内，是指电芯品牌还是其他设备品牌。如是电芯品牌，中车株洲所不具备电芯生产能力。</w:t>
      </w:r>
    </w:p>
    <w:p w14:paraId="522D6BDC">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答：上述品牌为储能系统集成商品牌。投标人如为上述品牌代理商，必须取得本项目唯一授权。</w:t>
      </w:r>
    </w:p>
    <w:p w14:paraId="4CFC31E7">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17、</w:t>
      </w:r>
      <w:r>
        <w:rPr>
          <w:rFonts w:hint="eastAsia"/>
          <w:b/>
          <w:bCs w:val="0"/>
          <w:snapToGrid w:val="0"/>
          <w:sz w:val="28"/>
          <w:szCs w:val="28"/>
          <w:highlight w:val="none"/>
          <w:lang w:val="en-US" w:eastAsia="zh-CN"/>
        </w:rPr>
        <w:t>疑问17:</w:t>
      </w:r>
      <w:r>
        <w:rPr>
          <w:rFonts w:hint="eastAsia" w:ascii="宋体" w:hAnsi="宋体" w:eastAsia="宋体" w:cs="宋体"/>
          <w:color w:val="000000"/>
          <w:kern w:val="0"/>
          <w:sz w:val="28"/>
          <w:szCs w:val="28"/>
          <w:lang w:val="en-US" w:eastAsia="zh-CN" w:bidi="ar"/>
        </w:rPr>
        <w:t>招标文件第二章：投标人须知前附表 5.2.1 参加开标的投标人法定代表人或其委托代理人必须随带本人身份证（或驾驶证或公安机关出具的临时身份证明或港澳台胞证或护照）原件（其他诸如市民卡等无效）、法定代表人身份证明（详见第五章“投标文件格式”，委托代理人还须提供授权委托书）原件和授权代表在投标单位缴纳的社保证明(未携带原件的，则现场线上查询出示电子证明）。注：投标文件递交有效（投标文件递交有效性以纸质投标文件递交时间为准，下同），而投标人法定代表人或其委托代理人未能参加开标或未能携带上述资料的，视同其未参加开标，不得对开标提出异议，进行开标异常情况登记，不影响开标结果，也不作为否决其投标的评审因素。</w:t>
      </w:r>
      <w:r>
        <w:rPr>
          <w:rFonts w:hint="eastAsia" w:ascii="宋体" w:hAnsi="宋体" w:eastAsia="宋体" w:cs="宋体"/>
          <w:b w:val="0"/>
          <w:bCs w:val="0"/>
          <w:color w:val="000000"/>
          <w:kern w:val="0"/>
          <w:sz w:val="28"/>
          <w:szCs w:val="28"/>
          <w:lang w:val="en-US" w:eastAsia="zh-CN" w:bidi="ar"/>
        </w:rPr>
        <w:t>请招标人明确开标方式为线上还是线下，如线下开标是否需要投标人到场参加。</w:t>
      </w:r>
    </w:p>
    <w:p w14:paraId="76F76EDE">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答：本项目为线下开标，投标文件递交地点及方式请按招标文件</w:t>
      </w:r>
      <w:bookmarkStart w:id="0" w:name="_Toc15589"/>
      <w:bookmarkStart w:id="1" w:name="_Toc722"/>
      <w:bookmarkStart w:id="2" w:name="_Toc640"/>
      <w:bookmarkStart w:id="3" w:name="_Toc139982618"/>
      <w:r>
        <w:rPr>
          <w:rFonts w:hint="eastAsia" w:ascii="宋体" w:hAnsi="宋体" w:eastAsia="宋体" w:cs="宋体"/>
          <w:b/>
          <w:bCs/>
          <w:color w:val="000000"/>
          <w:kern w:val="0"/>
          <w:sz w:val="28"/>
          <w:szCs w:val="28"/>
          <w:lang w:val="en-US" w:eastAsia="zh-CN" w:bidi="ar"/>
        </w:rPr>
        <w:t>公告及投标人须知前附表</w:t>
      </w:r>
      <w:bookmarkEnd w:id="0"/>
      <w:bookmarkEnd w:id="1"/>
      <w:bookmarkEnd w:id="2"/>
      <w:bookmarkEnd w:id="3"/>
      <w:r>
        <w:rPr>
          <w:rFonts w:hint="eastAsia" w:ascii="宋体" w:hAnsi="宋体" w:eastAsia="宋体" w:cs="宋体"/>
          <w:b/>
          <w:bCs/>
          <w:color w:val="000000"/>
          <w:kern w:val="0"/>
          <w:sz w:val="28"/>
          <w:szCs w:val="28"/>
          <w:lang w:val="en-US" w:eastAsia="zh-CN" w:bidi="ar"/>
        </w:rPr>
        <w:t>中约定执行。</w:t>
      </w:r>
    </w:p>
    <w:p w14:paraId="0A1CCE9C">
      <w:pPr>
        <w:keepNext w:val="0"/>
        <w:keepLines w:val="0"/>
        <w:widowControl/>
        <w:suppressLineNumbers w:val="0"/>
        <w:jc w:val="left"/>
      </w:pPr>
      <w:r>
        <w:rPr>
          <w:rFonts w:hint="eastAsia" w:ascii="宋体" w:hAnsi="宋体" w:cs="宋体"/>
          <w:b/>
          <w:bCs/>
          <w:color w:val="000000"/>
          <w:kern w:val="0"/>
          <w:sz w:val="28"/>
          <w:szCs w:val="28"/>
          <w:lang w:val="en-US" w:eastAsia="zh-CN" w:bidi="ar"/>
        </w:rPr>
        <w:t>18、</w:t>
      </w:r>
      <w:r>
        <w:rPr>
          <w:rFonts w:hint="eastAsia"/>
          <w:b/>
          <w:bCs w:val="0"/>
          <w:snapToGrid w:val="0"/>
          <w:sz w:val="28"/>
          <w:szCs w:val="28"/>
          <w:highlight w:val="none"/>
          <w:lang w:val="en-US" w:eastAsia="zh-CN"/>
        </w:rPr>
        <w:t>疑问18:</w:t>
      </w:r>
      <w:r>
        <w:rPr>
          <w:rFonts w:hint="eastAsia" w:ascii="宋体" w:hAnsi="宋体" w:eastAsia="宋体" w:cs="宋体"/>
          <w:color w:val="000000"/>
          <w:kern w:val="0"/>
          <w:sz w:val="28"/>
          <w:szCs w:val="28"/>
          <w:lang w:val="en-US" w:eastAsia="zh-CN" w:bidi="ar"/>
        </w:rPr>
        <w:t>招标文件第三章：一、项目基本情况：能量管理系统及电池舱与 PCS舱之间的系统联络线缆和附件（电池预制舱与 PCS 之间的连接线缆以及储能设备到升压站 EMS 系统间的通信线缆及附件由中标人提</w:t>
      </w:r>
      <w:r>
        <w:rPr>
          <w:rFonts w:hint="eastAsia" w:ascii="宋体" w:hAnsi="宋体" w:eastAsia="宋体" w:cs="宋体"/>
          <w:b w:val="0"/>
          <w:bCs w:val="0"/>
          <w:color w:val="000000"/>
          <w:kern w:val="0"/>
          <w:sz w:val="28"/>
          <w:szCs w:val="28"/>
          <w:lang w:val="en-US" w:eastAsia="zh-CN" w:bidi="ar"/>
        </w:rPr>
        <w:t>供）。请招标人提供场站平面布置图、二次设备布置图或电缆清册，以便投标人核算电池预制舱与 PCS 之间的连接线缆以及储能设备到升压站EMS系统间的通信线缆数量。</w:t>
      </w:r>
    </w:p>
    <w:p w14:paraId="5017F806">
      <w:pPr>
        <w:keepNext w:val="0"/>
        <w:keepLines w:val="0"/>
        <w:widowControl/>
        <w:suppressLineNumbers w:val="0"/>
        <w:jc w:val="left"/>
        <w:rPr>
          <w:rFonts w:hint="default"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答：请投标人结合现场实际情况和</w:t>
      </w:r>
      <w:bookmarkStart w:id="4" w:name="_GoBack"/>
      <w:bookmarkEnd w:id="4"/>
      <w:r>
        <w:rPr>
          <w:rFonts w:hint="eastAsia" w:ascii="宋体" w:hAnsi="宋体" w:cs="宋体"/>
          <w:b/>
          <w:bCs/>
          <w:color w:val="000000"/>
          <w:kern w:val="0"/>
          <w:sz w:val="28"/>
          <w:szCs w:val="28"/>
          <w:lang w:val="en-US" w:eastAsia="zh-CN" w:bidi="ar"/>
        </w:rPr>
        <w:t>储能项目经验自行评估。</w:t>
      </w:r>
    </w:p>
    <w:p w14:paraId="50317821">
      <w:pPr>
        <w:keepNext w:val="0"/>
        <w:keepLines w:val="0"/>
        <w:widowControl/>
        <w:suppressLineNumbers w:val="0"/>
        <w:jc w:val="left"/>
        <w:rPr>
          <w:rFonts w:hint="default" w:ascii="宋体" w:hAnsi="宋体" w:eastAsia="宋体" w:cs="宋体"/>
          <w:b/>
          <w:bCs/>
          <w:color w:val="000000"/>
          <w:kern w:val="0"/>
          <w:sz w:val="28"/>
          <w:szCs w:val="28"/>
          <w:lang w:val="en-US" w:eastAsia="zh-CN" w:bidi="ar"/>
        </w:rPr>
      </w:pPr>
    </w:p>
    <w:p w14:paraId="7AC07649">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default"/>
          <w:b/>
          <w:bCs w:val="0"/>
          <w:snapToGrid w:val="0"/>
          <w:sz w:val="28"/>
          <w:szCs w:val="28"/>
          <w:lang w:val="en-US" w:eastAsia="zh-CN"/>
        </w:rPr>
      </w:pPr>
    </w:p>
    <w:p w14:paraId="52F91E04">
      <w:pPr>
        <w:pStyle w:val="3"/>
        <w:spacing w:before="4"/>
        <w:jc w:val="right"/>
        <w:rPr>
          <w:rFonts w:hint="eastAsia" w:ascii="宋体" w:hAnsi="宋体" w:eastAsia="宋体"/>
          <w:snapToGrid w:val="0"/>
          <w:kern w:val="0"/>
          <w:sz w:val="28"/>
          <w:szCs w:val="28"/>
          <w:lang w:eastAsia="zh-CN"/>
        </w:rPr>
      </w:pPr>
      <w:r>
        <w:rPr>
          <w:rFonts w:hint="eastAsia" w:cs="宋体"/>
          <w:sz w:val="28"/>
          <w:szCs w:val="28"/>
          <w:u w:val="single"/>
          <w:lang w:val="zh-CN"/>
        </w:rPr>
        <w:t>杭州市能源集团工程科技有限公司</w:t>
      </w:r>
    </w:p>
    <w:p w14:paraId="64CADFBD">
      <w:pPr>
        <w:tabs>
          <w:tab w:val="left" w:pos="4960"/>
        </w:tabs>
        <w:wordWrap w:val="0"/>
        <w:autoSpaceDE w:val="0"/>
        <w:autoSpaceDN w:val="0"/>
        <w:adjustRightInd w:val="0"/>
        <w:snapToGrid w:val="0"/>
        <w:spacing w:line="360" w:lineRule="auto"/>
        <w:ind w:firstLine="4577"/>
        <w:jc w:val="right"/>
        <w:rPr>
          <w:rFonts w:hint="eastAsia"/>
        </w:rPr>
      </w:pPr>
      <w:r>
        <w:rPr>
          <w:rFonts w:hint="eastAsia" w:cs="宋体"/>
          <w:b w:val="0"/>
          <w:bCs w:val="0"/>
          <w:sz w:val="28"/>
          <w:szCs w:val="28"/>
          <w:u w:val="single"/>
          <w:lang w:val="en-US" w:eastAsia="zh-CN"/>
        </w:rPr>
        <w:t>2025</w:t>
      </w:r>
      <w:r>
        <w:rPr>
          <w:rFonts w:ascii="宋体" w:hAnsi="宋体"/>
          <w:snapToGrid w:val="0"/>
          <w:kern w:val="0"/>
          <w:sz w:val="28"/>
          <w:szCs w:val="36"/>
          <w:u w:val="none"/>
        </w:rPr>
        <w:t>年</w:t>
      </w:r>
      <w:r>
        <w:rPr>
          <w:rFonts w:hint="eastAsia" w:cs="宋体"/>
          <w:b w:val="0"/>
          <w:bCs w:val="0"/>
          <w:sz w:val="28"/>
          <w:szCs w:val="28"/>
          <w:u w:val="single"/>
          <w:lang w:val="en-US" w:eastAsia="zh-CN"/>
        </w:rPr>
        <w:t>7</w:t>
      </w:r>
      <w:r>
        <w:rPr>
          <w:rFonts w:ascii="宋体" w:hAnsi="宋体"/>
          <w:snapToGrid w:val="0"/>
          <w:kern w:val="0"/>
          <w:sz w:val="28"/>
          <w:szCs w:val="36"/>
          <w:u w:val="none"/>
        </w:rPr>
        <w:t>月</w:t>
      </w:r>
      <w:r>
        <w:rPr>
          <w:rFonts w:hint="eastAsia" w:cs="宋体"/>
          <w:b w:val="0"/>
          <w:bCs w:val="0"/>
          <w:sz w:val="28"/>
          <w:szCs w:val="28"/>
          <w:u w:val="single"/>
          <w:lang w:val="en-US" w:eastAsia="zh-CN"/>
        </w:rPr>
        <w:t>14</w:t>
      </w:r>
      <w:r>
        <w:rPr>
          <w:rFonts w:ascii="宋体" w:hAnsi="宋体"/>
          <w:snapToGrid w:val="0"/>
          <w:kern w:val="0"/>
          <w:sz w:val="28"/>
          <w:szCs w:val="36"/>
          <w:u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pPr>
        <w:ind w:left="-42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F4DE1"/>
    <w:rsid w:val="0D4F5031"/>
    <w:rsid w:val="2B6669F8"/>
    <w:rsid w:val="2DC02D52"/>
    <w:rsid w:val="53977657"/>
    <w:rsid w:val="6C6B28EF"/>
    <w:rsid w:val="74392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Body Text"/>
    <w:basedOn w:val="1"/>
    <w:qFormat/>
    <w:uiPriority w:val="1"/>
    <w:pPr>
      <w:spacing w:after="120"/>
    </w:pPr>
  </w:style>
  <w:style w:type="paragraph" w:styleId="4">
    <w:name w:val="toc 1"/>
    <w:basedOn w:val="1"/>
    <w:next w:val="1"/>
    <w:qFormat/>
    <w:uiPriority w:val="39"/>
    <w:pPr>
      <w:tabs>
        <w:tab w:val="right" w:leader="dot" w:pos="8738"/>
      </w:tabs>
      <w:adjustRightInd w:val="0"/>
      <w:snapToGrid w:val="0"/>
      <w:spacing w:line="360" w:lineRule="auto"/>
    </w:pPr>
    <w:rPr>
      <w:sz w:val="3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3988</Words>
  <Characters>4377</Characters>
  <Paragraphs>43</Paragraphs>
  <TotalTime>10</TotalTime>
  <ScaleCrop>false</ScaleCrop>
  <LinksUpToDate>false</LinksUpToDate>
  <CharactersWithSpaces>4474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2025-07-06T02:37:00Z</dcterms:created>
  <dc:creator>傲娇的喵</dc:creator>
  <cp:lastModifiedBy>付佳卉</cp:lastModifiedBy>
  <dcterms:modified xsi:type="dcterms:W3CDTF">2025-07-14T13:09:13Z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eyJoZGlkIjoiZmQ5MWU5NTE4MTUxN2MyOGM1M2QzNTFjYTlkOTlhNGYiLCJ1c2VySWQiOiIxNTkyMTM2MTI0In0=</vt:lpwstr>
  </property>
  <property fmtid="{D5CDD505-2E9C-101B-9397-08002B2CF9AE}" pid="4" name="ICV">
    <vt:lpwstr>5507F3297C334B86AD10A3682B469415_13</vt:lpwstr>
  </property>
</Properties>
</file>