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color w:val="auto"/>
          <w:sz w:val="44"/>
          <w:highlight w:val="none"/>
          <w:lang w:val="en-US" w:eastAsia="zh-CN"/>
        </w:rPr>
      </w:pPr>
      <w:r>
        <w:rPr>
          <w:rFonts w:hint="eastAsia" w:ascii="黑体" w:hAnsi="宋体" w:eastAsia="黑体"/>
          <w:b/>
          <w:color w:val="auto"/>
          <w:sz w:val="44"/>
          <w:highlight w:val="none"/>
          <w:lang w:val="en-US" w:eastAsia="zh-CN"/>
        </w:rPr>
        <w:t xml:space="preserve"> </w:t>
      </w:r>
    </w:p>
    <w:p>
      <w:pPr>
        <w:spacing w:line="600" w:lineRule="exact"/>
        <w:jc w:val="center"/>
        <w:rPr>
          <w:rFonts w:hint="eastAsia" w:ascii="黑体" w:hAnsi="宋体" w:eastAsia="黑体"/>
          <w:b/>
          <w:color w:val="auto"/>
          <w:sz w:val="44"/>
          <w:highlight w:val="none"/>
        </w:rPr>
      </w:pPr>
    </w:p>
    <w:p>
      <w:pPr>
        <w:spacing w:line="360" w:lineRule="auto"/>
        <w:jc w:val="center"/>
        <w:rPr>
          <w:rFonts w:hint="eastAsia" w:ascii="黑体" w:hAnsi="黑体" w:eastAsia="黑体" w:cs="黑体"/>
          <w:b w:val="0"/>
          <w:bCs/>
          <w:color w:val="auto"/>
          <w:sz w:val="44"/>
          <w:szCs w:val="44"/>
          <w:highlight w:val="none"/>
          <w:lang w:val="en-US" w:eastAsia="zh-CN"/>
        </w:rPr>
      </w:pPr>
    </w:p>
    <w:p>
      <w:pPr>
        <w:pStyle w:val="2"/>
        <w:jc w:val="center"/>
        <w:rPr>
          <w:rFonts w:ascii="宋体" w:hAnsi="宋体"/>
          <w:b/>
          <w:color w:val="auto"/>
          <w:sz w:val="44"/>
          <w:szCs w:val="44"/>
          <w:highlight w:val="none"/>
        </w:rPr>
      </w:pPr>
      <w:r>
        <w:rPr>
          <w:rFonts w:hint="eastAsia" w:ascii="黑体" w:hAnsi="黑体" w:eastAsia="黑体" w:cs="黑体"/>
          <w:b w:val="0"/>
          <w:bCs/>
          <w:color w:val="auto"/>
          <w:sz w:val="44"/>
          <w:szCs w:val="44"/>
          <w:highlight w:val="none"/>
          <w:lang w:val="en-US" w:eastAsia="zh-CN"/>
        </w:rPr>
        <w:t>太和路（沿山道路-腾云路）、椒江医化产业园区基础设施提升工程（腾云路半幅道路工程）路灯采购工程</w:t>
      </w:r>
    </w:p>
    <w:p>
      <w:pPr>
        <w:spacing w:line="360" w:lineRule="auto"/>
        <w:jc w:val="center"/>
        <w:rPr>
          <w:rFonts w:ascii="宋体"/>
          <w:b/>
          <w:color w:val="auto"/>
          <w:spacing w:val="20"/>
          <w:sz w:val="56"/>
          <w:szCs w:val="56"/>
          <w:highlight w:val="none"/>
        </w:rPr>
      </w:pPr>
      <w:r>
        <w:rPr>
          <w:rFonts w:hint="eastAsia" w:ascii="宋体"/>
          <w:b/>
          <w:color w:val="auto"/>
          <w:spacing w:val="20"/>
          <w:sz w:val="72"/>
          <w:szCs w:val="72"/>
          <w:highlight w:val="none"/>
        </w:rPr>
        <w:t>招标文件</w:t>
      </w:r>
      <w:r>
        <w:rPr>
          <w:rFonts w:hint="eastAsia" w:ascii="宋体"/>
          <w:b/>
          <w:color w:val="auto"/>
          <w:spacing w:val="20"/>
          <w:sz w:val="56"/>
          <w:szCs w:val="56"/>
          <w:highlight w:val="none"/>
        </w:rPr>
        <w:t xml:space="preserve"> </w:t>
      </w:r>
    </w:p>
    <w:p>
      <w:pPr>
        <w:tabs>
          <w:tab w:val="left" w:pos="5777"/>
        </w:tabs>
        <w:jc w:val="center"/>
        <w:rPr>
          <w:rFonts w:ascii="宋体"/>
          <w:color w:val="auto"/>
          <w:sz w:val="52"/>
          <w:szCs w:val="52"/>
          <w:highlight w:val="none"/>
        </w:rPr>
      </w:pPr>
    </w:p>
    <w:p>
      <w:pPr>
        <w:rPr>
          <w:color w:val="auto"/>
          <w:highlight w:val="none"/>
        </w:rPr>
      </w:pPr>
    </w:p>
    <w:p>
      <w:pPr>
        <w:spacing w:line="360" w:lineRule="auto"/>
        <w:ind w:firstLine="560" w:firstLineChars="200"/>
        <w:rPr>
          <w:rFonts w:hint="eastAsia" w:ascii="黑体" w:hAnsi="黑体" w:eastAsia="黑体" w:cs="黑体"/>
          <w:color w:val="auto"/>
          <w:sz w:val="28"/>
          <w:szCs w:val="28"/>
          <w:highlight w:val="none"/>
        </w:rPr>
      </w:pPr>
    </w:p>
    <w:p>
      <w:pPr>
        <w:pStyle w:val="2"/>
        <w:rPr>
          <w:rFonts w:hint="eastAsia" w:ascii="黑体" w:hAnsi="黑体" w:eastAsia="黑体" w:cs="黑体"/>
          <w:color w:val="auto"/>
          <w:sz w:val="28"/>
          <w:szCs w:val="28"/>
          <w:highlight w:val="none"/>
        </w:rPr>
      </w:pPr>
    </w:p>
    <w:p>
      <w:pPr>
        <w:pStyle w:val="41"/>
        <w:rPr>
          <w:rFonts w:hint="eastAsia"/>
          <w:color w:val="auto"/>
          <w:highlight w:val="none"/>
        </w:rPr>
      </w:pPr>
    </w:p>
    <w:p>
      <w:pPr>
        <w:pStyle w:val="98"/>
        <w:spacing w:line="360" w:lineRule="auto"/>
        <w:ind w:firstLine="560" w:firstLineChars="200"/>
        <w:rPr>
          <w:rFonts w:hint="eastAsia" w:ascii="黑体" w:hAnsi="黑体" w:eastAsia="黑体" w:cs="黑体"/>
          <w:color w:val="auto"/>
          <w:sz w:val="28"/>
          <w:szCs w:val="28"/>
          <w:highlight w:val="none"/>
        </w:rPr>
      </w:pPr>
    </w:p>
    <w:p>
      <w:pPr>
        <w:pStyle w:val="98"/>
        <w:spacing w:line="360" w:lineRule="auto"/>
        <w:ind w:firstLine="560" w:firstLineChars="200"/>
        <w:rPr>
          <w:rFonts w:hint="eastAsia" w:ascii="黑体" w:hAnsi="黑体" w:eastAsia="黑体" w:cs="黑体"/>
          <w:b w:val="0"/>
          <w:bCs w:val="0"/>
          <w:color w:val="auto"/>
          <w:sz w:val="28"/>
          <w:szCs w:val="28"/>
          <w:highlight w:val="none"/>
        </w:rPr>
      </w:pPr>
    </w:p>
    <w:p>
      <w:pPr>
        <w:spacing w:line="360" w:lineRule="auto"/>
        <w:ind w:firstLine="560" w:firstLineChars="200"/>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招标人：</w:t>
      </w:r>
      <w:r>
        <w:rPr>
          <w:rFonts w:hint="eastAsia" w:ascii="黑体" w:hAnsi="黑体" w:eastAsia="黑体" w:cs="黑体"/>
          <w:b w:val="0"/>
          <w:bCs w:val="0"/>
          <w:color w:val="auto"/>
          <w:sz w:val="28"/>
          <w:szCs w:val="28"/>
          <w:highlight w:val="none"/>
          <w:u w:val="single"/>
          <w:lang w:val="en-US" w:eastAsia="zh-CN"/>
        </w:rPr>
        <w:t>台州市椒江新城基础设施建设有限公司</w:t>
      </w:r>
      <w:r>
        <w:rPr>
          <w:rFonts w:hint="eastAsia" w:ascii="黑体" w:hAnsi="黑体" w:eastAsia="黑体" w:cs="黑体"/>
          <w:b w:val="0"/>
          <w:bCs w:val="0"/>
          <w:color w:val="auto"/>
          <w:sz w:val="28"/>
          <w:szCs w:val="28"/>
          <w:highlight w:val="none"/>
        </w:rPr>
        <w:t>（盖单位章）</w:t>
      </w:r>
    </w:p>
    <w:p>
      <w:pPr>
        <w:spacing w:line="360" w:lineRule="auto"/>
        <w:ind w:firstLine="560" w:firstLineChars="200"/>
        <w:jc w:val="center"/>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招标代理机构：</w:t>
      </w:r>
      <w:r>
        <w:rPr>
          <w:rFonts w:hint="eastAsia" w:ascii="黑体" w:hAnsi="黑体" w:eastAsia="黑体" w:cs="黑体"/>
          <w:b w:val="0"/>
          <w:bCs w:val="0"/>
          <w:color w:val="auto"/>
          <w:sz w:val="28"/>
          <w:szCs w:val="28"/>
          <w:highlight w:val="none"/>
          <w:u w:val="single"/>
          <w:lang w:val="en-US" w:eastAsia="zh-CN"/>
        </w:rPr>
        <w:t>台州市建设咨询有限公司</w:t>
      </w:r>
      <w:r>
        <w:rPr>
          <w:rFonts w:hint="eastAsia" w:ascii="黑体" w:hAnsi="黑体" w:eastAsia="黑体" w:cs="黑体"/>
          <w:b w:val="0"/>
          <w:bCs w:val="0"/>
          <w:color w:val="auto"/>
          <w:sz w:val="28"/>
          <w:szCs w:val="28"/>
          <w:highlight w:val="none"/>
        </w:rPr>
        <w:t>（盖单位章）</w:t>
      </w:r>
    </w:p>
    <w:p>
      <w:pPr>
        <w:spacing w:line="360" w:lineRule="auto"/>
        <w:ind w:firstLine="560" w:firstLineChars="200"/>
        <w:jc w:val="center"/>
        <w:rPr>
          <w:rFonts w:hint="eastAsia" w:ascii="黑体" w:hAnsi="黑体" w:eastAsia="黑体" w:cs="黑体"/>
          <w:b w:val="0"/>
          <w:bCs w:val="0"/>
          <w:color w:val="auto"/>
          <w:sz w:val="28"/>
          <w:szCs w:val="28"/>
          <w:highlight w:val="none"/>
        </w:rPr>
      </w:pPr>
      <w:bookmarkStart w:id="0" w:name="EBe8a69b1d3c164fd58fa459438bde18a2"/>
      <w:r>
        <w:rPr>
          <w:rFonts w:hint="eastAsia" w:ascii="黑体" w:hAnsi="黑体" w:eastAsia="黑体" w:cs="黑体"/>
          <w:b w:val="0"/>
          <w:bCs w:val="0"/>
          <w:color w:val="auto"/>
          <w:sz w:val="28"/>
          <w:szCs w:val="28"/>
          <w:highlight w:val="none"/>
          <w:u w:val="single"/>
          <w:lang w:val="en-US" w:eastAsia="zh-CN"/>
        </w:rPr>
        <w:t>2025</w:t>
      </w:r>
      <w:r>
        <w:rPr>
          <w:rFonts w:hint="eastAsia" w:ascii="黑体" w:hAnsi="黑体" w:eastAsia="黑体" w:cs="黑体"/>
          <w:b w:val="0"/>
          <w:bCs w:val="0"/>
          <w:color w:val="auto"/>
          <w:sz w:val="28"/>
          <w:szCs w:val="28"/>
          <w:highlight w:val="none"/>
        </w:rPr>
        <w:t>年</w:t>
      </w:r>
      <w:r>
        <w:rPr>
          <w:rFonts w:hint="eastAsia" w:ascii="黑体" w:hAnsi="黑体" w:eastAsia="黑体" w:cs="黑体"/>
          <w:b w:val="0"/>
          <w:bCs w:val="0"/>
          <w:color w:val="auto"/>
          <w:sz w:val="28"/>
          <w:szCs w:val="28"/>
          <w:highlight w:val="none"/>
          <w:u w:val="single"/>
          <w:lang w:val="en-US" w:eastAsia="zh-CN"/>
        </w:rPr>
        <w:t>7</w:t>
      </w:r>
      <w:r>
        <w:rPr>
          <w:rFonts w:hint="eastAsia" w:ascii="黑体" w:hAnsi="黑体" w:eastAsia="黑体" w:cs="黑体"/>
          <w:b w:val="0"/>
          <w:bCs w:val="0"/>
          <w:color w:val="auto"/>
          <w:sz w:val="28"/>
          <w:szCs w:val="28"/>
          <w:highlight w:val="none"/>
        </w:rPr>
        <w:t>月</w:t>
      </w:r>
      <w:bookmarkEnd w:id="0"/>
    </w:p>
    <w:p>
      <w:pPr>
        <w:snapToGrid w:val="0"/>
        <w:spacing w:before="156" w:beforeLines="50" w:line="360" w:lineRule="auto"/>
        <w:ind w:left="384" w:leftChars="1" w:hanging="381" w:hangingChars="133"/>
        <w:jc w:val="center"/>
        <w:rPr>
          <w:rFonts w:ascii="宋体" w:hAnsi="宋体"/>
          <w:b/>
          <w:bCs/>
          <w:color w:val="auto"/>
          <w:w w:val="95"/>
          <w:sz w:val="30"/>
          <w:szCs w:val="30"/>
          <w:highlight w:val="none"/>
        </w:rPr>
        <w:sectPr>
          <w:headerReference r:id="rId4" w:type="first"/>
          <w:footerReference r:id="rId6" w:type="first"/>
          <w:headerReference r:id="rId3" w:type="default"/>
          <w:footerReference r:id="rId5" w:type="default"/>
          <w:pgSz w:w="11906" w:h="16838"/>
          <w:pgMar w:top="1247" w:right="1361" w:bottom="1247" w:left="1361" w:header="851" w:footer="851" w:gutter="0"/>
          <w:pgNumType w:fmt="decimal"/>
          <w:cols w:space="720" w:num="1"/>
          <w:titlePg/>
          <w:docGrid w:type="lines" w:linePitch="312" w:charSpace="0"/>
        </w:sectPr>
      </w:pPr>
      <w:r>
        <w:rPr>
          <w:rFonts w:hint="eastAsia" w:ascii="宋体" w:hAnsi="宋体"/>
          <w:b/>
          <w:bCs/>
          <w:color w:val="auto"/>
          <w:w w:val="95"/>
          <w:sz w:val="30"/>
          <w:szCs w:val="30"/>
          <w:highlight w:val="none"/>
        </w:rPr>
        <w:t xml:space="preserve"> </w:t>
      </w:r>
    </w:p>
    <w:p>
      <w:pPr>
        <w:pStyle w:val="30"/>
        <w:spacing w:before="120" w:beforeLines="0" w:after="120" w:afterLines="0" w:line="360" w:lineRule="auto"/>
        <w:jc w:val="center"/>
        <w:rPr>
          <w:rFonts w:ascii="创艺简标宋" w:hAnsi="宋体" w:eastAsia="创艺简标宋"/>
          <w:color w:val="auto"/>
          <w:sz w:val="44"/>
          <w:szCs w:val="44"/>
          <w:highlight w:val="none"/>
        </w:rPr>
      </w:pPr>
      <w:r>
        <w:rPr>
          <w:rFonts w:ascii="创艺简标宋" w:hAnsi="宋体" w:eastAsia="创艺简标宋"/>
          <w:color w:val="auto"/>
          <w:sz w:val="44"/>
          <w:szCs w:val="44"/>
          <w:highlight w:val="none"/>
        </w:rPr>
        <w:t>目    录</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招标公告</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招标需求</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lang w:eastAsia="zh-CN"/>
        </w:rPr>
        <w:t>投标人</w:t>
      </w:r>
      <w:r>
        <w:rPr>
          <w:rFonts w:hint="eastAsia" w:ascii="宋体" w:hAnsi="宋体"/>
          <w:color w:val="auto"/>
          <w:sz w:val="30"/>
          <w:highlight w:val="none"/>
        </w:rPr>
        <w:t>须知</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评标办法及评分标准</w:t>
      </w:r>
    </w:p>
    <w:p>
      <w:pPr>
        <w:numPr>
          <w:ilvl w:val="0"/>
          <w:numId w:val="5"/>
        </w:numPr>
        <w:spacing w:before="120" w:beforeLines="50" w:line="480" w:lineRule="exact"/>
        <w:rPr>
          <w:rFonts w:ascii="宋体" w:hAnsi="宋体"/>
          <w:color w:val="auto"/>
          <w:sz w:val="30"/>
          <w:szCs w:val="20"/>
          <w:highlight w:val="none"/>
        </w:rPr>
      </w:pPr>
      <w:r>
        <w:rPr>
          <w:rFonts w:hint="eastAsia" w:ascii="宋体" w:hAnsi="宋体"/>
          <w:color w:val="auto"/>
          <w:sz w:val="30"/>
          <w:highlight w:val="none"/>
        </w:rPr>
        <w:t>合同主要条款</w:t>
      </w:r>
    </w:p>
    <w:p>
      <w:pPr>
        <w:numPr>
          <w:ilvl w:val="0"/>
          <w:numId w:val="5"/>
        </w:numPr>
        <w:spacing w:before="120" w:beforeLines="50" w:line="480" w:lineRule="exact"/>
        <w:rPr>
          <w:rFonts w:hint="eastAsia" w:ascii="宋体" w:hAnsi="宋体"/>
          <w:color w:val="auto"/>
          <w:sz w:val="30"/>
          <w:highlight w:val="none"/>
        </w:rPr>
      </w:pPr>
      <w:r>
        <w:rPr>
          <w:rFonts w:hint="eastAsia" w:ascii="宋体" w:hAnsi="宋体"/>
          <w:color w:val="auto"/>
          <w:sz w:val="30"/>
          <w:highlight w:val="none"/>
          <w:lang w:eastAsia="zh-CN"/>
        </w:rPr>
        <w:t>投标文件</w:t>
      </w:r>
      <w:r>
        <w:rPr>
          <w:rFonts w:hint="eastAsia" w:ascii="宋体" w:hAnsi="宋体"/>
          <w:color w:val="auto"/>
          <w:sz w:val="30"/>
          <w:highlight w:val="none"/>
        </w:rPr>
        <w:t>格式</w:t>
      </w:r>
    </w:p>
    <w:p>
      <w:pPr>
        <w:pStyle w:val="30"/>
        <w:snapToGrid w:val="0"/>
        <w:spacing w:before="120" w:after="120" w:line="360" w:lineRule="auto"/>
        <w:jc w:val="center"/>
        <w:outlineLvl w:val="0"/>
        <w:rPr>
          <w:rFonts w:ascii="黑体" w:hAnsi="宋体" w:eastAsia="黑体"/>
          <w:color w:val="auto"/>
          <w:sz w:val="30"/>
          <w:szCs w:val="30"/>
          <w:highlight w:val="none"/>
        </w:rPr>
        <w:sectPr>
          <w:footerReference r:id="rId9" w:type="first"/>
          <w:headerReference r:id="rId7" w:type="default"/>
          <w:footerReference r:id="rId8" w:type="default"/>
          <w:footnotePr>
            <w:numRestart w:val="eachPage"/>
          </w:footnotePr>
          <w:endnotePr>
            <w:numRestart w:val="eachSect"/>
          </w:endnotePr>
          <w:pgSz w:w="11907" w:h="16840"/>
          <w:pgMar w:top="1247" w:right="1361" w:bottom="1247" w:left="1361" w:header="851" w:footer="824" w:gutter="0"/>
          <w:pgNumType w:fmt="decimal" w:start="1"/>
          <w:cols w:space="720" w:num="1"/>
          <w:docGrid w:linePitch="435" w:charSpace="-6554"/>
        </w:sectPr>
      </w:pPr>
    </w:p>
    <w:p>
      <w:pPr>
        <w:pStyle w:val="30"/>
        <w:snapToGrid w:val="0"/>
        <w:spacing w:before="120" w:after="120" w:line="360" w:lineRule="auto"/>
        <w:jc w:val="center"/>
        <w:outlineLvl w:val="0"/>
        <w:rPr>
          <w:rFonts w:ascii="黑体" w:hAnsi="宋体" w:eastAsia="黑体"/>
          <w:color w:val="auto"/>
          <w:sz w:val="30"/>
          <w:szCs w:val="30"/>
          <w:highlight w:val="none"/>
        </w:rPr>
      </w:pPr>
      <w:r>
        <w:rPr>
          <w:rFonts w:ascii="黑体" w:hAnsi="宋体" w:eastAsia="黑体"/>
          <w:color w:val="auto"/>
          <w:sz w:val="30"/>
          <w:szCs w:val="30"/>
          <w:highlight w:val="none"/>
        </w:rPr>
        <w:t xml:space="preserve">第一章  </w:t>
      </w:r>
      <w:r>
        <w:rPr>
          <w:rFonts w:hint="eastAsia" w:ascii="黑体" w:hAnsi="宋体" w:eastAsia="黑体"/>
          <w:color w:val="auto"/>
          <w:sz w:val="30"/>
          <w:szCs w:val="30"/>
          <w:highlight w:val="none"/>
        </w:rPr>
        <w:t>招标公告</w:t>
      </w:r>
    </w:p>
    <w:p>
      <w:pPr>
        <w:pStyle w:val="128"/>
        <w:widowControl w:val="0"/>
        <w:spacing w:afterLines="0" w:line="360" w:lineRule="auto"/>
        <w:ind w:firstLine="480"/>
        <w:rPr>
          <w:rFonts w:ascii="宋体" w:hAnsi="宋体"/>
          <w:color w:val="auto"/>
          <w:szCs w:val="24"/>
          <w:highlight w:val="none"/>
        </w:rPr>
      </w:pPr>
      <w:r>
        <w:rPr>
          <w:rFonts w:hint="eastAsia" w:ascii="宋体" w:hAnsi="宋体"/>
          <w:color w:val="auto"/>
          <w:szCs w:val="24"/>
          <w:highlight w:val="none"/>
          <w:u w:val="single"/>
        </w:rPr>
        <w:t>台州市建设咨询有限公司</w:t>
      </w:r>
      <w:r>
        <w:rPr>
          <w:rFonts w:hint="eastAsia" w:ascii="宋体" w:hAnsi="宋体"/>
          <w:color w:val="auto"/>
          <w:szCs w:val="24"/>
          <w:highlight w:val="none"/>
        </w:rPr>
        <w:t>受</w:t>
      </w:r>
      <w:bookmarkStart w:id="10" w:name="_GoBack"/>
      <w:bookmarkStart w:id="1" w:name="OLE_LINK1"/>
      <w:r>
        <w:rPr>
          <w:rFonts w:hint="eastAsia" w:ascii="宋体" w:hAnsi="宋体"/>
          <w:color w:val="auto"/>
          <w:szCs w:val="24"/>
          <w:highlight w:val="none"/>
          <w:u w:val="single"/>
          <w:lang w:eastAsia="zh-CN"/>
        </w:rPr>
        <w:t>台州市椒江新城基础设施建设有限公司</w:t>
      </w:r>
      <w:bookmarkEnd w:id="1"/>
      <w:bookmarkEnd w:id="10"/>
      <w:r>
        <w:rPr>
          <w:rFonts w:hint="eastAsia" w:ascii="宋体" w:hAnsi="宋体"/>
          <w:color w:val="auto"/>
          <w:szCs w:val="24"/>
          <w:highlight w:val="none"/>
        </w:rPr>
        <w:t>委托，现就</w:t>
      </w:r>
      <w:r>
        <w:rPr>
          <w:rFonts w:hint="eastAsia" w:ascii="宋体" w:hAnsi="宋体"/>
          <w:color w:val="auto"/>
          <w:szCs w:val="24"/>
          <w:highlight w:val="none"/>
          <w:u w:val="single"/>
          <w:lang w:val="en-US" w:eastAsia="zh-CN"/>
        </w:rPr>
        <w:t>太和路（沿山道路-腾云路）、椒江医化产业园区基础设施提升工程（腾云路半幅道路工程）路灯采购工程</w:t>
      </w:r>
      <w:r>
        <w:rPr>
          <w:rFonts w:hint="eastAsia" w:ascii="宋体" w:hAnsi="宋体"/>
          <w:color w:val="auto"/>
          <w:szCs w:val="24"/>
          <w:highlight w:val="none"/>
          <w:u w:val="single"/>
        </w:rPr>
        <w:t>进行公开招标。凡具备本项目投标资格要求且能够及时提供本项目服务</w:t>
      </w:r>
      <w:r>
        <w:rPr>
          <w:rFonts w:hint="eastAsia" w:ascii="宋体" w:hAnsi="宋体"/>
          <w:color w:val="auto"/>
          <w:szCs w:val="24"/>
          <w:highlight w:val="none"/>
          <w:u w:val="single"/>
          <w:lang w:eastAsia="zh-CN"/>
        </w:rPr>
        <w:t>的</w:t>
      </w:r>
      <w:r>
        <w:rPr>
          <w:rFonts w:hint="eastAsia" w:ascii="宋体" w:hAnsi="宋体"/>
          <w:color w:val="auto"/>
          <w:szCs w:val="24"/>
          <w:highlight w:val="none"/>
          <w:u w:val="single"/>
          <w:lang w:val="en-US" w:eastAsia="zh-CN"/>
        </w:rPr>
        <w:t>投标人</w:t>
      </w:r>
      <w:r>
        <w:rPr>
          <w:rFonts w:hint="eastAsia" w:ascii="宋体" w:hAnsi="宋体"/>
          <w:color w:val="auto"/>
          <w:szCs w:val="24"/>
          <w:highlight w:val="none"/>
          <w:u w:val="single"/>
        </w:rPr>
        <w:t>均可参加。</w:t>
      </w:r>
    </w:p>
    <w:p>
      <w:pPr>
        <w:numPr>
          <w:ilvl w:val="0"/>
          <w:numId w:val="0"/>
        </w:numPr>
        <w:snapToGrid w:val="0"/>
        <w:spacing w:line="360" w:lineRule="auto"/>
        <w:ind w:firstLine="482" w:firstLineChars="200"/>
        <w:rPr>
          <w:rFonts w:hint="eastAsia" w:ascii="宋体" w:hAnsi="宋体" w:eastAsia="宋体" w:cs="Arial"/>
          <w:b/>
          <w:color w:val="auto"/>
          <w:sz w:val="24"/>
          <w:highlight w:val="none"/>
          <w:lang w:eastAsia="zh-CN"/>
        </w:rPr>
      </w:pPr>
      <w:r>
        <w:rPr>
          <w:rFonts w:hint="eastAsia" w:ascii="宋体" w:hAnsi="宋体" w:cs="Arial"/>
          <w:b/>
          <w:color w:val="auto"/>
          <w:sz w:val="24"/>
          <w:highlight w:val="none"/>
          <w:lang w:val="en-US" w:eastAsia="zh-CN"/>
        </w:rPr>
        <w:t>一</w:t>
      </w:r>
      <w:r>
        <w:rPr>
          <w:rFonts w:hint="eastAsia" w:ascii="宋体" w:hAnsi="宋体" w:cs="Arial"/>
          <w:b/>
          <w:color w:val="auto"/>
          <w:sz w:val="24"/>
          <w:highlight w:val="none"/>
        </w:rPr>
        <w:t>、</w:t>
      </w:r>
      <w:r>
        <w:rPr>
          <w:rFonts w:hint="eastAsia" w:ascii="宋体" w:hAnsi="宋体" w:cs="Arial"/>
          <w:b/>
          <w:color w:val="auto"/>
          <w:sz w:val="24"/>
          <w:highlight w:val="none"/>
          <w:lang w:val="en-US" w:eastAsia="zh-CN"/>
        </w:rPr>
        <w:t>招标</w:t>
      </w:r>
      <w:r>
        <w:rPr>
          <w:rFonts w:hint="eastAsia" w:ascii="宋体" w:hAnsi="宋体" w:cs="Arial"/>
          <w:b/>
          <w:color w:val="auto"/>
          <w:sz w:val="24"/>
          <w:highlight w:val="none"/>
        </w:rPr>
        <w:t>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auto"/>
          <w:sz w:val="24"/>
          <w:szCs w:val="20"/>
          <w:highlight w:val="none"/>
        </w:rPr>
      </w:pPr>
      <w:r>
        <w:rPr>
          <w:rFonts w:hint="eastAsia" w:ascii="宋体" w:hAnsi="宋体" w:cs="Arial"/>
          <w:b/>
          <w:color w:val="auto"/>
          <w:sz w:val="24"/>
          <w:highlight w:val="none"/>
          <w:lang w:val="en-US" w:eastAsia="zh-CN"/>
        </w:rPr>
        <w:t>二</w:t>
      </w:r>
      <w:r>
        <w:rPr>
          <w:rFonts w:hint="eastAsia" w:ascii="宋体" w:hAnsi="宋体" w:cs="Arial"/>
          <w:b/>
          <w:color w:val="auto"/>
          <w:sz w:val="24"/>
          <w:highlight w:val="none"/>
        </w:rPr>
        <w:t>、采购</w:t>
      </w:r>
      <w:r>
        <w:rPr>
          <w:rFonts w:hint="eastAsia" w:ascii="宋体" w:hAnsi="宋体" w:cs="Arial"/>
          <w:b/>
          <w:bCs/>
          <w:color w:val="auto"/>
          <w:sz w:val="24"/>
          <w:highlight w:val="none"/>
        </w:rPr>
        <w:t>内容及数量</w:t>
      </w:r>
    </w:p>
    <w:tbl>
      <w:tblPr>
        <w:tblStyle w:val="47"/>
        <w:tblW w:w="9097"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4000"/>
        <w:gridCol w:w="1342"/>
        <w:gridCol w:w="1498"/>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序号</w:t>
            </w:r>
          </w:p>
        </w:tc>
        <w:tc>
          <w:tcPr>
            <w:tcW w:w="4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材料名称</w:t>
            </w:r>
          </w:p>
        </w:tc>
        <w:tc>
          <w:tcPr>
            <w:tcW w:w="1342"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单位</w:t>
            </w:r>
          </w:p>
        </w:tc>
        <w:tc>
          <w:tcPr>
            <w:tcW w:w="1498" w:type="dxa"/>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数量</w:t>
            </w:r>
          </w:p>
        </w:tc>
        <w:tc>
          <w:tcPr>
            <w:tcW w:w="1531" w:type="dxa"/>
            <w:tcBorders>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总预算（元）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1"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p>
        </w:tc>
        <w:tc>
          <w:tcPr>
            <w:tcW w:w="4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太和路（沿山道路-腾云路）、椒江医化产业园区基础设施提升工程（腾云路半幅道路工程）路灯采购工程</w:t>
            </w:r>
          </w:p>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套</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46</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Times New Roman"/>
                <w:color w:val="auto"/>
                <w:kern w:val="0"/>
                <w:sz w:val="24"/>
                <w:szCs w:val="24"/>
                <w:highlight w:val="none"/>
                <w:lang w:val="en-US" w:eastAsia="zh-CN" w:bidi="ar-SA"/>
              </w:rPr>
            </w:pPr>
            <w:r>
              <w:rPr>
                <w:rFonts w:hint="eastAsia" w:ascii="宋体" w:hAnsi="宋体" w:cs="Times New Roman"/>
                <w:color w:val="auto"/>
                <w:kern w:val="0"/>
                <w:sz w:val="24"/>
                <w:szCs w:val="24"/>
                <w:highlight w:val="none"/>
                <w:lang w:val="en-US" w:eastAsia="zh-CN" w:bidi="ar-SA"/>
              </w:rPr>
              <w:t>180792</w:t>
            </w:r>
          </w:p>
        </w:tc>
      </w:tr>
    </w:tbl>
    <w:p>
      <w:pPr>
        <w:numPr>
          <w:ilvl w:val="0"/>
          <w:numId w:val="0"/>
        </w:numPr>
        <w:snapToGrid w:val="0"/>
        <w:spacing w:line="360" w:lineRule="auto"/>
        <w:ind w:firstLine="482" w:firstLineChars="200"/>
        <w:rPr>
          <w:rFonts w:hint="eastAsia" w:ascii="宋体" w:hAnsi="宋体" w:cs="Arial"/>
          <w:b/>
          <w:bCs/>
          <w:color w:val="auto"/>
          <w:sz w:val="24"/>
          <w:highlight w:val="none"/>
        </w:rPr>
      </w:pPr>
      <w:r>
        <w:rPr>
          <w:rFonts w:hint="eastAsia" w:ascii="宋体" w:hAnsi="宋体" w:cs="Arial"/>
          <w:b/>
          <w:bCs/>
          <w:color w:val="auto"/>
          <w:kern w:val="2"/>
          <w:sz w:val="24"/>
          <w:szCs w:val="24"/>
          <w:highlight w:val="none"/>
          <w:lang w:val="en-US" w:eastAsia="zh-CN" w:bidi="ar-SA"/>
        </w:rPr>
        <w:t>三、</w:t>
      </w:r>
      <w:r>
        <w:rPr>
          <w:rFonts w:hint="eastAsia" w:ascii="宋体" w:hAnsi="宋体" w:cs="Arial"/>
          <w:b/>
          <w:bCs/>
          <w:color w:val="auto"/>
          <w:sz w:val="24"/>
          <w:highlight w:val="none"/>
        </w:rPr>
        <w:t>合格</w:t>
      </w:r>
      <w:r>
        <w:rPr>
          <w:rFonts w:hint="eastAsia" w:ascii="宋体" w:hAnsi="宋体" w:cs="Arial"/>
          <w:b/>
          <w:bCs/>
          <w:color w:val="auto"/>
          <w:sz w:val="24"/>
          <w:highlight w:val="none"/>
          <w:lang w:eastAsia="zh-CN"/>
        </w:rPr>
        <w:t>投标人</w:t>
      </w:r>
      <w:r>
        <w:rPr>
          <w:rFonts w:hint="eastAsia" w:ascii="宋体" w:hAnsi="宋体" w:cs="Arial"/>
          <w:b/>
          <w:bCs/>
          <w:color w:val="auto"/>
          <w:sz w:val="24"/>
          <w:highlight w:val="none"/>
        </w:rPr>
        <w:t>的资格要求</w:t>
      </w:r>
    </w:p>
    <w:p>
      <w:pPr>
        <w:snapToGrid w:val="0"/>
        <w:spacing w:line="360" w:lineRule="auto"/>
        <w:ind w:firstLine="539"/>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w:t>
      </w:r>
      <w:r>
        <w:rPr>
          <w:rFonts w:hint="eastAsia" w:ascii="宋体" w:hAnsi="宋体" w:cs="Arial"/>
          <w:color w:val="auto"/>
          <w:sz w:val="24"/>
          <w:highlight w:val="none"/>
        </w:rPr>
        <w:t>具有独立法人资格，</w:t>
      </w:r>
      <w:r>
        <w:rPr>
          <w:rFonts w:hint="eastAsia" w:ascii="宋体"/>
          <w:color w:val="auto"/>
          <w:sz w:val="24"/>
          <w:highlight w:val="none"/>
        </w:rPr>
        <w:t>且有良好履约能力及售后服务能力的所投产品的制造商</w:t>
      </w:r>
      <w:r>
        <w:rPr>
          <w:rFonts w:hint="eastAsia" w:ascii="宋体"/>
          <w:color w:val="auto"/>
          <w:sz w:val="24"/>
          <w:highlight w:val="none"/>
          <w:lang w:val="en-US" w:eastAsia="zh-CN"/>
        </w:rPr>
        <w:t>或代理商；如代理商参加投标的必须取得制造商对本项目的唯一授权证书（制造商直接参与本项目投标的，不得再授权代理商参加本项目的投标）</w:t>
      </w:r>
      <w:r>
        <w:rPr>
          <w:rFonts w:hint="eastAsia" w:ascii="宋体"/>
          <w:color w:val="auto"/>
          <w:sz w:val="24"/>
          <w:highlight w:val="none"/>
          <w:lang w:eastAsia="zh-CN"/>
        </w:rPr>
        <w:t>。</w:t>
      </w:r>
    </w:p>
    <w:p>
      <w:pPr>
        <w:snapToGrid w:val="0"/>
        <w:spacing w:line="360" w:lineRule="auto"/>
        <w:ind w:firstLine="539"/>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lang w:val="en-US" w:eastAsia="zh-CN"/>
        </w:rPr>
        <w:t>四</w:t>
      </w:r>
      <w:r>
        <w:rPr>
          <w:rFonts w:hint="eastAsia" w:ascii="宋体" w:hAnsi="宋体" w:cs="Arial"/>
          <w:b/>
          <w:bCs/>
          <w:color w:val="auto"/>
          <w:sz w:val="24"/>
          <w:highlight w:val="none"/>
        </w:rPr>
        <w:t>、招标文件的获取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lang w:val="en-US" w:eastAsia="zh-CN"/>
        </w:rPr>
        <w:t>1、</w:t>
      </w:r>
      <w:r>
        <w:rPr>
          <w:rFonts w:hint="eastAsia" w:ascii="宋体" w:hAnsi="宋体" w:cs="Arial"/>
          <w:color w:val="auto"/>
          <w:sz w:val="24"/>
          <w:highlight w:val="none"/>
        </w:rPr>
        <w:t>本次招标文件的获取由各</w:t>
      </w:r>
      <w:r>
        <w:rPr>
          <w:rFonts w:hint="eastAsia" w:ascii="宋体" w:hAnsi="宋体" w:cs="Arial"/>
          <w:color w:val="auto"/>
          <w:sz w:val="24"/>
          <w:highlight w:val="none"/>
          <w:lang w:eastAsia="zh-CN"/>
        </w:rPr>
        <w:t>投标人</w:t>
      </w:r>
      <w:r>
        <w:rPr>
          <w:rFonts w:hint="eastAsia" w:ascii="宋体" w:hAnsi="宋体" w:cs="Arial"/>
          <w:color w:val="auto"/>
          <w:sz w:val="24"/>
          <w:highlight w:val="none"/>
        </w:rPr>
        <w:t>自行到</w:t>
      </w:r>
      <w:r>
        <w:rPr>
          <w:rFonts w:hint="eastAsia" w:ascii="宋体" w:hAnsi="宋体" w:cs="宋体"/>
          <w:color w:val="auto"/>
          <w:sz w:val="24"/>
          <w:szCs w:val="24"/>
          <w:highlight w:val="none"/>
          <w:lang w:eastAsia="zh-CN"/>
        </w:rPr>
        <w:t>浙江政府采购网网上（https://zfcg.czt.zj.gov.cn/）</w:t>
      </w:r>
      <w:r>
        <w:rPr>
          <w:rFonts w:hint="eastAsia" w:ascii="宋体" w:hAnsi="宋体" w:cs="Arial"/>
          <w:color w:val="auto"/>
          <w:sz w:val="24"/>
          <w:highlight w:val="none"/>
        </w:rPr>
        <w:t>下载获取。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本项目招标文件(含附件)和补充(答疑、澄清)、修改文件以网上下载方式发放，请有意参加投标</w:t>
      </w:r>
      <w:r>
        <w:rPr>
          <w:rFonts w:hint="eastAsia" w:ascii="宋体" w:hAnsi="宋体" w:cs="Arial"/>
          <w:color w:val="auto"/>
          <w:sz w:val="24"/>
          <w:highlight w:val="none"/>
          <w:lang w:eastAsia="zh-CN"/>
        </w:rPr>
        <w:t>人</w:t>
      </w:r>
      <w:r>
        <w:rPr>
          <w:rFonts w:hint="eastAsia" w:ascii="宋体" w:hAnsi="宋体" w:cs="Arial"/>
          <w:color w:val="auto"/>
          <w:sz w:val="24"/>
          <w:highlight w:val="none"/>
        </w:rPr>
        <w:t>及时关注。</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w:t>
      </w:r>
      <w:r>
        <w:rPr>
          <w:rFonts w:hint="eastAsia" w:ascii="宋体" w:hAnsi="宋体" w:cs="Arial"/>
          <w:b/>
          <w:bCs/>
          <w:color w:val="auto"/>
          <w:sz w:val="24"/>
          <w:highlight w:val="none"/>
          <w:lang w:val="en-US" w:eastAsia="zh-CN"/>
        </w:rPr>
        <w:t>五</w:t>
      </w:r>
      <w:r>
        <w:rPr>
          <w:rFonts w:hint="eastAsia" w:ascii="宋体" w:hAnsi="宋体" w:cs="Arial"/>
          <w:b/>
          <w:bCs/>
          <w:color w:val="auto"/>
          <w:sz w:val="24"/>
          <w:highlight w:val="none"/>
        </w:rPr>
        <w:t>、</w:t>
      </w:r>
      <w:r>
        <w:rPr>
          <w:rFonts w:hint="eastAsia" w:ascii="宋体" w:hAnsi="宋体" w:cs="宋体"/>
          <w:b/>
          <w:bCs/>
          <w:color w:val="auto"/>
          <w:sz w:val="24"/>
          <w:highlight w:val="none"/>
        </w:rPr>
        <w:t>投标截止及时间和地点</w:t>
      </w:r>
      <w:r>
        <w:rPr>
          <w:rFonts w:hint="eastAsia" w:ascii="宋体" w:hAnsi="宋体" w:cs="Arial"/>
          <w:color w:val="auto"/>
          <w:sz w:val="24"/>
          <w:highlight w:val="none"/>
        </w:rPr>
        <w:t>：</w:t>
      </w:r>
    </w:p>
    <w:p>
      <w:pPr>
        <w:pStyle w:val="17"/>
        <w:snapToGrid w:val="0"/>
        <w:spacing w:before="0" w:beforeLines="0" w:after="0" w:afterLines="0" w:line="360" w:lineRule="auto"/>
        <w:rPr>
          <w:rFonts w:hint="default" w:ascii="宋体" w:hAnsi="宋体" w:eastAsia="宋体" w:cs="宋体"/>
          <w:color w:val="auto"/>
          <w:sz w:val="24"/>
          <w:szCs w:val="24"/>
          <w:highlight w:val="none"/>
          <w:lang w:val="en-US" w:eastAsia="zh-CN"/>
        </w:rPr>
      </w:pPr>
      <w:bookmarkStart w:id="2" w:name="_Toc35393794"/>
      <w:bookmarkStart w:id="3" w:name="_Toc35393625"/>
      <w:bookmarkStart w:id="4" w:name="_Toc28359084"/>
      <w:bookmarkStart w:id="5" w:name="_Toc28359007"/>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lang w:val="en-US" w:eastAsia="zh-CN"/>
        </w:rPr>
        <w:t>2025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XX</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XX</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u w:val="singl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w:t>
      </w:r>
      <w:r>
        <w:rPr>
          <w:rFonts w:hint="eastAsia" w:ascii="宋体" w:hAnsi="宋体" w:cs="宋体"/>
          <w:color w:val="auto"/>
          <w:sz w:val="24"/>
          <w:szCs w:val="24"/>
          <w:highlight w:val="none"/>
          <w:lang w:val="en-US" w:eastAsia="zh-CN"/>
        </w:rPr>
        <w:t>递交至浙江省台州市市府大道507号台州国际商务广场1幢（北门）3楼开标室。</w:t>
      </w:r>
    </w:p>
    <w:bookmarkEnd w:id="2"/>
    <w:bookmarkEnd w:id="3"/>
    <w:bookmarkEnd w:id="4"/>
    <w:bookmarkEnd w:id="5"/>
    <w:p>
      <w:pPr>
        <w:snapToGrid w:val="0"/>
        <w:spacing w:line="360" w:lineRule="auto"/>
        <w:ind w:firstLine="482" w:firstLineChars="200"/>
        <w:rPr>
          <w:rFonts w:ascii="宋体" w:hAnsi="宋体" w:cs="Arial"/>
          <w:color w:val="auto"/>
          <w:sz w:val="24"/>
          <w:szCs w:val="20"/>
          <w:highlight w:val="none"/>
        </w:rPr>
      </w:pPr>
      <w:r>
        <w:rPr>
          <w:rFonts w:hint="eastAsia" w:ascii="宋体" w:hAnsi="宋体" w:eastAsia="宋体" w:cs="Arial"/>
          <w:b/>
          <w:bCs/>
          <w:color w:val="auto"/>
          <w:sz w:val="24"/>
          <w:highlight w:val="none"/>
          <w:lang w:val="en-US" w:eastAsia="zh-CN"/>
        </w:rPr>
        <w:t>六</w:t>
      </w:r>
      <w:r>
        <w:rPr>
          <w:rFonts w:hint="eastAsia" w:ascii="宋体" w:hAnsi="宋体" w:eastAsia="宋体" w:cs="Arial"/>
          <w:b/>
          <w:bCs/>
          <w:color w:val="auto"/>
          <w:sz w:val="24"/>
          <w:highlight w:val="none"/>
        </w:rPr>
        <w:t>、</w:t>
      </w:r>
      <w:r>
        <w:rPr>
          <w:rFonts w:hint="eastAsia" w:ascii="宋体" w:hAnsi="宋体" w:cs="Arial"/>
          <w:b/>
          <w:bCs/>
          <w:color w:val="auto"/>
          <w:sz w:val="24"/>
          <w:highlight w:val="none"/>
        </w:rPr>
        <w:t>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1、担保金额：</w:t>
      </w:r>
      <w:r>
        <w:rPr>
          <w:rFonts w:hint="eastAsia" w:ascii="宋体" w:hAnsi="宋体" w:cs="宋体"/>
          <w:b w:val="0"/>
          <w:bCs/>
          <w:color w:val="auto"/>
          <w:kern w:val="0"/>
          <w:sz w:val="24"/>
          <w:highlight w:val="none"/>
          <w:lang w:val="en-US" w:eastAsia="zh-CN"/>
        </w:rPr>
        <w:t>3000</w:t>
      </w:r>
      <w:r>
        <w:rPr>
          <w:rFonts w:hint="eastAsia" w:ascii="宋体" w:hAnsi="宋体" w:cs="宋体"/>
          <w:b w:val="0"/>
          <w:bCs/>
          <w:color w:val="auto"/>
          <w:kern w:val="0"/>
          <w:sz w:val="24"/>
          <w:highlight w:val="none"/>
        </w:rPr>
        <w:t>元</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2、担保形式：转账、电汇、银行汇票、银行保函、保险机构保证保险保单、融资担保公司保函。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（1）转账、电汇、银行汇票：</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投标保证金应在投标截止时间前以投标人名义转至台州市建设咨询有限公司账户</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开户行：</w:t>
      </w:r>
      <w:r>
        <w:rPr>
          <w:rFonts w:hint="eastAsia" w:ascii="宋体" w:hAnsi="宋体" w:cs="宋体"/>
          <w:b w:val="0"/>
          <w:bCs/>
          <w:color w:val="auto"/>
          <w:kern w:val="0"/>
          <w:sz w:val="24"/>
          <w:highlight w:val="none"/>
          <w:lang w:val="en-US" w:eastAsia="zh-CN"/>
        </w:rPr>
        <w:t>中信银行台州分行营业部</w:t>
      </w:r>
      <w:r>
        <w:rPr>
          <w:rFonts w:hint="eastAsia" w:ascii="宋体" w:hAnsi="宋体" w:cs="宋体"/>
          <w:b w:val="0"/>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银行行号：</w:t>
      </w:r>
      <w:r>
        <w:rPr>
          <w:rFonts w:hint="eastAsia" w:ascii="宋体" w:hAnsi="宋体" w:cs="宋体"/>
          <w:b w:val="0"/>
          <w:bCs/>
          <w:color w:val="auto"/>
          <w:kern w:val="0"/>
          <w:sz w:val="24"/>
          <w:highlight w:val="none"/>
          <w:lang w:val="en-US" w:eastAsia="zh-CN"/>
        </w:rPr>
        <w:t>302345033952</w:t>
      </w:r>
      <w:r>
        <w:rPr>
          <w:rFonts w:hint="eastAsia" w:ascii="宋体" w:hAnsi="宋体" w:cs="宋体"/>
          <w:b w:val="0"/>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账号：</w:t>
      </w:r>
      <w:r>
        <w:rPr>
          <w:rFonts w:hint="eastAsia" w:ascii="宋体" w:hAnsi="宋体" w:cs="宋体"/>
          <w:b w:val="0"/>
          <w:bCs/>
          <w:color w:val="auto"/>
          <w:kern w:val="0"/>
          <w:sz w:val="24"/>
          <w:highlight w:val="none"/>
          <w:lang w:val="en-US" w:eastAsia="zh-CN"/>
        </w:rPr>
        <w:t xml:space="preserve">8110801011702993473 </w:t>
      </w:r>
      <w:r>
        <w:rPr>
          <w:rFonts w:hint="eastAsia" w:ascii="宋体" w:hAnsi="宋体" w:cs="宋体"/>
          <w:b w:val="0"/>
          <w:bCs/>
          <w:color w:val="auto"/>
          <w:kern w:val="0"/>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①银行保函、保险机构保证保险保单、融资担保公司保函（以下合称“工程保函”）原件须在投标截止时间前提交；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提交方式及地点：浙江省台州市市府大道507号台州国际商务广场1幢（北门）</w:t>
      </w:r>
      <w:r>
        <w:rPr>
          <w:rFonts w:hint="eastAsia" w:ascii="宋体" w:hAnsi="宋体" w:cs="宋体"/>
          <w:b w:val="0"/>
          <w:bCs/>
          <w:color w:val="auto"/>
          <w:kern w:val="0"/>
          <w:sz w:val="24"/>
          <w:highlight w:val="none"/>
          <w:lang w:val="en-US" w:eastAsia="zh-CN"/>
        </w:rPr>
        <w:t>3</w:t>
      </w:r>
      <w:r>
        <w:rPr>
          <w:rFonts w:hint="eastAsia" w:ascii="宋体" w:hAnsi="宋体" w:cs="宋体"/>
          <w:b w:val="0"/>
          <w:bCs/>
          <w:color w:val="auto"/>
          <w:kern w:val="0"/>
          <w:sz w:val="24"/>
          <w:highlight w:val="none"/>
        </w:rPr>
        <w:t>楼开标室；</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接收人：台州市建设咨询有限公司（代理机构）；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接收人联系方式：</w:t>
      </w:r>
      <w:r>
        <w:rPr>
          <w:rFonts w:hint="eastAsia" w:ascii="宋体" w:hAnsi="宋体" w:cs="宋体"/>
          <w:b w:val="0"/>
          <w:bCs/>
          <w:color w:val="auto"/>
          <w:kern w:val="0"/>
          <w:sz w:val="24"/>
          <w:highlight w:val="none"/>
          <w:lang w:eastAsia="zh-CN"/>
        </w:rPr>
        <w:t>0576-88517785</w:t>
      </w:r>
      <w:r>
        <w:rPr>
          <w:rFonts w:hint="eastAsia" w:ascii="宋体" w:hAnsi="宋体" w:cs="宋体"/>
          <w:b w:val="0"/>
          <w:bCs/>
          <w:color w:val="auto"/>
          <w:kern w:val="0"/>
          <w:sz w:val="24"/>
          <w:highlight w:val="none"/>
        </w:rPr>
        <w:t xml:space="preserve"> （代理机构联系方式）；</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②工程保函受益人：</w:t>
      </w:r>
      <w:r>
        <w:rPr>
          <w:rFonts w:hint="eastAsia" w:ascii="宋体" w:hAnsi="宋体" w:cs="宋体"/>
          <w:b w:val="0"/>
          <w:bCs/>
          <w:color w:val="auto"/>
          <w:kern w:val="0"/>
          <w:sz w:val="24"/>
          <w:highlight w:val="none"/>
          <w:lang w:eastAsia="zh-CN"/>
        </w:rPr>
        <w:t>台州市椒江新城基础设施建设有限公司</w:t>
      </w:r>
      <w:r>
        <w:rPr>
          <w:rFonts w:hint="eastAsia" w:ascii="宋体" w:hAnsi="宋体" w:cs="宋体"/>
          <w:b w:val="0"/>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 xml:space="preserve">  工程保函投保人：                  （投标人名称）；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③工程保函的有效期应当不短于投标有效期；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val="0"/>
          <w:bCs/>
          <w:color w:val="auto"/>
          <w:kern w:val="0"/>
          <w:sz w:val="24"/>
          <w:highlight w:val="none"/>
        </w:rPr>
      </w:pPr>
      <w:r>
        <w:rPr>
          <w:rFonts w:hint="eastAsia" w:ascii="宋体" w:hAnsi="宋体" w:cs="宋体"/>
          <w:b w:val="0"/>
          <w:bCs/>
          <w:color w:val="auto"/>
          <w:kern w:val="0"/>
          <w:sz w:val="24"/>
          <w:highlight w:val="none"/>
        </w:rPr>
        <w:t>④工程保函中招标人可提起索赔的内容必须至少包括“投标人须知15.4”款中所列条款。</w:t>
      </w:r>
    </w:p>
    <w:p>
      <w:pPr>
        <w:snapToGrid w:val="0"/>
        <w:spacing w:line="360"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color w:val="auto"/>
          <w:sz w:val="24"/>
          <w:highlight w:val="none"/>
        </w:rPr>
        <w:t>公告网址：</w:t>
      </w:r>
      <w:r>
        <w:rPr>
          <w:rFonts w:hint="eastAsia" w:ascii="宋体" w:hAnsi="宋体" w:cs="宋体"/>
          <w:color w:val="auto"/>
          <w:sz w:val="24"/>
          <w:highlight w:val="none"/>
          <w:lang w:eastAsia="zh-CN"/>
        </w:rPr>
        <w:t>浙江政府采购网</w:t>
      </w:r>
      <w:r>
        <w:rPr>
          <w:rFonts w:hint="eastAsia" w:ascii="宋体" w:hAnsi="宋体" w:cs="宋体"/>
          <w:color w:val="auto"/>
          <w:sz w:val="24"/>
          <w:highlight w:val="none"/>
        </w:rPr>
        <w:t>（https://tzygcg.com/）。</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lang w:val="en-US" w:eastAsia="zh-CN"/>
        </w:rPr>
        <w:t>八</w:t>
      </w:r>
      <w:r>
        <w:rPr>
          <w:rFonts w:hint="eastAsia" w:ascii="宋体" w:hAnsi="宋体" w:cs="Arial"/>
          <w:b/>
          <w:color w:val="auto"/>
          <w:sz w:val="24"/>
          <w:highlight w:val="none"/>
        </w:rPr>
        <w:t>、联系方式：</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eastAsia="zh-CN"/>
        </w:rPr>
        <w:t>招标人</w:t>
      </w:r>
      <w:r>
        <w:rPr>
          <w:rFonts w:hint="eastAsia" w:ascii="宋体" w:hAnsi="宋体" w:cs="宋体"/>
          <w:b/>
          <w:bCs/>
          <w:color w:val="auto"/>
          <w:sz w:val="24"/>
          <w:highlight w:val="none"/>
        </w:rPr>
        <w:t xml:space="preserve">（受理招标文件相关质疑及答复） </w:t>
      </w:r>
    </w:p>
    <w:p>
      <w:pPr>
        <w:spacing w:line="360" w:lineRule="auto"/>
        <w:ind w:firstLine="600" w:firstLineChars="250"/>
        <w:rPr>
          <w:rFonts w:hint="eastAsia" w:hAnsi="宋体" w:cs="宋体"/>
          <w:b/>
          <w:bCs/>
          <w:color w:val="auto"/>
          <w:highlight w:val="none"/>
        </w:rPr>
      </w:pPr>
      <w:r>
        <w:rPr>
          <w:rFonts w:hint="eastAsia" w:ascii="宋体" w:hAnsi="宋体" w:cs="宋体"/>
          <w:color w:val="auto"/>
          <w:sz w:val="24"/>
          <w:highlight w:val="none"/>
          <w:lang w:val="en-US" w:eastAsia="zh-CN"/>
        </w:rPr>
        <w:t>名称</w:t>
      </w:r>
      <w:r>
        <w:rPr>
          <w:rFonts w:hint="eastAsia" w:ascii="宋体" w:hAnsi="宋体" w:cs="宋体"/>
          <w:color w:val="auto"/>
          <w:kern w:val="0"/>
          <w:sz w:val="24"/>
          <w:highlight w:val="none"/>
        </w:rPr>
        <w:t>：</w:t>
      </w:r>
      <w:r>
        <w:rPr>
          <w:rFonts w:hint="eastAsia" w:ascii="宋体" w:hAnsi="宋体" w:cs="宋体"/>
          <w:color w:val="auto"/>
          <w:sz w:val="24"/>
          <w:highlight w:val="none"/>
          <w:u w:val="single"/>
          <w:lang w:val="en-US" w:eastAsia="zh-CN"/>
        </w:rPr>
        <w:t>台州市椒江新城基础设施建设有限公司</w:t>
      </w:r>
      <w:r>
        <w:rPr>
          <w:rFonts w:hint="eastAsia" w:ascii="宋体" w:hAnsi="宋体" w:eastAsia="宋体" w:cs="宋体"/>
          <w:color w:val="auto"/>
          <w:sz w:val="24"/>
          <w:highlight w:val="none"/>
          <w:u w:val="single"/>
          <w:lang w:val="en-US" w:eastAsia="zh-CN"/>
        </w:rPr>
        <w:t xml:space="preserve">   </w:t>
      </w:r>
      <w:r>
        <w:rPr>
          <w:rFonts w:hint="eastAsia" w:hAnsi="宋体" w:cs="宋体"/>
          <w:b/>
          <w:bCs/>
          <w:color w:val="auto"/>
          <w:highlight w:val="non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王先生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lang w:eastAsia="zh-CN"/>
        </w:rPr>
        <w:t>0576-88516815</w:t>
      </w:r>
      <w:r>
        <w:rPr>
          <w:rFonts w:hint="eastAsia" w:ascii="宋体" w:hAnsi="宋体" w:cs="宋体"/>
          <w:color w:val="auto"/>
          <w:sz w:val="24"/>
          <w:highlight w:val="none"/>
        </w:rPr>
        <w:t xml:space="preserve"> </w:t>
      </w:r>
    </w:p>
    <w:p>
      <w:pPr>
        <w:spacing w:line="360" w:lineRule="auto"/>
        <w:ind w:firstLine="600" w:firstLineChars="250"/>
        <w:rPr>
          <w:rFonts w:hint="default" w:hAnsi="宋体" w:eastAsia="宋体" w:cs="宋体"/>
          <w:b/>
          <w:bCs/>
          <w:color w:val="auto"/>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color w:val="auto"/>
          <w:sz w:val="24"/>
          <w:highlight w:val="none"/>
          <w:u w:val="single"/>
          <w:lang w:val="en-US" w:eastAsia="zh-CN"/>
        </w:rPr>
        <w:t>浙江省台州市椒江区西太和路1号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color w:val="auto"/>
          <w:sz w:val="24"/>
          <w:highlight w:val="none"/>
        </w:rPr>
        <w:t>（二）</w:t>
      </w:r>
      <w:r>
        <w:rPr>
          <w:rFonts w:hint="eastAsia" w:ascii="宋体" w:hAnsi="宋体" w:cs="宋体"/>
          <w:b/>
          <w:bCs/>
          <w:color w:val="auto"/>
          <w:sz w:val="24"/>
          <w:highlight w:val="none"/>
          <w:lang w:val="en-US" w:eastAsia="zh-CN"/>
        </w:rPr>
        <w:t>代理</w:t>
      </w:r>
      <w:r>
        <w:rPr>
          <w:rFonts w:hint="eastAsia" w:ascii="宋体" w:hAnsi="宋体" w:cs="宋体"/>
          <w:b/>
          <w:bCs/>
          <w:color w:val="auto"/>
          <w:sz w:val="24"/>
          <w:highlight w:val="none"/>
        </w:rPr>
        <w:t>机构</w:t>
      </w:r>
    </w:p>
    <w:p>
      <w:pPr>
        <w:widowControl/>
        <w:spacing w:line="360"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名称</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葛俊</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60" w:lineRule="auto"/>
        <w:ind w:firstLine="600" w:firstLineChars="250"/>
        <w:jc w:val="left"/>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kern w:val="0"/>
          <w:sz w:val="24"/>
          <w:highlight w:val="none"/>
        </w:rPr>
        <w:t>：</w:t>
      </w:r>
      <w:r>
        <w:rPr>
          <w:rFonts w:hint="eastAsia" w:ascii="宋体" w:hAnsi="宋体" w:cs="宋体"/>
          <w:color w:val="auto"/>
          <w:sz w:val="24"/>
          <w:highlight w:val="none"/>
          <w:u w:val="single"/>
          <w:lang w:eastAsia="zh-CN"/>
        </w:rPr>
        <w:t>0576-88517785</w:t>
      </w:r>
      <w:r>
        <w:rPr>
          <w:rFonts w:hint="eastAsia" w:ascii="宋体" w:hAnsi="宋体" w:cs="宋体"/>
          <w:color w:val="auto"/>
          <w:sz w:val="24"/>
          <w:highlight w:val="none"/>
        </w:rPr>
        <w:t xml:space="preserve"> </w:t>
      </w:r>
    </w:p>
    <w:p>
      <w:pPr>
        <w:spacing w:line="360" w:lineRule="auto"/>
        <w:ind w:firstLine="600" w:firstLineChars="250"/>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地址：</w:t>
      </w:r>
      <w:r>
        <w:rPr>
          <w:rFonts w:hint="eastAsia" w:ascii="宋体" w:hAnsi="宋体" w:cs="宋体"/>
          <w:color w:val="auto"/>
          <w:sz w:val="24"/>
          <w:highlight w:val="none"/>
          <w:u w:val="single"/>
          <w:lang w:val="en-US" w:eastAsia="zh-CN"/>
        </w:rPr>
        <w:t>浙江省台州市椒江区市府大道东段507号台州国际商务广场1幢6楼</w:t>
      </w:r>
    </w:p>
    <w:p>
      <w:pPr>
        <w:snapToGrid w:val="0"/>
        <w:spacing w:line="360" w:lineRule="auto"/>
        <w:ind w:firstLine="420"/>
        <w:jc w:val="right"/>
        <w:rPr>
          <w:rFonts w:hint="eastAsia" w:ascii="宋体" w:hAnsi="宋体" w:cs="Arial"/>
          <w:color w:val="auto"/>
          <w:sz w:val="24"/>
          <w:szCs w:val="20"/>
          <w:highlight w:val="none"/>
        </w:rPr>
      </w:pPr>
    </w:p>
    <w:p>
      <w:pPr>
        <w:snapToGrid w:val="0"/>
        <w:spacing w:line="360" w:lineRule="auto"/>
        <w:ind w:left="238"/>
        <w:jc w:val="center"/>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s="Arial"/>
          <w:color w:val="auto"/>
          <w:sz w:val="24"/>
          <w:highlight w:val="none"/>
        </w:rPr>
        <w:t>台州市建设咨询有限公司</w:t>
      </w:r>
    </w:p>
    <w:p>
      <w:pPr>
        <w:snapToGrid w:val="0"/>
        <w:spacing w:line="360" w:lineRule="auto"/>
        <w:ind w:left="238" w:firstLine="4980" w:firstLineChars="2075"/>
        <w:jc w:val="center"/>
        <w:rPr>
          <w:rFonts w:hint="eastAsia" w:ascii="黑体" w:hAnsi="宋体" w:eastAsia="黑体"/>
          <w:b/>
          <w:bCs/>
          <w:color w:val="auto"/>
          <w:sz w:val="30"/>
          <w:szCs w:val="30"/>
          <w:highlight w:val="none"/>
        </w:rPr>
      </w:pPr>
      <w:r>
        <w:rPr>
          <w:rFonts w:hint="eastAsia" w:ascii="宋体" w:hAnsi="宋体" w:cs="Arial"/>
          <w:color w:val="auto"/>
          <w:sz w:val="24"/>
          <w:highlight w:val="none"/>
          <w:lang w:val="en-US" w:eastAsia="zh-CN"/>
        </w:rPr>
        <w:t xml:space="preserve">     </w:t>
      </w:r>
      <w:r>
        <w:rPr>
          <w:rFonts w:ascii="宋体" w:hAnsi="宋体" w:cs="Arial"/>
          <w:color w:val="auto"/>
          <w:sz w:val="24"/>
          <w:highlight w:val="none"/>
        </w:rPr>
        <w:t>202</w:t>
      </w:r>
      <w:r>
        <w:rPr>
          <w:rFonts w:hint="eastAsia" w:ascii="宋体" w:hAnsi="宋体" w:cs="Arial"/>
          <w:color w:val="auto"/>
          <w:sz w:val="24"/>
          <w:highlight w:val="none"/>
          <w:lang w:val="en-US" w:eastAsia="zh-CN"/>
        </w:rPr>
        <w:t>5</w:t>
      </w:r>
      <w:r>
        <w:rPr>
          <w:rFonts w:ascii="宋体" w:hAnsi="宋体" w:cs="Arial"/>
          <w:color w:val="auto"/>
          <w:sz w:val="24"/>
          <w:highlight w:val="none"/>
        </w:rPr>
        <w:t>年</w:t>
      </w:r>
      <w:r>
        <w:rPr>
          <w:rFonts w:hint="eastAsia" w:ascii="宋体" w:hAnsi="宋体" w:cs="Arial"/>
          <w:color w:val="auto"/>
          <w:sz w:val="24"/>
          <w:highlight w:val="none"/>
          <w:lang w:val="en-US" w:eastAsia="zh-CN"/>
        </w:rPr>
        <w:t>7</w:t>
      </w:r>
      <w:r>
        <w:rPr>
          <w:rFonts w:ascii="宋体" w:hAnsi="宋体" w:cs="Arial"/>
          <w:color w:val="auto"/>
          <w:sz w:val="24"/>
          <w:highlight w:val="none"/>
        </w:rPr>
        <w:t>月</w:t>
      </w:r>
      <w:r>
        <w:rPr>
          <w:rFonts w:hint="eastAsia" w:ascii="宋体" w:hAnsi="宋体" w:cs="Arial"/>
          <w:color w:val="auto"/>
          <w:sz w:val="24"/>
          <w:highlight w:val="none"/>
        </w:rPr>
        <w:t xml:space="preserve"> </w:t>
      </w:r>
      <w:r>
        <w:rPr>
          <w:rFonts w:ascii="宋体" w:hAnsi="宋体"/>
          <w:color w:val="auto"/>
          <w:highlight w:val="none"/>
        </w:rPr>
        <w:br w:type="page"/>
      </w:r>
      <w:r>
        <w:rPr>
          <w:rFonts w:hint="eastAsia" w:ascii="黑体" w:hAnsi="宋体" w:eastAsia="黑体"/>
          <w:b/>
          <w:bCs/>
          <w:color w:val="auto"/>
          <w:sz w:val="30"/>
          <w:szCs w:val="30"/>
          <w:highlight w:val="none"/>
        </w:rPr>
        <w:t>第二章  招标需求</w:t>
      </w:r>
    </w:p>
    <w:p>
      <w:pPr>
        <w:pStyle w:val="30"/>
        <w:snapToGrid w:val="0"/>
        <w:spacing w:before="120" w:beforeLines="0" w:after="120" w:afterLines="0" w:line="360" w:lineRule="auto"/>
        <w:ind w:firstLine="241" w:firstLineChars="100"/>
        <w:outlineLvl w:val="0"/>
        <w:rPr>
          <w:rFonts w:hAnsi="宋体"/>
          <w:b/>
          <w:bCs/>
          <w:color w:val="auto"/>
          <w:szCs w:val="21"/>
          <w:highlight w:val="none"/>
        </w:rPr>
      </w:pPr>
      <w:r>
        <w:rPr>
          <w:rFonts w:hAnsi="宋体"/>
          <w:b/>
          <w:bCs/>
          <w:color w:val="auto"/>
          <w:szCs w:val="21"/>
          <w:highlight w:val="none"/>
        </w:rPr>
        <w:t>一、项目要求</w:t>
      </w:r>
    </w:p>
    <w:tbl>
      <w:tblPr>
        <w:tblStyle w:val="47"/>
        <w:tblW w:w="9459" w:type="dxa"/>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9"/>
        <w:gridCol w:w="7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标项</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采购内容</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int="eastAsia" w:hAnsi="宋体" w:eastAsia="宋体"/>
                <w:color w:val="auto"/>
                <w:sz w:val="21"/>
                <w:szCs w:val="21"/>
                <w:highlight w:val="none"/>
                <w:lang w:eastAsia="zh-CN"/>
              </w:rPr>
            </w:pPr>
            <w:r>
              <w:rPr>
                <w:rFonts w:hint="eastAsia" w:hAnsi="宋体" w:eastAsia="宋体"/>
                <w:color w:val="auto"/>
                <w:sz w:val="21"/>
                <w:szCs w:val="21"/>
                <w:highlight w:val="none"/>
                <w:lang w:val="en-US" w:eastAsia="zh-CN"/>
              </w:rPr>
              <w:t>太和路（沿山道路-腾云路）、椒江医化产业园区基础设施提升工程（腾云路半幅道路工程）路灯采购工程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规格及型号</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单位及数量</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669"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Ansi="宋体"/>
                <w:color w:val="auto"/>
                <w:sz w:val="21"/>
                <w:szCs w:val="21"/>
                <w:highlight w:val="none"/>
              </w:rPr>
            </w:pPr>
            <w:r>
              <w:rPr>
                <w:rFonts w:hAnsi="宋体"/>
                <w:color w:val="auto"/>
                <w:sz w:val="21"/>
                <w:szCs w:val="21"/>
                <w:highlight w:val="none"/>
              </w:rPr>
              <w:t>用途</w:t>
            </w:r>
          </w:p>
        </w:tc>
        <w:tc>
          <w:tcPr>
            <w:tcW w:w="7790"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120" w:beforeLines="0" w:after="120" w:afterLines="0" w:line="360" w:lineRule="auto"/>
              <w:outlineLvl w:val="0"/>
              <w:rPr>
                <w:rFonts w:hint="eastAsia" w:hAnsi="宋体" w:eastAsia="宋体"/>
                <w:color w:val="auto"/>
                <w:sz w:val="21"/>
                <w:szCs w:val="21"/>
                <w:highlight w:val="none"/>
                <w:lang w:eastAsia="zh-CN"/>
              </w:rPr>
            </w:pPr>
            <w:r>
              <w:rPr>
                <w:rFonts w:hint="eastAsia" w:hAnsi="宋体"/>
                <w:color w:val="auto"/>
                <w:sz w:val="21"/>
                <w:szCs w:val="21"/>
                <w:highlight w:val="none"/>
                <w:lang w:eastAsia="zh-CN"/>
              </w:rPr>
              <w:t>太和路（沿山道路-腾云路）、椒江医化产业园区基础设施提升工程（腾云路半幅道路工程）路灯采购工程</w:t>
            </w:r>
          </w:p>
        </w:tc>
      </w:tr>
    </w:tbl>
    <w:p>
      <w:pPr>
        <w:pStyle w:val="30"/>
        <w:numPr>
          <w:ilvl w:val="0"/>
          <w:numId w:val="6"/>
        </w:numPr>
        <w:snapToGrid w:val="0"/>
        <w:spacing w:before="120" w:beforeLines="0" w:after="120" w:afterLines="0" w:line="360" w:lineRule="auto"/>
        <w:ind w:firstLine="241" w:firstLineChars="100"/>
        <w:outlineLvl w:val="0"/>
        <w:rPr>
          <w:rFonts w:hAnsi="宋体"/>
          <w:b/>
          <w:bCs/>
          <w:color w:val="auto"/>
          <w:szCs w:val="21"/>
          <w:highlight w:val="none"/>
        </w:rPr>
      </w:pPr>
      <w:r>
        <w:rPr>
          <w:rFonts w:hint="eastAsia" w:hAnsi="宋体"/>
          <w:b/>
          <w:bCs/>
          <w:color w:val="auto"/>
          <w:szCs w:val="21"/>
          <w:highlight w:val="none"/>
          <w:lang w:val="en-US" w:eastAsia="zh-CN"/>
        </w:rPr>
        <w:t>采购明细清单</w:t>
      </w:r>
      <w:r>
        <w:rPr>
          <w:rFonts w:hAnsi="宋体"/>
          <w:b/>
          <w:bCs/>
          <w:color w:val="auto"/>
          <w:szCs w:val="21"/>
          <w:highlight w:val="none"/>
        </w:rPr>
        <w:t>：</w:t>
      </w:r>
    </w:p>
    <w:tbl>
      <w:tblPr>
        <w:tblStyle w:val="47"/>
        <w:tblW w:w="10037"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256"/>
        <w:gridCol w:w="5124"/>
        <w:gridCol w:w="1328"/>
        <w:gridCol w:w="1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875" w:type="dxa"/>
            <w:tcBorders>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5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杆件类型</w:t>
            </w:r>
          </w:p>
        </w:tc>
        <w:tc>
          <w:tcPr>
            <w:tcW w:w="512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132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数量（套）</w:t>
            </w:r>
          </w:p>
        </w:tc>
        <w:tc>
          <w:tcPr>
            <w:tcW w:w="1454" w:type="dxa"/>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单挑式路灯</w:t>
            </w:r>
          </w:p>
        </w:tc>
        <w:tc>
          <w:tcPr>
            <w:tcW w:w="5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LED120W,灯具安装高度10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12</w:t>
            </w:r>
          </w:p>
        </w:tc>
        <w:tc>
          <w:tcPr>
            <w:tcW w:w="1454"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包含模组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、驱动、单灯控制器</w:t>
            </w:r>
            <w:r>
              <w:rPr>
                <w:rFonts w:hint="eastAsia" w:ascii="宋体" w:hAnsi="宋体" w:cs="宋体"/>
                <w:i w:val="0"/>
                <w:iCs w:val="0"/>
                <w:color w:val="auto"/>
                <w:kern w:val="0"/>
                <w:sz w:val="22"/>
                <w:szCs w:val="22"/>
                <w:highlight w:val="none"/>
                <w:u w:val="none"/>
                <w:lang w:val="en-US" w:eastAsia="zh-CN" w:bidi="ar"/>
              </w:rPr>
              <w:t>46</w:t>
            </w:r>
            <w:r>
              <w:rPr>
                <w:rFonts w:hint="eastAsia" w:ascii="宋体" w:hAnsi="宋体" w:eastAsia="宋体" w:cs="宋体"/>
                <w:i w:val="0"/>
                <w:iCs w:val="0"/>
                <w:color w:val="auto"/>
                <w:kern w:val="0"/>
                <w:sz w:val="22"/>
                <w:szCs w:val="22"/>
                <w:highlight w:val="none"/>
                <w:u w:val="none"/>
                <w:lang w:val="en-US" w:eastAsia="zh-CN" w:bidi="ar"/>
              </w:rPr>
              <w:t>个、杆内保险，不含现场施工、杆内电缆线、基础地笼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双挑式路灯</w:t>
            </w:r>
          </w:p>
        </w:tc>
        <w:tc>
          <w:tcPr>
            <w:tcW w:w="5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1、LED200W+LED120W,机动车道一侧灯具安装高度11m，灯臂长1.5m，非机动车道一侧灯具安装高度9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yellow"/>
                <w:u w:val="none"/>
                <w:lang w:val="en-US"/>
              </w:rPr>
            </w:pPr>
            <w:r>
              <w:rPr>
                <w:rFonts w:hint="eastAsia" w:ascii="宋体" w:hAnsi="宋体" w:eastAsia="宋体" w:cs="宋体"/>
                <w:i w:val="0"/>
                <w:color w:val="000000"/>
                <w:kern w:val="0"/>
                <w:sz w:val="22"/>
                <w:szCs w:val="22"/>
                <w:u w:val="none"/>
                <w:lang w:val="en-US" w:eastAsia="zh-CN" w:bidi="ar"/>
              </w:rPr>
              <w:t>32</w:t>
            </w:r>
          </w:p>
        </w:tc>
        <w:tc>
          <w:tcPr>
            <w:tcW w:w="145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yellow"/>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875"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中杆灯</w:t>
            </w:r>
          </w:p>
        </w:tc>
        <w:tc>
          <w:tcPr>
            <w:tcW w:w="5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1、4*LED200W,灯具安装高度13.8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color w:val="000000"/>
                <w:kern w:val="0"/>
                <w:sz w:val="22"/>
                <w:szCs w:val="22"/>
                <w:u w:val="none"/>
                <w:lang w:val="en-US" w:eastAsia="zh-CN" w:bidi="ar"/>
              </w:rPr>
              <w:t>2</w:t>
            </w:r>
          </w:p>
        </w:tc>
        <w:tc>
          <w:tcPr>
            <w:tcW w:w="1454"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yellow"/>
                <w:u w:val="none"/>
              </w:rPr>
            </w:pPr>
          </w:p>
        </w:tc>
      </w:tr>
    </w:tbl>
    <w:p>
      <w:pPr>
        <w:pStyle w:val="30"/>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en-US" w:eastAsia="zh-CN"/>
        </w:rPr>
      </w:pPr>
      <w:r>
        <w:rPr>
          <w:rFonts w:hint="eastAsia" w:hAnsi="宋体"/>
          <w:b/>
          <w:bCs/>
          <w:color w:val="auto"/>
          <w:sz w:val="28"/>
          <w:szCs w:val="22"/>
          <w:highlight w:val="none"/>
          <w:lang w:val="en-US" w:eastAsia="zh-CN"/>
        </w:rPr>
        <w:t>三</w:t>
      </w:r>
      <w:r>
        <w:rPr>
          <w:rFonts w:hint="eastAsia" w:ascii="宋体" w:hAnsi="宋体" w:eastAsia="宋体"/>
          <w:b/>
          <w:bCs/>
          <w:color w:val="auto"/>
          <w:sz w:val="28"/>
          <w:szCs w:val="22"/>
          <w:highlight w:val="none"/>
          <w:lang w:val="en-US" w:eastAsia="zh-CN"/>
        </w:rPr>
        <w:t>、工作范围</w:t>
      </w:r>
    </w:p>
    <w:p>
      <w:pPr>
        <w:tabs>
          <w:tab w:val="left" w:pos="540"/>
        </w:tabs>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1、完成杆件、灯具等的供应、</w:t>
      </w:r>
      <w:r>
        <w:rPr>
          <w:rFonts w:hint="eastAsia" w:ascii="宋体" w:hAnsi="Times New Roman"/>
          <w:color w:val="auto"/>
          <w:sz w:val="24"/>
          <w:szCs w:val="24"/>
          <w:highlight w:val="none"/>
        </w:rPr>
        <w:t>运输、装卸、</w:t>
      </w:r>
      <w:r>
        <w:rPr>
          <w:rFonts w:hint="eastAsia" w:ascii="宋体"/>
          <w:color w:val="auto"/>
          <w:sz w:val="24"/>
          <w:highlight w:val="none"/>
        </w:rPr>
        <w:t>调试、检验</w:t>
      </w:r>
      <w:r>
        <w:rPr>
          <w:rFonts w:hint="eastAsia" w:ascii="宋体"/>
          <w:color w:val="auto"/>
          <w:sz w:val="24"/>
          <w:highlight w:val="none"/>
          <w:lang w:val="en-US" w:eastAsia="zh-CN"/>
        </w:rPr>
        <w:t>等工作</w:t>
      </w:r>
      <w:r>
        <w:rPr>
          <w:rFonts w:hint="eastAsia" w:ascii="宋体"/>
          <w:color w:val="auto"/>
          <w:sz w:val="24"/>
          <w:highlight w:val="none"/>
        </w:rPr>
        <w:t>，以上内容在招标人的配合下通过验收。</w:t>
      </w:r>
    </w:p>
    <w:p>
      <w:pPr>
        <w:tabs>
          <w:tab w:val="left" w:pos="540"/>
        </w:tabs>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2、调试及试运行中，</w:t>
      </w:r>
      <w:r>
        <w:rPr>
          <w:rFonts w:hint="eastAsia" w:ascii="宋体"/>
          <w:color w:val="auto"/>
          <w:sz w:val="24"/>
          <w:highlight w:val="none"/>
          <w:lang w:eastAsia="zh-CN"/>
        </w:rPr>
        <w:t>中标人</w:t>
      </w:r>
      <w:r>
        <w:rPr>
          <w:rFonts w:hint="eastAsia" w:ascii="宋体"/>
          <w:color w:val="auto"/>
          <w:sz w:val="24"/>
          <w:highlight w:val="none"/>
        </w:rPr>
        <w:t>应派遣有实践经验的技术人员进行设备的调试及试运行工作。因设备自身质量问题，</w:t>
      </w:r>
      <w:r>
        <w:rPr>
          <w:rFonts w:hint="eastAsia" w:ascii="宋体" w:hAnsi="宋体" w:cs="宋体"/>
          <w:color w:val="auto"/>
          <w:sz w:val="24"/>
          <w:szCs w:val="24"/>
          <w:highlight w:val="none"/>
          <w:lang w:eastAsia="zh-CN"/>
        </w:rPr>
        <w:t>中标人</w:t>
      </w:r>
      <w:r>
        <w:rPr>
          <w:rFonts w:hint="eastAsia" w:ascii="宋体"/>
          <w:color w:val="auto"/>
          <w:sz w:val="24"/>
          <w:highlight w:val="none"/>
        </w:rPr>
        <w:t>应全权负责</w:t>
      </w:r>
      <w:r>
        <w:rPr>
          <w:rFonts w:hint="eastAsia" w:ascii="宋体"/>
          <w:color w:val="auto"/>
          <w:sz w:val="24"/>
          <w:highlight w:val="none"/>
          <w:lang w:val="en-US" w:eastAsia="zh-CN"/>
        </w:rPr>
        <w:t>解决，</w:t>
      </w:r>
      <w:r>
        <w:rPr>
          <w:rFonts w:hint="eastAsia" w:ascii="宋体"/>
          <w:color w:val="auto"/>
          <w:sz w:val="24"/>
          <w:highlight w:val="none"/>
        </w:rPr>
        <w:t>直到</w:t>
      </w:r>
      <w:r>
        <w:rPr>
          <w:rFonts w:hint="eastAsia" w:ascii="宋体"/>
          <w:color w:val="auto"/>
          <w:sz w:val="24"/>
          <w:highlight w:val="none"/>
          <w:lang w:val="en-US" w:eastAsia="zh-CN"/>
        </w:rPr>
        <w:t>招标人</w:t>
      </w:r>
      <w:r>
        <w:rPr>
          <w:rFonts w:hint="eastAsia" w:ascii="宋体"/>
          <w:color w:val="auto"/>
          <w:sz w:val="24"/>
          <w:highlight w:val="none"/>
        </w:rPr>
        <w:t>满意。在调试期间</w:t>
      </w:r>
      <w:r>
        <w:rPr>
          <w:rFonts w:hint="eastAsia" w:ascii="宋体" w:hAnsi="宋体" w:cs="宋体"/>
          <w:color w:val="auto"/>
          <w:sz w:val="24"/>
          <w:szCs w:val="24"/>
          <w:highlight w:val="none"/>
          <w:lang w:eastAsia="zh-CN"/>
        </w:rPr>
        <w:t>中标人</w:t>
      </w:r>
      <w:r>
        <w:rPr>
          <w:rFonts w:hint="eastAsia" w:ascii="宋体"/>
          <w:color w:val="auto"/>
          <w:sz w:val="24"/>
          <w:highlight w:val="none"/>
        </w:rPr>
        <w:t>应在现场负责指导测试和调试，以检测其设计、制造、运行效果等，一切费用由</w:t>
      </w:r>
      <w:r>
        <w:rPr>
          <w:rFonts w:hint="eastAsia" w:ascii="宋体" w:hAnsi="宋体" w:cs="宋体"/>
          <w:color w:val="auto"/>
          <w:sz w:val="24"/>
          <w:szCs w:val="24"/>
          <w:highlight w:val="none"/>
          <w:lang w:eastAsia="zh-CN"/>
        </w:rPr>
        <w:t>中标人</w:t>
      </w:r>
      <w:r>
        <w:rPr>
          <w:rFonts w:hint="eastAsia" w:ascii="宋体"/>
          <w:color w:val="auto"/>
          <w:sz w:val="24"/>
          <w:highlight w:val="none"/>
        </w:rPr>
        <w:t>负责。所用设备应经检定合格并在有效期内。</w:t>
      </w:r>
    </w:p>
    <w:p>
      <w:pPr>
        <w:tabs>
          <w:tab w:val="left" w:pos="540"/>
        </w:tabs>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3、验收合格条件：全部设备调试检验完毕，运行结果符合</w:t>
      </w:r>
      <w:r>
        <w:rPr>
          <w:rFonts w:hint="eastAsia" w:ascii="宋体"/>
          <w:color w:val="auto"/>
          <w:sz w:val="24"/>
          <w:highlight w:val="none"/>
          <w:lang w:val="en-US" w:eastAsia="zh-CN"/>
        </w:rPr>
        <w:t>有关部门及</w:t>
      </w:r>
      <w:r>
        <w:rPr>
          <w:rFonts w:hint="eastAsia" w:ascii="宋体"/>
          <w:color w:val="auto"/>
          <w:sz w:val="24"/>
          <w:highlight w:val="none"/>
        </w:rPr>
        <w:t xml:space="preserve">招标要求；在进行测试和验收运行过程中发生的故障和发现的问题已被排除，并得到招标人的认可；所有合同中规定的设备、备品备件和资料都已提交并得到接受。 </w:t>
      </w:r>
    </w:p>
    <w:p>
      <w:pPr>
        <w:tabs>
          <w:tab w:val="left" w:pos="540"/>
        </w:tabs>
        <w:autoSpaceDE w:val="0"/>
        <w:autoSpaceDN w:val="0"/>
        <w:adjustRightInd w:val="0"/>
        <w:spacing w:line="360" w:lineRule="auto"/>
        <w:ind w:firstLine="480" w:firstLineChars="200"/>
        <w:rPr>
          <w:rFonts w:hint="eastAsia" w:ascii="宋体"/>
          <w:color w:val="auto"/>
          <w:sz w:val="24"/>
          <w:highlight w:val="none"/>
        </w:rPr>
      </w:pPr>
      <w:r>
        <w:rPr>
          <w:rFonts w:hint="eastAsia" w:ascii="宋体"/>
          <w:color w:val="auto"/>
          <w:sz w:val="24"/>
          <w:highlight w:val="none"/>
        </w:rPr>
        <w:t>4、质保期内设备的维保、维修及所需随机备品备件(易损件)、专用工具(如有)的提供工作。</w:t>
      </w:r>
    </w:p>
    <w:p>
      <w:pPr>
        <w:tabs>
          <w:tab w:val="left" w:pos="540"/>
        </w:tabs>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5、售后服务的措施及承诺等。</w:t>
      </w:r>
    </w:p>
    <w:p>
      <w:pPr>
        <w:pStyle w:val="30"/>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zh-CN" w:eastAsia="zh-CN"/>
        </w:rPr>
      </w:pPr>
      <w:r>
        <w:rPr>
          <w:rFonts w:hint="eastAsia" w:hAnsi="宋体"/>
          <w:b/>
          <w:bCs/>
          <w:color w:val="auto"/>
          <w:sz w:val="28"/>
          <w:szCs w:val="22"/>
          <w:highlight w:val="none"/>
          <w:lang w:val="en-US" w:eastAsia="zh-CN"/>
        </w:rPr>
        <w:t>四</w:t>
      </w:r>
      <w:r>
        <w:rPr>
          <w:rFonts w:hint="eastAsia" w:ascii="宋体" w:hAnsi="宋体" w:eastAsia="宋体"/>
          <w:b/>
          <w:bCs/>
          <w:color w:val="auto"/>
          <w:sz w:val="28"/>
          <w:szCs w:val="22"/>
          <w:highlight w:val="none"/>
          <w:lang w:val="en-US" w:eastAsia="zh-CN"/>
        </w:rPr>
        <w:t>、</w:t>
      </w:r>
      <w:r>
        <w:rPr>
          <w:rFonts w:hint="eastAsia" w:ascii="宋体" w:hAnsi="宋体" w:eastAsia="宋体"/>
          <w:b/>
          <w:bCs/>
          <w:color w:val="auto"/>
          <w:sz w:val="28"/>
          <w:szCs w:val="22"/>
          <w:highlight w:val="none"/>
          <w:lang w:val="zh-CN" w:eastAsia="zh-CN"/>
        </w:rPr>
        <w:t>质量保证</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1、质量要求</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(1)</w:t>
      </w:r>
      <w:r>
        <w:rPr>
          <w:rFonts w:hint="eastAsia" w:ascii="宋体" w:hAnsi="宋体" w:cs="宋体"/>
          <w:color w:val="auto"/>
          <w:sz w:val="24"/>
          <w:szCs w:val="24"/>
          <w:highlight w:val="none"/>
          <w:lang w:eastAsia="zh-CN"/>
        </w:rPr>
        <w:t>中标人</w:t>
      </w:r>
      <w:r>
        <w:rPr>
          <w:rFonts w:hint="eastAsia" w:ascii="宋体" w:hAnsi="宋体" w:eastAsia="宋体" w:cs="宋体"/>
          <w:color w:val="000000"/>
          <w:kern w:val="0"/>
          <w:sz w:val="24"/>
          <w:szCs w:val="24"/>
          <w:lang w:val="en-US" w:eastAsia="zh-CN" w:bidi="ar"/>
        </w:rPr>
        <w:t>应按招标文件和设计文件规定的货物性能、技术要求、质量标准向甲方提供未经使用的全新产品。交货时必须提供有关产品质量保证资料（包括合格证、检测报告等）、使用说明资料。</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(2)货物验收过程中，由于质量不合格或运输等原因所造成的一切费用均由</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zh-CN" w:eastAsia="zh-CN"/>
        </w:rPr>
        <w:t>负责。</w:t>
      </w:r>
    </w:p>
    <w:p>
      <w:pPr>
        <w:pStyle w:val="30"/>
        <w:snapToGrid w:val="0"/>
        <w:spacing w:before="120" w:beforeLines="0" w:after="120" w:afterLines="0" w:line="360" w:lineRule="auto"/>
        <w:ind w:firstLine="240" w:firstLineChars="100"/>
        <w:outlineLvl w:val="0"/>
        <w:rPr>
          <w:rFonts w:hint="eastAsia" w:ascii="宋体" w:hAnsi="宋体" w:cs="宋体"/>
          <w:color w:val="000000"/>
          <w:kern w:val="0"/>
          <w:szCs w:val="24"/>
          <w:lang w:bidi="ar"/>
        </w:rPr>
      </w:pPr>
      <w:r>
        <w:rPr>
          <w:rFonts w:hint="eastAsia" w:ascii="宋体" w:hAnsi="宋体" w:eastAsia="宋体" w:cs="宋体"/>
          <w:color w:val="000000"/>
          <w:kern w:val="0"/>
          <w:szCs w:val="24"/>
          <w:highlight w:val="none"/>
          <w:lang w:val="en-US" w:eastAsia="zh-CN" w:bidi="ar"/>
        </w:rPr>
        <w:t>(3)</w:t>
      </w:r>
      <w:r>
        <w:rPr>
          <w:rFonts w:hint="eastAsia" w:ascii="宋体" w:hAnsi="宋体" w:cs="宋体"/>
          <w:color w:val="000000"/>
          <w:kern w:val="0"/>
          <w:szCs w:val="24"/>
          <w:lang w:bidi="ar"/>
        </w:rPr>
        <w:t>灯杆抗弯强度可承受6</w:t>
      </w:r>
      <w:r>
        <w:rPr>
          <w:rFonts w:hint="eastAsia" w:hAnsi="宋体" w:cs="宋体"/>
          <w:color w:val="000000"/>
          <w:kern w:val="0"/>
          <w:szCs w:val="24"/>
          <w:lang w:eastAsia="zh-CN" w:bidi="ar"/>
        </w:rPr>
        <w:t>3</w:t>
      </w:r>
      <w:r>
        <w:rPr>
          <w:rFonts w:hint="eastAsia" w:ascii="宋体" w:hAnsi="宋体" w:cs="宋体"/>
          <w:color w:val="000000"/>
          <w:kern w:val="0"/>
          <w:szCs w:val="24"/>
          <w:lang w:bidi="ar"/>
        </w:rPr>
        <w:t>米/秒的风速，17级，使用保证不刮倒，不变形，否则造成财产损失，人身伤亡等一切事故由中标人全部负责赔偿。</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(4)在整个灯具迎面上承受63米/秒的风速时，不会产生弯曲和结构移动。灯头必须配备防坠落装置。灯具防雷≥10KV。</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lang w:val="zh-CN" w:eastAsia="zh-CN"/>
        </w:rPr>
        <w:t>)中标人须对因投标货物使用期内本身的固有缺陷和瑕疵承担责任。</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2、质保期(即维修服务期)：整个项目质保期不少于3年(易耗品除外，投标人可提供更优惠的质保期)。</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(1)质保期内，如因修理货物或更换部件，而非人为因素出现故障而造成短期停用时，则保修期和免费维修期相应顺延。如停用时间累计超过20天，则货物保修期重新计算。</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(2)质保期内，</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en-US" w:eastAsia="zh-CN"/>
        </w:rPr>
        <w:t>无须自行付费，</w:t>
      </w:r>
      <w:r>
        <w:rPr>
          <w:rFonts w:hint="eastAsia" w:hAnsi="宋体"/>
          <w:color w:val="auto"/>
          <w:szCs w:val="21"/>
          <w:highlight w:val="none"/>
          <w:lang w:val="en-US" w:eastAsia="zh-CN"/>
        </w:rPr>
        <w:t>中标人</w:t>
      </w:r>
      <w:r>
        <w:rPr>
          <w:rFonts w:hint="eastAsia" w:ascii="宋体" w:hAnsi="宋体" w:eastAsia="宋体"/>
          <w:color w:val="auto"/>
          <w:szCs w:val="21"/>
          <w:highlight w:val="none"/>
          <w:lang w:val="en-US" w:eastAsia="zh-CN"/>
        </w:rPr>
        <w:t>负责修理和替换任何由于货物自身的质量问题造成的损坏及故障。</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(3)</w:t>
      </w:r>
      <w:r>
        <w:rPr>
          <w:rFonts w:hint="eastAsia" w:ascii="宋体" w:hAnsi="宋体" w:eastAsia="宋体"/>
          <w:color w:val="auto"/>
          <w:szCs w:val="21"/>
          <w:highlight w:val="none"/>
          <w:lang w:val="en-US" w:eastAsia="zh-CN"/>
        </w:rPr>
        <w:t>质保期</w:t>
      </w:r>
      <w:r>
        <w:rPr>
          <w:rFonts w:hint="eastAsia" w:ascii="宋体" w:hAnsi="宋体" w:eastAsia="宋体"/>
          <w:color w:val="auto"/>
          <w:szCs w:val="21"/>
          <w:highlight w:val="none"/>
          <w:lang w:val="zh-CN" w:eastAsia="zh-CN"/>
        </w:rPr>
        <w:t>内，须指定一名技术工程师专门负责本项目的售后服务工作；如有更换，须</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zh-CN" w:eastAsia="zh-CN"/>
        </w:rPr>
        <w:t>同意。</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(4)</w:t>
      </w:r>
      <w:r>
        <w:rPr>
          <w:rFonts w:hint="eastAsia" w:hAnsi="宋体"/>
          <w:color w:val="auto"/>
          <w:szCs w:val="21"/>
          <w:highlight w:val="none"/>
          <w:lang w:val="zh-CN" w:eastAsia="zh-CN"/>
        </w:rPr>
        <w:t>中标人</w:t>
      </w:r>
      <w:r>
        <w:rPr>
          <w:rFonts w:hint="eastAsia" w:ascii="宋体" w:hAnsi="宋体" w:eastAsia="宋体"/>
          <w:color w:val="auto"/>
          <w:szCs w:val="21"/>
          <w:highlight w:val="none"/>
          <w:lang w:val="zh-CN" w:eastAsia="zh-CN"/>
        </w:rPr>
        <w:t>在</w:t>
      </w:r>
      <w:r>
        <w:rPr>
          <w:rFonts w:hint="eastAsia" w:ascii="宋体" w:hAnsi="宋体" w:eastAsia="宋体"/>
          <w:color w:val="auto"/>
          <w:szCs w:val="21"/>
          <w:highlight w:val="none"/>
          <w:lang w:val="en-US" w:eastAsia="zh-CN"/>
        </w:rPr>
        <w:t>质保期</w:t>
      </w:r>
      <w:r>
        <w:rPr>
          <w:rFonts w:hint="eastAsia" w:ascii="宋体" w:hAnsi="宋体" w:eastAsia="宋体"/>
          <w:color w:val="auto"/>
          <w:szCs w:val="21"/>
          <w:highlight w:val="none"/>
          <w:lang w:val="zh-CN" w:eastAsia="zh-CN"/>
        </w:rPr>
        <w:t>内</w:t>
      </w:r>
      <w:r>
        <w:rPr>
          <w:rFonts w:hint="eastAsia" w:hAnsi="宋体"/>
          <w:color w:val="auto"/>
          <w:szCs w:val="21"/>
          <w:highlight w:val="none"/>
          <w:lang w:val="en-US" w:eastAsia="zh-CN"/>
        </w:rPr>
        <w:t>提供</w:t>
      </w:r>
      <w:r>
        <w:rPr>
          <w:rFonts w:hint="eastAsia" w:ascii="宋体" w:hAnsi="宋体" w:eastAsia="宋体"/>
          <w:color w:val="auto"/>
          <w:szCs w:val="21"/>
          <w:highlight w:val="none"/>
          <w:lang w:val="zh-CN" w:eastAsia="zh-CN"/>
        </w:rPr>
        <w:t>的任何零配件，必须是货物制造商原产的或是经</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zh-CN" w:eastAsia="zh-CN"/>
        </w:rPr>
        <w:t>认可的。</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(5)所有的替代零配件必须是新的未使用和未经修复的,除非最终用户提供书面许可，否则不可使用此范围外的其他(非新的)配件。</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zh-CN" w:eastAsia="zh-CN"/>
        </w:rPr>
        <w:t>(6)</w:t>
      </w:r>
      <w:r>
        <w:rPr>
          <w:rFonts w:hint="eastAsia" w:ascii="宋体" w:hAnsi="宋体" w:eastAsia="宋体"/>
          <w:color w:val="auto"/>
          <w:szCs w:val="21"/>
          <w:highlight w:val="none"/>
          <w:lang w:val="en-US" w:eastAsia="zh-CN"/>
        </w:rPr>
        <w:t>质保期结束前，须由</w:t>
      </w:r>
      <w:r>
        <w:rPr>
          <w:rFonts w:hint="eastAsia" w:hAnsi="宋体"/>
          <w:color w:val="auto"/>
          <w:szCs w:val="21"/>
          <w:highlight w:val="none"/>
          <w:lang w:val="en-US" w:eastAsia="zh-CN"/>
        </w:rPr>
        <w:t>中标人</w:t>
      </w:r>
      <w:r>
        <w:rPr>
          <w:rFonts w:hint="eastAsia" w:ascii="宋体" w:hAnsi="宋体" w:eastAsia="宋体"/>
          <w:color w:val="auto"/>
          <w:szCs w:val="21"/>
          <w:highlight w:val="none"/>
          <w:lang w:val="en-US" w:eastAsia="zh-CN"/>
        </w:rPr>
        <w:t>和</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en-US" w:eastAsia="zh-CN"/>
        </w:rPr>
        <w:t>进行一次全面检查，任何缺陷必须由</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en-US" w:eastAsia="zh-CN"/>
        </w:rPr>
        <w:t>负责修理，在修理之后，</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en-US" w:eastAsia="zh-CN"/>
        </w:rPr>
        <w:t>应将缺陷原因、修理内容、完成修理及恢复正常的时间和日期等报告给</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en-US" w:eastAsia="zh-CN"/>
        </w:rPr>
        <w:t>，报告一式两份。</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w:t>
      </w:r>
      <w:r>
        <w:rPr>
          <w:rFonts w:hint="eastAsia" w:hAnsi="宋体"/>
          <w:color w:val="auto"/>
          <w:szCs w:val="21"/>
          <w:highlight w:val="none"/>
          <w:lang w:val="en-US" w:eastAsia="zh-CN"/>
        </w:rPr>
        <w:t>中标人</w:t>
      </w:r>
      <w:r>
        <w:rPr>
          <w:rFonts w:hint="eastAsia" w:ascii="宋体" w:hAnsi="宋体" w:eastAsia="宋体"/>
          <w:color w:val="auto"/>
          <w:szCs w:val="21"/>
          <w:highlight w:val="none"/>
          <w:lang w:val="en-US" w:eastAsia="zh-CN"/>
        </w:rPr>
        <w:t>或原厂家的承诺的保修期不符的，以最高标准为准，除非</w:t>
      </w:r>
      <w:r>
        <w:rPr>
          <w:rFonts w:hint="eastAsia" w:hAnsi="宋体"/>
          <w:color w:val="auto"/>
          <w:szCs w:val="21"/>
          <w:highlight w:val="none"/>
          <w:lang w:val="en-US" w:eastAsia="zh-CN"/>
        </w:rPr>
        <w:t>投标人</w:t>
      </w:r>
      <w:r>
        <w:rPr>
          <w:rFonts w:hint="eastAsia" w:ascii="宋体" w:hAnsi="宋体" w:eastAsia="宋体"/>
          <w:color w:val="auto"/>
          <w:szCs w:val="21"/>
          <w:highlight w:val="none"/>
          <w:lang w:val="en-US" w:eastAsia="zh-CN"/>
        </w:rPr>
        <w:t>事前正式声明，否则均视为认同，并将在合同中载明。</w:t>
      </w:r>
    </w:p>
    <w:p>
      <w:pPr>
        <w:pStyle w:val="30"/>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zh-CN" w:eastAsia="zh-CN"/>
        </w:rPr>
      </w:pPr>
      <w:r>
        <w:rPr>
          <w:rFonts w:hint="eastAsia" w:hAnsi="宋体"/>
          <w:b/>
          <w:bCs/>
          <w:color w:val="auto"/>
          <w:sz w:val="28"/>
          <w:szCs w:val="22"/>
          <w:highlight w:val="none"/>
          <w:lang w:val="en-US" w:eastAsia="zh-CN"/>
        </w:rPr>
        <w:t>五</w:t>
      </w:r>
      <w:r>
        <w:rPr>
          <w:rFonts w:hint="eastAsia" w:ascii="宋体" w:hAnsi="宋体" w:eastAsia="宋体"/>
          <w:b/>
          <w:bCs/>
          <w:color w:val="auto"/>
          <w:sz w:val="28"/>
          <w:szCs w:val="22"/>
          <w:highlight w:val="none"/>
          <w:lang w:val="zh-CN" w:eastAsia="zh-CN"/>
        </w:rPr>
        <w:t>、售后服务要求</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1</w:t>
      </w:r>
      <w:r>
        <w:rPr>
          <w:rFonts w:hint="eastAsia" w:hAnsi="宋体"/>
          <w:color w:val="auto"/>
          <w:szCs w:val="21"/>
          <w:highlight w:val="none"/>
          <w:lang w:val="zh-CN" w:eastAsia="zh-CN"/>
        </w:rPr>
        <w:t>、中标人</w:t>
      </w:r>
      <w:r>
        <w:rPr>
          <w:rFonts w:hint="eastAsia" w:ascii="宋体" w:hAnsi="宋体" w:eastAsia="宋体"/>
          <w:color w:val="auto"/>
          <w:szCs w:val="21"/>
          <w:highlight w:val="none"/>
          <w:lang w:val="zh-CN" w:eastAsia="zh-CN"/>
        </w:rPr>
        <w:t>必须有可靠的售后服务保障，包括但不限于在台州附近有固定的维修服务点，能提供正常的技术、备品备件服务。当发生故障时，</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zh-CN" w:eastAsia="zh-CN"/>
        </w:rPr>
        <w:t>在接到采购单位通知后，</w:t>
      </w:r>
      <w:r>
        <w:rPr>
          <w:rFonts w:hint="default" w:ascii="宋体" w:hAnsi="宋体" w:eastAsia="宋体"/>
          <w:color w:val="auto"/>
          <w:szCs w:val="21"/>
          <w:highlight w:val="none"/>
          <w:lang w:val="en-US" w:eastAsia="zh-CN"/>
        </w:rPr>
        <w:t>按照投标文件承诺时间</w:t>
      </w:r>
      <w:r>
        <w:rPr>
          <w:rFonts w:hint="eastAsia" w:hAnsi="宋体"/>
          <w:color w:val="auto"/>
          <w:szCs w:val="21"/>
          <w:highlight w:val="none"/>
          <w:lang w:val="zh-CN" w:eastAsia="zh-CN"/>
        </w:rPr>
        <w:t>到达故障现场，抵达现场后8小时内解决故障，</w:t>
      </w:r>
      <w:r>
        <w:rPr>
          <w:rFonts w:hint="eastAsia" w:hAnsi="宋体"/>
          <w:color w:val="auto"/>
          <w:szCs w:val="21"/>
          <w:highlight w:val="none"/>
          <w:lang w:val="en-US" w:eastAsia="zh-CN"/>
        </w:rPr>
        <w:t>故障排除后出具书面故障诊断报告备案</w:t>
      </w:r>
      <w:r>
        <w:rPr>
          <w:rFonts w:hint="eastAsia" w:ascii="宋体" w:hAnsi="宋体" w:eastAsia="宋体"/>
          <w:color w:val="auto"/>
          <w:szCs w:val="21"/>
          <w:highlight w:val="none"/>
          <w:lang w:val="zh-CN" w:eastAsia="zh-CN"/>
        </w:rPr>
        <w:t>。</w:t>
      </w:r>
      <w:r>
        <w:rPr>
          <w:rFonts w:hint="eastAsia" w:hAnsi="宋体"/>
          <w:color w:val="auto"/>
          <w:szCs w:val="21"/>
          <w:highlight w:val="none"/>
          <w:lang w:val="zh-CN" w:eastAsia="zh-CN"/>
        </w:rPr>
        <w:t>按时</w:t>
      </w:r>
      <w:r>
        <w:rPr>
          <w:rFonts w:hint="eastAsia" w:ascii="宋体" w:hAnsi="宋体"/>
          <w:color w:val="auto"/>
          <w:szCs w:val="21"/>
          <w:highlight w:val="none"/>
          <w:lang w:val="zh-CN"/>
        </w:rPr>
        <w:t>不能修复的，则无偿提供备机供采购单位使用。</w:t>
      </w:r>
    </w:p>
    <w:p>
      <w:pPr>
        <w:pStyle w:val="30"/>
        <w:snapToGrid w:val="0"/>
        <w:spacing w:before="120" w:beforeLines="0" w:after="120" w:afterLines="0" w:line="360" w:lineRule="auto"/>
        <w:ind w:firstLine="240" w:firstLineChars="100"/>
        <w:outlineLvl w:val="0"/>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eastAsia="zh-CN"/>
        </w:rPr>
        <w:t>2</w:t>
      </w:r>
      <w:r>
        <w:rPr>
          <w:rFonts w:hint="eastAsia" w:hAnsi="宋体"/>
          <w:color w:val="auto"/>
          <w:szCs w:val="21"/>
          <w:highlight w:val="none"/>
          <w:lang w:val="zh-CN" w:eastAsia="zh-CN"/>
        </w:rPr>
        <w:t>、</w:t>
      </w:r>
      <w:r>
        <w:rPr>
          <w:rFonts w:hint="eastAsia" w:ascii="宋体" w:hAnsi="宋体" w:cs="宋体"/>
          <w:color w:val="auto"/>
          <w:sz w:val="24"/>
          <w:szCs w:val="24"/>
          <w:highlight w:val="none"/>
          <w:lang w:eastAsia="zh-CN"/>
        </w:rPr>
        <w:t>中标人</w:t>
      </w:r>
      <w:r>
        <w:rPr>
          <w:rFonts w:hint="eastAsia" w:ascii="宋体" w:hAnsi="宋体" w:eastAsia="宋体"/>
          <w:color w:val="auto"/>
          <w:szCs w:val="21"/>
          <w:highlight w:val="none"/>
          <w:lang w:val="zh-CN" w:eastAsia="zh-CN"/>
        </w:rPr>
        <w:t>应遵守工作秘密的约定，因过错导致泄密给</w:t>
      </w:r>
      <w:r>
        <w:rPr>
          <w:rFonts w:hint="eastAsia" w:hAnsi="宋体"/>
          <w:color w:val="auto"/>
          <w:szCs w:val="21"/>
          <w:highlight w:val="none"/>
          <w:lang w:val="en-US" w:eastAsia="zh-CN"/>
        </w:rPr>
        <w:t>招标人</w:t>
      </w:r>
      <w:r>
        <w:rPr>
          <w:rFonts w:hint="eastAsia" w:ascii="宋体" w:hAnsi="宋体" w:eastAsia="宋体"/>
          <w:color w:val="auto"/>
          <w:szCs w:val="21"/>
          <w:highlight w:val="none"/>
          <w:lang w:val="zh-CN" w:eastAsia="zh-CN"/>
        </w:rPr>
        <w:t>造成损失的，应负责赔偿采购方所受的损失，包括直接损失和间接损失。</w:t>
      </w:r>
    </w:p>
    <w:p>
      <w:pPr>
        <w:tabs>
          <w:tab w:val="left" w:pos="540"/>
        </w:tabs>
        <w:autoSpaceDE w:val="0"/>
        <w:autoSpaceDN w:val="0"/>
        <w:adjustRightInd w:val="0"/>
        <w:spacing w:line="360" w:lineRule="auto"/>
        <w:ind w:firstLine="240" w:firstLineChars="100"/>
        <w:rPr>
          <w:rFonts w:hint="eastAsia"/>
          <w:lang w:val="zh-CN" w:eastAsia="zh-CN"/>
        </w:rPr>
      </w:pPr>
      <w:r>
        <w:rPr>
          <w:rFonts w:hint="eastAsia" w:ascii="宋体" w:hAnsi="宋体"/>
          <w:color w:val="auto"/>
          <w:sz w:val="24"/>
          <w:szCs w:val="21"/>
          <w:highlight w:val="none"/>
          <w:lang w:val="zh-CN"/>
        </w:rPr>
        <w:t>3、若中标人未能满足上述售后服务要求中的任何一条，采购单位有权委托第三方单位提供售后服务，由此产生的一切费用由中标人承担。</w:t>
      </w:r>
    </w:p>
    <w:p>
      <w:pPr>
        <w:pStyle w:val="30"/>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en-US" w:eastAsia="zh-CN"/>
        </w:rPr>
      </w:pPr>
      <w:r>
        <w:rPr>
          <w:rFonts w:hint="eastAsia" w:hAnsi="宋体"/>
          <w:b/>
          <w:bCs/>
          <w:color w:val="auto"/>
          <w:sz w:val="28"/>
          <w:szCs w:val="22"/>
          <w:highlight w:val="none"/>
          <w:lang w:val="en-US" w:eastAsia="zh-CN"/>
        </w:rPr>
        <w:t>六</w:t>
      </w:r>
      <w:r>
        <w:rPr>
          <w:rFonts w:hint="eastAsia" w:ascii="宋体" w:hAnsi="宋体" w:eastAsia="宋体"/>
          <w:b/>
          <w:bCs/>
          <w:color w:val="auto"/>
          <w:sz w:val="28"/>
          <w:szCs w:val="22"/>
          <w:highlight w:val="none"/>
          <w:lang w:val="en-US" w:eastAsia="zh-CN"/>
        </w:rPr>
        <w:t>、供货要求：</w:t>
      </w:r>
    </w:p>
    <w:p>
      <w:pPr>
        <w:pStyle w:val="77"/>
        <w:numPr>
          <w:ilvl w:val="0"/>
          <w:numId w:val="0"/>
        </w:numPr>
        <w:spacing w:line="360" w:lineRule="auto"/>
        <w:ind w:firstLine="480" w:firstLineChars="200"/>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合同签订后，</w:t>
      </w:r>
      <w:r>
        <w:rPr>
          <w:rFonts w:hint="eastAsia" w:ascii="宋体" w:hAnsi="宋体" w:cs="宋体"/>
          <w:color w:val="auto"/>
          <w:sz w:val="24"/>
          <w:szCs w:val="24"/>
          <w:highlight w:val="none"/>
          <w:lang w:eastAsia="zh-CN"/>
        </w:rPr>
        <w:t>中标人</w:t>
      </w:r>
      <w:r>
        <w:rPr>
          <w:rFonts w:hint="eastAsia" w:eastAsia="宋体" w:cs="Times New Roman"/>
          <w:color w:val="auto"/>
          <w:sz w:val="24"/>
          <w:szCs w:val="24"/>
          <w:highlight w:val="none"/>
          <w:lang w:val="en-US" w:eastAsia="zh-CN"/>
        </w:rPr>
        <w:t>接到招标人</w:t>
      </w:r>
      <w:r>
        <w:rPr>
          <w:rFonts w:hint="eastAsia" w:cs="Times New Roman"/>
          <w:color w:val="auto"/>
          <w:sz w:val="24"/>
          <w:szCs w:val="24"/>
          <w:highlight w:val="none"/>
          <w:lang w:val="en-US" w:eastAsia="zh-CN"/>
        </w:rPr>
        <w:t>书面</w:t>
      </w:r>
      <w:r>
        <w:rPr>
          <w:rFonts w:hint="eastAsia" w:eastAsia="宋体" w:cs="Times New Roman"/>
          <w:color w:val="auto"/>
          <w:sz w:val="24"/>
          <w:szCs w:val="24"/>
          <w:highlight w:val="none"/>
          <w:lang w:val="en-US" w:eastAsia="zh-CN"/>
        </w:rPr>
        <w:t>通知后25天内按照招标人要求完成整批或者分批次供货（非投标人原因除外）</w:t>
      </w:r>
      <w:r>
        <w:rPr>
          <w:rFonts w:hint="eastAsia" w:cs="Times New Roman"/>
          <w:color w:val="auto"/>
          <w:sz w:val="24"/>
          <w:szCs w:val="24"/>
          <w:highlight w:val="none"/>
          <w:lang w:val="en-US" w:eastAsia="zh-CN"/>
        </w:rPr>
        <w:t>。</w:t>
      </w:r>
    </w:p>
    <w:p>
      <w:pPr>
        <w:pStyle w:val="30"/>
        <w:snapToGrid w:val="0"/>
        <w:spacing w:before="120" w:beforeLines="0" w:after="120" w:afterLines="0" w:line="360" w:lineRule="auto"/>
        <w:ind w:firstLine="281" w:firstLineChars="100"/>
        <w:outlineLvl w:val="0"/>
        <w:rPr>
          <w:rFonts w:hint="eastAsia" w:ascii="宋体" w:hAnsi="宋体" w:eastAsia="宋体"/>
          <w:b/>
          <w:bCs/>
          <w:color w:val="auto"/>
          <w:sz w:val="28"/>
          <w:szCs w:val="22"/>
          <w:highlight w:val="none"/>
          <w:lang w:val="en-US" w:eastAsia="zh-CN"/>
        </w:rPr>
      </w:pPr>
      <w:r>
        <w:rPr>
          <w:rFonts w:hint="eastAsia" w:hAnsi="宋体"/>
          <w:b/>
          <w:bCs/>
          <w:color w:val="auto"/>
          <w:sz w:val="28"/>
          <w:szCs w:val="22"/>
          <w:highlight w:val="none"/>
          <w:lang w:val="en-US" w:eastAsia="zh-CN"/>
        </w:rPr>
        <w:t>七</w:t>
      </w:r>
      <w:r>
        <w:rPr>
          <w:rFonts w:hint="eastAsia" w:ascii="宋体" w:hAnsi="宋体" w:eastAsia="宋体"/>
          <w:b/>
          <w:bCs/>
          <w:color w:val="auto"/>
          <w:sz w:val="28"/>
          <w:szCs w:val="22"/>
          <w:highlight w:val="none"/>
          <w:lang w:val="en-US" w:eastAsia="zh-CN"/>
        </w:rPr>
        <w:t>、付款方式：</w:t>
      </w:r>
    </w:p>
    <w:p>
      <w:pPr>
        <w:pStyle w:val="56"/>
        <w:spacing w:line="360" w:lineRule="auto"/>
        <w:ind w:firstLine="480"/>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付款方式：</w:t>
      </w:r>
      <w:r>
        <w:rPr>
          <w:rFonts w:hint="default" w:ascii="宋体" w:hAnsi="宋体" w:eastAsia="宋体" w:cs="Times New Roman"/>
          <w:color w:val="auto"/>
          <w:kern w:val="2"/>
          <w:sz w:val="24"/>
          <w:szCs w:val="21"/>
          <w:highlight w:val="none"/>
          <w:lang w:val="en-US" w:eastAsia="zh-CN" w:bidi="ar-SA"/>
        </w:rPr>
        <w:t>合同签订</w:t>
      </w:r>
      <w:r>
        <w:rPr>
          <w:rFonts w:hint="eastAsia" w:ascii="宋体" w:hAnsi="宋体" w:eastAsia="宋体" w:cs="Times New Roman"/>
          <w:color w:val="auto"/>
          <w:kern w:val="2"/>
          <w:sz w:val="24"/>
          <w:szCs w:val="21"/>
          <w:highlight w:val="none"/>
          <w:lang w:val="en-US" w:eastAsia="zh-CN" w:bidi="ar-SA"/>
        </w:rPr>
        <w:t>接到招标人通知后</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招标人</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eastAsia="宋体" w:cs="Times New Roman"/>
          <w:color w:val="auto"/>
          <w:kern w:val="2"/>
          <w:sz w:val="24"/>
          <w:szCs w:val="21"/>
          <w:highlight w:val="none"/>
          <w:lang w:val="en-US" w:eastAsia="zh-CN" w:bidi="ar-SA"/>
        </w:rPr>
        <w:t>中标人</w:t>
      </w:r>
      <w:r>
        <w:rPr>
          <w:rFonts w:hint="default" w:ascii="宋体" w:hAnsi="宋体" w:eastAsia="宋体" w:cs="Times New Roman"/>
          <w:color w:val="auto"/>
          <w:kern w:val="2"/>
          <w:sz w:val="24"/>
          <w:szCs w:val="21"/>
          <w:highlight w:val="none"/>
          <w:lang w:val="en-US" w:eastAsia="zh-CN" w:bidi="ar-SA"/>
        </w:rPr>
        <w:t>合同金额的</w:t>
      </w:r>
      <w:r>
        <w:rPr>
          <w:rFonts w:hint="eastAsia" w:ascii="宋体" w:hAnsi="宋体" w:eastAsia="宋体" w:cs="Times New Roman"/>
          <w:color w:val="auto"/>
          <w:kern w:val="2"/>
          <w:sz w:val="24"/>
          <w:szCs w:val="21"/>
          <w:highlight w:val="none"/>
          <w:lang w:val="en-US" w:eastAsia="zh-CN" w:bidi="ar-SA"/>
        </w:rPr>
        <w:t>10</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；中标人供货完毕后招标人支付中标人至</w:t>
      </w:r>
      <w:r>
        <w:rPr>
          <w:rFonts w:hint="default" w:ascii="宋体" w:hAnsi="宋体" w:eastAsia="宋体" w:cs="Times New Roman"/>
          <w:color w:val="auto"/>
          <w:kern w:val="2"/>
          <w:sz w:val="24"/>
          <w:szCs w:val="21"/>
          <w:highlight w:val="none"/>
          <w:lang w:val="en-US" w:eastAsia="zh-CN" w:bidi="ar-SA"/>
        </w:rPr>
        <w:t>合同金额</w:t>
      </w:r>
      <w:r>
        <w:rPr>
          <w:rFonts w:hint="eastAsia" w:ascii="宋体" w:hAnsi="宋体" w:eastAsia="宋体" w:cs="Times New Roman"/>
          <w:color w:val="auto"/>
          <w:kern w:val="2"/>
          <w:sz w:val="24"/>
          <w:szCs w:val="21"/>
          <w:highlight w:val="none"/>
          <w:lang w:val="en-US" w:eastAsia="zh-CN" w:bidi="ar-SA"/>
        </w:rPr>
        <w:t>的70%；</w:t>
      </w:r>
      <w:r>
        <w:rPr>
          <w:rFonts w:hint="default" w:ascii="宋体" w:hAnsi="宋体" w:eastAsia="宋体" w:cs="Times New Roman"/>
          <w:color w:val="auto"/>
          <w:kern w:val="2"/>
          <w:sz w:val="24"/>
          <w:szCs w:val="21"/>
          <w:highlight w:val="none"/>
          <w:lang w:val="en-US" w:eastAsia="zh-CN" w:bidi="ar-SA"/>
        </w:rPr>
        <w:t>项目整体调试完毕，验收合格后，</w:t>
      </w:r>
      <w:r>
        <w:rPr>
          <w:rFonts w:hint="eastAsia" w:ascii="宋体" w:hAnsi="宋体" w:eastAsia="宋体" w:cs="Times New Roman"/>
          <w:color w:val="auto"/>
          <w:kern w:val="2"/>
          <w:sz w:val="24"/>
          <w:szCs w:val="21"/>
          <w:highlight w:val="none"/>
          <w:lang w:val="en-US" w:eastAsia="zh-CN" w:bidi="ar-SA"/>
        </w:rPr>
        <w:t>招标人</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eastAsia="宋体" w:cs="Times New Roman"/>
          <w:color w:val="auto"/>
          <w:kern w:val="2"/>
          <w:sz w:val="24"/>
          <w:szCs w:val="21"/>
          <w:highlight w:val="none"/>
          <w:lang w:val="en-US" w:eastAsia="zh-CN" w:bidi="ar-SA"/>
        </w:rPr>
        <w:t>中标人</w:t>
      </w:r>
      <w:r>
        <w:rPr>
          <w:rFonts w:hint="default" w:ascii="宋体" w:hAnsi="宋体" w:eastAsia="宋体" w:cs="Times New Roman"/>
          <w:color w:val="auto"/>
          <w:kern w:val="2"/>
          <w:sz w:val="24"/>
          <w:szCs w:val="21"/>
          <w:highlight w:val="none"/>
          <w:lang w:val="en-US" w:eastAsia="zh-CN" w:bidi="ar-SA"/>
        </w:rPr>
        <w:t>至合同金额</w:t>
      </w:r>
      <w:r>
        <w:rPr>
          <w:rFonts w:hint="eastAsia" w:ascii="宋体" w:hAnsi="宋体" w:eastAsia="宋体" w:cs="Times New Roman"/>
          <w:color w:val="auto"/>
          <w:kern w:val="2"/>
          <w:sz w:val="24"/>
          <w:szCs w:val="21"/>
          <w:highlight w:val="none"/>
          <w:lang w:val="en-US" w:eastAsia="zh-CN" w:bidi="ar-SA"/>
        </w:rPr>
        <w:t>的95%；</w:t>
      </w:r>
      <w:r>
        <w:rPr>
          <w:rFonts w:hint="default" w:ascii="宋体" w:hAnsi="宋体" w:eastAsia="宋体" w:cs="Times New Roman"/>
          <w:color w:val="auto"/>
          <w:kern w:val="2"/>
          <w:sz w:val="24"/>
          <w:szCs w:val="21"/>
          <w:highlight w:val="none"/>
          <w:lang w:val="en-US" w:eastAsia="zh-CN" w:bidi="ar-SA"/>
        </w:rPr>
        <w:t>剩余</w:t>
      </w:r>
      <w:r>
        <w:rPr>
          <w:rFonts w:hint="eastAsia" w:ascii="宋体" w:hAnsi="宋体" w:eastAsia="宋体" w:cs="Times New Roman"/>
          <w:color w:val="auto"/>
          <w:kern w:val="2"/>
          <w:sz w:val="24"/>
          <w:szCs w:val="21"/>
          <w:highlight w:val="none"/>
          <w:lang w:val="en-US" w:eastAsia="zh-CN" w:bidi="ar-SA"/>
        </w:rPr>
        <w:t>5</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作为质保金待</w:t>
      </w:r>
      <w:r>
        <w:rPr>
          <w:rFonts w:hint="default" w:ascii="宋体" w:hAnsi="宋体" w:eastAsia="宋体" w:cs="Times New Roman"/>
          <w:color w:val="auto"/>
          <w:kern w:val="2"/>
          <w:sz w:val="24"/>
          <w:szCs w:val="21"/>
          <w:highlight w:val="none"/>
          <w:lang w:val="en-US" w:eastAsia="zh-CN" w:bidi="ar-SA"/>
        </w:rPr>
        <w:t>质保期满后支付</w:t>
      </w:r>
      <w:r>
        <w:rPr>
          <w:rFonts w:hint="eastAsia" w:ascii="宋体" w:hAnsi="宋体" w:eastAsia="宋体" w:cs="Times New Roman"/>
          <w:color w:val="auto"/>
          <w:kern w:val="2"/>
          <w:sz w:val="24"/>
          <w:szCs w:val="21"/>
          <w:highlight w:val="none"/>
          <w:lang w:val="en-US" w:eastAsia="zh-CN" w:bidi="ar-SA"/>
        </w:rPr>
        <w:t>剩余结算价</w:t>
      </w:r>
      <w:r>
        <w:rPr>
          <w:rFonts w:hint="default" w:ascii="宋体" w:hAnsi="宋体" w:eastAsia="宋体" w:cs="Times New Roman"/>
          <w:color w:val="auto"/>
          <w:kern w:val="2"/>
          <w:sz w:val="24"/>
          <w:szCs w:val="21"/>
          <w:highlight w:val="none"/>
          <w:lang w:val="en-US" w:eastAsia="zh-CN" w:bidi="ar-SA"/>
        </w:rPr>
        <w:t>。</w:t>
      </w:r>
    </w:p>
    <w:p>
      <w:pPr>
        <w:pStyle w:val="30"/>
        <w:numPr>
          <w:ilvl w:val="0"/>
          <w:numId w:val="0"/>
        </w:numPr>
        <w:snapToGrid w:val="0"/>
        <w:spacing w:before="120" w:beforeLines="0" w:after="120" w:afterLines="0" w:line="360" w:lineRule="auto"/>
        <w:ind w:firstLine="281" w:firstLineChars="100"/>
        <w:outlineLvl w:val="0"/>
        <w:rPr>
          <w:rFonts w:hint="eastAsia" w:hAnsi="宋体"/>
          <w:b/>
          <w:bCs/>
          <w:color w:val="auto"/>
          <w:sz w:val="28"/>
          <w:szCs w:val="22"/>
          <w:highlight w:val="none"/>
          <w:lang w:val="en-US" w:eastAsia="zh-CN"/>
        </w:rPr>
      </w:pPr>
      <w:r>
        <w:rPr>
          <w:rFonts w:hint="eastAsia" w:hAnsi="宋体"/>
          <w:b/>
          <w:bCs/>
          <w:color w:val="auto"/>
          <w:sz w:val="28"/>
          <w:szCs w:val="22"/>
          <w:highlight w:val="none"/>
          <w:lang w:val="en-US" w:eastAsia="zh-CN"/>
        </w:rPr>
        <w:t>八、其他约定：</w:t>
      </w:r>
    </w:p>
    <w:p>
      <w:pPr>
        <w:snapToGrid w:val="0"/>
        <w:spacing w:before="120" w:beforeLines="50" w:after="120" w:afterLines="50" w:line="360" w:lineRule="auto"/>
        <w:ind w:left="238"/>
        <w:jc w:val="both"/>
        <w:rPr>
          <w:rFonts w:hint="eastAsia" w:ascii="宋体" w:hAnsi="宋体" w:eastAsia="宋体" w:cs="Times New Roman"/>
          <w:color w:val="auto"/>
          <w:kern w:val="2"/>
          <w:sz w:val="24"/>
          <w:szCs w:val="21"/>
          <w:highlight w:val="none"/>
          <w:lang w:val="zh-CN" w:eastAsia="zh-CN" w:bidi="ar-SA"/>
        </w:rPr>
      </w:pPr>
      <w:r>
        <w:rPr>
          <w:rFonts w:hint="eastAsia" w:ascii="宋体" w:hAnsi="宋体" w:eastAsia="宋体" w:cs="Times New Roman"/>
          <w:color w:val="auto"/>
          <w:kern w:val="2"/>
          <w:sz w:val="24"/>
          <w:szCs w:val="21"/>
          <w:highlight w:val="none"/>
          <w:lang w:val="en-US" w:eastAsia="zh-CN" w:bidi="ar-SA"/>
        </w:rPr>
        <w:t xml:space="preserve">  路灯杆件须</w:t>
      </w:r>
      <w:r>
        <w:rPr>
          <w:rFonts w:hint="eastAsia" w:ascii="宋体" w:hAnsi="宋体" w:cs="Times New Roman"/>
          <w:color w:val="auto"/>
          <w:kern w:val="2"/>
          <w:sz w:val="24"/>
          <w:szCs w:val="21"/>
          <w:highlight w:val="none"/>
          <w:lang w:val="en-US" w:eastAsia="zh-CN" w:bidi="ar-SA"/>
        </w:rPr>
        <w:t>黑色涂料喷漆，相关费用已包含在投标报价中，投标人自行考虑。</w:t>
      </w:r>
    </w:p>
    <w:p>
      <w:pPr>
        <w:pStyle w:val="56"/>
        <w:spacing w:line="360" w:lineRule="auto"/>
        <w:ind w:firstLine="480"/>
        <w:rPr>
          <w:rFonts w:hint="default" w:ascii="宋体" w:hAnsi="宋体" w:eastAsia="宋体" w:cs="Times New Roman"/>
          <w:color w:val="auto"/>
          <w:kern w:val="2"/>
          <w:sz w:val="24"/>
          <w:szCs w:val="21"/>
          <w:highlight w:val="none"/>
          <w:lang w:val="en-US" w:eastAsia="zh-CN" w:bidi="ar-SA"/>
        </w:rPr>
        <w:sectPr>
          <w:footerReference r:id="rId10" w:type="default"/>
          <w:footnotePr>
            <w:numRestart w:val="eachPage"/>
          </w:footnotePr>
          <w:endnotePr>
            <w:numRestart w:val="eachSect"/>
          </w:endnotePr>
          <w:pgSz w:w="11907" w:h="16840"/>
          <w:pgMar w:top="1247" w:right="1361" w:bottom="1247" w:left="1361" w:header="851" w:footer="824" w:gutter="0"/>
          <w:pgNumType w:fmt="decimal" w:start="1"/>
          <w:cols w:space="720" w:num="1"/>
          <w:docGrid w:linePitch="435" w:charSpace="-6554"/>
        </w:sectPr>
      </w:pPr>
      <w:r>
        <w:rPr>
          <w:rFonts w:hint="eastAsia" w:ascii="宋体" w:hAnsi="宋体" w:eastAsia="宋体" w:cs="Times New Roman"/>
          <w:color w:val="auto"/>
          <w:kern w:val="2"/>
          <w:sz w:val="24"/>
          <w:szCs w:val="21"/>
          <w:highlight w:val="none"/>
          <w:lang w:val="en-US" w:eastAsia="zh-CN" w:bidi="ar-SA"/>
        </w:rPr>
        <w:t>本项目中标人需和招标人分别签署</w:t>
      </w:r>
      <w:r>
        <w:rPr>
          <w:rFonts w:hint="eastAsia" w:ascii="宋体" w:hAnsi="宋体" w:eastAsia="宋体" w:cs="Times New Roman"/>
          <w:color w:val="auto"/>
          <w:kern w:val="0"/>
          <w:sz w:val="24"/>
          <w:szCs w:val="24"/>
          <w:highlight w:val="none"/>
          <w:lang w:val="en-US" w:eastAsia="zh-CN" w:bidi="ar-SA"/>
        </w:rPr>
        <w:t>太和路（沿山道路-腾云路</w:t>
      </w:r>
      <w:r>
        <w:rPr>
          <w:rFonts w:hint="eastAsia" w:ascii="宋体" w:hAnsi="宋体" w:eastAsia="宋体" w:cs="Times New Roman"/>
          <w:color w:val="auto"/>
          <w:kern w:val="2"/>
          <w:sz w:val="24"/>
          <w:szCs w:val="21"/>
          <w:highlight w:val="none"/>
          <w:lang w:val="en-US" w:eastAsia="zh-CN" w:bidi="ar-SA"/>
        </w:rPr>
        <w:t>）</w:t>
      </w:r>
      <w:r>
        <w:rPr>
          <w:rFonts w:hint="eastAsia" w:ascii="宋体" w:hAnsi="宋体" w:eastAsia="宋体"/>
          <w:color w:val="auto"/>
          <w:sz w:val="24"/>
          <w:szCs w:val="21"/>
          <w:highlight w:val="none"/>
          <w:lang w:val="en-US" w:eastAsia="zh-CN"/>
        </w:rPr>
        <w:t>路灯采购工程合同</w:t>
      </w:r>
      <w:r>
        <w:rPr>
          <w:rFonts w:hint="eastAsia" w:ascii="宋体" w:hAnsi="宋体" w:eastAsia="宋体" w:cs="Times New Roman"/>
          <w:color w:val="auto"/>
          <w:kern w:val="2"/>
          <w:sz w:val="24"/>
          <w:szCs w:val="21"/>
          <w:highlight w:val="none"/>
          <w:lang w:val="en-US" w:eastAsia="zh-CN" w:bidi="ar-SA"/>
        </w:rPr>
        <w:t>和椒江医化产业园区基础设施提升工程（腾云路半幅道路工程）</w:t>
      </w:r>
      <w:r>
        <w:rPr>
          <w:rFonts w:hint="eastAsia" w:ascii="宋体" w:hAnsi="宋体" w:eastAsia="宋体"/>
          <w:color w:val="auto"/>
          <w:sz w:val="24"/>
          <w:szCs w:val="21"/>
          <w:highlight w:val="none"/>
          <w:lang w:val="en-US" w:eastAsia="zh-CN"/>
        </w:rPr>
        <w:t>路灯采购工程</w:t>
      </w:r>
      <w:r>
        <w:rPr>
          <w:rFonts w:hint="eastAsia" w:ascii="宋体" w:hAnsi="宋体" w:eastAsia="宋体" w:cs="Times New Roman"/>
          <w:color w:val="auto"/>
          <w:kern w:val="2"/>
          <w:sz w:val="24"/>
          <w:szCs w:val="21"/>
          <w:highlight w:val="none"/>
          <w:lang w:val="en-US" w:eastAsia="zh-CN" w:bidi="ar-SA"/>
        </w:rPr>
        <w:t>合同。</w:t>
      </w:r>
    </w:p>
    <w:p>
      <w:pPr>
        <w:snapToGrid w:val="0"/>
        <w:spacing w:before="120" w:beforeLines="50" w:after="120" w:afterLines="50" w:line="360" w:lineRule="auto"/>
        <w:ind w:left="238"/>
        <w:jc w:val="center"/>
        <w:rPr>
          <w:rFonts w:eastAsia="仿宋_GB2312"/>
          <w:b/>
          <w:color w:val="auto"/>
          <w:sz w:val="32"/>
          <w:szCs w:val="20"/>
          <w:highlight w:val="none"/>
        </w:rPr>
      </w:pPr>
      <w:r>
        <w:rPr>
          <w:b/>
          <w:color w:val="auto"/>
          <w:highlight w:val="none"/>
        </w:rPr>
        <w:t>第三章  投标人须知</w:t>
      </w:r>
    </w:p>
    <w:p>
      <w:pPr>
        <w:snapToGrid w:val="0"/>
        <w:spacing w:before="120" w:beforeLines="50" w:after="120" w:afterLines="50" w:line="360" w:lineRule="auto"/>
        <w:ind w:left="238"/>
        <w:jc w:val="center"/>
        <w:outlineLvl w:val="1"/>
        <w:rPr>
          <w:rFonts w:ascii="宋体" w:hAnsi="宋体" w:eastAsia="仿宋_GB2312"/>
          <w:b/>
          <w:color w:val="auto"/>
          <w:szCs w:val="28"/>
          <w:highlight w:val="none"/>
        </w:rPr>
      </w:pPr>
      <w:r>
        <w:rPr>
          <w:rFonts w:hint="eastAsia" w:ascii="宋体" w:hAnsi="宋体"/>
          <w:b/>
          <w:color w:val="auto"/>
          <w:szCs w:val="28"/>
          <w:highlight w:val="none"/>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ascii="宋体" w:hAnsi="宋体"/>
                <w:color w:val="auto"/>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050" w:hanging="1050" w:hangingChars="5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项目名称：</w:t>
            </w:r>
            <w:r>
              <w:rPr>
                <w:rFonts w:hint="eastAsia" w:hAnsi="宋体"/>
                <w:color w:val="auto"/>
                <w:sz w:val="21"/>
                <w:szCs w:val="21"/>
                <w:highlight w:val="none"/>
                <w:lang w:eastAsia="zh-CN"/>
              </w:rPr>
              <w:t>太和路（沿山道路-腾云路）、椒江医化产业园区基础设施提升工程（腾云路半幅道路工程）路灯采购工程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ascii="宋体" w:hAnsi="宋体"/>
                <w:color w:val="auto"/>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招标</w:t>
            </w:r>
            <w:r>
              <w:rPr>
                <w:rFonts w:hint="eastAsia" w:ascii="宋体" w:hAnsi="宋体"/>
                <w:color w:val="auto"/>
                <w:sz w:val="21"/>
                <w:szCs w:val="21"/>
                <w:highlight w:val="none"/>
                <w:lang w:eastAsia="zh-CN"/>
              </w:rPr>
              <w:t>人</w:t>
            </w:r>
            <w:r>
              <w:rPr>
                <w:rFonts w:hint="eastAsia" w:ascii="宋体" w:hAnsi="宋体"/>
                <w:color w:val="auto"/>
                <w:sz w:val="21"/>
                <w:szCs w:val="21"/>
                <w:highlight w:val="none"/>
              </w:rPr>
              <w:t>：</w:t>
            </w:r>
            <w:r>
              <w:rPr>
                <w:rFonts w:hint="eastAsia" w:ascii="宋体" w:hAnsi="宋体"/>
                <w:bCs/>
                <w:color w:val="auto"/>
                <w:sz w:val="21"/>
                <w:szCs w:val="21"/>
                <w:highlight w:val="none"/>
                <w:lang w:eastAsia="zh-CN"/>
              </w:rPr>
              <w:t>台州市椒江新城基础设施建设有限公司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ascii="宋体" w:hAnsi="宋体"/>
                <w:color w:val="auto"/>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投标报价</w:t>
            </w:r>
            <w:r>
              <w:rPr>
                <w:rFonts w:hint="eastAsia" w:ascii="宋体" w:hAnsi="宋体" w:eastAsia="宋体" w:cs="Times New Roman"/>
                <w:color w:val="auto"/>
                <w:sz w:val="21"/>
                <w:szCs w:val="21"/>
                <w:highlight w:val="none"/>
              </w:rPr>
              <w:t>及费用：1、本项目投标应以人民币报价；2、不论投标结果如何，投标人均应自行承担所有与投标有关的全部费用</w:t>
            </w:r>
            <w:r>
              <w:rPr>
                <w:rFonts w:hint="eastAsia" w:ascii="宋体" w:hAnsi="宋体"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招标文件的澄清：投标人获取招标文件后，若对招标文件有异议的，应当在投标截止时间10日前，</w:t>
            </w:r>
            <w:r>
              <w:rPr>
                <w:rFonts w:hint="eastAsia" w:ascii="宋体" w:hAnsi="宋体"/>
                <w:color w:val="auto"/>
                <w:sz w:val="21"/>
                <w:szCs w:val="21"/>
                <w:highlight w:val="none"/>
                <w:lang w:val="en-US" w:eastAsia="zh-CN"/>
              </w:rPr>
              <w:t>通过书面的形式</w:t>
            </w:r>
            <w:r>
              <w:rPr>
                <w:rFonts w:hint="eastAsia" w:ascii="宋体" w:hAnsi="宋体"/>
                <w:color w:val="auto"/>
                <w:sz w:val="21"/>
                <w:szCs w:val="21"/>
                <w:highlight w:val="none"/>
              </w:rPr>
              <w:t>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投标保证金：人民币</w:t>
            </w:r>
            <w:r>
              <w:rPr>
                <w:rFonts w:hint="eastAsia" w:ascii="宋体" w:hAnsi="宋体" w:cs="Times New Roman"/>
                <w:color w:val="auto"/>
                <w:sz w:val="21"/>
                <w:szCs w:val="21"/>
                <w:highlight w:val="none"/>
                <w:u w:val="single"/>
                <w:lang w:val="en-US" w:eastAsia="zh-CN"/>
              </w:rPr>
              <w:t xml:space="preserve"> 0.3</w:t>
            </w:r>
            <w:r>
              <w:rPr>
                <w:rFonts w:hint="eastAsia" w:ascii="宋体" w:hAnsi="宋体" w:eastAsia="宋体" w:cs="Times New Roman"/>
                <w:color w:val="auto"/>
                <w:sz w:val="21"/>
                <w:szCs w:val="21"/>
                <w:highlight w:val="none"/>
                <w:lang w:val="en-US" w:eastAsia="zh-CN"/>
              </w:rPr>
              <w:t>万</w:t>
            </w:r>
            <w:r>
              <w:rPr>
                <w:rFonts w:hint="eastAsia" w:ascii="宋体" w:hAnsi="宋体" w:eastAsia="宋体" w:cs="Times New Roman"/>
                <w:color w:val="auto"/>
                <w:sz w:val="21"/>
                <w:szCs w:val="21"/>
                <w:highlight w:val="none"/>
              </w:rPr>
              <w:t>元</w:t>
            </w:r>
          </w:p>
          <w:p>
            <w:pPr>
              <w:snapToGrid w:val="0"/>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投标保证金缴纳方式：转账、电汇、银行汇票、银行保函、保险机构保证保险保单、融资担保公司保函。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投标文件组成：</w:t>
            </w:r>
          </w:p>
          <w:p>
            <w:pPr>
              <w:snapToGrid w:val="0"/>
              <w:spacing w:line="360" w:lineRule="auto"/>
              <w:rPr>
                <w:rFonts w:hint="default"/>
                <w:lang w:val="en-US" w:eastAsia="zh-CN"/>
              </w:rPr>
            </w:pPr>
            <w:r>
              <w:rPr>
                <w:rFonts w:hint="eastAsia" w:ascii="宋体" w:hAnsi="宋体" w:eastAsia="宋体" w:cs="Times New Roman"/>
                <w:b w:val="0"/>
                <w:bCs w:val="0"/>
                <w:color w:val="auto"/>
                <w:kern w:val="2"/>
                <w:sz w:val="21"/>
                <w:szCs w:val="21"/>
                <w:highlight w:val="none"/>
                <w:lang w:val="en-US" w:eastAsia="zh-CN" w:bidi="ar-SA"/>
              </w:rPr>
              <w:t>1</w:t>
            </w:r>
            <w:r>
              <w:rPr>
                <w:rFonts w:hint="eastAsia" w:ascii="宋体" w:hAnsi="宋体" w:eastAsia="宋体" w:cs="Times New Roman"/>
                <w:color w:val="auto"/>
                <w:sz w:val="21"/>
                <w:szCs w:val="21"/>
                <w:highlight w:val="none"/>
                <w:lang w:val="en-US" w:eastAsia="zh-CN"/>
              </w:rPr>
              <w:t>、资格标、技术标、商务标。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投标文件格式：</w:t>
            </w:r>
          </w:p>
          <w:p>
            <w:pPr>
              <w:snapToGrid w:val="0"/>
              <w:spacing w:line="360" w:lineRule="auto"/>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1</w:t>
            </w:r>
            <w:r>
              <w:rPr>
                <w:rFonts w:hint="default" w:ascii="宋体" w:hAnsi="宋体" w:eastAsia="宋体" w:cs="Times New Roman"/>
                <w:color w:val="auto"/>
                <w:sz w:val="21"/>
                <w:szCs w:val="21"/>
                <w:highlight w:val="none"/>
                <w:lang w:val="en-US" w:eastAsia="zh-CN"/>
              </w:rPr>
              <w:t>、投标人应使用招标文件中提供的附件格式。表格如不够用时，可以按同样格式扩展。</w:t>
            </w:r>
          </w:p>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w:t>
            </w:r>
            <w:r>
              <w:rPr>
                <w:rFonts w:hint="default" w:ascii="宋体" w:hAnsi="宋体" w:eastAsia="宋体" w:cs="Times New Roman"/>
                <w:color w:val="auto"/>
                <w:sz w:val="21"/>
                <w:szCs w:val="21"/>
                <w:highlight w:val="none"/>
                <w:lang w:val="en-US" w:eastAsia="zh-CN"/>
              </w:rPr>
              <w:t>、投标人投标文件所用的纸张建议采用A4型纸，图表可根据需要作适当扩展。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投标文件份数</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t>资格标、技术标、商务标</w:t>
            </w:r>
            <w:r>
              <w:rPr>
                <w:rFonts w:hint="eastAsia" w:ascii="宋体" w:hAnsi="宋体" w:cs="Times New Roman"/>
                <w:color w:val="auto"/>
                <w:sz w:val="21"/>
                <w:szCs w:val="21"/>
                <w:highlight w:val="none"/>
                <w:lang w:val="en-US" w:eastAsia="zh-CN"/>
              </w:rPr>
              <w:t>各</w:t>
            </w:r>
            <w:r>
              <w:rPr>
                <w:rFonts w:hint="eastAsia" w:ascii="宋体" w:hAnsi="宋体" w:eastAsia="宋体" w:cs="Times New Roman"/>
                <w:color w:val="auto"/>
                <w:sz w:val="21"/>
                <w:szCs w:val="21"/>
                <w:highlight w:val="none"/>
                <w:lang w:val="en-US" w:eastAsia="zh-CN"/>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投标文件密封及装订</w:t>
            </w:r>
            <w:r>
              <w:rPr>
                <w:rFonts w:hint="eastAsia" w:ascii="宋体" w:hAnsi="宋体" w:cs="Times New Roman"/>
                <w:color w:val="auto"/>
                <w:sz w:val="21"/>
                <w:szCs w:val="21"/>
                <w:highlight w:val="none"/>
                <w:lang w:val="en-US" w:eastAsia="zh-CN"/>
              </w:rPr>
              <w:t>：投标文件的资格标、技术标和商务标必须采取单独密封。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投标截止时间及地点：</w:t>
            </w:r>
            <w:r>
              <w:rPr>
                <w:rFonts w:hint="eastAsia" w:ascii="宋体" w:hAnsi="宋体" w:cs="Arial"/>
                <w:color w:val="auto"/>
                <w:sz w:val="21"/>
                <w:szCs w:val="21"/>
                <w:highlight w:val="none"/>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auto"/>
                <w:sz w:val="21"/>
                <w:szCs w:val="21"/>
                <w:highlight w:val="none"/>
              </w:rPr>
            </w:pPr>
            <w:r>
              <w:rPr>
                <w:rFonts w:hint="eastAsia" w:ascii="宋体" w:hAnsi="宋体"/>
                <w:color w:val="auto"/>
                <w:sz w:val="21"/>
                <w:szCs w:val="21"/>
                <w:highlight w:val="none"/>
              </w:rPr>
              <w:t>开标时间及地点：</w:t>
            </w:r>
            <w:r>
              <w:rPr>
                <w:rFonts w:hint="eastAsia" w:ascii="宋体" w:hAnsi="宋体" w:cs="Arial"/>
                <w:color w:val="auto"/>
                <w:sz w:val="21"/>
                <w:szCs w:val="21"/>
                <w:highlight w:val="none"/>
                <w:u w:val="single"/>
              </w:rPr>
              <w:t>见招标公告；</w:t>
            </w:r>
            <w:r>
              <w:rPr>
                <w:rFonts w:ascii="宋体"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评标办法及评分标准：详见本招标文件第四章《评标办法及评分标准》</w:t>
            </w:r>
            <w:r>
              <w:rPr>
                <w:rFonts w:hint="eastAsia" w:ascii="宋体" w:hAnsi="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评标结果公示：评标结束后3日内，评标结果在</w:t>
            </w:r>
            <w:r>
              <w:rPr>
                <w:rFonts w:hint="eastAsia" w:ascii="宋体" w:hAnsi="宋体"/>
                <w:color w:val="auto"/>
                <w:sz w:val="21"/>
                <w:szCs w:val="21"/>
                <w:highlight w:val="none"/>
                <w:lang w:eastAsia="zh-CN"/>
              </w:rPr>
              <w:t>浙江政府采购网</w:t>
            </w:r>
            <w:r>
              <w:rPr>
                <w:rFonts w:hint="eastAsia" w:ascii="宋体" w:hAnsi="宋体"/>
                <w:color w:val="auto"/>
                <w:sz w:val="21"/>
                <w:szCs w:val="21"/>
                <w:highlight w:val="none"/>
              </w:rPr>
              <w:t>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auto"/>
                <w:sz w:val="21"/>
                <w:szCs w:val="21"/>
                <w:highlight w:val="none"/>
              </w:rPr>
            </w:pPr>
            <w:r>
              <w:rPr>
                <w:rFonts w:hint="eastAsia" w:ascii="宋体" w:hAnsi="宋体"/>
                <w:color w:val="auto"/>
                <w:sz w:val="21"/>
                <w:szCs w:val="21"/>
                <w:highlight w:val="none"/>
              </w:rPr>
              <w:t>投标保证金退还：除招标文件规定不予退还保证金的情形外，未</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的投标保证金在中标通知书发出后5个工作日内退还，</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的投标保证金在合同签订后</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签订合同时间：中标通知书发出后</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履约保证金的收取及退还</w:t>
            </w:r>
            <w:r>
              <w:rPr>
                <w:rFonts w:ascii="宋体" w:hAnsi="宋体"/>
                <w:color w:val="auto"/>
                <w:sz w:val="21"/>
                <w:szCs w:val="21"/>
                <w:highlight w:val="none"/>
              </w:rPr>
              <w:t>:</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在合同签订前向</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缴纳合同履约保证金（中标价的2%），缴纳方式可选择：转帐、电汇、银行汇票或保函。如以银行转账、电汇或银行汇票形式递交履约保证金的，则应将履约保证金一次性汇入（或转入）</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指定帐户，在合同履行完毕（验收合格且付清全部货款）后无息退还。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uto"/>
              <w:ind w:firstLine="210" w:firstLineChars="100"/>
              <w:rPr>
                <w:rFonts w:hint="default" w:ascii="宋体" w:hAnsi="宋体"/>
                <w:color w:val="auto"/>
                <w:sz w:val="21"/>
                <w:szCs w:val="21"/>
                <w:highlight w:val="none"/>
                <w:lang w:val="en-US"/>
              </w:rPr>
            </w:pPr>
            <w:r>
              <w:rPr>
                <w:rFonts w:hint="eastAsia" w:ascii="宋体" w:hAnsi="宋体" w:cs="Times New Roman"/>
                <w:color w:val="auto"/>
                <w:kern w:val="2"/>
                <w:sz w:val="21"/>
                <w:szCs w:val="21"/>
                <w:highlight w:val="none"/>
                <w:lang w:val="en-US" w:eastAsia="zh-CN" w:bidi="ar-SA"/>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uto"/>
              <w:ind w:firstLine="0"/>
              <w:rPr>
                <w:rFonts w:hint="eastAsia" w:ascii="宋体" w:hAnsi="宋体"/>
                <w:color w:val="auto"/>
                <w:szCs w:val="21"/>
                <w:highlight w:val="none"/>
              </w:rPr>
            </w:pPr>
            <w:r>
              <w:rPr>
                <w:rFonts w:hint="eastAsia" w:ascii="宋体" w:hAnsi="宋体"/>
                <w:color w:val="auto"/>
                <w:szCs w:val="21"/>
                <w:highlight w:val="none"/>
              </w:rPr>
              <w:t>投标文件递交要求：</w:t>
            </w:r>
          </w:p>
          <w:p>
            <w:pPr>
              <w:pStyle w:val="17"/>
              <w:adjustRightInd w:val="0"/>
              <w:snapToGrid w:val="0"/>
              <w:spacing w:line="360" w:lineRule="auto"/>
              <w:ind w:firstLine="0"/>
              <w:rPr>
                <w:rFonts w:hint="eastAsia" w:ascii="宋体" w:hAnsi="宋体"/>
                <w:color w:val="auto"/>
                <w:szCs w:val="24"/>
                <w:highlight w:val="none"/>
              </w:rPr>
            </w:pPr>
            <w:r>
              <w:rPr>
                <w:rFonts w:hint="eastAsia" w:ascii="宋体" w:hAnsi="宋体"/>
                <w:color w:val="auto"/>
                <w:szCs w:val="21"/>
                <w:highlight w:val="none"/>
                <w:lang w:val="en-US" w:eastAsia="zh-CN"/>
              </w:rPr>
              <w:t>1、投标人的投标文件须在投标截止时间前送至浙江省台州市市府大道507号台州国际商务广场1幢（北门）3楼开标室。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uto"/>
              <w:ind w:firstLine="210" w:firstLineChars="100"/>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360" w:lineRule="auto"/>
              <w:ind w:firstLine="0"/>
              <w:rPr>
                <w:rFonts w:hint="eastAsia" w:ascii="宋体" w:hAnsi="宋体" w:cs="Times New Roman"/>
                <w:color w:val="auto"/>
                <w:szCs w:val="21"/>
                <w:highlight w:val="none"/>
              </w:rPr>
            </w:pPr>
            <w:r>
              <w:rPr>
                <w:rFonts w:hint="eastAsia" w:ascii="宋体" w:hAnsi="宋体" w:eastAsia="宋体" w:cs="Times New Roman"/>
                <w:color w:val="auto"/>
                <w:sz w:val="21"/>
                <w:szCs w:val="21"/>
                <w:highlight w:val="none"/>
                <w:lang w:eastAsia="zh-CN"/>
              </w:rPr>
              <w:t>开</w:t>
            </w:r>
            <w:r>
              <w:rPr>
                <w:rFonts w:hint="eastAsia" w:ascii="宋体" w:hAnsi="宋体" w:cs="Times New Roman"/>
                <w:color w:val="auto"/>
                <w:szCs w:val="21"/>
                <w:highlight w:val="none"/>
                <w:lang w:eastAsia="zh-CN"/>
              </w:rPr>
              <w:t>标程序：</w:t>
            </w:r>
            <w:r>
              <w:rPr>
                <w:rFonts w:hint="eastAsia" w:ascii="宋体" w:hAnsi="宋体" w:cs="Times New Roman"/>
                <w:color w:val="auto"/>
                <w:szCs w:val="21"/>
                <w:highlight w:val="none"/>
              </w:rPr>
              <w:t>招标人在“招标公告”规定的时间和地点公开开标。</w:t>
            </w:r>
          </w:p>
          <w:p>
            <w:pPr>
              <w:pStyle w:val="17"/>
              <w:adjustRightInd w:val="0"/>
              <w:snapToGrid w:val="0"/>
              <w:spacing w:line="360" w:lineRule="auto"/>
              <w:ind w:firstLine="0"/>
              <w:rPr>
                <w:rFonts w:hint="eastAsia" w:ascii="宋体" w:hAnsi="宋体" w:cs="Times New Roman"/>
                <w:color w:val="auto"/>
                <w:szCs w:val="21"/>
                <w:highlight w:val="none"/>
              </w:rPr>
            </w:pPr>
            <w:r>
              <w:rPr>
                <w:rFonts w:hint="eastAsia" w:ascii="宋体" w:hAnsi="宋体" w:cs="Times New Roman"/>
                <w:color w:val="auto"/>
                <w:szCs w:val="21"/>
                <w:highlight w:val="none"/>
              </w:rPr>
              <w:t>具体程序如下：</w:t>
            </w:r>
          </w:p>
          <w:p>
            <w:pPr>
              <w:pStyle w:val="17"/>
              <w:adjustRightInd w:val="0"/>
              <w:snapToGrid w:val="0"/>
              <w:spacing w:line="360" w:lineRule="auto"/>
              <w:ind w:firstLine="0"/>
              <w:rPr>
                <w:rFonts w:hint="eastAsia" w:ascii="宋体" w:hAnsi="宋体" w:cs="Times New Roman"/>
                <w:color w:val="auto"/>
                <w:szCs w:val="21"/>
                <w:highlight w:val="none"/>
              </w:rPr>
            </w:pPr>
            <w:r>
              <w:rPr>
                <w:rFonts w:hint="eastAsia" w:ascii="宋体" w:hAnsi="宋体" w:cs="Times New Roman"/>
                <w:color w:val="auto"/>
                <w:szCs w:val="21"/>
                <w:highlight w:val="none"/>
              </w:rPr>
              <w:t>（1）密封情况检查：由投标人法定代表人（或委托代理人）检查并签字确认；</w:t>
            </w:r>
          </w:p>
          <w:p>
            <w:pPr>
              <w:pStyle w:val="17"/>
              <w:adjustRightInd w:val="0"/>
              <w:snapToGrid w:val="0"/>
              <w:spacing w:line="360" w:lineRule="auto"/>
              <w:ind w:firstLine="0"/>
              <w:rPr>
                <w:rFonts w:hint="eastAsia" w:ascii="宋体" w:hAnsi="宋体"/>
                <w:b/>
                <w:bCs/>
                <w:color w:val="auto"/>
                <w:szCs w:val="24"/>
                <w:highlight w:val="none"/>
              </w:rPr>
            </w:pPr>
            <w:r>
              <w:rPr>
                <w:rFonts w:hint="eastAsia" w:ascii="宋体" w:hAnsi="宋体" w:cs="Times New Roman"/>
                <w:color w:val="auto"/>
                <w:szCs w:val="21"/>
                <w:highlight w:val="none"/>
              </w:rPr>
              <w:t>（2）先开资格标，</w:t>
            </w:r>
            <w:r>
              <w:rPr>
                <w:rFonts w:hint="eastAsia" w:ascii="宋体" w:hAnsi="宋体" w:cs="Times New Roman"/>
                <w:color w:val="auto"/>
                <w:szCs w:val="21"/>
                <w:highlight w:val="none"/>
                <w:lang w:val="en-US" w:eastAsia="zh-CN"/>
              </w:rPr>
              <w:t>再开技术标，最后</w:t>
            </w:r>
            <w:r>
              <w:rPr>
                <w:rFonts w:hint="eastAsia" w:ascii="宋体" w:hAnsi="宋体" w:cs="Times New Roman"/>
                <w:color w:val="auto"/>
                <w:szCs w:val="21"/>
                <w:highlight w:val="none"/>
              </w:rPr>
              <w:t>开商务标。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3"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val="en-US" w:eastAsia="zh-CN"/>
              </w:rPr>
              <w:t>21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7"/>
              <w:adjustRightInd w:val="0"/>
              <w:snapToGrid w:val="0"/>
              <w:spacing w:line="288" w:lineRule="auto"/>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工程担</w:t>
            </w:r>
            <w:r>
              <w:rPr>
                <w:rFonts w:hint="eastAsia" w:ascii="宋体" w:hAnsi="宋体" w:cs="Times New Roman"/>
                <w:color w:val="auto"/>
                <w:kern w:val="2"/>
                <w:sz w:val="21"/>
                <w:szCs w:val="21"/>
                <w:highlight w:val="none"/>
                <w:lang w:val="en-US" w:eastAsia="zh-CN" w:bidi="ar-SA"/>
              </w:rPr>
              <w:t>保：</w:t>
            </w:r>
          </w:p>
          <w:p>
            <w:pPr>
              <w:pStyle w:val="17"/>
              <w:adjustRightInd w:val="0"/>
              <w:snapToGrid w:val="0"/>
              <w:spacing w:line="288" w:lineRule="auto"/>
              <w:rPr>
                <w:rFonts w:hint="eastAsia" w:ascii="宋体" w:hAnsi="宋体"/>
                <w:color w:val="auto"/>
                <w:highlight w:val="none"/>
              </w:rPr>
            </w:pPr>
            <w:r>
              <w:rPr>
                <w:rFonts w:hint="eastAsia" w:ascii="宋体" w:hAnsi="宋体"/>
                <w:color w:val="auto"/>
                <w:highlight w:val="none"/>
              </w:rPr>
              <w:t>履约担保金额为中标合同金额的2%，如不能办理担保采用现金的，中标人必须通过其基本账户转出的转帐、电汇或银行汇票方式解入招标人以下帐户。</w:t>
            </w:r>
          </w:p>
          <w:p>
            <w:pPr>
              <w:pStyle w:val="17"/>
              <w:adjustRightInd w:val="0"/>
              <w:snapToGrid w:val="0"/>
              <w:spacing w:line="288" w:lineRule="auto"/>
              <w:rPr>
                <w:rFonts w:hint="eastAsia" w:ascii="宋体" w:hAnsi="宋体"/>
                <w:color w:val="auto"/>
                <w:highlight w:val="none"/>
              </w:rPr>
            </w:pPr>
            <w:r>
              <w:rPr>
                <w:rFonts w:hint="eastAsia" w:ascii="宋体" w:hAnsi="宋体"/>
                <w:color w:val="auto"/>
                <w:highlight w:val="none"/>
              </w:rPr>
              <w:t>履约保证金账户：</w:t>
            </w:r>
          </w:p>
          <w:p>
            <w:pPr>
              <w:pStyle w:val="17"/>
              <w:adjustRightInd w:val="0"/>
              <w:snapToGrid w:val="0"/>
              <w:spacing w:line="288" w:lineRule="auto"/>
              <w:rPr>
                <w:rFonts w:hint="eastAsia" w:ascii="宋体" w:hAnsi="宋体"/>
                <w:color w:val="auto"/>
                <w:highlight w:val="none"/>
                <w:u w:val="single"/>
              </w:rPr>
            </w:pPr>
            <w:r>
              <w:rPr>
                <w:rFonts w:hint="eastAsia" w:ascii="宋体" w:hAnsi="宋体"/>
                <w:color w:val="auto"/>
                <w:highlight w:val="none"/>
              </w:rPr>
              <w:t>收款单位：</w:t>
            </w:r>
            <w:r>
              <w:rPr>
                <w:rFonts w:hint="eastAsia" w:ascii="宋体" w:hAnsi="宋体"/>
                <w:color w:val="auto"/>
                <w:highlight w:val="none"/>
                <w:u w:val="single"/>
                <w:lang w:eastAsia="zh-CN"/>
              </w:rPr>
              <w:t>台州市椒江新城基础设施建设有限公司</w:t>
            </w:r>
            <w:r>
              <w:rPr>
                <w:rFonts w:hint="eastAsia" w:ascii="宋体" w:hAnsi="宋体"/>
                <w:color w:val="auto"/>
                <w:highlight w:val="none"/>
                <w:u w:val="single"/>
              </w:rPr>
              <w:t>；</w:t>
            </w:r>
          </w:p>
          <w:p>
            <w:pPr>
              <w:pStyle w:val="17"/>
              <w:adjustRightInd w:val="0"/>
              <w:snapToGrid w:val="0"/>
              <w:spacing w:line="288" w:lineRule="auto"/>
              <w:rPr>
                <w:rFonts w:hint="eastAsia" w:ascii="宋体" w:hAnsi="宋体"/>
                <w:color w:val="auto"/>
                <w:highlight w:val="none"/>
                <w:u w:val="single"/>
              </w:rPr>
            </w:pPr>
            <w:r>
              <w:rPr>
                <w:rFonts w:hint="eastAsia" w:ascii="宋体" w:hAnsi="宋体"/>
                <w:color w:val="auto"/>
                <w:highlight w:val="none"/>
              </w:rPr>
              <w:t>开户银行：</w:t>
            </w:r>
            <w:r>
              <w:rPr>
                <w:rFonts w:hint="eastAsia" w:ascii="宋体" w:hAnsi="宋体"/>
                <w:color w:val="auto"/>
                <w:highlight w:val="none"/>
                <w:u w:val="single"/>
                <w:lang w:val="en-US" w:eastAsia="zh-CN"/>
              </w:rPr>
              <w:t xml:space="preserve"> 建设银行椒江支行</w:t>
            </w:r>
            <w:r>
              <w:rPr>
                <w:rFonts w:hint="eastAsia" w:ascii="宋体" w:hAnsi="宋体"/>
                <w:color w:val="auto"/>
                <w:highlight w:val="none"/>
                <w:u w:val="single"/>
              </w:rPr>
              <w:t>；</w:t>
            </w:r>
          </w:p>
          <w:p>
            <w:pPr>
              <w:pStyle w:val="17"/>
              <w:adjustRightInd w:val="0"/>
              <w:snapToGrid w:val="0"/>
              <w:spacing w:line="360" w:lineRule="auto"/>
              <w:ind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银行帐号：</w:t>
            </w:r>
            <w:r>
              <w:rPr>
                <w:rFonts w:hint="eastAsia" w:ascii="宋体" w:hAnsi="宋体"/>
                <w:color w:val="auto"/>
                <w:highlight w:val="none"/>
                <w:u w:val="single"/>
                <w:lang w:val="en-US" w:eastAsia="zh-CN"/>
              </w:rPr>
              <w:t xml:space="preserve"> 33001663600053003088</w:t>
            </w:r>
            <w:r>
              <w:rPr>
                <w:rFonts w:hint="eastAsia" w:ascii="宋体" w:hAnsi="宋体" w:eastAsia="宋体"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olor w:val="auto"/>
                <w:sz w:val="21"/>
                <w:szCs w:val="21"/>
                <w:highlight w:val="none"/>
                <w:lang w:val="en-US"/>
              </w:rPr>
            </w:pPr>
            <w:r>
              <w:rPr>
                <w:rFonts w:hint="eastAsia" w:ascii="宋体" w:hAnsi="宋体"/>
                <w:color w:val="auto"/>
                <w:sz w:val="21"/>
                <w:szCs w:val="21"/>
                <w:highlight w:val="none"/>
                <w:lang w:val="en-US" w:eastAsia="zh-CN"/>
              </w:rPr>
              <w:t>22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auto"/>
                <w:sz w:val="21"/>
                <w:szCs w:val="21"/>
                <w:highlight w:val="none"/>
              </w:rPr>
            </w:pPr>
            <w:r>
              <w:rPr>
                <w:rFonts w:hint="eastAsia" w:ascii="宋体" w:hAnsi="宋体"/>
                <w:color w:val="auto"/>
                <w:sz w:val="21"/>
                <w:szCs w:val="21"/>
                <w:highlight w:val="none"/>
                <w:lang w:eastAsia="zh-CN"/>
              </w:rPr>
              <w:t>投标文件</w:t>
            </w:r>
            <w:r>
              <w:rPr>
                <w:rFonts w:hint="eastAsia" w:ascii="宋体" w:hAnsi="宋体"/>
                <w:color w:val="auto"/>
                <w:sz w:val="21"/>
                <w:szCs w:val="21"/>
                <w:highlight w:val="none"/>
              </w:rPr>
              <w:t>有效期：90天</w:t>
            </w:r>
          </w:p>
        </w:tc>
      </w:tr>
    </w:tbl>
    <w:p>
      <w:pPr>
        <w:pStyle w:val="30"/>
        <w:snapToGrid w:val="0"/>
        <w:spacing w:before="120" w:beforeLines="0" w:after="120" w:afterLines="0" w:line="360" w:lineRule="auto"/>
        <w:rPr>
          <w:rFonts w:hAnsi="宋体"/>
          <w:b/>
          <w:color w:val="auto"/>
          <w:sz w:val="30"/>
          <w:szCs w:val="30"/>
          <w:highlight w:val="none"/>
        </w:rPr>
      </w:pPr>
      <w:r>
        <w:rPr>
          <w:color w:val="auto"/>
          <w:highlight w:val="none"/>
        </w:rPr>
        <w:br w:type="page"/>
      </w:r>
      <w:r>
        <w:rPr>
          <w:rFonts w:hAnsi="宋体"/>
          <w:b/>
          <w:color w:val="auto"/>
          <w:sz w:val="30"/>
          <w:szCs w:val="30"/>
          <w:highlight w:val="none"/>
        </w:rPr>
        <w:t>一   总  则</w:t>
      </w:r>
    </w:p>
    <w:p>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招标采购单位系指组织本次招标的代理机构和采购单位（“招标人”）</w:t>
      </w:r>
      <w:r>
        <w:rPr>
          <w:rFonts w:ascii="宋体" w:hAnsi="宋体"/>
          <w:color w:val="auto"/>
          <w:sz w:val="24"/>
          <w:highlight w:val="none"/>
        </w:rPr>
        <w:t>。</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w:t>
      </w:r>
      <w:r>
        <w:rPr>
          <w:rFonts w:hint="eastAsia" w:ascii="宋体" w:hAnsi="宋体"/>
          <w:color w:val="auto"/>
          <w:sz w:val="24"/>
          <w:highlight w:val="none"/>
          <w:lang w:eastAsia="zh-CN"/>
        </w:rPr>
        <w:t>投标文件</w:t>
      </w:r>
      <w:r>
        <w:rPr>
          <w:rFonts w:ascii="宋体" w:hAnsi="宋体"/>
          <w:color w:val="auto"/>
          <w:sz w:val="24"/>
          <w:highlight w:val="none"/>
        </w:rPr>
        <w:t>的单位或个人。</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.“产品”系指供方按招标文件规定，须向</w:t>
      </w:r>
      <w:r>
        <w:rPr>
          <w:rFonts w:hint="eastAsia" w:ascii="宋体" w:hAnsi="宋体"/>
          <w:color w:val="auto"/>
          <w:sz w:val="24"/>
          <w:highlight w:val="none"/>
          <w:lang w:val="en-US" w:eastAsia="zh-CN"/>
        </w:rPr>
        <w:t>招标人</w:t>
      </w:r>
      <w:r>
        <w:rPr>
          <w:rFonts w:hint="eastAsia" w:ascii="宋体" w:hAnsi="宋体"/>
          <w:color w:val="auto"/>
          <w:sz w:val="24"/>
          <w:highlight w:val="none"/>
        </w:rPr>
        <w:t>提供的一切材料采购、保险、税金、备品备件、工具、手册及其它有关技术资料和材料。</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w:t>
      </w:r>
      <w:r>
        <w:rPr>
          <w:rFonts w:hint="eastAsia" w:ascii="宋体" w:hAnsi="宋体"/>
          <w:color w:val="auto"/>
          <w:sz w:val="24"/>
          <w:highlight w:val="none"/>
        </w:rPr>
        <w:t>招标文件</w:t>
      </w:r>
      <w:r>
        <w:rPr>
          <w:rFonts w:ascii="宋体" w:hAnsi="宋体"/>
          <w:color w:val="auto"/>
          <w:sz w:val="24"/>
          <w:highlight w:val="none"/>
        </w:rPr>
        <w:t>规定投标人须承担的调试、技术协助、校准、培训、技术指导以及其他类似的义务。</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w:t>
      </w:r>
      <w:r>
        <w:rPr>
          <w:rFonts w:hint="eastAsia" w:ascii="宋体" w:hAnsi="宋体"/>
          <w:color w:val="auto"/>
          <w:sz w:val="24"/>
          <w:highlight w:val="none"/>
        </w:rPr>
        <w:t>招标文件</w:t>
      </w:r>
      <w:r>
        <w:rPr>
          <w:rFonts w:ascii="宋体" w:hAnsi="宋体"/>
          <w:color w:val="auto"/>
          <w:sz w:val="24"/>
          <w:highlight w:val="none"/>
        </w:rPr>
        <w:t>规定向</w:t>
      </w:r>
      <w:r>
        <w:rPr>
          <w:rFonts w:hint="eastAsia" w:ascii="宋体" w:hAnsi="宋体"/>
          <w:color w:val="auto"/>
          <w:sz w:val="24"/>
          <w:highlight w:val="none"/>
          <w:lang w:eastAsia="zh-CN"/>
        </w:rPr>
        <w:t>招标人</w:t>
      </w:r>
      <w:r>
        <w:rPr>
          <w:rFonts w:ascii="宋体" w:hAnsi="宋体"/>
          <w:color w:val="auto"/>
          <w:sz w:val="24"/>
          <w:highlight w:val="none"/>
        </w:rPr>
        <w:t>提供的产品和服务。</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pPr>
        <w:snapToGrid w:val="0"/>
        <w:spacing w:line="360" w:lineRule="auto"/>
        <w:ind w:firstLine="480" w:firstLineChars="200"/>
        <w:jc w:val="left"/>
        <w:rPr>
          <w:rFonts w:hint="eastAsia"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pPr>
        <w:snapToGrid w:val="0"/>
        <w:spacing w:before="120" w:beforeLines="50"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w:t>
      </w:r>
      <w:r>
        <w:rPr>
          <w:rFonts w:hint="eastAsia" w:ascii="宋体" w:hAnsi="宋体"/>
          <w:color w:val="auto"/>
          <w:sz w:val="24"/>
          <w:highlight w:val="none"/>
        </w:rPr>
        <w:t>公开招标的</w:t>
      </w:r>
      <w:r>
        <w:rPr>
          <w:rFonts w:ascii="宋体" w:hAnsi="宋体"/>
          <w:color w:val="auto"/>
          <w:sz w:val="24"/>
          <w:highlight w:val="none"/>
        </w:rPr>
        <w:t>方式进行。</w:t>
      </w:r>
    </w:p>
    <w:p>
      <w:pPr>
        <w:snapToGrid w:val="0"/>
        <w:spacing w:before="120" w:beforeLines="50"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ascii="宋体" w:hAnsi="宋体" w:eastAsia="宋体" w:cs="Times New Roman"/>
          <w:color w:val="auto"/>
          <w:sz w:val="24"/>
          <w:highlight w:val="none"/>
        </w:rPr>
        <w:t>投标人代表须</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有效身份证件。如投标人代表不是法定代表人，须有法定代表人出具的授权委托书</w:t>
      </w:r>
      <w:r>
        <w:rPr>
          <w:rFonts w:hint="eastAsia" w:ascii="宋体" w:hAnsi="宋体" w:eastAsia="宋体" w:cs="Times New Roman"/>
          <w:color w:val="auto"/>
          <w:sz w:val="24"/>
          <w:highlight w:val="none"/>
        </w:rPr>
        <w:t>。</w:t>
      </w:r>
    </w:p>
    <w:p>
      <w:pPr>
        <w:snapToGrid w:val="0"/>
        <w:spacing w:before="120" w:beforeLines="50" w:line="360" w:lineRule="auto"/>
        <w:ind w:firstLine="472" w:firstLineChars="196"/>
        <w:jc w:val="left"/>
        <w:outlineLvl w:val="1"/>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（五）投标费用</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（六）联合体投标</w:t>
      </w:r>
    </w:p>
    <w:p>
      <w:pPr>
        <w:snapToGrid w:val="0"/>
        <w:spacing w:line="360" w:lineRule="auto"/>
        <w:ind w:firstLine="720" w:firstLineChars="300"/>
        <w:jc w:val="left"/>
        <w:rPr>
          <w:rFonts w:hint="eastAsia" w:ascii="宋体" w:hAnsi="宋体" w:cs="Arial"/>
          <w:color w:val="auto"/>
          <w:sz w:val="24"/>
          <w:highlight w:val="none"/>
        </w:rPr>
      </w:pPr>
      <w:r>
        <w:rPr>
          <w:rFonts w:hint="eastAsia" w:ascii="宋体" w:hAnsi="宋体" w:cs="Arial"/>
          <w:color w:val="auto"/>
          <w:sz w:val="24"/>
          <w:highlight w:val="none"/>
        </w:rPr>
        <w:t>本项目不接受联合体投标（与资格要求对应）。</w:t>
      </w:r>
    </w:p>
    <w:p>
      <w:pPr>
        <w:snapToGrid w:val="0"/>
        <w:spacing w:before="120" w:beforeLines="50"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pPr>
        <w:snapToGrid w:val="0"/>
        <w:spacing w:before="156" w:beforeLines="50" w:line="360" w:lineRule="auto"/>
        <w:ind w:firstLine="470" w:firstLineChars="196"/>
        <w:jc w:val="left"/>
        <w:outlineLvl w:val="1"/>
        <w:rPr>
          <w:rFonts w:hint="eastAsia" w:ascii="宋体" w:hAnsi="宋体" w:cs="宋体"/>
          <w:color w:val="auto"/>
          <w:kern w:val="0"/>
          <w:sz w:val="24"/>
          <w:highlight w:val="none"/>
        </w:rPr>
      </w:pPr>
      <w:r>
        <w:rPr>
          <w:rFonts w:hint="eastAsia" w:ascii="宋体" w:hAnsi="宋体" w:cs="宋体"/>
          <w:color w:val="auto"/>
          <w:kern w:val="0"/>
          <w:sz w:val="24"/>
          <w:highlight w:val="none"/>
        </w:rPr>
        <w:t>未经</w:t>
      </w:r>
      <w:r>
        <w:rPr>
          <w:rFonts w:hint="eastAsia" w:ascii="宋体" w:hAnsi="宋体" w:cs="宋体"/>
          <w:color w:val="auto"/>
          <w:kern w:val="0"/>
          <w:sz w:val="24"/>
          <w:highlight w:val="none"/>
          <w:lang w:eastAsia="zh-CN"/>
        </w:rPr>
        <w:t>招标人</w:t>
      </w:r>
      <w:r>
        <w:rPr>
          <w:rFonts w:hint="eastAsia" w:ascii="宋体" w:hAnsi="宋体" w:cs="宋体"/>
          <w:color w:val="auto"/>
          <w:kern w:val="0"/>
          <w:sz w:val="24"/>
          <w:highlight w:val="none"/>
        </w:rPr>
        <w:t>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30"/>
        <w:snapToGrid w:val="0"/>
        <w:spacing w:before="120" w:after="120" w:line="360" w:lineRule="auto"/>
        <w:ind w:firstLine="470" w:firstLineChars="196"/>
        <w:jc w:val="left"/>
        <w:outlineLvl w:val="1"/>
        <w:rPr>
          <w:rFonts w:ascii="宋体" w:hAnsi="宋体" w:eastAsia="宋体" w:cs="Times New Roman"/>
          <w:bCs/>
          <w:color w:val="auto"/>
          <w:highlight w:val="none"/>
        </w:rPr>
      </w:pPr>
      <w:r>
        <w:rPr>
          <w:rFonts w:hint="eastAsia" w:hAnsi="宋体" w:cs="Times New Roman"/>
          <w:bCs/>
          <w:color w:val="0D0D0D"/>
          <w:highlight w:val="none"/>
          <w:lang w:val="en-US" w:eastAsia="zh-CN"/>
        </w:rPr>
        <w:t>1</w:t>
      </w:r>
      <w:r>
        <w:rPr>
          <w:rFonts w:hint="eastAsia" w:ascii="宋体" w:hAnsi="宋体" w:eastAsia="宋体" w:cs="Times New Roman"/>
          <w:bCs/>
          <w:color w:val="0D0D0D"/>
          <w:highlight w:val="none"/>
        </w:rPr>
        <w:t>、</w:t>
      </w:r>
      <w:r>
        <w:rPr>
          <w:rFonts w:ascii="宋体" w:hAnsi="宋体" w:eastAsia="宋体" w:cs="Times New Roman"/>
          <w:bCs/>
          <w:color w:val="0D0D0D"/>
          <w:highlight w:val="none"/>
        </w:rPr>
        <w:t>投标人应仔细阅读招标文件的所有内容，按照招标文件的要求提交投标文件，并对所提供的全部资料的真实性承担法律责任。</w:t>
      </w:r>
    </w:p>
    <w:p>
      <w:pPr>
        <w:pStyle w:val="30"/>
        <w:snapToGrid w:val="0"/>
        <w:spacing w:before="120" w:beforeLines="0" w:after="120" w:afterLines="0" w:line="360" w:lineRule="auto"/>
        <w:ind w:firstLine="472" w:firstLineChars="196"/>
        <w:outlineLvl w:val="1"/>
        <w:rPr>
          <w:rFonts w:hAnsi="宋体"/>
          <w:b/>
          <w:bCs/>
          <w:color w:val="auto"/>
          <w:highlight w:val="none"/>
        </w:rPr>
      </w:pPr>
      <w:r>
        <w:rPr>
          <w:rFonts w:hAnsi="宋体"/>
          <w:b/>
          <w:bCs/>
          <w:color w:val="auto"/>
          <w:highlight w:val="none"/>
        </w:rPr>
        <w:t>（</w:t>
      </w:r>
      <w:r>
        <w:rPr>
          <w:rFonts w:hint="eastAsia" w:hAnsi="宋体"/>
          <w:b/>
          <w:bCs/>
          <w:color w:val="auto"/>
          <w:highlight w:val="none"/>
          <w:lang w:val="en-US" w:eastAsia="zh-CN"/>
        </w:rPr>
        <w:t>九</w:t>
      </w:r>
      <w:r>
        <w:rPr>
          <w:rFonts w:hAnsi="宋体"/>
          <w:b/>
          <w:bCs/>
          <w:color w:val="auto"/>
          <w:highlight w:val="none"/>
        </w:rPr>
        <w:t>）质疑和投诉</w:t>
      </w:r>
    </w:p>
    <w:p>
      <w:pPr>
        <w:pStyle w:val="30"/>
        <w:snapToGrid w:val="0"/>
        <w:spacing w:line="360" w:lineRule="auto"/>
        <w:ind w:left="3" w:leftChars="1" w:firstLine="480" w:firstLineChars="200"/>
        <w:rPr>
          <w:rFonts w:hint="eastAsia" w:hAnsi="宋体"/>
          <w:color w:val="auto"/>
          <w:highlight w:val="none"/>
        </w:rPr>
      </w:pPr>
      <w:r>
        <w:rPr>
          <w:rFonts w:hint="eastAsia" w:hAnsi="宋体"/>
          <w:color w:val="auto"/>
          <w:highlight w:val="none"/>
        </w:rPr>
        <w:t>1.投标人认为</w:t>
      </w:r>
      <w:r>
        <w:rPr>
          <w:rFonts w:hAnsi="宋体"/>
          <w:color w:val="auto"/>
          <w:highlight w:val="none"/>
        </w:rPr>
        <w:t>招标投标活动不符合法律、行政法规规定的，可以</w:t>
      </w:r>
      <w:r>
        <w:rPr>
          <w:rFonts w:hint="eastAsia" w:hAnsi="宋体"/>
          <w:color w:val="auto"/>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hAnsi="宋体"/>
          <w:color w:val="auto"/>
          <w:highlight w:val="none"/>
          <w:lang w:eastAsia="zh-CN"/>
        </w:rPr>
        <w:t>招标人</w:t>
      </w:r>
      <w:r>
        <w:rPr>
          <w:rFonts w:hint="eastAsia" w:hAnsi="宋体"/>
          <w:color w:val="auto"/>
          <w:highlight w:val="none"/>
        </w:rPr>
        <w:t>、采购代理机构提出（附相关有效证明材料），</w:t>
      </w:r>
      <w:r>
        <w:rPr>
          <w:rFonts w:hint="eastAsia" w:hAnsi="宋体"/>
          <w:color w:val="auto"/>
          <w:highlight w:val="none"/>
          <w:lang w:eastAsia="zh-CN"/>
        </w:rPr>
        <w:t>招标人</w:t>
      </w:r>
      <w:r>
        <w:rPr>
          <w:rFonts w:hint="eastAsia" w:hAnsi="宋体"/>
          <w:color w:val="auto"/>
          <w:highlight w:val="none"/>
        </w:rPr>
        <w:t>、采购代理机构应给予答复。</w:t>
      </w:r>
    </w:p>
    <w:p>
      <w:pPr>
        <w:pStyle w:val="30"/>
        <w:snapToGrid w:val="0"/>
        <w:spacing w:line="360" w:lineRule="auto"/>
        <w:ind w:firstLine="480" w:firstLineChars="200"/>
        <w:rPr>
          <w:rFonts w:hAnsi="宋体"/>
          <w:bCs/>
          <w:color w:val="auto"/>
          <w:highlight w:val="none"/>
        </w:rPr>
      </w:pPr>
      <w:r>
        <w:rPr>
          <w:rFonts w:hint="eastAsia" w:hAnsi="宋体" w:cs="宋体"/>
          <w:bCs/>
          <w:color w:val="auto"/>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30"/>
        <w:snapToGrid w:val="0"/>
        <w:spacing w:before="120" w:beforeLines="0" w:after="120" w:afterLines="0" w:line="360" w:lineRule="auto"/>
        <w:ind w:firstLine="551" w:firstLineChars="196"/>
        <w:outlineLvl w:val="0"/>
        <w:rPr>
          <w:rFonts w:hAnsi="宋体"/>
          <w:b/>
          <w:color w:val="auto"/>
          <w:sz w:val="28"/>
          <w:szCs w:val="28"/>
          <w:highlight w:val="none"/>
        </w:rPr>
      </w:pPr>
      <w:r>
        <w:rPr>
          <w:rFonts w:hAnsi="宋体"/>
          <w:b/>
          <w:color w:val="auto"/>
          <w:sz w:val="28"/>
          <w:szCs w:val="28"/>
          <w:highlight w:val="none"/>
        </w:rPr>
        <w:t xml:space="preserve">二  </w:t>
      </w:r>
      <w:r>
        <w:rPr>
          <w:rFonts w:hint="eastAsia" w:hAnsi="宋体"/>
          <w:b/>
          <w:color w:val="auto"/>
          <w:sz w:val="28"/>
          <w:szCs w:val="28"/>
          <w:highlight w:val="none"/>
        </w:rPr>
        <w:t>招标文件</w:t>
      </w:r>
    </w:p>
    <w:p>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（一）招标文件的构成。本招标文件由以下部份组成：</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.招标公告</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pPr>
        <w:snapToGrid w:val="0"/>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hint="eastAsia" w:ascii="宋体" w:hAnsi="宋体"/>
          <w:color w:val="auto"/>
          <w:sz w:val="24"/>
          <w:highlight w:val="none"/>
          <w:lang w:val="en-US" w:eastAsia="zh-CN"/>
        </w:rPr>
        <w:t>投标</w:t>
      </w:r>
      <w:r>
        <w:rPr>
          <w:rFonts w:ascii="宋体" w:hAnsi="宋体"/>
          <w:color w:val="auto"/>
          <w:sz w:val="24"/>
          <w:highlight w:val="none"/>
        </w:rPr>
        <w:t>文件格式</w:t>
      </w:r>
    </w:p>
    <w:p>
      <w:pPr>
        <w:snapToGrid w:val="0"/>
        <w:spacing w:line="360" w:lineRule="auto"/>
        <w:ind w:firstLine="480" w:firstLineChars="200"/>
        <w:jc w:val="left"/>
        <w:rPr>
          <w:rFonts w:hint="eastAsia" w:ascii="宋体" w:hAnsi="宋体"/>
          <w:color w:val="auto"/>
          <w:sz w:val="24"/>
          <w:szCs w:val="20"/>
          <w:highlight w:val="none"/>
        </w:rPr>
      </w:pPr>
      <w:r>
        <w:rPr>
          <w:rFonts w:hint="eastAsia" w:ascii="宋体" w:hAnsi="宋体"/>
          <w:color w:val="auto"/>
          <w:sz w:val="24"/>
          <w:highlight w:val="none"/>
        </w:rPr>
        <w:t>7.本项目招标文件的</w:t>
      </w:r>
      <w:r>
        <w:rPr>
          <w:rFonts w:ascii="宋体" w:hAnsi="宋体"/>
          <w:color w:val="auto"/>
          <w:sz w:val="24"/>
          <w:highlight w:val="none"/>
        </w:rPr>
        <w:t>澄清、答复、修改、补充的内容</w:t>
      </w:r>
    </w:p>
    <w:p>
      <w:pPr>
        <w:snapToGrid w:val="0"/>
        <w:spacing w:before="120" w:beforeLines="50"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pPr>
        <w:snapToGrid w:val="0"/>
        <w:spacing w:line="360" w:lineRule="auto"/>
        <w:ind w:firstLine="480" w:firstLineChars="200"/>
        <w:jc w:val="left"/>
        <w:rPr>
          <w:rFonts w:ascii="宋体"/>
          <w:color w:val="auto"/>
          <w:szCs w:val="20"/>
          <w:highlight w:val="none"/>
        </w:rPr>
      </w:pPr>
      <w:r>
        <w:rPr>
          <w:rFonts w:hint="eastAsia" w:ascii="宋体" w:hAnsi="宋体"/>
          <w:color w:val="auto"/>
          <w:sz w:val="24"/>
          <w:highlight w:val="none"/>
        </w:rPr>
        <w:t>投标人没有按照招标文件要求提供全部资料，或者投标人没有对招标文件在各方面作出实质性响应是投标人的风险，并可能导致其投标被拒绝。</w:t>
      </w:r>
    </w:p>
    <w:p>
      <w:pPr>
        <w:pStyle w:val="16"/>
        <w:widowControl w:val="0"/>
        <w:tabs>
          <w:tab w:val="clear" w:pos="454"/>
          <w:tab w:val="clear" w:pos="900"/>
        </w:tabs>
        <w:snapToGrid w:val="0"/>
        <w:spacing w:before="120" w:beforeLines="50" w:after="120"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pPr>
        <w:pStyle w:val="30"/>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w:t>
      </w:r>
      <w:r>
        <w:rPr>
          <w:rFonts w:hint="eastAsia"/>
          <w:b/>
          <w:bCs/>
          <w:color w:val="auto"/>
          <w:highlight w:val="none"/>
        </w:rPr>
        <w:t>投标人获取招标文件后，</w:t>
      </w:r>
      <w:r>
        <w:rPr>
          <w:rFonts w:hAnsi="宋体"/>
          <w:b/>
          <w:bCs/>
          <w:color w:val="auto"/>
          <w:highlight w:val="none"/>
        </w:rPr>
        <w:t>投标人应认真阅读本招标文件。</w:t>
      </w:r>
      <w:r>
        <w:rPr>
          <w:rFonts w:hint="eastAsia"/>
          <w:b/>
          <w:bCs/>
          <w:color w:val="auto"/>
          <w:highlight w:val="none"/>
        </w:rPr>
        <w:t>若对招标文件有异议的，应当在投标截止时间10日前，</w:t>
      </w:r>
      <w:r>
        <w:rPr>
          <w:rFonts w:hint="eastAsia"/>
          <w:b/>
          <w:bCs/>
          <w:color w:val="auto"/>
          <w:highlight w:val="none"/>
          <w:lang w:val="en-US" w:eastAsia="zh-CN"/>
        </w:rPr>
        <w:t>通过</w:t>
      </w:r>
      <w:r>
        <w:rPr>
          <w:rFonts w:hint="eastAsia"/>
          <w:b/>
          <w:bCs/>
          <w:color w:val="auto"/>
          <w:highlight w:val="none"/>
        </w:rPr>
        <w:t>网上投标系统向招标人（招标代理）提出</w:t>
      </w:r>
      <w:r>
        <w:rPr>
          <w:b/>
          <w:bCs/>
          <w:color w:val="auto"/>
          <w:highlight w:val="none"/>
        </w:rPr>
        <w:t>。招标人</w:t>
      </w:r>
      <w:r>
        <w:rPr>
          <w:rFonts w:hint="eastAsia"/>
          <w:b/>
          <w:bCs/>
          <w:color w:val="auto"/>
          <w:highlight w:val="none"/>
        </w:rPr>
        <w:t>（招标代理）</w:t>
      </w:r>
      <w:r>
        <w:rPr>
          <w:rFonts w:hint="eastAsia"/>
          <w:b/>
          <w:bCs/>
          <w:color w:val="auto"/>
          <w:highlight w:val="none"/>
          <w:lang w:val="en-US" w:eastAsia="zh-CN"/>
        </w:rPr>
        <w:t>对投诉异议内容在</w:t>
      </w:r>
      <w:r>
        <w:rPr>
          <w:rFonts w:hint="eastAsia"/>
          <w:b/>
          <w:bCs/>
          <w:color w:val="auto"/>
          <w:highlight w:val="none"/>
          <w:lang w:eastAsia="zh-CN"/>
        </w:rPr>
        <w:t>浙江政府采购网</w:t>
      </w:r>
      <w:r>
        <w:rPr>
          <w:rFonts w:hint="eastAsia"/>
          <w:b/>
          <w:bCs/>
          <w:color w:val="auto"/>
          <w:highlight w:val="none"/>
          <w:lang w:val="en-US" w:eastAsia="zh-CN"/>
        </w:rPr>
        <w:t>进行答复</w:t>
      </w:r>
      <w:r>
        <w:rPr>
          <w:b/>
          <w:bCs/>
          <w:color w:val="auto"/>
          <w:highlight w:val="none"/>
        </w:rPr>
        <w:t>。如在该时间后提出问题需要澄清的，招标人</w:t>
      </w:r>
      <w:r>
        <w:rPr>
          <w:rFonts w:hint="eastAsia"/>
          <w:b/>
          <w:bCs/>
          <w:color w:val="auto"/>
          <w:highlight w:val="none"/>
        </w:rPr>
        <w:t>（招标代理）</w:t>
      </w:r>
      <w:r>
        <w:rPr>
          <w:rFonts w:hint="eastAsia"/>
          <w:b/>
          <w:bCs/>
          <w:color w:val="auto"/>
          <w:highlight w:val="none"/>
          <w:lang w:val="en-US" w:eastAsia="zh-CN"/>
        </w:rPr>
        <w:t>可以拒绝受理</w:t>
      </w:r>
      <w:r>
        <w:rPr>
          <w:b/>
          <w:bCs/>
          <w:color w:val="auto"/>
          <w:highlight w:val="none"/>
        </w:rPr>
        <w:t>。招标人及招标代理机构的任何工作人员对投标人所作的任何口头解释、介绍、答复，只能供投标人参考，对招标人无任何约束力。</w:t>
      </w:r>
      <w:r>
        <w:rPr>
          <w:rFonts w:hint="eastAsia"/>
          <w:b/>
          <w:bCs/>
          <w:color w:val="auto"/>
          <w:highlight w:val="none"/>
          <w:lang w:val="en-US" w:eastAsia="zh-CN"/>
        </w:rPr>
        <w:t>如采购代理机构对已发出的招标文件进行必要澄清、答复、修改或补充的，且</w:t>
      </w:r>
      <w:r>
        <w:rPr>
          <w:rFonts w:hint="eastAsia" w:hAnsi="宋体"/>
          <w:b/>
          <w:bCs/>
          <w:color w:val="auto"/>
          <w:highlight w:val="none"/>
        </w:rPr>
        <w:t>澄清或者修改的内容可能影响投标文件编制的，招标人</w:t>
      </w:r>
      <w:r>
        <w:rPr>
          <w:rFonts w:hint="eastAsia"/>
          <w:b/>
          <w:bCs/>
          <w:color w:val="auto"/>
          <w:highlight w:val="none"/>
        </w:rPr>
        <w:t>（招标代理）</w:t>
      </w:r>
      <w:r>
        <w:rPr>
          <w:rFonts w:hint="eastAsia" w:hAnsi="宋体"/>
          <w:b/>
          <w:bCs/>
          <w:color w:val="auto"/>
          <w:highlight w:val="none"/>
        </w:rPr>
        <w:t>应当在投标截止时间至少15日前，以招标补充文件的形式发出;不足15日的，招标人</w:t>
      </w:r>
      <w:r>
        <w:rPr>
          <w:rFonts w:hint="eastAsia"/>
          <w:b/>
          <w:bCs/>
          <w:color w:val="auto"/>
          <w:highlight w:val="none"/>
        </w:rPr>
        <w:t>（招标代理）</w:t>
      </w:r>
      <w:r>
        <w:rPr>
          <w:rFonts w:hint="eastAsia" w:hAnsi="宋体"/>
          <w:b/>
          <w:bCs/>
          <w:color w:val="auto"/>
          <w:highlight w:val="none"/>
        </w:rPr>
        <w:t>应当顺延提交投标文件的截止时间。</w:t>
      </w:r>
    </w:p>
    <w:p>
      <w:pPr>
        <w:pStyle w:val="30"/>
        <w:snapToGrid w:val="0"/>
        <w:spacing w:before="120" w:beforeLines="0" w:after="120" w:afterLines="0" w:line="360" w:lineRule="auto"/>
        <w:ind w:firstLine="480" w:firstLineChars="200"/>
        <w:rPr>
          <w:rFonts w:hAnsi="宋体"/>
          <w:color w:val="auto"/>
          <w:highlight w:val="none"/>
        </w:rPr>
      </w:pPr>
      <w:r>
        <w:rPr>
          <w:rFonts w:hAnsi="宋体"/>
          <w:color w:val="auto"/>
          <w:highlight w:val="none"/>
        </w:rPr>
        <w:t>2.代理机构必须以书面形式答复投标人要求澄清的问题，并将不包含问题来源的答复书面通知所有购买</w:t>
      </w:r>
      <w:r>
        <w:rPr>
          <w:rFonts w:hint="eastAsia" w:hAnsi="宋体"/>
          <w:color w:val="auto"/>
          <w:highlight w:val="none"/>
        </w:rPr>
        <w:t>招标文件</w:t>
      </w:r>
      <w:r>
        <w:rPr>
          <w:rFonts w:hAnsi="宋体"/>
          <w:color w:val="auto"/>
          <w:highlight w:val="none"/>
        </w:rPr>
        <w:t>的投标人；除书面答复以外的其他澄清方式及澄清内容均无效。</w:t>
      </w:r>
    </w:p>
    <w:p>
      <w:pPr>
        <w:pStyle w:val="30"/>
        <w:snapToGrid w:val="0"/>
        <w:spacing w:before="120" w:beforeLines="0" w:after="120" w:afterLines="0" w:line="360" w:lineRule="auto"/>
        <w:ind w:firstLine="480" w:firstLineChars="200"/>
        <w:rPr>
          <w:rFonts w:hAnsi="宋体"/>
          <w:color w:val="auto"/>
          <w:highlight w:val="none"/>
        </w:rPr>
      </w:pPr>
      <w:r>
        <w:rPr>
          <w:rFonts w:hAnsi="宋体"/>
          <w:color w:val="auto"/>
          <w:highlight w:val="none"/>
        </w:rPr>
        <w:t>3.</w:t>
      </w:r>
      <w:r>
        <w:rPr>
          <w:rFonts w:hint="eastAsia" w:hAnsi="宋体"/>
          <w:color w:val="auto"/>
          <w:highlight w:val="none"/>
        </w:rPr>
        <w:t>招标文件</w:t>
      </w:r>
      <w:r>
        <w:rPr>
          <w:rFonts w:hAnsi="宋体"/>
          <w:color w:val="auto"/>
          <w:highlight w:val="none"/>
        </w:rPr>
        <w:t>澄清、答复、修改、补充的内容为</w:t>
      </w:r>
      <w:r>
        <w:rPr>
          <w:rFonts w:hint="eastAsia" w:hAnsi="宋体"/>
          <w:color w:val="auto"/>
          <w:highlight w:val="none"/>
        </w:rPr>
        <w:t>招标文件</w:t>
      </w:r>
      <w:r>
        <w:rPr>
          <w:rFonts w:hAnsi="宋体"/>
          <w:color w:val="auto"/>
          <w:highlight w:val="none"/>
        </w:rPr>
        <w:t>的组成部分。当</w:t>
      </w:r>
      <w:r>
        <w:rPr>
          <w:rFonts w:hint="eastAsia" w:hAnsi="宋体"/>
          <w:color w:val="auto"/>
          <w:highlight w:val="none"/>
        </w:rPr>
        <w:t>招标文件</w:t>
      </w:r>
      <w:r>
        <w:rPr>
          <w:rFonts w:hAnsi="宋体"/>
          <w:color w:val="auto"/>
          <w:highlight w:val="none"/>
        </w:rPr>
        <w:t>与</w:t>
      </w:r>
      <w:r>
        <w:rPr>
          <w:rFonts w:hint="eastAsia" w:hAnsi="宋体"/>
          <w:color w:val="auto"/>
          <w:highlight w:val="none"/>
        </w:rPr>
        <w:t>招标文件</w:t>
      </w:r>
      <w:r>
        <w:rPr>
          <w:rFonts w:hAnsi="宋体"/>
          <w:color w:val="auto"/>
          <w:highlight w:val="none"/>
        </w:rPr>
        <w:t>的答复、澄清、修改、补充通知就同一内容的表述不一致时，以最后发出的书面文件为准。</w:t>
      </w:r>
    </w:p>
    <w:p>
      <w:pPr>
        <w:pStyle w:val="30"/>
        <w:snapToGrid w:val="0"/>
        <w:spacing w:before="120" w:beforeLines="0" w:after="120" w:afterLines="0" w:line="360" w:lineRule="auto"/>
        <w:ind w:firstLine="480" w:firstLineChars="200"/>
        <w:rPr>
          <w:rFonts w:hAnsi="宋体"/>
          <w:color w:val="auto"/>
          <w:highlight w:val="none"/>
        </w:rPr>
      </w:pPr>
      <w:r>
        <w:rPr>
          <w:rFonts w:hAnsi="宋体"/>
          <w:color w:val="auto"/>
          <w:highlight w:val="none"/>
        </w:rPr>
        <w:t>4.</w:t>
      </w:r>
      <w:r>
        <w:rPr>
          <w:rFonts w:hint="eastAsia" w:hAnsi="宋体"/>
          <w:color w:val="auto"/>
          <w:highlight w:val="none"/>
        </w:rPr>
        <w:t>招标文件</w:t>
      </w:r>
      <w:r>
        <w:rPr>
          <w:rFonts w:hAnsi="宋体"/>
          <w:color w:val="auto"/>
          <w:highlight w:val="none"/>
        </w:rPr>
        <w:t>的澄清、答复、修改或补充都应该通过本代理机构以法定形式发布，</w:t>
      </w:r>
      <w:r>
        <w:rPr>
          <w:rFonts w:hint="eastAsia" w:hAnsi="宋体"/>
          <w:color w:val="auto"/>
          <w:highlight w:val="none"/>
          <w:lang w:eastAsia="zh-CN"/>
        </w:rPr>
        <w:t>招标人</w:t>
      </w:r>
      <w:r>
        <w:rPr>
          <w:rFonts w:hAnsi="宋体"/>
          <w:color w:val="auto"/>
          <w:highlight w:val="none"/>
        </w:rPr>
        <w:t>非通过本机构，不得擅自澄清、答复、修改或补充</w:t>
      </w:r>
      <w:r>
        <w:rPr>
          <w:rFonts w:hint="eastAsia" w:hAnsi="宋体"/>
          <w:color w:val="auto"/>
          <w:highlight w:val="none"/>
        </w:rPr>
        <w:t>招标文件</w:t>
      </w:r>
      <w:r>
        <w:rPr>
          <w:rFonts w:hAnsi="宋体"/>
          <w:color w:val="auto"/>
          <w:highlight w:val="none"/>
        </w:rPr>
        <w:t>。</w:t>
      </w:r>
    </w:p>
    <w:p>
      <w:pPr>
        <w:pStyle w:val="30"/>
        <w:snapToGrid w:val="0"/>
        <w:spacing w:before="120" w:beforeLines="0" w:after="12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三、</w:t>
      </w:r>
      <w:r>
        <w:rPr>
          <w:rFonts w:hint="eastAsia" w:hAnsi="宋体"/>
          <w:b/>
          <w:color w:val="auto"/>
          <w:sz w:val="28"/>
          <w:szCs w:val="28"/>
          <w:highlight w:val="none"/>
          <w:lang w:val="en-US" w:eastAsia="zh-CN"/>
        </w:rPr>
        <w:t>投标</w:t>
      </w:r>
      <w:r>
        <w:rPr>
          <w:rFonts w:hAnsi="宋体"/>
          <w:b/>
          <w:color w:val="auto"/>
          <w:sz w:val="28"/>
          <w:szCs w:val="28"/>
          <w:highlight w:val="none"/>
        </w:rPr>
        <w:t>文件的编制</w:t>
      </w:r>
    </w:p>
    <w:p>
      <w:pPr>
        <w:snapToGrid w:val="0"/>
        <w:spacing w:line="360" w:lineRule="auto"/>
        <w:ind w:firstLine="472" w:firstLineChars="196"/>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投标文件的要求</w:t>
      </w:r>
    </w:p>
    <w:p>
      <w:pPr>
        <w:snapToGrid w:val="0"/>
        <w:spacing w:line="360" w:lineRule="auto"/>
        <w:ind w:firstLine="470" w:firstLineChars="196"/>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1、投标人应仔细阅读招标文件的所有内容，按照要求详细编制投标文件，并保证投标文件的正确性和真实性。</w:t>
      </w:r>
    </w:p>
    <w:p>
      <w:pPr>
        <w:snapToGrid w:val="0"/>
        <w:spacing w:line="360" w:lineRule="auto"/>
        <w:ind w:firstLine="470" w:firstLineChars="196"/>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2、不按招标文件的要求提供的投标文件将被拒绝。</w:t>
      </w:r>
    </w:p>
    <w:p>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二</w:t>
      </w:r>
      <w:r>
        <w:rPr>
          <w:rFonts w:hint="eastAsia" w:ascii="宋体" w:hAnsi="宋体"/>
          <w:b/>
          <w:color w:val="auto"/>
          <w:sz w:val="24"/>
          <w:highlight w:val="none"/>
        </w:rPr>
        <w:t>）</w:t>
      </w:r>
      <w:r>
        <w:rPr>
          <w:rFonts w:hint="eastAsia" w:ascii="宋体" w:hAnsi="宋体"/>
          <w:b/>
          <w:color w:val="auto"/>
          <w:sz w:val="24"/>
          <w:highlight w:val="none"/>
          <w:lang w:val="en-US" w:eastAsia="zh-CN"/>
        </w:rPr>
        <w:t>投标</w:t>
      </w:r>
      <w:r>
        <w:rPr>
          <w:rFonts w:hint="eastAsia" w:ascii="宋体" w:hAnsi="宋体"/>
          <w:b/>
          <w:color w:val="auto"/>
          <w:sz w:val="24"/>
          <w:highlight w:val="none"/>
        </w:rPr>
        <w:t>文件的组成</w:t>
      </w:r>
    </w:p>
    <w:p>
      <w:pPr>
        <w:snapToGrid w:val="0"/>
        <w:spacing w:line="360" w:lineRule="auto"/>
        <w:ind w:firstLine="482" w:firstLineChars="200"/>
        <w:jc w:val="left"/>
        <w:rPr>
          <w:rFonts w:ascii="宋体" w:hAnsi="宋体"/>
          <w:b/>
          <w:bCs/>
          <w:color w:val="auto"/>
          <w:sz w:val="24"/>
          <w:szCs w:val="20"/>
          <w:highlight w:val="none"/>
        </w:rPr>
      </w:pPr>
      <w:r>
        <w:rPr>
          <w:rFonts w:hint="eastAsia" w:ascii="宋体" w:hAnsi="宋体"/>
          <w:b/>
          <w:bCs/>
          <w:color w:val="auto"/>
          <w:sz w:val="24"/>
          <w:szCs w:val="20"/>
          <w:highlight w:val="none"/>
        </w:rPr>
        <w:t>投标人接到招标文件后，按照</w:t>
      </w:r>
      <w:r>
        <w:rPr>
          <w:rFonts w:hint="eastAsia" w:ascii="宋体" w:hAnsi="宋体"/>
          <w:b/>
          <w:bCs/>
          <w:color w:val="auto"/>
          <w:sz w:val="24"/>
          <w:szCs w:val="20"/>
          <w:highlight w:val="none"/>
          <w:lang w:val="en-US" w:eastAsia="zh-CN"/>
        </w:rPr>
        <w:t>招标人</w:t>
      </w:r>
      <w:r>
        <w:rPr>
          <w:rFonts w:hint="eastAsia" w:ascii="宋体" w:hAnsi="宋体"/>
          <w:b/>
          <w:bCs/>
          <w:color w:val="auto"/>
          <w:sz w:val="24"/>
          <w:szCs w:val="20"/>
          <w:highlight w:val="none"/>
        </w:rPr>
        <w:t>的要求提供：</w:t>
      </w:r>
      <w:r>
        <w:rPr>
          <w:rFonts w:hint="eastAsia" w:ascii="宋体" w:hAnsi="宋体"/>
          <w:b/>
          <w:bCs/>
          <w:color w:val="auto"/>
          <w:sz w:val="24"/>
          <w:szCs w:val="20"/>
          <w:highlight w:val="none"/>
          <w:lang w:eastAsia="zh-CN"/>
        </w:rPr>
        <w:t>资格标、</w:t>
      </w:r>
      <w:r>
        <w:rPr>
          <w:rFonts w:hint="eastAsia" w:ascii="宋体" w:hAnsi="宋体"/>
          <w:b/>
          <w:bCs/>
          <w:color w:val="auto"/>
          <w:sz w:val="24"/>
          <w:szCs w:val="20"/>
          <w:highlight w:val="none"/>
        </w:rPr>
        <w:t>商务标</w:t>
      </w:r>
      <w:r>
        <w:rPr>
          <w:rFonts w:hint="eastAsia" w:ascii="宋体" w:hAnsi="宋体"/>
          <w:b/>
          <w:bCs/>
          <w:color w:val="auto"/>
          <w:sz w:val="24"/>
          <w:szCs w:val="20"/>
          <w:highlight w:val="none"/>
          <w:lang w:eastAsia="zh-CN"/>
        </w:rPr>
        <w:t>、技术</w:t>
      </w:r>
      <w:r>
        <w:rPr>
          <w:rFonts w:hint="eastAsia" w:ascii="宋体" w:hAnsi="宋体"/>
          <w:b/>
          <w:bCs/>
          <w:color w:val="auto"/>
          <w:sz w:val="24"/>
          <w:szCs w:val="20"/>
          <w:highlight w:val="none"/>
          <w:lang w:val="en-US" w:eastAsia="zh-CN"/>
        </w:rPr>
        <w:t>标</w:t>
      </w:r>
      <w:r>
        <w:rPr>
          <w:rFonts w:hint="eastAsia" w:ascii="宋体" w:hAnsi="宋体"/>
          <w:b/>
          <w:bCs/>
          <w:color w:val="auto"/>
          <w:sz w:val="24"/>
          <w:szCs w:val="20"/>
          <w:highlight w:val="none"/>
        </w:rPr>
        <w:t>。</w:t>
      </w:r>
    </w:p>
    <w:p>
      <w:pPr>
        <w:numPr>
          <w:ilvl w:val="0"/>
          <w:numId w:val="0"/>
        </w:numPr>
        <w:tabs>
          <w:tab w:val="left" w:pos="312"/>
        </w:tabs>
        <w:autoSpaceDE/>
        <w:autoSpaceDN/>
        <w:adjustRightInd/>
        <w:spacing w:line="360" w:lineRule="auto"/>
        <w:ind w:left="0"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.资格</w:t>
      </w:r>
      <w:r>
        <w:rPr>
          <w:rFonts w:hint="eastAsia" w:ascii="宋体" w:hAnsi="宋体" w:eastAsia="宋体" w:cs="宋体"/>
          <w:b/>
          <w:color w:val="auto"/>
          <w:sz w:val="24"/>
          <w:szCs w:val="24"/>
          <w:highlight w:val="none"/>
          <w:lang w:val="en-US" w:eastAsia="zh-CN"/>
        </w:rPr>
        <w:t>标</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（1）诚信投标承诺书（格式见附件）</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）法定代表人身份证</w:t>
      </w:r>
      <w:r>
        <w:rPr>
          <w:rFonts w:hint="eastAsia" w:ascii="宋体" w:hAnsi="宋体" w:cs="宋体"/>
          <w:b/>
          <w:color w:val="auto"/>
          <w:sz w:val="24"/>
          <w:szCs w:val="24"/>
          <w:highlight w:val="none"/>
          <w:lang w:val="en-US" w:eastAsia="zh-CN"/>
        </w:rPr>
        <w:t>明</w:t>
      </w:r>
      <w:r>
        <w:rPr>
          <w:rFonts w:hint="eastAsia" w:ascii="宋体" w:hAnsi="宋体" w:eastAsia="宋体" w:cs="宋体"/>
          <w:b/>
          <w:color w:val="auto"/>
          <w:sz w:val="24"/>
          <w:szCs w:val="24"/>
          <w:highlight w:val="none"/>
          <w:lang w:eastAsia="zh-CN"/>
        </w:rPr>
        <w:t>或授权委托书（格式见附件）；</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）如为代理商须提供制造商对本项目的唯一授权证书；</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）有效的营业执照</w:t>
      </w:r>
      <w:r>
        <w:rPr>
          <w:rFonts w:hint="eastAsia" w:ascii="宋体" w:hAnsi="宋体" w:eastAsia="宋体" w:cs="宋体"/>
          <w:b/>
          <w:color w:val="auto"/>
          <w:sz w:val="24"/>
          <w:szCs w:val="24"/>
          <w:highlight w:val="none"/>
          <w:lang w:val="en-US" w:eastAsia="zh-CN"/>
        </w:rPr>
        <w:t>扫描件</w:t>
      </w:r>
      <w:r>
        <w:rPr>
          <w:rFonts w:hint="eastAsia" w:ascii="宋体" w:hAnsi="宋体" w:eastAsia="宋体" w:cs="宋体"/>
          <w:b/>
          <w:color w:val="auto"/>
          <w:sz w:val="24"/>
          <w:szCs w:val="24"/>
          <w:highlight w:val="none"/>
          <w:lang w:eastAsia="zh-CN"/>
        </w:rPr>
        <w:t>；</w:t>
      </w:r>
    </w:p>
    <w:p>
      <w:pPr>
        <w:numPr>
          <w:ilvl w:val="0"/>
          <w:numId w:val="0"/>
        </w:numPr>
        <w:autoSpaceDE w:val="0"/>
        <w:autoSpaceDN w:val="0"/>
        <w:adjustRightInd w:val="0"/>
        <w:spacing w:line="360" w:lineRule="auto"/>
        <w:ind w:left="0" w:leftChars="0"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投标人、法定代表人近三年无行贿犯罪记录承诺；</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lang w:val="en-US" w:eastAsia="zh-CN"/>
        </w:rPr>
        <w:t>）“信用中国”查询记录；</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）投标人认为可以证明自身实力的其他相关材料（如有）。</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2.技术标</w:t>
      </w:r>
    </w:p>
    <w:p>
      <w:pPr>
        <w:numPr>
          <w:ilvl w:val="0"/>
          <w:numId w:val="0"/>
        </w:numPr>
        <w:autoSpaceDE w:val="0"/>
        <w:autoSpaceDN w:val="0"/>
        <w:adjustRightInd w:val="0"/>
        <w:spacing w:line="360" w:lineRule="auto"/>
        <w:ind w:left="480" w:left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1</w:t>
      </w:r>
      <w:r>
        <w:rPr>
          <w:rFonts w:hint="eastAsia" w:ascii="宋体" w:hAnsi="宋体" w:eastAsia="宋体" w:cs="宋体"/>
          <w:b/>
          <w:color w:val="auto"/>
          <w:kern w:val="2"/>
          <w:sz w:val="24"/>
          <w:szCs w:val="24"/>
          <w:highlight w:val="none"/>
          <w:lang w:val="en-US" w:eastAsia="zh-CN" w:bidi="ar-SA"/>
        </w:rPr>
        <w:t>）技术方案（由</w:t>
      </w:r>
      <w:r>
        <w:rPr>
          <w:rFonts w:hint="eastAsia" w:ascii="宋体" w:hAnsi="宋体" w:cs="宋体"/>
          <w:b/>
          <w:color w:val="auto"/>
          <w:kern w:val="2"/>
          <w:sz w:val="24"/>
          <w:szCs w:val="24"/>
          <w:highlight w:val="none"/>
          <w:lang w:val="en-US" w:eastAsia="zh-CN" w:bidi="ar-SA"/>
        </w:rPr>
        <w:t>投标人</w:t>
      </w:r>
      <w:r>
        <w:rPr>
          <w:rFonts w:hint="eastAsia" w:ascii="宋体" w:hAnsi="宋体" w:eastAsia="宋体" w:cs="宋体"/>
          <w:b/>
          <w:color w:val="auto"/>
          <w:kern w:val="2"/>
          <w:sz w:val="24"/>
          <w:szCs w:val="24"/>
          <w:highlight w:val="none"/>
          <w:lang w:val="en-US" w:eastAsia="zh-CN" w:bidi="ar-SA"/>
        </w:rPr>
        <w:t>根据</w:t>
      </w:r>
      <w:r>
        <w:rPr>
          <w:rFonts w:hint="eastAsia" w:ascii="宋体" w:hAnsi="宋体" w:cs="宋体"/>
          <w:b/>
          <w:color w:val="auto"/>
          <w:kern w:val="2"/>
          <w:sz w:val="24"/>
          <w:szCs w:val="24"/>
          <w:highlight w:val="none"/>
          <w:lang w:val="en-US" w:eastAsia="zh-CN" w:bidi="ar-SA"/>
        </w:rPr>
        <w:t>招标需求</w:t>
      </w:r>
      <w:r>
        <w:rPr>
          <w:rFonts w:hint="eastAsia" w:ascii="宋体" w:hAnsi="宋体" w:eastAsia="宋体" w:cs="宋体"/>
          <w:b/>
          <w:color w:val="auto"/>
          <w:kern w:val="2"/>
          <w:sz w:val="24"/>
          <w:szCs w:val="24"/>
          <w:highlight w:val="none"/>
          <w:lang w:val="en-US" w:eastAsia="zh-CN" w:bidi="ar-SA"/>
        </w:rPr>
        <w:t>和评标办法自行拟定）</w:t>
      </w:r>
    </w:p>
    <w:p>
      <w:pPr>
        <w:numPr>
          <w:ilvl w:val="0"/>
          <w:numId w:val="0"/>
        </w:numPr>
        <w:autoSpaceDE w:val="0"/>
        <w:autoSpaceDN w:val="0"/>
        <w:adjustRightInd w:val="0"/>
        <w:spacing w:line="360" w:lineRule="auto"/>
        <w:ind w:left="48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2</w:t>
      </w:r>
      <w:r>
        <w:rPr>
          <w:rFonts w:hint="eastAsia" w:ascii="宋体" w:hAnsi="宋体" w:eastAsia="宋体" w:cs="宋体"/>
          <w:b/>
          <w:color w:val="auto"/>
          <w:kern w:val="2"/>
          <w:sz w:val="24"/>
          <w:szCs w:val="24"/>
          <w:highlight w:val="none"/>
          <w:lang w:val="en-US" w:eastAsia="zh-CN" w:bidi="ar-SA"/>
        </w:rPr>
        <w:t>）技术规格、条款偏离表</w:t>
      </w:r>
      <w:r>
        <w:rPr>
          <w:rFonts w:hint="eastAsia" w:ascii="宋体" w:hAnsi="宋体" w:eastAsia="宋体" w:cs="宋体"/>
          <w:b/>
          <w:color w:val="auto"/>
          <w:sz w:val="24"/>
          <w:szCs w:val="24"/>
          <w:highlight w:val="none"/>
          <w:lang w:val="en-US" w:eastAsia="zh-CN"/>
        </w:rPr>
        <w:t>（格式见附件）；</w:t>
      </w:r>
    </w:p>
    <w:p>
      <w:pPr>
        <w:numPr>
          <w:ilvl w:val="0"/>
          <w:numId w:val="0"/>
        </w:numPr>
        <w:autoSpaceDE w:val="0"/>
        <w:autoSpaceDN w:val="0"/>
        <w:adjustRightInd w:val="0"/>
        <w:spacing w:line="360" w:lineRule="auto"/>
        <w:ind w:left="480" w:leftChars="0"/>
        <w:rPr>
          <w:rFonts w:hint="eastAsia"/>
          <w:color w:val="auto"/>
          <w:highlight w:val="none"/>
          <w:lang w:val="en-US" w:eastAsia="zh-CN"/>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3</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bCs/>
          <w:color w:val="auto"/>
          <w:sz w:val="24"/>
          <w:highlight w:val="none"/>
          <w:lang w:val="en-US" w:eastAsia="zh-CN"/>
        </w:rPr>
        <w:t>备品备件清单</w:t>
      </w:r>
      <w:r>
        <w:rPr>
          <w:rFonts w:hint="eastAsia" w:ascii="宋体" w:hAnsi="宋体" w:eastAsia="宋体" w:cs="宋体"/>
          <w:b/>
          <w:color w:val="auto"/>
          <w:sz w:val="24"/>
          <w:szCs w:val="24"/>
          <w:highlight w:val="none"/>
          <w:lang w:val="en-US" w:eastAsia="zh-CN"/>
        </w:rPr>
        <w:t>（格式见附件）</w:t>
      </w:r>
      <w:r>
        <w:rPr>
          <w:rFonts w:hint="eastAsia"/>
          <w:color w:val="auto"/>
          <w:highlight w:val="none"/>
          <w:lang w:val="en-US" w:eastAsia="zh-CN"/>
        </w:rPr>
        <w:t>；</w:t>
      </w:r>
    </w:p>
    <w:p>
      <w:pPr>
        <w:numPr>
          <w:ilvl w:val="0"/>
          <w:numId w:val="0"/>
        </w:numPr>
        <w:autoSpaceDE w:val="0"/>
        <w:autoSpaceDN w:val="0"/>
        <w:adjustRightInd w:val="0"/>
        <w:spacing w:line="360" w:lineRule="auto"/>
        <w:ind w:left="480" w:left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w:t>
      </w:r>
      <w:r>
        <w:rPr>
          <w:rFonts w:hint="eastAsia" w:ascii="宋体" w:hAnsi="宋体" w:cs="宋体"/>
          <w:b/>
          <w:color w:val="auto"/>
          <w:kern w:val="2"/>
          <w:sz w:val="24"/>
          <w:szCs w:val="24"/>
          <w:highlight w:val="none"/>
          <w:lang w:val="en-US" w:eastAsia="zh-CN" w:bidi="ar-SA"/>
        </w:rPr>
        <w:t>4</w:t>
      </w:r>
      <w:r>
        <w:rPr>
          <w:rFonts w:hint="eastAsia" w:ascii="宋体" w:hAnsi="宋体" w:eastAsia="宋体" w:cs="宋体"/>
          <w:b/>
          <w:color w:val="auto"/>
          <w:kern w:val="2"/>
          <w:sz w:val="24"/>
          <w:szCs w:val="24"/>
          <w:highlight w:val="none"/>
          <w:lang w:val="en-US" w:eastAsia="zh-CN" w:bidi="ar-SA"/>
        </w:rPr>
        <w:t>）质保期及售后服务承诺函</w:t>
      </w:r>
      <w:r>
        <w:rPr>
          <w:rFonts w:hint="eastAsia" w:ascii="宋体" w:hAnsi="宋体" w:eastAsia="宋体" w:cs="宋体"/>
          <w:b/>
          <w:color w:val="auto"/>
          <w:sz w:val="24"/>
          <w:szCs w:val="24"/>
          <w:highlight w:val="none"/>
          <w:lang w:val="en-US" w:eastAsia="zh-CN"/>
        </w:rPr>
        <w:t>（格式见附件）</w:t>
      </w:r>
      <w:r>
        <w:rPr>
          <w:rFonts w:hint="eastAsia" w:ascii="宋体" w:hAnsi="宋体" w:eastAsia="宋体" w:cs="宋体"/>
          <w:b/>
          <w:bCs/>
          <w:color w:val="auto"/>
          <w:sz w:val="24"/>
          <w:highlight w:val="none"/>
          <w:lang w:val="en-US" w:eastAsia="zh-CN"/>
        </w:rPr>
        <w:t>；</w:t>
      </w:r>
    </w:p>
    <w:p>
      <w:pPr>
        <w:autoSpaceDE w:val="0"/>
        <w:autoSpaceDN w:val="0"/>
        <w:adjustRightIn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）符合招标文件规定的其他证明文件及评分标准中涉及的其他材料</w:t>
      </w:r>
      <w:r>
        <w:rPr>
          <w:rFonts w:hint="eastAsia" w:ascii="宋体" w:hAnsi="宋体" w:eastAsia="宋体" w:cs="宋体"/>
          <w:b/>
          <w:color w:val="auto"/>
          <w:sz w:val="24"/>
          <w:szCs w:val="24"/>
          <w:highlight w:val="none"/>
        </w:rPr>
        <w:t>。</w:t>
      </w:r>
    </w:p>
    <w:p>
      <w:pPr>
        <w:autoSpaceDE w:val="0"/>
        <w:autoSpaceDN w:val="0"/>
        <w:adjustRightIn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商务标</w:t>
      </w:r>
    </w:p>
    <w:p>
      <w:pPr>
        <w:autoSpaceDE w:val="0"/>
        <w:autoSpaceDN w:val="0"/>
        <w:adjustRightIn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开标一览表</w:t>
      </w:r>
      <w:r>
        <w:rPr>
          <w:rFonts w:hint="eastAsia" w:ascii="宋体" w:hAnsi="宋体" w:eastAsia="宋体" w:cs="宋体"/>
          <w:b/>
          <w:color w:val="auto"/>
          <w:sz w:val="24"/>
          <w:szCs w:val="24"/>
          <w:highlight w:val="none"/>
        </w:rPr>
        <w:t>（格式见附件）；</w:t>
      </w:r>
    </w:p>
    <w:p>
      <w:pPr>
        <w:autoSpaceDE w:val="0"/>
        <w:autoSpaceDN w:val="0"/>
        <w:adjustRightInd w:val="0"/>
        <w:spacing w:line="360" w:lineRule="auto"/>
        <w:ind w:left="48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2）投标报价明细</w:t>
      </w:r>
      <w:r>
        <w:rPr>
          <w:rFonts w:hint="eastAsia" w:ascii="宋体" w:hAnsi="宋体" w:cs="宋体"/>
          <w:b/>
          <w:color w:val="auto"/>
          <w:sz w:val="24"/>
          <w:szCs w:val="24"/>
          <w:highlight w:val="none"/>
          <w:lang w:val="en-US" w:eastAsia="zh-CN"/>
        </w:rPr>
        <w:t>表</w:t>
      </w:r>
      <w:r>
        <w:rPr>
          <w:rFonts w:hint="eastAsia" w:ascii="宋体" w:hAnsi="宋体" w:eastAsia="宋体" w:cs="宋体"/>
          <w:b/>
          <w:color w:val="auto"/>
          <w:sz w:val="24"/>
          <w:szCs w:val="24"/>
          <w:highlight w:val="none"/>
        </w:rPr>
        <w:t>（格式见附件）</w:t>
      </w:r>
      <w:r>
        <w:rPr>
          <w:rFonts w:hint="eastAsia" w:ascii="宋体" w:hAnsi="宋体" w:eastAsia="宋体" w:cs="宋体"/>
          <w:b/>
          <w:color w:val="auto"/>
          <w:sz w:val="24"/>
          <w:szCs w:val="24"/>
          <w:highlight w:val="none"/>
          <w:lang w:eastAsia="zh-CN"/>
        </w:rPr>
        <w:t>；</w:t>
      </w:r>
    </w:p>
    <w:p>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三</w:t>
      </w:r>
      <w:r>
        <w:rPr>
          <w:rFonts w:hint="eastAsia" w:ascii="宋体" w:hAnsi="宋体"/>
          <w:b/>
          <w:color w:val="auto"/>
          <w:sz w:val="24"/>
          <w:highlight w:val="none"/>
        </w:rPr>
        <w:t>）</w:t>
      </w:r>
      <w:r>
        <w:rPr>
          <w:rFonts w:hint="eastAsia" w:ascii="宋体" w:hAnsi="宋体"/>
          <w:b/>
          <w:color w:val="auto"/>
          <w:sz w:val="24"/>
          <w:highlight w:val="none"/>
          <w:lang w:val="en-US" w:eastAsia="zh-CN"/>
        </w:rPr>
        <w:t>投标</w:t>
      </w:r>
      <w:r>
        <w:rPr>
          <w:rFonts w:hint="eastAsia" w:ascii="宋体" w:hAnsi="宋体"/>
          <w:b/>
          <w:color w:val="auto"/>
          <w:sz w:val="24"/>
          <w:highlight w:val="none"/>
        </w:rPr>
        <w:t>文件的语言及计量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1、投标文件以及投标人与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就有关投标事宜的所有来往函电，均应以中文汉语书写。除签名、盖章、专用名称等特殊情形外，以中文汉语以外的文字表述的投标文件视同未提供。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四</w:t>
      </w:r>
      <w:r>
        <w:rPr>
          <w:rFonts w:hint="eastAsia" w:ascii="宋体" w:hAnsi="宋体"/>
          <w:b/>
          <w:color w:val="auto"/>
          <w:sz w:val="24"/>
          <w:highlight w:val="none"/>
        </w:rPr>
        <w:t>）投标报价</w:t>
      </w:r>
    </w:p>
    <w:p>
      <w:pPr>
        <w:pStyle w:val="30"/>
        <w:spacing w:before="120" w:after="12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pPr>
        <w:pStyle w:val="30"/>
        <w:spacing w:before="120"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1投标报价应按招标文件中相关附表格式填写。</w:t>
      </w:r>
    </w:p>
    <w:p>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投标报价应是招标文件所确定的招标范围内全部工作内容的价格表现。其应包括</w:t>
      </w:r>
      <w:r>
        <w:rPr>
          <w:rFonts w:hint="eastAsia" w:ascii="宋体" w:hAnsi="宋体" w:eastAsia="宋体" w:cs="宋体"/>
          <w:bCs/>
          <w:color w:val="auto"/>
          <w:sz w:val="24"/>
          <w:szCs w:val="24"/>
          <w:highlight w:val="none"/>
          <w:lang w:eastAsia="zh-CN"/>
        </w:rPr>
        <w:t>耗材（包括油耗、机械损耗等）、</w:t>
      </w:r>
      <w:r>
        <w:rPr>
          <w:rFonts w:hint="eastAsia" w:ascii="宋体" w:hAnsi="宋体" w:eastAsia="宋体" w:cs="宋体"/>
          <w:color w:val="auto"/>
          <w:sz w:val="24"/>
          <w:szCs w:val="24"/>
          <w:highlight w:val="none"/>
        </w:rPr>
        <w:t>灯杆开模、生产、制造、</w:t>
      </w:r>
      <w:r>
        <w:rPr>
          <w:rFonts w:hint="eastAsia" w:ascii="宋体" w:hAnsi="宋体" w:cs="宋体"/>
          <w:color w:val="auto"/>
          <w:sz w:val="24"/>
          <w:szCs w:val="24"/>
          <w:highlight w:val="none"/>
          <w:lang w:val="en-US" w:eastAsia="zh-CN"/>
        </w:rPr>
        <w:t>设计、配件、制作工艺、包装、保管、调试、验收、送检费、售后、质保期维修费、</w:t>
      </w:r>
      <w:r>
        <w:rPr>
          <w:rFonts w:hint="eastAsia" w:ascii="宋体" w:hAnsi="宋体" w:eastAsia="宋体" w:cs="宋体"/>
          <w:color w:val="auto"/>
          <w:sz w:val="24"/>
          <w:szCs w:val="24"/>
          <w:highlight w:val="none"/>
        </w:rPr>
        <w:t>运输、装卸、</w:t>
      </w:r>
      <w:r>
        <w:rPr>
          <w:rFonts w:hint="eastAsia" w:ascii="宋体" w:hAnsi="宋体" w:eastAsia="宋体" w:cs="宋体"/>
          <w:bCs/>
          <w:color w:val="auto"/>
          <w:sz w:val="24"/>
          <w:szCs w:val="24"/>
          <w:highlight w:val="none"/>
          <w:lang w:eastAsia="zh-CN"/>
        </w:rPr>
        <w:t>管理、进退场费、人工、保险、验收（含第三方验收）、技术服务、风险、利润、</w:t>
      </w:r>
      <w:r>
        <w:rPr>
          <w:rFonts w:hint="eastAsia" w:ascii="宋体" w:hAnsi="宋体" w:eastAsia="宋体" w:cs="宋体"/>
          <w:bCs/>
          <w:color w:val="auto"/>
          <w:sz w:val="24"/>
          <w:szCs w:val="24"/>
          <w:highlight w:val="none"/>
          <w:lang w:val="en-US" w:eastAsia="zh-CN"/>
        </w:rPr>
        <w:t>税金、</w:t>
      </w:r>
      <w:r>
        <w:rPr>
          <w:rFonts w:hint="eastAsia" w:ascii="宋体" w:hAnsi="宋体" w:eastAsia="宋体" w:cs="宋体"/>
          <w:color w:val="auto"/>
          <w:sz w:val="24"/>
          <w:szCs w:val="24"/>
          <w:highlight w:val="none"/>
        </w:rPr>
        <w:t>完成合同所需的一切本身和不可或缺的所有工作开支、政策性文件规定及合同包含的所有风险、责任等各项全部费用</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如有漏项，视同已包含在其总项目中。</w:t>
      </w:r>
      <w:r>
        <w:rPr>
          <w:rFonts w:hint="eastAsia" w:ascii="宋体" w:hAnsi="宋体" w:eastAsia="宋体" w:cs="宋体"/>
          <w:bCs/>
          <w:color w:val="auto"/>
          <w:sz w:val="24"/>
          <w:szCs w:val="24"/>
          <w:highlight w:val="none"/>
        </w:rPr>
        <w:t>投标人应根据上述因素自行考虑含入投标价格。结算时，</w:t>
      </w:r>
      <w:r>
        <w:rPr>
          <w:rFonts w:hint="eastAsia" w:ascii="宋体" w:hAnsi="宋体" w:cs="宋体"/>
          <w:bCs/>
          <w:color w:val="auto"/>
          <w:sz w:val="24"/>
          <w:szCs w:val="24"/>
          <w:highlight w:val="none"/>
          <w:lang w:eastAsia="zh-CN"/>
        </w:rPr>
        <w:t>中标人</w:t>
      </w:r>
      <w:r>
        <w:rPr>
          <w:rFonts w:hint="eastAsia" w:ascii="宋体" w:hAnsi="宋体" w:cs="宋体"/>
          <w:color w:val="auto"/>
          <w:sz w:val="24"/>
          <w:highlight w:val="none"/>
        </w:rPr>
        <w:t>在全费用综合单价不变的前提下</w:t>
      </w:r>
      <w:r>
        <w:rPr>
          <w:rFonts w:hint="eastAsia" w:ascii="宋体" w:hAnsi="宋体" w:cs="宋体"/>
          <w:color w:val="auto"/>
          <w:sz w:val="24"/>
          <w:highlight w:val="none"/>
          <w:lang w:eastAsia="zh-CN"/>
        </w:rPr>
        <w:t>，</w:t>
      </w:r>
      <w:r>
        <w:rPr>
          <w:rFonts w:hint="eastAsia" w:ascii="宋体" w:hAnsi="宋体" w:eastAsia="宋体" w:cs="宋体"/>
          <w:bCs/>
          <w:color w:val="auto"/>
          <w:sz w:val="24"/>
          <w:szCs w:val="24"/>
          <w:highlight w:val="none"/>
        </w:rPr>
        <w:t>根据完成的实际工作量按实结</w:t>
      </w:r>
      <w:r>
        <w:rPr>
          <w:rFonts w:hint="eastAsia" w:ascii="宋体" w:hAnsi="宋体" w:eastAsia="宋体" w:cs="宋体"/>
          <w:bCs/>
          <w:color w:val="auto"/>
          <w:sz w:val="24"/>
          <w:szCs w:val="24"/>
          <w:highlight w:val="none"/>
          <w:lang w:val="en-US" w:eastAsia="zh-CN"/>
        </w:rPr>
        <w:t>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不接受任何选择报价，对每一种货物只允许一个报价。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要求分项报价是为了方便评标，但在任何情况下不限制</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以其认为最合适的条款、条件签订合同的权利。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5、投标人所报的投标价在合同执行过程中是固定不变的，不得以任何理由予以变更</w:t>
      </w:r>
      <w:r>
        <w:rPr>
          <w:rFonts w:hint="eastAsia" w:ascii="宋体" w:hAnsi="宋体" w:eastAsia="宋体" w:cs="宋体"/>
          <w:color w:val="auto"/>
          <w:sz w:val="24"/>
          <w:szCs w:val="24"/>
          <w:highlight w:val="none"/>
          <w:lang w:eastAsia="zh-CN"/>
        </w:rPr>
        <w:t>（除招标文件中另有说明的外）</w:t>
      </w:r>
      <w:r>
        <w:rPr>
          <w:rFonts w:hint="eastAsia" w:ascii="宋体" w:hAnsi="宋体" w:eastAsia="宋体" w:cs="宋体"/>
          <w:color w:val="auto"/>
          <w:sz w:val="24"/>
          <w:szCs w:val="24"/>
          <w:highlight w:val="none"/>
        </w:rPr>
        <w:t>。任何包含价格调整的要求，将被认为是非实质性响应投标而予以拒绝。</w:t>
      </w:r>
    </w:p>
    <w:p>
      <w:pPr>
        <w:pStyle w:val="16"/>
        <w:widowControl w:val="0"/>
        <w:tabs>
          <w:tab w:val="clear" w:pos="454"/>
          <w:tab w:val="clear" w:pos="900"/>
        </w:tabs>
        <w:snapToGrid w:val="0"/>
        <w:spacing w:before="120" w:beforeLines="50" w:after="120" w:afterLines="0" w:line="360" w:lineRule="auto"/>
        <w:ind w:left="0" w:firstLine="470" w:firstLineChars="196"/>
        <w:rPr>
          <w:rFonts w:hint="eastAsia" w:ascii="宋体" w:hAnsi="宋体"/>
          <w:bCs/>
          <w:color w:val="auto"/>
          <w:szCs w:val="24"/>
          <w:highlight w:val="none"/>
        </w:rPr>
      </w:pPr>
      <w:r>
        <w:rPr>
          <w:rFonts w:hint="eastAsia" w:ascii="宋体" w:hAnsi="宋体" w:eastAsia="宋体" w:cs="宋体"/>
          <w:color w:val="auto"/>
          <w:sz w:val="24"/>
          <w:szCs w:val="24"/>
          <w:highlight w:val="none"/>
        </w:rPr>
        <w:t>6、相关报价单用不</w:t>
      </w:r>
      <w:r>
        <w:rPr>
          <w:rFonts w:hint="eastAsia" w:ascii="宋体" w:hAnsi="宋体" w:eastAsia="宋体" w:cs="宋体"/>
          <w:color w:val="auto"/>
          <w:sz w:val="24"/>
          <w:szCs w:val="24"/>
          <w:highlight w:val="none"/>
          <w:lang w:val="en-US" w:eastAsia="zh-CN"/>
        </w:rPr>
        <w:t>褪色</w:t>
      </w:r>
      <w:r>
        <w:rPr>
          <w:rFonts w:hint="eastAsia" w:ascii="宋体" w:hAnsi="宋体" w:eastAsia="宋体" w:cs="宋体"/>
          <w:color w:val="auto"/>
          <w:sz w:val="24"/>
          <w:szCs w:val="24"/>
          <w:highlight w:val="none"/>
        </w:rPr>
        <w:t>的墨水填写， 投标报价单不得涂改和增删，如有错漏必须修改，修改处须由同一签署人签字或盖章。由于字迹模糊或表达不清引起的后果由投标人负责。</w:t>
      </w:r>
    </w:p>
    <w:p>
      <w:pPr>
        <w:pStyle w:val="16"/>
        <w:widowControl w:val="0"/>
        <w:tabs>
          <w:tab w:val="clear" w:pos="454"/>
          <w:tab w:val="clear" w:pos="900"/>
        </w:tabs>
        <w:snapToGrid w:val="0"/>
        <w:spacing w:before="120" w:beforeLines="50" w:after="120"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w:t>
      </w:r>
      <w:r>
        <w:rPr>
          <w:rFonts w:hint="eastAsia" w:ascii="宋体" w:hAnsi="宋体"/>
          <w:b/>
          <w:color w:val="auto"/>
          <w:szCs w:val="24"/>
          <w:highlight w:val="none"/>
          <w:lang w:eastAsia="zh-CN"/>
        </w:rPr>
        <w:t>投标文件</w:t>
      </w:r>
      <w:r>
        <w:rPr>
          <w:rFonts w:hint="eastAsia" w:ascii="宋体" w:hAnsi="宋体"/>
          <w:b/>
          <w:color w:val="auto"/>
          <w:szCs w:val="24"/>
          <w:highlight w:val="none"/>
        </w:rPr>
        <w:t>的有效期</w:t>
      </w:r>
    </w:p>
    <w:p>
      <w:pPr>
        <w:pStyle w:val="16"/>
        <w:widowControl w:val="0"/>
        <w:tabs>
          <w:tab w:val="clear" w:pos="454"/>
          <w:tab w:val="clear" w:pos="900"/>
        </w:tabs>
        <w:snapToGrid w:val="0"/>
        <w:spacing w:after="120" w:afterLines="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ascii="宋体" w:hAnsi="宋体"/>
          <w:color w:val="auto"/>
          <w:szCs w:val="24"/>
          <w:highlight w:val="none"/>
          <w:u w:val="single"/>
        </w:rPr>
        <w:t xml:space="preserve"> </w:t>
      </w:r>
      <w:r>
        <w:rPr>
          <w:rFonts w:hint="eastAsia" w:ascii="宋体" w:hAnsi="宋体"/>
          <w:color w:val="auto"/>
          <w:szCs w:val="24"/>
          <w:highlight w:val="none"/>
          <w:u w:val="single"/>
        </w:rPr>
        <w:t>90</w:t>
      </w:r>
      <w:r>
        <w:rPr>
          <w:rFonts w:ascii="宋体" w:hAnsi="宋体"/>
          <w:color w:val="auto"/>
          <w:szCs w:val="24"/>
          <w:highlight w:val="none"/>
        </w:rPr>
        <w:t>天</w:t>
      </w:r>
      <w:r>
        <w:rPr>
          <w:rFonts w:hint="eastAsia" w:ascii="宋体" w:hAnsi="宋体"/>
          <w:color w:val="auto"/>
          <w:szCs w:val="24"/>
          <w:highlight w:val="none"/>
          <w:lang w:eastAsia="zh-CN"/>
        </w:rPr>
        <w:t>投标文件</w:t>
      </w:r>
      <w:r>
        <w:rPr>
          <w:rFonts w:ascii="宋体" w:hAnsi="宋体"/>
          <w:color w:val="auto"/>
          <w:szCs w:val="24"/>
          <w:highlight w:val="none"/>
        </w:rPr>
        <w:t>应保持有效。</w:t>
      </w:r>
      <w:r>
        <w:rPr>
          <w:rFonts w:hint="eastAsia" w:ascii="宋体" w:hAnsi="宋体" w:cs="宋体"/>
          <w:color w:val="auto"/>
          <w:sz w:val="24"/>
          <w:szCs w:val="24"/>
          <w:highlight w:val="none"/>
          <w:lang w:eastAsia="zh-CN"/>
        </w:rPr>
        <w:t>中标人</w:t>
      </w:r>
      <w:r>
        <w:rPr>
          <w:rFonts w:hint="eastAsia" w:ascii="宋体" w:hAnsi="宋体"/>
          <w:color w:val="auto"/>
          <w:szCs w:val="24"/>
          <w:highlight w:val="none"/>
          <w:lang w:eastAsia="zh-CN"/>
        </w:rPr>
        <w:t>投标文件</w:t>
      </w:r>
      <w:r>
        <w:rPr>
          <w:rFonts w:hint="eastAsia" w:ascii="宋体" w:hAnsi="宋体"/>
          <w:color w:val="auto"/>
          <w:szCs w:val="24"/>
          <w:highlight w:val="none"/>
        </w:rPr>
        <w:t>有效期延长至合同有效期。</w:t>
      </w:r>
      <w:r>
        <w:rPr>
          <w:rFonts w:ascii="宋体" w:hAnsi="宋体"/>
          <w:color w:val="auto"/>
          <w:szCs w:val="24"/>
          <w:highlight w:val="none"/>
        </w:rPr>
        <w:t>有效期</w:t>
      </w:r>
      <w:r>
        <w:rPr>
          <w:rFonts w:hint="eastAsia" w:ascii="宋体" w:hAnsi="宋体"/>
          <w:color w:val="auto"/>
          <w:szCs w:val="24"/>
          <w:highlight w:val="none"/>
        </w:rPr>
        <w:t>不足</w:t>
      </w:r>
      <w:r>
        <w:rPr>
          <w:rFonts w:ascii="宋体" w:hAnsi="宋体"/>
          <w:color w:val="auto"/>
          <w:szCs w:val="24"/>
          <w:highlight w:val="none"/>
        </w:rPr>
        <w:t>的</w:t>
      </w:r>
      <w:r>
        <w:rPr>
          <w:rFonts w:hint="eastAsia" w:ascii="宋体" w:hAnsi="宋体"/>
          <w:color w:val="auto"/>
          <w:szCs w:val="24"/>
          <w:highlight w:val="none"/>
          <w:lang w:eastAsia="zh-CN"/>
        </w:rPr>
        <w:t>投标文件</w:t>
      </w:r>
      <w:r>
        <w:rPr>
          <w:rFonts w:ascii="宋体" w:hAnsi="宋体"/>
          <w:color w:val="auto"/>
          <w:szCs w:val="24"/>
          <w:highlight w:val="none"/>
        </w:rPr>
        <w:t>将被拒绝。</w:t>
      </w:r>
    </w:p>
    <w:p>
      <w:pPr>
        <w:pStyle w:val="16"/>
        <w:widowControl w:val="0"/>
        <w:tabs>
          <w:tab w:val="clear" w:pos="454"/>
          <w:tab w:val="clear" w:pos="900"/>
        </w:tabs>
        <w:snapToGrid w:val="0"/>
        <w:spacing w:after="120" w:afterLines="0" w:line="360" w:lineRule="auto"/>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投标人可拒绝接受延期要求而不会导致投标保证金被没收。同意延长有效期的投标人需要相应延长投标保证金的有效期，但不能修改</w:t>
      </w:r>
      <w:r>
        <w:rPr>
          <w:rFonts w:hint="eastAsia" w:ascii="宋体" w:hAnsi="宋体"/>
          <w:color w:val="auto"/>
          <w:sz w:val="24"/>
          <w:highlight w:val="none"/>
          <w:lang w:eastAsia="zh-CN"/>
        </w:rPr>
        <w:t>投标文件</w:t>
      </w:r>
      <w:r>
        <w:rPr>
          <w:rFonts w:ascii="宋体" w:hAnsi="宋体"/>
          <w:color w:val="auto"/>
          <w:sz w:val="24"/>
          <w:highlight w:val="none"/>
        </w:rPr>
        <w:t>。</w:t>
      </w:r>
      <w:r>
        <w:rPr>
          <w:rFonts w:ascii="宋体" w:hAnsi="宋体"/>
          <w:b/>
          <w:color w:val="auto"/>
          <w:sz w:val="24"/>
          <w:highlight w:val="none"/>
        </w:rPr>
        <w:t xml:space="preserve"> </w:t>
      </w:r>
    </w:p>
    <w:p>
      <w:pPr>
        <w:snapToGrid w:val="0"/>
        <w:spacing w:line="360" w:lineRule="auto"/>
        <w:ind w:firstLine="480" w:firstLineChars="200"/>
        <w:jc w:val="left"/>
        <w:outlineLvl w:val="0"/>
        <w:rPr>
          <w:rFonts w:hint="eastAsia"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olor w:val="auto"/>
          <w:sz w:val="24"/>
          <w:highlight w:val="none"/>
          <w:lang w:eastAsia="zh-CN"/>
        </w:rPr>
        <w:t>中标人</w:t>
      </w:r>
      <w:r>
        <w:rPr>
          <w:rFonts w:ascii="宋体" w:hAnsi="宋体"/>
          <w:color w:val="auto"/>
          <w:sz w:val="24"/>
          <w:highlight w:val="none"/>
        </w:rPr>
        <w:t>的</w:t>
      </w:r>
      <w:r>
        <w:rPr>
          <w:rFonts w:hint="eastAsia" w:ascii="宋体" w:hAnsi="宋体"/>
          <w:color w:val="auto"/>
          <w:sz w:val="24"/>
          <w:highlight w:val="none"/>
          <w:lang w:eastAsia="zh-CN"/>
        </w:rPr>
        <w:t>投标文件</w:t>
      </w:r>
      <w:r>
        <w:rPr>
          <w:rFonts w:ascii="宋体" w:hAnsi="宋体"/>
          <w:color w:val="auto"/>
          <w:sz w:val="24"/>
          <w:highlight w:val="none"/>
        </w:rPr>
        <w:t>自开标之日起至合同履行完毕止均应保持有效。</w:t>
      </w:r>
    </w:p>
    <w:p>
      <w:pPr>
        <w:pStyle w:val="16"/>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六</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宋体"/>
          <w:bCs/>
          <w:color w:val="auto"/>
          <w:kern w:val="0"/>
          <w:sz w:val="24"/>
          <w:highlight w:val="none"/>
        </w:rPr>
      </w:pPr>
      <w:r>
        <w:rPr>
          <w:rFonts w:hint="eastAsia" w:ascii="宋体" w:hAnsi="宋体"/>
          <w:color w:val="auto"/>
          <w:sz w:val="24"/>
          <w:highlight w:val="none"/>
        </w:rPr>
        <w:t>2.保证金形式：</w:t>
      </w:r>
      <w:r>
        <w:rPr>
          <w:rFonts w:hint="eastAsia" w:ascii="宋体" w:hAnsi="宋体" w:cs="宋体"/>
          <w:b w:val="0"/>
          <w:bCs/>
          <w:color w:val="auto"/>
          <w:kern w:val="0"/>
          <w:sz w:val="24"/>
          <w:highlight w:val="none"/>
        </w:rPr>
        <w:t>转账、电汇、银行汇票、银行保函、保险机构保证保险保单、融资担保公司保函</w:t>
      </w:r>
      <w:r>
        <w:rPr>
          <w:rFonts w:hint="eastAsia" w:ascii="宋体" w:hAnsi="宋体" w:eastAsia="宋体" w:cs="宋体"/>
          <w:bCs/>
          <w:color w:val="auto"/>
          <w:kern w:val="0"/>
          <w:sz w:val="24"/>
          <w:highlight w:val="none"/>
        </w:rPr>
        <w:t>。</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日内与</w:t>
      </w:r>
      <w:r>
        <w:rPr>
          <w:rFonts w:hint="eastAsia" w:ascii="宋体" w:hAnsi="宋体" w:eastAsia="宋体" w:cs="Times New Roman"/>
          <w:color w:val="auto"/>
          <w:sz w:val="24"/>
          <w:highlight w:val="none"/>
          <w:lang w:eastAsia="zh-CN"/>
        </w:rPr>
        <w:t>招标人</w:t>
      </w:r>
      <w:r>
        <w:rPr>
          <w:rFonts w:hint="eastAsia" w:ascii="宋体" w:hAnsi="宋体" w:eastAsia="宋体" w:cs="Times New Roman"/>
          <w:color w:val="auto"/>
          <w:sz w:val="24"/>
          <w:highlight w:val="none"/>
        </w:rPr>
        <w:t>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投标人放弃中标候选人或中标资格的（包括中标人无正当理由不与招标人订立合同；在签订合同时向招标人提出附加条件；不按照招标文件要求提交履约担保）；</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 </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）其他严重扰乱招投标程序的；</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cs="Times New Roman"/>
          <w:b/>
          <w:bCs/>
          <w:color w:val="auto"/>
          <w:sz w:val="24"/>
          <w:highlight w:val="none"/>
          <w:lang w:val="en-US" w:eastAsia="zh-CN"/>
        </w:rPr>
        <w:t>七</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eastAsia="zh-CN"/>
        </w:rPr>
        <w:t>投标文件</w:t>
      </w:r>
      <w:r>
        <w:rPr>
          <w:rFonts w:hint="eastAsia" w:ascii="宋体" w:hAnsi="宋体" w:eastAsia="宋体" w:cs="Times New Roman"/>
          <w:b/>
          <w:bCs/>
          <w:color w:val="auto"/>
          <w:sz w:val="24"/>
          <w:highlight w:val="none"/>
        </w:rPr>
        <w:t>的签署和份数</w:t>
      </w:r>
    </w:p>
    <w:p>
      <w:pPr>
        <w:snapToGrid w:val="0"/>
        <w:spacing w:line="360" w:lineRule="auto"/>
        <w:ind w:firstLine="480" w:firstLineChars="200"/>
        <w:jc w:val="left"/>
        <w:rPr>
          <w:rFonts w:hint="eastAsia" w:ascii="宋体" w:hAnsi="宋体" w:eastAsia="宋体" w:cs="Times New Roman"/>
          <w:color w:val="auto"/>
          <w:sz w:val="24"/>
          <w:highlight w:val="none"/>
        </w:rPr>
      </w:pPr>
      <w:bookmarkStart w:id="6" w:name="_Toc25077"/>
      <w:bookmarkStart w:id="7" w:name="_Toc3006"/>
      <w:bookmarkStart w:id="8" w:name="_Toc24138"/>
      <w:bookmarkStart w:id="9" w:name="_Toc19501"/>
      <w:r>
        <w:rPr>
          <w:rFonts w:hint="eastAsia" w:ascii="宋体" w:hAnsi="宋体" w:eastAsia="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投标人按本须知前附表第9项规定的份数递交投标文件。</w:t>
      </w:r>
      <w:bookmarkEnd w:id="6"/>
      <w:bookmarkEnd w:id="7"/>
      <w:bookmarkEnd w:id="8"/>
      <w:bookmarkEnd w:id="9"/>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招标文件附件中注明由投标人法定代表人亲自签署或印鉴、并加盖法人单位公章的，投标人均应按要求签章。</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当正本与副本不一致时，以正本为准。如未注明正副本的，由评标委员会或工作人员随机抽签确定一本作为正本。</w:t>
      </w:r>
    </w:p>
    <w:p>
      <w:pPr>
        <w:snapToGrid w:val="0"/>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w:t>
      </w:r>
      <w:r>
        <w:rPr>
          <w:rFonts w:hint="eastAsia" w:ascii="宋体" w:hAnsi="宋体" w:cs="Times New Roman"/>
          <w:b/>
          <w:bCs/>
          <w:color w:val="auto"/>
          <w:sz w:val="24"/>
          <w:highlight w:val="none"/>
          <w:lang w:val="en-US" w:eastAsia="zh-CN"/>
        </w:rPr>
        <w:t>八</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eastAsia="zh-CN"/>
        </w:rPr>
        <w:t>投标文件</w:t>
      </w:r>
      <w:r>
        <w:rPr>
          <w:rFonts w:hint="eastAsia" w:ascii="宋体" w:hAnsi="宋体" w:eastAsia="宋体" w:cs="Times New Roman"/>
          <w:b/>
          <w:bCs/>
          <w:color w:val="auto"/>
          <w:sz w:val="24"/>
          <w:highlight w:val="none"/>
        </w:rPr>
        <w:t>的包装、递交、修改和撤回</w:t>
      </w:r>
    </w:p>
    <w:p>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1.投标人应将投标文件按规定密封，并注明项目名称、投标人名称及标函名称</w:t>
      </w:r>
      <w:r>
        <w:rPr>
          <w:rFonts w:hint="eastAsia" w:ascii="宋体" w:hAnsi="宋体" w:eastAsia="宋体" w:cs="Times New Roman"/>
          <w:color w:val="auto"/>
          <w:sz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2.密封袋封口处加盖单位公章或法人代表或委托代理人印章或签字。</w:t>
      </w:r>
    </w:p>
    <w:p>
      <w:pPr>
        <w:snapToGrid w:val="0"/>
        <w:spacing w:line="360" w:lineRule="auto"/>
        <w:ind w:firstLine="480" w:firstLineChars="200"/>
        <w:jc w:val="left"/>
        <w:rPr>
          <w:rFonts w:hint="eastAsia" w:ascii="宋体" w:hAnsi="宋体" w:cs="Times New Roman"/>
          <w:color w:val="auto"/>
          <w:sz w:val="24"/>
          <w:highlight w:val="none"/>
          <w:lang w:eastAsia="zh-CN"/>
        </w:rPr>
      </w:pPr>
      <w:r>
        <w:rPr>
          <w:rFonts w:hint="eastAsia" w:ascii="宋体" w:hAnsi="宋体" w:eastAsia="宋体" w:cs="Times New Roman"/>
          <w:color w:val="auto"/>
          <w:sz w:val="24"/>
          <w:highlight w:val="none"/>
        </w:rPr>
        <w:t>3.投标文件的密封及装订要求详见本须知前附表第</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rPr>
        <w:t>0项</w:t>
      </w:r>
      <w:r>
        <w:rPr>
          <w:rFonts w:hint="eastAsia" w:ascii="宋体" w:hAnsi="宋体" w:cs="Times New Roman"/>
          <w:color w:val="auto"/>
          <w:sz w:val="24"/>
          <w:highlight w:val="none"/>
          <w:lang w:eastAsia="zh-CN"/>
        </w:rPr>
        <w:t>。</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4.投标人在提交投标文件以后，在规定的投标截止时间之前，可以书面形式补充修改或撤回已提交的投标文件，并以书面形式通知招标人。补充、修改的内容为投标文件的组成部分</w:t>
      </w:r>
      <w:r>
        <w:rPr>
          <w:rFonts w:hint="eastAsia" w:ascii="宋体" w:hAnsi="宋体" w:eastAsia="宋体" w:cs="Times New Roman"/>
          <w:color w:val="auto"/>
          <w:sz w:val="24"/>
          <w:highlight w:val="none"/>
        </w:rPr>
        <w:t xml:space="preserve">。 </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.投标人对投标文件的补充、修改，应按本节有关投标文件规定密封、标记和提交，并在投标文件密封袋上清楚标明“补充、修改”或“撤回”字样。</w:t>
      </w:r>
    </w:p>
    <w:p>
      <w:pPr>
        <w:snapToGrid w:val="0"/>
        <w:spacing w:line="360" w:lineRule="auto"/>
        <w:ind w:firstLine="480" w:firstLineChars="200"/>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6.在投标截止时间之后，投标人不得补充、修改投标文件。</w:t>
      </w:r>
    </w:p>
    <w:p>
      <w:pPr>
        <w:snapToGrid w:val="0"/>
        <w:spacing w:line="360" w:lineRule="auto"/>
        <w:ind w:firstLine="480" w:firstLineChars="200"/>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7.在投标截止时间至投标有效期满之前，投标人不得撤回其投标文件，否则其投标保证金将被没收。</w:t>
      </w:r>
    </w:p>
    <w:p>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九</w:t>
      </w:r>
      <w:r>
        <w:rPr>
          <w:rFonts w:hint="eastAsia" w:ascii="宋体" w:hAnsi="宋体"/>
          <w:b/>
          <w:color w:val="auto"/>
          <w:sz w:val="24"/>
          <w:highlight w:val="none"/>
        </w:rPr>
        <w:t>）投标无效的情形</w:t>
      </w:r>
    </w:p>
    <w:p>
      <w:pPr>
        <w:snapToGrid w:val="0"/>
        <w:spacing w:line="360" w:lineRule="auto"/>
        <w:ind w:firstLine="480" w:firstLineChars="200"/>
        <w:rPr>
          <w:rFonts w:ascii="宋体" w:hAnsi="宋体"/>
          <w:bCs/>
          <w:color w:val="auto"/>
          <w:sz w:val="24"/>
          <w:szCs w:val="20"/>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w:t>
      </w:r>
      <w:r>
        <w:rPr>
          <w:rFonts w:hint="eastAsia" w:ascii="宋体" w:hAnsi="宋体"/>
          <w:bCs/>
          <w:color w:val="auto"/>
          <w:sz w:val="24"/>
          <w:highlight w:val="none"/>
          <w:lang w:eastAsia="zh-CN"/>
        </w:rPr>
        <w:t>投标文件</w:t>
      </w:r>
      <w:r>
        <w:rPr>
          <w:rFonts w:hint="eastAsia" w:ascii="宋体" w:hAnsi="宋体"/>
          <w:bCs/>
          <w:color w:val="auto"/>
          <w:sz w:val="24"/>
          <w:highlight w:val="none"/>
        </w:rPr>
        <w:t>必须以书面形式进行，并应在中标结果公告之前查核原件。限期内不补正或经补正后仍不符合招标文件要求的，应认定其投标无效。投标人修改、补正</w:t>
      </w:r>
      <w:r>
        <w:rPr>
          <w:rFonts w:hint="eastAsia" w:ascii="宋体" w:hAnsi="宋体"/>
          <w:bCs/>
          <w:color w:val="auto"/>
          <w:sz w:val="24"/>
          <w:highlight w:val="none"/>
          <w:lang w:eastAsia="zh-CN"/>
        </w:rPr>
        <w:t>投标文件</w:t>
      </w:r>
      <w:r>
        <w:rPr>
          <w:rFonts w:hint="eastAsia" w:ascii="宋体" w:hAnsi="宋体"/>
          <w:bCs/>
          <w:color w:val="auto"/>
          <w:sz w:val="24"/>
          <w:highlight w:val="none"/>
        </w:rPr>
        <w:t>后，不影响评标委员会对其</w:t>
      </w:r>
      <w:r>
        <w:rPr>
          <w:rFonts w:hint="eastAsia" w:ascii="宋体" w:hAnsi="宋体"/>
          <w:bCs/>
          <w:color w:val="auto"/>
          <w:sz w:val="24"/>
          <w:highlight w:val="none"/>
          <w:lang w:eastAsia="zh-CN"/>
        </w:rPr>
        <w:t>投标文件</w:t>
      </w:r>
      <w:r>
        <w:rPr>
          <w:rFonts w:hint="eastAsia" w:ascii="宋体" w:hAnsi="宋体"/>
          <w:bCs/>
          <w:color w:val="auto"/>
          <w:sz w:val="24"/>
          <w:highlight w:val="none"/>
        </w:rPr>
        <w:t>所作的评价和评分结果。</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w:t>
      </w:r>
      <w:r>
        <w:rPr>
          <w:rFonts w:hint="eastAsia" w:ascii="宋体" w:hAnsi="宋体"/>
          <w:b/>
          <w:bCs/>
          <w:color w:val="auto"/>
          <w:sz w:val="24"/>
          <w:highlight w:val="none"/>
          <w:lang w:val="en-US" w:eastAsia="zh-CN"/>
        </w:rPr>
        <w:t>和</w:t>
      </w:r>
      <w:r>
        <w:rPr>
          <w:rFonts w:hint="eastAsia" w:ascii="宋体" w:hAnsi="宋体"/>
          <w:b/>
          <w:bCs/>
          <w:color w:val="auto"/>
          <w:sz w:val="24"/>
          <w:highlight w:val="none"/>
        </w:rPr>
        <w:t>商务评审</w:t>
      </w:r>
      <w:r>
        <w:rPr>
          <w:rFonts w:ascii="宋体" w:hAnsi="宋体"/>
          <w:b/>
          <w:bCs/>
          <w:color w:val="auto"/>
          <w:sz w:val="24"/>
          <w:highlight w:val="none"/>
        </w:rPr>
        <w:t>时，如发现下列情形之一的，</w:t>
      </w:r>
      <w:r>
        <w:rPr>
          <w:rFonts w:hint="eastAsia" w:ascii="宋体" w:hAnsi="宋体"/>
          <w:b/>
          <w:bCs/>
          <w:color w:val="auto"/>
          <w:sz w:val="24"/>
          <w:highlight w:val="none"/>
          <w:lang w:eastAsia="zh-CN"/>
        </w:rPr>
        <w:t>投标文件</w:t>
      </w:r>
      <w:r>
        <w:rPr>
          <w:rFonts w:ascii="宋体" w:hAnsi="宋体"/>
          <w:b/>
          <w:bCs/>
          <w:color w:val="auto"/>
          <w:sz w:val="24"/>
          <w:highlight w:val="none"/>
        </w:rPr>
        <w:t>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（4）投标代表人未能出具身份证明、授权委托书中法定代表人与授权委托人提供不全或与法定代表人授权委托人身份不符的；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Times New Roman"/>
          <w:bCs/>
          <w:color w:val="auto"/>
          <w:sz w:val="24"/>
          <w:highlight w:val="none"/>
          <w:lang w:eastAsia="zh-CN"/>
        </w:rPr>
        <w:t>；</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w:t>
      </w:r>
      <w:r>
        <w:rPr>
          <w:rFonts w:hint="eastAsia" w:ascii="宋体" w:hAnsi="宋体" w:eastAsia="宋体" w:cs="Times New Roman"/>
          <w:bCs/>
          <w:color w:val="auto"/>
          <w:sz w:val="24"/>
          <w:highlight w:val="none"/>
          <w:lang w:eastAsia="zh-CN"/>
        </w:rPr>
        <w:t>招标人</w:t>
      </w:r>
      <w:r>
        <w:rPr>
          <w:rFonts w:hint="eastAsia" w:ascii="宋体" w:hAnsi="宋体" w:eastAsia="宋体" w:cs="Times New Roman"/>
          <w:bCs/>
          <w:color w:val="auto"/>
          <w:sz w:val="24"/>
          <w:highlight w:val="none"/>
        </w:rPr>
        <w:t>不能接受的附加条件的</w:t>
      </w:r>
      <w:r>
        <w:rPr>
          <w:rFonts w:hint="eastAsia" w:ascii="宋体" w:hAnsi="宋体" w:eastAsia="宋体" w:cs="Times New Roman"/>
          <w:bCs/>
          <w:color w:val="auto"/>
          <w:sz w:val="24"/>
          <w:highlight w:val="none"/>
          <w:lang w:eastAsia="zh-CN"/>
        </w:rPr>
        <w:t>；</w:t>
      </w:r>
    </w:p>
    <w:p>
      <w:pPr>
        <w:snapToGrid w:val="0"/>
        <w:spacing w:line="360" w:lineRule="auto"/>
        <w:ind w:firstLine="480" w:firstLineChars="200"/>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0</w:t>
      </w:r>
      <w:r>
        <w:rPr>
          <w:rFonts w:hint="eastAsia" w:ascii="宋体" w:hAnsi="宋体" w:eastAsia="宋体" w:cs="Times New Roman"/>
          <w:bCs/>
          <w:color w:val="auto"/>
          <w:sz w:val="24"/>
          <w:highlight w:val="none"/>
          <w:lang w:val="en-US" w:eastAsia="zh-CN"/>
        </w:rPr>
        <w:t>）厂家与代理商同时参加或者厂家授权两家及以上代理商参与投标的</w:t>
      </w:r>
      <w:r>
        <w:rPr>
          <w:rFonts w:hint="eastAsia" w:ascii="宋体" w:hAnsi="宋体" w:cs="Times New Roman"/>
          <w:bCs/>
          <w:color w:val="auto"/>
          <w:sz w:val="24"/>
          <w:highlight w:val="none"/>
          <w:lang w:val="en-US" w:eastAsia="zh-CN"/>
        </w:rPr>
        <w:t>；</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11</w:t>
      </w:r>
      <w:r>
        <w:rPr>
          <w:rFonts w:hint="eastAsia" w:ascii="宋体" w:hAnsi="宋体" w:eastAsia="宋体" w:cs="Times New Roman"/>
          <w:bCs/>
          <w:color w:val="auto"/>
          <w:sz w:val="24"/>
          <w:highlight w:val="none"/>
        </w:rPr>
        <w:t>）法律法规或规章规定属无效标情形的。</w:t>
      </w:r>
    </w:p>
    <w:p>
      <w:pPr>
        <w:pStyle w:val="6"/>
        <w:snapToGrid w:val="0"/>
        <w:spacing w:line="360" w:lineRule="auto"/>
        <w:ind w:firstLine="457" w:firstLineChars="196"/>
        <w:rPr>
          <w:rFonts w:hAnsi="宋体"/>
          <w:b/>
          <w:bCs/>
          <w:color w:val="auto"/>
          <w:sz w:val="24"/>
          <w:highlight w:val="none"/>
        </w:rPr>
      </w:pPr>
      <w:r>
        <w:rPr>
          <w:rFonts w:hAnsi="宋体"/>
          <w:b/>
          <w:bCs/>
          <w:color w:val="auto"/>
          <w:sz w:val="24"/>
          <w:highlight w:val="none"/>
        </w:rPr>
        <w:t>2.在</w:t>
      </w:r>
      <w:r>
        <w:rPr>
          <w:rFonts w:hint="eastAsia" w:hAnsi="宋体"/>
          <w:b/>
          <w:bCs/>
          <w:color w:val="auto"/>
          <w:sz w:val="24"/>
          <w:highlight w:val="none"/>
          <w:lang w:val="en-US" w:eastAsia="zh-CN"/>
        </w:rPr>
        <w:t>报价</w:t>
      </w:r>
      <w:r>
        <w:rPr>
          <w:rFonts w:hAnsi="宋体"/>
          <w:b/>
          <w:bCs/>
          <w:color w:val="auto"/>
          <w:sz w:val="24"/>
          <w:highlight w:val="none"/>
        </w:rPr>
        <w:t>评审时，如发现下列情形之一的，</w:t>
      </w:r>
      <w:r>
        <w:rPr>
          <w:rFonts w:hint="eastAsia" w:hAnsi="宋体"/>
          <w:b/>
          <w:bCs/>
          <w:color w:val="auto"/>
          <w:sz w:val="24"/>
          <w:highlight w:val="none"/>
          <w:lang w:eastAsia="zh-CN"/>
        </w:rPr>
        <w:t>投标文件</w:t>
      </w:r>
      <w:r>
        <w:rPr>
          <w:rFonts w:hAnsi="宋体"/>
          <w:b/>
          <w:bCs/>
          <w:color w:val="auto"/>
          <w:sz w:val="24"/>
          <w:highlight w:val="none"/>
        </w:rPr>
        <w:t>将被视为无效：</w:t>
      </w:r>
    </w:p>
    <w:p>
      <w:pPr>
        <w:pStyle w:val="6"/>
        <w:snapToGrid w:val="0"/>
        <w:spacing w:line="360" w:lineRule="auto"/>
        <w:ind w:firstLine="454" w:firstLineChars="196"/>
        <w:rPr>
          <w:rFonts w:hAnsi="宋体"/>
          <w:color w:val="auto"/>
          <w:sz w:val="24"/>
          <w:highlight w:val="none"/>
        </w:rPr>
      </w:pPr>
      <w:r>
        <w:rPr>
          <w:rFonts w:hAnsi="宋体"/>
          <w:color w:val="auto"/>
          <w:sz w:val="24"/>
          <w:highlight w:val="none"/>
        </w:rPr>
        <w:t>（1）未采用人民币报价或者未按照招标文件标明的币种报价的；</w:t>
      </w:r>
    </w:p>
    <w:p>
      <w:pPr>
        <w:pStyle w:val="6"/>
        <w:snapToGrid w:val="0"/>
        <w:spacing w:line="360" w:lineRule="auto"/>
        <w:ind w:firstLine="464" w:firstLineChars="200"/>
        <w:rPr>
          <w:rFonts w:hAnsi="宋体"/>
          <w:color w:val="auto"/>
          <w:sz w:val="24"/>
          <w:highlight w:val="none"/>
        </w:rPr>
      </w:pPr>
      <w:r>
        <w:rPr>
          <w:rFonts w:hAnsi="宋体"/>
          <w:color w:val="auto"/>
          <w:sz w:val="24"/>
          <w:highlight w:val="none"/>
        </w:rPr>
        <w:t>（2）投标报价具有选择性，或者开标价格与投标文件承诺的优惠（折扣）价格不一致的；</w:t>
      </w:r>
    </w:p>
    <w:p>
      <w:pPr>
        <w:pStyle w:val="6"/>
        <w:snapToGrid w:val="0"/>
        <w:spacing w:line="360" w:lineRule="auto"/>
        <w:ind w:firstLine="464" w:firstLineChars="200"/>
        <w:rPr>
          <w:rFonts w:hint="eastAsia" w:hAnsi="宋体"/>
          <w:color w:val="auto"/>
          <w:sz w:val="24"/>
          <w:highlight w:val="none"/>
          <w:lang w:eastAsia="zh-CN"/>
        </w:rPr>
      </w:pPr>
      <w:r>
        <w:rPr>
          <w:rFonts w:hAnsi="宋体"/>
          <w:color w:val="auto"/>
          <w:sz w:val="24"/>
          <w:highlight w:val="none"/>
        </w:rPr>
        <w:t>（3）</w:t>
      </w:r>
      <w:r>
        <w:rPr>
          <w:rFonts w:hint="eastAsia" w:hAnsi="宋体"/>
          <w:color w:val="auto"/>
          <w:sz w:val="24"/>
          <w:highlight w:val="none"/>
          <w:lang w:eastAsia="zh-CN"/>
        </w:rPr>
        <w:t>投标报价不得超过单价最高限价或总价最高限价，超过单价最高限价或总价最高限价的报价为无效标；</w:t>
      </w:r>
    </w:p>
    <w:p>
      <w:pPr>
        <w:pStyle w:val="6"/>
        <w:snapToGrid w:val="0"/>
        <w:spacing w:line="360" w:lineRule="auto"/>
        <w:ind w:firstLine="454" w:firstLineChars="196"/>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如综合单价及合价汇总与合计价格不一致，且价格调差超过10元及以上，按招标文件要求作无效标处理；</w:t>
      </w:r>
    </w:p>
    <w:p>
      <w:pPr>
        <w:pStyle w:val="6"/>
        <w:snapToGrid w:val="0"/>
        <w:spacing w:line="360" w:lineRule="auto"/>
        <w:ind w:firstLine="466" w:firstLineChars="200"/>
        <w:rPr>
          <w:rFonts w:hAnsi="宋体"/>
          <w:color w:val="auto"/>
          <w:sz w:val="24"/>
          <w:highlight w:val="none"/>
        </w:rPr>
      </w:pPr>
      <w:r>
        <w:rPr>
          <w:rFonts w:ascii="宋体" w:hAnsi="宋体" w:eastAsia="宋体" w:cs="Times New Roman"/>
          <w:b/>
          <w:bCs/>
          <w:color w:val="auto"/>
          <w:sz w:val="24"/>
          <w:highlight w:val="none"/>
        </w:rPr>
        <w:t>（</w:t>
      </w:r>
      <w:r>
        <w:rPr>
          <w:rFonts w:hint="eastAsia" w:hAnsi="宋体" w:eastAsia="宋体" w:cs="Times New Roman"/>
          <w:b/>
          <w:bCs/>
          <w:color w:val="auto"/>
          <w:sz w:val="24"/>
          <w:highlight w:val="none"/>
          <w:lang w:val="en-US" w:eastAsia="zh-CN"/>
        </w:rPr>
        <w:t>5</w:t>
      </w:r>
      <w:r>
        <w:rPr>
          <w:rFonts w:ascii="宋体" w:hAnsi="宋体" w:eastAsia="宋体" w:cs="Times New Roman"/>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hAnsi="宋体" w:eastAsia="宋体" w:cs="Times New Roman"/>
          <w:b/>
          <w:bCs/>
          <w:color w:val="auto"/>
          <w:sz w:val="24"/>
          <w:highlight w:val="none"/>
          <w:lang w:eastAsia="zh-CN"/>
        </w:rPr>
        <w:t>；</w:t>
      </w:r>
      <w:r>
        <w:rPr>
          <w:rFonts w:ascii="宋体" w:hAnsi="宋体" w:eastAsia="宋体" w:cs="Times New Roman"/>
          <w:b/>
          <w:bCs/>
          <w:color w:val="auto"/>
          <w:sz w:val="24"/>
          <w:highlight w:val="none"/>
        </w:rPr>
        <w:t>投标人不能证明其报价合理性的，评标委员会应当将其作为无效投标处理</w:t>
      </w:r>
      <w:r>
        <w:rPr>
          <w:rFonts w:hint="eastAsia" w:hAnsi="宋体" w:eastAsia="宋体" w:cs="Times New Roman"/>
          <w:b/>
          <w:bCs/>
          <w:color w:val="auto"/>
          <w:sz w:val="24"/>
          <w:highlight w:val="none"/>
          <w:lang w:eastAsia="zh-CN"/>
        </w:rPr>
        <w:t>；</w:t>
      </w:r>
      <w:r>
        <w:rPr>
          <w:rFonts w:ascii="宋体" w:hAnsi="宋体" w:eastAsia="宋体" w:cs="Times New Roman"/>
          <w:b/>
          <w:bCs/>
          <w:color w:val="auto"/>
          <w:sz w:val="24"/>
          <w:highlight w:val="none"/>
        </w:rPr>
        <w:t xml:space="preserve">   </w:t>
      </w:r>
      <w:r>
        <w:rPr>
          <w:rFonts w:hAnsi="宋体"/>
          <w:b/>
          <w:bCs/>
          <w:color w:val="auto"/>
          <w:sz w:val="24"/>
          <w:highlight w:val="none"/>
        </w:rPr>
        <w:t xml:space="preserve">  </w:t>
      </w:r>
      <w:r>
        <w:rPr>
          <w:rFonts w:hAnsi="宋体"/>
          <w:color w:val="auto"/>
          <w:sz w:val="24"/>
          <w:highlight w:val="none"/>
        </w:rPr>
        <w:t xml:space="preserve">                                                                                                         </w:t>
      </w:r>
    </w:p>
    <w:p>
      <w:pPr>
        <w:pStyle w:val="6"/>
        <w:snapToGrid w:val="0"/>
        <w:spacing w:line="360" w:lineRule="auto"/>
        <w:ind w:firstLine="466" w:firstLineChars="200"/>
        <w:rPr>
          <w:rFonts w:hAnsi="宋体"/>
          <w:b/>
          <w:color w:val="auto"/>
          <w:sz w:val="24"/>
          <w:highlight w:val="none"/>
        </w:rPr>
      </w:pPr>
      <w:r>
        <w:rPr>
          <w:rFonts w:hAnsi="宋体"/>
          <w:b/>
          <w:color w:val="auto"/>
          <w:sz w:val="24"/>
          <w:highlight w:val="none"/>
        </w:rPr>
        <w:t>3.被拒绝的</w:t>
      </w:r>
      <w:r>
        <w:rPr>
          <w:rFonts w:hint="eastAsia" w:hAnsi="宋体"/>
          <w:b/>
          <w:color w:val="auto"/>
          <w:sz w:val="24"/>
          <w:highlight w:val="none"/>
          <w:lang w:eastAsia="zh-CN"/>
        </w:rPr>
        <w:t>投标文件</w:t>
      </w:r>
      <w:r>
        <w:rPr>
          <w:rFonts w:hAnsi="宋体"/>
          <w:b/>
          <w:color w:val="auto"/>
          <w:sz w:val="24"/>
          <w:highlight w:val="none"/>
        </w:rPr>
        <w:t>为无效。</w:t>
      </w:r>
    </w:p>
    <w:p>
      <w:pPr>
        <w:pStyle w:val="6"/>
        <w:snapToGrid w:val="0"/>
        <w:spacing w:line="360" w:lineRule="auto"/>
        <w:ind w:firstLine="535" w:firstLineChars="196"/>
        <w:outlineLvl w:val="1"/>
        <w:rPr>
          <w:rFonts w:hAnsi="宋体"/>
          <w:b/>
          <w:snapToGrid w:val="0"/>
          <w:color w:val="auto"/>
          <w:sz w:val="28"/>
          <w:szCs w:val="28"/>
          <w:highlight w:val="none"/>
        </w:rPr>
      </w:pPr>
      <w:r>
        <w:rPr>
          <w:rFonts w:hAnsi="宋体"/>
          <w:b/>
          <w:color w:val="auto"/>
          <w:sz w:val="28"/>
          <w:szCs w:val="28"/>
          <w:highlight w:val="none"/>
        </w:rPr>
        <w:t>四、开标</w:t>
      </w:r>
    </w:p>
    <w:p>
      <w:pPr>
        <w:pStyle w:val="30"/>
        <w:snapToGrid w:val="0"/>
        <w:spacing w:beforeLines="0" w:afterLines="0" w:line="360" w:lineRule="auto"/>
        <w:ind w:firstLine="472" w:firstLineChars="196"/>
        <w:rPr>
          <w:rFonts w:hAnsi="宋体"/>
          <w:b/>
          <w:color w:val="auto"/>
          <w:highlight w:val="none"/>
        </w:rPr>
      </w:pPr>
      <w:r>
        <w:rPr>
          <w:rFonts w:hAnsi="宋体"/>
          <w:b/>
          <w:color w:val="auto"/>
          <w:highlight w:val="none"/>
        </w:rPr>
        <w:t>（一）开标准备</w:t>
      </w:r>
    </w:p>
    <w:p>
      <w:pPr>
        <w:pStyle w:val="44"/>
        <w:widowControl w:val="0"/>
        <w:snapToGrid w:val="0"/>
        <w:spacing w:before="120" w:beforeLines="50" w:beforeAutospacing="0" w:after="0" w:afterAutospacing="0" w:line="360" w:lineRule="auto"/>
        <w:ind w:firstLine="480" w:firstLineChars="200"/>
        <w:jc w:val="both"/>
        <w:rPr>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招标人将于投标截止期的同一时间按本须知前附表第21项所规定的地点公开举行开标会议。</w:t>
      </w:r>
    </w:p>
    <w:p>
      <w:pPr>
        <w:pStyle w:val="44"/>
        <w:widowControl w:val="0"/>
        <w:snapToGrid w:val="0"/>
        <w:spacing w:before="120" w:beforeLines="50" w:beforeAutospacing="0" w:after="0" w:afterAutospacing="0" w:line="360" w:lineRule="auto"/>
        <w:ind w:firstLine="480" w:firstLineChars="200"/>
        <w:jc w:val="both"/>
        <w:rPr>
          <w:bCs/>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开标会议由招标人组织并主持。</w:t>
      </w:r>
    </w:p>
    <w:p>
      <w:pPr>
        <w:pStyle w:val="30"/>
        <w:numPr>
          <w:ilvl w:val="0"/>
          <w:numId w:val="7"/>
        </w:numPr>
        <w:snapToGrid w:val="0"/>
        <w:spacing w:beforeLines="0" w:afterLines="0" w:line="360" w:lineRule="auto"/>
        <w:ind w:firstLine="472" w:firstLineChars="196"/>
        <w:rPr>
          <w:rFonts w:hAnsi="宋体"/>
          <w:b/>
          <w:color w:val="auto"/>
          <w:highlight w:val="none"/>
        </w:rPr>
      </w:pPr>
      <w:r>
        <w:rPr>
          <w:rFonts w:hAnsi="宋体"/>
          <w:b/>
          <w:color w:val="auto"/>
          <w:highlight w:val="none"/>
        </w:rPr>
        <w:t>开标程序：</w:t>
      </w:r>
    </w:p>
    <w:p>
      <w:pPr>
        <w:pStyle w:val="30"/>
        <w:numPr>
          <w:ilvl w:val="0"/>
          <w:numId w:val="0"/>
        </w:numPr>
        <w:snapToGrid w:val="0"/>
        <w:spacing w:beforeLines="0" w:afterLines="0" w:line="360" w:lineRule="auto"/>
        <w:ind w:firstLine="480" w:firstLineChars="200"/>
        <w:rPr>
          <w:rFonts w:hint="default"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0"/>
          <w:sz w:val="24"/>
          <w:szCs w:val="21"/>
          <w:highlight w:val="none"/>
          <w:lang w:val="en-US" w:eastAsia="zh-CN" w:bidi="ar-SA"/>
        </w:rPr>
        <w:t>详见投标人须知前附表</w:t>
      </w:r>
      <w:r>
        <w:rPr>
          <w:rFonts w:hint="eastAsia" w:hAnsi="宋体" w:cs="Times New Roman"/>
          <w:color w:val="auto"/>
          <w:kern w:val="0"/>
          <w:sz w:val="24"/>
          <w:szCs w:val="21"/>
          <w:highlight w:val="none"/>
          <w:lang w:val="en-US" w:eastAsia="zh-CN" w:bidi="ar-SA"/>
        </w:rPr>
        <w:t>20</w:t>
      </w:r>
      <w:r>
        <w:rPr>
          <w:rFonts w:hint="eastAsia" w:ascii="宋体" w:hAnsi="宋体" w:eastAsia="宋体" w:cs="Times New Roman"/>
          <w:color w:val="auto"/>
          <w:kern w:val="0"/>
          <w:sz w:val="24"/>
          <w:szCs w:val="21"/>
          <w:highlight w:val="none"/>
          <w:lang w:val="en-US" w:eastAsia="zh-CN" w:bidi="ar-SA"/>
        </w:rPr>
        <w:t>。</w:t>
      </w:r>
    </w:p>
    <w:p>
      <w:pPr>
        <w:pStyle w:val="30"/>
        <w:snapToGrid w:val="0"/>
        <w:spacing w:beforeLines="0" w:afterLines="0" w:line="360" w:lineRule="auto"/>
        <w:ind w:left="1029" w:leftChars="193" w:hanging="489" w:hangingChars="174"/>
        <w:outlineLvl w:val="1"/>
        <w:rPr>
          <w:rFonts w:hAnsi="宋体"/>
          <w:b/>
          <w:color w:val="auto"/>
          <w:sz w:val="28"/>
          <w:szCs w:val="28"/>
          <w:highlight w:val="none"/>
        </w:rPr>
      </w:pPr>
      <w:r>
        <w:rPr>
          <w:rFonts w:hAnsi="宋体"/>
          <w:b/>
          <w:color w:val="auto"/>
          <w:sz w:val="28"/>
          <w:szCs w:val="28"/>
          <w:highlight w:val="none"/>
        </w:rPr>
        <w:t>五、评标</w:t>
      </w:r>
    </w:p>
    <w:p>
      <w:pPr>
        <w:pStyle w:val="30"/>
        <w:snapToGrid w:val="0"/>
        <w:spacing w:beforeLines="0" w:afterLines="0" w:line="360" w:lineRule="auto"/>
        <w:ind w:left="876" w:leftChars="128" w:hanging="518" w:hangingChars="215"/>
        <w:rPr>
          <w:rFonts w:hAnsi="宋体"/>
          <w:b/>
          <w:color w:val="auto"/>
          <w:highlight w:val="none"/>
        </w:rPr>
      </w:pPr>
      <w:r>
        <w:rPr>
          <w:rFonts w:hAnsi="宋体"/>
          <w:b/>
          <w:color w:val="auto"/>
          <w:highlight w:val="none"/>
        </w:rPr>
        <w:t>（一）组建</w:t>
      </w:r>
      <w:r>
        <w:rPr>
          <w:rFonts w:hint="eastAsia" w:hAnsi="宋体"/>
          <w:b/>
          <w:color w:val="auto"/>
          <w:highlight w:val="none"/>
        </w:rPr>
        <w:t>评标委员会</w:t>
      </w:r>
    </w:p>
    <w:p>
      <w:pPr>
        <w:pStyle w:val="30"/>
        <w:snapToGrid w:val="0"/>
        <w:spacing w:beforeLines="0" w:afterLines="0" w:line="360" w:lineRule="auto"/>
        <w:ind w:firstLine="480" w:firstLineChars="200"/>
        <w:rPr>
          <w:rFonts w:hAnsi="宋体"/>
          <w:color w:val="auto"/>
          <w:highlight w:val="none"/>
        </w:rPr>
      </w:pPr>
      <w:r>
        <w:rPr>
          <w:rFonts w:hAnsi="宋体"/>
          <w:color w:val="auto"/>
          <w:highlight w:val="none"/>
        </w:rPr>
        <w:t>本项目</w:t>
      </w:r>
      <w:r>
        <w:rPr>
          <w:rFonts w:hint="eastAsia" w:hAnsi="宋体"/>
          <w:color w:val="auto"/>
          <w:highlight w:val="none"/>
        </w:rPr>
        <w:t>评标委员会</w:t>
      </w:r>
      <w:r>
        <w:rPr>
          <w:rFonts w:hAnsi="宋体"/>
          <w:color w:val="auto"/>
          <w:highlight w:val="none"/>
        </w:rPr>
        <w:t>由评审专家和</w:t>
      </w:r>
      <w:r>
        <w:rPr>
          <w:rFonts w:hint="eastAsia" w:hAnsi="宋体"/>
          <w:color w:val="auto"/>
          <w:highlight w:val="none"/>
          <w:lang w:eastAsia="zh-CN"/>
        </w:rPr>
        <w:t>招标人</w:t>
      </w:r>
      <w:r>
        <w:rPr>
          <w:rFonts w:hAnsi="宋体"/>
          <w:color w:val="auto"/>
          <w:highlight w:val="none"/>
        </w:rPr>
        <w:t>代表</w:t>
      </w:r>
      <w:r>
        <w:rPr>
          <w:rFonts w:hint="eastAsia" w:hAnsi="宋体"/>
          <w:color w:val="auto"/>
          <w:highlight w:val="none"/>
          <w:lang w:eastAsia="zh-CN"/>
        </w:rPr>
        <w:t>（</w:t>
      </w:r>
      <w:r>
        <w:rPr>
          <w:rFonts w:hint="eastAsia" w:hAnsi="宋体"/>
          <w:color w:val="auto"/>
          <w:highlight w:val="none"/>
          <w:lang w:val="en-US" w:eastAsia="zh-CN"/>
        </w:rPr>
        <w:t>如有</w:t>
      </w:r>
      <w:r>
        <w:rPr>
          <w:rFonts w:hint="eastAsia" w:hAnsi="宋体"/>
          <w:color w:val="auto"/>
          <w:highlight w:val="none"/>
          <w:lang w:eastAsia="zh-CN"/>
        </w:rPr>
        <w:t>）</w:t>
      </w:r>
      <w:r>
        <w:rPr>
          <w:rFonts w:hAnsi="宋体"/>
          <w:color w:val="auto"/>
          <w:highlight w:val="none"/>
        </w:rPr>
        <w:t>组成。</w:t>
      </w:r>
    </w:p>
    <w:p>
      <w:pPr>
        <w:pStyle w:val="30"/>
        <w:snapToGrid w:val="0"/>
        <w:spacing w:beforeLines="0" w:afterLines="0" w:line="360" w:lineRule="auto"/>
        <w:ind w:left="879" w:leftChars="129" w:hanging="518" w:hangingChars="215"/>
        <w:rPr>
          <w:rFonts w:hAnsi="宋体"/>
          <w:b/>
          <w:color w:val="auto"/>
          <w:highlight w:val="none"/>
        </w:rPr>
      </w:pPr>
      <w:r>
        <w:rPr>
          <w:rFonts w:hAnsi="宋体"/>
          <w:b/>
          <w:color w:val="auto"/>
          <w:highlight w:val="none"/>
        </w:rPr>
        <w:t>（二）评标的方式</w:t>
      </w:r>
    </w:p>
    <w:p>
      <w:pPr>
        <w:pStyle w:val="30"/>
        <w:snapToGrid w:val="0"/>
        <w:spacing w:beforeLines="0" w:afterLines="0" w:line="360" w:lineRule="auto"/>
        <w:ind w:left="878" w:leftChars="228" w:hanging="240" w:hangingChars="100"/>
        <w:rPr>
          <w:rFonts w:hAnsi="宋体"/>
          <w:color w:val="auto"/>
          <w:highlight w:val="none"/>
        </w:rPr>
      </w:pPr>
      <w:r>
        <w:rPr>
          <w:rFonts w:hAnsi="宋体"/>
          <w:color w:val="auto"/>
          <w:highlight w:val="none"/>
        </w:rPr>
        <w:t>本项目采用不公开方式评标，评标的依据为</w:t>
      </w:r>
      <w:r>
        <w:rPr>
          <w:rFonts w:hint="eastAsia" w:hAnsi="宋体"/>
          <w:color w:val="auto"/>
          <w:highlight w:val="none"/>
        </w:rPr>
        <w:t>招标文件</w:t>
      </w:r>
      <w:r>
        <w:rPr>
          <w:rFonts w:hAnsi="宋体"/>
          <w:color w:val="auto"/>
          <w:highlight w:val="none"/>
        </w:rPr>
        <w:t>和</w:t>
      </w:r>
      <w:r>
        <w:rPr>
          <w:rFonts w:hint="eastAsia" w:hAnsi="宋体"/>
          <w:color w:val="auto"/>
          <w:highlight w:val="none"/>
          <w:lang w:eastAsia="zh-CN"/>
        </w:rPr>
        <w:t>投标文件</w:t>
      </w:r>
      <w:r>
        <w:rPr>
          <w:rFonts w:hAnsi="宋体"/>
          <w:color w:val="auto"/>
          <w:highlight w:val="none"/>
        </w:rPr>
        <w:t>。</w:t>
      </w:r>
    </w:p>
    <w:p>
      <w:pPr>
        <w:pStyle w:val="30"/>
        <w:snapToGrid w:val="0"/>
        <w:spacing w:beforeLines="0" w:afterLines="0" w:line="360" w:lineRule="auto"/>
        <w:ind w:left="879" w:leftChars="129" w:hanging="518" w:hangingChars="215"/>
        <w:rPr>
          <w:rFonts w:hAnsi="宋体"/>
          <w:b/>
          <w:color w:val="auto"/>
          <w:highlight w:val="none"/>
        </w:rPr>
      </w:pPr>
      <w:r>
        <w:rPr>
          <w:rFonts w:hAnsi="宋体"/>
          <w:b/>
          <w:color w:val="auto"/>
          <w:highlight w:val="none"/>
        </w:rPr>
        <w:t>（三）</w:t>
      </w:r>
      <w:r>
        <w:rPr>
          <w:rFonts w:hAnsi="宋体"/>
          <w:b/>
          <w:bCs/>
          <w:color w:val="auto"/>
          <w:highlight w:val="none"/>
        </w:rPr>
        <w:t>评标程序</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360" w:lineRule="auto"/>
        <w:ind w:firstLine="480" w:firstLineChars="200"/>
        <w:rPr>
          <w:rFonts w:hint="eastAsia" w:ascii="宋体" w:hAnsi="宋体"/>
          <w:b/>
          <w:color w:val="auto"/>
          <w:sz w:val="24"/>
          <w:szCs w:val="20"/>
          <w:highlight w:val="none"/>
        </w:rPr>
      </w:pPr>
      <w:r>
        <w:rPr>
          <w:rFonts w:hint="eastAsia" w:ascii="宋体" w:hAnsi="宋体"/>
          <w:color w:val="auto"/>
          <w:sz w:val="24"/>
          <w:highlight w:val="none"/>
          <w:lang w:eastAsia="zh-CN"/>
        </w:rPr>
        <w:t>招标人</w:t>
      </w:r>
      <w:r>
        <w:rPr>
          <w:rFonts w:hint="eastAsia" w:ascii="宋体" w:hAnsi="宋体"/>
          <w:color w:val="auto"/>
          <w:sz w:val="24"/>
          <w:highlight w:val="none"/>
        </w:rPr>
        <w:t>代表和代理机构工作人员协助评标委员会对投标人的资格</w:t>
      </w:r>
      <w:r>
        <w:rPr>
          <w:rFonts w:ascii="宋体" w:hAnsi="宋体"/>
          <w:color w:val="auto"/>
          <w:sz w:val="24"/>
          <w:highlight w:val="none"/>
        </w:rPr>
        <w:t>和</w:t>
      </w:r>
      <w:r>
        <w:rPr>
          <w:rFonts w:hint="eastAsia" w:ascii="宋体" w:hAnsi="宋体"/>
          <w:color w:val="auto"/>
          <w:sz w:val="24"/>
          <w:highlight w:val="none"/>
          <w:lang w:eastAsia="zh-CN"/>
        </w:rPr>
        <w:t>投标文件</w:t>
      </w:r>
      <w:r>
        <w:rPr>
          <w:rFonts w:ascii="宋体" w:hAnsi="宋体"/>
          <w:color w:val="auto"/>
          <w:sz w:val="24"/>
          <w:highlight w:val="none"/>
        </w:rPr>
        <w:t>的完整性、合法性等进行审查。</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评标委员会</w:t>
      </w:r>
      <w:r>
        <w:rPr>
          <w:rFonts w:ascii="宋体" w:hAnsi="宋体"/>
          <w:color w:val="auto"/>
          <w:sz w:val="24"/>
          <w:highlight w:val="none"/>
        </w:rPr>
        <w:t>审查</w:t>
      </w:r>
      <w:r>
        <w:rPr>
          <w:rFonts w:hint="eastAsia" w:ascii="宋体" w:hAnsi="宋体"/>
          <w:color w:val="auto"/>
          <w:sz w:val="24"/>
          <w:highlight w:val="none"/>
          <w:lang w:eastAsia="zh-CN"/>
        </w:rPr>
        <w:t>投标文件</w:t>
      </w:r>
      <w:r>
        <w:rPr>
          <w:rFonts w:ascii="宋体" w:hAnsi="宋体"/>
          <w:color w:val="auto"/>
          <w:sz w:val="24"/>
          <w:highlight w:val="none"/>
        </w:rPr>
        <w:t>的实质性内容是否符合</w:t>
      </w:r>
      <w:r>
        <w:rPr>
          <w:rFonts w:hint="eastAsia" w:ascii="宋体" w:hAnsi="宋体"/>
          <w:color w:val="auto"/>
          <w:sz w:val="24"/>
          <w:highlight w:val="none"/>
        </w:rPr>
        <w:t>招标文件</w:t>
      </w:r>
      <w:r>
        <w:rPr>
          <w:rFonts w:ascii="宋体" w:hAnsi="宋体"/>
          <w:color w:val="auto"/>
          <w:sz w:val="24"/>
          <w:highlight w:val="none"/>
        </w:rPr>
        <w:t>的实质性要求。</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评标委员会</w:t>
      </w:r>
      <w:r>
        <w:rPr>
          <w:rFonts w:ascii="宋体" w:hAnsi="宋体"/>
          <w:color w:val="auto"/>
          <w:sz w:val="24"/>
          <w:highlight w:val="none"/>
        </w:rPr>
        <w:t>将根据投标人的</w:t>
      </w:r>
      <w:r>
        <w:rPr>
          <w:rFonts w:hint="eastAsia" w:ascii="宋体" w:hAnsi="宋体"/>
          <w:color w:val="auto"/>
          <w:sz w:val="24"/>
          <w:highlight w:val="none"/>
          <w:lang w:eastAsia="zh-CN"/>
        </w:rPr>
        <w:t>投标文件</w:t>
      </w:r>
      <w:r>
        <w:rPr>
          <w:rFonts w:ascii="宋体" w:hAnsi="宋体"/>
          <w:color w:val="auto"/>
          <w:sz w:val="24"/>
          <w:highlight w:val="none"/>
        </w:rPr>
        <w:t>进行审查、核对,如有疑问,将对投标人进行询标,投标人要向</w:t>
      </w:r>
      <w:r>
        <w:rPr>
          <w:rFonts w:hint="eastAsia" w:ascii="宋体" w:hAnsi="宋体"/>
          <w:color w:val="auto"/>
          <w:sz w:val="24"/>
          <w:highlight w:val="none"/>
        </w:rPr>
        <w:t>评标委员会</w:t>
      </w:r>
      <w:r>
        <w:rPr>
          <w:rFonts w:ascii="宋体" w:hAnsi="宋体"/>
          <w:color w:val="auto"/>
          <w:sz w:val="24"/>
          <w:highlight w:val="none"/>
        </w:rPr>
        <w:t>澄清有关问题,并最终以书面形式进行答复。</w:t>
      </w:r>
      <w:r>
        <w:rPr>
          <w:rFonts w:hint="eastAsia" w:ascii="宋体" w:hAnsi="宋体"/>
          <w:color w:val="auto"/>
          <w:sz w:val="24"/>
          <w:highlight w:val="none"/>
        </w:rPr>
        <w:t>投标人代表未到场或者拒绝澄清或者澄清的内容改变了</w:t>
      </w:r>
      <w:r>
        <w:rPr>
          <w:rFonts w:hint="eastAsia" w:ascii="宋体" w:hAnsi="宋体"/>
          <w:color w:val="auto"/>
          <w:sz w:val="24"/>
          <w:highlight w:val="none"/>
          <w:lang w:eastAsia="zh-CN"/>
        </w:rPr>
        <w:t>投标文件</w:t>
      </w:r>
      <w:r>
        <w:rPr>
          <w:rFonts w:hint="eastAsia" w:ascii="宋体" w:hAnsi="宋体"/>
          <w:color w:val="auto"/>
          <w:sz w:val="24"/>
          <w:highlight w:val="none"/>
        </w:rPr>
        <w:t>的实质性内容的，评标委员会有权对该</w:t>
      </w:r>
      <w:r>
        <w:rPr>
          <w:rFonts w:hint="eastAsia" w:ascii="宋体" w:hAnsi="宋体"/>
          <w:color w:val="auto"/>
          <w:sz w:val="24"/>
          <w:highlight w:val="none"/>
          <w:lang w:eastAsia="zh-CN"/>
        </w:rPr>
        <w:t>投标文件</w:t>
      </w:r>
      <w:r>
        <w:rPr>
          <w:rFonts w:hint="eastAsia" w:ascii="宋体" w:hAnsi="宋体"/>
          <w:color w:val="auto"/>
          <w:sz w:val="24"/>
          <w:highlight w:val="none"/>
        </w:rPr>
        <w:t>作出不利于投标人的评判。</w:t>
      </w:r>
    </w:p>
    <w:p>
      <w:pPr>
        <w:snapToGrid w:val="0"/>
        <w:spacing w:line="360" w:lineRule="auto"/>
        <w:ind w:firstLine="480" w:firstLineChars="200"/>
        <w:rPr>
          <w:rFonts w:hint="eastAsia"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代理机构工作人员协助评标委员会</w:t>
      </w:r>
      <w:r>
        <w:rPr>
          <w:rFonts w:ascii="宋体" w:hAnsi="宋体"/>
          <w:color w:val="auto"/>
          <w:sz w:val="24"/>
          <w:highlight w:val="none"/>
        </w:rPr>
        <w:t>根据</w:t>
      </w:r>
      <w:r>
        <w:rPr>
          <w:rFonts w:hint="eastAsia" w:ascii="宋体" w:hAnsi="宋体"/>
          <w:color w:val="auto"/>
          <w:sz w:val="24"/>
          <w:highlight w:val="none"/>
        </w:rPr>
        <w:t>本项目的评分标准</w:t>
      </w:r>
      <w:r>
        <w:rPr>
          <w:rFonts w:ascii="宋体" w:hAnsi="宋体"/>
          <w:color w:val="auto"/>
          <w:sz w:val="24"/>
          <w:highlight w:val="none"/>
        </w:rPr>
        <w:t>计算各投标人的商务报价得分</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w:t>
      </w:r>
      <w:r>
        <w:rPr>
          <w:rFonts w:ascii="宋体" w:hAnsi="宋体"/>
          <w:color w:val="auto"/>
          <w:sz w:val="24"/>
          <w:highlight w:val="none"/>
        </w:rPr>
        <w:t>。</w:t>
      </w:r>
      <w:r>
        <w:rPr>
          <w:rFonts w:hint="eastAsia" w:ascii="宋体" w:hAnsi="宋体"/>
          <w:color w:val="auto"/>
          <w:sz w:val="24"/>
          <w:highlight w:val="none"/>
        </w:rPr>
        <w:t>评标委员会</w:t>
      </w:r>
      <w:r>
        <w:rPr>
          <w:rFonts w:ascii="宋体" w:hAnsi="宋体"/>
          <w:color w:val="auto"/>
          <w:sz w:val="24"/>
          <w:highlight w:val="none"/>
        </w:rPr>
        <w:t>按评标原则推荐中标候选人同时起草评标报告。</w:t>
      </w:r>
    </w:p>
    <w:p>
      <w:pPr>
        <w:snapToGrid w:val="0"/>
        <w:spacing w:line="360" w:lineRule="auto"/>
        <w:ind w:firstLine="359" w:firstLineChars="149"/>
        <w:rPr>
          <w:rFonts w:ascii="宋体" w:hAnsi="宋体"/>
          <w:b/>
          <w:color w:val="auto"/>
          <w:sz w:val="24"/>
          <w:szCs w:val="20"/>
          <w:highlight w:val="none"/>
        </w:rPr>
      </w:pPr>
      <w:r>
        <w:rPr>
          <w:rFonts w:hint="eastAsia" w:ascii="宋体" w:hAnsi="宋体"/>
          <w:b/>
          <w:color w:val="auto"/>
          <w:sz w:val="24"/>
          <w:highlight w:val="none"/>
        </w:rPr>
        <w:t>（四）澄清问题的形式</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对</w:t>
      </w:r>
      <w:r>
        <w:rPr>
          <w:rFonts w:hint="eastAsia" w:ascii="宋体" w:hAnsi="宋体"/>
          <w:color w:val="auto"/>
          <w:sz w:val="24"/>
          <w:highlight w:val="none"/>
          <w:lang w:eastAsia="zh-CN"/>
        </w:rPr>
        <w:t>投标文件</w:t>
      </w:r>
      <w:r>
        <w:rPr>
          <w:rFonts w:hint="eastAsia" w:ascii="宋体" w:hAnsi="宋体"/>
          <w:color w:val="auto"/>
          <w:sz w:val="24"/>
          <w:highlight w:val="none"/>
        </w:rPr>
        <w:t>中含义不明确、同类问题表述不一致或者有明显文字和计算错误的内容，评标委员会可要求投标人作出必要的澄清、说明或者纠正。投标人的澄清、说明或者补正应当采用书面形式，由其授权代表签字或盖章确认，并不得超出</w:t>
      </w:r>
      <w:r>
        <w:rPr>
          <w:rFonts w:hint="eastAsia" w:ascii="宋体" w:hAnsi="宋体"/>
          <w:color w:val="auto"/>
          <w:sz w:val="24"/>
          <w:highlight w:val="none"/>
          <w:lang w:eastAsia="zh-CN"/>
        </w:rPr>
        <w:t>投标文件</w:t>
      </w:r>
      <w:r>
        <w:rPr>
          <w:rFonts w:hint="eastAsia" w:ascii="宋体" w:hAnsi="宋体"/>
          <w:color w:val="auto"/>
          <w:sz w:val="24"/>
          <w:highlight w:val="none"/>
        </w:rPr>
        <w:t>的范围或者改变</w:t>
      </w:r>
      <w:r>
        <w:rPr>
          <w:rFonts w:hint="eastAsia" w:ascii="宋体" w:hAnsi="宋体"/>
          <w:color w:val="auto"/>
          <w:sz w:val="24"/>
          <w:highlight w:val="none"/>
          <w:lang w:eastAsia="zh-CN"/>
        </w:rPr>
        <w:t>投标文件</w:t>
      </w:r>
      <w:r>
        <w:rPr>
          <w:rFonts w:hint="eastAsia" w:ascii="宋体" w:hAnsi="宋体"/>
          <w:color w:val="auto"/>
          <w:sz w:val="24"/>
          <w:highlight w:val="none"/>
        </w:rPr>
        <w:t>的实质性内容。</w:t>
      </w:r>
    </w:p>
    <w:p>
      <w:pPr>
        <w:pStyle w:val="30"/>
        <w:snapToGrid w:val="0"/>
        <w:spacing w:beforeLines="0" w:afterLines="0" w:line="360" w:lineRule="auto"/>
        <w:ind w:left="877" w:leftChars="129" w:hanging="516" w:hangingChars="214"/>
        <w:rPr>
          <w:rFonts w:hAnsi="宋体"/>
          <w:b/>
          <w:color w:val="auto"/>
          <w:highlight w:val="none"/>
        </w:rPr>
      </w:pPr>
      <w:r>
        <w:rPr>
          <w:rFonts w:hAnsi="宋体"/>
          <w:b/>
          <w:color w:val="auto"/>
          <w:highlight w:val="none"/>
        </w:rPr>
        <w:t>（五）错误修正</w:t>
      </w:r>
    </w:p>
    <w:p>
      <w:pPr>
        <w:pStyle w:val="30"/>
        <w:snapToGrid w:val="0"/>
        <w:spacing w:beforeLines="0" w:afterLines="0" w:line="360" w:lineRule="auto"/>
        <w:ind w:firstLine="480" w:firstLineChars="200"/>
        <w:rPr>
          <w:rFonts w:hAnsi="宋体"/>
          <w:color w:val="auto"/>
          <w:highlight w:val="none"/>
        </w:rPr>
      </w:pPr>
      <w:r>
        <w:rPr>
          <w:rFonts w:hint="eastAsia" w:hAnsi="宋体"/>
          <w:color w:val="auto"/>
          <w:highlight w:val="none"/>
          <w:lang w:eastAsia="zh-CN"/>
        </w:rPr>
        <w:t>投标文件</w:t>
      </w:r>
      <w:r>
        <w:rPr>
          <w:rFonts w:hAnsi="宋体"/>
          <w:color w:val="auto"/>
          <w:highlight w:val="none"/>
        </w:rPr>
        <w:t>如果出现计算或表达上的错误，修正错误的原则如下：</w:t>
      </w:r>
    </w:p>
    <w:p>
      <w:pPr>
        <w:pStyle w:val="30"/>
        <w:snapToGrid w:val="0"/>
        <w:spacing w:before="120" w:after="12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hAnsi="宋体" w:cs="Times New Roman"/>
          <w:color w:val="auto"/>
          <w:kern w:val="2"/>
          <w:sz w:val="24"/>
          <w:szCs w:val="24"/>
          <w:highlight w:val="none"/>
          <w:lang w:val="en-US" w:eastAsia="zh-CN" w:bidi="ar-SA"/>
        </w:rPr>
        <w:t>浙江政府采购网</w:t>
      </w:r>
      <w:r>
        <w:rPr>
          <w:rFonts w:hint="eastAsia" w:ascii="宋体" w:hAnsi="宋体" w:eastAsia="宋体" w:cs="Times New Roman"/>
          <w:color w:val="auto"/>
          <w:kern w:val="2"/>
          <w:sz w:val="24"/>
          <w:szCs w:val="24"/>
          <w:highlight w:val="none"/>
          <w:lang w:val="en-US" w:eastAsia="zh-CN" w:bidi="ar-SA"/>
        </w:rPr>
        <w:t>网上投标系统”上开启的投标报价或工期与电子投标文件中开标一览表（报价表）内容不一致的，以电子投标文件中开标一览表（报价表）为准；</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2、投标文件中开标一览表(报价表)内容与投标文件中相应内容不一致的，以开标一览表(报价表)为准；</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3、大写金额和小写金额不一致的，以大写金额为准；</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4、单价金额小数点或者百分比有明显错位的，以开标一览表的总价为准，并修改单价；</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5、总价金额与按单价汇总金额不一致的，以总价金额为准，合理调整单价；</w:t>
      </w:r>
    </w:p>
    <w:p>
      <w:pPr>
        <w:pStyle w:val="30"/>
        <w:snapToGrid w:val="0"/>
        <w:spacing w:beforeLines="0" w:afterLines="0"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6、对不同文字文本报价文件的解释发生异议的，以中文文本为准。</w:t>
      </w:r>
    </w:p>
    <w:p>
      <w:pPr>
        <w:pStyle w:val="30"/>
        <w:snapToGrid w:val="0"/>
        <w:spacing w:beforeLines="0" w:afterLines="0" w:line="360" w:lineRule="auto"/>
        <w:ind w:firstLine="482" w:firstLineChars="200"/>
        <w:rPr>
          <w:rFonts w:hAnsi="宋体"/>
          <w:b/>
          <w:bCs/>
          <w:color w:val="auto"/>
          <w:highlight w:val="none"/>
        </w:rPr>
      </w:pPr>
      <w:r>
        <w:rPr>
          <w:rFonts w:hint="eastAsia" w:ascii="宋体" w:hAnsi="宋体" w:eastAsia="宋体" w:cs="宋体"/>
          <w:b/>
          <w:bCs/>
          <w:color w:val="auto"/>
          <w:sz w:val="24"/>
          <w:szCs w:val="24"/>
          <w:highlight w:val="none"/>
        </w:rPr>
        <w:t>同时出现两种以上不一致的，按照前款规定的顺序修正。</w:t>
      </w:r>
      <w:r>
        <w:rPr>
          <w:rFonts w:hAnsi="宋体"/>
          <w:b/>
          <w:bCs/>
          <w:color w:val="auto"/>
          <w:highlight w:val="none"/>
        </w:rPr>
        <w:t>按上述修正错误的原则及方法调整或修正</w:t>
      </w:r>
      <w:r>
        <w:rPr>
          <w:rFonts w:hint="eastAsia" w:hAnsi="宋体"/>
          <w:b/>
          <w:bCs/>
          <w:color w:val="auto"/>
          <w:highlight w:val="none"/>
          <w:lang w:eastAsia="zh-CN"/>
        </w:rPr>
        <w:t>投标文件</w:t>
      </w:r>
      <w:r>
        <w:rPr>
          <w:rFonts w:hAnsi="宋体"/>
          <w:b/>
          <w:bCs/>
          <w:color w:val="auto"/>
          <w:highlight w:val="none"/>
        </w:rPr>
        <w:t>的投标报价，投标人同意并签字确认后，调整后的投标报价对投标人具有约束作用。如果投标人不接受修正后的报价，则其投标将作为无效投标处理。</w:t>
      </w:r>
    </w:p>
    <w:p>
      <w:pPr>
        <w:autoSpaceDE w:val="0"/>
        <w:autoSpaceDN w:val="0"/>
        <w:adjustRightInd w:val="0"/>
        <w:spacing w:line="360" w:lineRule="auto"/>
        <w:ind w:firstLine="359" w:firstLineChars="149"/>
        <w:rPr>
          <w:rFonts w:ascii="宋体"/>
          <w:b/>
          <w:color w:val="auto"/>
          <w:kern w:val="0"/>
          <w:sz w:val="24"/>
          <w:highlight w:val="none"/>
        </w:rPr>
      </w:pPr>
      <w:r>
        <w:rPr>
          <w:rFonts w:hint="eastAsia" w:ascii="宋体"/>
          <w:b/>
          <w:color w:val="auto"/>
          <w:kern w:val="0"/>
          <w:sz w:val="24"/>
          <w:highlight w:val="none"/>
        </w:rPr>
        <w:t>（六）有下列情况之一的，本次招标作为废标处理，除采购任务取消外，由</w:t>
      </w:r>
      <w:r>
        <w:rPr>
          <w:rFonts w:hint="eastAsia" w:ascii="宋体"/>
          <w:b/>
          <w:color w:val="auto"/>
          <w:kern w:val="0"/>
          <w:sz w:val="24"/>
          <w:highlight w:val="none"/>
          <w:lang w:eastAsia="zh-CN"/>
        </w:rPr>
        <w:t>招标人</w:t>
      </w:r>
      <w:r>
        <w:rPr>
          <w:rFonts w:hint="eastAsia" w:ascii="宋体"/>
          <w:b/>
          <w:color w:val="auto"/>
          <w:kern w:val="0"/>
          <w:sz w:val="24"/>
          <w:highlight w:val="none"/>
        </w:rPr>
        <w:t>重新组织招标：</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3、投标人的报价均超过了采购预算，招标人不能支付的；</w:t>
      </w:r>
    </w:p>
    <w:p>
      <w:pPr>
        <w:snapToGrid w:val="0"/>
        <w:spacing w:line="360" w:lineRule="auto"/>
        <w:ind w:firstLine="480" w:firstLineChars="200"/>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4、因重大变故，采购任务取消的。</w:t>
      </w:r>
    </w:p>
    <w:p>
      <w:pPr>
        <w:pStyle w:val="30"/>
        <w:tabs>
          <w:tab w:val="left" w:pos="630"/>
        </w:tabs>
        <w:snapToGrid w:val="0"/>
        <w:spacing w:beforeLines="0" w:afterLines="0" w:line="360" w:lineRule="auto"/>
        <w:ind w:firstLine="359" w:firstLineChars="149"/>
        <w:rPr>
          <w:rFonts w:hAnsi="宋体"/>
          <w:b/>
          <w:color w:val="auto"/>
          <w:highlight w:val="none"/>
        </w:rPr>
      </w:pPr>
      <w:r>
        <w:rPr>
          <w:rFonts w:hAnsi="宋体"/>
          <w:b/>
          <w:color w:val="auto"/>
          <w:highlight w:val="none"/>
        </w:rPr>
        <w:t>（七）评标原则和评标办法</w:t>
      </w:r>
    </w:p>
    <w:p>
      <w:pPr>
        <w:pStyle w:val="30"/>
        <w:snapToGrid w:val="0"/>
        <w:spacing w:beforeLines="0" w:afterLines="0" w:line="360" w:lineRule="auto"/>
        <w:ind w:firstLine="480" w:firstLineChars="200"/>
        <w:rPr>
          <w:rFonts w:hAnsi="宋体"/>
          <w:color w:val="auto"/>
          <w:highlight w:val="none"/>
        </w:rPr>
      </w:pPr>
      <w:r>
        <w:rPr>
          <w:rFonts w:hAnsi="宋体"/>
          <w:color w:val="auto"/>
          <w:highlight w:val="none"/>
        </w:rPr>
        <w:t>1、评标原则。</w:t>
      </w:r>
      <w:r>
        <w:rPr>
          <w:rFonts w:hint="eastAsia" w:hAnsi="宋体"/>
          <w:color w:val="auto"/>
          <w:highlight w:val="none"/>
        </w:rPr>
        <w:t>评标委员会</w:t>
      </w:r>
      <w:r>
        <w:rPr>
          <w:rFonts w:hAnsi="宋体"/>
          <w:color w:val="auto"/>
          <w:highlight w:val="none"/>
        </w:rPr>
        <w:t>必须公平、公正、客观，不带任何倾向性和启发性；不得向外界透露任何与评标有关的内容；任何单位和个人不得干扰、影响评标的正常进行；</w:t>
      </w:r>
      <w:r>
        <w:rPr>
          <w:rFonts w:hint="eastAsia" w:hAnsi="宋体"/>
          <w:color w:val="auto"/>
          <w:highlight w:val="none"/>
        </w:rPr>
        <w:t>评标委员会</w:t>
      </w:r>
      <w:r>
        <w:rPr>
          <w:rFonts w:hAnsi="宋体"/>
          <w:color w:val="auto"/>
          <w:highlight w:val="none"/>
        </w:rPr>
        <w:t>及有关工作人员不得私下与投标人接触。</w:t>
      </w:r>
    </w:p>
    <w:p>
      <w:pPr>
        <w:pStyle w:val="30"/>
        <w:snapToGrid w:val="0"/>
        <w:spacing w:beforeLines="0" w:afterLines="0" w:line="360" w:lineRule="auto"/>
        <w:ind w:firstLine="480" w:firstLineChars="200"/>
        <w:rPr>
          <w:rFonts w:hAnsi="宋体"/>
          <w:color w:val="auto"/>
          <w:highlight w:val="none"/>
        </w:rPr>
      </w:pPr>
      <w:r>
        <w:rPr>
          <w:rFonts w:hAnsi="宋体"/>
          <w:color w:val="auto"/>
          <w:highlight w:val="none"/>
        </w:rPr>
        <w:t>2、评标办法。具体评标内容及评分标准等详见《第四章：评标办法及评分标准》。</w:t>
      </w:r>
    </w:p>
    <w:p>
      <w:pPr>
        <w:pStyle w:val="30"/>
        <w:snapToGrid w:val="0"/>
        <w:spacing w:beforeLines="0" w:afterLines="0" w:line="360" w:lineRule="auto"/>
        <w:ind w:firstLine="359" w:firstLineChars="149"/>
        <w:rPr>
          <w:rFonts w:hAnsi="宋体"/>
          <w:b/>
          <w:color w:val="auto"/>
          <w:highlight w:val="none"/>
        </w:rPr>
      </w:pPr>
      <w:r>
        <w:rPr>
          <w:rFonts w:hAnsi="宋体"/>
          <w:b/>
          <w:color w:val="auto"/>
          <w:highlight w:val="none"/>
        </w:rPr>
        <w:t>（八）评标过程的监控</w:t>
      </w:r>
    </w:p>
    <w:p>
      <w:pPr>
        <w:pStyle w:val="30"/>
        <w:snapToGrid w:val="0"/>
        <w:spacing w:beforeLines="0" w:afterLines="0" w:line="360" w:lineRule="auto"/>
        <w:ind w:firstLine="480" w:firstLineChars="200"/>
        <w:rPr>
          <w:rFonts w:hAnsi="宋体"/>
          <w:color w:val="auto"/>
          <w:highlight w:val="none"/>
        </w:rPr>
      </w:pPr>
      <w:r>
        <w:rPr>
          <w:rFonts w:hAnsi="宋体"/>
          <w:color w:val="auto"/>
          <w:highlight w:val="none"/>
        </w:rPr>
        <w:t>本项目评标过程实行全程录音、录像监控，投标人在评标过程中所进行的试图影响评标结果的不公正活动，可能导致其投标被拒绝。</w:t>
      </w:r>
    </w:p>
    <w:p>
      <w:pPr>
        <w:pStyle w:val="30"/>
        <w:snapToGrid w:val="0"/>
        <w:spacing w:beforeLines="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六、定标</w:t>
      </w:r>
    </w:p>
    <w:p>
      <w:pPr>
        <w:pStyle w:val="30"/>
        <w:snapToGrid w:val="0"/>
        <w:spacing w:beforeLines="0" w:afterLines="0" w:line="360" w:lineRule="auto"/>
        <w:ind w:firstLine="472" w:firstLineChars="196"/>
        <w:rPr>
          <w:rFonts w:hAnsi="宋体"/>
          <w:b/>
          <w:bCs/>
          <w:color w:val="auto"/>
          <w:szCs w:val="20"/>
          <w:highlight w:val="none"/>
        </w:rPr>
      </w:pPr>
      <w:r>
        <w:rPr>
          <w:rFonts w:hAnsi="宋体"/>
          <w:b/>
          <w:bCs/>
          <w:color w:val="auto"/>
          <w:highlight w:val="none"/>
        </w:rPr>
        <w:t>（一）确定中标人。</w:t>
      </w:r>
    </w:p>
    <w:p>
      <w:pPr>
        <w:pStyle w:val="30"/>
        <w:snapToGrid w:val="0"/>
        <w:spacing w:before="120" w:beforeLines="0" w:after="120" w:afterLines="0" w:line="360" w:lineRule="auto"/>
        <w:ind w:firstLine="470" w:firstLineChars="196"/>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30"/>
        <w:snapToGrid w:val="0"/>
        <w:spacing w:before="120" w:beforeLines="0" w:after="12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七、合同授予</w:t>
      </w:r>
    </w:p>
    <w:p>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pPr>
        <w:snapToGrid w:val="0"/>
        <w:spacing w:line="360" w:lineRule="auto"/>
        <w:ind w:firstLine="480" w:firstLineChars="200"/>
        <w:rPr>
          <w:rFonts w:hint="eastAsia" w:ascii="宋体" w:hAnsi="宋体" w:eastAsia="宋体"/>
          <w:color w:val="auto"/>
          <w:sz w:val="24"/>
          <w:szCs w:val="20"/>
          <w:highlight w:val="none"/>
          <w:lang w:eastAsia="zh-CN"/>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hint="eastAsia" w:ascii="宋体" w:hAnsi="宋体"/>
          <w:color w:val="auto"/>
          <w:sz w:val="24"/>
          <w:highlight w:val="none"/>
        </w:rPr>
        <w:t>应当在《中标通知书》发出之日起15日内将合同提交至招标人处，双方在 30 日内将合同签订完成。同时，采购代理机构对合同内容进行审查，如发现与采购结果和投标承诺内容不一致的，应予以纠正</w:t>
      </w:r>
      <w:r>
        <w:rPr>
          <w:rFonts w:hint="eastAsia" w:ascii="宋体" w:hAnsi="宋体"/>
          <w:color w:val="auto"/>
          <w:sz w:val="24"/>
          <w:highlight w:val="none"/>
          <w:lang w:eastAsia="zh-CN"/>
        </w:rPr>
        <w:t>。</w:t>
      </w:r>
    </w:p>
    <w:p>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中标人</w:t>
      </w:r>
      <w:r>
        <w:rPr>
          <w:rFonts w:ascii="宋体" w:hAnsi="宋体"/>
          <w:color w:val="auto"/>
          <w:sz w:val="24"/>
          <w:highlight w:val="none"/>
        </w:rPr>
        <w:t>拖延、拒签合同的,将被扣罚投标保证金并取消中标资格。</w:t>
      </w:r>
    </w:p>
    <w:p>
      <w:pPr>
        <w:pStyle w:val="30"/>
        <w:snapToGrid w:val="0"/>
        <w:spacing w:beforeLines="0" w:afterLines="0" w:line="360" w:lineRule="auto"/>
        <w:ind w:firstLine="472" w:firstLineChars="196"/>
        <w:rPr>
          <w:rFonts w:hAnsi="宋体"/>
          <w:b/>
          <w:color w:val="auto"/>
          <w:highlight w:val="none"/>
        </w:rPr>
      </w:pPr>
      <w:r>
        <w:rPr>
          <w:rFonts w:hAnsi="宋体"/>
          <w:b/>
          <w:color w:val="auto"/>
          <w:highlight w:val="none"/>
        </w:rPr>
        <w:t>（二）履约保证金</w:t>
      </w:r>
    </w:p>
    <w:p>
      <w:pPr>
        <w:pStyle w:val="30"/>
        <w:snapToGrid w:val="0"/>
        <w:spacing w:before="120" w:after="120" w:line="360" w:lineRule="auto"/>
        <w:ind w:firstLine="480" w:firstLineChars="200"/>
        <w:rPr>
          <w:rFonts w:hAnsi="宋体"/>
          <w:color w:val="auto"/>
          <w:highlight w:val="none"/>
        </w:rPr>
      </w:pPr>
      <w:r>
        <w:rPr>
          <w:rFonts w:hAnsi="宋体"/>
          <w:color w:val="auto"/>
          <w:highlight w:val="none"/>
        </w:rPr>
        <w:t>1.签订合同前，中标人应按招标文件确定的履约保证金的金额，向</w:t>
      </w:r>
      <w:r>
        <w:rPr>
          <w:rFonts w:hint="eastAsia" w:hAnsi="宋体"/>
          <w:color w:val="auto"/>
          <w:highlight w:val="none"/>
          <w:lang w:eastAsia="zh-CN"/>
        </w:rPr>
        <w:t>招标人</w:t>
      </w:r>
      <w:r>
        <w:rPr>
          <w:rFonts w:hAnsi="宋体"/>
          <w:color w:val="auto"/>
          <w:highlight w:val="none"/>
        </w:rPr>
        <w:t>交纳履约保证金，否则，</w:t>
      </w:r>
      <w:r>
        <w:rPr>
          <w:rFonts w:hint="eastAsia" w:hAnsi="宋体"/>
          <w:color w:val="auto"/>
          <w:highlight w:val="none"/>
          <w:lang w:eastAsia="zh-CN"/>
        </w:rPr>
        <w:t>招标人</w:t>
      </w:r>
      <w:r>
        <w:rPr>
          <w:rFonts w:hAnsi="宋体"/>
          <w:color w:val="auto"/>
          <w:highlight w:val="none"/>
        </w:rPr>
        <w:t>将没收中标人的全部投标保证金。</w:t>
      </w:r>
    </w:p>
    <w:p>
      <w:pPr>
        <w:pStyle w:val="30"/>
        <w:snapToGrid w:val="0"/>
        <w:spacing w:before="120" w:after="120" w:line="360" w:lineRule="auto"/>
        <w:ind w:firstLine="480" w:firstLineChars="200"/>
        <w:rPr>
          <w:rFonts w:hAnsi="宋体"/>
          <w:color w:val="auto"/>
          <w:highlight w:val="none"/>
        </w:rPr>
      </w:pPr>
      <w:r>
        <w:rPr>
          <w:rFonts w:hAnsi="宋体"/>
          <w:color w:val="auto"/>
          <w:highlight w:val="none"/>
        </w:rPr>
        <w:t>2.签订合同后，如中标人不按双方合同约定履约，则没收其全部履约保证金，履约保证金不足以赔偿损失的，按实际损失赔偿。</w:t>
      </w:r>
    </w:p>
    <w:p>
      <w:pPr>
        <w:pStyle w:val="30"/>
        <w:snapToGrid w:val="0"/>
        <w:spacing w:before="120" w:beforeLines="0" w:after="120" w:afterLines="0" w:line="360" w:lineRule="auto"/>
        <w:rPr>
          <w:color w:val="auto"/>
          <w:highlight w:val="none"/>
        </w:rPr>
      </w:pPr>
      <w:r>
        <w:rPr>
          <w:color w:val="auto"/>
          <w:highlight w:val="none"/>
        </w:rPr>
        <w:br w:type="page"/>
      </w:r>
    </w:p>
    <w:p>
      <w:pPr>
        <w:pStyle w:val="30"/>
        <w:snapToGrid w:val="0"/>
        <w:spacing w:before="120" w:beforeLines="0" w:after="120" w:afterLines="0" w:line="360" w:lineRule="auto"/>
        <w:jc w:val="center"/>
        <w:outlineLvl w:val="0"/>
        <w:rPr>
          <w:b/>
          <w:color w:val="auto"/>
          <w:sz w:val="30"/>
          <w:szCs w:val="30"/>
          <w:highlight w:val="none"/>
        </w:rPr>
      </w:pPr>
      <w:r>
        <w:rPr>
          <w:b/>
          <w:color w:val="auto"/>
          <w:sz w:val="30"/>
          <w:szCs w:val="30"/>
          <w:highlight w:val="none"/>
        </w:rPr>
        <w:t>第四章  评标办法及评分标准</w:t>
      </w:r>
    </w:p>
    <w:p>
      <w:pPr>
        <w:spacing w:before="120" w:beforeLines="50" w:after="120" w:afterLines="50"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w:t>
      </w:r>
      <w:r>
        <w:rPr>
          <w:rFonts w:hint="eastAsia"/>
          <w:color w:val="auto"/>
          <w:sz w:val="24"/>
          <w:highlight w:val="none"/>
        </w:rPr>
        <w:t>招标投标法</w:t>
      </w:r>
      <w:r>
        <w:rPr>
          <w:rFonts w:hint="eastAsia" w:ascii="宋体" w:hAnsi="宋体" w:cs="宋体"/>
          <w:color w:val="auto"/>
          <w:sz w:val="24"/>
          <w:highlight w:val="none"/>
        </w:rPr>
        <w:t>》等有关法律法规的规定，并结合本项目的实际，制定本办法。</w:t>
      </w:r>
    </w:p>
    <w:p>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pPr>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总分为100分，其中</w:t>
      </w:r>
      <w:r>
        <w:rPr>
          <w:rFonts w:hint="eastAsia" w:ascii="宋体" w:hAnsi="宋体"/>
          <w:b/>
          <w:color w:val="auto"/>
          <w:sz w:val="24"/>
          <w:highlight w:val="none"/>
          <w:lang w:val="en-US" w:eastAsia="zh-CN"/>
        </w:rPr>
        <w:t>技术标得</w:t>
      </w:r>
      <w:r>
        <w:rPr>
          <w:rFonts w:hint="eastAsia" w:ascii="宋体" w:hAnsi="宋体"/>
          <w:b/>
          <w:color w:val="auto"/>
          <w:sz w:val="24"/>
          <w:highlight w:val="none"/>
        </w:rPr>
        <w:t>分</w:t>
      </w:r>
      <w:r>
        <w:rPr>
          <w:rFonts w:hint="eastAsia" w:ascii="宋体" w:hAnsi="宋体"/>
          <w:b/>
          <w:color w:val="auto"/>
          <w:sz w:val="24"/>
          <w:highlight w:val="none"/>
          <w:lang w:val="en-US" w:eastAsia="zh-CN"/>
        </w:rPr>
        <w:t>20分、商务标得</w:t>
      </w:r>
      <w:r>
        <w:rPr>
          <w:rFonts w:hint="eastAsia" w:ascii="宋体" w:hAnsi="宋体"/>
          <w:b/>
          <w:color w:val="auto"/>
          <w:sz w:val="24"/>
          <w:highlight w:val="none"/>
        </w:rPr>
        <w:t>分</w:t>
      </w:r>
      <w:r>
        <w:rPr>
          <w:rFonts w:hint="eastAsia" w:ascii="宋体" w:hAnsi="宋体"/>
          <w:b/>
          <w:color w:val="auto"/>
          <w:sz w:val="24"/>
          <w:highlight w:val="none"/>
          <w:lang w:val="en-US" w:eastAsia="zh-CN"/>
        </w:rPr>
        <w:t>80</w:t>
      </w:r>
      <w:r>
        <w:rPr>
          <w:rFonts w:hint="eastAsia" w:ascii="宋体" w:hAnsi="宋体"/>
          <w:b/>
          <w:color w:val="auto"/>
          <w:sz w:val="24"/>
          <w:highlight w:val="none"/>
        </w:rPr>
        <w:t>分</w:t>
      </w:r>
      <w:r>
        <w:rPr>
          <w:rFonts w:hint="eastAsia" w:ascii="宋体" w:hAnsi="宋体"/>
          <w:color w:val="auto"/>
          <w:sz w:val="24"/>
          <w:highlight w:val="none"/>
        </w:rPr>
        <w:t>。</w:t>
      </w:r>
    </w:p>
    <w:p>
      <w:pPr>
        <w:spacing w:before="120" w:beforeLines="50" w:after="120" w:afterLines="50" w:line="360" w:lineRule="auto"/>
        <w:rPr>
          <w:rFonts w:hint="eastAsia" w:ascii="宋体" w:hAnsi="宋体" w:cs="宋体"/>
          <w:color w:val="auto"/>
          <w:sz w:val="24"/>
          <w:highlight w:val="none"/>
        </w:rPr>
      </w:pPr>
      <w:r>
        <w:rPr>
          <w:rFonts w:hint="eastAsia" w:ascii="宋体" w:hAnsi="宋体"/>
          <w:bCs/>
          <w:color w:val="auto"/>
          <w:sz w:val="24"/>
          <w:highlight w:val="none"/>
        </w:rPr>
        <w:t>各投标人的总得分＝技术标得分</w:t>
      </w:r>
      <w:r>
        <w:rPr>
          <w:rFonts w:hint="eastAsia" w:ascii="宋体" w:hAnsi="宋体"/>
          <w:bCs/>
          <w:color w:val="auto"/>
          <w:sz w:val="24"/>
          <w:highlight w:val="none"/>
          <w:lang w:val="en-US" w:eastAsia="zh-CN"/>
        </w:rPr>
        <w:t>+</w:t>
      </w:r>
      <w:r>
        <w:rPr>
          <w:rFonts w:hint="eastAsia" w:ascii="宋体" w:hAnsi="宋体"/>
          <w:bCs/>
          <w:color w:val="auto"/>
          <w:sz w:val="24"/>
          <w:highlight w:val="none"/>
        </w:rPr>
        <w:t>商务标得分。</w:t>
      </w:r>
    </w:p>
    <w:p>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二、评标内容及标准</w:t>
      </w:r>
    </w:p>
    <w:p>
      <w:pPr>
        <w:spacing w:before="120" w:beforeLines="50" w:after="120" w:after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（1）资格审查</w:t>
      </w:r>
    </w:p>
    <w:p>
      <w:pPr>
        <w:spacing w:before="120" w:beforeLines="50" w:after="120" w:afterLines="50" w:line="360" w:lineRule="auto"/>
        <w:ind w:firstLine="480" w:firstLineChars="200"/>
        <w:rPr>
          <w:rFonts w:ascii="宋体" w:hAnsi="宋体"/>
          <w:b/>
          <w:color w:val="auto"/>
          <w:sz w:val="24"/>
          <w:highlight w:val="none"/>
        </w:rPr>
      </w:pPr>
      <w:r>
        <w:rPr>
          <w:rFonts w:hint="eastAsia"/>
          <w:color w:val="auto"/>
          <w:sz w:val="24"/>
          <w:highlight w:val="none"/>
        </w:rPr>
        <w:t>评标委员会按照招标文件载明的投标人资格条件对投标人进行审查，凡不符合资格审查中合格条件要求的，以无效标处理，不再进入后续阶段评标。</w:t>
      </w:r>
    </w:p>
    <w:p>
      <w:pPr>
        <w:spacing w:line="360" w:lineRule="auto"/>
        <w:ind w:firstLine="482" w:firstLineChars="200"/>
        <w:rPr>
          <w:rFonts w:ascii="宋体" w:hAnsi="宋体"/>
          <w:bCs/>
          <w:color w:val="auto"/>
          <w:spacing w:val="14"/>
          <w:sz w:val="24"/>
          <w:highlight w:val="none"/>
        </w:rPr>
      </w:pPr>
      <w:r>
        <w:rPr>
          <w:rFonts w:hint="eastAsia" w:ascii="宋体" w:hAnsi="宋体"/>
          <w:b/>
          <w:color w:val="auto"/>
          <w:sz w:val="24"/>
          <w:highlight w:val="none"/>
        </w:rPr>
        <w:t>（2）技术标评审（</w:t>
      </w:r>
      <w:r>
        <w:rPr>
          <w:rFonts w:hint="eastAsia" w:ascii="宋体" w:hAnsi="宋体"/>
          <w:b/>
          <w:color w:val="auto"/>
          <w:sz w:val="24"/>
          <w:highlight w:val="none"/>
          <w:lang w:val="en-US" w:eastAsia="zh-CN"/>
        </w:rPr>
        <w:t>20</w:t>
      </w:r>
      <w:r>
        <w:rPr>
          <w:rFonts w:hint="eastAsia" w:ascii="宋体" w:hAnsi="宋体"/>
          <w:b/>
          <w:color w:val="auto"/>
          <w:sz w:val="24"/>
          <w:highlight w:val="none"/>
        </w:rPr>
        <w:t>分）</w:t>
      </w:r>
    </w:p>
    <w:p>
      <w:pPr>
        <w:autoSpaceDE w:val="0"/>
        <w:autoSpaceDN w:val="0"/>
        <w:adjustRightInd w:val="0"/>
        <w:spacing w:line="360" w:lineRule="auto"/>
        <w:ind w:firstLine="480" w:firstLineChars="200"/>
        <w:rPr>
          <w:rFonts w:hint="eastAsia" w:ascii="宋体"/>
          <w:b/>
          <w:color w:val="auto"/>
          <w:kern w:val="0"/>
          <w:sz w:val="30"/>
          <w:highlight w:val="none"/>
        </w:rPr>
      </w:pPr>
      <w:r>
        <w:rPr>
          <w:rFonts w:hint="eastAsia" w:ascii="宋体" w:hAnsi="宋体"/>
          <w:color w:val="auto"/>
          <w:sz w:val="24"/>
          <w:highlight w:val="none"/>
        </w:rPr>
        <w:t>评标委员会针对投标人技术标，按评分标准（见下表）中的内容进行</w:t>
      </w:r>
      <w:r>
        <w:rPr>
          <w:rFonts w:hint="eastAsia" w:ascii="宋体" w:hAnsi="宋体"/>
          <w:color w:val="auto"/>
          <w:sz w:val="24"/>
          <w:highlight w:val="none"/>
          <w:lang w:val="en-US" w:eastAsia="zh-CN"/>
        </w:rPr>
        <w:t>单独</w:t>
      </w:r>
      <w:r>
        <w:rPr>
          <w:rFonts w:hint="eastAsia" w:ascii="宋体" w:hAnsi="宋体"/>
          <w:color w:val="auto"/>
          <w:sz w:val="24"/>
          <w:highlight w:val="none"/>
        </w:rPr>
        <w:t>评审打分（小数点后保留1位小数），所有成员评分合计后，</w:t>
      </w:r>
      <w:r>
        <w:rPr>
          <w:rFonts w:hint="eastAsia" w:ascii="宋体" w:hAnsi="宋体"/>
          <w:color w:val="auto"/>
          <w:sz w:val="24"/>
          <w:highlight w:val="none"/>
          <w:lang w:val="en-US" w:eastAsia="zh-CN"/>
        </w:rPr>
        <w:t>最终分值为</w:t>
      </w:r>
      <w:r>
        <w:rPr>
          <w:rFonts w:hint="eastAsia" w:ascii="宋体" w:hAnsi="宋体"/>
          <w:color w:val="auto"/>
          <w:sz w:val="24"/>
          <w:highlight w:val="none"/>
        </w:rPr>
        <w:t>平均值</w:t>
      </w:r>
      <w:r>
        <w:rPr>
          <w:rFonts w:hint="eastAsia" w:ascii="宋体" w:hAnsi="宋体"/>
          <w:color w:val="auto"/>
          <w:sz w:val="24"/>
          <w:highlight w:val="none"/>
          <w:lang w:eastAsia="zh-CN"/>
        </w:rPr>
        <w:t>（</w:t>
      </w:r>
      <w:r>
        <w:rPr>
          <w:rFonts w:hint="eastAsia" w:ascii="宋体" w:hAnsi="宋体"/>
          <w:color w:val="auto"/>
          <w:sz w:val="24"/>
          <w:highlight w:val="none"/>
        </w:rPr>
        <w:t>小数点后保留2位，第3位四舍五入）。缺项内容记0分。</w:t>
      </w:r>
      <w:r>
        <w:rPr>
          <w:rFonts w:hint="eastAsia" w:ascii="宋体"/>
          <w:b/>
          <w:color w:val="auto"/>
          <w:kern w:val="0"/>
          <w:sz w:val="30"/>
          <w:highlight w:val="non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205"/>
        <w:gridCol w:w="6"/>
        <w:gridCol w:w="545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8" w:type="dxa"/>
            <w:noWrap w:val="0"/>
            <w:vAlign w:val="center"/>
          </w:tcPr>
          <w:p>
            <w:pPr>
              <w:autoSpaceDE w:val="0"/>
              <w:autoSpaceDN w:val="0"/>
              <w:adjustRightInd w:val="0"/>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序号</w:t>
            </w:r>
          </w:p>
        </w:tc>
        <w:tc>
          <w:tcPr>
            <w:tcW w:w="1211" w:type="dxa"/>
            <w:gridSpan w:val="2"/>
            <w:noWrap w:val="0"/>
            <w:vAlign w:val="center"/>
          </w:tcPr>
          <w:p>
            <w:pPr>
              <w:autoSpaceDE w:val="0"/>
              <w:autoSpaceDN w:val="0"/>
              <w:adjustRightInd w:val="0"/>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名称</w:t>
            </w:r>
          </w:p>
        </w:tc>
        <w:tc>
          <w:tcPr>
            <w:tcW w:w="5454" w:type="dxa"/>
            <w:noWrap w:val="0"/>
            <w:vAlign w:val="center"/>
          </w:tcPr>
          <w:p>
            <w:pPr>
              <w:autoSpaceDE w:val="0"/>
              <w:autoSpaceDN w:val="0"/>
              <w:adjustRightInd w:val="0"/>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评分内容</w:t>
            </w:r>
          </w:p>
        </w:tc>
        <w:tc>
          <w:tcPr>
            <w:tcW w:w="1089" w:type="dxa"/>
            <w:noWrap w:val="0"/>
            <w:vAlign w:val="center"/>
          </w:tcPr>
          <w:p>
            <w:pPr>
              <w:autoSpaceDE w:val="0"/>
              <w:autoSpaceDN w:val="0"/>
              <w:adjustRightInd w:val="0"/>
              <w:spacing w:line="360" w:lineRule="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68" w:type="dxa"/>
            <w:noWrap w:val="0"/>
            <w:vAlign w:val="center"/>
          </w:tcPr>
          <w:p>
            <w:pPr>
              <w:autoSpaceDE w:val="0"/>
              <w:autoSpaceDN w:val="0"/>
              <w:adjustRightInd w:val="0"/>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p>
        </w:tc>
        <w:tc>
          <w:tcPr>
            <w:tcW w:w="1211" w:type="dxa"/>
            <w:gridSpan w:val="2"/>
            <w:noWrap w:val="0"/>
            <w:vAlign w:val="center"/>
          </w:tcPr>
          <w:p>
            <w:pPr>
              <w:autoSpaceDE w:val="0"/>
              <w:autoSpaceDN w:val="0"/>
              <w:adjustRightInd w:val="0"/>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企业实力</w:t>
            </w:r>
          </w:p>
        </w:tc>
        <w:tc>
          <w:tcPr>
            <w:tcW w:w="5454" w:type="dxa"/>
            <w:noWrap w:val="0"/>
            <w:vAlign w:val="center"/>
          </w:tcPr>
          <w:p>
            <w:pPr>
              <w:keepNext w:val="0"/>
              <w:keepLines w:val="0"/>
              <w:widowControl/>
              <w:suppressLineNumbers w:val="0"/>
              <w:jc w:val="left"/>
              <w:rPr>
                <w:rFonts w:hint="default" w:ascii="宋体" w:hAnsi="宋体"/>
                <w:color w:val="auto"/>
                <w:sz w:val="24"/>
                <w:highlight w:val="none"/>
                <w:lang w:bidi="ar"/>
              </w:rPr>
            </w:pPr>
            <w:r>
              <w:rPr>
                <w:rFonts w:hint="eastAsia" w:ascii="宋体" w:hAnsi="宋体" w:eastAsia="宋体"/>
                <w:color w:val="auto"/>
                <w:sz w:val="24"/>
                <w:highlight w:val="none"/>
                <w:lang w:val="zh-CN" w:eastAsia="zh-CN"/>
              </w:rPr>
              <w:t>投标人具有有效期内的质量管理体系认证证书、环境管理体系认证证书、职业健康安全管理体系认证证书。</w:t>
            </w:r>
            <w:r>
              <w:rPr>
                <w:rFonts w:hint="eastAsia" w:ascii="宋体" w:hAnsi="宋体" w:eastAsia="宋体"/>
                <w:color w:val="auto"/>
                <w:sz w:val="24"/>
                <w:highlight w:val="none"/>
                <w:lang w:val="en-US" w:eastAsia="zh-CN"/>
              </w:rPr>
              <w:t>每具备上述一个认证证书得1分，</w:t>
            </w:r>
            <w:r>
              <w:rPr>
                <w:rFonts w:hint="eastAsia" w:ascii="宋体" w:hAnsi="宋体"/>
                <w:color w:val="auto"/>
                <w:sz w:val="24"/>
                <w:highlight w:val="none"/>
                <w:lang w:val="en-US" w:eastAsia="zh-CN"/>
              </w:rPr>
              <w:t>具有</w:t>
            </w:r>
            <w:r>
              <w:rPr>
                <w:rFonts w:hint="eastAsia" w:ascii="宋体" w:hAnsi="宋体" w:eastAsia="宋体" w:cs="Times New Roman"/>
                <w:color w:val="auto"/>
                <w:kern w:val="2"/>
                <w:sz w:val="24"/>
                <w:szCs w:val="24"/>
                <w:highlight w:val="none"/>
                <w:lang w:val="zh-CN" w:eastAsia="zh-CN" w:bidi="ar"/>
              </w:rPr>
              <w:t>中国节能产品认证的 CQC 产品认证证书的得</w:t>
            </w:r>
            <w:r>
              <w:rPr>
                <w:rFonts w:hint="eastAsia" w:ascii="宋体" w:hAnsi="宋体" w:cs="Times New Roman"/>
                <w:color w:val="auto"/>
                <w:kern w:val="2"/>
                <w:sz w:val="24"/>
                <w:szCs w:val="24"/>
                <w:highlight w:val="none"/>
                <w:lang w:val="en-US" w:eastAsia="zh-CN" w:bidi="ar"/>
              </w:rPr>
              <w:t>1</w:t>
            </w:r>
            <w:r>
              <w:rPr>
                <w:rFonts w:hint="eastAsia" w:ascii="宋体" w:hAnsi="宋体" w:eastAsia="宋体" w:cs="Times New Roman"/>
                <w:color w:val="auto"/>
                <w:kern w:val="2"/>
                <w:sz w:val="24"/>
                <w:szCs w:val="24"/>
                <w:highlight w:val="none"/>
                <w:lang w:val="zh-CN" w:eastAsia="zh-CN" w:bidi="ar"/>
              </w:rPr>
              <w:t>分</w:t>
            </w:r>
            <w:r>
              <w:rPr>
                <w:rFonts w:hint="eastAsia" w:ascii="宋体" w:hAnsi="宋体" w:eastAsia="宋体" w:cs="宋体"/>
                <w:color w:val="000000"/>
                <w:kern w:val="0"/>
                <w:sz w:val="24"/>
                <w:szCs w:val="24"/>
                <w:lang w:val="en-US" w:eastAsia="zh-CN" w:bidi="ar"/>
              </w:rPr>
              <w:t>。</w:t>
            </w:r>
          </w:p>
          <w:p>
            <w:pPr>
              <w:widowControl/>
              <w:autoSpaceDE/>
              <w:autoSpaceDN/>
              <w:adjustRightInd/>
              <w:spacing w:line="240" w:lineRule="auto"/>
              <w:ind w:firstLine="0" w:firstLineChars="0"/>
              <w:jc w:val="left"/>
              <w:rPr>
                <w:rFonts w:hint="eastAsia" w:ascii="宋体" w:hAnsi="宋体" w:eastAsia="宋体"/>
                <w:color w:val="auto"/>
                <w:sz w:val="24"/>
                <w:highlight w:val="none"/>
                <w:lang w:val="zh-CN" w:eastAsia="zh-CN"/>
              </w:rPr>
            </w:pPr>
            <w:r>
              <w:rPr>
                <w:rFonts w:hint="eastAsia" w:ascii="宋体" w:hAnsi="宋体" w:eastAsia="宋体"/>
                <w:color w:val="auto"/>
                <w:sz w:val="24"/>
                <w:highlight w:val="none"/>
                <w:lang w:val="zh-CN" w:eastAsia="zh-CN"/>
              </w:rPr>
              <w:t>本项最高得</w:t>
            </w:r>
            <w:r>
              <w:rPr>
                <w:rFonts w:hint="eastAsia" w:ascii="宋体" w:hAnsi="宋体"/>
                <w:color w:val="auto"/>
                <w:sz w:val="24"/>
                <w:highlight w:val="none"/>
                <w:lang w:val="en-US" w:eastAsia="zh-CN"/>
              </w:rPr>
              <w:t>4</w:t>
            </w:r>
            <w:r>
              <w:rPr>
                <w:rFonts w:hint="eastAsia" w:ascii="宋体" w:hAnsi="宋体" w:eastAsia="宋体"/>
                <w:color w:val="auto"/>
                <w:sz w:val="24"/>
                <w:highlight w:val="none"/>
                <w:lang w:val="zh-CN" w:eastAsia="zh-CN"/>
              </w:rPr>
              <w:t>分。</w:t>
            </w:r>
          </w:p>
          <w:p>
            <w:pPr>
              <w:widowControl/>
              <w:autoSpaceDE/>
              <w:autoSpaceDN/>
              <w:adjustRightInd/>
              <w:spacing w:line="240" w:lineRule="auto"/>
              <w:ind w:firstLine="0" w:firstLineChars="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注：须提供相关证明材料的扫描件</w:t>
            </w:r>
            <w:r>
              <w:rPr>
                <w:rFonts w:hint="eastAsia" w:ascii="宋体" w:hAnsi="宋体" w:eastAsia="宋体" w:cs="宋体"/>
                <w:color w:val="000000"/>
                <w:kern w:val="0"/>
                <w:sz w:val="24"/>
                <w:szCs w:val="24"/>
                <w:lang w:val="en-US" w:eastAsia="zh-CN" w:bidi="ar"/>
              </w:rPr>
              <w:t>且须在有效期内</w:t>
            </w:r>
            <w:r>
              <w:rPr>
                <w:rFonts w:hint="eastAsia" w:ascii="宋体" w:hAnsi="宋体" w:eastAsia="宋体"/>
                <w:color w:val="auto"/>
                <w:sz w:val="24"/>
                <w:highlight w:val="none"/>
                <w:lang w:val="en-US" w:eastAsia="zh-CN"/>
              </w:rPr>
              <w:t>，未提供不得分。</w:t>
            </w:r>
          </w:p>
        </w:tc>
        <w:tc>
          <w:tcPr>
            <w:tcW w:w="1089" w:type="dxa"/>
            <w:noWrap w:val="0"/>
            <w:vAlign w:val="center"/>
          </w:tcPr>
          <w:p>
            <w:pPr>
              <w:autoSpaceDE w:val="0"/>
              <w:autoSpaceDN w:val="0"/>
              <w:adjustRightIn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8"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w:t>
            </w:r>
          </w:p>
        </w:tc>
        <w:tc>
          <w:tcPr>
            <w:tcW w:w="1211" w:type="dxa"/>
            <w:gridSpan w:val="2"/>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售后服务</w:t>
            </w:r>
          </w:p>
        </w:tc>
        <w:tc>
          <w:tcPr>
            <w:tcW w:w="5454" w:type="dxa"/>
            <w:noWrap w:val="0"/>
            <w:vAlign w:val="center"/>
          </w:tcPr>
          <w:p>
            <w:pPr>
              <w:keepNext w:val="0"/>
              <w:keepLines w:val="0"/>
              <w:widowControl/>
              <w:suppressLineNumbers w:val="0"/>
              <w:jc w:val="left"/>
            </w:pPr>
            <w:r>
              <w:rPr>
                <w:rFonts w:hint="eastAsia" w:ascii="宋体" w:hAnsi="宋体" w:eastAsia="宋体"/>
                <w:color w:val="auto"/>
                <w:sz w:val="24"/>
                <w:highlight w:val="none"/>
                <w:lang w:val="en-US" w:eastAsia="zh-CN"/>
              </w:rPr>
              <w:t>（1）根据投标人售后服务承诺及实质性的优惠承诺综合打分，</w:t>
            </w:r>
            <w:r>
              <w:rPr>
                <w:rFonts w:hint="eastAsia" w:ascii="宋体" w:hAnsi="宋体" w:eastAsia="宋体" w:cs="宋体"/>
                <w:color w:val="000000"/>
                <w:kern w:val="0"/>
                <w:sz w:val="24"/>
                <w:szCs w:val="24"/>
                <w:lang w:val="en-US" w:eastAsia="zh-CN" w:bidi="ar"/>
              </w:rPr>
              <w:t>良好的得</w:t>
            </w:r>
            <w:r>
              <w:rPr>
                <w:rFonts w:hint="eastAsia" w:ascii="宋体" w:hAnsi="宋体" w:cs="宋体"/>
                <w:color w:val="000000"/>
                <w:kern w:val="0"/>
                <w:sz w:val="24"/>
                <w:szCs w:val="24"/>
                <w:lang w:val="en-US" w:eastAsia="zh-CN" w:bidi="ar"/>
              </w:rPr>
              <w:t>2-1.1</w:t>
            </w:r>
            <w:r>
              <w:rPr>
                <w:rFonts w:hint="eastAsia" w:ascii="宋体" w:hAnsi="宋体" w:eastAsia="宋体" w:cs="宋体"/>
                <w:color w:val="000000"/>
                <w:kern w:val="0"/>
                <w:sz w:val="24"/>
                <w:szCs w:val="24"/>
                <w:lang w:val="en-US" w:eastAsia="zh-CN" w:bidi="ar"/>
              </w:rPr>
              <w:t>分；一般的得</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分</w:t>
            </w:r>
          </w:p>
          <w:p>
            <w:pPr>
              <w:widowControl/>
              <w:autoSpaceDE/>
              <w:autoSpaceDN/>
              <w:adjustRightInd/>
              <w:spacing w:line="240" w:lineRule="auto"/>
              <w:ind w:firstLine="0" w:firstLineChars="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w:t>
            </w:r>
          </w:p>
          <w:p>
            <w:pPr>
              <w:widowControl/>
              <w:autoSpaceDE/>
              <w:autoSpaceDN/>
              <w:adjustRightInd/>
              <w:spacing w:line="240" w:lineRule="auto"/>
              <w:ind w:firstLine="0" w:firstLineChars="0"/>
              <w:jc w:val="left"/>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（2）根据投标人售后服务响应时间、应急处理能力</w:t>
            </w:r>
            <w:r>
              <w:rPr>
                <w:rFonts w:hint="eastAsia" w:ascii="宋体" w:hAnsi="宋体"/>
                <w:color w:val="auto"/>
                <w:sz w:val="24"/>
                <w:highlight w:val="none"/>
                <w:lang w:val="en-US" w:eastAsia="zh-CN"/>
              </w:rPr>
              <w:t>、备品备件</w:t>
            </w:r>
            <w:r>
              <w:rPr>
                <w:rFonts w:hint="eastAsia" w:ascii="宋体" w:hAnsi="宋体" w:eastAsia="宋体"/>
                <w:color w:val="auto"/>
                <w:sz w:val="24"/>
                <w:highlight w:val="none"/>
                <w:lang w:val="en-US" w:eastAsia="zh-CN"/>
              </w:rPr>
              <w:t>及售后服务方案进行评审，</w:t>
            </w:r>
            <w:r>
              <w:rPr>
                <w:rFonts w:hint="eastAsia" w:ascii="宋体" w:hAnsi="宋体" w:eastAsia="宋体" w:cs="宋体"/>
                <w:color w:val="000000"/>
                <w:kern w:val="0"/>
                <w:sz w:val="24"/>
                <w:szCs w:val="24"/>
                <w:lang w:val="en-US" w:eastAsia="zh-CN" w:bidi="ar"/>
              </w:rPr>
              <w:t>良好的得</w:t>
            </w:r>
            <w:r>
              <w:rPr>
                <w:rFonts w:hint="eastAsia" w:ascii="宋体" w:hAnsi="宋体" w:cs="宋体"/>
                <w:color w:val="000000"/>
                <w:kern w:val="0"/>
                <w:sz w:val="24"/>
                <w:szCs w:val="24"/>
                <w:lang w:val="en-US" w:eastAsia="zh-CN" w:bidi="ar"/>
              </w:rPr>
              <w:t>2-1.1</w:t>
            </w:r>
            <w:r>
              <w:rPr>
                <w:rFonts w:hint="eastAsia" w:ascii="宋体" w:hAnsi="宋体" w:eastAsia="宋体" w:cs="宋体"/>
                <w:color w:val="000000"/>
                <w:kern w:val="0"/>
                <w:sz w:val="24"/>
                <w:szCs w:val="24"/>
                <w:lang w:val="en-US" w:eastAsia="zh-CN" w:bidi="ar"/>
              </w:rPr>
              <w:t>分；一般的得</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 分</w:t>
            </w:r>
            <w:r>
              <w:rPr>
                <w:rFonts w:hint="eastAsia" w:ascii="宋体" w:hAnsi="宋体" w:eastAsia="宋体"/>
                <w:color w:val="auto"/>
                <w:sz w:val="24"/>
                <w:highlight w:val="none"/>
                <w:lang w:val="en-US" w:eastAsia="zh-CN"/>
              </w:rPr>
              <w:t>。投标文件中提供承诺函（详见附件）。</w:t>
            </w:r>
          </w:p>
        </w:tc>
        <w:tc>
          <w:tcPr>
            <w:tcW w:w="1089"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8"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1205" w:type="dxa"/>
            <w:noWrap w:val="0"/>
            <w:vAlign w:val="center"/>
          </w:tcPr>
          <w:p>
            <w:pPr>
              <w:autoSpaceDE w:val="0"/>
              <w:autoSpaceDN w:val="0"/>
              <w:adjustRightInd w:val="0"/>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灯具介绍图</w:t>
            </w:r>
          </w:p>
        </w:tc>
        <w:tc>
          <w:tcPr>
            <w:tcW w:w="5460" w:type="dxa"/>
            <w:gridSpan w:val="2"/>
            <w:noWrap w:val="0"/>
            <w:vAlign w:val="center"/>
          </w:tcPr>
          <w:p>
            <w:pPr>
              <w:keepNext w:val="0"/>
              <w:keepLines w:val="0"/>
              <w:widowControl/>
              <w:suppressLineNumbers w:val="0"/>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介绍图需包含</w:t>
            </w:r>
            <w:r>
              <w:rPr>
                <w:rFonts w:hint="eastAsia" w:ascii="宋体" w:hAnsi="宋体"/>
                <w:color w:val="auto"/>
                <w:sz w:val="24"/>
                <w:highlight w:val="none"/>
                <w:lang w:val="en-US" w:eastAsia="zh-CN"/>
              </w:rPr>
              <w:t>各个瓦数灯具</w:t>
            </w:r>
            <w:r>
              <w:rPr>
                <w:rFonts w:hint="eastAsia" w:ascii="宋体" w:hAnsi="宋体" w:eastAsia="宋体"/>
                <w:color w:val="auto"/>
                <w:sz w:val="24"/>
                <w:highlight w:val="none"/>
                <w:lang w:val="en-US" w:eastAsia="zh-CN"/>
              </w:rPr>
              <w:t>实物展示图</w:t>
            </w:r>
            <w:r>
              <w:rPr>
                <w:rFonts w:hint="eastAsia" w:ascii="宋体" w:hAnsi="宋体"/>
                <w:color w:val="auto"/>
                <w:sz w:val="24"/>
                <w:highlight w:val="none"/>
                <w:lang w:val="en-US" w:eastAsia="zh-CN"/>
              </w:rPr>
              <w:t>，</w:t>
            </w:r>
            <w:r>
              <w:rPr>
                <w:rFonts w:hint="eastAsia" w:ascii="宋体" w:hAnsi="宋体" w:eastAsia="宋体" w:cs="Times New Roman"/>
                <w:color w:val="auto"/>
                <w:kern w:val="2"/>
                <w:sz w:val="24"/>
                <w:szCs w:val="24"/>
                <w:highlight w:val="none"/>
                <w:lang w:val="en-US" w:eastAsia="zh-CN" w:bidi="ar"/>
              </w:rPr>
              <w:t>根据投标人提供的抗风计算结果、技术图、光曲线图、散热设计、路灯整体效果图等由评标委员会综合比较。优秀的得</w:t>
            </w:r>
            <w:r>
              <w:rPr>
                <w:rFonts w:hint="eastAsia" w:ascii="宋体" w:hAnsi="宋体" w:cs="Times New Roman"/>
                <w:color w:val="auto"/>
                <w:kern w:val="2"/>
                <w:sz w:val="24"/>
                <w:szCs w:val="24"/>
                <w:highlight w:val="none"/>
                <w:lang w:val="en-US" w:eastAsia="zh-CN" w:bidi="ar"/>
              </w:rPr>
              <w:t>10-8</w:t>
            </w:r>
            <w:r>
              <w:rPr>
                <w:rFonts w:hint="eastAsia" w:ascii="宋体" w:hAnsi="宋体" w:eastAsia="宋体" w:cs="Times New Roman"/>
                <w:color w:val="auto"/>
                <w:kern w:val="2"/>
                <w:sz w:val="24"/>
                <w:szCs w:val="24"/>
                <w:highlight w:val="none"/>
                <w:lang w:val="en-US" w:eastAsia="zh-CN" w:bidi="ar"/>
              </w:rPr>
              <w:t>分；良好的得</w:t>
            </w:r>
            <w:r>
              <w:rPr>
                <w:rFonts w:hint="eastAsia" w:ascii="宋体" w:hAnsi="宋体" w:cs="Times New Roman"/>
                <w:color w:val="auto"/>
                <w:kern w:val="2"/>
                <w:sz w:val="24"/>
                <w:szCs w:val="24"/>
                <w:highlight w:val="none"/>
                <w:lang w:val="en-US" w:eastAsia="zh-CN" w:bidi="ar"/>
              </w:rPr>
              <w:t>7.9-6</w:t>
            </w:r>
            <w:r>
              <w:rPr>
                <w:rFonts w:hint="eastAsia" w:ascii="宋体" w:hAnsi="宋体" w:eastAsia="宋体" w:cs="Times New Roman"/>
                <w:color w:val="auto"/>
                <w:kern w:val="2"/>
                <w:sz w:val="24"/>
                <w:szCs w:val="24"/>
                <w:highlight w:val="none"/>
                <w:lang w:val="en-US" w:eastAsia="zh-CN" w:bidi="ar"/>
              </w:rPr>
              <w:t xml:space="preserve">分；一般的得  </w:t>
            </w:r>
            <w:r>
              <w:rPr>
                <w:rFonts w:hint="eastAsia" w:ascii="宋体" w:hAnsi="宋体" w:cs="Times New Roman"/>
                <w:color w:val="auto"/>
                <w:kern w:val="2"/>
                <w:sz w:val="24"/>
                <w:szCs w:val="24"/>
                <w:highlight w:val="none"/>
                <w:lang w:val="en-US" w:eastAsia="zh-CN" w:bidi="ar"/>
              </w:rPr>
              <w:t>5.9-4</w:t>
            </w:r>
            <w:r>
              <w:rPr>
                <w:rFonts w:hint="eastAsia" w:ascii="宋体" w:hAnsi="宋体" w:eastAsia="宋体" w:cs="Times New Roman"/>
                <w:color w:val="auto"/>
                <w:kern w:val="2"/>
                <w:sz w:val="24"/>
                <w:szCs w:val="24"/>
                <w:highlight w:val="none"/>
                <w:lang w:val="en-US" w:eastAsia="zh-CN" w:bidi="ar"/>
              </w:rPr>
              <w:t>分</w:t>
            </w:r>
            <w:r>
              <w:rPr>
                <w:rFonts w:hint="eastAsia" w:ascii="宋体" w:hAnsi="宋体" w:cs="Times New Roman"/>
                <w:color w:val="auto"/>
                <w:kern w:val="2"/>
                <w:sz w:val="24"/>
                <w:szCs w:val="24"/>
                <w:highlight w:val="none"/>
                <w:lang w:val="en-US" w:eastAsia="zh-CN" w:bidi="ar"/>
              </w:rPr>
              <w:t>，不提供不得分</w:t>
            </w:r>
            <w:r>
              <w:rPr>
                <w:rFonts w:hint="eastAsia" w:ascii="宋体" w:hAnsi="宋体" w:eastAsia="宋体" w:cs="Times New Roman"/>
                <w:color w:val="auto"/>
                <w:kern w:val="2"/>
                <w:sz w:val="24"/>
                <w:szCs w:val="24"/>
                <w:highlight w:val="none"/>
                <w:lang w:val="en-US" w:eastAsia="zh-CN" w:bidi="ar"/>
              </w:rPr>
              <w:t>。</w:t>
            </w:r>
          </w:p>
          <w:p>
            <w:pPr>
              <w:autoSpaceDE w:val="0"/>
              <w:autoSpaceDN w:val="0"/>
              <w:adjustRightInd w:val="0"/>
              <w:spacing w:line="360" w:lineRule="auto"/>
              <w:ind w:firstLine="480" w:firstLineChars="200"/>
              <w:rPr>
                <w:rFonts w:hint="eastAsia" w:ascii="宋体" w:hAnsi="宋体" w:eastAsia="宋体"/>
                <w:color w:val="auto"/>
                <w:sz w:val="24"/>
                <w:highlight w:val="none"/>
                <w:lang w:val="en-US" w:eastAsia="zh-CN"/>
              </w:rPr>
            </w:pPr>
          </w:p>
        </w:tc>
        <w:tc>
          <w:tcPr>
            <w:tcW w:w="1089"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68" w:type="dxa"/>
            <w:noWrap w:val="0"/>
            <w:vAlign w:val="center"/>
          </w:tcPr>
          <w:p>
            <w:pPr>
              <w:autoSpaceDE w:val="0"/>
              <w:autoSpaceDN w:val="0"/>
              <w:adjustRightInd w:val="0"/>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4</w:t>
            </w:r>
          </w:p>
        </w:tc>
        <w:tc>
          <w:tcPr>
            <w:tcW w:w="6665" w:type="dxa"/>
            <w:gridSpan w:val="3"/>
            <w:noWrap w:val="0"/>
            <w:vAlign w:val="center"/>
          </w:tcPr>
          <w:p>
            <w:pPr>
              <w:widowControl/>
              <w:autoSpaceDE/>
              <w:autoSpaceDN/>
              <w:adjustRightInd/>
              <w:spacing w:line="240" w:lineRule="auto"/>
              <w:ind w:firstLine="0" w:firstLineChars="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zh-CN" w:eastAsia="zh-CN" w:bidi="ar"/>
              </w:rPr>
              <w:t>整个项目质保期在满足招标文件要求的前提下，每增加1年加1分，最高得2分。</w:t>
            </w:r>
          </w:p>
        </w:tc>
        <w:tc>
          <w:tcPr>
            <w:tcW w:w="1089" w:type="dxa"/>
            <w:noWrap w:val="0"/>
            <w:vAlign w:val="center"/>
          </w:tcPr>
          <w:p>
            <w:pPr>
              <w:autoSpaceDE w:val="0"/>
              <w:autoSpaceDN w:val="0"/>
              <w:adjustRightInd w:val="0"/>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2分</w:t>
            </w:r>
          </w:p>
        </w:tc>
      </w:tr>
    </w:tbl>
    <w:p>
      <w:pPr>
        <w:keepNext w:val="0"/>
        <w:keepLines w:val="0"/>
        <w:pageBreakBefore w:val="0"/>
        <w:widowControl/>
        <w:numPr>
          <w:ilvl w:val="-1"/>
          <w:numId w:val="0"/>
        </w:numPr>
        <w:kinsoku/>
        <w:wordWrap/>
        <w:overflowPunct/>
        <w:autoSpaceDE/>
        <w:autoSpaceDN/>
        <w:bidi w:val="0"/>
        <w:spacing w:beforeLines="0" w:afterLines="0" w:line="360" w:lineRule="auto"/>
        <w:ind w:firstLine="480" w:firstLineChars="200"/>
        <w:jc w:val="left"/>
        <w:textAlignment w:val="auto"/>
        <w:rPr>
          <w:rFonts w:hint="eastAsia" w:ascii="宋体" w:hAnsi="宋体"/>
          <w:b/>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w:t>
      </w:r>
      <w:r>
        <w:rPr>
          <w:rFonts w:hint="eastAsia" w:ascii="宋体" w:hAnsi="宋体"/>
          <w:b/>
          <w:color w:val="auto"/>
          <w:sz w:val="24"/>
          <w:highlight w:val="none"/>
        </w:rPr>
        <w:t>商务标评审（</w:t>
      </w:r>
      <w:r>
        <w:rPr>
          <w:rFonts w:hint="eastAsia" w:ascii="宋体" w:hAnsi="宋体"/>
          <w:b/>
          <w:color w:val="auto"/>
          <w:sz w:val="24"/>
          <w:highlight w:val="none"/>
          <w:lang w:val="en-US" w:eastAsia="zh-CN"/>
        </w:rPr>
        <w:t>80</w:t>
      </w:r>
      <w:r>
        <w:rPr>
          <w:rFonts w:hint="eastAsia" w:ascii="宋体" w:hAnsi="宋体"/>
          <w:b/>
          <w:color w:val="auto"/>
          <w:sz w:val="24"/>
          <w:highlight w:val="none"/>
        </w:rPr>
        <w:t>分）</w:t>
      </w:r>
    </w:p>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1、评标标底价的确定</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以所有经评审的有效报价的中位数（把所有有效报价高低排序后找出正中间的一个作为中位数。如果有效报价有偶数个，则取最中间的两个有效报价的平均数作为中位数。）作为评标基准价，即评标基准价＝所有经评审的有效报价的中位数。（以元为单位，小数点后保留两位，第三位四舍五入）。</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（2）由招标人在商务标开标前，从0.1%、0.2%、0.3%、0.4%、0.5%、0.6%、0.7%、0.8%、0.9%、1%中公开随机抽取一个百分数，作为下浮值。</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（3）评标时，评标委员会先按上述办法计算出评标基准价，再按以下公式计算出评标标底价（以元为单位，小数点后保留两位，第三位四舍五入）。</w:t>
      </w:r>
    </w:p>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评标标底价=评标基准价×（1-下浮值）。</w:t>
      </w:r>
    </w:p>
    <w:p>
      <w:pPr>
        <w:keepNext w:val="0"/>
        <w:keepLines w:val="0"/>
        <w:pageBreakBefore w:val="0"/>
        <w:widowControl w:val="0"/>
        <w:kinsoku/>
        <w:wordWrap/>
        <w:overflowPunct/>
        <w:autoSpaceDE/>
        <w:autoSpaceDN/>
        <w:bidi w:val="0"/>
        <w:adjustRightInd w:val="0"/>
        <w:spacing w:line="360" w:lineRule="auto"/>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2、商务标得分的确定（小数点后保留两位，第三位四舍五入）</w:t>
      </w:r>
    </w:p>
    <w:p>
      <w:pPr>
        <w:keepNext w:val="0"/>
        <w:keepLines w:val="0"/>
        <w:pageBreakBefore w:val="0"/>
        <w:widowControl w:val="0"/>
        <w:kinsoku/>
        <w:wordWrap/>
        <w:overflowPunct/>
        <w:autoSpaceDE/>
        <w:autoSpaceDN/>
        <w:bidi w:val="0"/>
        <w:adjustRightIn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投标报价等于评标标底价的得</w:t>
      </w:r>
      <w:r>
        <w:rPr>
          <w:rFonts w:hint="eastAsia" w:ascii="宋体" w:hAnsi="宋体" w:cs="Times New Roman"/>
          <w:b w:val="0"/>
          <w:bCs/>
          <w:color w:val="auto"/>
          <w:sz w:val="24"/>
          <w:highlight w:val="none"/>
          <w:lang w:val="en-US" w:eastAsia="zh-CN"/>
        </w:rPr>
        <w:t>80</w:t>
      </w:r>
      <w:r>
        <w:rPr>
          <w:rFonts w:hint="eastAsia" w:ascii="宋体" w:hAnsi="宋体" w:eastAsia="宋体" w:cs="Times New Roman"/>
          <w:b w:val="0"/>
          <w:bCs/>
          <w:color w:val="auto"/>
          <w:sz w:val="24"/>
          <w:highlight w:val="none"/>
          <w:lang w:val="en-US" w:eastAsia="zh-CN"/>
        </w:rPr>
        <w:t>分，投标报价每高于评标标底价一个百分点的扣</w:t>
      </w:r>
      <w:r>
        <w:rPr>
          <w:rFonts w:hint="eastAsia" w:ascii="宋体" w:hAnsi="宋体" w:cs="Times New Roman"/>
          <w:b w:val="0"/>
          <w:bCs/>
          <w:color w:val="auto"/>
          <w:sz w:val="24"/>
          <w:highlight w:val="none"/>
          <w:lang w:val="en-US" w:eastAsia="zh-CN"/>
        </w:rPr>
        <w:t>1</w:t>
      </w:r>
      <w:r>
        <w:rPr>
          <w:rFonts w:hint="eastAsia" w:ascii="宋体" w:hAnsi="宋体" w:eastAsia="宋体" w:cs="Times New Roman"/>
          <w:b w:val="0"/>
          <w:bCs/>
          <w:color w:val="auto"/>
          <w:sz w:val="24"/>
          <w:highlight w:val="none"/>
          <w:lang w:val="en-US" w:eastAsia="zh-CN"/>
        </w:rPr>
        <w:t>分（商务标分值＝</w:t>
      </w:r>
      <w:r>
        <w:rPr>
          <w:rFonts w:hint="eastAsia" w:ascii="宋体" w:hAnsi="宋体" w:cs="Times New Roman"/>
          <w:b w:val="0"/>
          <w:bCs/>
          <w:color w:val="auto"/>
          <w:sz w:val="24"/>
          <w:highlight w:val="none"/>
          <w:lang w:val="en-US" w:eastAsia="zh-CN"/>
        </w:rPr>
        <w:t>80</w:t>
      </w:r>
      <w:r>
        <w:rPr>
          <w:rFonts w:hint="eastAsia" w:ascii="宋体" w:hAnsi="宋体" w:eastAsia="宋体" w:cs="Times New Roman"/>
          <w:b w:val="0"/>
          <w:bCs/>
          <w:color w:val="auto"/>
          <w:sz w:val="24"/>
          <w:highlight w:val="none"/>
          <w:lang w:val="en-US" w:eastAsia="zh-CN"/>
        </w:rPr>
        <w:t xml:space="preserve"> －| </w:t>
      </w:r>
      <w:r>
        <w:rPr>
          <w:rFonts w:hint="eastAsia" w:ascii="宋体" w:hAnsi="宋体" w:eastAsia="宋体" w:cs="Times New Roman"/>
          <w:b w:val="0"/>
          <w:bCs/>
          <w:color w:val="auto"/>
          <w:sz w:val="24"/>
          <w:highlight w:val="none"/>
          <w:lang w:val="en-US" w:eastAsia="zh-CN"/>
        </w:rPr>
        <w:fldChar w:fldCharType="begin"/>
      </w:r>
      <w:r>
        <w:rPr>
          <w:rFonts w:hint="eastAsia" w:ascii="宋体" w:hAnsi="宋体" w:eastAsia="宋体" w:cs="Times New Roman"/>
          <w:b w:val="0"/>
          <w:bCs/>
          <w:color w:val="auto"/>
          <w:sz w:val="24"/>
          <w:highlight w:val="none"/>
          <w:lang w:val="en-US" w:eastAsia="zh-CN"/>
        </w:rPr>
        <w:instrText xml:space="preserve"> EQ \F(投标报价-评标标底价,评标标底价) </w:instrText>
      </w:r>
      <w:r>
        <w:rPr>
          <w:rFonts w:hint="eastAsia" w:ascii="宋体" w:hAnsi="宋体" w:eastAsia="宋体" w:cs="Times New Roman"/>
          <w:b w:val="0"/>
          <w:bCs/>
          <w:color w:val="auto"/>
          <w:sz w:val="24"/>
          <w:highlight w:val="none"/>
          <w:lang w:val="en-US" w:eastAsia="zh-CN"/>
        </w:rPr>
        <w:fldChar w:fldCharType="end"/>
      </w:r>
      <w:r>
        <w:rPr>
          <w:rFonts w:hint="eastAsia" w:ascii="宋体" w:hAnsi="宋体" w:eastAsia="宋体" w:cs="Times New Roman"/>
          <w:b w:val="0"/>
          <w:bCs/>
          <w:color w:val="auto"/>
          <w:sz w:val="24"/>
          <w:highlight w:val="none"/>
          <w:lang w:val="en-US" w:eastAsia="zh-CN"/>
        </w:rPr>
        <w:t>|×100×</w:t>
      </w:r>
      <w:r>
        <w:rPr>
          <w:rFonts w:hint="eastAsia" w:ascii="宋体" w:hAnsi="宋体" w:cs="Times New Roman"/>
          <w:b w:val="0"/>
          <w:bCs/>
          <w:color w:val="auto"/>
          <w:sz w:val="24"/>
          <w:highlight w:val="none"/>
          <w:lang w:val="en-US" w:eastAsia="zh-CN"/>
        </w:rPr>
        <w:t>1</w:t>
      </w:r>
      <w:r>
        <w:rPr>
          <w:rFonts w:hint="eastAsia" w:ascii="宋体" w:hAnsi="宋体" w:eastAsia="宋体" w:cs="Times New Roman"/>
          <w:b w:val="0"/>
          <w:bCs/>
          <w:color w:val="auto"/>
          <w:sz w:val="24"/>
          <w:highlight w:val="none"/>
          <w:lang w:val="en-US" w:eastAsia="zh-CN"/>
        </w:rPr>
        <w:t>），投标报价每低于评标标底价一个百分点的扣</w:t>
      </w:r>
      <w:r>
        <w:rPr>
          <w:rFonts w:hint="eastAsia" w:ascii="宋体" w:hAnsi="宋体" w:cs="Times New Roman"/>
          <w:b w:val="0"/>
          <w:bCs/>
          <w:color w:val="auto"/>
          <w:sz w:val="24"/>
          <w:highlight w:val="none"/>
          <w:lang w:val="en-US" w:eastAsia="zh-CN"/>
        </w:rPr>
        <w:t>0.5</w:t>
      </w:r>
      <w:r>
        <w:rPr>
          <w:rFonts w:hint="eastAsia" w:ascii="宋体" w:hAnsi="宋体" w:eastAsia="宋体" w:cs="Times New Roman"/>
          <w:b w:val="0"/>
          <w:bCs/>
          <w:color w:val="auto"/>
          <w:sz w:val="24"/>
          <w:highlight w:val="none"/>
          <w:lang w:val="en-US" w:eastAsia="zh-CN"/>
        </w:rPr>
        <w:t>分（商务标分值＝</w:t>
      </w:r>
      <w:r>
        <w:rPr>
          <w:rFonts w:hint="eastAsia" w:ascii="宋体" w:hAnsi="宋体" w:cs="Times New Roman"/>
          <w:b w:val="0"/>
          <w:bCs/>
          <w:color w:val="auto"/>
          <w:sz w:val="24"/>
          <w:highlight w:val="none"/>
          <w:lang w:val="en-US" w:eastAsia="zh-CN"/>
        </w:rPr>
        <w:t>80</w:t>
      </w:r>
      <w:r>
        <w:rPr>
          <w:rFonts w:hint="eastAsia" w:ascii="宋体" w:hAnsi="宋体" w:eastAsia="宋体" w:cs="Times New Roman"/>
          <w:b w:val="0"/>
          <w:bCs/>
          <w:color w:val="auto"/>
          <w:sz w:val="24"/>
          <w:highlight w:val="none"/>
          <w:lang w:val="en-US" w:eastAsia="zh-CN"/>
        </w:rPr>
        <w:t xml:space="preserve"> －| </w:t>
      </w:r>
      <w:r>
        <w:rPr>
          <w:rFonts w:hint="eastAsia" w:ascii="宋体" w:hAnsi="宋体" w:eastAsia="宋体" w:cs="Times New Roman"/>
          <w:b w:val="0"/>
          <w:bCs/>
          <w:color w:val="auto"/>
          <w:sz w:val="24"/>
          <w:highlight w:val="none"/>
          <w:lang w:val="en-US" w:eastAsia="zh-CN"/>
        </w:rPr>
        <w:fldChar w:fldCharType="begin"/>
      </w:r>
      <w:r>
        <w:rPr>
          <w:rFonts w:hint="eastAsia" w:ascii="宋体" w:hAnsi="宋体" w:eastAsia="宋体" w:cs="Times New Roman"/>
          <w:b w:val="0"/>
          <w:bCs/>
          <w:color w:val="auto"/>
          <w:sz w:val="24"/>
          <w:highlight w:val="none"/>
          <w:lang w:val="en-US" w:eastAsia="zh-CN"/>
        </w:rPr>
        <w:instrText xml:space="preserve"> EQ \F(投标报价-评标标底价,评标标底价) </w:instrText>
      </w:r>
      <w:r>
        <w:rPr>
          <w:rFonts w:hint="eastAsia" w:ascii="宋体" w:hAnsi="宋体" w:eastAsia="宋体" w:cs="Times New Roman"/>
          <w:b w:val="0"/>
          <w:bCs/>
          <w:color w:val="auto"/>
          <w:sz w:val="24"/>
          <w:highlight w:val="none"/>
          <w:lang w:val="en-US" w:eastAsia="zh-CN"/>
        </w:rPr>
        <w:fldChar w:fldCharType="end"/>
      </w:r>
      <w:r>
        <w:rPr>
          <w:rFonts w:hint="eastAsia" w:ascii="宋体" w:hAnsi="宋体" w:eastAsia="宋体" w:cs="Times New Roman"/>
          <w:b w:val="0"/>
          <w:bCs/>
          <w:color w:val="auto"/>
          <w:sz w:val="24"/>
          <w:highlight w:val="none"/>
          <w:lang w:val="en-US" w:eastAsia="zh-CN"/>
        </w:rPr>
        <w:t>|×100×</w:t>
      </w:r>
      <w:r>
        <w:rPr>
          <w:rFonts w:hint="eastAsia" w:ascii="宋体" w:hAnsi="宋体" w:cs="Times New Roman"/>
          <w:b w:val="0"/>
          <w:bCs/>
          <w:color w:val="auto"/>
          <w:sz w:val="24"/>
          <w:highlight w:val="none"/>
          <w:lang w:val="en-US" w:eastAsia="zh-CN"/>
        </w:rPr>
        <w:t>0.5</w:t>
      </w:r>
      <w:r>
        <w:rPr>
          <w:rFonts w:hint="eastAsia" w:ascii="宋体" w:hAnsi="宋体" w:eastAsia="宋体" w:cs="Times New Roman"/>
          <w:b w:val="0"/>
          <w:bCs/>
          <w:color w:val="auto"/>
          <w:sz w:val="24"/>
          <w:highlight w:val="none"/>
          <w:lang w:val="en-US" w:eastAsia="zh-CN"/>
        </w:rPr>
        <w:t>），最多扣10分，中间按内插法计算。</w:t>
      </w:r>
    </w:p>
    <w:p>
      <w:pPr>
        <w:keepNext w:val="0"/>
        <w:keepLines w:val="0"/>
        <w:pageBreakBefore w:val="0"/>
        <w:widowControl w:val="0"/>
        <w:numPr>
          <w:ilvl w:val="0"/>
          <w:numId w:val="0"/>
        </w:numPr>
        <w:kinsoku/>
        <w:wordWrap/>
        <w:overflowPunct/>
        <w:autoSpaceDE/>
        <w:autoSpaceDN/>
        <w:bidi w:val="0"/>
        <w:spacing w:line="360" w:lineRule="auto"/>
        <w:textAlignment w:val="auto"/>
        <w:rPr>
          <w:rFonts w:ascii="宋体" w:hAnsi="宋体"/>
          <w:b/>
          <w:color w:val="auto"/>
          <w:sz w:val="24"/>
          <w:highlight w:val="none"/>
          <w:u w:val="single"/>
        </w:rPr>
      </w:pPr>
      <w:r>
        <w:rPr>
          <w:rFonts w:hint="eastAsia" w:ascii="宋体" w:hAnsi="宋体" w:cs="宋体"/>
          <w:b/>
          <w:bCs/>
          <w:color w:val="auto"/>
          <w:sz w:val="24"/>
          <w:highlight w:val="none"/>
          <w:lang w:val="en-US" w:eastAsia="zh-CN"/>
        </w:rPr>
        <w:t>3、</w:t>
      </w:r>
      <w:r>
        <w:rPr>
          <w:rFonts w:hint="eastAsia" w:ascii="宋体" w:hAnsi="宋体" w:cs="宋体"/>
          <w:color w:val="auto"/>
          <w:sz w:val="24"/>
          <w:highlight w:val="none"/>
          <w:lang w:val="en-US" w:eastAsia="zh-CN"/>
        </w:rPr>
        <w:t xml:space="preserve"> </w:t>
      </w:r>
      <w:r>
        <w:rPr>
          <w:rFonts w:hint="eastAsia" w:ascii="宋体" w:hAnsi="宋体"/>
          <w:b/>
          <w:bCs/>
          <w:color w:val="auto"/>
          <w:sz w:val="24"/>
          <w:highlight w:val="none"/>
          <w:u w:val="single"/>
        </w:rPr>
        <w:t>▲本项目采购最高限价：</w:t>
      </w:r>
      <w:r>
        <w:rPr>
          <w:rFonts w:hint="eastAsia" w:ascii="宋体" w:hAnsi="宋体"/>
          <w:b/>
          <w:bCs/>
          <w:color w:val="auto"/>
          <w:sz w:val="24"/>
          <w:highlight w:val="none"/>
          <w:u w:val="single"/>
          <w:lang w:val="en-US" w:eastAsia="zh-CN"/>
        </w:rPr>
        <w:t>180792</w:t>
      </w:r>
      <w:r>
        <w:rPr>
          <w:rFonts w:hint="eastAsia" w:ascii="宋体" w:hAnsi="宋体"/>
          <w:b/>
          <w:bCs/>
          <w:color w:val="auto"/>
          <w:sz w:val="24"/>
          <w:highlight w:val="none"/>
          <w:u w:val="single"/>
        </w:rPr>
        <w:t>元，</w:t>
      </w:r>
      <w:r>
        <w:rPr>
          <w:rFonts w:hint="eastAsia" w:ascii="宋体" w:hAnsi="宋体"/>
          <w:b/>
          <w:color w:val="auto"/>
          <w:sz w:val="24"/>
          <w:highlight w:val="none"/>
          <w:u w:val="single"/>
        </w:rPr>
        <w:t>如</w:t>
      </w:r>
      <w:r>
        <w:rPr>
          <w:rFonts w:hint="eastAsia" w:ascii="宋体" w:hAnsi="宋体"/>
          <w:b/>
          <w:color w:val="auto"/>
          <w:sz w:val="24"/>
          <w:highlight w:val="none"/>
          <w:u w:val="single"/>
          <w:lang w:eastAsia="zh-CN"/>
        </w:rPr>
        <w:t>投标人</w:t>
      </w:r>
      <w:r>
        <w:rPr>
          <w:rFonts w:hint="eastAsia" w:ascii="宋体" w:hAnsi="宋体"/>
          <w:b/>
          <w:color w:val="auto"/>
          <w:sz w:val="24"/>
          <w:highlight w:val="none"/>
          <w:u w:val="single"/>
          <w:lang w:val="en-US" w:eastAsia="zh-CN"/>
        </w:rPr>
        <w:t>投标</w:t>
      </w:r>
      <w:r>
        <w:rPr>
          <w:rFonts w:hint="eastAsia" w:ascii="宋体" w:hAnsi="宋体"/>
          <w:b/>
          <w:color w:val="auto"/>
          <w:sz w:val="24"/>
          <w:highlight w:val="none"/>
          <w:u w:val="single"/>
        </w:rPr>
        <w:t>报价超过</w:t>
      </w:r>
      <w:r>
        <w:rPr>
          <w:rFonts w:hint="eastAsia" w:ascii="宋体" w:hAnsi="宋体"/>
          <w:b/>
          <w:bCs/>
          <w:color w:val="auto"/>
          <w:sz w:val="24"/>
          <w:highlight w:val="none"/>
          <w:u w:val="single"/>
        </w:rPr>
        <w:t>最高限价</w:t>
      </w:r>
      <w:r>
        <w:rPr>
          <w:rFonts w:hint="eastAsia" w:ascii="宋体" w:hAnsi="宋体"/>
          <w:b/>
          <w:color w:val="auto"/>
          <w:sz w:val="24"/>
          <w:highlight w:val="none"/>
          <w:u w:val="single"/>
        </w:rPr>
        <w:t>，其投标文件作无效标处理。</w:t>
      </w:r>
    </w:p>
    <w:p>
      <w:pPr>
        <w:pStyle w:val="3"/>
        <w:keepNext w:val="0"/>
        <w:keepLines w:val="0"/>
        <w:pageBreakBefore w:val="0"/>
        <w:widowControl w:val="0"/>
        <w:numPr>
          <w:ilvl w:val="0"/>
          <w:numId w:val="0"/>
        </w:numPr>
        <w:tabs>
          <w:tab w:val="left" w:pos="574"/>
        </w:tabs>
        <w:kinsoku/>
        <w:wordWrap/>
        <w:overflowPunct/>
        <w:autoSpaceDE/>
        <w:autoSpaceDN/>
        <w:bidi w:val="0"/>
        <w:snapToGrid w:val="0"/>
        <w:spacing w:after="0" w:line="360" w:lineRule="auto"/>
        <w:textAlignment w:val="auto"/>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0"/>
        </w:numPr>
        <w:kinsoku/>
        <w:wordWrap/>
        <w:overflowPunct/>
        <w:topLinePunct/>
        <w:autoSpaceDE/>
        <w:autoSpaceDN/>
        <w:bidi w:val="0"/>
        <w:spacing w:line="360" w:lineRule="auto"/>
        <w:textAlignment w:val="auto"/>
        <w:rPr>
          <w:rFonts w:hint="eastAsia" w:ascii="宋体" w:hAnsi="宋体" w:cs="Arial"/>
          <w:color w:val="auto"/>
          <w:sz w:val="24"/>
          <w:highlight w:val="none"/>
        </w:rPr>
      </w:pPr>
      <w:r>
        <w:rPr>
          <w:rFonts w:hint="eastAsia" w:ascii="宋体" w:hAnsi="宋体" w:cs="Arial"/>
          <w:color w:val="auto"/>
          <w:sz w:val="24"/>
          <w:highlight w:val="none"/>
          <w:lang w:val="en-US" w:eastAsia="zh-CN"/>
        </w:rPr>
        <w:t>5、</w:t>
      </w:r>
      <w:r>
        <w:rPr>
          <w:rFonts w:hint="eastAsia" w:ascii="宋体" w:hAnsi="宋体" w:cs="Arial"/>
          <w:color w:val="auto"/>
          <w:sz w:val="24"/>
          <w:highlight w:val="none"/>
        </w:rPr>
        <w:t>所有</w:t>
      </w:r>
      <w:r>
        <w:rPr>
          <w:rFonts w:hint="eastAsia" w:ascii="宋体" w:hAnsi="宋体" w:cs="Arial"/>
          <w:color w:val="auto"/>
          <w:sz w:val="24"/>
          <w:highlight w:val="none"/>
          <w:lang w:eastAsia="zh-CN"/>
        </w:rPr>
        <w:t>投标人</w:t>
      </w:r>
      <w:r>
        <w:rPr>
          <w:rFonts w:hint="eastAsia" w:ascii="宋体" w:hAnsi="宋体" w:cs="Arial"/>
          <w:color w:val="auto"/>
          <w:sz w:val="24"/>
          <w:highlight w:val="none"/>
          <w:lang w:val="en-US" w:eastAsia="zh-CN"/>
        </w:rPr>
        <w:t>投标</w:t>
      </w:r>
      <w:r>
        <w:rPr>
          <w:rFonts w:hint="eastAsia" w:ascii="宋体" w:hAnsi="宋体" w:cs="Arial"/>
          <w:color w:val="auto"/>
          <w:sz w:val="24"/>
          <w:highlight w:val="none"/>
        </w:rPr>
        <w:t>商务报价均超最高限价，本次招标失败，重新组织招标。</w:t>
      </w:r>
    </w:p>
    <w:p>
      <w:pPr>
        <w:spacing w:before="120" w:beforeLines="50" w:after="120" w:afterLines="50" w:line="360" w:lineRule="auto"/>
        <w:jc w:val="left"/>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四、</w:t>
      </w:r>
      <w:r>
        <w:rPr>
          <w:rFonts w:hint="eastAsia" w:ascii="宋体" w:hAnsi="宋体" w:cs="宋体"/>
          <w:b/>
          <w:color w:val="auto"/>
          <w:sz w:val="24"/>
          <w:highlight w:val="none"/>
        </w:rPr>
        <w:t>中标候选人的确定。</w:t>
      </w:r>
    </w:p>
    <w:p>
      <w:pPr>
        <w:widowControl/>
        <w:spacing w:before="0" w:beforeLines="-2147483648" w:after="0" w:afterLines="-2147483648" w:line="240" w:lineRule="auto"/>
        <w:ind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评标委员会按综合得分高低顺序排列，</w:t>
      </w:r>
      <w:r>
        <w:rPr>
          <w:rFonts w:hint="eastAsia" w:ascii="宋体" w:hAnsi="宋体" w:eastAsia="宋体" w:cs="Times New Roman"/>
          <w:color w:val="auto"/>
          <w:kern w:val="2"/>
          <w:sz w:val="24"/>
          <w:szCs w:val="24"/>
          <w:highlight w:val="none"/>
          <w:lang w:val="en-US" w:eastAsia="zh-CN" w:bidi="ar"/>
        </w:rPr>
        <w:t>本项目仅推荐一名中标候选人，</w:t>
      </w:r>
      <w:r>
        <w:rPr>
          <w:rFonts w:hint="eastAsia" w:ascii="宋体" w:hAnsi="宋体"/>
          <w:color w:val="auto"/>
          <w:sz w:val="24"/>
          <w:highlight w:val="none"/>
        </w:rPr>
        <w:t>综合得分</w:t>
      </w:r>
      <w:r>
        <w:rPr>
          <w:rFonts w:hint="eastAsia" w:ascii="宋体" w:hAnsi="宋体"/>
          <w:color w:val="auto"/>
          <w:sz w:val="24"/>
          <w:highlight w:val="none"/>
          <w:lang w:val="en-US" w:eastAsia="zh-CN"/>
        </w:rPr>
        <w:t>第一</w:t>
      </w:r>
      <w:r>
        <w:rPr>
          <w:rFonts w:hint="eastAsia" w:ascii="宋体" w:hAnsi="宋体"/>
          <w:color w:val="auto"/>
          <w:sz w:val="24"/>
          <w:highlight w:val="none"/>
        </w:rPr>
        <w:t>名投标</w:t>
      </w:r>
      <w:r>
        <w:rPr>
          <w:rFonts w:hint="eastAsia" w:ascii="宋体" w:hAnsi="宋体"/>
          <w:color w:val="auto"/>
          <w:sz w:val="24"/>
          <w:highlight w:val="none"/>
          <w:lang w:eastAsia="zh-CN"/>
        </w:rPr>
        <w:t>投标人</w:t>
      </w:r>
      <w:r>
        <w:rPr>
          <w:rFonts w:hint="eastAsia" w:ascii="宋体" w:hAnsi="宋体"/>
          <w:color w:val="auto"/>
          <w:sz w:val="24"/>
          <w:highlight w:val="none"/>
        </w:rPr>
        <w:t>作为</w:t>
      </w:r>
      <w:r>
        <w:rPr>
          <w:rFonts w:hint="eastAsia" w:ascii="宋体" w:hAnsi="宋体"/>
          <w:color w:val="auto"/>
          <w:sz w:val="24"/>
          <w:highlight w:val="none"/>
          <w:lang w:val="en-US" w:eastAsia="zh-CN"/>
        </w:rPr>
        <w:t>第一</w:t>
      </w:r>
      <w:r>
        <w:rPr>
          <w:rFonts w:hint="eastAsia" w:ascii="宋体" w:hAnsi="宋体"/>
          <w:color w:val="auto"/>
          <w:sz w:val="24"/>
          <w:highlight w:val="none"/>
        </w:rPr>
        <w:t>中标候选人</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向招标人推荐，并提交评标报告。</w:t>
      </w:r>
    </w:p>
    <w:p>
      <w:pPr>
        <w:spacing w:before="120" w:beforeLines="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如出现总得分相同的，按以下优先顺序确定中标候选人推荐次序：</w:t>
      </w:r>
    </w:p>
    <w:p>
      <w:pPr>
        <w:spacing w:before="120" w:beforeLines="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（一）投标报价低者；</w:t>
      </w:r>
    </w:p>
    <w:p>
      <w:pPr>
        <w:spacing w:before="120" w:beforeLines="50" w:after="120" w:afterLines="50" w:line="360" w:lineRule="auto"/>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二</w:t>
      </w:r>
      <w:r>
        <w:rPr>
          <w:rFonts w:hint="eastAsia" w:ascii="宋体" w:hAnsi="宋体" w:eastAsia="宋体" w:cs="Times New Roman"/>
          <w:color w:val="auto"/>
          <w:sz w:val="24"/>
          <w:highlight w:val="none"/>
        </w:rPr>
        <w:t>）抽签确定。</w:t>
      </w:r>
    </w:p>
    <w:p>
      <w:pPr>
        <w:spacing w:before="120" w:beforeLines="50" w:after="120" w:afterLines="50" w:line="360" w:lineRule="auto"/>
        <w:jc w:val="both"/>
        <w:rPr>
          <w:rFonts w:hint="eastAsia" w:ascii="宋体" w:hAnsi="宋体"/>
          <w:color w:val="auto"/>
          <w:sz w:val="30"/>
          <w:highlight w:val="none"/>
        </w:rPr>
        <w:sectPr>
          <w:headerReference r:id="rId11" w:type="default"/>
          <w:footerReference r:id="rId12" w:type="default"/>
          <w:pgSz w:w="11900" w:h="16840"/>
          <w:pgMar w:top="1440" w:right="1418" w:bottom="1440" w:left="1418" w:header="851" w:footer="680" w:gutter="0"/>
          <w:pgNumType w:fmt="decimal"/>
          <w:cols w:space="720" w:num="1"/>
          <w:docGrid w:linePitch="312" w:charSpace="0"/>
        </w:sectPr>
      </w:pPr>
    </w:p>
    <w:p>
      <w:pPr>
        <w:spacing w:before="120" w:beforeLines="50" w:after="120" w:afterLines="50" w:line="360" w:lineRule="auto"/>
        <w:jc w:val="center"/>
        <w:rPr>
          <w:rFonts w:ascii="宋体" w:hAnsi="宋体"/>
          <w:color w:val="auto"/>
          <w:sz w:val="30"/>
          <w:szCs w:val="20"/>
          <w:highlight w:val="none"/>
        </w:rPr>
      </w:pPr>
      <w:r>
        <w:rPr>
          <w:rFonts w:hint="eastAsia" w:ascii="宋体" w:hAnsi="宋体"/>
          <w:color w:val="auto"/>
          <w:sz w:val="30"/>
          <w:highlight w:val="none"/>
        </w:rPr>
        <w:t>第五章  合同主要条款</w:t>
      </w:r>
    </w:p>
    <w:p>
      <w:pPr>
        <w:rPr>
          <w:color w:val="auto"/>
          <w:highlight w:val="none"/>
        </w:rPr>
      </w:pPr>
    </w:p>
    <w:p>
      <w:pPr>
        <w:snapToGrid w:val="0"/>
        <w:spacing w:before="120" w:beforeLines="50" w:after="120" w:afterLines="50"/>
        <w:jc w:val="center"/>
        <w:rPr>
          <w:rFonts w:ascii="宋体" w:hAnsi="宋体"/>
          <w:b/>
          <w:bCs/>
          <w:color w:val="auto"/>
          <w:sz w:val="30"/>
          <w:szCs w:val="32"/>
          <w:highlight w:val="none"/>
        </w:rPr>
      </w:pPr>
      <w:r>
        <w:rPr>
          <w:rFonts w:hint="eastAsia" w:ascii="宋体" w:hAnsi="宋体"/>
          <w:b/>
          <w:color w:val="auto"/>
          <w:sz w:val="30"/>
          <w:szCs w:val="32"/>
          <w:highlight w:val="none"/>
        </w:rPr>
        <w:t>合同指引（货物）</w:t>
      </w:r>
    </w:p>
    <w:p>
      <w:pPr>
        <w:pStyle w:val="8"/>
        <w:jc w:val="center"/>
        <w:rPr>
          <w:rFonts w:hint="eastAsia" w:ascii="宋体" w:hAnsi="宋体" w:eastAsia="宋体"/>
          <w:bCs/>
          <w:color w:val="auto"/>
          <w:sz w:val="32"/>
          <w:szCs w:val="32"/>
          <w:highlight w:val="none"/>
          <w:shd w:val="clear" w:color="auto" w:fill="FFFFFF"/>
          <w:lang w:eastAsia="zh-CN"/>
        </w:rPr>
      </w:pPr>
    </w:p>
    <w:p>
      <w:pPr>
        <w:pStyle w:val="8"/>
        <w:jc w:val="center"/>
        <w:rPr>
          <w:rFonts w:ascii="宋体" w:eastAsia="宋体"/>
          <w:color w:val="auto"/>
          <w:highlight w:val="none"/>
          <w:shd w:val="clear" w:color="auto" w:fill="FFFFFF"/>
        </w:rPr>
      </w:pPr>
      <w:r>
        <w:rPr>
          <w:rFonts w:ascii="宋体" w:eastAsia="宋体"/>
          <w:color w:val="auto"/>
          <w:highlight w:val="none"/>
          <w:shd w:val="clear" w:color="auto" w:fill="FFFFFF"/>
        </w:rPr>
        <w:t>合同书</w:t>
      </w:r>
    </w:p>
    <w:p>
      <w:pPr>
        <w:pStyle w:val="2"/>
        <w:ind w:firstLine="0" w:firstLineChars="0"/>
        <w:rPr>
          <w:color w:val="auto"/>
          <w:highlight w:val="none"/>
        </w:rPr>
      </w:pPr>
    </w:p>
    <w:p>
      <w:pPr>
        <w:spacing w:line="360" w:lineRule="auto"/>
        <w:ind w:firstLine="280" w:firstLineChars="100"/>
        <w:rPr>
          <w:rFonts w:hint="eastAsia" w:ascii="宋体" w:hAnsi="宋体" w:eastAsia="宋体" w:cs="Times New Roman"/>
          <w:bCs w:val="0"/>
          <w:color w:val="auto"/>
          <w:sz w:val="28"/>
          <w:szCs w:val="24"/>
          <w:highlight w:val="none"/>
          <w:shd w:val="clear" w:color="auto" w:fill="FFFFFF"/>
          <w:lang w:eastAsia="zh-CN"/>
        </w:rPr>
      </w:pPr>
    </w:p>
    <w:p>
      <w:pPr>
        <w:spacing w:line="360" w:lineRule="auto"/>
        <w:ind w:firstLine="280" w:firstLineChars="100"/>
        <w:rPr>
          <w:rFonts w:hint="eastAsia" w:ascii="宋体" w:hAnsi="宋体" w:eastAsia="宋体"/>
          <w:bCs w:val="0"/>
          <w:color w:val="auto"/>
          <w:sz w:val="28"/>
          <w:szCs w:val="24"/>
          <w:highlight w:val="none"/>
          <w:shd w:val="clear" w:color="auto" w:fill="FFFFFF"/>
          <w:lang w:eastAsia="zh-CN"/>
        </w:rPr>
      </w:pPr>
      <w:r>
        <w:rPr>
          <w:rFonts w:hint="eastAsia" w:ascii="宋体" w:hAnsi="宋体" w:eastAsia="宋体" w:cs="Times New Roman"/>
          <w:bCs w:val="0"/>
          <w:color w:val="auto"/>
          <w:sz w:val="28"/>
          <w:szCs w:val="24"/>
          <w:highlight w:val="none"/>
          <w:shd w:val="clear" w:color="auto" w:fill="FFFFFF"/>
          <w:lang w:eastAsia="zh-CN"/>
        </w:rPr>
        <w:t>项目名称：</w:t>
      </w:r>
      <w:r>
        <w:rPr>
          <w:rFonts w:hint="eastAsia" w:ascii="宋体" w:hAnsi="宋体" w:cs="Times New Roman"/>
          <w:bCs w:val="0"/>
          <w:color w:val="auto"/>
          <w:sz w:val="28"/>
          <w:szCs w:val="24"/>
          <w:highlight w:val="none"/>
          <w:u w:val="single"/>
          <w:shd w:val="clear" w:color="auto" w:fill="FFFFFF"/>
          <w:lang w:val="en-US" w:eastAsia="zh-CN"/>
        </w:rPr>
        <w:t>太和路（沿山道路-腾云路）、椒江医化产业园区基础设施提升工程（腾云路半幅道路工程）路灯采购工程</w:t>
      </w:r>
      <w:r>
        <w:rPr>
          <w:rFonts w:hint="eastAsia" w:ascii="宋体" w:hAnsi="宋体" w:eastAsia="宋体" w:cs="Times New Roman"/>
          <w:bCs w:val="0"/>
          <w:color w:val="auto"/>
          <w:sz w:val="28"/>
          <w:szCs w:val="24"/>
          <w:highlight w:val="none"/>
          <w:u w:val="single"/>
          <w:shd w:val="clear" w:color="auto" w:fill="FFFFFF"/>
          <w:lang w:eastAsia="zh-CN"/>
        </w:rPr>
        <w:t xml:space="preserve"> </w:t>
      </w:r>
      <w:r>
        <w:rPr>
          <w:rFonts w:hint="eastAsia" w:ascii="宋体" w:hAnsi="宋体" w:eastAsia="宋体" w:cs="Times New Roman"/>
          <w:bCs w:val="0"/>
          <w:color w:val="auto"/>
          <w:sz w:val="28"/>
          <w:szCs w:val="24"/>
          <w:highlight w:val="none"/>
          <w:shd w:val="clear" w:color="auto" w:fill="FFFFFF"/>
          <w:lang w:eastAsia="zh-CN"/>
        </w:rPr>
        <w:t xml:space="preserve"> </w:t>
      </w:r>
      <w:r>
        <w:rPr>
          <w:rFonts w:hint="eastAsia" w:ascii="宋体" w:hAnsi="宋体" w:eastAsia="宋体"/>
          <w:bCs w:val="0"/>
          <w:color w:val="auto"/>
          <w:sz w:val="28"/>
          <w:szCs w:val="24"/>
          <w:highlight w:val="none"/>
          <w:shd w:val="clear" w:color="auto" w:fill="FFFFFF"/>
          <w:lang w:eastAsia="zh-CN"/>
        </w:rPr>
        <w:t xml:space="preserve">                            </w:t>
      </w:r>
    </w:p>
    <w:p>
      <w:pPr>
        <w:spacing w:line="360" w:lineRule="auto"/>
        <w:ind w:firstLine="280" w:firstLineChars="100"/>
        <w:rPr>
          <w:rFonts w:ascii="宋体" w:hAnsi="宋体"/>
          <w:color w:val="auto"/>
          <w:sz w:val="28"/>
          <w:highlight w:val="none"/>
          <w:shd w:val="clear" w:color="auto" w:fill="FFFFFF"/>
        </w:rPr>
      </w:pPr>
      <w:r>
        <w:rPr>
          <w:rFonts w:hint="eastAsia" w:ascii="宋体" w:hAnsi="宋体"/>
          <w:bCs w:val="0"/>
          <w:color w:val="auto"/>
          <w:sz w:val="28"/>
          <w:szCs w:val="24"/>
          <w:highlight w:val="none"/>
          <w:shd w:val="clear" w:color="auto" w:fill="FFFFFF"/>
          <w:lang w:eastAsia="zh-CN"/>
        </w:rPr>
        <w:t>采购</w:t>
      </w:r>
      <w:r>
        <w:rPr>
          <w:rFonts w:hint="eastAsia" w:ascii="宋体" w:hAnsi="宋体" w:eastAsia="宋体"/>
          <w:bCs w:val="0"/>
          <w:color w:val="auto"/>
          <w:sz w:val="28"/>
          <w:szCs w:val="24"/>
          <w:highlight w:val="none"/>
          <w:shd w:val="clear" w:color="auto" w:fill="FFFFFF"/>
          <w:lang w:eastAsia="zh-CN"/>
        </w:rPr>
        <w:t>单位：</w:t>
      </w:r>
      <w:r>
        <w:rPr>
          <w:rFonts w:hint="eastAsia" w:ascii="宋体" w:hAnsi="宋体"/>
          <w:bCs w:val="0"/>
          <w:color w:val="auto"/>
          <w:sz w:val="28"/>
          <w:szCs w:val="24"/>
          <w:highlight w:val="none"/>
          <w:u w:val="single"/>
          <w:shd w:val="clear" w:color="auto" w:fill="FFFFFF"/>
          <w:lang w:eastAsia="zh-CN"/>
        </w:rPr>
        <w:t>台州市椒江新城基础设施建设有限公司</w:t>
      </w:r>
      <w:r>
        <w:rPr>
          <w:rFonts w:hint="eastAsia" w:ascii="宋体" w:hAnsi="宋体" w:eastAsia="宋体"/>
          <w:bCs w:val="0"/>
          <w:color w:val="auto"/>
          <w:sz w:val="28"/>
          <w:szCs w:val="24"/>
          <w:highlight w:val="none"/>
          <w:shd w:val="clear" w:color="auto" w:fill="FFFFFF"/>
          <w:lang w:eastAsia="zh-CN"/>
        </w:rPr>
        <w:t xml:space="preserve"> </w:t>
      </w:r>
      <w:r>
        <w:rPr>
          <w:rFonts w:ascii="宋体" w:hAnsi="宋体"/>
          <w:color w:val="auto"/>
          <w:sz w:val="28"/>
          <w:highlight w:val="none"/>
          <w:shd w:val="clear" w:color="auto" w:fill="FFFFFF"/>
        </w:rPr>
        <w:t xml:space="preserve">                                  </w:t>
      </w:r>
    </w:p>
    <w:p>
      <w:pPr>
        <w:spacing w:line="360" w:lineRule="auto"/>
        <w:ind w:firstLine="280" w:firstLineChars="100"/>
        <w:rPr>
          <w:rFonts w:ascii="宋体" w:hAnsi="宋体"/>
          <w:color w:val="auto"/>
          <w:sz w:val="24"/>
          <w:highlight w:val="none"/>
          <w:shd w:val="clear" w:color="auto" w:fill="FFFFFF"/>
        </w:rPr>
      </w:pPr>
      <w:r>
        <w:rPr>
          <w:rFonts w:hint="eastAsia" w:ascii="宋体" w:hAnsi="宋体"/>
          <w:color w:val="auto"/>
          <w:sz w:val="28"/>
          <w:highlight w:val="none"/>
          <w:shd w:val="clear" w:color="auto" w:fill="FFFFFF"/>
          <w:lang w:eastAsia="zh-CN"/>
        </w:rPr>
        <w:t>承办</w:t>
      </w:r>
      <w:r>
        <w:rPr>
          <w:rFonts w:ascii="宋体" w:hAnsi="宋体"/>
          <w:color w:val="auto"/>
          <w:sz w:val="28"/>
          <w:highlight w:val="none"/>
          <w:shd w:val="clear" w:color="auto" w:fill="FFFFFF"/>
        </w:rPr>
        <w:t>单位：</w:t>
      </w:r>
      <w:r>
        <w:rPr>
          <w:rFonts w:ascii="宋体" w:hAnsi="宋体"/>
          <w:color w:val="auto"/>
          <w:sz w:val="28"/>
          <w:highlight w:val="none"/>
          <w:u w:val="single"/>
          <w:shd w:val="clear" w:color="auto" w:fill="FFFFFF"/>
        </w:rPr>
        <w:t xml:space="preserve">                         </w:t>
      </w:r>
      <w:r>
        <w:rPr>
          <w:rFonts w:ascii="宋体" w:hAnsi="宋体"/>
          <w:color w:val="auto"/>
          <w:sz w:val="28"/>
          <w:highlight w:val="none"/>
          <w:shd w:val="clear" w:color="auto" w:fill="FFFFFF"/>
        </w:rPr>
        <w:t xml:space="preserve">           </w:t>
      </w:r>
      <w:r>
        <w:rPr>
          <w:rFonts w:ascii="宋体" w:hAnsi="宋体"/>
          <w:color w:val="auto"/>
          <w:sz w:val="24"/>
          <w:highlight w:val="none"/>
          <w:shd w:val="clear" w:color="auto" w:fill="FFFFFF"/>
        </w:rPr>
        <w:t xml:space="preserve">  </w:t>
      </w: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rPr>
          <w:rFonts w:ascii="宋体" w:hAnsi="宋体"/>
          <w:color w:val="auto"/>
          <w:sz w:val="24"/>
          <w:highlight w:val="none"/>
          <w:shd w:val="clear" w:color="auto" w:fill="FFFFFF"/>
        </w:rPr>
      </w:pPr>
    </w:p>
    <w:p>
      <w:pPr>
        <w:spacing w:line="360" w:lineRule="auto"/>
        <w:jc w:val="center"/>
        <w:rPr>
          <w:rFonts w:hint="eastAsia" w:ascii="宋体" w:hAnsi="宋体" w:eastAsia="宋体"/>
          <w:bCs w:val="0"/>
          <w:color w:val="auto"/>
          <w:sz w:val="28"/>
          <w:szCs w:val="24"/>
          <w:highlight w:val="none"/>
          <w:shd w:val="clear" w:color="auto" w:fill="FFFFFF"/>
          <w:lang w:eastAsia="zh-CN"/>
        </w:rPr>
      </w:pPr>
      <w:r>
        <w:rPr>
          <w:rFonts w:ascii="宋体" w:hAnsi="宋体"/>
          <w:color w:val="auto"/>
          <w:sz w:val="34"/>
          <w:highlight w:val="none"/>
          <w:shd w:val="clear" w:color="auto" w:fill="FFFFFF"/>
        </w:rPr>
        <w:t xml:space="preserve">             </w:t>
      </w:r>
      <w:r>
        <w:rPr>
          <w:rFonts w:hint="eastAsia" w:ascii="宋体" w:hAnsi="宋体" w:eastAsia="宋体"/>
          <w:bCs w:val="0"/>
          <w:color w:val="auto"/>
          <w:sz w:val="28"/>
          <w:szCs w:val="24"/>
          <w:highlight w:val="none"/>
          <w:shd w:val="clear" w:color="auto" w:fill="FFFFFF"/>
          <w:lang w:eastAsia="zh-CN"/>
        </w:rPr>
        <w:t xml:space="preserve">                  </w:t>
      </w:r>
      <w:r>
        <w:rPr>
          <w:rFonts w:hint="eastAsia" w:ascii="宋体" w:hAnsi="宋体"/>
          <w:bCs w:val="0"/>
          <w:color w:val="auto"/>
          <w:sz w:val="28"/>
          <w:szCs w:val="24"/>
          <w:highlight w:val="none"/>
          <w:shd w:val="clear" w:color="auto" w:fill="FFFFFF"/>
          <w:lang w:val="en-US" w:eastAsia="zh-CN"/>
        </w:rPr>
        <w:t xml:space="preserve">      </w:t>
      </w:r>
      <w:r>
        <w:rPr>
          <w:rFonts w:hint="eastAsia" w:ascii="宋体" w:hAnsi="宋体" w:eastAsia="宋体"/>
          <w:bCs w:val="0"/>
          <w:color w:val="auto"/>
          <w:sz w:val="28"/>
          <w:szCs w:val="24"/>
          <w:highlight w:val="none"/>
          <w:shd w:val="clear" w:color="auto" w:fill="FFFFFF"/>
          <w:lang w:eastAsia="zh-CN"/>
        </w:rPr>
        <w:t xml:space="preserve"> </w:t>
      </w:r>
    </w:p>
    <w:p>
      <w:pPr>
        <w:spacing w:line="360" w:lineRule="auto"/>
        <w:jc w:val="center"/>
        <w:rPr>
          <w:rFonts w:hint="eastAsia" w:ascii="宋体" w:hAnsi="宋体"/>
          <w:color w:val="auto"/>
          <w:sz w:val="32"/>
          <w:szCs w:val="32"/>
          <w:highlight w:val="none"/>
          <w:u w:val="single"/>
          <w:shd w:val="clear" w:color="auto" w:fill="FFFFFF"/>
        </w:rPr>
      </w:pPr>
      <w:r>
        <w:rPr>
          <w:rFonts w:hint="eastAsia" w:ascii="宋体" w:hAnsi="宋体" w:eastAsia="宋体"/>
          <w:bCs w:val="0"/>
          <w:color w:val="auto"/>
          <w:sz w:val="28"/>
          <w:szCs w:val="24"/>
          <w:highlight w:val="none"/>
          <w:shd w:val="clear" w:color="auto" w:fill="FFFFFF"/>
          <w:lang w:eastAsia="zh-CN"/>
        </w:rPr>
        <w:t xml:space="preserve"> 年  </w:t>
      </w:r>
      <w:r>
        <w:rPr>
          <w:rFonts w:hint="eastAsia" w:ascii="宋体" w:hAnsi="宋体"/>
          <w:bCs w:val="0"/>
          <w:color w:val="auto"/>
          <w:sz w:val="28"/>
          <w:szCs w:val="24"/>
          <w:highlight w:val="none"/>
          <w:shd w:val="clear" w:color="auto" w:fill="FFFFFF"/>
          <w:lang w:val="en-US" w:eastAsia="zh-CN"/>
        </w:rPr>
        <w:t xml:space="preserve">  </w:t>
      </w:r>
      <w:r>
        <w:rPr>
          <w:rFonts w:hint="eastAsia" w:ascii="宋体" w:hAnsi="宋体" w:eastAsia="宋体"/>
          <w:bCs w:val="0"/>
          <w:color w:val="auto"/>
          <w:sz w:val="28"/>
          <w:szCs w:val="24"/>
          <w:highlight w:val="none"/>
          <w:shd w:val="clear" w:color="auto" w:fill="FFFFFF"/>
          <w:lang w:eastAsia="zh-CN"/>
        </w:rPr>
        <w:t xml:space="preserve">月 </w:t>
      </w:r>
      <w:r>
        <w:rPr>
          <w:rFonts w:hint="eastAsia" w:ascii="宋体" w:hAnsi="宋体"/>
          <w:bCs w:val="0"/>
          <w:color w:val="auto"/>
          <w:sz w:val="28"/>
          <w:szCs w:val="24"/>
          <w:highlight w:val="none"/>
          <w:shd w:val="clear" w:color="auto" w:fill="FFFFFF"/>
          <w:lang w:val="en-US" w:eastAsia="zh-CN"/>
        </w:rPr>
        <w:t xml:space="preserve">  </w:t>
      </w:r>
      <w:r>
        <w:rPr>
          <w:rFonts w:hint="eastAsia" w:ascii="宋体" w:hAnsi="宋体" w:eastAsia="宋体"/>
          <w:bCs w:val="0"/>
          <w:color w:val="auto"/>
          <w:sz w:val="28"/>
          <w:szCs w:val="24"/>
          <w:highlight w:val="none"/>
          <w:shd w:val="clear" w:color="auto" w:fill="FFFFFF"/>
          <w:lang w:eastAsia="zh-CN"/>
        </w:rPr>
        <w:t xml:space="preserve"> 日</w:t>
      </w:r>
    </w:p>
    <w:p>
      <w:pPr>
        <w:pStyle w:val="30"/>
        <w:snapToGrid w:val="0"/>
        <w:spacing w:before="120" w:beforeLines="0" w:after="120" w:afterLines="0" w:line="420" w:lineRule="exact"/>
        <w:jc w:val="center"/>
        <w:rPr>
          <w:rFonts w:hint="eastAsia" w:hAnsi="宋体"/>
          <w:color w:val="auto"/>
          <w:sz w:val="32"/>
          <w:szCs w:val="32"/>
          <w:highlight w:val="none"/>
          <w:u w:val="single"/>
          <w:shd w:val="clear" w:color="auto" w:fill="FFFFFF"/>
          <w:lang w:eastAsia="zh-CN"/>
        </w:rPr>
      </w:pPr>
      <w:r>
        <w:rPr>
          <w:rFonts w:ascii="宋体" w:hAnsi="宋体"/>
          <w:color w:val="auto"/>
          <w:sz w:val="32"/>
          <w:szCs w:val="32"/>
          <w:highlight w:val="none"/>
          <w:u w:val="single"/>
          <w:shd w:val="clear" w:color="auto" w:fill="FFFFFF"/>
        </w:rPr>
        <w:br w:type="page"/>
      </w:r>
      <w:r>
        <w:rPr>
          <w:rFonts w:hint="eastAsia" w:hAnsi="宋体"/>
          <w:color w:val="auto"/>
          <w:sz w:val="32"/>
          <w:szCs w:val="32"/>
          <w:highlight w:val="none"/>
          <w:u w:val="none"/>
          <w:shd w:val="clear" w:color="auto" w:fill="FFFFFF"/>
          <w:lang w:eastAsia="zh-CN"/>
        </w:rPr>
        <w:t>合同主要条款</w:t>
      </w:r>
    </w:p>
    <w:p>
      <w:pPr>
        <w:pStyle w:val="30"/>
        <w:snapToGrid w:val="0"/>
        <w:spacing w:before="120" w:beforeLines="0" w:after="120" w:afterLines="0" w:line="360" w:lineRule="auto"/>
        <w:rPr>
          <w:rFonts w:hint="eastAsia" w:hAnsi="宋体"/>
          <w:color w:val="auto"/>
          <w:highlight w:val="none"/>
          <w:u w:val="single"/>
          <w:lang w:val="en-US" w:eastAsia="zh-CN"/>
        </w:rPr>
      </w:pPr>
      <w:r>
        <w:rPr>
          <w:rFonts w:hAnsi="宋体"/>
          <w:color w:val="auto"/>
          <w:highlight w:val="none"/>
        </w:rPr>
        <w:t>项目名称：</w:t>
      </w:r>
      <w:r>
        <w:rPr>
          <w:rFonts w:hint="eastAsia" w:hAnsi="宋体"/>
          <w:color w:val="auto"/>
          <w:highlight w:val="none"/>
          <w:u w:val="single"/>
          <w:lang w:val="en-US" w:eastAsia="zh-CN"/>
        </w:rPr>
        <w:t>太和路（沿山道路-腾云路）、椒江医化产业园区基础设施提升工程（腾云路半幅道路工程）路灯采购工程</w:t>
      </w:r>
    </w:p>
    <w:p>
      <w:pPr>
        <w:pStyle w:val="30"/>
        <w:snapToGrid w:val="0"/>
        <w:spacing w:before="120" w:beforeLines="0" w:after="120" w:afterLines="0" w:line="360" w:lineRule="auto"/>
        <w:rPr>
          <w:rFonts w:hint="eastAsia" w:hAnsi="宋体" w:eastAsia="宋体"/>
          <w:color w:val="auto"/>
          <w:highlight w:val="none"/>
          <w:lang w:eastAsia="zh-CN"/>
        </w:rPr>
      </w:pPr>
      <w:r>
        <w:rPr>
          <w:rFonts w:hAnsi="宋体"/>
          <w:color w:val="auto"/>
          <w:highlight w:val="none"/>
        </w:rPr>
        <w:t>甲方：（买方）</w:t>
      </w:r>
      <w:r>
        <w:rPr>
          <w:rFonts w:hint="eastAsia" w:hAnsi="宋体"/>
          <w:color w:val="auto"/>
          <w:highlight w:val="none"/>
          <w:u w:val="single"/>
          <w:lang w:eastAsia="zh-CN"/>
        </w:rPr>
        <w:t>台州市椒江新城基础设施建设有限公司</w:t>
      </w:r>
    </w:p>
    <w:p>
      <w:pPr>
        <w:pStyle w:val="30"/>
        <w:snapToGrid w:val="0"/>
        <w:spacing w:before="120" w:beforeLines="0" w:after="120" w:afterLines="0" w:line="360" w:lineRule="auto"/>
        <w:rPr>
          <w:rFonts w:cs="宋体"/>
          <w:color w:val="auto"/>
          <w:sz w:val="24"/>
          <w:highlight w:val="none"/>
        </w:rPr>
      </w:pPr>
      <w:r>
        <w:rPr>
          <w:rFonts w:hAnsi="宋体"/>
          <w:color w:val="auto"/>
          <w:highlight w:val="none"/>
        </w:rPr>
        <w:t>乙方：（卖方）</w:t>
      </w:r>
      <w:r>
        <w:rPr>
          <w:rFonts w:hint="eastAsia" w:cs="宋体"/>
          <w:color w:val="auto"/>
          <w:sz w:val="24"/>
          <w:highlight w:val="none"/>
          <w:u w:val="single"/>
        </w:rPr>
        <w:t xml:space="preserve">                        </w:t>
      </w:r>
      <w:r>
        <w:rPr>
          <w:rFonts w:hint="eastAsia" w:cs="宋体"/>
          <w:color w:val="auto"/>
          <w:sz w:val="24"/>
          <w:highlight w:val="none"/>
        </w:rPr>
        <w:t xml:space="preserve">                             </w:t>
      </w:r>
    </w:p>
    <w:p>
      <w:pPr>
        <w:pStyle w:val="30"/>
        <w:numPr>
          <w:ilvl w:val="0"/>
          <w:numId w:val="8"/>
        </w:numPr>
        <w:snapToGrid w:val="0"/>
        <w:spacing w:before="120" w:after="120" w:line="360" w:lineRule="auto"/>
        <w:rPr>
          <w:rFonts w:hint="eastAsia" w:cs="宋体"/>
          <w:color w:val="auto"/>
          <w:sz w:val="24"/>
          <w:highlight w:val="none"/>
        </w:rPr>
      </w:pPr>
      <w:r>
        <w:rPr>
          <w:rFonts w:hint="eastAsia" w:cs="宋体"/>
          <w:color w:val="auto"/>
          <w:sz w:val="24"/>
          <w:highlight w:val="none"/>
        </w:rPr>
        <w:t>乙双方根据</w:t>
      </w:r>
      <w:r>
        <w:rPr>
          <w:rFonts w:hint="eastAsia" w:cs="宋体"/>
          <w:color w:val="auto"/>
          <w:sz w:val="24"/>
          <w:highlight w:val="none"/>
          <w:u w:val="single"/>
          <w:lang w:val="en-US" w:eastAsia="zh-CN"/>
        </w:rPr>
        <w:t>太和路（沿山道路-腾云路）、椒江医化产业园区基础设施提升工程（腾云路半幅道路工程）路灯采购工程</w:t>
      </w:r>
      <w:r>
        <w:rPr>
          <w:rFonts w:hint="eastAsia" w:cs="宋体"/>
          <w:color w:val="auto"/>
          <w:sz w:val="24"/>
          <w:highlight w:val="none"/>
        </w:rPr>
        <w:t>的成交结果，签署本合同。</w:t>
      </w:r>
    </w:p>
    <w:p>
      <w:pPr>
        <w:pStyle w:val="30"/>
        <w:numPr>
          <w:ilvl w:val="0"/>
          <w:numId w:val="0"/>
        </w:numPr>
        <w:snapToGrid w:val="0"/>
        <w:spacing w:before="120" w:after="120" w:line="360" w:lineRule="auto"/>
        <w:rPr>
          <w:rFonts w:hAnsi="宋体"/>
          <w:b/>
          <w:bCs/>
          <w:color w:val="auto"/>
          <w:highlight w:val="none"/>
        </w:rPr>
      </w:pPr>
      <w:r>
        <w:rPr>
          <w:rFonts w:hAnsi="宋体"/>
          <w:b/>
          <w:bCs/>
          <w:color w:val="auto"/>
          <w:highlight w:val="none"/>
        </w:rPr>
        <w:t>合同文件</w:t>
      </w:r>
    </w:p>
    <w:p>
      <w:pPr>
        <w:pStyle w:val="30"/>
        <w:snapToGrid w:val="0"/>
        <w:spacing w:before="120" w:after="120" w:line="360" w:lineRule="auto"/>
        <w:rPr>
          <w:rFonts w:hAnsi="宋体"/>
          <w:color w:val="auto"/>
          <w:highlight w:val="none"/>
        </w:rPr>
      </w:pPr>
      <w:r>
        <w:rPr>
          <w:rFonts w:hAnsi="宋体"/>
          <w:color w:val="auto"/>
          <w:highlight w:val="none"/>
        </w:rPr>
        <w:t xml:space="preserve">   下列文件构成本合同的组成部分：</w:t>
      </w:r>
    </w:p>
    <w:p>
      <w:pPr>
        <w:pStyle w:val="30"/>
        <w:snapToGrid w:val="0"/>
        <w:spacing w:before="120" w:after="120" w:line="360" w:lineRule="auto"/>
        <w:rPr>
          <w:rFonts w:hint="eastAsia" w:hAnsi="宋体"/>
          <w:color w:val="auto"/>
          <w:highlight w:val="none"/>
        </w:rPr>
      </w:pPr>
      <w:r>
        <w:rPr>
          <w:rFonts w:hAnsi="宋体"/>
          <w:color w:val="auto"/>
          <w:highlight w:val="none"/>
        </w:rPr>
        <w:t>(1) 中标通知书</w:t>
      </w:r>
    </w:p>
    <w:p>
      <w:pPr>
        <w:pStyle w:val="30"/>
        <w:snapToGrid w:val="0"/>
        <w:spacing w:before="120" w:after="120" w:line="360" w:lineRule="auto"/>
        <w:rPr>
          <w:rFonts w:hAnsi="宋体"/>
          <w:color w:val="auto"/>
          <w:highlight w:val="none"/>
        </w:rPr>
      </w:pPr>
      <w:r>
        <w:rPr>
          <w:rFonts w:hAnsi="宋体"/>
          <w:color w:val="auto"/>
          <w:highlight w:val="none"/>
        </w:rPr>
        <w:t>(2) 合同主要条款</w:t>
      </w:r>
    </w:p>
    <w:p>
      <w:pPr>
        <w:pStyle w:val="30"/>
        <w:snapToGrid w:val="0"/>
        <w:spacing w:before="120" w:after="120" w:line="360" w:lineRule="auto"/>
        <w:rPr>
          <w:rFonts w:hint="eastAsia" w:hAnsi="宋体" w:eastAsia="宋体" w:cs="Times New Roman"/>
          <w:color w:val="auto"/>
          <w:highlight w:val="none"/>
        </w:rPr>
      </w:pPr>
      <w:r>
        <w:rPr>
          <w:rFonts w:hAnsi="宋体" w:eastAsia="宋体" w:cs="Times New Roman"/>
          <w:color w:val="auto"/>
          <w:highlight w:val="none"/>
        </w:rPr>
        <w:t>(</w:t>
      </w:r>
      <w:r>
        <w:rPr>
          <w:rFonts w:hint="eastAsia" w:hAnsi="宋体" w:eastAsia="宋体" w:cs="Times New Roman"/>
          <w:color w:val="auto"/>
          <w:highlight w:val="none"/>
          <w:lang w:val="en-US" w:eastAsia="zh-CN"/>
        </w:rPr>
        <w:t>3</w:t>
      </w:r>
      <w:r>
        <w:rPr>
          <w:rFonts w:hAnsi="宋体" w:eastAsia="宋体" w:cs="Times New Roman"/>
          <w:color w:val="auto"/>
          <w:highlight w:val="none"/>
        </w:rPr>
        <w:t xml:space="preserve">) </w:t>
      </w:r>
      <w:r>
        <w:rPr>
          <w:rFonts w:hint="eastAsia" w:hAnsi="宋体" w:eastAsia="宋体" w:cs="Times New Roman"/>
          <w:color w:val="auto"/>
          <w:highlight w:val="none"/>
        </w:rPr>
        <w:t>项目廉政责任书</w:t>
      </w:r>
    </w:p>
    <w:p>
      <w:pPr>
        <w:pStyle w:val="30"/>
        <w:snapToGrid w:val="0"/>
        <w:spacing w:before="120" w:after="120" w:line="360" w:lineRule="auto"/>
        <w:rPr>
          <w:rFonts w:hint="eastAsia" w:hAnsi="宋体"/>
          <w:color w:val="auto"/>
          <w:highlight w:val="none"/>
        </w:rPr>
      </w:pPr>
      <w:r>
        <w:rPr>
          <w:rFonts w:hAnsi="宋体"/>
          <w:color w:val="auto"/>
          <w:highlight w:val="none"/>
        </w:rPr>
        <w:t>(</w:t>
      </w:r>
      <w:r>
        <w:rPr>
          <w:rFonts w:hint="eastAsia" w:hAnsi="宋体"/>
          <w:color w:val="auto"/>
          <w:highlight w:val="none"/>
          <w:lang w:val="en-US" w:eastAsia="zh-CN"/>
        </w:rPr>
        <w:t>4</w:t>
      </w:r>
      <w:r>
        <w:rPr>
          <w:rFonts w:hAnsi="宋体"/>
          <w:color w:val="auto"/>
          <w:highlight w:val="none"/>
        </w:rPr>
        <w:t>)</w:t>
      </w:r>
      <w:r>
        <w:rPr>
          <w:rFonts w:hint="eastAsia" w:hAnsi="宋体"/>
          <w:color w:val="auto"/>
          <w:highlight w:val="none"/>
        </w:rPr>
        <w:t xml:space="preserve"> 招标文件</w:t>
      </w:r>
    </w:p>
    <w:p>
      <w:pPr>
        <w:pStyle w:val="30"/>
        <w:snapToGrid w:val="0"/>
        <w:spacing w:before="120" w:after="120" w:line="360" w:lineRule="auto"/>
        <w:rPr>
          <w:rFonts w:cs="宋体"/>
          <w:b/>
          <w:color w:val="auto"/>
          <w:sz w:val="24"/>
          <w:highlight w:val="none"/>
        </w:rPr>
      </w:pPr>
      <w:r>
        <w:rPr>
          <w:rFonts w:hAnsi="宋体"/>
          <w:color w:val="auto"/>
          <w:highlight w:val="none"/>
        </w:rPr>
        <w:t>(</w:t>
      </w:r>
      <w:r>
        <w:rPr>
          <w:rFonts w:hint="eastAsia" w:hAnsi="宋体"/>
          <w:color w:val="auto"/>
          <w:highlight w:val="none"/>
          <w:lang w:val="en-US" w:eastAsia="zh-CN"/>
        </w:rPr>
        <w:t>5</w:t>
      </w:r>
      <w:r>
        <w:rPr>
          <w:rFonts w:hAnsi="宋体"/>
          <w:color w:val="auto"/>
          <w:highlight w:val="none"/>
        </w:rPr>
        <w:t xml:space="preserve">) </w:t>
      </w:r>
      <w:r>
        <w:rPr>
          <w:rFonts w:hint="eastAsia" w:hAnsi="宋体"/>
          <w:color w:val="auto"/>
          <w:highlight w:val="none"/>
        </w:rPr>
        <w:t>投标文件（商务标）</w:t>
      </w:r>
    </w:p>
    <w:p>
      <w:pPr>
        <w:pStyle w:val="30"/>
        <w:snapToGrid w:val="0"/>
        <w:spacing w:before="120" w:beforeLines="0" w:after="120" w:afterLines="0" w:line="360" w:lineRule="auto"/>
        <w:rPr>
          <w:rFonts w:hint="eastAsia" w:cs="宋体"/>
          <w:b/>
          <w:color w:val="auto"/>
          <w:sz w:val="24"/>
          <w:highlight w:val="none"/>
        </w:rPr>
      </w:pPr>
      <w:r>
        <w:rPr>
          <w:rFonts w:hint="eastAsia" w:cs="宋体"/>
          <w:b/>
          <w:color w:val="auto"/>
          <w:sz w:val="24"/>
          <w:highlight w:val="none"/>
        </w:rPr>
        <w:t>一、货物内容</w:t>
      </w:r>
    </w:p>
    <w:p>
      <w:pPr>
        <w:pStyle w:val="30"/>
        <w:snapToGrid w:val="0"/>
        <w:spacing w:before="120" w:beforeLines="0" w:after="120" w:afterLines="0" w:line="360" w:lineRule="auto"/>
        <w:rPr>
          <w:rFonts w:hint="eastAsia" w:cs="宋体"/>
          <w:b/>
          <w:color w:val="auto"/>
          <w:sz w:val="24"/>
          <w:highlight w:val="none"/>
        </w:rPr>
      </w:pPr>
      <w:r>
        <w:rPr>
          <w:rFonts w:hAnsi="宋体"/>
          <w:color w:val="auto"/>
          <w:highlight w:val="none"/>
        </w:rPr>
        <w:t>1.1 1.2 货物名称</w:t>
      </w:r>
      <w:r>
        <w:rPr>
          <w:rFonts w:hint="eastAsia" w:hAnsi="宋体"/>
          <w:color w:val="auto"/>
          <w:highlight w:val="none"/>
          <w:lang w:eastAsia="zh-CN"/>
        </w:rPr>
        <w:t>、</w:t>
      </w:r>
      <w:r>
        <w:rPr>
          <w:rFonts w:hAnsi="宋体"/>
          <w:color w:val="auto"/>
          <w:highlight w:val="none"/>
        </w:rPr>
        <w:t>型号规格</w:t>
      </w:r>
      <w:r>
        <w:rPr>
          <w:rFonts w:hint="eastAsia" w:hAnsi="宋体"/>
          <w:color w:val="auto"/>
          <w:highlight w:val="none"/>
        </w:rPr>
        <w:t>、</w:t>
      </w:r>
      <w:r>
        <w:rPr>
          <w:rFonts w:hAnsi="宋体"/>
          <w:color w:val="auto"/>
          <w:highlight w:val="none"/>
        </w:rPr>
        <w:t xml:space="preserve"> 技术参数</w:t>
      </w:r>
      <w:r>
        <w:rPr>
          <w:rFonts w:hint="eastAsia" w:hAnsi="宋体"/>
          <w:color w:val="auto"/>
          <w:highlight w:val="none"/>
        </w:rPr>
        <w:t>、</w:t>
      </w:r>
      <w:r>
        <w:rPr>
          <w:rFonts w:hAnsi="宋体"/>
          <w:color w:val="auto"/>
          <w:highlight w:val="none"/>
        </w:rPr>
        <w:t xml:space="preserve"> 数量（单位）：</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481"/>
        <w:gridCol w:w="6483"/>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太和路（沿山道路-腾云路）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单挑式路灯</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LED120W,灯具安装高度10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腾云路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双挑式路灯</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LED200W+LED120W,机动车道一侧灯具安装高度11m，灯臂长1.5m，非机动车道一侧灯具安装高度9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中杆灯</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1、4*LED200W,灯具安装高度13.8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pStyle w:val="30"/>
        <w:snapToGrid w:val="0"/>
        <w:spacing w:before="120" w:beforeLines="0" w:after="120" w:afterLines="0" w:line="360" w:lineRule="auto"/>
        <w:rPr>
          <w:rFonts w:hint="eastAsia" w:hAnsi="宋体"/>
          <w:b w:val="0"/>
          <w:bCs/>
          <w:color w:val="auto"/>
          <w:highlight w:val="none"/>
        </w:rPr>
      </w:pPr>
      <w:r>
        <w:rPr>
          <w:rFonts w:hint="eastAsia" w:hAnsi="宋体"/>
          <w:b w:val="0"/>
          <w:bCs/>
          <w:color w:val="auto"/>
          <w:highlight w:val="none"/>
        </w:rPr>
        <w:t>1.3以上表格数量为暂估，</w:t>
      </w:r>
      <w:r>
        <w:rPr>
          <w:rFonts w:hint="eastAsia" w:hAnsi="宋体"/>
          <w:b w:val="0"/>
          <w:bCs/>
          <w:color w:val="auto"/>
          <w:highlight w:val="none"/>
          <w:lang w:val="en-US" w:eastAsia="zh-CN"/>
        </w:rPr>
        <w:t>结算时</w:t>
      </w:r>
      <w:r>
        <w:rPr>
          <w:rFonts w:hint="eastAsia" w:hAnsi="宋体"/>
          <w:b w:val="0"/>
          <w:bCs/>
          <w:color w:val="auto"/>
          <w:highlight w:val="none"/>
        </w:rPr>
        <w:t>按实计算。</w:t>
      </w:r>
    </w:p>
    <w:p>
      <w:pPr>
        <w:pStyle w:val="30"/>
        <w:snapToGrid w:val="0"/>
        <w:spacing w:before="120" w:beforeLines="0" w:after="120" w:afterLines="0" w:line="360" w:lineRule="auto"/>
        <w:rPr>
          <w:rFonts w:hAnsi="宋体"/>
          <w:b w:val="0"/>
          <w:bCs/>
          <w:color w:val="auto"/>
          <w:highlight w:val="none"/>
        </w:rPr>
      </w:pPr>
      <w:r>
        <w:rPr>
          <w:rFonts w:hint="eastAsia" w:hAnsi="宋体"/>
          <w:b w:val="0"/>
          <w:bCs/>
          <w:color w:val="auto"/>
          <w:highlight w:val="none"/>
        </w:rPr>
        <w:t>1.4合同期限：</w:t>
      </w:r>
      <w:r>
        <w:rPr>
          <w:rFonts w:hint="eastAsia" w:cs="宋体"/>
          <w:bCs/>
          <w:color w:val="auto"/>
          <w:sz w:val="24"/>
          <w:highlight w:val="none"/>
          <w:lang w:val="en-US" w:eastAsia="zh-CN"/>
        </w:rPr>
        <w:t>合同签订后，乙方接到甲方通知后25天内按照甲方要求完成整批或者分批次供货</w:t>
      </w:r>
      <w:r>
        <w:rPr>
          <w:rFonts w:hint="eastAsia" w:cs="宋体"/>
          <w:color w:val="auto"/>
          <w:sz w:val="24"/>
          <w:highlight w:val="none"/>
          <w:lang w:eastAsia="zh-CN"/>
        </w:rPr>
        <w:t>。</w:t>
      </w:r>
    </w:p>
    <w:p>
      <w:pPr>
        <w:pStyle w:val="30"/>
        <w:snapToGrid w:val="0"/>
        <w:spacing w:before="120" w:beforeLines="0" w:after="120" w:afterLines="0" w:line="360" w:lineRule="auto"/>
        <w:rPr>
          <w:rFonts w:hAnsi="宋体"/>
          <w:b w:val="0"/>
          <w:bCs/>
          <w:color w:val="auto"/>
          <w:highlight w:val="none"/>
        </w:rPr>
      </w:pPr>
      <w:r>
        <w:rPr>
          <w:rFonts w:hint="eastAsia" w:hAnsi="宋体"/>
          <w:b w:val="0"/>
          <w:bCs/>
          <w:color w:val="auto"/>
          <w:highlight w:val="none"/>
        </w:rPr>
        <w:t>1.5 甲方</w:t>
      </w:r>
      <w:r>
        <w:rPr>
          <w:rFonts w:hint="eastAsia" w:hAnsi="宋体"/>
          <w:bCs/>
          <w:color w:val="auto"/>
          <w:sz w:val="24"/>
          <w:szCs w:val="24"/>
          <w:highlight w:val="none"/>
        </w:rPr>
        <w:t>可根据实际情况增加或减少工程量，乙方须无条件服从，并按实际工程量结算。工程量不论增减多少，</w:t>
      </w:r>
      <w:r>
        <w:rPr>
          <w:rFonts w:hint="eastAsia" w:hAnsi="宋体"/>
          <w:bCs/>
          <w:color w:val="auto"/>
          <w:sz w:val="24"/>
          <w:szCs w:val="24"/>
          <w:highlight w:val="none"/>
          <w:lang w:val="en-US" w:eastAsia="zh-CN"/>
        </w:rPr>
        <w:t>全费用综合</w:t>
      </w:r>
      <w:r>
        <w:rPr>
          <w:rFonts w:hint="eastAsia" w:hAnsi="宋体"/>
          <w:bCs/>
          <w:color w:val="auto"/>
          <w:sz w:val="24"/>
          <w:szCs w:val="24"/>
          <w:highlight w:val="none"/>
        </w:rPr>
        <w:t>单价不变，乙方不得拒绝。</w:t>
      </w:r>
    </w:p>
    <w:p>
      <w:pPr>
        <w:pStyle w:val="30"/>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cs="宋体"/>
          <w:b/>
          <w:color w:val="auto"/>
          <w:sz w:val="24"/>
          <w:highlight w:val="none"/>
        </w:rPr>
      </w:pPr>
      <w:r>
        <w:rPr>
          <w:rFonts w:hint="eastAsia" w:cs="宋体"/>
          <w:b/>
          <w:color w:val="auto"/>
          <w:sz w:val="24"/>
          <w:highlight w:val="none"/>
        </w:rPr>
        <w:t>二、合同金额</w:t>
      </w:r>
    </w:p>
    <w:p>
      <w:pPr>
        <w:pStyle w:val="30"/>
        <w:snapToGrid w:val="0"/>
        <w:spacing w:before="120" w:after="120" w:line="360" w:lineRule="auto"/>
        <w:rPr>
          <w:rFonts w:hint="eastAsia" w:hAnsi="宋体"/>
          <w:color w:val="auto"/>
          <w:highlight w:val="none"/>
        </w:rPr>
      </w:pPr>
      <w:r>
        <w:rPr>
          <w:rFonts w:hAnsi="宋体"/>
          <w:color w:val="auto"/>
          <w:highlight w:val="none"/>
        </w:rPr>
        <w:t xml:space="preserve">2.1   </w:t>
      </w:r>
      <w:r>
        <w:rPr>
          <w:rFonts w:hint="eastAsia" w:hAnsi="宋体"/>
          <w:color w:val="auto"/>
          <w:highlight w:val="none"/>
        </w:rPr>
        <w:t>本合同</w:t>
      </w:r>
      <w:r>
        <w:rPr>
          <w:rFonts w:hint="eastAsia" w:hAnsi="宋体"/>
          <w:color w:val="auto"/>
          <w:highlight w:val="none"/>
          <w:lang w:val="en-US" w:eastAsia="zh-CN"/>
        </w:rPr>
        <w:t>总价</w:t>
      </w:r>
      <w:r>
        <w:rPr>
          <w:rFonts w:hint="eastAsia" w:hAnsi="宋体"/>
          <w:color w:val="auto"/>
          <w:highlight w:val="none"/>
        </w:rPr>
        <w:t>为人民币(大写)：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元)人民币；</w:t>
      </w:r>
    </w:p>
    <w:p>
      <w:pPr>
        <w:pStyle w:val="30"/>
        <w:snapToGrid w:val="0"/>
        <w:spacing w:before="120" w:after="120" w:line="360" w:lineRule="auto"/>
        <w:rPr>
          <w:rFonts w:hint="eastAsia" w:hAnsi="宋体"/>
          <w:color w:val="auto"/>
          <w:highlight w:val="none"/>
        </w:rPr>
      </w:pPr>
      <w:r>
        <w:rPr>
          <w:rFonts w:hint="eastAsia" w:hAnsi="宋体"/>
          <w:color w:val="auto"/>
          <w:highlight w:val="none"/>
        </w:rPr>
        <w:t>其中不含税价为人民币(大写)：</w:t>
      </w:r>
      <w:r>
        <w:rPr>
          <w:rFonts w:hint="eastAsia" w:hAnsi="宋体"/>
          <w:color w:val="auto"/>
          <w:highlight w:val="none"/>
          <w:u w:val="single"/>
        </w:rPr>
        <w:t xml:space="preserve">                    </w:t>
      </w:r>
      <w:r>
        <w:rPr>
          <w:rFonts w:hint="eastAsia" w:hAnsi="宋体"/>
          <w:color w:val="auto"/>
          <w:highlight w:val="none"/>
        </w:rPr>
        <w:t>元(￥</w:t>
      </w:r>
      <w:r>
        <w:rPr>
          <w:rFonts w:hint="eastAsia" w:hAnsi="宋体"/>
          <w:color w:val="auto"/>
          <w:highlight w:val="none"/>
          <w:u w:val="single"/>
        </w:rPr>
        <w:t xml:space="preserve">           </w:t>
      </w:r>
      <w:r>
        <w:rPr>
          <w:rFonts w:hint="eastAsia" w:hAnsi="宋体"/>
          <w:color w:val="auto"/>
          <w:highlight w:val="none"/>
        </w:rPr>
        <w:t xml:space="preserve"> 元)人民币；</w:t>
      </w:r>
    </w:p>
    <w:p>
      <w:pPr>
        <w:pStyle w:val="30"/>
        <w:snapToGrid w:val="0"/>
        <w:spacing w:before="120" w:after="120" w:line="360" w:lineRule="auto"/>
        <w:rPr>
          <w:rFonts w:hint="eastAsia" w:hAnsi="宋体"/>
          <w:color w:val="auto"/>
          <w:highlight w:val="none"/>
        </w:rPr>
      </w:pPr>
      <w:r>
        <w:rPr>
          <w:rFonts w:hint="eastAsia" w:hAnsi="宋体"/>
          <w:color w:val="auto"/>
          <w:highlight w:val="none"/>
        </w:rPr>
        <w:t>其中税金为人民币(大写)：</w:t>
      </w:r>
      <w:r>
        <w:rPr>
          <w:rFonts w:hint="eastAsia" w:hAnsi="宋体"/>
          <w:color w:val="auto"/>
          <w:highlight w:val="none"/>
          <w:u w:val="single"/>
        </w:rPr>
        <w:t xml:space="preserve">                    </w:t>
      </w:r>
      <w:r>
        <w:rPr>
          <w:rFonts w:hint="eastAsia" w:hAnsi="宋体"/>
          <w:color w:val="auto"/>
          <w:highlight w:val="none"/>
        </w:rPr>
        <w:t xml:space="preserve">元(￥ </w:t>
      </w:r>
      <w:r>
        <w:rPr>
          <w:rFonts w:hint="eastAsia" w:hAnsi="宋体"/>
          <w:color w:val="auto"/>
          <w:highlight w:val="none"/>
          <w:u w:val="single"/>
        </w:rPr>
        <w:t xml:space="preserve">           </w:t>
      </w:r>
      <w:r>
        <w:rPr>
          <w:rFonts w:hint="eastAsia" w:hAnsi="宋体"/>
          <w:color w:val="auto"/>
          <w:highlight w:val="none"/>
        </w:rPr>
        <w:t xml:space="preserve"> 元)人民币。</w:t>
      </w:r>
    </w:p>
    <w:p>
      <w:pPr>
        <w:pStyle w:val="30"/>
        <w:snapToGrid w:val="0"/>
        <w:spacing w:before="120" w:after="120" w:line="360" w:lineRule="auto"/>
        <w:rPr>
          <w:rFonts w:hint="eastAsia" w:hAnsi="宋体" w:eastAsia="宋体"/>
          <w:color w:val="auto"/>
          <w:highlight w:val="none"/>
          <w:lang w:eastAsia="zh-CN"/>
        </w:rPr>
      </w:pPr>
      <w:r>
        <w:rPr>
          <w:rFonts w:hint="eastAsia" w:hAnsi="宋体"/>
          <w:color w:val="auto"/>
          <w:highlight w:val="none"/>
          <w:lang w:eastAsia="zh-CN"/>
        </w:rPr>
        <w:t>（如遇国家对行业增值税税率进行调整，则不含税金额按照本合同相应不含税价执行，增值税税率及增值税金额根据政策做相应调整。）</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2"/>
        <w:gridCol w:w="582"/>
        <w:gridCol w:w="5290"/>
        <w:gridCol w:w="989"/>
        <w:gridCol w:w="948"/>
        <w:gridCol w:w="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名称</w:t>
            </w:r>
          </w:p>
        </w:tc>
        <w:tc>
          <w:tcPr>
            <w:tcW w:w="0" w:type="auto"/>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规格</w:t>
            </w:r>
          </w:p>
        </w:tc>
        <w:tc>
          <w:tcPr>
            <w:tcW w:w="0" w:type="auto"/>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数量（套）</w:t>
            </w:r>
          </w:p>
        </w:tc>
        <w:tc>
          <w:tcPr>
            <w:tcW w:w="0" w:type="auto"/>
            <w:tcBorders>
              <w:left w:val="single" w:color="auto" w:sz="4" w:space="0"/>
              <w:bottom w:val="single" w:color="auto" w:sz="4" w:space="0"/>
              <w:right w:val="single" w:color="auto" w:sz="4" w:space="0"/>
            </w:tcBorders>
            <w:noWrap w:val="0"/>
            <w:vAlign w:val="center"/>
          </w:tcPr>
          <w:p>
            <w:pPr>
              <w:pStyle w:val="30"/>
              <w:spacing w:before="120" w:after="120" w:line="420" w:lineRule="exact"/>
              <w:jc w:val="center"/>
              <w:rPr>
                <w:rFonts w:hint="eastAsia" w:ascii="宋体" w:hAnsi="Courier New"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全费用综合</w:t>
            </w:r>
            <w:r>
              <w:rPr>
                <w:rFonts w:hint="eastAsia" w:ascii="宋体" w:hAnsi="Courier New" w:eastAsia="宋体" w:cs="宋体"/>
                <w:color w:val="auto"/>
                <w:kern w:val="2"/>
                <w:sz w:val="24"/>
                <w:szCs w:val="24"/>
                <w:highlight w:val="none"/>
                <w:lang w:val="en-US" w:eastAsia="zh-CN" w:bidi="ar-SA"/>
              </w:rPr>
              <w:t>单价（元/套）</w:t>
            </w:r>
          </w:p>
        </w:tc>
        <w:tc>
          <w:tcPr>
            <w:tcW w:w="0" w:type="auto"/>
            <w:tcBorders>
              <w:left w:val="single" w:color="auto" w:sz="4" w:space="0"/>
              <w:bottom w:val="single" w:color="auto" w:sz="4" w:space="0"/>
              <w:right w:val="single" w:color="auto" w:sz="4" w:space="0"/>
            </w:tcBorders>
            <w:noWrap w:val="0"/>
            <w:vAlign w:val="center"/>
          </w:tcPr>
          <w:p>
            <w:pPr>
              <w:pStyle w:val="30"/>
              <w:spacing w:before="120" w:after="120" w:line="420" w:lineRule="exact"/>
              <w:jc w:val="center"/>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单挑式路灯</w:t>
            </w:r>
          </w:p>
        </w:tc>
        <w:tc>
          <w:tcPr>
            <w:tcW w:w="5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LED120W,灯具安装高度10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cs="宋体"/>
                <w:i w:val="0"/>
                <w:color w:val="000000"/>
                <w:kern w:val="0"/>
                <w:sz w:val="22"/>
                <w:szCs w:val="22"/>
                <w:u w:val="none"/>
                <w:lang w:val="en-US" w:eastAsia="zh-CN" w:bidi="ar"/>
              </w:rPr>
              <w:t>2</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双挑式路灯</w:t>
            </w:r>
          </w:p>
        </w:tc>
        <w:tc>
          <w:tcPr>
            <w:tcW w:w="5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LED200W+LED120W,机动车道一侧灯具安装高度11m，灯臂长1.5m，非机动车道一侧灯具安装高度9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4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cs="宋体"/>
                <w:i w:val="0"/>
                <w:color w:val="000000"/>
                <w:kern w:val="0"/>
                <w:sz w:val="22"/>
                <w:szCs w:val="22"/>
                <w:u w:val="none"/>
                <w:lang w:val="en-US" w:eastAsia="zh-CN" w:bidi="ar"/>
              </w:rPr>
              <w:t>3</w:t>
            </w: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中杆灯</w:t>
            </w:r>
          </w:p>
        </w:tc>
        <w:tc>
          <w:tcPr>
            <w:tcW w:w="5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4*LED200W,灯具安装高度13.8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Courier New"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合计=1+2+</w:t>
            </w:r>
            <w:r>
              <w:rPr>
                <w:rFonts w:hint="eastAsia" w:ascii="宋体" w:hAnsi="Courier New" w:cs="宋体"/>
                <w:color w:val="auto"/>
                <w:kern w:val="2"/>
                <w:sz w:val="24"/>
                <w:szCs w:val="24"/>
                <w:highlight w:val="none"/>
                <w:lang w:val="en-US" w:eastAsia="zh-CN" w:bidi="ar-SA"/>
              </w:rPr>
              <w:t>3</w:t>
            </w:r>
            <w:r>
              <w:rPr>
                <w:rFonts w:hint="eastAsia" w:ascii="宋体" w:hAnsi="Courier New" w:eastAsia="宋体" w:cs="宋体"/>
                <w:color w:val="auto"/>
                <w:kern w:val="2"/>
                <w:sz w:val="24"/>
                <w:szCs w:val="24"/>
                <w:highlight w:val="none"/>
                <w:lang w:val="en-US" w:eastAsia="zh-CN" w:bidi="ar-SA"/>
              </w:rPr>
              <w:t>=</w:t>
            </w:r>
            <w:r>
              <w:rPr>
                <w:rFonts w:hint="eastAsia" w:ascii="宋体" w:hAnsi="Courier New" w:eastAsia="宋体" w:cs="宋体"/>
                <w:color w:val="auto"/>
                <w:kern w:val="2"/>
                <w:sz w:val="24"/>
                <w:szCs w:val="24"/>
                <w:highlight w:val="none"/>
                <w:u w:val="single"/>
                <w:lang w:val="en-US" w:eastAsia="zh-CN" w:bidi="ar-SA"/>
              </w:rPr>
              <w:t xml:space="preserve">          </w:t>
            </w:r>
            <w:r>
              <w:rPr>
                <w:rFonts w:hint="eastAsia" w:ascii="宋体" w:hAnsi="Courier New" w:eastAsia="宋体" w:cs="宋体"/>
                <w:color w:val="auto"/>
                <w:kern w:val="2"/>
                <w:sz w:val="24"/>
                <w:szCs w:val="24"/>
                <w:highlight w:val="none"/>
                <w:lang w:val="en-US" w:eastAsia="zh-CN" w:bidi="ar-SA"/>
              </w:rPr>
              <w:t>元</w:t>
            </w:r>
          </w:p>
        </w:tc>
      </w:tr>
    </w:tbl>
    <w:p>
      <w:pPr>
        <w:snapToGrid w:val="0"/>
        <w:spacing w:before="120" w:beforeLines="0" w:after="120" w:afterLines="0" w:line="480" w:lineRule="exact"/>
        <w:ind w:firstLine="480" w:firstLineChars="200"/>
        <w:rPr>
          <w:rFonts w:hint="eastAsia" w:hAnsi="宋体" w:eastAsia="宋体" w:cs="Times New Roman"/>
          <w:color w:val="auto"/>
          <w:szCs w:val="24"/>
          <w:highlight w:val="none"/>
          <w:lang w:eastAsia="zh-CN"/>
        </w:rPr>
      </w:pPr>
      <w:r>
        <w:rPr>
          <w:rFonts w:hint="eastAsia" w:ascii="宋体" w:hAnsi="宋体" w:cs="Times New Roman"/>
          <w:color w:val="auto"/>
          <w:sz w:val="24"/>
          <w:szCs w:val="24"/>
          <w:highlight w:val="none"/>
          <w:lang w:val="en-US" w:eastAsia="zh-CN"/>
        </w:rPr>
        <w:t>注 ： 全费用综合单价</w:t>
      </w:r>
      <w:r>
        <w:rPr>
          <w:rFonts w:hint="eastAsia" w:ascii="宋体" w:hAnsi="宋体" w:eastAsia="宋体" w:cs="Times New Roman"/>
          <w:color w:val="auto"/>
          <w:sz w:val="24"/>
          <w:szCs w:val="24"/>
          <w:highlight w:val="none"/>
          <w:lang w:val="en-US" w:eastAsia="zh-CN"/>
        </w:rPr>
        <w:t>包括并不限于项目实施所需的</w:t>
      </w:r>
      <w:r>
        <w:rPr>
          <w:rFonts w:hint="eastAsia" w:ascii="宋体" w:hAnsi="宋体" w:eastAsia="宋体" w:cs="宋体"/>
          <w:bCs/>
          <w:color w:val="auto"/>
          <w:sz w:val="24"/>
          <w:szCs w:val="24"/>
          <w:highlight w:val="none"/>
          <w:lang w:eastAsia="zh-CN"/>
        </w:rPr>
        <w:t>耗材（包括油耗、机械损耗等）、</w:t>
      </w:r>
      <w:r>
        <w:rPr>
          <w:rFonts w:hint="eastAsia" w:ascii="宋体" w:hAnsi="宋体" w:eastAsia="宋体" w:cs="宋体"/>
          <w:color w:val="auto"/>
          <w:sz w:val="24"/>
          <w:szCs w:val="24"/>
          <w:highlight w:val="none"/>
        </w:rPr>
        <w:t>灯杆开模、生产、制造、</w:t>
      </w:r>
      <w:r>
        <w:rPr>
          <w:rFonts w:hint="eastAsia" w:ascii="宋体" w:hAnsi="宋体" w:cs="宋体"/>
          <w:color w:val="auto"/>
          <w:sz w:val="24"/>
          <w:szCs w:val="24"/>
          <w:highlight w:val="none"/>
          <w:lang w:val="en-US" w:eastAsia="zh-CN"/>
        </w:rPr>
        <w:t>设计、配件、制作工艺、包装、保管、调试、验收、送检费、售后、质保期维修费、</w:t>
      </w:r>
      <w:r>
        <w:rPr>
          <w:rFonts w:hint="eastAsia" w:ascii="宋体" w:hAnsi="宋体" w:eastAsia="宋体" w:cs="宋体"/>
          <w:color w:val="auto"/>
          <w:sz w:val="24"/>
          <w:szCs w:val="24"/>
          <w:highlight w:val="none"/>
        </w:rPr>
        <w:t>运输、装卸、</w:t>
      </w:r>
      <w:r>
        <w:rPr>
          <w:rFonts w:hint="eastAsia" w:ascii="宋体" w:hAnsi="宋体" w:eastAsia="宋体" w:cs="宋体"/>
          <w:bCs/>
          <w:color w:val="auto"/>
          <w:sz w:val="24"/>
          <w:szCs w:val="24"/>
          <w:highlight w:val="none"/>
          <w:lang w:eastAsia="zh-CN"/>
        </w:rPr>
        <w:t>管理、进退场费、人工、保险、验收（含第三方验收）、技术服务、风险、利润、</w:t>
      </w:r>
      <w:r>
        <w:rPr>
          <w:rFonts w:hint="eastAsia" w:ascii="宋体" w:hAnsi="宋体" w:eastAsia="宋体" w:cs="宋体"/>
          <w:bCs/>
          <w:color w:val="auto"/>
          <w:sz w:val="24"/>
          <w:szCs w:val="24"/>
          <w:highlight w:val="none"/>
          <w:lang w:val="en-US" w:eastAsia="zh-CN"/>
        </w:rPr>
        <w:t>税金、</w:t>
      </w:r>
      <w:r>
        <w:rPr>
          <w:rFonts w:hint="eastAsia" w:ascii="宋体" w:hAnsi="宋体" w:eastAsia="宋体" w:cs="宋体"/>
          <w:color w:val="auto"/>
          <w:sz w:val="24"/>
          <w:szCs w:val="24"/>
          <w:highlight w:val="none"/>
        </w:rPr>
        <w:t>完成合同所需的一切本身和不可或缺的所有工作开支、政策性文件规定及合同包含的所有风险、责任等各项全部费用</w:t>
      </w:r>
      <w:r>
        <w:rPr>
          <w:rFonts w:hint="eastAsia" w:ascii="宋体" w:hAnsi="宋体" w:cs="宋体"/>
          <w:color w:val="auto"/>
          <w:sz w:val="24"/>
          <w:szCs w:val="24"/>
          <w:highlight w:val="none"/>
          <w:lang w:eastAsia="zh-CN"/>
        </w:rPr>
        <w:t>。</w:t>
      </w:r>
    </w:p>
    <w:p>
      <w:pPr>
        <w:pStyle w:val="30"/>
        <w:snapToGrid w:val="0"/>
        <w:spacing w:before="120" w:beforeLines="0" w:after="120" w:afterLines="0" w:line="360" w:lineRule="auto"/>
        <w:rPr>
          <w:rFonts w:hint="eastAsia" w:hAnsi="宋体"/>
          <w:color w:val="auto"/>
          <w:highlight w:val="none"/>
        </w:rPr>
      </w:pPr>
      <w:r>
        <w:rPr>
          <w:rFonts w:hint="eastAsia" w:hAnsi="宋体"/>
          <w:color w:val="auto"/>
          <w:highlight w:val="none"/>
        </w:rPr>
        <w:t>2.2 交货货物数量由卖方计量，</w:t>
      </w:r>
      <w:r>
        <w:rPr>
          <w:rFonts w:hint="eastAsia" w:hAnsi="宋体"/>
          <w:color w:val="auto"/>
          <w:highlight w:val="none"/>
          <w:lang w:val="en-US" w:eastAsia="zh-CN"/>
        </w:rPr>
        <w:t>甲</w:t>
      </w:r>
      <w:r>
        <w:rPr>
          <w:rFonts w:hint="eastAsia" w:hAnsi="宋体"/>
          <w:color w:val="auto"/>
          <w:highlight w:val="none"/>
        </w:rPr>
        <w:t>方及有关部门核准，</w:t>
      </w:r>
      <w:r>
        <w:rPr>
          <w:rFonts w:hint="eastAsia" w:hAnsi="宋体"/>
          <w:color w:val="auto"/>
          <w:highlight w:val="none"/>
          <w:lang w:val="en-US" w:eastAsia="zh-CN"/>
        </w:rPr>
        <w:t>全费用综合单价不再调整，</w:t>
      </w:r>
      <w:r>
        <w:rPr>
          <w:rFonts w:hint="eastAsia" w:hAnsi="宋体"/>
          <w:color w:val="auto"/>
          <w:highlight w:val="none"/>
          <w:lang w:eastAsia="zh-CN"/>
        </w:rPr>
        <w:t>工程量</w:t>
      </w:r>
      <w:r>
        <w:rPr>
          <w:rFonts w:hint="eastAsia" w:hAnsi="宋体"/>
          <w:color w:val="auto"/>
          <w:highlight w:val="none"/>
        </w:rPr>
        <w:t>按实结算。</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三、技术资料</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3.1乙方应按招标文件规定的时间向甲方提供使用货物的有关技术资料。</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3.2 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四、知识产权</w:t>
      </w:r>
    </w:p>
    <w:p>
      <w:pPr>
        <w:pStyle w:val="30"/>
        <w:snapToGrid w:val="0"/>
        <w:spacing w:before="120" w:after="120" w:line="360" w:lineRule="auto"/>
        <w:rPr>
          <w:rFonts w:cs="宋体"/>
          <w:bCs/>
          <w:color w:val="auto"/>
          <w:sz w:val="24"/>
          <w:highlight w:val="none"/>
        </w:rPr>
      </w:pPr>
      <w:r>
        <w:rPr>
          <w:rFonts w:hint="eastAsia" w:cs="宋体"/>
          <w:color w:val="auto"/>
          <w:sz w:val="24"/>
          <w:highlight w:val="none"/>
          <w:lang w:val="en-US" w:eastAsia="zh-CN"/>
        </w:rPr>
        <w:t>4.1</w:t>
      </w:r>
      <w:r>
        <w:rPr>
          <w:rFonts w:hint="eastAsia" w:cs="宋体"/>
          <w:color w:val="auto"/>
          <w:sz w:val="24"/>
          <w:highlight w:val="none"/>
        </w:rPr>
        <w:t>乙方应保证所提供的货物或其任何一部分均不会侵犯任何第三方的知识产权</w:t>
      </w:r>
      <w:r>
        <w:rPr>
          <w:rFonts w:hint="eastAsia" w:cs="宋体"/>
          <w:bCs/>
          <w:color w:val="auto"/>
          <w:sz w:val="24"/>
          <w:highlight w:val="none"/>
        </w:rPr>
        <w:t>。若乙方交付的货物侵犯了第三方产权或存在产权瑕疵，由此可能发生的一切法律责任及费用均由乙方承担，与甲方无关。</w:t>
      </w:r>
    </w:p>
    <w:p>
      <w:pPr>
        <w:pStyle w:val="30"/>
        <w:snapToGrid w:val="0"/>
        <w:spacing w:before="120" w:after="120" w:line="360" w:lineRule="auto"/>
        <w:rPr>
          <w:rFonts w:cs="宋体"/>
          <w:color w:val="auto"/>
          <w:sz w:val="24"/>
          <w:highlight w:val="none"/>
          <w:u w:val="single"/>
        </w:rPr>
      </w:pPr>
      <w:r>
        <w:rPr>
          <w:rFonts w:hint="eastAsia" w:cs="宋体"/>
          <w:b/>
          <w:color w:val="auto"/>
          <w:sz w:val="24"/>
          <w:highlight w:val="none"/>
        </w:rPr>
        <w:t>五、产权担保</w:t>
      </w:r>
    </w:p>
    <w:p>
      <w:pPr>
        <w:pStyle w:val="30"/>
        <w:snapToGrid w:val="0"/>
        <w:spacing w:before="120" w:after="120" w:line="360" w:lineRule="auto"/>
        <w:rPr>
          <w:rFonts w:cs="宋体"/>
          <w:color w:val="auto"/>
          <w:sz w:val="24"/>
          <w:highlight w:val="none"/>
          <w:u w:val="single"/>
        </w:rPr>
      </w:pPr>
      <w:r>
        <w:rPr>
          <w:rFonts w:hint="eastAsia" w:cs="宋体"/>
          <w:color w:val="auto"/>
          <w:sz w:val="24"/>
          <w:highlight w:val="none"/>
          <w:lang w:val="en-US" w:eastAsia="zh-CN"/>
        </w:rPr>
        <w:t>5.1</w:t>
      </w:r>
      <w:r>
        <w:rPr>
          <w:rFonts w:hint="eastAsia" w:cs="宋体"/>
          <w:color w:val="auto"/>
          <w:sz w:val="24"/>
          <w:highlight w:val="none"/>
        </w:rPr>
        <w:t>乙方保证所交付的货物的所有权完全属于乙方且无任何抵押、查封等产权瑕疵。</w:t>
      </w:r>
    </w:p>
    <w:p>
      <w:pPr>
        <w:pStyle w:val="30"/>
        <w:numPr>
          <w:ilvl w:val="0"/>
          <w:numId w:val="9"/>
        </w:numPr>
        <w:snapToGrid w:val="0"/>
        <w:spacing w:before="120" w:after="120" w:line="360" w:lineRule="auto"/>
        <w:rPr>
          <w:rFonts w:cs="宋体"/>
          <w:b/>
          <w:color w:val="auto"/>
          <w:sz w:val="24"/>
          <w:highlight w:val="none"/>
        </w:rPr>
      </w:pPr>
      <w:r>
        <w:rPr>
          <w:rFonts w:hint="eastAsia" w:cs="宋体"/>
          <w:b/>
          <w:color w:val="auto"/>
          <w:sz w:val="24"/>
          <w:highlight w:val="none"/>
        </w:rPr>
        <w:t>履约保证金</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 xml:space="preserve">6.1 </w:t>
      </w:r>
      <w:r>
        <w:rPr>
          <w:rFonts w:hint="eastAsia" w:hAnsi="宋体"/>
          <w:color w:val="auto"/>
          <w:sz w:val="24"/>
          <w:szCs w:val="24"/>
          <w:highlight w:val="none"/>
        </w:rPr>
        <w:t>乙方在合同签订前向甲方缴纳合同履约保证金（中标价的2%），缴纳方式可选择：转帐、电汇、银行汇票或保函。如以银行转账、电汇或银行汇票形式递交履约保证金的，则应将履约保证金一次性汇入（或转入）甲方指定帐户，在合同履行完毕（验收合格且付清全部货款）后无息退还。（履约保证金账户：</w:t>
      </w:r>
      <w:r>
        <w:rPr>
          <w:rFonts w:hint="eastAsia" w:hAnsi="宋体"/>
          <w:color w:val="auto"/>
          <w:sz w:val="24"/>
          <w:szCs w:val="24"/>
          <w:highlight w:val="none"/>
          <w:lang w:eastAsia="zh-CN"/>
        </w:rPr>
        <w:t>台州市椒江新城基础设施建设有限公司</w:t>
      </w:r>
      <w:r>
        <w:rPr>
          <w:rFonts w:hint="eastAsia" w:hAnsi="宋体"/>
          <w:color w:val="auto"/>
          <w:sz w:val="24"/>
          <w:szCs w:val="24"/>
          <w:highlight w:val="none"/>
        </w:rPr>
        <w:t>；账号：</w:t>
      </w:r>
      <w:r>
        <w:rPr>
          <w:rFonts w:hint="eastAsia" w:ascii="宋体" w:hAnsi="宋体"/>
          <w:color w:val="auto"/>
          <w:highlight w:val="none"/>
          <w:u w:val="single"/>
          <w:lang w:val="en-US" w:eastAsia="zh-CN"/>
        </w:rPr>
        <w:t>33001663600053003088</w:t>
      </w:r>
      <w:r>
        <w:rPr>
          <w:rFonts w:hint="eastAsia" w:hAnsi="宋体"/>
          <w:color w:val="auto"/>
          <w:sz w:val="24"/>
          <w:szCs w:val="24"/>
          <w:highlight w:val="none"/>
        </w:rPr>
        <w:t>；开户行：</w:t>
      </w:r>
      <w:r>
        <w:rPr>
          <w:rFonts w:hint="eastAsia" w:ascii="宋体" w:hAnsi="宋体"/>
          <w:color w:val="auto"/>
          <w:highlight w:val="none"/>
          <w:u w:val="single"/>
          <w:lang w:val="en-US" w:eastAsia="zh-CN"/>
        </w:rPr>
        <w:t>建设银行椒江支行</w:t>
      </w:r>
      <w:r>
        <w:rPr>
          <w:rFonts w:hint="eastAsia" w:hAnsi="宋体"/>
          <w:color w:val="auto"/>
          <w:sz w:val="24"/>
          <w:szCs w:val="24"/>
          <w:highlight w:val="none"/>
        </w:rPr>
        <w:t>。）如采取保函形式，保函文件中必须包含乙方企业的信息，包含但不限于企业名称、保证方式、保证金额、保函获得时间、保证项目名称、保函有效期限、保费标准、费用支付账户（基本账户）等。如保函有效期限未含盖合同期限，乙方必须及时续保，如发生合同纠纷时保函已到期，合同条款第八条履约保证金的罚没相关款项甲方有权从合同未支付款项中扣回（以履约保证金金额为上限，超出部分另行追索违约赔偿金。）</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七、转包或分包</w:t>
      </w:r>
    </w:p>
    <w:p>
      <w:pPr>
        <w:snapToGrid w:val="0"/>
        <w:spacing w:line="360" w:lineRule="auto"/>
        <w:rPr>
          <w:rFonts w:ascii="宋体" w:cs="宋体"/>
          <w:color w:val="auto"/>
          <w:sz w:val="24"/>
          <w:highlight w:val="none"/>
        </w:rPr>
      </w:pPr>
      <w:r>
        <w:rPr>
          <w:rFonts w:hint="eastAsia" w:ascii="宋体" w:cs="宋体"/>
          <w:color w:val="auto"/>
          <w:sz w:val="24"/>
          <w:highlight w:val="none"/>
          <w:lang w:val="en-US" w:eastAsia="zh-CN"/>
        </w:rPr>
        <w:t>7.</w:t>
      </w:r>
      <w:r>
        <w:rPr>
          <w:rFonts w:hint="eastAsia" w:ascii="宋体" w:cs="宋体"/>
          <w:color w:val="auto"/>
          <w:sz w:val="24"/>
          <w:highlight w:val="none"/>
        </w:rPr>
        <w:t>1本合同范围的货物，应由乙方直接供应，不得转让他人供应；</w:t>
      </w:r>
    </w:p>
    <w:p>
      <w:pPr>
        <w:snapToGrid w:val="0"/>
        <w:spacing w:line="360" w:lineRule="auto"/>
        <w:rPr>
          <w:rFonts w:ascii="宋体" w:cs="宋体"/>
          <w:color w:val="auto"/>
          <w:sz w:val="24"/>
          <w:highlight w:val="none"/>
        </w:rPr>
      </w:pPr>
      <w:r>
        <w:rPr>
          <w:rFonts w:hint="eastAsia" w:ascii="宋体" w:cs="宋体"/>
          <w:color w:val="auto"/>
          <w:sz w:val="24"/>
          <w:highlight w:val="none"/>
          <w:lang w:val="en-US" w:eastAsia="zh-CN"/>
        </w:rPr>
        <w:t>7.</w:t>
      </w:r>
      <w:r>
        <w:rPr>
          <w:rFonts w:hint="eastAsia" w:ascii="宋体" w:cs="宋体"/>
          <w:color w:val="auto"/>
          <w:sz w:val="24"/>
          <w:highlight w:val="none"/>
        </w:rPr>
        <w:t>2除非得到甲方的书面同意，乙方不得将本合同范围的货物全部或部分分包给他人供应；</w:t>
      </w:r>
    </w:p>
    <w:p>
      <w:pPr>
        <w:snapToGrid w:val="0"/>
        <w:spacing w:line="360" w:lineRule="auto"/>
        <w:rPr>
          <w:rFonts w:ascii="宋体" w:cs="宋体"/>
          <w:color w:val="auto"/>
          <w:sz w:val="24"/>
          <w:highlight w:val="none"/>
        </w:rPr>
      </w:pPr>
      <w:r>
        <w:rPr>
          <w:rFonts w:hint="eastAsia" w:ascii="宋体" w:cs="宋体"/>
          <w:color w:val="auto"/>
          <w:sz w:val="24"/>
          <w:highlight w:val="none"/>
          <w:lang w:val="en-US" w:eastAsia="zh-CN"/>
        </w:rPr>
        <w:t>7.</w:t>
      </w:r>
      <w:r>
        <w:rPr>
          <w:rFonts w:hint="eastAsia" w:ascii="宋体" w:cs="宋体"/>
          <w:color w:val="auto"/>
          <w:sz w:val="24"/>
          <w:highlight w:val="none"/>
        </w:rPr>
        <w:t>3如有转让和未经甲方同意的分包行为，甲方有权解除合同，没收履约保证金并要求乙方承担本合同金额5％的违约责任。</w:t>
      </w:r>
    </w:p>
    <w:p>
      <w:pPr>
        <w:pStyle w:val="30"/>
        <w:snapToGrid w:val="0"/>
        <w:spacing w:before="120" w:after="120" w:line="360" w:lineRule="auto"/>
        <w:rPr>
          <w:rFonts w:cs="宋体"/>
          <w:color w:val="auto"/>
          <w:sz w:val="24"/>
          <w:highlight w:val="none"/>
        </w:rPr>
      </w:pPr>
      <w:r>
        <w:rPr>
          <w:rFonts w:hint="eastAsia" w:cs="宋体"/>
          <w:b/>
          <w:color w:val="auto"/>
          <w:sz w:val="24"/>
          <w:highlight w:val="none"/>
        </w:rPr>
        <w:t>八、质保期</w:t>
      </w:r>
    </w:p>
    <w:p>
      <w:pPr>
        <w:pStyle w:val="30"/>
        <w:snapToGrid w:val="0"/>
        <w:spacing w:before="120" w:after="120" w:line="360" w:lineRule="auto"/>
        <w:rPr>
          <w:rFonts w:cs="宋体"/>
          <w:color w:val="auto"/>
          <w:sz w:val="24"/>
          <w:highlight w:val="none"/>
        </w:rPr>
      </w:pPr>
      <w:r>
        <w:rPr>
          <w:rFonts w:hint="eastAsia" w:cs="宋体"/>
          <w:color w:val="auto"/>
          <w:sz w:val="24"/>
          <w:highlight w:val="none"/>
          <w:lang w:val="en-US" w:eastAsia="zh-CN"/>
        </w:rPr>
        <w:t>8.</w:t>
      </w:r>
      <w:r>
        <w:rPr>
          <w:rFonts w:hint="eastAsia" w:cs="宋体"/>
          <w:color w:val="auto"/>
          <w:sz w:val="24"/>
          <w:highlight w:val="none"/>
        </w:rPr>
        <w:t>1质保期</w:t>
      </w:r>
      <w:r>
        <w:rPr>
          <w:rFonts w:hint="eastAsia" w:cs="宋体"/>
          <w:color w:val="auto"/>
          <w:sz w:val="24"/>
          <w:highlight w:val="none"/>
          <w:u w:val="single"/>
        </w:rPr>
        <w:t xml:space="preserve">    </w:t>
      </w:r>
      <w:r>
        <w:rPr>
          <w:rFonts w:hint="eastAsia" w:cs="宋体"/>
          <w:color w:val="auto"/>
          <w:sz w:val="24"/>
          <w:highlight w:val="none"/>
        </w:rPr>
        <w:t>年。（自交货验收合格之日起计）</w:t>
      </w:r>
    </w:p>
    <w:p>
      <w:pPr>
        <w:pStyle w:val="30"/>
        <w:snapToGrid w:val="0"/>
        <w:spacing w:before="120" w:beforeLines="0" w:after="120" w:afterLines="0" w:line="360" w:lineRule="auto"/>
        <w:rPr>
          <w:rFonts w:hAnsi="宋体"/>
          <w:b/>
          <w:bCs/>
          <w:color w:val="auto"/>
          <w:highlight w:val="none"/>
        </w:rPr>
      </w:pPr>
      <w:r>
        <w:rPr>
          <w:rFonts w:hint="eastAsia" w:hAnsi="宋体"/>
          <w:b/>
          <w:bCs/>
          <w:color w:val="auto"/>
          <w:highlight w:val="none"/>
          <w:lang w:val="en-US" w:eastAsia="zh-CN"/>
        </w:rPr>
        <w:t>九</w:t>
      </w:r>
      <w:r>
        <w:rPr>
          <w:rFonts w:hint="eastAsia" w:hAnsi="宋体"/>
          <w:b/>
          <w:bCs/>
          <w:color w:val="auto"/>
          <w:highlight w:val="none"/>
        </w:rPr>
        <w:t>.履约保证金的罚没</w:t>
      </w:r>
    </w:p>
    <w:p>
      <w:pPr>
        <w:pStyle w:val="30"/>
        <w:snapToGrid w:val="0"/>
        <w:spacing w:before="120" w:after="120" w:line="360" w:lineRule="auto"/>
        <w:rPr>
          <w:rFonts w:hint="eastAsia" w:hAnsi="宋体"/>
          <w:color w:val="auto"/>
          <w:highlight w:val="none"/>
        </w:rPr>
      </w:pPr>
      <w:r>
        <w:rPr>
          <w:rFonts w:hint="eastAsia" w:hAnsi="宋体"/>
          <w:color w:val="auto"/>
          <w:highlight w:val="none"/>
          <w:lang w:val="en-US" w:eastAsia="zh-CN"/>
        </w:rPr>
        <w:t>9</w:t>
      </w:r>
      <w:r>
        <w:rPr>
          <w:rFonts w:hint="eastAsia" w:hAnsi="宋体"/>
          <w:color w:val="auto"/>
          <w:highlight w:val="none"/>
        </w:rPr>
        <w:t>.1如</w:t>
      </w:r>
      <w:r>
        <w:rPr>
          <w:rFonts w:hint="eastAsia" w:hAnsi="宋体"/>
          <w:color w:val="auto"/>
          <w:highlight w:val="none"/>
          <w:lang w:eastAsia="zh-CN"/>
        </w:rPr>
        <w:t>乙方</w:t>
      </w:r>
      <w:r>
        <w:rPr>
          <w:rFonts w:hint="eastAsia" w:hAnsi="宋体"/>
          <w:color w:val="auto"/>
          <w:highlight w:val="none"/>
        </w:rPr>
        <w:t>未能履行合同规定的任何义务给</w:t>
      </w:r>
      <w:r>
        <w:rPr>
          <w:rFonts w:hint="eastAsia" w:hAnsi="宋体"/>
          <w:color w:val="auto"/>
          <w:highlight w:val="none"/>
          <w:lang w:eastAsia="zh-CN"/>
        </w:rPr>
        <w:t>甲方</w:t>
      </w:r>
      <w:r>
        <w:rPr>
          <w:rFonts w:hint="eastAsia" w:hAnsi="宋体"/>
          <w:color w:val="auto"/>
          <w:highlight w:val="none"/>
        </w:rPr>
        <w:t>造成直接或间接损失的，</w:t>
      </w:r>
      <w:r>
        <w:rPr>
          <w:rFonts w:hint="eastAsia" w:hAnsi="宋体"/>
          <w:color w:val="auto"/>
          <w:highlight w:val="none"/>
          <w:lang w:eastAsia="zh-CN"/>
        </w:rPr>
        <w:t>甲方</w:t>
      </w:r>
      <w:r>
        <w:rPr>
          <w:rFonts w:hint="eastAsia" w:hAnsi="宋体"/>
          <w:color w:val="auto"/>
          <w:highlight w:val="none"/>
        </w:rPr>
        <w:t>有权从直接从履约保证金中予以补偿。</w:t>
      </w:r>
    </w:p>
    <w:p>
      <w:pPr>
        <w:pStyle w:val="30"/>
        <w:snapToGrid w:val="0"/>
        <w:spacing w:before="120" w:after="120" w:line="360" w:lineRule="auto"/>
        <w:rPr>
          <w:rFonts w:hint="eastAsia" w:hAnsi="宋体"/>
          <w:color w:val="auto"/>
          <w:highlight w:val="none"/>
        </w:rPr>
      </w:pPr>
      <w:r>
        <w:rPr>
          <w:rFonts w:hint="eastAsia" w:hAnsi="宋体"/>
          <w:color w:val="auto"/>
          <w:highlight w:val="none"/>
          <w:lang w:val="en-US" w:eastAsia="zh-CN"/>
        </w:rPr>
        <w:t>9</w:t>
      </w:r>
      <w:r>
        <w:rPr>
          <w:rFonts w:hint="eastAsia" w:hAnsi="宋体"/>
          <w:color w:val="auto"/>
          <w:highlight w:val="none"/>
        </w:rPr>
        <w:t>.2如果</w:t>
      </w:r>
      <w:r>
        <w:rPr>
          <w:rFonts w:hint="eastAsia" w:hAnsi="宋体"/>
          <w:color w:val="auto"/>
          <w:highlight w:val="none"/>
          <w:lang w:eastAsia="zh-CN"/>
        </w:rPr>
        <w:t>乙方</w:t>
      </w:r>
      <w:r>
        <w:rPr>
          <w:rFonts w:hint="eastAsia" w:hAnsi="宋体"/>
          <w:color w:val="auto"/>
          <w:highlight w:val="none"/>
        </w:rPr>
        <w:t>拒绝履行合同规定的义务，经催告后在合理期限内仍不履行的，</w:t>
      </w:r>
      <w:r>
        <w:rPr>
          <w:rFonts w:hint="eastAsia" w:hAnsi="宋体"/>
          <w:color w:val="auto"/>
          <w:highlight w:val="none"/>
          <w:lang w:eastAsia="zh-CN"/>
        </w:rPr>
        <w:t>甲方</w:t>
      </w:r>
      <w:r>
        <w:rPr>
          <w:rFonts w:hint="eastAsia" w:hAnsi="宋体"/>
          <w:color w:val="auto"/>
          <w:highlight w:val="none"/>
        </w:rPr>
        <w:t>有权没收全部履约保证金，并另行追索违约赔偿金。</w:t>
      </w:r>
    </w:p>
    <w:p>
      <w:pPr>
        <w:pStyle w:val="30"/>
        <w:snapToGrid w:val="0"/>
        <w:spacing w:before="120" w:beforeLines="0" w:after="120" w:afterLines="0" w:line="360" w:lineRule="auto"/>
        <w:rPr>
          <w:rFonts w:hint="eastAsia" w:hAnsi="宋体"/>
          <w:color w:val="auto"/>
          <w:highlight w:val="none"/>
        </w:rPr>
      </w:pPr>
      <w:r>
        <w:rPr>
          <w:rFonts w:hint="eastAsia" w:hAnsi="宋体"/>
          <w:color w:val="auto"/>
          <w:highlight w:val="none"/>
          <w:lang w:val="en-US" w:eastAsia="zh-CN"/>
        </w:rPr>
        <w:t>9</w:t>
      </w:r>
      <w:r>
        <w:rPr>
          <w:rFonts w:hint="eastAsia" w:hAnsi="宋体"/>
          <w:color w:val="auto"/>
          <w:highlight w:val="none"/>
        </w:rPr>
        <w:t>.3</w:t>
      </w:r>
      <w:r>
        <w:rPr>
          <w:rFonts w:hint="eastAsia" w:hAnsi="宋体"/>
          <w:color w:val="auto"/>
          <w:highlight w:val="none"/>
          <w:lang w:eastAsia="zh-CN"/>
        </w:rPr>
        <w:t>乙方</w:t>
      </w:r>
      <w:r>
        <w:rPr>
          <w:rFonts w:hint="eastAsia" w:hAnsi="宋体"/>
          <w:color w:val="auto"/>
          <w:highlight w:val="none"/>
        </w:rPr>
        <w:t>提供的货物须和投标报价中所承诺的货物规格、数量、型号等相符（合同中另有规定除外）；对于</w:t>
      </w:r>
      <w:r>
        <w:rPr>
          <w:rFonts w:hint="eastAsia" w:hAnsi="宋体"/>
          <w:color w:val="auto"/>
          <w:highlight w:val="none"/>
          <w:lang w:eastAsia="zh-CN"/>
        </w:rPr>
        <w:t>乙方</w:t>
      </w:r>
      <w:r>
        <w:rPr>
          <w:rFonts w:hint="eastAsia" w:hAnsi="宋体"/>
          <w:color w:val="auto"/>
          <w:highlight w:val="none"/>
        </w:rPr>
        <w:t>提供了不符合招标需求中的材料，</w:t>
      </w:r>
      <w:r>
        <w:rPr>
          <w:rFonts w:hint="eastAsia" w:hAnsi="宋体"/>
          <w:color w:val="auto"/>
          <w:highlight w:val="none"/>
          <w:lang w:eastAsia="zh-CN"/>
        </w:rPr>
        <w:t>甲方</w:t>
      </w:r>
      <w:r>
        <w:rPr>
          <w:rFonts w:hint="eastAsia" w:hAnsi="宋体"/>
          <w:color w:val="auto"/>
          <w:highlight w:val="none"/>
        </w:rPr>
        <w:t>将不予接收，由此造成的工期延误及损失由</w:t>
      </w:r>
      <w:r>
        <w:rPr>
          <w:rFonts w:hint="eastAsia" w:hAnsi="宋体"/>
          <w:color w:val="auto"/>
          <w:highlight w:val="none"/>
          <w:lang w:eastAsia="zh-CN"/>
        </w:rPr>
        <w:t>乙方</w:t>
      </w:r>
      <w:r>
        <w:rPr>
          <w:rFonts w:hint="eastAsia" w:hAnsi="宋体"/>
          <w:color w:val="auto"/>
          <w:highlight w:val="none"/>
        </w:rPr>
        <w:t>自负，</w:t>
      </w:r>
      <w:r>
        <w:rPr>
          <w:rFonts w:hint="eastAsia" w:hAnsi="宋体"/>
          <w:color w:val="auto"/>
          <w:highlight w:val="none"/>
          <w:lang w:eastAsia="zh-CN"/>
        </w:rPr>
        <w:t>甲方</w:t>
      </w:r>
      <w:r>
        <w:rPr>
          <w:rFonts w:hint="eastAsia" w:hAnsi="宋体"/>
          <w:color w:val="auto"/>
          <w:highlight w:val="none"/>
        </w:rPr>
        <w:t>除追究</w:t>
      </w:r>
      <w:r>
        <w:rPr>
          <w:rFonts w:hint="eastAsia" w:hAnsi="宋体"/>
          <w:color w:val="auto"/>
          <w:highlight w:val="none"/>
          <w:lang w:eastAsia="zh-CN"/>
        </w:rPr>
        <w:t>乙方</w:t>
      </w:r>
      <w:r>
        <w:rPr>
          <w:rFonts w:hint="eastAsia" w:hAnsi="宋体"/>
          <w:color w:val="auto"/>
          <w:highlight w:val="none"/>
        </w:rPr>
        <w:t>责任外，还视实际情况保留没收履约保证金的权利。</w:t>
      </w:r>
    </w:p>
    <w:p>
      <w:pPr>
        <w:pStyle w:val="30"/>
        <w:snapToGrid w:val="0"/>
        <w:spacing w:before="120" w:after="120" w:line="360" w:lineRule="auto"/>
        <w:rPr>
          <w:rFonts w:cs="宋体"/>
          <w:b/>
          <w:color w:val="auto"/>
          <w:sz w:val="24"/>
          <w:highlight w:val="none"/>
        </w:rPr>
      </w:pPr>
      <w:r>
        <w:rPr>
          <w:rFonts w:hint="eastAsia" w:cs="宋体"/>
          <w:b/>
          <w:color w:val="auto"/>
          <w:sz w:val="24"/>
          <w:highlight w:val="none"/>
          <w:lang w:val="en-US" w:eastAsia="zh-CN"/>
        </w:rPr>
        <w:t>十</w:t>
      </w:r>
      <w:r>
        <w:rPr>
          <w:rFonts w:hint="eastAsia" w:cs="宋体"/>
          <w:b/>
          <w:color w:val="auto"/>
          <w:sz w:val="24"/>
          <w:highlight w:val="none"/>
        </w:rPr>
        <w:t>、交货期及交货地点</w:t>
      </w:r>
    </w:p>
    <w:p>
      <w:pPr>
        <w:pStyle w:val="30"/>
        <w:snapToGrid w:val="0"/>
        <w:spacing w:before="120" w:after="120" w:line="360" w:lineRule="auto"/>
        <w:rPr>
          <w:rFonts w:hint="eastAsia" w:eastAsia="宋体" w:cs="宋体"/>
          <w:bCs/>
          <w:color w:val="auto"/>
          <w:sz w:val="24"/>
          <w:highlight w:val="none"/>
          <w:lang w:eastAsia="zh-CN"/>
        </w:rPr>
      </w:pPr>
      <w:r>
        <w:rPr>
          <w:rFonts w:hint="eastAsia" w:cs="宋体"/>
          <w:bCs/>
          <w:color w:val="auto"/>
          <w:sz w:val="24"/>
          <w:highlight w:val="none"/>
          <w:lang w:val="en-US" w:eastAsia="zh-CN"/>
        </w:rPr>
        <w:t>10.</w:t>
      </w:r>
      <w:r>
        <w:rPr>
          <w:rFonts w:hint="eastAsia" w:cs="宋体"/>
          <w:bCs/>
          <w:color w:val="auto"/>
          <w:sz w:val="24"/>
          <w:highlight w:val="none"/>
        </w:rPr>
        <w:t>1交货期：</w:t>
      </w:r>
      <w:r>
        <w:rPr>
          <w:rFonts w:hint="eastAsia" w:cs="宋体"/>
          <w:bCs/>
          <w:color w:val="auto"/>
          <w:sz w:val="24"/>
          <w:highlight w:val="none"/>
          <w:lang w:val="en-US" w:eastAsia="zh-CN"/>
        </w:rPr>
        <w:t>合同签订后，接到甲方通知后25天内按照甲方要求完成整批或者分批次供货（非乙方原因除外）</w:t>
      </w:r>
      <w:r>
        <w:rPr>
          <w:rFonts w:hint="eastAsia" w:cs="宋体"/>
          <w:color w:val="auto"/>
          <w:sz w:val="24"/>
          <w:highlight w:val="none"/>
          <w:lang w:eastAsia="zh-CN"/>
        </w:rPr>
        <w:t>。</w:t>
      </w:r>
    </w:p>
    <w:p>
      <w:pPr>
        <w:pStyle w:val="30"/>
        <w:snapToGrid w:val="0"/>
        <w:spacing w:before="120" w:after="120" w:line="360" w:lineRule="auto"/>
        <w:rPr>
          <w:rFonts w:hint="default" w:eastAsia="宋体" w:cs="宋体"/>
          <w:b/>
          <w:color w:val="auto"/>
          <w:sz w:val="24"/>
          <w:highlight w:val="none"/>
          <w:lang w:val="en-US" w:eastAsia="zh-CN"/>
        </w:rPr>
      </w:pPr>
      <w:r>
        <w:rPr>
          <w:rFonts w:hint="eastAsia" w:cs="宋体"/>
          <w:bCs/>
          <w:color w:val="auto"/>
          <w:sz w:val="24"/>
          <w:highlight w:val="none"/>
          <w:lang w:val="en-US" w:eastAsia="zh-CN"/>
        </w:rPr>
        <w:t>10.</w:t>
      </w:r>
      <w:r>
        <w:rPr>
          <w:rFonts w:hint="eastAsia" w:cs="宋体"/>
          <w:bCs/>
          <w:color w:val="auto"/>
          <w:sz w:val="24"/>
          <w:highlight w:val="none"/>
        </w:rPr>
        <w:t>2 交货地点：</w:t>
      </w:r>
      <w:r>
        <w:rPr>
          <w:rFonts w:hint="eastAsia" w:cs="宋体"/>
          <w:bCs/>
          <w:color w:val="auto"/>
          <w:sz w:val="24"/>
          <w:highlight w:val="none"/>
          <w:lang w:val="en-US" w:eastAsia="zh-CN"/>
        </w:rPr>
        <w:t>甲方指定地点。</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一</w:t>
      </w:r>
      <w:r>
        <w:rPr>
          <w:rFonts w:hint="eastAsia" w:cs="宋体"/>
          <w:b/>
          <w:color w:val="auto"/>
          <w:sz w:val="24"/>
          <w:highlight w:val="none"/>
        </w:rPr>
        <w:t>、货款支付</w:t>
      </w:r>
    </w:p>
    <w:p>
      <w:pPr>
        <w:pStyle w:val="30"/>
        <w:keepNext w:val="0"/>
        <w:keepLines w:val="0"/>
        <w:pageBreakBefore w:val="0"/>
        <w:widowControl w:val="0"/>
        <w:kinsoku/>
        <w:wordWrap/>
        <w:overflowPunct/>
        <w:topLinePunct w:val="0"/>
        <w:autoSpaceDE/>
        <w:autoSpaceDN/>
        <w:bidi w:val="0"/>
        <w:adjustRightInd/>
        <w:snapToGrid w:val="0"/>
        <w:spacing w:before="120" w:after="120" w:line="360" w:lineRule="auto"/>
        <w:textAlignment w:val="auto"/>
        <w:rPr>
          <w:rFonts w:cs="宋体"/>
          <w:bCs/>
          <w:color w:val="auto"/>
          <w:sz w:val="24"/>
          <w:highlight w:val="none"/>
        </w:rPr>
      </w:pPr>
      <w:r>
        <w:rPr>
          <w:rFonts w:hint="eastAsia" w:cs="宋体"/>
          <w:bCs/>
          <w:color w:val="auto"/>
          <w:sz w:val="24"/>
          <w:highlight w:val="none"/>
          <w:lang w:val="en-US" w:eastAsia="zh-CN"/>
        </w:rPr>
        <w:t>11.1</w:t>
      </w:r>
      <w:r>
        <w:rPr>
          <w:rFonts w:hint="eastAsia" w:cs="宋体"/>
          <w:bCs/>
          <w:color w:val="auto"/>
          <w:sz w:val="24"/>
          <w:highlight w:val="none"/>
        </w:rPr>
        <w:t>付款方式：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Calibri" w:hAnsi="Calibri" w:eastAsia="宋体" w:cs="Times New Roman"/>
          <w:b w:val="0"/>
          <w:bCs w:val="0"/>
          <w:color w:val="auto"/>
          <w:kern w:val="2"/>
          <w:sz w:val="24"/>
          <w:szCs w:val="24"/>
          <w:highlight w:val="none"/>
          <w:lang w:val="en-US" w:eastAsia="zh-CN" w:bidi="ar-SA"/>
        </w:rPr>
      </w:pPr>
      <w:r>
        <w:rPr>
          <w:rFonts w:hint="eastAsia" w:ascii="宋体" w:hAnsi="Courier New" w:cs="宋体"/>
          <w:color w:val="auto"/>
          <w:sz w:val="24"/>
          <w:highlight w:val="none"/>
        </w:rPr>
        <w:t>付款方式：</w:t>
      </w:r>
      <w:r>
        <w:rPr>
          <w:rFonts w:hint="default" w:ascii="宋体" w:hAnsi="宋体" w:eastAsia="宋体" w:cs="Times New Roman"/>
          <w:color w:val="auto"/>
          <w:kern w:val="2"/>
          <w:sz w:val="24"/>
          <w:szCs w:val="21"/>
          <w:highlight w:val="none"/>
          <w:lang w:val="en-US" w:eastAsia="zh-CN" w:bidi="ar-SA"/>
        </w:rPr>
        <w:t>合同签订后</w:t>
      </w:r>
      <w:r>
        <w:rPr>
          <w:rFonts w:hint="eastAsia" w:ascii="宋体" w:hAnsi="宋体" w:cs="Times New Roman"/>
          <w:color w:val="auto"/>
          <w:kern w:val="2"/>
          <w:sz w:val="24"/>
          <w:szCs w:val="21"/>
          <w:highlight w:val="none"/>
          <w:lang w:val="en-US" w:eastAsia="zh-CN" w:bidi="ar-SA"/>
        </w:rPr>
        <w:t>接到甲方书面通知后</w:t>
      </w:r>
      <w:r>
        <w:rPr>
          <w:rFonts w:hint="default" w:ascii="宋体" w:hAnsi="宋体" w:eastAsia="宋体" w:cs="Times New Roman"/>
          <w:color w:val="auto"/>
          <w:kern w:val="2"/>
          <w:sz w:val="24"/>
          <w:szCs w:val="21"/>
          <w:highlight w:val="none"/>
          <w:lang w:val="en-US" w:eastAsia="zh-CN" w:bidi="ar-SA"/>
        </w:rPr>
        <w:t>，</w:t>
      </w:r>
      <w:r>
        <w:rPr>
          <w:rFonts w:hint="eastAsia" w:ascii="宋体" w:hAnsi="宋体" w:cs="Times New Roman"/>
          <w:color w:val="auto"/>
          <w:kern w:val="2"/>
          <w:sz w:val="24"/>
          <w:szCs w:val="21"/>
          <w:highlight w:val="none"/>
          <w:lang w:val="en-US" w:eastAsia="zh-CN" w:bidi="ar-SA"/>
        </w:rPr>
        <w:t>甲方</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cs="Times New Roman"/>
          <w:color w:val="auto"/>
          <w:kern w:val="2"/>
          <w:sz w:val="24"/>
          <w:szCs w:val="21"/>
          <w:highlight w:val="none"/>
          <w:lang w:val="en-US" w:eastAsia="zh-CN" w:bidi="ar-SA"/>
        </w:rPr>
        <w:t>乙方</w:t>
      </w:r>
      <w:r>
        <w:rPr>
          <w:rFonts w:hint="default" w:ascii="宋体" w:hAnsi="宋体" w:eastAsia="宋体" w:cs="Times New Roman"/>
          <w:color w:val="auto"/>
          <w:kern w:val="2"/>
          <w:sz w:val="24"/>
          <w:szCs w:val="21"/>
          <w:highlight w:val="none"/>
          <w:lang w:val="en-US" w:eastAsia="zh-CN" w:bidi="ar-SA"/>
        </w:rPr>
        <w:t>合同金额的</w:t>
      </w:r>
      <w:r>
        <w:rPr>
          <w:rFonts w:hint="eastAsia" w:ascii="宋体" w:hAnsi="宋体" w:cs="Times New Roman"/>
          <w:color w:val="auto"/>
          <w:kern w:val="2"/>
          <w:sz w:val="24"/>
          <w:szCs w:val="21"/>
          <w:highlight w:val="none"/>
          <w:lang w:val="en-US" w:eastAsia="zh-CN" w:bidi="ar-SA"/>
        </w:rPr>
        <w:t>1</w:t>
      </w:r>
      <w:r>
        <w:rPr>
          <w:rFonts w:hint="eastAsia" w:ascii="宋体" w:hAnsi="宋体" w:eastAsia="宋体" w:cs="Times New Roman"/>
          <w:color w:val="auto"/>
          <w:kern w:val="2"/>
          <w:sz w:val="24"/>
          <w:szCs w:val="21"/>
          <w:highlight w:val="none"/>
          <w:lang w:val="en-US" w:eastAsia="zh-CN" w:bidi="ar-SA"/>
        </w:rPr>
        <w:t>0</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w:t>
      </w:r>
      <w:r>
        <w:rPr>
          <w:rFonts w:hint="eastAsia" w:ascii="宋体" w:hAnsi="宋体" w:cs="Times New Roman"/>
          <w:color w:val="auto"/>
          <w:kern w:val="2"/>
          <w:sz w:val="24"/>
          <w:szCs w:val="21"/>
          <w:highlight w:val="none"/>
          <w:lang w:val="en-US" w:eastAsia="zh-CN" w:bidi="ar-SA"/>
        </w:rPr>
        <w:t>乙方</w:t>
      </w:r>
      <w:r>
        <w:rPr>
          <w:rFonts w:hint="eastAsia" w:ascii="宋体" w:hAnsi="宋体" w:eastAsia="宋体" w:cs="Times New Roman"/>
          <w:color w:val="auto"/>
          <w:kern w:val="2"/>
          <w:sz w:val="24"/>
          <w:szCs w:val="21"/>
          <w:highlight w:val="none"/>
          <w:lang w:val="en-US" w:eastAsia="zh-CN" w:bidi="ar-SA"/>
        </w:rPr>
        <w:t>供货完毕后</w:t>
      </w:r>
      <w:r>
        <w:rPr>
          <w:rFonts w:hint="eastAsia" w:ascii="宋体" w:hAnsi="宋体" w:cs="Times New Roman"/>
          <w:color w:val="auto"/>
          <w:kern w:val="2"/>
          <w:sz w:val="24"/>
          <w:szCs w:val="21"/>
          <w:highlight w:val="none"/>
          <w:lang w:val="en-US" w:eastAsia="zh-CN" w:bidi="ar-SA"/>
        </w:rPr>
        <w:t>甲方</w:t>
      </w:r>
      <w:r>
        <w:rPr>
          <w:rFonts w:hint="eastAsia" w:ascii="宋体" w:hAnsi="宋体" w:eastAsia="宋体" w:cs="Times New Roman"/>
          <w:color w:val="auto"/>
          <w:kern w:val="2"/>
          <w:sz w:val="24"/>
          <w:szCs w:val="21"/>
          <w:highlight w:val="none"/>
          <w:lang w:val="en-US" w:eastAsia="zh-CN" w:bidi="ar-SA"/>
        </w:rPr>
        <w:t>支付</w:t>
      </w:r>
      <w:r>
        <w:rPr>
          <w:rFonts w:hint="eastAsia" w:ascii="宋体" w:hAnsi="宋体" w:cs="Times New Roman"/>
          <w:color w:val="auto"/>
          <w:kern w:val="2"/>
          <w:sz w:val="24"/>
          <w:szCs w:val="21"/>
          <w:highlight w:val="none"/>
          <w:lang w:val="en-US" w:eastAsia="zh-CN" w:bidi="ar-SA"/>
        </w:rPr>
        <w:t>乙方</w:t>
      </w:r>
      <w:r>
        <w:rPr>
          <w:rFonts w:hint="eastAsia" w:ascii="宋体" w:hAnsi="宋体" w:eastAsia="宋体" w:cs="Times New Roman"/>
          <w:color w:val="auto"/>
          <w:kern w:val="2"/>
          <w:sz w:val="24"/>
          <w:szCs w:val="21"/>
          <w:highlight w:val="none"/>
          <w:lang w:val="en-US" w:eastAsia="zh-CN" w:bidi="ar-SA"/>
        </w:rPr>
        <w:t>至</w:t>
      </w:r>
      <w:r>
        <w:rPr>
          <w:rFonts w:hint="default" w:ascii="宋体" w:hAnsi="宋体" w:eastAsia="宋体" w:cs="Times New Roman"/>
          <w:color w:val="auto"/>
          <w:kern w:val="2"/>
          <w:sz w:val="24"/>
          <w:szCs w:val="21"/>
          <w:highlight w:val="none"/>
          <w:lang w:val="en-US" w:eastAsia="zh-CN" w:bidi="ar-SA"/>
        </w:rPr>
        <w:t>合同金额</w:t>
      </w:r>
      <w:r>
        <w:rPr>
          <w:rFonts w:hint="eastAsia" w:ascii="宋体" w:hAnsi="宋体" w:eastAsia="宋体" w:cs="Times New Roman"/>
          <w:color w:val="auto"/>
          <w:kern w:val="2"/>
          <w:sz w:val="24"/>
          <w:szCs w:val="21"/>
          <w:highlight w:val="none"/>
          <w:lang w:val="en-US" w:eastAsia="zh-CN" w:bidi="ar-SA"/>
        </w:rPr>
        <w:t>的</w:t>
      </w:r>
      <w:r>
        <w:rPr>
          <w:rFonts w:hint="eastAsia" w:ascii="宋体" w:hAnsi="宋体" w:cs="Times New Roman"/>
          <w:color w:val="auto"/>
          <w:kern w:val="2"/>
          <w:sz w:val="24"/>
          <w:szCs w:val="21"/>
          <w:highlight w:val="none"/>
          <w:lang w:val="en-US" w:eastAsia="zh-CN" w:bidi="ar-SA"/>
        </w:rPr>
        <w:t>70</w:t>
      </w:r>
      <w:r>
        <w:rPr>
          <w:rFonts w:hint="eastAsia" w:ascii="宋体" w:hAnsi="宋体" w:eastAsia="宋体" w:cs="Times New Roman"/>
          <w:color w:val="auto"/>
          <w:kern w:val="2"/>
          <w:sz w:val="24"/>
          <w:szCs w:val="21"/>
          <w:highlight w:val="none"/>
          <w:lang w:val="en-US" w:eastAsia="zh-CN" w:bidi="ar-SA"/>
        </w:rPr>
        <w:t>%；</w:t>
      </w:r>
      <w:r>
        <w:rPr>
          <w:rFonts w:hint="default" w:ascii="宋体" w:hAnsi="宋体" w:eastAsia="宋体" w:cs="Times New Roman"/>
          <w:color w:val="auto"/>
          <w:kern w:val="2"/>
          <w:sz w:val="24"/>
          <w:szCs w:val="21"/>
          <w:highlight w:val="none"/>
          <w:lang w:val="en-US" w:eastAsia="zh-CN" w:bidi="ar-SA"/>
        </w:rPr>
        <w:t>项目整体调试完毕，验收合格后，</w:t>
      </w:r>
      <w:r>
        <w:rPr>
          <w:rFonts w:hint="eastAsia" w:ascii="宋体" w:hAnsi="宋体" w:cs="Times New Roman"/>
          <w:color w:val="auto"/>
          <w:kern w:val="2"/>
          <w:sz w:val="24"/>
          <w:szCs w:val="21"/>
          <w:highlight w:val="none"/>
          <w:lang w:val="en-US" w:eastAsia="zh-CN" w:bidi="ar-SA"/>
        </w:rPr>
        <w:t>甲方</w:t>
      </w:r>
      <w:r>
        <w:rPr>
          <w:rFonts w:hint="default" w:ascii="宋体" w:hAnsi="宋体" w:eastAsia="宋体" w:cs="Times New Roman"/>
          <w:color w:val="auto"/>
          <w:kern w:val="2"/>
          <w:sz w:val="24"/>
          <w:szCs w:val="21"/>
          <w:highlight w:val="none"/>
          <w:lang w:val="en-US" w:eastAsia="zh-CN" w:bidi="ar-SA"/>
        </w:rPr>
        <w:t>支付</w:t>
      </w:r>
      <w:r>
        <w:rPr>
          <w:rFonts w:hint="eastAsia" w:ascii="宋体" w:hAnsi="宋体" w:cs="Times New Roman"/>
          <w:color w:val="auto"/>
          <w:kern w:val="2"/>
          <w:sz w:val="24"/>
          <w:szCs w:val="21"/>
          <w:highlight w:val="none"/>
          <w:lang w:val="en-US" w:eastAsia="zh-CN" w:bidi="ar-SA"/>
        </w:rPr>
        <w:t>乙方</w:t>
      </w:r>
      <w:r>
        <w:rPr>
          <w:rFonts w:hint="default" w:ascii="宋体" w:hAnsi="宋体" w:eastAsia="宋体" w:cs="Times New Roman"/>
          <w:color w:val="auto"/>
          <w:kern w:val="2"/>
          <w:sz w:val="24"/>
          <w:szCs w:val="21"/>
          <w:highlight w:val="none"/>
          <w:lang w:val="en-US" w:eastAsia="zh-CN" w:bidi="ar-SA"/>
        </w:rPr>
        <w:t>至合同金额</w:t>
      </w:r>
      <w:r>
        <w:rPr>
          <w:rFonts w:hint="eastAsia" w:ascii="宋体" w:hAnsi="宋体" w:eastAsia="宋体" w:cs="Times New Roman"/>
          <w:color w:val="auto"/>
          <w:kern w:val="2"/>
          <w:sz w:val="24"/>
          <w:szCs w:val="21"/>
          <w:highlight w:val="none"/>
          <w:lang w:val="en-US" w:eastAsia="zh-CN" w:bidi="ar-SA"/>
        </w:rPr>
        <w:t>的95%；</w:t>
      </w:r>
      <w:r>
        <w:rPr>
          <w:rFonts w:hint="default" w:ascii="宋体" w:hAnsi="宋体" w:eastAsia="宋体" w:cs="Times New Roman"/>
          <w:color w:val="auto"/>
          <w:kern w:val="2"/>
          <w:sz w:val="24"/>
          <w:szCs w:val="21"/>
          <w:highlight w:val="none"/>
          <w:lang w:val="en-US" w:eastAsia="zh-CN" w:bidi="ar-SA"/>
        </w:rPr>
        <w:t>剩余</w:t>
      </w:r>
      <w:r>
        <w:rPr>
          <w:rFonts w:hint="eastAsia" w:ascii="宋体" w:hAnsi="宋体" w:eastAsia="宋体" w:cs="Times New Roman"/>
          <w:color w:val="auto"/>
          <w:kern w:val="2"/>
          <w:sz w:val="24"/>
          <w:szCs w:val="21"/>
          <w:highlight w:val="none"/>
          <w:lang w:val="en-US" w:eastAsia="zh-CN" w:bidi="ar-SA"/>
        </w:rPr>
        <w:t>5</w:t>
      </w:r>
      <w:r>
        <w:rPr>
          <w:rFonts w:hint="default" w:ascii="宋体" w:hAnsi="宋体" w:eastAsia="宋体" w:cs="Times New Roman"/>
          <w:color w:val="auto"/>
          <w:kern w:val="2"/>
          <w:sz w:val="24"/>
          <w:szCs w:val="21"/>
          <w:highlight w:val="none"/>
          <w:lang w:val="en-US" w:eastAsia="zh-CN" w:bidi="ar-SA"/>
        </w:rPr>
        <w:t>%</w:t>
      </w:r>
      <w:r>
        <w:rPr>
          <w:rFonts w:hint="eastAsia" w:ascii="宋体" w:hAnsi="宋体" w:eastAsia="宋体" w:cs="Times New Roman"/>
          <w:color w:val="auto"/>
          <w:kern w:val="2"/>
          <w:sz w:val="24"/>
          <w:szCs w:val="21"/>
          <w:highlight w:val="none"/>
          <w:lang w:val="en-US" w:eastAsia="zh-CN" w:bidi="ar-SA"/>
        </w:rPr>
        <w:t>作为质保金待</w:t>
      </w:r>
      <w:r>
        <w:rPr>
          <w:rFonts w:hint="default" w:ascii="宋体" w:hAnsi="宋体" w:eastAsia="宋体" w:cs="Times New Roman"/>
          <w:color w:val="auto"/>
          <w:kern w:val="2"/>
          <w:sz w:val="24"/>
          <w:szCs w:val="21"/>
          <w:highlight w:val="none"/>
          <w:lang w:val="en-US" w:eastAsia="zh-CN" w:bidi="ar-SA"/>
        </w:rPr>
        <w:t>质保期满后支付</w:t>
      </w:r>
      <w:r>
        <w:rPr>
          <w:rFonts w:hint="eastAsia" w:ascii="宋体" w:hAnsi="宋体" w:eastAsia="宋体" w:cs="Times New Roman"/>
          <w:color w:val="auto"/>
          <w:kern w:val="2"/>
          <w:sz w:val="24"/>
          <w:szCs w:val="21"/>
          <w:highlight w:val="none"/>
          <w:lang w:val="en-US" w:eastAsia="zh-CN" w:bidi="ar-SA"/>
        </w:rPr>
        <w:t>剩余结算价</w:t>
      </w:r>
      <w:r>
        <w:rPr>
          <w:rFonts w:hint="default" w:ascii="宋体" w:hAnsi="宋体" w:eastAsia="宋体" w:cs="Times New Roman"/>
          <w:color w:val="auto"/>
          <w:kern w:val="2"/>
          <w:sz w:val="24"/>
          <w:szCs w:val="21"/>
          <w:highlight w:val="none"/>
          <w:lang w:val="en-US" w:eastAsia="zh-CN" w:bidi="ar-SA"/>
        </w:rPr>
        <w:t>。</w:t>
      </w:r>
    </w:p>
    <w:p>
      <w:pPr>
        <w:pStyle w:val="30"/>
        <w:snapToGrid w:val="0"/>
        <w:spacing w:before="120" w:beforeLines="0" w:after="120" w:afterLines="0" w:line="360" w:lineRule="auto"/>
        <w:rPr>
          <w:rFonts w:hint="eastAsia" w:hAnsi="宋体"/>
          <w:color w:val="auto"/>
          <w:highlight w:val="none"/>
        </w:rPr>
      </w:pPr>
      <w:r>
        <w:rPr>
          <w:rFonts w:hint="eastAsia" w:hAnsi="宋体"/>
          <w:color w:val="auto"/>
          <w:highlight w:val="none"/>
          <w:lang w:val="en-US" w:eastAsia="zh-CN"/>
        </w:rPr>
        <w:t>11.</w:t>
      </w:r>
      <w:r>
        <w:rPr>
          <w:rFonts w:hint="eastAsia" w:hAnsi="宋体"/>
          <w:color w:val="auto"/>
          <w:highlight w:val="none"/>
        </w:rPr>
        <w:t>2乙方结算货款时，须开具正规税务增值税</w:t>
      </w:r>
      <w:r>
        <w:rPr>
          <w:rFonts w:hint="eastAsia" w:hAnsi="宋体"/>
          <w:color w:val="auto"/>
          <w:highlight w:val="none"/>
          <w:lang w:val="en-US" w:eastAsia="zh-CN"/>
        </w:rPr>
        <w:t>普通</w:t>
      </w:r>
      <w:r>
        <w:rPr>
          <w:rFonts w:hint="eastAsia" w:hAnsi="宋体"/>
          <w:color w:val="auto"/>
          <w:highlight w:val="none"/>
        </w:rPr>
        <w:t>发票。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b/>
          <w:color w:val="auto"/>
          <w:sz w:val="24"/>
          <w:highlight w:val="none"/>
        </w:rPr>
      </w:pPr>
      <w:r>
        <w:rPr>
          <w:rFonts w:hint="eastAsia" w:ascii="宋体" w:cs="宋体"/>
          <w:b/>
          <w:color w:val="auto"/>
          <w:sz w:val="24"/>
          <w:highlight w:val="none"/>
        </w:rPr>
        <w:t>十</w:t>
      </w:r>
      <w:r>
        <w:rPr>
          <w:rFonts w:hint="eastAsia" w:ascii="宋体" w:cs="宋体"/>
          <w:b/>
          <w:color w:val="auto"/>
          <w:sz w:val="24"/>
          <w:highlight w:val="none"/>
          <w:lang w:val="en-US" w:eastAsia="zh-CN"/>
        </w:rPr>
        <w:t>二</w:t>
      </w:r>
      <w:r>
        <w:rPr>
          <w:rFonts w:hint="eastAsia" w:ascii="宋体" w:cs="宋体"/>
          <w:b/>
          <w:color w:val="auto"/>
          <w:sz w:val="24"/>
          <w:highlight w:val="none"/>
        </w:rPr>
        <w:t>、税费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cs="宋体"/>
          <w:color w:val="auto"/>
          <w:sz w:val="24"/>
          <w:highlight w:val="none"/>
        </w:rPr>
      </w:pPr>
      <w:r>
        <w:rPr>
          <w:rFonts w:hint="eastAsia" w:ascii="宋体" w:cs="宋体"/>
          <w:color w:val="auto"/>
          <w:sz w:val="24"/>
          <w:highlight w:val="none"/>
          <w:lang w:val="en-US" w:eastAsia="zh-CN"/>
        </w:rPr>
        <w:t>12.1</w:t>
      </w:r>
      <w:r>
        <w:rPr>
          <w:rFonts w:hint="eastAsia" w:ascii="宋体" w:cs="宋体"/>
          <w:color w:val="auto"/>
          <w:sz w:val="24"/>
          <w:highlight w:val="none"/>
        </w:rPr>
        <w:t>本合同执行中相关的一切税费均由乙方负担。</w:t>
      </w:r>
    </w:p>
    <w:p>
      <w:pPr>
        <w:pStyle w:val="30"/>
        <w:snapToGrid w:val="0"/>
        <w:spacing w:before="120" w:after="120" w:line="360" w:lineRule="auto"/>
        <w:rPr>
          <w:rFonts w:cs="宋体"/>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三</w:t>
      </w:r>
      <w:r>
        <w:rPr>
          <w:rFonts w:hint="eastAsia" w:cs="宋体"/>
          <w:b/>
          <w:color w:val="auto"/>
          <w:sz w:val="24"/>
          <w:highlight w:val="none"/>
        </w:rPr>
        <w:t>、质量保证及售后服务</w:t>
      </w:r>
    </w:p>
    <w:p>
      <w:pPr>
        <w:tabs>
          <w:tab w:val="left" w:pos="540"/>
        </w:tabs>
        <w:autoSpaceDE w:val="0"/>
        <w:autoSpaceDN w:val="0"/>
        <w:adjustRightInd w:val="0"/>
        <w:spacing w:line="360" w:lineRule="auto"/>
        <w:ind w:firstLine="0" w:firstLineChars="0"/>
        <w:rPr>
          <w:rFonts w:hint="default" w:ascii="宋体"/>
          <w:color w:val="auto"/>
          <w:sz w:val="24"/>
          <w:highlight w:val="none"/>
          <w:lang w:val="en-US"/>
        </w:rPr>
      </w:pPr>
      <w:r>
        <w:rPr>
          <w:rFonts w:hint="eastAsia" w:ascii="宋体"/>
          <w:color w:val="auto"/>
          <w:sz w:val="24"/>
          <w:highlight w:val="none"/>
          <w:lang w:val="en-US" w:eastAsia="zh-CN"/>
        </w:rPr>
        <w:t>1、乙方应按招标文件和设计文件规定的货物性能、技术要求、质量标准向甲方提供未经使用的全新产品。交货时必须提供有关产品质量保证资料（包括合格证、检测报告等）</w:t>
      </w:r>
    </w:p>
    <w:p>
      <w:pPr>
        <w:tabs>
          <w:tab w:val="left" w:pos="540"/>
        </w:tabs>
        <w:autoSpaceDE w:val="0"/>
        <w:autoSpaceDN w:val="0"/>
        <w:adjustRightInd w:val="0"/>
        <w:spacing w:line="360" w:lineRule="auto"/>
        <w:ind w:firstLine="0" w:firstLineChars="0"/>
        <w:rPr>
          <w:rFonts w:hint="eastAsia" w:ascii="宋体"/>
          <w:color w:val="auto"/>
          <w:sz w:val="24"/>
          <w:highlight w:val="none"/>
          <w:lang w:val="en-US" w:eastAsia="zh-CN"/>
        </w:rPr>
      </w:pPr>
      <w:r>
        <w:rPr>
          <w:rFonts w:hint="eastAsia" w:ascii="宋体"/>
          <w:color w:val="auto"/>
          <w:sz w:val="24"/>
          <w:highlight w:val="none"/>
          <w:lang w:val="en-US" w:eastAsia="zh-CN"/>
        </w:rPr>
        <w:t>、使用说明资料。</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2、</w:t>
      </w:r>
      <w:r>
        <w:rPr>
          <w:rFonts w:hint="eastAsia" w:ascii="宋体"/>
          <w:color w:val="auto"/>
          <w:sz w:val="24"/>
          <w:highlight w:val="none"/>
          <w:lang w:val="zh-CN"/>
        </w:rPr>
        <w:t>货物验收过程中，由于质量不合格或运输等原因所造成的一切费用均由</w:t>
      </w:r>
      <w:r>
        <w:rPr>
          <w:rFonts w:hint="eastAsia" w:ascii="宋体"/>
          <w:color w:val="auto"/>
          <w:sz w:val="24"/>
          <w:highlight w:val="none"/>
          <w:lang w:val="en-US" w:eastAsia="zh-CN"/>
        </w:rPr>
        <w:t>乙方</w:t>
      </w:r>
      <w:r>
        <w:rPr>
          <w:rFonts w:hint="eastAsia" w:ascii="宋体"/>
          <w:color w:val="auto"/>
          <w:sz w:val="24"/>
          <w:highlight w:val="none"/>
          <w:lang w:val="zh-CN"/>
        </w:rPr>
        <w:t>负责。</w:t>
      </w:r>
    </w:p>
    <w:p>
      <w:pPr>
        <w:tabs>
          <w:tab w:val="left" w:pos="540"/>
        </w:tabs>
        <w:autoSpaceDE w:val="0"/>
        <w:autoSpaceDN w:val="0"/>
        <w:adjustRightInd w:val="0"/>
        <w:spacing w:line="360" w:lineRule="auto"/>
        <w:ind w:firstLine="0" w:firstLineChars="0"/>
        <w:rPr>
          <w:rFonts w:hint="eastAsia" w:ascii="宋体"/>
          <w:color w:val="auto"/>
          <w:sz w:val="24"/>
          <w:highlight w:val="none"/>
          <w:lang w:val="zh-CN"/>
        </w:rPr>
      </w:pPr>
      <w:r>
        <w:rPr>
          <w:rFonts w:hint="eastAsia" w:ascii="宋体"/>
          <w:color w:val="auto"/>
          <w:sz w:val="24"/>
          <w:highlight w:val="none"/>
          <w:lang w:val="en-US" w:eastAsia="zh-CN"/>
        </w:rPr>
        <w:t>3、</w:t>
      </w:r>
      <w:r>
        <w:rPr>
          <w:rFonts w:hint="eastAsia" w:ascii="宋体"/>
          <w:color w:val="auto"/>
          <w:sz w:val="24"/>
          <w:highlight w:val="none"/>
          <w:lang w:val="zh-CN"/>
        </w:rPr>
        <w:t>乙方须对因投标货物使用期内本身的固有缺陷和瑕疵承担责任。</w:t>
      </w:r>
    </w:p>
    <w:p>
      <w:pPr>
        <w:tabs>
          <w:tab w:val="left" w:pos="540"/>
        </w:tabs>
        <w:autoSpaceDE w:val="0"/>
        <w:autoSpaceDN w:val="0"/>
        <w:adjustRightInd w:val="0"/>
        <w:spacing w:line="360" w:lineRule="auto"/>
        <w:ind w:firstLine="0" w:firstLineChars="0"/>
        <w:rPr>
          <w:rFonts w:hint="eastAsia" w:cs="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质保期(即维修服务期)：</w:t>
      </w:r>
      <w:r>
        <w:rPr>
          <w:rFonts w:hint="eastAsia"/>
          <w:color w:val="auto"/>
          <w:sz w:val="24"/>
          <w:highlight w:val="none"/>
          <w:lang w:val="en-US" w:eastAsia="zh-CN"/>
        </w:rPr>
        <w:t>本</w:t>
      </w:r>
      <w:r>
        <w:rPr>
          <w:rFonts w:hint="eastAsia" w:ascii="宋体"/>
          <w:color w:val="auto"/>
          <w:sz w:val="24"/>
          <w:highlight w:val="none"/>
          <w:lang w:val="en-US" w:eastAsia="zh-CN"/>
        </w:rPr>
        <w:t>项目质保期</w:t>
      </w:r>
      <w:r>
        <w:rPr>
          <w:rFonts w:hint="eastAsia"/>
          <w:color w:val="auto"/>
          <w:sz w:val="24"/>
          <w:highlight w:val="none"/>
          <w:u w:val="single"/>
          <w:lang w:val="en-US" w:eastAsia="zh-CN"/>
        </w:rPr>
        <w:t xml:space="preserve">        </w:t>
      </w:r>
      <w:r>
        <w:rPr>
          <w:rFonts w:hint="eastAsia" w:ascii="宋体"/>
          <w:color w:val="auto"/>
          <w:sz w:val="24"/>
          <w:highlight w:val="none"/>
          <w:lang w:val="en-US" w:eastAsia="zh-CN"/>
        </w:rPr>
        <w:t>年</w:t>
      </w:r>
      <w:r>
        <w:rPr>
          <w:rFonts w:hint="eastAsia" w:cs="宋体"/>
          <w:color w:val="auto"/>
          <w:sz w:val="24"/>
          <w:highlight w:val="none"/>
        </w:rPr>
        <w:t>。（自交货验收合格之日起计）</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5、</w:t>
      </w:r>
      <w:r>
        <w:rPr>
          <w:rFonts w:hint="eastAsia" w:ascii="宋体"/>
          <w:bCs/>
          <w:color w:val="auto"/>
          <w:sz w:val="24"/>
          <w:highlight w:val="none"/>
        </w:rPr>
        <w:t>质保期内，如因修理货物或更换部件，而非人为因素出现故障而造成短期停用时，则保修期和免费维修期相应顺延。如停用时间累计超过</w:t>
      </w:r>
      <w:r>
        <w:rPr>
          <w:rFonts w:ascii="宋体"/>
          <w:bCs/>
          <w:color w:val="auto"/>
          <w:sz w:val="24"/>
          <w:highlight w:val="none"/>
        </w:rPr>
        <w:t>20</w:t>
      </w:r>
      <w:r>
        <w:rPr>
          <w:rFonts w:hint="eastAsia" w:ascii="宋体"/>
          <w:bCs/>
          <w:color w:val="auto"/>
          <w:sz w:val="24"/>
          <w:highlight w:val="none"/>
        </w:rPr>
        <w:t>天，则货物保修期重新计算。</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质保期内，</w:t>
      </w:r>
      <w:r>
        <w:rPr>
          <w:rFonts w:hint="eastAsia" w:ascii="宋体"/>
          <w:color w:val="auto"/>
          <w:sz w:val="24"/>
          <w:highlight w:val="none"/>
          <w:lang w:val="en-US" w:eastAsia="zh-CN"/>
        </w:rPr>
        <w:t>甲方</w:t>
      </w:r>
      <w:r>
        <w:rPr>
          <w:rFonts w:hint="eastAsia" w:ascii="宋体"/>
          <w:color w:val="auto"/>
          <w:sz w:val="24"/>
          <w:highlight w:val="none"/>
        </w:rPr>
        <w:t>无须自行付费，</w:t>
      </w:r>
      <w:r>
        <w:rPr>
          <w:rFonts w:hint="eastAsia" w:ascii="宋体"/>
          <w:color w:val="auto"/>
          <w:sz w:val="24"/>
          <w:highlight w:val="none"/>
          <w:lang w:eastAsia="zh-CN"/>
        </w:rPr>
        <w:t>乙方</w:t>
      </w:r>
      <w:r>
        <w:rPr>
          <w:rFonts w:hint="eastAsia" w:ascii="宋体"/>
          <w:color w:val="auto"/>
          <w:sz w:val="24"/>
          <w:highlight w:val="none"/>
        </w:rPr>
        <w:t>负责修理和替换任何由于货物自身的质量问题造成的损坏及故障。</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7、</w:t>
      </w:r>
      <w:r>
        <w:rPr>
          <w:rFonts w:hint="eastAsia" w:ascii="宋体"/>
          <w:bCs/>
          <w:color w:val="auto"/>
          <w:sz w:val="24"/>
          <w:highlight w:val="none"/>
        </w:rPr>
        <w:t>质保期</w:t>
      </w:r>
      <w:r>
        <w:rPr>
          <w:rFonts w:hint="eastAsia" w:ascii="宋体"/>
          <w:color w:val="auto"/>
          <w:sz w:val="24"/>
          <w:highlight w:val="none"/>
          <w:lang w:val="zh-CN"/>
        </w:rPr>
        <w:t>内，须指定一名技术工程师专门负责本项目的售后服务工作；如有更换，须</w:t>
      </w:r>
      <w:r>
        <w:rPr>
          <w:rFonts w:hint="eastAsia" w:ascii="宋体"/>
          <w:color w:val="auto"/>
          <w:sz w:val="24"/>
          <w:highlight w:val="none"/>
          <w:lang w:val="en-US" w:eastAsia="zh-CN"/>
        </w:rPr>
        <w:t>甲方</w:t>
      </w:r>
      <w:r>
        <w:rPr>
          <w:rFonts w:hint="eastAsia" w:ascii="宋体"/>
          <w:color w:val="auto"/>
          <w:sz w:val="24"/>
          <w:highlight w:val="none"/>
          <w:lang w:val="zh-CN"/>
        </w:rPr>
        <w:t>同意。</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lang w:val="zh-CN"/>
        </w:rPr>
        <w:t>乙方在</w:t>
      </w:r>
      <w:r>
        <w:rPr>
          <w:rFonts w:hint="eastAsia" w:ascii="宋体"/>
          <w:bCs/>
          <w:color w:val="auto"/>
          <w:sz w:val="24"/>
          <w:highlight w:val="none"/>
        </w:rPr>
        <w:t>质保期</w:t>
      </w:r>
      <w:r>
        <w:rPr>
          <w:rFonts w:hint="eastAsia" w:ascii="宋体"/>
          <w:color w:val="auto"/>
          <w:sz w:val="24"/>
          <w:highlight w:val="none"/>
          <w:lang w:val="zh-CN"/>
        </w:rPr>
        <w:t>内更换的任何零配件，必须是货物制造商原产的或是经</w:t>
      </w:r>
      <w:r>
        <w:rPr>
          <w:rFonts w:hint="eastAsia" w:ascii="宋体"/>
          <w:color w:val="auto"/>
          <w:sz w:val="24"/>
          <w:highlight w:val="none"/>
          <w:lang w:val="en-US" w:eastAsia="zh-CN"/>
        </w:rPr>
        <w:t>甲方</w:t>
      </w:r>
      <w:r>
        <w:rPr>
          <w:rFonts w:hint="eastAsia" w:ascii="宋体"/>
          <w:color w:val="auto"/>
          <w:sz w:val="24"/>
          <w:highlight w:val="none"/>
          <w:lang w:val="zh-CN"/>
        </w:rPr>
        <w:t>认可的。</w:t>
      </w:r>
    </w:p>
    <w:p>
      <w:pPr>
        <w:tabs>
          <w:tab w:val="left" w:pos="540"/>
        </w:tabs>
        <w:autoSpaceDE w:val="0"/>
        <w:autoSpaceDN w:val="0"/>
        <w:adjustRightInd w:val="0"/>
        <w:spacing w:line="360" w:lineRule="auto"/>
        <w:ind w:firstLine="0" w:firstLineChars="0"/>
        <w:rPr>
          <w:rFonts w:ascii="宋体"/>
          <w:color w:val="auto"/>
          <w:sz w:val="24"/>
          <w:highlight w:val="none"/>
          <w:lang w:val="zh-CN"/>
        </w:rPr>
      </w:pPr>
      <w:r>
        <w:rPr>
          <w:rFonts w:hint="eastAsia" w:ascii="宋体"/>
          <w:color w:val="auto"/>
          <w:sz w:val="24"/>
          <w:highlight w:val="none"/>
          <w:lang w:val="en-US" w:eastAsia="zh-CN"/>
        </w:rPr>
        <w:t>9、</w:t>
      </w:r>
      <w:r>
        <w:rPr>
          <w:rFonts w:hint="eastAsia" w:ascii="宋体"/>
          <w:color w:val="auto"/>
          <w:sz w:val="24"/>
          <w:highlight w:val="none"/>
          <w:lang w:val="zh-CN"/>
        </w:rPr>
        <w:t>所有的替代零配件必须是新的未使用和未经修复的,除非最终用户提供书面许可，否则不可使用此范围外的其他(非新的)配件。</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10、</w:t>
      </w:r>
      <w:r>
        <w:rPr>
          <w:rFonts w:hint="eastAsia" w:ascii="宋体"/>
          <w:bCs/>
          <w:color w:val="auto"/>
          <w:sz w:val="24"/>
          <w:highlight w:val="none"/>
        </w:rPr>
        <w:t>质保期</w:t>
      </w:r>
      <w:r>
        <w:rPr>
          <w:rFonts w:hint="eastAsia" w:ascii="宋体"/>
          <w:color w:val="auto"/>
          <w:sz w:val="24"/>
          <w:highlight w:val="none"/>
        </w:rPr>
        <w:t>结束前，须由</w:t>
      </w:r>
      <w:r>
        <w:rPr>
          <w:rFonts w:hint="eastAsia" w:ascii="宋体"/>
          <w:color w:val="auto"/>
          <w:sz w:val="24"/>
          <w:highlight w:val="none"/>
          <w:lang w:eastAsia="zh-CN"/>
        </w:rPr>
        <w:t>乙方</w:t>
      </w:r>
      <w:r>
        <w:rPr>
          <w:rFonts w:hint="eastAsia" w:ascii="宋体"/>
          <w:color w:val="auto"/>
          <w:sz w:val="24"/>
          <w:highlight w:val="none"/>
        </w:rPr>
        <w:t>和</w:t>
      </w:r>
      <w:r>
        <w:rPr>
          <w:rFonts w:hint="eastAsia" w:ascii="宋体"/>
          <w:color w:val="auto"/>
          <w:sz w:val="24"/>
          <w:highlight w:val="none"/>
          <w:lang w:val="en-US" w:eastAsia="zh-CN"/>
        </w:rPr>
        <w:t>甲方</w:t>
      </w:r>
      <w:r>
        <w:rPr>
          <w:rFonts w:hint="eastAsia" w:ascii="宋体"/>
          <w:color w:val="auto"/>
          <w:sz w:val="24"/>
          <w:highlight w:val="none"/>
        </w:rPr>
        <w:t>进行一次全面检查，任何缺陷必须由</w:t>
      </w:r>
      <w:r>
        <w:rPr>
          <w:rFonts w:hint="eastAsia" w:ascii="宋体"/>
          <w:color w:val="auto"/>
          <w:sz w:val="24"/>
          <w:highlight w:val="none"/>
          <w:lang w:eastAsia="zh-CN"/>
        </w:rPr>
        <w:t>乙方</w:t>
      </w:r>
      <w:r>
        <w:rPr>
          <w:rFonts w:hint="eastAsia" w:ascii="宋体"/>
          <w:color w:val="auto"/>
          <w:sz w:val="24"/>
          <w:highlight w:val="none"/>
        </w:rPr>
        <w:t>负责修理</w:t>
      </w:r>
      <w:r>
        <w:rPr>
          <w:rFonts w:hint="eastAsia" w:ascii="宋体"/>
          <w:color w:val="auto"/>
          <w:sz w:val="24"/>
          <w:highlight w:val="none"/>
          <w:lang w:eastAsia="zh-CN"/>
        </w:rPr>
        <w:t>。</w:t>
      </w:r>
      <w:r>
        <w:rPr>
          <w:rFonts w:hint="eastAsia" w:ascii="宋体"/>
          <w:color w:val="auto"/>
          <w:sz w:val="24"/>
          <w:highlight w:val="none"/>
        </w:rPr>
        <w:t>在修理之后，</w:t>
      </w:r>
      <w:r>
        <w:rPr>
          <w:rFonts w:hint="eastAsia" w:ascii="宋体"/>
          <w:color w:val="auto"/>
          <w:sz w:val="24"/>
          <w:highlight w:val="none"/>
          <w:lang w:eastAsia="zh-CN"/>
        </w:rPr>
        <w:t>乙方</w:t>
      </w:r>
      <w:r>
        <w:rPr>
          <w:rFonts w:hint="eastAsia" w:ascii="宋体"/>
          <w:color w:val="auto"/>
          <w:sz w:val="24"/>
          <w:highlight w:val="none"/>
        </w:rPr>
        <w:t>应将缺陷原因、修理内容、完成修理及恢复正常的时间和日期等报告给</w:t>
      </w:r>
      <w:r>
        <w:rPr>
          <w:rFonts w:hint="eastAsia" w:ascii="宋体"/>
          <w:color w:val="auto"/>
          <w:sz w:val="24"/>
          <w:highlight w:val="none"/>
          <w:lang w:val="en-US" w:eastAsia="zh-CN"/>
        </w:rPr>
        <w:t>甲方</w:t>
      </w:r>
      <w:r>
        <w:rPr>
          <w:rFonts w:hint="eastAsia" w:ascii="宋体"/>
          <w:color w:val="auto"/>
          <w:sz w:val="24"/>
          <w:highlight w:val="none"/>
        </w:rPr>
        <w:t>，报告一式两份。</w:t>
      </w:r>
    </w:p>
    <w:p>
      <w:pPr>
        <w:tabs>
          <w:tab w:val="left" w:pos="540"/>
        </w:tabs>
        <w:autoSpaceDE w:val="0"/>
        <w:autoSpaceDN w:val="0"/>
        <w:adjustRightInd w:val="0"/>
        <w:spacing w:line="360" w:lineRule="auto"/>
        <w:ind w:firstLine="0" w:firstLineChars="0"/>
        <w:rPr>
          <w:rFonts w:ascii="宋体"/>
          <w:color w:val="auto"/>
          <w:sz w:val="24"/>
          <w:highlight w:val="none"/>
        </w:rPr>
      </w:pPr>
      <w:r>
        <w:rPr>
          <w:rFonts w:hint="eastAsia" w:ascii="宋体"/>
          <w:color w:val="auto"/>
          <w:sz w:val="24"/>
          <w:highlight w:val="none"/>
          <w:lang w:val="en-US" w:eastAsia="zh-CN"/>
        </w:rPr>
        <w:t>11、</w:t>
      </w:r>
      <w:r>
        <w:rPr>
          <w:rFonts w:hint="eastAsia" w:ascii="宋体"/>
          <w:color w:val="auto"/>
          <w:sz w:val="24"/>
          <w:highlight w:val="none"/>
          <w:lang w:eastAsia="zh-CN"/>
        </w:rPr>
        <w:t>乙方</w:t>
      </w:r>
      <w:r>
        <w:rPr>
          <w:rFonts w:hint="eastAsia" w:ascii="宋体"/>
          <w:color w:val="auto"/>
          <w:sz w:val="24"/>
          <w:highlight w:val="none"/>
        </w:rPr>
        <w:t>或原厂家的承诺的保修期不符的，以最高标准为准，除非</w:t>
      </w:r>
      <w:r>
        <w:rPr>
          <w:rFonts w:hint="eastAsia" w:ascii="宋体"/>
          <w:color w:val="auto"/>
          <w:sz w:val="24"/>
          <w:highlight w:val="none"/>
          <w:lang w:eastAsia="zh-CN"/>
        </w:rPr>
        <w:t>乙方</w:t>
      </w:r>
      <w:r>
        <w:rPr>
          <w:rFonts w:hint="eastAsia" w:ascii="宋体"/>
          <w:color w:val="auto"/>
          <w:sz w:val="24"/>
          <w:highlight w:val="none"/>
        </w:rPr>
        <w:t>事前正式声明，否则均视为认同，并将在合同中载明。</w:t>
      </w:r>
    </w:p>
    <w:p>
      <w:pPr>
        <w:pStyle w:val="77"/>
        <w:spacing w:line="360" w:lineRule="auto"/>
        <w:ind w:firstLine="0" w:firstLineChars="0"/>
        <w:rPr>
          <w:rFonts w:hint="default" w:eastAsia="宋体" w:cs="Times New Roman"/>
          <w:color w:val="auto"/>
          <w:sz w:val="24"/>
          <w:szCs w:val="24"/>
          <w:highlight w:val="none"/>
          <w:lang w:val="en-US" w:eastAsia="zh-CN"/>
        </w:rPr>
      </w:pPr>
      <w:r>
        <w:rPr>
          <w:rFonts w:hint="eastAsia" w:ascii="宋体"/>
          <w:color w:val="auto"/>
          <w:sz w:val="24"/>
          <w:highlight w:val="none"/>
          <w:lang w:val="en-US" w:eastAsia="zh-CN"/>
        </w:rPr>
        <w:t>12、乙方</w:t>
      </w:r>
      <w:r>
        <w:rPr>
          <w:rFonts w:hint="eastAsia" w:ascii="宋体"/>
          <w:color w:val="auto"/>
          <w:sz w:val="24"/>
          <w:highlight w:val="none"/>
        </w:rPr>
        <w:t>必须有可靠的售后服务保障，包括但不限于在台州附近有固定的维修服务点，能提供正常的技术、备品备件服务。当发生故障时，</w:t>
      </w:r>
      <w:r>
        <w:rPr>
          <w:rFonts w:hint="eastAsia" w:ascii="宋体"/>
          <w:color w:val="auto"/>
          <w:sz w:val="24"/>
          <w:highlight w:val="none"/>
          <w:lang w:val="en-US" w:eastAsia="zh-CN"/>
        </w:rPr>
        <w:t>乙方</w:t>
      </w:r>
      <w:r>
        <w:rPr>
          <w:rFonts w:hint="eastAsia" w:ascii="宋体"/>
          <w:color w:val="auto"/>
          <w:sz w:val="24"/>
          <w:highlight w:val="none"/>
        </w:rPr>
        <w:t>在接到</w:t>
      </w:r>
      <w:r>
        <w:rPr>
          <w:rFonts w:hint="eastAsia" w:ascii="宋体"/>
          <w:color w:val="auto"/>
          <w:sz w:val="24"/>
          <w:highlight w:val="none"/>
          <w:lang w:val="en-US" w:eastAsia="zh-CN"/>
        </w:rPr>
        <w:t>甲方</w:t>
      </w:r>
      <w:r>
        <w:rPr>
          <w:rFonts w:hint="eastAsia" w:ascii="宋体"/>
          <w:color w:val="auto"/>
          <w:sz w:val="24"/>
          <w:highlight w:val="none"/>
        </w:rPr>
        <w:t>通知后，</w:t>
      </w:r>
      <w:r>
        <w:rPr>
          <w:rFonts w:hint="eastAsia" w:ascii="宋体"/>
          <w:color w:val="auto"/>
          <w:sz w:val="24"/>
          <w:highlight w:val="none"/>
          <w:u w:val="single"/>
          <w:lang w:val="en-US" w:eastAsia="zh-CN"/>
        </w:rPr>
        <w:t>按照投标文件承诺时间</w:t>
      </w:r>
      <w:r>
        <w:rPr>
          <w:rFonts w:hint="eastAsia" w:ascii="宋体" w:hAnsi="Calibri"/>
          <w:color w:val="auto"/>
          <w:sz w:val="24"/>
          <w:szCs w:val="22"/>
          <w:highlight w:val="none"/>
          <w:lang w:val="zh-CN" w:eastAsia="zh-CN"/>
        </w:rPr>
        <w:t>到达故障现场，抵达现场后8小时内解决故障，</w:t>
      </w:r>
      <w:r>
        <w:rPr>
          <w:rFonts w:hint="eastAsia" w:ascii="宋体" w:hAnsi="Calibri"/>
          <w:color w:val="auto"/>
          <w:sz w:val="24"/>
          <w:szCs w:val="22"/>
          <w:highlight w:val="none"/>
          <w:lang w:val="en-US" w:eastAsia="zh-CN"/>
        </w:rPr>
        <w:t>故障排除后出具书面故障诊断报告备案</w:t>
      </w:r>
      <w:r>
        <w:rPr>
          <w:rFonts w:hint="eastAsia" w:ascii="宋体" w:hAnsi="Calibri" w:eastAsia="宋体"/>
          <w:color w:val="auto"/>
          <w:sz w:val="24"/>
          <w:szCs w:val="22"/>
          <w:highlight w:val="none"/>
          <w:lang w:val="zh-CN" w:eastAsia="zh-CN"/>
        </w:rPr>
        <w:t>。</w:t>
      </w:r>
      <w:r>
        <w:rPr>
          <w:rFonts w:hint="eastAsia" w:ascii="宋体" w:hAnsi="Calibri"/>
          <w:color w:val="auto"/>
          <w:sz w:val="24"/>
          <w:szCs w:val="22"/>
          <w:highlight w:val="none"/>
          <w:lang w:val="zh-CN" w:eastAsia="zh-CN"/>
        </w:rPr>
        <w:t>按时</w:t>
      </w:r>
      <w:r>
        <w:rPr>
          <w:rFonts w:hint="eastAsia" w:ascii="宋体" w:hAnsi="Calibri"/>
          <w:color w:val="auto"/>
          <w:sz w:val="24"/>
          <w:szCs w:val="22"/>
          <w:highlight w:val="none"/>
          <w:lang w:val="zh-CN"/>
        </w:rPr>
        <w:t>不能修复的，则无偿提供备机供采购单位使用。</w:t>
      </w:r>
    </w:p>
    <w:p>
      <w:pPr>
        <w:pStyle w:val="77"/>
        <w:numPr>
          <w:ilvl w:val="0"/>
          <w:numId w:val="0"/>
        </w:numPr>
        <w:spacing w:line="360" w:lineRule="auto"/>
        <w:ind w:leftChars="0" w:firstLine="0" w:firstLineChars="0"/>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13、乙方</w:t>
      </w:r>
      <w:r>
        <w:rPr>
          <w:rFonts w:hint="default" w:eastAsia="宋体" w:cs="Times New Roman"/>
          <w:color w:val="auto"/>
          <w:sz w:val="24"/>
          <w:szCs w:val="24"/>
          <w:highlight w:val="none"/>
          <w:lang w:val="en-US" w:eastAsia="zh-CN"/>
        </w:rPr>
        <w:t>应遵守工作秘密的约定，因过错导致泄密给</w:t>
      </w:r>
      <w:r>
        <w:rPr>
          <w:rFonts w:hint="eastAsia" w:eastAsia="宋体" w:cs="Times New Roman"/>
          <w:color w:val="auto"/>
          <w:sz w:val="24"/>
          <w:szCs w:val="24"/>
          <w:highlight w:val="none"/>
          <w:lang w:val="en-US" w:eastAsia="zh-CN"/>
        </w:rPr>
        <w:t>甲方</w:t>
      </w:r>
      <w:r>
        <w:rPr>
          <w:rFonts w:hint="default" w:eastAsia="宋体" w:cs="Times New Roman"/>
          <w:color w:val="auto"/>
          <w:sz w:val="24"/>
          <w:szCs w:val="24"/>
          <w:highlight w:val="none"/>
          <w:lang w:val="en-US" w:eastAsia="zh-CN"/>
        </w:rPr>
        <w:t>造成损失的，应负责赔偿</w:t>
      </w:r>
      <w:r>
        <w:rPr>
          <w:rFonts w:hint="eastAsia" w:eastAsia="宋体" w:cs="Times New Roman"/>
          <w:color w:val="auto"/>
          <w:sz w:val="24"/>
          <w:szCs w:val="24"/>
          <w:highlight w:val="none"/>
          <w:lang w:val="en-US" w:eastAsia="zh-CN"/>
        </w:rPr>
        <w:t>甲方</w:t>
      </w:r>
      <w:r>
        <w:rPr>
          <w:rFonts w:hint="default" w:eastAsia="宋体" w:cs="Times New Roman"/>
          <w:color w:val="auto"/>
          <w:sz w:val="24"/>
          <w:szCs w:val="24"/>
          <w:highlight w:val="none"/>
          <w:lang w:val="en-US" w:eastAsia="zh-CN"/>
        </w:rPr>
        <w:t>所受的损失，包括直接损失和间接损失。</w:t>
      </w:r>
    </w:p>
    <w:p>
      <w:pPr>
        <w:tabs>
          <w:tab w:val="left" w:pos="540"/>
        </w:tabs>
        <w:autoSpaceDE w:val="0"/>
        <w:autoSpaceDN w:val="0"/>
        <w:adjustRightInd w:val="0"/>
        <w:ind w:leftChars="0" w:firstLineChars="0"/>
        <w:rPr>
          <w:rFonts w:hint="default" w:ascii="Calibri" w:hAnsi="Calibri" w:eastAsia="宋体" w:cs="Times New Roman"/>
          <w:color w:val="auto"/>
          <w:sz w:val="24"/>
          <w:szCs w:val="24"/>
          <w:highlight w:val="none"/>
          <w:lang w:val="en-US" w:eastAsia="zh-CN"/>
        </w:rPr>
      </w:pPr>
      <w:r>
        <w:rPr>
          <w:rFonts w:hint="default" w:ascii="Calibri" w:hAnsi="Calibri" w:cs="Times New Roman"/>
          <w:color w:val="auto"/>
          <w:sz w:val="24"/>
          <w:szCs w:val="24"/>
          <w:highlight w:val="none"/>
          <w:lang w:val="en-US" w:eastAsia="zh-CN"/>
        </w:rPr>
        <w:t>14</w:t>
      </w:r>
      <w:r>
        <w:rPr>
          <w:rFonts w:hint="default" w:ascii="Calibri" w:hAnsi="Calibri" w:cs="Times New Roman"/>
          <w:color w:val="auto"/>
          <w:sz w:val="24"/>
          <w:szCs w:val="24"/>
          <w:highlight w:val="none"/>
          <w:lang w:val="en-US"/>
        </w:rPr>
        <w:t>、若中标人未能满足上述售后服务要求中的任何一条，采购单位有权委托第三方单位提供售后服务，由此产生的一切费用由中标人承担。</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四</w:t>
      </w:r>
      <w:r>
        <w:rPr>
          <w:rFonts w:hint="eastAsia" w:cs="宋体"/>
          <w:b/>
          <w:color w:val="auto"/>
          <w:sz w:val="24"/>
          <w:highlight w:val="none"/>
        </w:rPr>
        <w:t>、调试和验收</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 xml:space="preserve">1甲方对乙方提交的货物依据采购文件上的技术规格要求和国家有关质量标准进行现场初步验收，外观、说明书符合采购文件技术要求的，给予签收，初步验收不合格的不予签收。货到后，甲方需在 </w:t>
      </w:r>
      <w:r>
        <w:rPr>
          <w:rFonts w:hint="eastAsia" w:ascii="宋体" w:hAnsi="Courier New" w:eastAsia="宋体" w:cs="宋体"/>
          <w:color w:val="auto"/>
          <w:sz w:val="24"/>
          <w:highlight w:val="none"/>
          <w:lang w:val="en-US" w:eastAsia="zh-CN"/>
        </w:rPr>
        <w:t xml:space="preserve"> </w:t>
      </w:r>
      <w:r>
        <w:rPr>
          <w:rFonts w:hint="eastAsia" w:ascii="宋体" w:hAnsi="Courier New" w:eastAsia="宋体" w:cs="宋体"/>
          <w:color w:val="auto"/>
          <w:sz w:val="24"/>
          <w:highlight w:val="none"/>
        </w:rPr>
        <w:t xml:space="preserve">7 </w:t>
      </w:r>
      <w:r>
        <w:rPr>
          <w:rFonts w:hint="eastAsia" w:ascii="宋体" w:hAnsi="Courier New" w:eastAsia="宋体" w:cs="宋体"/>
          <w:color w:val="auto"/>
          <w:sz w:val="24"/>
          <w:highlight w:val="none"/>
          <w:lang w:val="en-US" w:eastAsia="zh-CN"/>
        </w:rPr>
        <w:t xml:space="preserve"> </w:t>
      </w:r>
      <w:r>
        <w:rPr>
          <w:rFonts w:hint="eastAsia" w:ascii="宋体" w:hAnsi="Courier New" w:eastAsia="宋体" w:cs="宋体"/>
          <w:color w:val="auto"/>
          <w:sz w:val="24"/>
          <w:highlight w:val="none"/>
        </w:rPr>
        <w:t>个工作日内验收。</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2乙方交货前应对产品作出全面检查和对验收文件进行整理，并列出清单，作为甲方收货验收和使用的技术条件依据，检验的结果应随货物交甲方。</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3乙方需协助甲方一起调试，直到符合技术要求，甲方才做最终验收。</w:t>
      </w:r>
      <w:r>
        <w:rPr>
          <w:rFonts w:hint="eastAsia" w:ascii="宋体" w:hAnsi="Courier New" w:eastAsia="宋体" w:cs="宋体"/>
          <w:color w:val="auto"/>
          <w:sz w:val="24"/>
          <w:highlight w:val="none"/>
          <w:lang w:val="en-US" w:eastAsia="zh-CN"/>
        </w:rPr>
        <w:t>设备最终验收前的人员及设备安全，概由承包人负责。</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w:t>
      </w:r>
      <w:r>
        <w:rPr>
          <w:rFonts w:hint="eastAsia" w:ascii="宋体" w:hAnsi="Courier New" w:eastAsia="宋体" w:cs="宋体"/>
          <w:color w:val="auto"/>
          <w:sz w:val="24"/>
          <w:highlight w:val="none"/>
        </w:rPr>
        <w:t>4</w:t>
      </w:r>
      <w:r>
        <w:rPr>
          <w:rFonts w:hint="eastAsia" w:ascii="宋体" w:hAnsi="Courier New" w:eastAsia="宋体" w:cs="宋体"/>
          <w:color w:val="auto"/>
          <w:sz w:val="24"/>
          <w:highlight w:val="none"/>
          <w:lang w:val="en-US" w:eastAsia="zh-CN"/>
        </w:rPr>
        <w:t>甲方可对设备进行不定时不定期抽验，抽验合格的，抽检费用由甲方支付；抽验不 合格的，抽检费用由乙方负责，且甲方有权退回该批次的所有灯具，因此产生的一切费用均由乙方负责。</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14.5</w:t>
      </w:r>
      <w:r>
        <w:rPr>
          <w:rFonts w:hint="eastAsia" w:ascii="宋体" w:hAnsi="Courier New" w:eastAsia="宋体" w:cs="宋体"/>
          <w:color w:val="auto"/>
          <w:sz w:val="24"/>
          <w:highlight w:val="none"/>
        </w:rPr>
        <w:t>验收时乙方必须在现场，验收完毕后作出验收结果报告；验收费用由乙方负责。</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五</w:t>
      </w:r>
      <w:r>
        <w:rPr>
          <w:rFonts w:hint="eastAsia" w:cs="宋体"/>
          <w:b/>
          <w:color w:val="auto"/>
          <w:sz w:val="24"/>
          <w:highlight w:val="none"/>
        </w:rPr>
        <w:t>、货物包装、发运及运输</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.1 乙方应在货物发运前对其进行满足运输距离、防潮、防震、防锈和防破损装车等要求包装，以保证货物安全运达甲方指定地点。</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.2 使用说明书、质量检验证明书、随配附件和工具以及清单一并附于货物内。</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.3 乙方在货物发运手续办理完毕后24小时内或货到甲方48小时前通知甲方，以准备接货。</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.4 货物在交付甲方前发生的风险均由乙方负责。</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.5 货物在规定的交付期限内由乙方送达甲方指定的地点视为交付，乙方同时需通知甲方货物已送达。</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.6材料在装运前由</w:t>
      </w:r>
      <w:r>
        <w:rPr>
          <w:rFonts w:hint="eastAsia" w:hAnsi="Courier New" w:eastAsia="宋体" w:cs="宋体"/>
          <w:color w:val="auto"/>
          <w:sz w:val="24"/>
          <w:highlight w:val="none"/>
          <w:lang w:eastAsia="zh-CN"/>
        </w:rPr>
        <w:t>乙方</w:t>
      </w:r>
      <w:r>
        <w:rPr>
          <w:rFonts w:hint="eastAsia" w:ascii="宋体" w:hAnsi="Courier New" w:eastAsia="宋体" w:cs="宋体"/>
          <w:color w:val="auto"/>
          <w:sz w:val="24"/>
          <w:highlight w:val="none"/>
        </w:rPr>
        <w:t>投保，一旦材料在装车、运输过程中发生损坏或短缺，由</w:t>
      </w:r>
      <w:r>
        <w:rPr>
          <w:rFonts w:hint="eastAsia" w:hAnsi="Courier New" w:eastAsia="宋体" w:cs="宋体"/>
          <w:color w:val="auto"/>
          <w:sz w:val="24"/>
          <w:highlight w:val="none"/>
          <w:lang w:eastAsia="zh-CN"/>
        </w:rPr>
        <w:t>乙方</w:t>
      </w:r>
      <w:r>
        <w:rPr>
          <w:rFonts w:hint="eastAsia" w:ascii="宋体" w:hAnsi="Courier New" w:eastAsia="宋体" w:cs="宋体"/>
          <w:color w:val="auto"/>
          <w:sz w:val="24"/>
          <w:highlight w:val="none"/>
        </w:rPr>
        <w:t>负责索赔。</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rPr>
        <w:t>1</w:t>
      </w:r>
      <w:r>
        <w:rPr>
          <w:rFonts w:hint="eastAsia" w:ascii="宋体" w:hAnsi="Courier New" w:eastAsia="宋体" w:cs="宋体"/>
          <w:color w:val="auto"/>
          <w:sz w:val="24"/>
          <w:highlight w:val="none"/>
          <w:lang w:val="en-US" w:eastAsia="zh-CN"/>
        </w:rPr>
        <w:t>5</w:t>
      </w:r>
      <w:r>
        <w:rPr>
          <w:rFonts w:hint="eastAsia" w:ascii="宋体" w:hAnsi="Courier New" w:eastAsia="宋体" w:cs="宋体"/>
          <w:color w:val="auto"/>
          <w:sz w:val="24"/>
          <w:highlight w:val="none"/>
        </w:rPr>
        <w:t>.7</w:t>
      </w:r>
      <w:r>
        <w:rPr>
          <w:rFonts w:hint="eastAsia" w:hAnsi="Courier New" w:eastAsia="宋体" w:cs="宋体"/>
          <w:color w:val="auto"/>
          <w:sz w:val="24"/>
          <w:highlight w:val="none"/>
          <w:lang w:eastAsia="zh-CN"/>
        </w:rPr>
        <w:t>乙方</w:t>
      </w:r>
      <w:r>
        <w:rPr>
          <w:rFonts w:hint="eastAsia" w:ascii="宋体" w:hAnsi="Courier New" w:eastAsia="宋体" w:cs="宋体"/>
          <w:color w:val="auto"/>
          <w:sz w:val="24"/>
          <w:highlight w:val="none"/>
        </w:rPr>
        <w:t>保证在确认货物因装车、运输中发生损坏或短缺后，尽快给予调换、修复和补齐缺件，不管其造成的原因如何，也不能以办理索赔为由而拖延。</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六</w:t>
      </w:r>
      <w:r>
        <w:rPr>
          <w:rFonts w:hint="eastAsia" w:cs="宋体"/>
          <w:b/>
          <w:color w:val="auto"/>
          <w:sz w:val="24"/>
          <w:highlight w:val="none"/>
        </w:rPr>
        <w:t>、违约责任</w:t>
      </w:r>
    </w:p>
    <w:p>
      <w:pPr>
        <w:pStyle w:val="30"/>
        <w:snapToGrid w:val="0"/>
        <w:spacing w:before="120" w:after="120" w:line="360" w:lineRule="auto"/>
        <w:rPr>
          <w:rFonts w:cs="宋体"/>
          <w:color w:val="auto"/>
          <w:sz w:val="24"/>
          <w:highlight w:val="none"/>
        </w:rPr>
      </w:pPr>
      <w:r>
        <w:rPr>
          <w:rFonts w:hint="eastAsia" w:cs="宋体"/>
          <w:color w:val="auto"/>
          <w:sz w:val="24"/>
          <w:highlight w:val="none"/>
          <w:lang w:val="en-US" w:eastAsia="zh-CN"/>
        </w:rPr>
        <w:t>16.</w:t>
      </w:r>
      <w:r>
        <w:rPr>
          <w:rFonts w:hint="eastAsia" w:cs="宋体"/>
          <w:color w:val="auto"/>
          <w:sz w:val="24"/>
          <w:highlight w:val="none"/>
        </w:rPr>
        <w:t>1甲方无正当理由拒收货物的，甲方向乙方偿付拒收货款总值的</w:t>
      </w:r>
      <w:r>
        <w:rPr>
          <w:rFonts w:hint="eastAsia" w:cs="宋体"/>
          <w:color w:val="auto"/>
          <w:sz w:val="24"/>
          <w:highlight w:val="none"/>
          <w:u w:val="single"/>
        </w:rPr>
        <w:t>百分之五</w:t>
      </w:r>
      <w:r>
        <w:rPr>
          <w:rFonts w:hint="eastAsia" w:cs="宋体"/>
          <w:color w:val="auto"/>
          <w:sz w:val="24"/>
          <w:highlight w:val="none"/>
        </w:rPr>
        <w:t>违约金。</w:t>
      </w:r>
    </w:p>
    <w:p>
      <w:pPr>
        <w:pStyle w:val="30"/>
        <w:snapToGrid w:val="0"/>
        <w:spacing w:before="120" w:after="120" w:line="360" w:lineRule="auto"/>
        <w:rPr>
          <w:rFonts w:hint="eastAsia" w:ascii="宋体" w:hAnsi="Courier New" w:eastAsia="宋体" w:cs="宋体"/>
          <w:color w:val="auto"/>
          <w:sz w:val="24"/>
          <w:szCs w:val="24"/>
          <w:highlight w:val="none"/>
        </w:rPr>
      </w:pPr>
      <w:r>
        <w:rPr>
          <w:rFonts w:hint="eastAsia" w:cs="宋体"/>
          <w:color w:val="auto"/>
          <w:sz w:val="24"/>
          <w:szCs w:val="24"/>
          <w:highlight w:val="none"/>
          <w:lang w:val="en-US" w:eastAsia="zh-CN"/>
        </w:rPr>
        <w:t>16.2</w:t>
      </w:r>
      <w:r>
        <w:rPr>
          <w:rFonts w:hint="eastAsia" w:ascii="宋体" w:hAnsi="Courier New" w:eastAsia="宋体" w:cs="宋体"/>
          <w:color w:val="auto"/>
          <w:sz w:val="24"/>
          <w:szCs w:val="24"/>
          <w:highlight w:val="none"/>
        </w:rPr>
        <w:t>乙方质量达不到约定质量标准的，对工程质量造成影响和施工返工的，甲方的直接和间接</w:t>
      </w:r>
      <w:r>
        <w:rPr>
          <w:rFonts w:hint="eastAsia" w:cs="宋体"/>
          <w:color w:val="auto"/>
          <w:sz w:val="24"/>
          <w:szCs w:val="24"/>
          <w:highlight w:val="none"/>
          <w:lang w:val="en-US" w:eastAsia="zh-CN"/>
        </w:rPr>
        <w:t>的</w:t>
      </w:r>
      <w:r>
        <w:rPr>
          <w:rFonts w:hint="eastAsia" w:ascii="宋体" w:hAnsi="Courier New" w:eastAsia="宋体" w:cs="宋体"/>
          <w:color w:val="auto"/>
          <w:sz w:val="24"/>
          <w:szCs w:val="24"/>
          <w:highlight w:val="none"/>
        </w:rPr>
        <w:t>损失费乙方必须承担。</w:t>
      </w:r>
    </w:p>
    <w:p>
      <w:pPr>
        <w:pStyle w:val="30"/>
        <w:snapToGrid w:val="0"/>
        <w:spacing w:before="120" w:after="120" w:line="360" w:lineRule="auto"/>
        <w:rPr>
          <w:rFonts w:cs="宋体"/>
          <w:color w:val="auto"/>
          <w:sz w:val="24"/>
          <w:highlight w:val="none"/>
        </w:rPr>
      </w:pPr>
      <w:r>
        <w:rPr>
          <w:rFonts w:hint="eastAsia" w:cs="宋体"/>
          <w:color w:val="auto"/>
          <w:sz w:val="24"/>
          <w:highlight w:val="none"/>
          <w:lang w:val="en-US" w:eastAsia="zh-CN"/>
        </w:rPr>
        <w:t>16.</w:t>
      </w:r>
      <w:r>
        <w:rPr>
          <w:rFonts w:hint="eastAsia" w:cs="宋体"/>
          <w:color w:val="auto"/>
          <w:sz w:val="24"/>
          <w:highlight w:val="none"/>
        </w:rPr>
        <w:t>3逾期交付货物的，乙方应按逾期交货总额每日</w:t>
      </w:r>
      <w:r>
        <w:rPr>
          <w:rFonts w:hint="eastAsia" w:cs="宋体"/>
          <w:color w:val="auto"/>
          <w:sz w:val="24"/>
          <w:highlight w:val="none"/>
          <w:u w:val="single"/>
        </w:rPr>
        <w:t>千分之</w:t>
      </w:r>
      <w:r>
        <w:rPr>
          <w:rFonts w:hint="eastAsia" w:cs="宋体"/>
          <w:color w:val="auto"/>
          <w:sz w:val="24"/>
          <w:highlight w:val="none"/>
          <w:u w:val="single"/>
          <w:lang w:val="en-US" w:eastAsia="zh-CN"/>
        </w:rPr>
        <w:t>六</w:t>
      </w:r>
      <w:r>
        <w:rPr>
          <w:rFonts w:hint="eastAsia" w:cs="宋体"/>
          <w:color w:val="auto"/>
          <w:sz w:val="24"/>
          <w:highlight w:val="none"/>
        </w:rPr>
        <w:t>向甲方支付违约金，由甲方从待付货款中扣除。逾期超过约定日期</w:t>
      </w:r>
      <w:r>
        <w:rPr>
          <w:rFonts w:hint="eastAsia" w:cs="宋体"/>
          <w:color w:val="auto"/>
          <w:sz w:val="24"/>
          <w:highlight w:val="none"/>
          <w:u w:val="single"/>
        </w:rPr>
        <w:t>10</w:t>
      </w:r>
      <w:r>
        <w:rPr>
          <w:rFonts w:hint="eastAsia" w:cs="宋体"/>
          <w:color w:val="auto"/>
          <w:sz w:val="24"/>
          <w:highlight w:val="none"/>
        </w:rPr>
        <w:t xml:space="preserve">个工作日不能交货的，甲方可解除本合同。乙方因逾期交货或因其他违约行为导致甲方解除合同的，乙方除应向甲方偿还已支付的金额及按月2%计算的利息外，并没收履约保证金及支付合同总值5%的违约金，如造成甲方损失超过违约金的，超出部分由乙方继续承担赔偿责任。 </w:t>
      </w:r>
    </w:p>
    <w:p>
      <w:pPr>
        <w:pStyle w:val="30"/>
        <w:snapToGrid w:val="0"/>
        <w:spacing w:before="120" w:beforeLines="0" w:after="120" w:line="360" w:lineRule="auto"/>
        <w:rPr>
          <w:rFonts w:hint="eastAsia" w:cs="宋体"/>
          <w:color w:val="auto"/>
          <w:sz w:val="24"/>
          <w:highlight w:val="none"/>
        </w:rPr>
      </w:pPr>
      <w:r>
        <w:rPr>
          <w:rFonts w:hint="eastAsia" w:cs="宋体"/>
          <w:color w:val="auto"/>
          <w:sz w:val="24"/>
          <w:highlight w:val="none"/>
          <w:lang w:val="en-US" w:eastAsia="zh-CN"/>
        </w:rPr>
        <w:t>16.</w:t>
      </w:r>
      <w:r>
        <w:rPr>
          <w:rFonts w:hint="eastAsia" w:cs="宋体"/>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pPr>
        <w:pStyle w:val="30"/>
        <w:snapToGrid w:val="0"/>
        <w:spacing w:before="120" w:after="120" w:line="360" w:lineRule="auto"/>
        <w:rPr>
          <w:rFonts w:hint="eastAsia" w:cs="宋体"/>
          <w:color w:val="auto"/>
          <w:sz w:val="24"/>
          <w:highlight w:val="none"/>
        </w:rPr>
      </w:pPr>
      <w:r>
        <w:rPr>
          <w:rFonts w:hint="eastAsia" w:cs="宋体"/>
          <w:color w:val="auto"/>
          <w:sz w:val="24"/>
          <w:highlight w:val="none"/>
          <w:lang w:val="en-US" w:eastAsia="zh-CN"/>
        </w:rPr>
        <w:t>16.5</w:t>
      </w:r>
      <w:r>
        <w:rPr>
          <w:rFonts w:hint="eastAsia" w:ascii="宋体" w:hAnsi="Courier New" w:eastAsia="宋体" w:cs="宋体"/>
          <w:color w:val="auto"/>
          <w:sz w:val="24"/>
          <w:szCs w:val="24"/>
          <w:highlight w:val="none"/>
        </w:rPr>
        <w:t>履行本合同的过程中，因乙方自身管理不善、投入不足、技术水平有限等原因导致阶段目标未完成或项目未通过验收，责任由乙方全部承担，甲方有权终止合同，</w:t>
      </w:r>
      <w:r>
        <w:rPr>
          <w:rFonts w:hint="eastAsia" w:cs="宋体"/>
          <w:color w:val="auto"/>
          <w:sz w:val="24"/>
          <w:highlight w:val="none"/>
        </w:rPr>
        <w:t>乙方除应向甲方偿还已支付的金额及按月2%计算的利息外</w:t>
      </w:r>
      <w:r>
        <w:rPr>
          <w:rFonts w:hint="eastAsia" w:cs="宋体"/>
          <w:color w:val="auto"/>
          <w:sz w:val="24"/>
          <w:highlight w:val="none"/>
          <w:lang w:eastAsia="zh-CN"/>
        </w:rPr>
        <w:t>，</w:t>
      </w:r>
      <w:r>
        <w:rPr>
          <w:rFonts w:hint="eastAsia" w:ascii="宋体" w:hAnsi="Courier New" w:eastAsia="宋体" w:cs="宋体"/>
          <w:color w:val="auto"/>
          <w:sz w:val="24"/>
          <w:szCs w:val="24"/>
          <w:highlight w:val="none"/>
        </w:rPr>
        <w:t>并没收履约保证金</w:t>
      </w:r>
      <w:r>
        <w:rPr>
          <w:rFonts w:hint="eastAsia" w:cs="宋体"/>
          <w:color w:val="auto"/>
          <w:sz w:val="24"/>
          <w:highlight w:val="none"/>
        </w:rPr>
        <w:t>及支付合同总值5%的违约金，如造成甲方损失超过违约金的，超出部分由乙方继续承担赔偿责任。</w:t>
      </w:r>
    </w:p>
    <w:p>
      <w:pPr>
        <w:pStyle w:val="30"/>
        <w:snapToGrid w:val="0"/>
        <w:spacing w:before="120" w:after="120" w:line="360" w:lineRule="auto"/>
        <w:rPr>
          <w:rFonts w:cs="宋体"/>
          <w:b/>
          <w:color w:val="auto"/>
          <w:sz w:val="24"/>
          <w:highlight w:val="none"/>
        </w:rPr>
      </w:pPr>
      <w:r>
        <w:rPr>
          <w:rFonts w:hint="eastAsia" w:cs="宋体"/>
          <w:b/>
          <w:color w:val="auto"/>
          <w:sz w:val="24"/>
          <w:highlight w:val="none"/>
        </w:rPr>
        <w:t>十</w:t>
      </w:r>
      <w:r>
        <w:rPr>
          <w:rFonts w:hint="eastAsia" w:cs="宋体"/>
          <w:b/>
          <w:color w:val="auto"/>
          <w:sz w:val="24"/>
          <w:highlight w:val="none"/>
          <w:lang w:val="en-US" w:eastAsia="zh-CN"/>
        </w:rPr>
        <w:t>七</w:t>
      </w:r>
      <w:r>
        <w:rPr>
          <w:rFonts w:hint="eastAsia" w:cs="宋体"/>
          <w:b/>
          <w:color w:val="auto"/>
          <w:sz w:val="24"/>
          <w:highlight w:val="none"/>
        </w:rPr>
        <w:t>、不可抗力事件处理</w:t>
      </w:r>
    </w:p>
    <w:p>
      <w:pPr>
        <w:pStyle w:val="30"/>
        <w:snapToGrid w:val="0"/>
        <w:spacing w:before="120" w:after="120" w:line="360" w:lineRule="auto"/>
        <w:rPr>
          <w:rFonts w:cs="宋体"/>
          <w:color w:val="auto"/>
          <w:sz w:val="24"/>
          <w:highlight w:val="none"/>
        </w:rPr>
      </w:pPr>
      <w:r>
        <w:rPr>
          <w:rFonts w:hint="eastAsia" w:cs="宋体"/>
          <w:color w:val="auto"/>
          <w:sz w:val="24"/>
          <w:highlight w:val="none"/>
          <w:lang w:val="en-US" w:eastAsia="zh-CN"/>
        </w:rPr>
        <w:t>17.</w:t>
      </w:r>
      <w:r>
        <w:rPr>
          <w:rFonts w:hint="eastAsia" w:cs="宋体"/>
          <w:color w:val="auto"/>
          <w:sz w:val="24"/>
          <w:highlight w:val="none"/>
        </w:rPr>
        <w:t>1在合同有效期内，任何一方因不可抗力事件导致不能履行合同，则合同履行期可延长，其延长期与不可抗力影响期相同。</w:t>
      </w:r>
    </w:p>
    <w:p>
      <w:pPr>
        <w:pStyle w:val="30"/>
        <w:snapToGrid w:val="0"/>
        <w:spacing w:before="120" w:after="120" w:line="360" w:lineRule="auto"/>
        <w:rPr>
          <w:rFonts w:cs="宋体"/>
          <w:color w:val="auto"/>
          <w:sz w:val="24"/>
          <w:highlight w:val="none"/>
        </w:rPr>
      </w:pPr>
      <w:r>
        <w:rPr>
          <w:rFonts w:hint="eastAsia" w:cs="宋体"/>
          <w:color w:val="auto"/>
          <w:sz w:val="24"/>
          <w:highlight w:val="none"/>
          <w:lang w:val="en-US" w:eastAsia="zh-CN"/>
        </w:rPr>
        <w:t>17.</w:t>
      </w:r>
      <w:r>
        <w:rPr>
          <w:rFonts w:hint="eastAsia" w:cs="宋体"/>
          <w:color w:val="auto"/>
          <w:sz w:val="24"/>
          <w:highlight w:val="none"/>
        </w:rPr>
        <w:t>2不可抗力事件发生后，应立即通知对方，并寄送有关权威机构出具的证明。</w:t>
      </w:r>
    </w:p>
    <w:p>
      <w:pPr>
        <w:pStyle w:val="30"/>
        <w:snapToGrid w:val="0"/>
        <w:spacing w:before="120" w:after="120" w:line="360" w:lineRule="auto"/>
        <w:rPr>
          <w:rFonts w:cs="宋体"/>
          <w:color w:val="auto"/>
          <w:sz w:val="24"/>
          <w:highlight w:val="none"/>
        </w:rPr>
      </w:pPr>
      <w:r>
        <w:rPr>
          <w:rFonts w:hint="eastAsia" w:cs="宋体"/>
          <w:color w:val="auto"/>
          <w:sz w:val="24"/>
          <w:highlight w:val="none"/>
          <w:lang w:val="en-US" w:eastAsia="zh-CN"/>
        </w:rPr>
        <w:t>17.</w:t>
      </w:r>
      <w:r>
        <w:rPr>
          <w:rFonts w:hint="eastAsia" w:cs="宋体"/>
          <w:color w:val="auto"/>
          <w:sz w:val="24"/>
          <w:highlight w:val="none"/>
        </w:rPr>
        <w:t>3不可抗力事件延续120天以上，双方应通过友好协商，确定是否继续履行合同。</w:t>
      </w:r>
    </w:p>
    <w:p>
      <w:pPr>
        <w:pStyle w:val="30"/>
        <w:snapToGrid w:val="0"/>
        <w:spacing w:before="120" w:after="120" w:line="360" w:lineRule="auto"/>
        <w:rPr>
          <w:rFonts w:cs="宋体"/>
          <w:b/>
          <w:color w:val="auto"/>
          <w:sz w:val="24"/>
          <w:szCs w:val="24"/>
          <w:highlight w:val="none"/>
        </w:rPr>
      </w:pPr>
      <w:r>
        <w:rPr>
          <w:rFonts w:hint="eastAsia" w:cs="宋体"/>
          <w:b/>
          <w:color w:val="auto"/>
          <w:sz w:val="24"/>
          <w:szCs w:val="24"/>
          <w:highlight w:val="none"/>
        </w:rPr>
        <w:t>十</w:t>
      </w:r>
      <w:r>
        <w:rPr>
          <w:rFonts w:hint="eastAsia" w:cs="宋体"/>
          <w:b/>
          <w:color w:val="auto"/>
          <w:sz w:val="24"/>
          <w:szCs w:val="24"/>
          <w:highlight w:val="none"/>
          <w:lang w:val="en-US" w:eastAsia="zh-CN"/>
        </w:rPr>
        <w:t>八</w:t>
      </w:r>
      <w:r>
        <w:rPr>
          <w:rFonts w:hint="eastAsia" w:cs="宋体"/>
          <w:b/>
          <w:color w:val="auto"/>
          <w:sz w:val="24"/>
          <w:szCs w:val="24"/>
          <w:highlight w:val="none"/>
        </w:rPr>
        <w:t>、解决争议的方法</w:t>
      </w:r>
    </w:p>
    <w:p>
      <w:pPr>
        <w:pStyle w:val="30"/>
        <w:snapToGrid w:val="0"/>
        <w:spacing w:before="120" w:after="120" w:line="360" w:lineRule="auto"/>
        <w:rPr>
          <w:rFonts w:hint="eastAsia" w:ascii="宋体" w:hAnsi="Courier New" w:eastAsia="宋体" w:cs="宋体"/>
          <w:color w:val="auto"/>
          <w:sz w:val="24"/>
          <w:highlight w:val="none"/>
        </w:rPr>
      </w:pPr>
      <w:r>
        <w:rPr>
          <w:rFonts w:hint="eastAsia" w:ascii="宋体" w:hAnsi="Courier New" w:eastAsia="宋体" w:cs="宋体"/>
          <w:color w:val="auto"/>
          <w:sz w:val="24"/>
          <w:highlight w:val="none"/>
          <w:lang w:val="en-US" w:eastAsia="zh-CN"/>
        </w:rPr>
        <w:t>18.</w:t>
      </w:r>
      <w:r>
        <w:rPr>
          <w:rFonts w:hint="eastAsia" w:ascii="宋体" w:hAnsi="Courier New" w:eastAsia="宋体" w:cs="宋体"/>
          <w:color w:val="auto"/>
          <w:sz w:val="24"/>
          <w:highlight w:val="none"/>
        </w:rPr>
        <w:t>1双方在执行合同中所发生的一切争议，应通过协商解决。如协商不成，可向合同签订地法院起诉，过程中守约方所支付的费用（包括但不限于律师费、差旅费、诉讼费、保全费、鉴定费、评估费等</w:t>
      </w:r>
      <w:r>
        <w:rPr>
          <w:rFonts w:hint="eastAsia" w:ascii="宋体" w:hAnsi="Courier New" w:eastAsia="宋体" w:cs="宋体"/>
          <w:color w:val="auto"/>
          <w:sz w:val="24"/>
          <w:highlight w:val="none"/>
          <w:lang w:eastAsia="zh-CN"/>
        </w:rPr>
        <w:t>）</w:t>
      </w:r>
      <w:r>
        <w:rPr>
          <w:rFonts w:hint="eastAsia" w:ascii="宋体" w:hAnsi="Courier New" w:eastAsia="宋体" w:cs="宋体"/>
          <w:color w:val="auto"/>
          <w:sz w:val="24"/>
          <w:highlight w:val="none"/>
        </w:rPr>
        <w:t>，由违约方赔偿。合同签订地在此约定为台州市</w:t>
      </w:r>
      <w:r>
        <w:rPr>
          <w:rFonts w:hint="eastAsia" w:cs="宋体"/>
          <w:color w:val="auto"/>
          <w:sz w:val="24"/>
          <w:highlight w:val="none"/>
          <w:lang w:val="en-US" w:eastAsia="zh-CN"/>
        </w:rPr>
        <w:t>椒江区</w:t>
      </w:r>
      <w:r>
        <w:rPr>
          <w:rFonts w:hint="eastAsia" w:ascii="宋体" w:hAnsi="Courier New" w:eastAsia="宋体" w:cs="宋体"/>
          <w:color w:val="auto"/>
          <w:sz w:val="24"/>
          <w:highlight w:val="none"/>
        </w:rPr>
        <w:t>。</w:t>
      </w:r>
    </w:p>
    <w:p>
      <w:pPr>
        <w:pStyle w:val="30"/>
        <w:tabs>
          <w:tab w:val="left" w:pos="5790"/>
        </w:tabs>
        <w:snapToGrid w:val="0"/>
        <w:spacing w:before="120" w:after="120" w:line="360" w:lineRule="auto"/>
        <w:rPr>
          <w:rFonts w:cs="宋体"/>
          <w:b/>
          <w:color w:val="auto"/>
          <w:sz w:val="24"/>
          <w:szCs w:val="24"/>
          <w:highlight w:val="none"/>
        </w:rPr>
      </w:pPr>
      <w:r>
        <w:rPr>
          <w:rFonts w:hint="eastAsia" w:cs="宋体"/>
          <w:b/>
          <w:color w:val="auto"/>
          <w:sz w:val="24"/>
          <w:szCs w:val="24"/>
          <w:highlight w:val="none"/>
        </w:rPr>
        <w:t>十</w:t>
      </w:r>
      <w:r>
        <w:rPr>
          <w:rFonts w:hint="eastAsia" w:cs="宋体"/>
          <w:b/>
          <w:color w:val="auto"/>
          <w:sz w:val="24"/>
          <w:szCs w:val="24"/>
          <w:highlight w:val="none"/>
          <w:lang w:val="en-US" w:eastAsia="zh-CN"/>
        </w:rPr>
        <w:t>九</w:t>
      </w:r>
      <w:r>
        <w:rPr>
          <w:rFonts w:hint="eastAsia" w:cs="宋体"/>
          <w:b/>
          <w:color w:val="auto"/>
          <w:sz w:val="24"/>
          <w:szCs w:val="24"/>
          <w:highlight w:val="none"/>
        </w:rPr>
        <w:t>、合同生效及其它</w:t>
      </w:r>
      <w:r>
        <w:rPr>
          <w:rFonts w:hint="eastAsia" w:cs="宋体"/>
          <w:b/>
          <w:color w:val="auto"/>
          <w:sz w:val="24"/>
          <w:szCs w:val="24"/>
          <w:highlight w:val="none"/>
        </w:rPr>
        <w:tab/>
      </w:r>
    </w:p>
    <w:p>
      <w:pPr>
        <w:pStyle w:val="30"/>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.1 合同经双方法定代表人或授权委托代理人签字并加盖单位公章后生效。</w:t>
      </w:r>
    </w:p>
    <w:p>
      <w:pPr>
        <w:pStyle w:val="30"/>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.2合同执行中涉及采购资金和采购内容修改或补充的，须经部门审批，并签书面补充协议报监督管理部门备案，方可作为主合同不可分割的一部分。</w:t>
      </w:r>
    </w:p>
    <w:p>
      <w:pPr>
        <w:pStyle w:val="30"/>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.3本合同未尽事宜，遵照《</w:t>
      </w:r>
      <w:r>
        <w:rPr>
          <w:rFonts w:hint="eastAsia" w:hAnsi="宋体"/>
          <w:color w:val="auto"/>
          <w:highlight w:val="none"/>
          <w:lang w:val="en-US" w:eastAsia="zh-CN"/>
        </w:rPr>
        <w:t>民法典</w:t>
      </w:r>
      <w:r>
        <w:rPr>
          <w:rFonts w:hAnsi="宋体"/>
          <w:color w:val="auto"/>
          <w:highlight w:val="none"/>
        </w:rPr>
        <w:t>》有关条文执行。</w:t>
      </w:r>
    </w:p>
    <w:p>
      <w:pPr>
        <w:pStyle w:val="30"/>
        <w:snapToGrid w:val="0"/>
        <w:spacing w:before="120" w:beforeLines="0" w:after="120" w:afterLines="0" w:line="360" w:lineRule="auto"/>
        <w:rPr>
          <w:rFonts w:hAnsi="宋体"/>
          <w:color w:val="auto"/>
          <w:highlight w:val="none"/>
        </w:rPr>
      </w:pPr>
      <w:r>
        <w:rPr>
          <w:rFonts w:hint="eastAsia" w:hAnsi="宋体"/>
          <w:color w:val="auto"/>
          <w:highlight w:val="none"/>
          <w:lang w:val="en-US" w:eastAsia="zh-CN"/>
        </w:rPr>
        <w:t>19</w:t>
      </w:r>
      <w:r>
        <w:rPr>
          <w:rFonts w:hAnsi="宋体"/>
          <w:color w:val="auto"/>
          <w:highlight w:val="none"/>
        </w:rPr>
        <w:t>.4 本合同正本一式</w:t>
      </w:r>
      <w:r>
        <w:rPr>
          <w:rFonts w:hint="eastAsia" w:hAnsi="宋体"/>
          <w:color w:val="auto"/>
          <w:highlight w:val="none"/>
          <w:u w:val="single"/>
          <w:lang w:val="en-US" w:eastAsia="zh-CN"/>
        </w:rPr>
        <w:t>陆</w:t>
      </w:r>
      <w:r>
        <w:rPr>
          <w:rFonts w:hAnsi="宋体"/>
          <w:color w:val="auto"/>
          <w:highlight w:val="none"/>
        </w:rPr>
        <w:t>份，具有同等法律效力，甲</w:t>
      </w:r>
      <w:r>
        <w:rPr>
          <w:rFonts w:hint="eastAsia" w:hAnsi="宋体"/>
          <w:color w:val="auto"/>
          <w:highlight w:val="none"/>
        </w:rPr>
        <w:t>方</w:t>
      </w:r>
      <w:r>
        <w:rPr>
          <w:rFonts w:hint="eastAsia" w:hAnsi="宋体"/>
          <w:color w:val="auto"/>
          <w:highlight w:val="none"/>
          <w:u w:val="single"/>
          <w:lang w:val="en-US" w:eastAsia="zh-CN"/>
        </w:rPr>
        <w:t>叁</w:t>
      </w:r>
      <w:r>
        <w:rPr>
          <w:rFonts w:hAnsi="宋体"/>
          <w:color w:val="auto"/>
          <w:highlight w:val="none"/>
        </w:rPr>
        <w:t>份</w:t>
      </w:r>
      <w:r>
        <w:rPr>
          <w:rFonts w:hint="eastAsia" w:hAnsi="宋体"/>
          <w:color w:val="auto"/>
          <w:highlight w:val="none"/>
        </w:rPr>
        <w:t>，乙方</w:t>
      </w:r>
      <w:r>
        <w:rPr>
          <w:rFonts w:hint="eastAsia" w:hAnsi="宋体"/>
          <w:color w:val="auto"/>
          <w:highlight w:val="none"/>
          <w:u w:val="single"/>
          <w:lang w:val="en-US" w:eastAsia="zh-CN"/>
        </w:rPr>
        <w:t>叁</w:t>
      </w:r>
      <w:r>
        <w:rPr>
          <w:rFonts w:hint="eastAsia" w:hAnsi="宋体"/>
          <w:color w:val="auto"/>
          <w:highlight w:val="none"/>
        </w:rPr>
        <w:t>份</w:t>
      </w:r>
      <w:r>
        <w:rPr>
          <w:rFonts w:hAnsi="宋体"/>
          <w:color w:val="auto"/>
          <w:highlight w:val="none"/>
        </w:rPr>
        <w:t>。</w:t>
      </w:r>
    </w:p>
    <w:p>
      <w:pPr>
        <w:spacing w:line="360" w:lineRule="auto"/>
        <w:rPr>
          <w:rFonts w:ascii="宋体" w:cs="宋体"/>
          <w:color w:val="auto"/>
          <w:sz w:val="24"/>
          <w:szCs w:val="24"/>
          <w:highlight w:val="none"/>
        </w:rPr>
      </w:pPr>
      <w:r>
        <w:rPr>
          <w:rFonts w:hint="eastAsia" w:ascii="宋体" w:cs="宋体"/>
          <w:color w:val="auto"/>
          <w:sz w:val="24"/>
          <w:szCs w:val="24"/>
          <w:highlight w:val="none"/>
        </w:rPr>
        <w:t>甲方：</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乙方：</w:t>
      </w:r>
    </w:p>
    <w:p>
      <w:pPr>
        <w:spacing w:line="360" w:lineRule="auto"/>
        <w:rPr>
          <w:rFonts w:ascii="宋体" w:cs="宋体"/>
          <w:color w:val="auto"/>
          <w:sz w:val="24"/>
          <w:szCs w:val="24"/>
          <w:highlight w:val="none"/>
        </w:rPr>
      </w:pPr>
      <w:r>
        <w:rPr>
          <w:rFonts w:hint="eastAsia" w:ascii="宋体" w:cs="宋体"/>
          <w:color w:val="auto"/>
          <w:sz w:val="24"/>
          <w:szCs w:val="24"/>
          <w:highlight w:val="none"/>
        </w:rPr>
        <w:t>地址：</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地址：</w:t>
      </w:r>
    </w:p>
    <w:p>
      <w:pPr>
        <w:spacing w:line="360" w:lineRule="auto"/>
        <w:rPr>
          <w:rFonts w:ascii="宋体" w:cs="宋体"/>
          <w:color w:val="auto"/>
          <w:sz w:val="24"/>
          <w:szCs w:val="24"/>
          <w:highlight w:val="none"/>
        </w:rPr>
      </w:pPr>
      <w:r>
        <w:rPr>
          <w:rFonts w:hint="eastAsia" w:ascii="宋体" w:cs="宋体"/>
          <w:color w:val="auto"/>
          <w:sz w:val="24"/>
          <w:szCs w:val="24"/>
          <w:highlight w:val="none"/>
        </w:rPr>
        <w:t>法定代表人（或授权代表）：</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法定代表人（或授权代表)）：</w:t>
      </w:r>
    </w:p>
    <w:p>
      <w:pPr>
        <w:spacing w:line="360" w:lineRule="auto"/>
        <w:rPr>
          <w:rFonts w:ascii="宋体" w:cs="宋体"/>
          <w:color w:val="auto"/>
          <w:sz w:val="24"/>
          <w:szCs w:val="24"/>
          <w:highlight w:val="none"/>
        </w:rPr>
      </w:pPr>
      <w:r>
        <w:rPr>
          <w:rFonts w:hint="eastAsia" w:ascii="宋体" w:cs="宋体"/>
          <w:color w:val="auto"/>
          <w:sz w:val="24"/>
          <w:szCs w:val="24"/>
          <w:highlight w:val="none"/>
        </w:rPr>
        <w:t>联系方式：</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联系方式：</w:t>
      </w:r>
    </w:p>
    <w:p>
      <w:pPr>
        <w:spacing w:line="360" w:lineRule="auto"/>
        <w:rPr>
          <w:rFonts w:ascii="宋体" w:cs="宋体"/>
          <w:color w:val="auto"/>
          <w:sz w:val="24"/>
          <w:szCs w:val="24"/>
          <w:highlight w:val="none"/>
        </w:rPr>
      </w:pPr>
      <w:r>
        <w:rPr>
          <w:rFonts w:hint="eastAsia" w:ascii="宋体" w:cs="宋体"/>
          <w:color w:val="auto"/>
          <w:sz w:val="24"/>
          <w:szCs w:val="24"/>
          <w:highlight w:val="none"/>
        </w:rPr>
        <w:t>开户行：</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开户行：</w:t>
      </w:r>
    </w:p>
    <w:p>
      <w:pPr>
        <w:spacing w:line="360" w:lineRule="auto"/>
        <w:rPr>
          <w:rFonts w:hint="eastAsia" w:ascii="宋体" w:eastAsia="宋体" w:cs="宋体"/>
          <w:color w:val="auto"/>
          <w:sz w:val="24"/>
          <w:szCs w:val="24"/>
          <w:highlight w:val="none"/>
          <w:lang w:eastAsia="zh-CN"/>
        </w:rPr>
      </w:pPr>
      <w:r>
        <w:rPr>
          <w:rFonts w:hint="eastAsia" w:ascii="宋体" w:cs="宋体"/>
          <w:color w:val="auto"/>
          <w:sz w:val="24"/>
          <w:szCs w:val="24"/>
          <w:highlight w:val="none"/>
        </w:rPr>
        <w:t>账号：</w:t>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ab/>
      </w:r>
      <w:r>
        <w:rPr>
          <w:rFonts w:hint="eastAsia" w:ascii="宋体" w:cs="宋体"/>
          <w:color w:val="auto"/>
          <w:sz w:val="24"/>
          <w:szCs w:val="24"/>
          <w:highlight w:val="none"/>
        </w:rPr>
        <w:t xml:space="preserve">                     账号：</w:t>
      </w:r>
    </w:p>
    <w:p>
      <w:pPr>
        <w:spacing w:line="360" w:lineRule="auto"/>
        <w:rPr>
          <w:rFonts w:ascii="宋体" w:cs="宋体"/>
          <w:color w:val="auto"/>
          <w:sz w:val="24"/>
          <w:szCs w:val="24"/>
          <w:highlight w:val="none"/>
        </w:rPr>
      </w:pPr>
      <w:r>
        <w:rPr>
          <w:rFonts w:hint="eastAsia" w:ascii="宋体" w:cs="宋体"/>
          <w:color w:val="auto"/>
          <w:sz w:val="24"/>
          <w:szCs w:val="24"/>
          <w:highlight w:val="none"/>
        </w:rPr>
        <w:t xml:space="preserve">签字日期：   </w:t>
      </w:r>
      <w:r>
        <w:rPr>
          <w:rFonts w:hint="eastAsia" w:ascii="宋体" w:cs="宋体"/>
          <w:color w:val="auto"/>
          <w:sz w:val="24"/>
          <w:szCs w:val="24"/>
          <w:highlight w:val="none"/>
        </w:rPr>
        <w:tab/>
      </w:r>
      <w:r>
        <w:rPr>
          <w:rFonts w:hint="eastAsia" w:ascii="宋体" w:cs="宋体"/>
          <w:color w:val="auto"/>
          <w:sz w:val="24"/>
          <w:szCs w:val="24"/>
          <w:highlight w:val="none"/>
        </w:rPr>
        <w:t>年</w:t>
      </w:r>
      <w:r>
        <w:rPr>
          <w:rFonts w:hint="eastAsia" w:ascii="宋体" w:cs="宋体"/>
          <w:color w:val="auto"/>
          <w:sz w:val="24"/>
          <w:szCs w:val="24"/>
          <w:highlight w:val="none"/>
        </w:rPr>
        <w:tab/>
      </w:r>
      <w:r>
        <w:rPr>
          <w:rFonts w:hint="eastAsia" w:ascii="宋体" w:cs="宋体"/>
          <w:color w:val="auto"/>
          <w:sz w:val="24"/>
          <w:szCs w:val="24"/>
          <w:highlight w:val="none"/>
        </w:rPr>
        <w:t xml:space="preserve">  月  </w:t>
      </w:r>
      <w:r>
        <w:rPr>
          <w:rFonts w:hint="eastAsia" w:ascii="宋体" w:cs="宋体"/>
          <w:color w:val="auto"/>
          <w:sz w:val="24"/>
          <w:szCs w:val="24"/>
          <w:highlight w:val="none"/>
        </w:rPr>
        <w:tab/>
      </w:r>
      <w:r>
        <w:rPr>
          <w:rFonts w:hint="eastAsia" w:ascii="宋体" w:cs="宋体"/>
          <w:color w:val="auto"/>
          <w:sz w:val="24"/>
          <w:szCs w:val="24"/>
          <w:highlight w:val="none"/>
        </w:rPr>
        <w:t>日</w:t>
      </w:r>
      <w:r>
        <w:rPr>
          <w:rFonts w:hint="eastAsia" w:ascii="宋体" w:cs="宋体"/>
          <w:color w:val="auto"/>
          <w:sz w:val="24"/>
          <w:szCs w:val="24"/>
          <w:highlight w:val="none"/>
        </w:rPr>
        <w:tab/>
      </w:r>
    </w:p>
    <w:p>
      <w:pPr>
        <w:adjustRightInd w:val="0"/>
        <w:spacing w:line="360" w:lineRule="exact"/>
        <w:ind w:firstLine="600" w:firstLineChars="200"/>
        <w:jc w:val="center"/>
        <w:rPr>
          <w:rFonts w:hint="eastAsia" w:ascii="黑体" w:hAnsi="黑体" w:eastAsia="黑体"/>
          <w:color w:val="auto"/>
          <w:sz w:val="30"/>
          <w:szCs w:val="30"/>
          <w:highlight w:val="none"/>
        </w:rPr>
      </w:pPr>
    </w:p>
    <w:p>
      <w:pPr>
        <w:pStyle w:val="3"/>
        <w:rPr>
          <w:rFonts w:hint="eastAsia" w:ascii="黑体" w:hAnsi="黑体" w:eastAsia="黑体"/>
          <w:color w:val="auto"/>
          <w:sz w:val="30"/>
          <w:szCs w:val="30"/>
          <w:highlight w:val="none"/>
        </w:rPr>
      </w:pPr>
    </w:p>
    <w:p>
      <w:pPr>
        <w:pStyle w:val="2"/>
        <w:rPr>
          <w:rFonts w:hint="eastAsia" w:ascii="黑体" w:hAnsi="黑体" w:eastAsia="黑体"/>
          <w:color w:val="auto"/>
          <w:sz w:val="30"/>
          <w:szCs w:val="30"/>
          <w:highlight w:val="none"/>
        </w:rPr>
      </w:pPr>
    </w:p>
    <w:p>
      <w:pPr>
        <w:pStyle w:val="41"/>
        <w:rPr>
          <w:rFonts w:hint="eastAsia" w:ascii="黑体" w:hAnsi="黑体" w:eastAsia="黑体"/>
          <w:color w:val="auto"/>
          <w:sz w:val="30"/>
          <w:szCs w:val="30"/>
          <w:highlight w:val="none"/>
        </w:rPr>
      </w:pPr>
    </w:p>
    <w:p>
      <w:pPr>
        <w:pStyle w:val="2"/>
        <w:ind w:left="0" w:leftChars="0" w:firstLine="0" w:firstLineChars="0"/>
        <w:rPr>
          <w:rFonts w:hint="eastAsia" w:ascii="黑体" w:hAnsi="黑体" w:eastAsia="黑体"/>
          <w:color w:val="auto"/>
          <w:sz w:val="30"/>
          <w:szCs w:val="30"/>
          <w:highlight w:val="none"/>
        </w:rPr>
      </w:pPr>
    </w:p>
    <w:p>
      <w:pPr>
        <w:rPr>
          <w:rFonts w:hint="eastAsia" w:ascii="黑体" w:hAnsi="黑体" w:eastAsia="黑体"/>
          <w:color w:val="auto"/>
          <w:sz w:val="30"/>
          <w:szCs w:val="30"/>
          <w:highlight w:val="none"/>
        </w:rPr>
      </w:pPr>
    </w:p>
    <w:p>
      <w:pPr>
        <w:adjustRightInd w:val="0"/>
        <w:spacing w:line="360" w:lineRule="exact"/>
        <w:ind w:firstLine="0" w:firstLineChars="0"/>
        <w:jc w:val="both"/>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both"/>
        <w:rPr>
          <w:rFonts w:hint="eastAsia" w:ascii="黑体" w:hAnsi="黑体" w:eastAsia="黑体"/>
          <w:color w:val="auto"/>
          <w:sz w:val="30"/>
          <w:szCs w:val="30"/>
          <w:highlight w:val="none"/>
        </w:rPr>
      </w:pPr>
    </w:p>
    <w:p>
      <w:pPr>
        <w:pStyle w:val="5"/>
        <w:rPr>
          <w:rFonts w:hint="eastAsia" w:ascii="黑体" w:hAnsi="黑体" w:eastAsia="黑体"/>
          <w:color w:val="auto"/>
          <w:sz w:val="30"/>
          <w:szCs w:val="30"/>
          <w:highlight w:val="none"/>
        </w:rPr>
      </w:pPr>
    </w:p>
    <w:p>
      <w:pPr>
        <w:adjustRightInd w:val="0"/>
        <w:spacing w:line="360" w:lineRule="exact"/>
        <w:ind w:firstLine="0" w:firstLineChars="0"/>
        <w:jc w:val="both"/>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hint="eastAsia" w:ascii="黑体" w:hAnsi="黑体" w:eastAsia="黑体"/>
          <w:color w:val="auto"/>
          <w:sz w:val="30"/>
          <w:szCs w:val="30"/>
          <w:highlight w:val="none"/>
        </w:rPr>
      </w:pPr>
    </w:p>
    <w:p>
      <w:pPr>
        <w:adjustRightInd w:val="0"/>
        <w:spacing w:line="360" w:lineRule="exact"/>
        <w:ind w:firstLine="0" w:firstLineChars="0"/>
        <w:jc w:val="center"/>
        <w:rPr>
          <w:rFonts w:ascii="黑体" w:hAnsi="黑体" w:eastAsia="黑体"/>
          <w:color w:val="auto"/>
          <w:szCs w:val="28"/>
          <w:highlight w:val="none"/>
        </w:rPr>
      </w:pPr>
      <w:r>
        <w:rPr>
          <w:rFonts w:hint="eastAsia" w:ascii="黑体" w:hAnsi="黑体" w:eastAsia="黑体"/>
          <w:color w:val="auto"/>
          <w:sz w:val="30"/>
          <w:szCs w:val="30"/>
          <w:highlight w:val="none"/>
        </w:rPr>
        <w:t>项目廉政责任书</w:t>
      </w:r>
    </w:p>
    <w:p>
      <w:pPr>
        <w:autoSpaceDE w:val="0"/>
        <w:autoSpaceDN w:val="0"/>
        <w:spacing w:line="360" w:lineRule="exact"/>
        <w:ind w:firstLine="482"/>
        <w:rPr>
          <w:color w:val="auto"/>
          <w:sz w:val="21"/>
          <w:szCs w:val="21"/>
          <w:highlight w:val="none"/>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项目名称：</w:t>
      </w:r>
      <w:r>
        <w:rPr>
          <w:rFonts w:hint="eastAsia" w:ascii="宋体" w:hAnsi="Courier New" w:cs="宋体"/>
          <w:color w:val="auto"/>
          <w:kern w:val="2"/>
          <w:sz w:val="24"/>
          <w:szCs w:val="24"/>
          <w:highlight w:val="none"/>
          <w:lang w:val="en-US" w:eastAsia="zh-CN" w:bidi="ar-SA"/>
        </w:rPr>
        <w:t>太和路（沿山道路-腾云路）、椒江医化产业园区基础设施提升工程（腾云路半幅道路工程）路灯采购工程</w:t>
      </w:r>
      <w:r>
        <w:rPr>
          <w:rFonts w:hint="eastAsia" w:ascii="宋体" w:hAnsi="Courier New" w:eastAsia="宋体" w:cs="宋体"/>
          <w:color w:val="auto"/>
          <w:kern w:val="2"/>
          <w:sz w:val="24"/>
          <w:szCs w:val="24"/>
          <w:highlight w:val="none"/>
          <w:lang w:val="en-US" w:eastAsia="zh-CN" w:bidi="ar-SA"/>
        </w:rPr>
        <w:t xml:space="preserve">  </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xml:space="preserve">招标人（甲方）：  </w:t>
      </w:r>
      <w:r>
        <w:rPr>
          <w:rFonts w:hint="eastAsia" w:ascii="宋体" w:hAnsi="Courier New" w:cs="宋体"/>
          <w:color w:val="auto"/>
          <w:kern w:val="2"/>
          <w:sz w:val="24"/>
          <w:szCs w:val="24"/>
          <w:highlight w:val="none"/>
          <w:lang w:val="en-US" w:eastAsia="zh-CN" w:bidi="ar-SA"/>
        </w:rPr>
        <w:t>台州市椒江新城基础设施建设有限公司</w:t>
      </w:r>
      <w:r>
        <w:rPr>
          <w:rFonts w:hint="eastAsia" w:ascii="宋体" w:hAnsi="Courier New" w:eastAsia="宋体" w:cs="宋体"/>
          <w:color w:val="auto"/>
          <w:kern w:val="2"/>
          <w:sz w:val="24"/>
          <w:szCs w:val="24"/>
          <w:highlight w:val="none"/>
          <w:lang w:val="en-US" w:eastAsia="zh-CN" w:bidi="ar-SA"/>
        </w:rPr>
        <w:t xml:space="preserve">       </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中标人（乙方）：                                                         。</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第一条 甲乙双方的责任</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（一）应严格遵守国家关于市场准入、项目招标投标和市场活动等有关法律、法规，相关政策，以及廉政建设的各项规定。</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（二）严格执行项目双方合同文件，自觉按合同办事。</w:t>
      </w:r>
    </w:p>
    <w:p>
      <w:pPr>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（四）发现对方在业务活动中有违规、违纪、违法行为的，应及时提醒对方，情节严重的，应向其上级主管部门或纪检监察、司法等有关机关举报。</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第二条 甲方的责任</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甲方的领导和从事该项目的工作人员，在项目的事前、事中、事后应遵守以下规定：</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（一）不准向乙方和相关单位索要或接受回扣、礼金、有价证券、贵重物品和好处费、感谢费等。</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（二）不准在乙方和相关单位报销任何应由甲方或个人支付的费用。</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（三）不准要求、暗示和接受乙方和相关单位为个人装修住房、婚丧嫁娶、配偶子女的工作安排以及出国（境）、旅游等提供方便。</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（四）不准参加有可能影响公正执行公务的乙方和相关单位的宴请和健身、娱乐等活动。</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第三条 乙方的责任</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应与甲方保持正常的业务交往，按照有关法律法规和程序开展业务工作，严格执行项目的有关方针、政策，并遵守以下规定：</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（一）不准以任何理由向甲方、相关单位及其工作人员索要、接受或赠送礼金、有价证券、贵重物品和回扣、好处费、感谢费等。</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（二）不准以任何理由为甲方和相关单位报销应由对方或个人支付的费用。</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（三）不准接受或暗示为甲方、相关单位或个人装修住房、婚丧嫁娶、配偶子女的工作安排以及出国（境）、旅游等提供方便。</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（四）不准以任何理由为甲方、相关单位或个人组织有可能影响公正执行公务的宴请、健身、娱乐等活动。</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第四条 违约责任</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第五条 本责任书作为项目合同的附件，与项目合同具有同等法律效力。经双方签署后立即生效。</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第六条 本责任书的有效期为双方签署之日起至该项目完工验收合格时止。</w:t>
      </w:r>
    </w:p>
    <w:p>
      <w:pPr>
        <w:autoSpaceDE w:val="0"/>
        <w:autoSpaceDN w:val="0"/>
        <w:spacing w:line="360" w:lineRule="auto"/>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　　第七条 本责任书一式肆份，由甲乙双方各执贰份。</w:t>
      </w:r>
    </w:p>
    <w:p>
      <w:pPr>
        <w:pStyle w:val="2"/>
        <w:rPr>
          <w:rFonts w:hint="eastAsia" w:ascii="宋体" w:hAnsi="Courier New" w:eastAsia="宋体" w:cs="宋体"/>
          <w:color w:val="auto"/>
          <w:kern w:val="2"/>
          <w:sz w:val="24"/>
          <w:szCs w:val="24"/>
          <w:highlight w:val="none"/>
          <w:lang w:val="en-US" w:eastAsia="zh-CN" w:bidi="ar-SA"/>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甲方单位：（盖章）　　　　　　　　                　　　乙方单位：（盖章）</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法定代表人：　　　　　　　　　               　　　　　法定代表人：</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地址：　　　　　　　　　　　　　               　　　　地址：</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电话：　　　　　　　　　　　　　　　                　　电话：</w:t>
      </w:r>
    </w:p>
    <w:p>
      <w:pPr>
        <w:autoSpaceDE w:val="0"/>
        <w:autoSpaceDN w:val="0"/>
        <w:spacing w:line="360" w:lineRule="auto"/>
        <w:ind w:firstLine="482"/>
        <w:rPr>
          <w:rFonts w:hint="eastAsia" w:ascii="宋体" w:hAnsi="Courier New" w:eastAsia="宋体" w:cs="宋体"/>
          <w:color w:val="auto"/>
          <w:kern w:val="2"/>
          <w:sz w:val="24"/>
          <w:szCs w:val="24"/>
          <w:highlight w:val="none"/>
          <w:lang w:val="en-US" w:eastAsia="zh-CN" w:bidi="ar-SA"/>
        </w:rPr>
      </w:pPr>
      <w:r>
        <w:rPr>
          <w:rFonts w:hint="eastAsia" w:ascii="宋体" w:hAnsi="Courier New" w:eastAsia="宋体" w:cs="宋体"/>
          <w:color w:val="auto"/>
          <w:kern w:val="2"/>
          <w:sz w:val="24"/>
          <w:szCs w:val="24"/>
          <w:highlight w:val="none"/>
          <w:lang w:val="en-US" w:eastAsia="zh-CN" w:bidi="ar-SA"/>
        </w:rPr>
        <w:t>年　月　日　　　　　　　　　　　　　               　　年　月　日</w:t>
      </w:r>
    </w:p>
    <w:p>
      <w:pPr>
        <w:pStyle w:val="30"/>
        <w:spacing w:before="120" w:after="120"/>
        <w:rPr>
          <w:rFonts w:hint="eastAsia" w:ascii="宋体" w:hAnsi="Courier New" w:eastAsia="宋体" w:cs="宋体"/>
          <w:color w:val="auto"/>
          <w:kern w:val="2"/>
          <w:sz w:val="24"/>
          <w:szCs w:val="24"/>
          <w:highlight w:val="none"/>
          <w:lang w:val="en-US" w:eastAsia="zh-CN" w:bidi="ar-SA"/>
        </w:rPr>
        <w:sectPr>
          <w:pgSz w:w="11900" w:h="16840"/>
          <w:pgMar w:top="1440" w:right="1418" w:bottom="1440" w:left="1418" w:header="851" w:footer="680" w:gutter="0"/>
          <w:pgNumType w:fmt="decimal"/>
          <w:cols w:space="720" w:num="1"/>
          <w:docGrid w:linePitch="312" w:charSpace="0"/>
        </w:sectPr>
      </w:pPr>
    </w:p>
    <w:p>
      <w:pPr>
        <w:pStyle w:val="30"/>
        <w:tabs>
          <w:tab w:val="left" w:pos="2472"/>
        </w:tabs>
        <w:snapToGrid w:val="0"/>
        <w:spacing w:line="240" w:lineRule="auto"/>
        <w:ind w:left="357" w:firstLine="826" w:firstLineChars="257"/>
        <w:jc w:val="center"/>
        <w:rPr>
          <w:rFonts w:hAnsi="宋体"/>
          <w:b/>
          <w:color w:val="auto"/>
          <w:sz w:val="32"/>
          <w:szCs w:val="32"/>
          <w:highlight w:val="none"/>
        </w:rPr>
      </w:pPr>
      <w:r>
        <w:rPr>
          <w:b/>
          <w:color w:val="auto"/>
          <w:sz w:val="32"/>
          <w:szCs w:val="32"/>
          <w:highlight w:val="none"/>
        </w:rPr>
        <w:t>第六章　</w:t>
      </w:r>
      <w:r>
        <w:rPr>
          <w:rFonts w:hint="eastAsia"/>
          <w:b/>
          <w:color w:val="auto"/>
          <w:sz w:val="32"/>
          <w:szCs w:val="32"/>
          <w:highlight w:val="none"/>
          <w:lang w:eastAsia="zh-CN"/>
        </w:rPr>
        <w:t>投标文件</w:t>
      </w:r>
      <w:r>
        <w:rPr>
          <w:b/>
          <w:color w:val="auto"/>
          <w:sz w:val="32"/>
          <w:szCs w:val="32"/>
          <w:highlight w:val="none"/>
        </w:rPr>
        <w:t>格式</w:t>
      </w:r>
    </w:p>
    <w:p>
      <w:pPr>
        <w:snapToGrid w:val="0"/>
        <w:spacing w:before="50" w:after="156" w:afterLines="50"/>
        <w:jc w:val="left"/>
        <w:rPr>
          <w:rFonts w:ascii="宋体" w:hAnsi="宋体" w:eastAsia="仿宋_GB2312"/>
          <w:b/>
          <w:bCs/>
          <w:color w:val="auto"/>
          <w:sz w:val="24"/>
          <w:szCs w:val="20"/>
          <w:highlight w:val="none"/>
        </w:rPr>
      </w:pPr>
      <w:r>
        <w:rPr>
          <w:rFonts w:hint="eastAsia" w:ascii="宋体" w:hAnsi="宋体"/>
          <w:b/>
          <w:bCs/>
          <w:color w:val="auto"/>
          <w:sz w:val="24"/>
          <w:highlight w:val="none"/>
        </w:rPr>
        <w:t>1、</w:t>
      </w:r>
      <w:r>
        <w:rPr>
          <w:rFonts w:hint="eastAsia" w:ascii="宋体" w:hAnsi="宋体" w:eastAsia="宋体" w:cs="宋体"/>
          <w:b/>
          <w:color w:val="auto"/>
          <w:sz w:val="24"/>
          <w:szCs w:val="24"/>
          <w:highlight w:val="none"/>
          <w:lang w:eastAsia="zh-CN"/>
        </w:rPr>
        <w:t>法定代表人身份证或授权委托书</w:t>
      </w:r>
    </w:p>
    <w:p>
      <w:pPr>
        <w:widowControl/>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pPr>
        <w:adjustRightInd w:val="0"/>
        <w:snapToGrid w:val="0"/>
        <w:spacing w:before="120" w:beforeLines="50" w:line="360" w:lineRule="auto"/>
        <w:jc w:val="center"/>
        <w:rPr>
          <w:rFonts w:hint="eastAsia"/>
          <w:color w:val="auto"/>
          <w:sz w:val="28"/>
          <w:highlight w:val="none"/>
        </w:rPr>
      </w:pPr>
      <w:r>
        <w:rPr>
          <w:rFonts w:hint="eastAsia"/>
          <w:color w:val="auto"/>
          <w:sz w:val="28"/>
          <w:highlight w:val="none"/>
        </w:rPr>
        <w:t>（参考样张）</w:t>
      </w:r>
    </w:p>
    <w:p>
      <w:pPr>
        <w:widowControl/>
        <w:spacing w:line="360" w:lineRule="auto"/>
        <w:jc w:val="center"/>
        <w:rPr>
          <w:rFonts w:hint="eastAsia" w:ascii="方正小标宋简体" w:hAnsi="方正小标宋简体"/>
          <w:color w:val="auto"/>
          <w:sz w:val="44"/>
          <w:szCs w:val="44"/>
          <w:highlight w:val="none"/>
        </w:rPr>
      </w:pPr>
    </w:p>
    <w:p>
      <w:pPr>
        <w:autoSpaceDE w:val="0"/>
        <w:autoSpaceDN w:val="0"/>
        <w:adjustRightInd w:val="0"/>
        <w:snapToGrid w:val="0"/>
        <w:spacing w:line="360" w:lineRule="auto"/>
        <w:ind w:firstLine="560" w:firstLineChars="200"/>
        <w:textAlignment w:val="baseline"/>
        <w:rPr>
          <w:rFonts w:ascii="宋体" w:hAnsi="宋体"/>
          <w:color w:val="auto"/>
          <w:kern w:val="0"/>
          <w:sz w:val="28"/>
          <w:szCs w:val="28"/>
          <w:highlight w:val="none"/>
          <w:u w:val="single"/>
        </w:rPr>
      </w:pPr>
      <w:r>
        <w:rPr>
          <w:rFonts w:hint="eastAsia" w:ascii="宋体" w:hAnsi="宋体"/>
          <w:color w:val="auto"/>
          <w:kern w:val="0"/>
          <w:sz w:val="28"/>
          <w:szCs w:val="28"/>
          <w:highlight w:val="none"/>
        </w:rPr>
        <w:t>投标人名称：</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单位性质：</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地址：</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成立时间：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月</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日</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经营期限：</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姓名：</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性别：</w:t>
      </w:r>
      <w:r>
        <w:rPr>
          <w:rFonts w:hint="eastAsia" w:ascii="宋体" w:hAnsi="宋体"/>
          <w:color w:val="auto"/>
          <w:kern w:val="0"/>
          <w:sz w:val="28"/>
          <w:szCs w:val="28"/>
          <w:highlight w:val="none"/>
          <w:u w:val="single"/>
        </w:rPr>
        <w:t xml:space="preserve">       </w:t>
      </w:r>
      <w:r>
        <w:rPr>
          <w:rFonts w:hint="eastAsia" w:ascii="宋体" w:hAnsi="宋体"/>
          <w:color w:val="auto"/>
          <w:kern w:val="0"/>
          <w:sz w:val="28"/>
          <w:szCs w:val="28"/>
          <w:highlight w:val="none"/>
        </w:rPr>
        <w:t>年龄：</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身份证号码：</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联系电话：</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r>
        <w:rPr>
          <w:rFonts w:hint="eastAsia" w:ascii="宋体" w:hAnsi="宋体"/>
          <w:color w:val="auto"/>
          <w:kern w:val="0"/>
          <w:sz w:val="28"/>
          <w:szCs w:val="28"/>
          <w:highlight w:val="none"/>
        </w:rPr>
        <w:t>职务：</w:t>
      </w:r>
      <w:r>
        <w:rPr>
          <w:rFonts w:hint="eastAsia" w:ascii="宋体" w:hAnsi="宋体"/>
          <w:color w:val="auto"/>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u w:val="single"/>
        </w:rPr>
      </w:pP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系</w:t>
      </w:r>
      <w:r>
        <w:rPr>
          <w:rFonts w:hint="eastAsia" w:ascii="宋体" w:hAnsi="宋体"/>
          <w:color w:val="auto"/>
          <w:kern w:val="0"/>
          <w:sz w:val="28"/>
          <w:szCs w:val="28"/>
          <w:highlight w:val="none"/>
          <w:u w:val="single"/>
        </w:rPr>
        <w:t xml:space="preserve">       （投标人名称）</w:t>
      </w:r>
      <w:r>
        <w:rPr>
          <w:rFonts w:hint="eastAsia" w:ascii="宋体" w:hAnsi="宋体"/>
          <w:color w:val="auto"/>
          <w:kern w:val="0"/>
          <w:sz w:val="28"/>
          <w:szCs w:val="28"/>
          <w:highlight w:val="none"/>
        </w:rPr>
        <w:t>的法定代表人。</w:t>
      </w:r>
    </w:p>
    <w:p>
      <w:pPr>
        <w:autoSpaceDE w:val="0"/>
        <w:autoSpaceDN w:val="0"/>
        <w:adjustRightInd w:val="0"/>
        <w:snapToGrid w:val="0"/>
        <w:spacing w:line="360" w:lineRule="auto"/>
        <w:ind w:firstLine="560" w:firstLineChars="200"/>
        <w:textAlignment w:val="baseline"/>
        <w:rPr>
          <w:rFonts w:hint="eastAsia" w:ascii="宋体" w:hAnsi="宋体"/>
          <w:color w:val="auto"/>
          <w:kern w:val="0"/>
          <w:sz w:val="28"/>
          <w:szCs w:val="28"/>
          <w:highlight w:val="none"/>
        </w:rPr>
      </w:pPr>
    </w:p>
    <w:p>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特此证明。</w:t>
      </w:r>
    </w:p>
    <w:p>
      <w:pPr>
        <w:autoSpaceDE w:val="0"/>
        <w:autoSpaceDN w:val="0"/>
        <w:adjustRightInd w:val="0"/>
        <w:snapToGrid w:val="0"/>
        <w:spacing w:line="360" w:lineRule="auto"/>
        <w:ind w:firstLine="1120" w:firstLineChars="400"/>
        <w:textAlignment w:val="baseline"/>
        <w:rPr>
          <w:rFonts w:hint="eastAsia" w:ascii="宋体" w:hAnsi="宋体"/>
          <w:color w:val="auto"/>
          <w:kern w:val="0"/>
          <w:sz w:val="28"/>
          <w:szCs w:val="28"/>
          <w:highlight w:val="none"/>
        </w:rPr>
      </w:pPr>
    </w:p>
    <w:p>
      <w:pPr>
        <w:autoSpaceDE w:val="0"/>
        <w:autoSpaceDN w:val="0"/>
        <w:adjustRightInd w:val="0"/>
        <w:snapToGrid w:val="0"/>
        <w:spacing w:line="360" w:lineRule="auto"/>
        <w:textAlignment w:val="baseline"/>
        <w:rPr>
          <w:rFonts w:hint="eastAsia" w:ascii="宋体" w:hAnsi="宋体"/>
          <w:color w:val="auto"/>
          <w:kern w:val="0"/>
          <w:sz w:val="28"/>
          <w:szCs w:val="28"/>
          <w:highlight w:val="none"/>
        </w:rPr>
      </w:pPr>
      <w:r>
        <w:rPr>
          <w:rFonts w:hint="eastAsia" w:ascii="宋体" w:hAnsi="宋体"/>
          <w:color w:val="auto"/>
          <w:kern w:val="0"/>
          <w:sz w:val="28"/>
          <w:szCs w:val="28"/>
          <w:highlight w:val="none"/>
        </w:rPr>
        <w:t xml:space="preserve">                                      投标人：（盖单位公章）</w:t>
      </w:r>
    </w:p>
    <w:p>
      <w:pPr>
        <w:jc w:val="right"/>
        <w:rPr>
          <w:rFonts w:hint="eastAsia" w:ascii="宋体" w:hAnsi="宋体" w:cs="宋体"/>
          <w:color w:val="auto"/>
          <w:kern w:val="0"/>
          <w:sz w:val="28"/>
          <w:szCs w:val="28"/>
          <w:highlight w:val="none"/>
          <w:u w:val="single"/>
        </w:rPr>
      </w:pPr>
    </w:p>
    <w:p>
      <w:pPr>
        <w:jc w:val="right"/>
        <w:rPr>
          <w:rFonts w:hint="eastAsia" w:ascii="宋体" w:hAnsi="宋体" w:cs="宋体"/>
          <w:color w:val="auto"/>
          <w:kern w:val="0"/>
          <w:sz w:val="28"/>
          <w:szCs w:val="28"/>
          <w:highlight w:val="none"/>
        </w:rPr>
        <w:sectPr>
          <w:pgSz w:w="11907" w:h="16840"/>
          <w:pgMar w:top="1417" w:right="1418" w:bottom="1417" w:left="1531" w:header="851" w:footer="992" w:gutter="0"/>
          <w:pgNumType w:fmt="decimal"/>
          <w:cols w:space="720" w:num="1"/>
          <w:docGrid w:type="lines" w:linePitch="312" w:charSpace="0"/>
        </w:sect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pPr>
        <w:spacing w:line="360" w:lineRule="auto"/>
        <w:ind w:firstLine="321" w:firstLineChars="100"/>
        <w:jc w:val="center"/>
        <w:rPr>
          <w:rFonts w:hAnsi="宋体"/>
          <w:b/>
          <w:color w:val="auto"/>
          <w:sz w:val="32"/>
          <w:szCs w:val="32"/>
          <w:highlight w:val="none"/>
          <w:u w:val="single"/>
        </w:rPr>
      </w:pPr>
      <w:r>
        <w:rPr>
          <w:rFonts w:hint="eastAsia" w:hAnsi="宋体"/>
          <w:b/>
          <w:color w:val="auto"/>
          <w:sz w:val="32"/>
          <w:szCs w:val="32"/>
          <w:highlight w:val="none"/>
          <w:u w:val="single"/>
          <w:lang w:eastAsia="zh-CN"/>
        </w:rPr>
        <w:t>授权委托书</w:t>
      </w:r>
    </w:p>
    <w:p>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招标人名称或</w:t>
      </w:r>
      <w:r>
        <w:rPr>
          <w:rFonts w:hint="eastAsia" w:ascii="宋体" w:hAnsi="宋体" w:cs="宋体"/>
          <w:color w:val="auto"/>
          <w:kern w:val="0"/>
          <w:sz w:val="24"/>
          <w:highlight w:val="none"/>
        </w:rPr>
        <w:t>代理机构名称）：</w:t>
      </w:r>
    </w:p>
    <w:p>
      <w:pPr>
        <w:pStyle w:val="30"/>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val="en-US" w:eastAsia="zh-CN"/>
        </w:rPr>
        <w:t>投标人</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（项目名称）</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30"/>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30"/>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rFonts w:hint="default" w:eastAsia="宋体"/>
          <w:color w:val="auto"/>
          <w:sz w:val="24"/>
          <w:highlight w:val="none"/>
          <w:lang w:val="en-US" w:eastAsia="zh-CN"/>
        </w:rPr>
      </w:pPr>
      <w:r>
        <w:rPr>
          <w:rFonts w:hint="eastAsia"/>
          <w:color w:val="auto"/>
          <w:sz w:val="24"/>
          <w:highlight w:val="none"/>
          <w:lang w:val="en-US" w:eastAsia="zh-CN"/>
        </w:rPr>
        <w:t>开户行：                                  帐号：</w:t>
      </w: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lang w:val="en-US" w:eastAsia="zh-CN"/>
        </w:rPr>
        <w:t>投标人</w:t>
      </w:r>
      <w:r>
        <w:rPr>
          <w:rFonts w:hint="eastAsia" w:ascii="宋体"/>
          <w:color w:val="auto"/>
          <w:sz w:val="24"/>
          <w:highlight w:val="none"/>
        </w:rPr>
        <w:t>全称（签字或盖章）：                              日期：</w:t>
      </w:r>
    </w:p>
    <w:p>
      <w:pPr>
        <w:spacing w:line="360" w:lineRule="auto"/>
        <w:rPr>
          <w:b/>
          <w:color w:val="auto"/>
          <w:sz w:val="24"/>
          <w:highlight w:val="none"/>
        </w:rPr>
      </w:pPr>
      <w:r>
        <w:rPr>
          <w:rFonts w:hint="eastAsia" w:ascii="宋体"/>
          <w:b/>
          <w:color w:val="auto"/>
          <w:sz w:val="24"/>
          <w:highlight w:val="none"/>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hint="eastAsia" w:ascii="宋体" w:eastAsia="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w:t>
            </w:r>
            <w:r>
              <w:rPr>
                <w:rFonts w:hint="eastAsia" w:ascii="宋体"/>
                <w:b/>
                <w:color w:val="auto"/>
                <w:sz w:val="24"/>
                <w:highlight w:val="none"/>
                <w:lang w:val="en-US" w:eastAsia="zh-CN"/>
              </w:rPr>
              <w:t>身份证正反面</w:t>
            </w:r>
            <w:r>
              <w:rPr>
                <w:rFonts w:hint="eastAsia" w:ascii="宋体"/>
                <w:b/>
                <w:color w:val="auto"/>
                <w:sz w:val="24"/>
                <w:highlight w:val="none"/>
                <w:lang w:eastAsia="zh-CN"/>
              </w:rPr>
              <w:t>）</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lang w:val="en-US" w:eastAsia="zh-CN"/>
        </w:rPr>
        <w:t>邮箱</w:t>
      </w:r>
      <w:r>
        <w:rPr>
          <w:rFonts w:hint="eastAsia" w:ascii="宋体"/>
          <w:color w:val="auto"/>
          <w:sz w:val="24"/>
          <w:highlight w:val="none"/>
        </w:rPr>
        <w:t>：</w:t>
      </w:r>
    </w:p>
    <w:p>
      <w:pPr>
        <w:spacing w:line="360" w:lineRule="auto"/>
        <w:rPr>
          <w:b/>
          <w:color w:val="auto"/>
          <w:sz w:val="24"/>
          <w:highlight w:val="none"/>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eastAsia="zh-CN"/>
              </w:rPr>
              <w:t>（</w:t>
            </w:r>
            <w:r>
              <w:rPr>
                <w:rFonts w:hint="eastAsia" w:ascii="宋体"/>
                <w:b/>
                <w:color w:val="auto"/>
                <w:sz w:val="24"/>
                <w:highlight w:val="none"/>
                <w:lang w:val="en-US" w:eastAsia="zh-CN"/>
              </w:rPr>
              <w:t>身份证正反面</w:t>
            </w:r>
            <w:r>
              <w:rPr>
                <w:rFonts w:hint="eastAsia" w:ascii="宋体"/>
                <w:b/>
                <w:color w:val="auto"/>
                <w:sz w:val="24"/>
                <w:highlight w:val="none"/>
                <w:lang w:eastAsia="zh-CN"/>
              </w:rPr>
              <w:t>）</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hAnsi="宋体"/>
          <w:b/>
          <w:color w:val="auto"/>
          <w:sz w:val="28"/>
          <w:highlight w:val="none"/>
        </w:rPr>
      </w:pPr>
      <w:r>
        <w:rPr>
          <w:rFonts w:hint="eastAsia" w:ascii="宋体"/>
          <w:color w:val="auto"/>
          <w:sz w:val="24"/>
          <w:highlight w:val="none"/>
          <w:lang w:val="en-US" w:eastAsia="zh-CN"/>
        </w:rPr>
        <w:t>邮箱</w:t>
      </w:r>
      <w:r>
        <w:rPr>
          <w:rFonts w:hint="eastAsia" w:ascii="宋体"/>
          <w:color w:val="auto"/>
          <w:sz w:val="24"/>
          <w:highlight w:val="none"/>
        </w:rPr>
        <w:t>：</w:t>
      </w:r>
    </w:p>
    <w:p>
      <w:pPr>
        <w:pStyle w:val="30"/>
        <w:snapToGrid w:val="0"/>
        <w:spacing w:before="295" w:beforeLines="0" w:after="295" w:afterLines="0" w:line="240" w:lineRule="auto"/>
        <w:rPr>
          <w:rFonts w:hAnsi="宋体"/>
          <w:color w:val="auto"/>
          <w:highlight w:val="none"/>
        </w:rPr>
        <w:sectPr>
          <w:headerReference r:id="rId13" w:type="default"/>
          <w:footerReference r:id="rId14" w:type="default"/>
          <w:pgSz w:w="11906" w:h="16838"/>
          <w:pgMar w:top="1247" w:right="1361" w:bottom="1247" w:left="1361" w:header="851" w:footer="851" w:gutter="0"/>
          <w:pgNumType w:fmt="decimal"/>
          <w:cols w:space="720" w:num="1"/>
          <w:docGrid w:type="lines" w:linePitch="312" w:charSpace="0"/>
        </w:sectPr>
      </w:pPr>
    </w:p>
    <w:p>
      <w:pPr>
        <w:snapToGrid w:val="0"/>
        <w:spacing w:before="50" w:after="156" w:afterLines="50"/>
        <w:jc w:val="left"/>
        <w:rPr>
          <w:rFonts w:hint="eastAsia" w:ascii="宋体" w:hAnsi="宋体" w:cs="宋体"/>
          <w:b/>
          <w:color w:val="auto"/>
          <w:sz w:val="24"/>
          <w:szCs w:val="24"/>
          <w:highlight w:val="none"/>
          <w:lang w:eastAsia="zh-CN"/>
        </w:rPr>
      </w:pPr>
      <w:r>
        <w:rPr>
          <w:rFonts w:hint="eastAsia" w:ascii="宋体" w:hAnsi="宋体" w:eastAsia="宋体" w:cs="Times New Roman"/>
          <w:b/>
          <w:bCs/>
          <w:color w:val="auto"/>
          <w:sz w:val="24"/>
          <w:highlight w:val="none"/>
          <w:lang w:val="en-US" w:eastAsia="zh-CN"/>
        </w:rPr>
        <w:t>2</w:t>
      </w:r>
      <w:r>
        <w:rPr>
          <w:rFonts w:hint="eastAsia" w:ascii="宋体" w:hAnsi="宋体" w:eastAsia="宋体" w:cs="Times New Roman"/>
          <w:b/>
          <w:bCs/>
          <w:color w:val="auto"/>
          <w:sz w:val="24"/>
          <w:highlight w:val="none"/>
        </w:rPr>
        <w:t>、诚信投标承诺书</w:t>
      </w:r>
    </w:p>
    <w:p>
      <w:pPr>
        <w:tabs>
          <w:tab w:val="left" w:pos="570"/>
        </w:tabs>
        <w:spacing w:line="360" w:lineRule="auto"/>
        <w:ind w:firstLine="482" w:firstLineChars="200"/>
        <w:jc w:val="center"/>
        <w:rPr>
          <w:rFonts w:hint="eastAsia" w:ascii="宋体" w:hAnsi="宋体" w:cs="宋体"/>
          <w:color w:val="auto"/>
          <w:sz w:val="24"/>
          <w:szCs w:val="24"/>
          <w:highlight w:val="none"/>
        </w:rPr>
      </w:pPr>
      <w:r>
        <w:rPr>
          <w:rFonts w:hint="eastAsia" w:ascii="宋体" w:hAnsi="宋体" w:cs="宋体"/>
          <w:b/>
          <w:color w:val="auto"/>
          <w:sz w:val="24"/>
          <w:szCs w:val="24"/>
          <w:highlight w:val="none"/>
          <w:lang w:eastAsia="zh-CN"/>
        </w:rPr>
        <w:t>太和路（沿山道路-腾云路）、椒江医化产业园区基础设施提升工程（腾云路半幅道路工程）路灯采购工程</w:t>
      </w:r>
      <w:r>
        <w:rPr>
          <w:rFonts w:hint="eastAsia" w:ascii="宋体" w:hAnsi="宋体" w:cs="宋体"/>
          <w:b/>
          <w:color w:val="auto"/>
          <w:sz w:val="24"/>
          <w:szCs w:val="24"/>
          <w:highlight w:val="none"/>
        </w:rPr>
        <w:t>诚信投标承诺书</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针对本次招标项目，我公司郑重承诺：本单位自愿参加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eastAsia="zh-CN"/>
        </w:rPr>
        <w:t>太和路（沿山道路-腾云路）、椒江医化产业园区基础设施提升工程（腾云路半幅道路工程）路灯采购工程</w:t>
      </w:r>
      <w:r>
        <w:rPr>
          <w:rFonts w:hint="eastAsia" w:ascii="宋体" w:hAnsi="宋体" w:cs="宋体"/>
          <w:color w:val="auto"/>
          <w:sz w:val="24"/>
          <w:szCs w:val="22"/>
          <w:highlight w:val="none"/>
        </w:rPr>
        <w:t xml:space="preserve"> 的</w:t>
      </w:r>
      <w:r>
        <w:rPr>
          <w:rFonts w:hint="eastAsia" w:ascii="宋体" w:hAnsi="宋体" w:cs="宋体"/>
          <w:color w:val="auto"/>
          <w:sz w:val="24"/>
          <w:szCs w:val="22"/>
          <w:highlight w:val="none"/>
          <w:lang w:val="en-US" w:eastAsia="zh-CN"/>
        </w:rPr>
        <w:t>投标</w:t>
      </w:r>
      <w:r>
        <w:rPr>
          <w:rFonts w:hint="eastAsia" w:ascii="宋体" w:hAnsi="宋体" w:cs="宋体"/>
          <w:color w:val="auto"/>
          <w:sz w:val="24"/>
          <w:szCs w:val="22"/>
          <w:highlight w:val="none"/>
        </w:rPr>
        <w:t>。</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1、本公司所填列的技术要求、服务、数量等相关内容都是真实、准确的；</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2、本公司保证在本次招标项目中所提供的资料全部真实和合法；</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3、本公司保证绝不采取不正当手段诋毁排挤其他投标人；</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4、本公司保证绝不向</w:t>
      </w:r>
      <w:r>
        <w:rPr>
          <w:rFonts w:hint="eastAsia" w:ascii="宋体" w:hAnsi="宋体" w:eastAsia="宋体" w:cs="宋体"/>
          <w:color w:val="auto"/>
          <w:sz w:val="24"/>
          <w:szCs w:val="24"/>
          <w:highlight w:val="none"/>
          <w:lang w:val="en-US" w:eastAsia="zh-CN"/>
        </w:rPr>
        <w:t>招标</w:t>
      </w:r>
      <w:r>
        <w:rPr>
          <w:rFonts w:hint="eastAsia" w:ascii="宋体" w:hAnsi="宋体" w:cs="宋体"/>
          <w:color w:val="auto"/>
          <w:sz w:val="24"/>
          <w:szCs w:val="22"/>
          <w:highlight w:val="none"/>
        </w:rPr>
        <w:t>人、</w:t>
      </w:r>
      <w:r>
        <w:rPr>
          <w:rFonts w:hint="eastAsia" w:ascii="宋体" w:hAnsi="宋体" w:eastAsia="宋体" w:cs="宋体"/>
          <w:color w:val="auto"/>
          <w:sz w:val="24"/>
          <w:szCs w:val="24"/>
          <w:highlight w:val="none"/>
          <w:lang w:val="en-US" w:eastAsia="zh-CN"/>
        </w:rPr>
        <w:t>招标人</w:t>
      </w:r>
      <w:r>
        <w:rPr>
          <w:rFonts w:hint="eastAsia" w:ascii="宋体" w:hAnsi="宋体" w:cs="宋体"/>
          <w:color w:val="auto"/>
          <w:sz w:val="24"/>
          <w:szCs w:val="22"/>
          <w:highlight w:val="none"/>
        </w:rPr>
        <w:t>单位有关工作人员提供不正当利益，以影响采购结果的公正性。</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5、同意此次招标文件中的各项内容。</w:t>
      </w:r>
    </w:p>
    <w:p>
      <w:pPr>
        <w:tabs>
          <w:tab w:val="left" w:pos="570"/>
        </w:tabs>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6、同意提供按照贵方可能要求的与招标有关的一切数据或资料等。</w:t>
      </w:r>
    </w:p>
    <w:p>
      <w:pPr>
        <w:spacing w:line="30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7、本单位如中标，保证按照投标文件的承诺与贵方签订合同，保证履行合同条款</w:t>
      </w:r>
      <w:r>
        <w:rPr>
          <w:rFonts w:hint="eastAsia" w:ascii="宋体" w:hAnsi="宋体" w:cs="宋体"/>
          <w:color w:val="auto"/>
          <w:sz w:val="24"/>
          <w:szCs w:val="22"/>
          <w:highlight w:val="none"/>
          <w:lang w:eastAsia="zh-CN"/>
        </w:rPr>
        <w:t>。</w:t>
      </w:r>
    </w:p>
    <w:p>
      <w:pPr>
        <w:tabs>
          <w:tab w:val="left" w:pos="570"/>
        </w:tabs>
        <w:spacing w:line="44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2"/>
          <w:highlight w:val="none"/>
        </w:rPr>
        <w:t>本公司若有违反本承诺内容的行为，愿意承担法律责任，并愿意</w:t>
      </w:r>
      <w:r>
        <w:rPr>
          <w:rFonts w:hint="eastAsia" w:ascii="宋体" w:hAnsi="宋体" w:cs="宋体"/>
          <w:color w:val="auto"/>
          <w:sz w:val="24"/>
          <w:szCs w:val="22"/>
          <w:highlight w:val="none"/>
          <w:lang w:val="en-US" w:eastAsia="zh-CN"/>
        </w:rPr>
        <w:t>赔偿为招标人造成的损失</w:t>
      </w:r>
      <w:r>
        <w:rPr>
          <w:rFonts w:hint="eastAsia" w:ascii="宋体" w:hAnsi="宋体" w:cs="宋体"/>
          <w:color w:val="auto"/>
          <w:sz w:val="24"/>
          <w:szCs w:val="22"/>
          <w:highlight w:val="none"/>
        </w:rPr>
        <w:t>。如已中标的，自动放弃中标资格；给</w:t>
      </w:r>
      <w:r>
        <w:rPr>
          <w:rFonts w:hint="eastAsia" w:ascii="宋体" w:hAnsi="宋体" w:cs="宋体"/>
          <w:color w:val="auto"/>
          <w:sz w:val="24"/>
          <w:szCs w:val="22"/>
          <w:highlight w:val="none"/>
          <w:lang w:val="en-US" w:eastAsia="zh-CN"/>
        </w:rPr>
        <w:t>招标人</w:t>
      </w:r>
      <w:r>
        <w:rPr>
          <w:rFonts w:hint="eastAsia" w:ascii="宋体" w:hAnsi="宋体" w:cs="宋体"/>
          <w:color w:val="auto"/>
          <w:sz w:val="24"/>
          <w:szCs w:val="22"/>
          <w:highlight w:val="none"/>
        </w:rPr>
        <w:t>造成损失的，依法承担赔偿责任。</w:t>
      </w: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snapToGrid w:val="0"/>
        <w:spacing w:before="50" w:after="156" w:afterLines="50"/>
        <w:jc w:val="left"/>
        <w:rPr>
          <w:rFonts w:hint="eastAsia" w:ascii="宋体" w:hAnsi="宋体" w:eastAsia="宋体" w:cs="Times New Roman"/>
          <w:b/>
          <w:bCs/>
          <w:color w:val="auto"/>
          <w:sz w:val="24"/>
          <w:highlight w:val="none"/>
          <w:lang w:val="en-US" w:eastAsia="zh-CN"/>
        </w:rPr>
        <w:sectPr>
          <w:footerReference r:id="rId15" w:type="default"/>
          <w:pgSz w:w="11906" w:h="16838"/>
          <w:pgMar w:top="1440" w:right="1188" w:bottom="1440" w:left="1797" w:header="851" w:footer="992" w:gutter="0"/>
          <w:pgNumType w:fmt="decimal"/>
          <w:cols w:space="720" w:num="1"/>
          <w:docGrid w:type="lines" w:linePitch="312" w:charSpace="0"/>
        </w:sectPr>
      </w:pPr>
    </w:p>
    <w:p>
      <w:pPr>
        <w:spacing w:line="360" w:lineRule="auto"/>
        <w:jc w:val="lef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、技术规格、条款偏离表</w:t>
      </w:r>
    </w:p>
    <w:p>
      <w:pPr>
        <w:spacing w:line="460" w:lineRule="exact"/>
        <w:ind w:firstLine="437"/>
        <w:jc w:val="center"/>
        <w:rPr>
          <w:rFonts w:ascii="宋体"/>
          <w:b/>
          <w:bCs/>
          <w:color w:val="auto"/>
          <w:sz w:val="22"/>
          <w:szCs w:val="22"/>
          <w:highlight w:val="none"/>
        </w:rPr>
      </w:pPr>
      <w:r>
        <w:rPr>
          <w:rFonts w:hint="eastAsia" w:ascii="宋体" w:hAnsi="宋体" w:cs="宋体"/>
          <w:b/>
          <w:color w:val="auto"/>
          <w:sz w:val="24"/>
          <w:szCs w:val="24"/>
          <w:highlight w:val="none"/>
          <w:lang w:eastAsia="zh-CN"/>
        </w:rPr>
        <w:t>太和路（沿山道路-腾云路）、椒江医化产业园区基础设施提升工程（腾云路半幅道路工程）路灯采购工程</w:t>
      </w:r>
      <w:r>
        <w:rPr>
          <w:rFonts w:hint="eastAsia" w:ascii="宋体" w:hAnsi="宋体" w:cs="宋体"/>
          <w:b/>
          <w:bCs/>
          <w:color w:val="auto"/>
          <w:sz w:val="28"/>
          <w:szCs w:val="28"/>
          <w:highlight w:val="none"/>
        </w:rPr>
        <w:t>技术规格、条款偏离表</w:t>
      </w:r>
      <w:r>
        <w:rPr>
          <w:rFonts w:ascii="宋体" w:hAnsi="宋体" w:cs="宋体"/>
          <w:b/>
          <w:bCs/>
          <w:color w:val="auto"/>
          <w:sz w:val="22"/>
          <w:szCs w:val="22"/>
          <w:highlight w:val="none"/>
        </w:rPr>
        <w:t xml:space="preserve">                                                </w:t>
      </w:r>
    </w:p>
    <w:tbl>
      <w:tblPr>
        <w:tblStyle w:val="47"/>
        <w:tblW w:w="98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4"/>
        <w:gridCol w:w="1365"/>
        <w:gridCol w:w="2100"/>
        <w:gridCol w:w="1995"/>
        <w:gridCol w:w="1869"/>
        <w:gridCol w:w="15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44" w:type="dxa"/>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2100"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采购文件条目号</w:t>
            </w:r>
          </w:p>
        </w:tc>
        <w:tc>
          <w:tcPr>
            <w:tcW w:w="1995"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采购文件规范要求</w:t>
            </w:r>
          </w:p>
        </w:tc>
        <w:tc>
          <w:tcPr>
            <w:tcW w:w="1869" w:type="dxa"/>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投标文件对应规范</w:t>
            </w:r>
          </w:p>
        </w:tc>
        <w:tc>
          <w:tcPr>
            <w:tcW w:w="1596" w:type="dxa"/>
            <w:noWrap w:val="0"/>
            <w:vAlign w:val="center"/>
          </w:tcPr>
          <w:p>
            <w:pPr>
              <w:spacing w:line="360" w:lineRule="auto"/>
              <w:ind w:firstLine="424" w:firstLineChars="177"/>
              <w:jc w:val="center"/>
              <w:rPr>
                <w:rFonts w:hint="eastAsia" w:ascii="宋体" w:hAnsi="宋体" w:eastAsia="宋体"/>
                <w:color w:val="auto"/>
                <w:sz w:val="24"/>
                <w:highlight w:val="none"/>
              </w:rPr>
            </w:pPr>
            <w:r>
              <w:rPr>
                <w:rFonts w:hint="eastAsia" w:ascii="宋体" w:hAnsi="宋体" w:eastAsia="宋体"/>
                <w:color w:val="auto"/>
                <w:sz w:val="24"/>
                <w:highlight w:val="none"/>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44" w:type="dxa"/>
            <w:vMerge w:val="restart"/>
            <w:noWrap w:val="0"/>
            <w:vAlign w:val="center"/>
          </w:tcPr>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技</w:t>
            </w:r>
          </w:p>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术</w:t>
            </w:r>
          </w:p>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规</w:t>
            </w:r>
          </w:p>
          <w:p>
            <w:pPr>
              <w:spacing w:line="360" w:lineRule="auto"/>
              <w:jc w:val="center"/>
              <w:rPr>
                <w:rFonts w:hint="eastAsia" w:ascii="宋体" w:hAnsi="宋体" w:eastAsia="宋体"/>
                <w:color w:val="auto"/>
                <w:sz w:val="24"/>
                <w:highlight w:val="none"/>
              </w:rPr>
            </w:pPr>
            <w:r>
              <w:rPr>
                <w:rFonts w:hint="eastAsia" w:ascii="宋体" w:hAnsi="宋体" w:eastAsia="宋体"/>
                <w:color w:val="auto"/>
                <w:sz w:val="24"/>
                <w:highlight w:val="none"/>
              </w:rPr>
              <w:t>格</w:t>
            </w: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44" w:type="dxa"/>
            <w:vMerge w:val="continue"/>
            <w:noWrap w:val="0"/>
            <w:vAlign w:val="top"/>
          </w:tcPr>
          <w:p>
            <w:pPr>
              <w:spacing w:line="360" w:lineRule="auto"/>
              <w:ind w:firstLine="424" w:firstLineChars="177"/>
              <w:rPr>
                <w:rFonts w:hint="eastAsia" w:ascii="宋体" w:hAnsi="宋体" w:eastAsia="宋体"/>
                <w:color w:val="auto"/>
                <w:sz w:val="24"/>
                <w:highlight w:val="none"/>
              </w:rPr>
            </w:pPr>
          </w:p>
        </w:tc>
        <w:tc>
          <w:tcPr>
            <w:tcW w:w="1365" w:type="dxa"/>
            <w:noWrap w:val="0"/>
            <w:vAlign w:val="center"/>
          </w:tcPr>
          <w:p>
            <w:pPr>
              <w:spacing w:line="360" w:lineRule="auto"/>
              <w:ind w:firstLine="424" w:firstLineChars="177"/>
              <w:rPr>
                <w:rFonts w:hint="eastAsia" w:ascii="宋体" w:hAnsi="宋体" w:eastAsia="宋体"/>
                <w:color w:val="auto"/>
                <w:sz w:val="24"/>
                <w:highlight w:val="none"/>
              </w:rPr>
            </w:pPr>
          </w:p>
        </w:tc>
        <w:tc>
          <w:tcPr>
            <w:tcW w:w="2100" w:type="dxa"/>
            <w:noWrap w:val="0"/>
            <w:vAlign w:val="center"/>
          </w:tcPr>
          <w:p>
            <w:pPr>
              <w:spacing w:line="360" w:lineRule="auto"/>
              <w:ind w:firstLine="424" w:firstLineChars="177"/>
              <w:rPr>
                <w:rFonts w:hint="eastAsia" w:ascii="宋体" w:hAnsi="宋体" w:eastAsia="宋体"/>
                <w:color w:val="auto"/>
                <w:sz w:val="24"/>
                <w:highlight w:val="none"/>
              </w:rPr>
            </w:pPr>
          </w:p>
        </w:tc>
        <w:tc>
          <w:tcPr>
            <w:tcW w:w="1995" w:type="dxa"/>
            <w:noWrap w:val="0"/>
            <w:vAlign w:val="center"/>
          </w:tcPr>
          <w:p>
            <w:pPr>
              <w:spacing w:line="360" w:lineRule="auto"/>
              <w:ind w:firstLine="424" w:firstLineChars="177"/>
              <w:rPr>
                <w:rFonts w:hint="eastAsia" w:ascii="宋体" w:hAnsi="宋体" w:eastAsia="宋体"/>
                <w:color w:val="auto"/>
                <w:sz w:val="24"/>
                <w:highlight w:val="none"/>
              </w:rPr>
            </w:pPr>
          </w:p>
        </w:tc>
        <w:tc>
          <w:tcPr>
            <w:tcW w:w="1869" w:type="dxa"/>
            <w:noWrap w:val="0"/>
            <w:vAlign w:val="center"/>
          </w:tcPr>
          <w:p>
            <w:pPr>
              <w:spacing w:line="360" w:lineRule="auto"/>
              <w:ind w:firstLine="424" w:firstLineChars="177"/>
              <w:rPr>
                <w:rFonts w:hint="eastAsia" w:ascii="宋体" w:hAnsi="宋体" w:eastAsia="宋体"/>
                <w:color w:val="auto"/>
                <w:sz w:val="24"/>
                <w:highlight w:val="none"/>
              </w:rPr>
            </w:pPr>
          </w:p>
        </w:tc>
        <w:tc>
          <w:tcPr>
            <w:tcW w:w="1596" w:type="dxa"/>
            <w:noWrap w:val="0"/>
            <w:vAlign w:val="center"/>
          </w:tcPr>
          <w:p>
            <w:pPr>
              <w:spacing w:line="360" w:lineRule="auto"/>
              <w:ind w:firstLine="424" w:firstLineChars="177"/>
              <w:rPr>
                <w:rFonts w:hint="eastAsia" w:ascii="宋体" w:hAnsi="宋体" w:eastAsia="宋体"/>
                <w:color w:val="auto"/>
                <w:sz w:val="24"/>
                <w:highlight w:val="none"/>
              </w:rPr>
            </w:pPr>
          </w:p>
        </w:tc>
      </w:tr>
    </w:tbl>
    <w:p>
      <w:pPr>
        <w:spacing w:line="360" w:lineRule="auto"/>
        <w:ind w:firstLine="424" w:firstLineChars="177"/>
        <w:rPr>
          <w:rFonts w:hint="eastAsia" w:ascii="宋体" w:hAnsi="宋体" w:eastAsia="宋体"/>
          <w:color w:val="auto"/>
          <w:sz w:val="24"/>
          <w:highlight w:val="none"/>
        </w:rPr>
      </w:pPr>
      <w:r>
        <w:rPr>
          <w:rFonts w:hint="eastAsia" w:ascii="宋体" w:hAnsi="宋体" w:eastAsia="宋体"/>
          <w:color w:val="auto"/>
          <w:sz w:val="24"/>
          <w:highlight w:val="none"/>
        </w:rPr>
        <w:t>注：如有偏离，必须在偏离表中进行详细对比说明并注明正偏离和负偏离，如不说明偏离情况，视为完全响应采购文件要求无偏离。</w:t>
      </w: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ind w:firstLine="480" w:firstLineChars="200"/>
        <w:jc w:val="left"/>
        <w:rPr>
          <w:rFonts w:hint="eastAsia" w:ascii="宋体" w:hAnsi="宋体" w:cs="Times New Roman"/>
          <w:b/>
          <w:bCs/>
          <w:color w:val="auto"/>
          <w:sz w:val="24"/>
          <w:highlight w:val="none"/>
          <w:lang w:val="en-US" w:eastAsia="zh-CN"/>
        </w:rPr>
        <w:sectPr>
          <w:pgSz w:w="11906" w:h="16838"/>
          <w:pgMar w:top="1440" w:right="1188" w:bottom="1440" w:left="1797"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spacing w:line="360" w:lineRule="auto"/>
        <w:jc w:val="left"/>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、质保期及售后服务承诺函</w:t>
      </w:r>
    </w:p>
    <w:p>
      <w:pPr>
        <w:spacing w:line="360" w:lineRule="auto"/>
        <w:ind w:left="480"/>
        <w:jc w:val="center"/>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太和路（沿山道路-腾云路）、椒江医化产业园区基础设施提升工程（腾云路半幅道路工程）路灯采购工程</w:t>
      </w:r>
    </w:p>
    <w:p>
      <w:pPr>
        <w:spacing w:line="360" w:lineRule="auto"/>
        <w:ind w:left="480"/>
        <w:jc w:val="center"/>
        <w:rPr>
          <w:rFonts w:ascii="宋体" w:hAnsi="宋体"/>
          <w:color w:val="auto"/>
          <w:kern w:val="0"/>
          <w:sz w:val="32"/>
          <w:szCs w:val="32"/>
          <w:highlight w:val="none"/>
        </w:rPr>
      </w:pPr>
      <w:r>
        <w:rPr>
          <w:rFonts w:hint="eastAsia" w:ascii="宋体" w:hAnsi="宋体"/>
          <w:color w:val="auto"/>
          <w:kern w:val="0"/>
          <w:sz w:val="32"/>
          <w:szCs w:val="32"/>
          <w:highlight w:val="none"/>
        </w:rPr>
        <w:t>质保期及售后服务承诺函</w:t>
      </w:r>
    </w:p>
    <w:tbl>
      <w:tblPr>
        <w:tblStyle w:val="47"/>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我单位郑重承诺：</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（1）</w:t>
            </w:r>
            <w:r>
              <w:rPr>
                <w:rFonts w:hint="eastAsia" w:ascii="宋体" w:hAnsi="宋体" w:eastAsia="宋体" w:cs="Times New Roman"/>
                <w:color w:val="auto"/>
                <w:sz w:val="24"/>
                <w:highlight w:val="none"/>
              </w:rPr>
              <w:t>质保期：</w:t>
            </w:r>
            <w:r>
              <w:rPr>
                <w:rFonts w:hint="eastAsia" w:ascii="宋体" w:hAnsi="宋体" w:cs="Times New Roman"/>
                <w:color w:val="auto"/>
                <w:sz w:val="24"/>
                <w:highlight w:val="none"/>
                <w:lang w:eastAsia="zh-CN"/>
              </w:rPr>
              <w:t>太和路（沿山道路-腾云路）、椒江医化产业园区基础设施提升工程（腾云路半幅道路工程）路灯采购工程</w:t>
            </w:r>
            <w:r>
              <w:rPr>
                <w:rFonts w:hint="eastAsia" w:ascii="宋体" w:hAnsi="宋体" w:eastAsia="宋体" w:cs="Times New Roman"/>
                <w:color w:val="auto"/>
                <w:sz w:val="24"/>
                <w:highlight w:val="none"/>
              </w:rPr>
              <w:t>的免费</w:t>
            </w:r>
            <w:r>
              <w:rPr>
                <w:rFonts w:hint="eastAsia" w:ascii="宋体" w:hAnsi="宋体"/>
                <w:color w:val="auto"/>
                <w:sz w:val="24"/>
                <w:highlight w:val="none"/>
              </w:rPr>
              <w:t>质保期为</w:t>
            </w:r>
            <w:r>
              <w:rPr>
                <w:rFonts w:hint="eastAsia" w:ascii="宋体" w:hAnsi="宋体"/>
                <w:color w:val="auto"/>
                <w:sz w:val="24"/>
                <w:highlight w:val="none"/>
                <w:u w:val="single"/>
              </w:rPr>
              <w:t xml:space="preserve">       </w:t>
            </w:r>
            <w:r>
              <w:rPr>
                <w:rFonts w:hint="eastAsia" w:ascii="宋体" w:hAnsi="宋体"/>
                <w:color w:val="auto"/>
                <w:sz w:val="24"/>
                <w:highlight w:val="none"/>
              </w:rPr>
              <w:t>年（不得低于</w:t>
            </w:r>
            <w:r>
              <w:rPr>
                <w:rFonts w:hint="eastAsia" w:ascii="宋体" w:hAnsi="宋体"/>
                <w:color w:val="auto"/>
                <w:sz w:val="24"/>
                <w:highlight w:val="none"/>
                <w:lang w:val="en-US" w:eastAsia="zh-CN"/>
              </w:rPr>
              <w:t>3</w:t>
            </w:r>
            <w:r>
              <w:rPr>
                <w:rFonts w:hint="eastAsia" w:ascii="宋体" w:hAnsi="宋体"/>
                <w:color w:val="auto"/>
                <w:sz w:val="24"/>
                <w:highlight w:val="none"/>
              </w:rPr>
              <w:t>年），从最终验收合格之日开始计算。质保期内维修人工费、零配件等一切费用均免费。质保期满后，故障维修仅收取零配件成本费。</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（2）</w:t>
            </w:r>
            <w:r>
              <w:rPr>
                <w:rFonts w:hint="eastAsia" w:ascii="宋体" w:hAnsi="宋体"/>
                <w:b/>
                <w:color w:val="auto"/>
                <w:sz w:val="24"/>
                <w:highlight w:val="none"/>
              </w:rPr>
              <w:t>售后服务响应时间</w:t>
            </w:r>
            <w:r>
              <w:rPr>
                <w:rFonts w:hint="eastAsia" w:ascii="宋体" w:hAnsi="宋体"/>
                <w:color w:val="auto"/>
                <w:sz w:val="24"/>
                <w:highlight w:val="none"/>
              </w:rPr>
              <w:t>：如在使用过程中发生质量问题，</w:t>
            </w:r>
            <w:r>
              <w:rPr>
                <w:rFonts w:hint="eastAsia" w:ascii="宋体" w:hAnsi="宋体"/>
                <w:color w:val="auto"/>
                <w:sz w:val="24"/>
                <w:highlight w:val="none"/>
                <w:u w:val="single"/>
              </w:rPr>
              <w:t xml:space="preserve">        </w:t>
            </w:r>
            <w:r>
              <w:rPr>
                <w:rFonts w:hint="eastAsia" w:ascii="宋体" w:hAnsi="宋体"/>
                <w:color w:val="auto"/>
                <w:sz w:val="24"/>
                <w:highlight w:val="none"/>
              </w:rPr>
              <w:t>小时内到达故障现场。</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tc>
      </w:tr>
    </w:tbl>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lang w:eastAsia="zh-CN"/>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ind w:firstLine="480" w:firstLineChars="200"/>
        <w:jc w:val="left"/>
        <w:rPr>
          <w:rFonts w:hint="eastAsia" w:ascii="宋体" w:hAnsi="宋体" w:eastAsia="宋体" w:cs="宋体"/>
          <w:color w:val="auto"/>
          <w:sz w:val="24"/>
          <w:szCs w:val="24"/>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adjustRightInd w:val="0"/>
        <w:snapToGrid w:val="0"/>
        <w:spacing w:line="400" w:lineRule="atLeast"/>
        <w:jc w:val="both"/>
        <w:outlineLvl w:val="9"/>
        <w:rPr>
          <w:rFonts w:hint="eastAsia" w:ascii="宋体" w:hAnsi="宋体" w:eastAsia="宋体" w:cs="Calibri"/>
          <w:b/>
          <w:bCs/>
          <w:color w:val="auto"/>
          <w:sz w:val="24"/>
          <w:highlight w:val="none"/>
        </w:rPr>
      </w:pPr>
      <w:r>
        <w:rPr>
          <w:rFonts w:hint="eastAsia" w:ascii="宋体" w:hAnsi="宋体" w:eastAsia="宋体" w:cs="Calibri"/>
          <w:b/>
          <w:bCs/>
          <w:color w:val="auto"/>
          <w:sz w:val="24"/>
          <w:highlight w:val="none"/>
          <w:lang w:val="en-US" w:eastAsia="zh-CN"/>
        </w:rPr>
        <w:t>5、</w:t>
      </w:r>
      <w:r>
        <w:rPr>
          <w:rFonts w:hint="eastAsia" w:ascii="宋体" w:hAnsi="宋体" w:cs="Arial"/>
          <w:b/>
          <w:color w:val="auto"/>
          <w:sz w:val="24"/>
          <w:szCs w:val="40"/>
          <w:highlight w:val="none"/>
          <w:lang w:val="en-US" w:eastAsia="zh-CN"/>
        </w:rPr>
        <w:t>备品备件</w:t>
      </w:r>
      <w:r>
        <w:rPr>
          <w:rFonts w:hint="eastAsia" w:ascii="宋体" w:hAnsi="宋体" w:cs="Arial"/>
          <w:b/>
          <w:color w:val="auto"/>
          <w:sz w:val="24"/>
          <w:szCs w:val="40"/>
          <w:highlight w:val="none"/>
        </w:rPr>
        <w:t>清单</w:t>
      </w:r>
    </w:p>
    <w:p>
      <w:pPr>
        <w:adjustRightInd w:val="0"/>
        <w:snapToGrid w:val="0"/>
        <w:spacing w:line="400" w:lineRule="atLeast"/>
        <w:jc w:val="center"/>
        <w:rPr>
          <w:rFonts w:hint="eastAsia" w:ascii="宋体" w:hAnsi="宋体" w:cs="Arial"/>
          <w:b/>
          <w:color w:val="auto"/>
          <w:sz w:val="24"/>
          <w:szCs w:val="40"/>
          <w:highlight w:val="none"/>
        </w:rPr>
      </w:pPr>
      <w:r>
        <w:rPr>
          <w:rFonts w:hint="eastAsia" w:ascii="宋体" w:hAnsi="宋体" w:cs="Arial"/>
          <w:b/>
          <w:color w:val="auto"/>
          <w:sz w:val="24"/>
          <w:szCs w:val="40"/>
          <w:highlight w:val="none"/>
          <w:lang w:val="en-US" w:eastAsia="zh-CN"/>
        </w:rPr>
        <w:t>太和路（沿山道路-腾云路）、椒江医化产业园区基础设施提升工程（腾云路半幅道路工程）路灯采购工程备品备件</w:t>
      </w:r>
      <w:r>
        <w:rPr>
          <w:rFonts w:hint="eastAsia" w:ascii="宋体" w:hAnsi="宋体" w:cs="Arial"/>
          <w:b/>
          <w:color w:val="auto"/>
          <w:sz w:val="24"/>
          <w:szCs w:val="40"/>
          <w:highlight w:val="none"/>
        </w:rPr>
        <w:t>清单</w:t>
      </w:r>
    </w:p>
    <w:tbl>
      <w:tblPr>
        <w:tblStyle w:val="47"/>
        <w:tblW w:w="95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08"/>
        <w:gridCol w:w="1368"/>
        <w:gridCol w:w="2332"/>
        <w:gridCol w:w="1350"/>
        <w:gridCol w:w="1350"/>
        <w:gridCol w:w="11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序号</w:t>
            </w:r>
          </w:p>
        </w:tc>
        <w:tc>
          <w:tcPr>
            <w:tcW w:w="1308"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备品备件名称</w:t>
            </w:r>
          </w:p>
        </w:tc>
        <w:tc>
          <w:tcPr>
            <w:tcW w:w="1368"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备品备件型号规格</w:t>
            </w:r>
          </w:p>
        </w:tc>
        <w:tc>
          <w:tcPr>
            <w:tcW w:w="2332"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用于具体部件及作用</w:t>
            </w:r>
          </w:p>
        </w:tc>
        <w:tc>
          <w:tcPr>
            <w:tcW w:w="1350" w:type="dxa"/>
            <w:noWrap w:val="0"/>
            <w:vAlign w:val="center"/>
          </w:tcPr>
          <w:p>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价格</w:t>
            </w:r>
          </w:p>
        </w:tc>
        <w:tc>
          <w:tcPr>
            <w:tcW w:w="1350"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产地/制造厂</w:t>
            </w:r>
          </w:p>
        </w:tc>
        <w:tc>
          <w:tcPr>
            <w:tcW w:w="1154" w:type="dxa"/>
            <w:noWrap w:val="0"/>
            <w:vAlign w:val="center"/>
          </w:tcPr>
          <w:p>
            <w:pPr>
              <w:spacing w:line="360" w:lineRule="auto"/>
              <w:jc w:val="center"/>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96"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0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p>
        </w:tc>
        <w:tc>
          <w:tcPr>
            <w:tcW w:w="1368"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2332"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350"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c>
          <w:tcPr>
            <w:tcW w:w="1154" w:type="dxa"/>
            <w:noWrap w:val="0"/>
            <w:vAlign w:val="top"/>
          </w:tcPr>
          <w:p>
            <w:pPr>
              <w:spacing w:line="360" w:lineRule="auto"/>
              <w:ind w:firstLine="424" w:firstLineChars="177"/>
              <w:rPr>
                <w:rFonts w:hint="eastAsia" w:ascii="宋体" w:hAnsi="宋体" w:eastAsia="宋体" w:cs="Times New Roman"/>
                <w:color w:val="auto"/>
                <w:sz w:val="24"/>
                <w:highlight w:val="none"/>
                <w:lang w:val="en-US" w:eastAsia="zh-CN"/>
              </w:rPr>
            </w:pPr>
          </w:p>
        </w:tc>
      </w:tr>
    </w:tbl>
    <w:p>
      <w:pPr>
        <w:spacing w:line="360" w:lineRule="auto"/>
        <w:ind w:firstLine="424" w:firstLineChars="177"/>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Times New Roman"/>
          <w:color w:val="auto"/>
          <w:sz w:val="24"/>
          <w:highlight w:val="none"/>
          <w:lang w:val="en-US" w:eastAsia="zh-CN"/>
        </w:rPr>
        <w:t>注：1、此表仅提供了表格形式，投标人应根据需要及招标文件的具体要求，准备足够数量的表格按实填写。</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spacing w:line="480" w:lineRule="auto"/>
        <w:jc w:val="left"/>
        <w:textAlignment w:val="center"/>
        <w:rPr>
          <w:rFonts w:hint="eastAsia" w:ascii="宋体" w:hAnsi="宋体" w:eastAsia="宋体" w:cs="宋体"/>
          <w:i w:val="0"/>
          <w:color w:val="auto"/>
          <w:kern w:val="0"/>
          <w:sz w:val="20"/>
          <w:szCs w:val="20"/>
          <w:highlight w:val="none"/>
          <w:u w:val="none"/>
          <w:lang w:val="en-US" w:eastAsia="zh-CN" w:bidi="ar"/>
        </w:rPr>
      </w:pP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（盖章）：     </w:t>
      </w:r>
    </w:p>
    <w:p>
      <w:pPr>
        <w:tabs>
          <w:tab w:val="left" w:pos="570"/>
        </w:tabs>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ind w:firstLine="480" w:firstLineChars="200"/>
        <w:jc w:val="left"/>
        <w:rPr>
          <w:rFonts w:hint="eastAsia" w:ascii="宋体" w:hAnsi="宋体" w:eastAsia="宋体" w:cs="宋体"/>
          <w:color w:val="auto"/>
          <w:sz w:val="24"/>
          <w:szCs w:val="24"/>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snapToGrid w:val="0"/>
        <w:spacing w:before="50" w:after="156" w:afterLines="50"/>
        <w:jc w:val="left"/>
        <w:rPr>
          <w:rFonts w:hint="eastAsia" w:ascii="宋体" w:hAnsi="宋体" w:eastAsia="宋体" w:cs="Times New Roman"/>
          <w:b/>
          <w:bCs/>
          <w:color w:val="auto"/>
          <w:sz w:val="24"/>
          <w:highlight w:val="none"/>
        </w:rPr>
      </w:pPr>
      <w:r>
        <w:rPr>
          <w:rFonts w:hint="eastAsia" w:ascii="宋体" w:hAnsi="宋体" w:cs="Times New Roman"/>
          <w:b/>
          <w:bCs/>
          <w:color w:val="auto"/>
          <w:sz w:val="24"/>
          <w:highlight w:val="none"/>
          <w:lang w:val="en-US" w:eastAsia="zh-CN"/>
        </w:rPr>
        <w:t>6</w:t>
      </w:r>
      <w:r>
        <w:rPr>
          <w:rFonts w:hint="eastAsia" w:ascii="宋体" w:hAnsi="宋体" w:eastAsia="宋体" w:cs="Times New Roman"/>
          <w:b/>
          <w:bCs/>
          <w:color w:val="auto"/>
          <w:sz w:val="24"/>
          <w:highlight w:val="none"/>
        </w:rPr>
        <w:t>、开标一览表</w:t>
      </w:r>
    </w:p>
    <w:p>
      <w:pPr>
        <w:spacing w:line="360" w:lineRule="atLeast"/>
        <w:ind w:left="641" w:leftChars="229" w:firstLine="2870" w:firstLineChars="953"/>
        <w:rPr>
          <w:rFonts w:hint="eastAsia" w:ascii="宋体" w:hAnsi="宋体"/>
          <w:b/>
          <w:color w:val="auto"/>
          <w:sz w:val="24"/>
          <w:highlight w:val="none"/>
        </w:rPr>
      </w:pPr>
      <w:r>
        <w:rPr>
          <w:rFonts w:hint="eastAsia" w:ascii="宋体" w:hAnsi="宋体"/>
          <w:b/>
          <w:color w:val="auto"/>
          <w:sz w:val="30"/>
          <w:highlight w:val="none"/>
        </w:rPr>
        <w:t>开标一览表</w:t>
      </w:r>
      <w:r>
        <w:rPr>
          <w:rFonts w:hint="eastAsia" w:ascii="宋体" w:hAnsi="宋体"/>
          <w:color w:val="auto"/>
          <w:sz w:val="24"/>
          <w:highlight w:val="none"/>
        </w:rPr>
        <w:t xml:space="preserve">                                                                                </w:t>
      </w:r>
    </w:p>
    <w:p>
      <w:pPr>
        <w:numPr>
          <w:ilvl w:val="0"/>
          <w:numId w:val="0"/>
        </w:numPr>
        <w:spacing w:line="360" w:lineRule="auto"/>
        <w:ind w:leftChars="0"/>
        <w:jc w:val="both"/>
        <w:rPr>
          <w:rFonts w:hint="eastAsia" w:ascii="Arial" w:hAnsi="Arial" w:cs="Arial"/>
          <w:color w:val="auto"/>
          <w:sz w:val="24"/>
          <w:highlight w:val="none"/>
        </w:rPr>
      </w:pPr>
      <w:r>
        <w:rPr>
          <w:rFonts w:hint="eastAsia" w:ascii="Arial" w:hAnsi="Arial" w:cs="Arial"/>
          <w:color w:val="auto"/>
          <w:sz w:val="24"/>
          <w:highlight w:val="none"/>
        </w:rPr>
        <w:t>致：</w:t>
      </w:r>
      <w:r>
        <w:rPr>
          <w:rFonts w:hint="eastAsia" w:ascii="宋体" w:hAnsi="宋体" w:cs="宋体"/>
          <w:color w:val="auto"/>
          <w:sz w:val="24"/>
          <w:highlight w:val="none"/>
          <w:lang w:eastAsia="zh-CN"/>
        </w:rPr>
        <w:t>台州市椒江新城基础设施建设有限公司</w:t>
      </w:r>
      <w:r>
        <w:rPr>
          <w:rFonts w:hint="eastAsia" w:ascii="Arial" w:hAnsi="Arial" w:cs="Arial"/>
          <w:color w:val="auto"/>
          <w:sz w:val="24"/>
          <w:highlight w:val="none"/>
        </w:rPr>
        <w:t>（</w:t>
      </w:r>
      <w:r>
        <w:rPr>
          <w:rFonts w:hint="eastAsia" w:ascii="Arial" w:hAnsi="Arial" w:cs="Arial"/>
          <w:color w:val="auto"/>
          <w:sz w:val="24"/>
          <w:highlight w:val="none"/>
          <w:lang w:val="en-US" w:eastAsia="zh-CN"/>
        </w:rPr>
        <w:t>招标人</w:t>
      </w:r>
      <w:r>
        <w:rPr>
          <w:rFonts w:hint="eastAsia" w:ascii="Arial" w:hAnsi="Arial" w:cs="Arial"/>
          <w:color w:val="auto"/>
          <w:sz w:val="24"/>
          <w:highlight w:val="none"/>
        </w:rPr>
        <w:t>名称）</w:t>
      </w:r>
    </w:p>
    <w:p>
      <w:pPr>
        <w:spacing w:line="360" w:lineRule="auto"/>
        <w:ind w:firstLine="480" w:firstLineChars="200"/>
        <w:jc w:val="left"/>
        <w:outlineLvl w:val="0"/>
        <w:rPr>
          <w:rFonts w:ascii="Arial" w:hAnsi="Arial" w:cs="Arial"/>
          <w:color w:val="auto"/>
          <w:sz w:val="24"/>
          <w:szCs w:val="28"/>
          <w:highlight w:val="none"/>
        </w:rPr>
      </w:pPr>
      <w:r>
        <w:rPr>
          <w:rFonts w:ascii="Arial" w:hAnsi="Arial" w:cs="Arial"/>
          <w:color w:val="auto"/>
          <w:sz w:val="24"/>
          <w:highlight w:val="none"/>
        </w:rPr>
        <w:t>经研究，我们决定</w:t>
      </w:r>
      <w:r>
        <w:rPr>
          <w:rFonts w:ascii="Arial" w:hAnsi="Arial" w:eastAsia="宋体" w:cs="Arial"/>
          <w:color w:val="auto"/>
          <w:sz w:val="24"/>
          <w:szCs w:val="28"/>
          <w:highlight w:val="none"/>
        </w:rPr>
        <w:t>参加</w:t>
      </w:r>
      <w:r>
        <w:rPr>
          <w:rFonts w:hint="eastAsia" w:ascii="Arial" w:hAnsi="Arial" w:eastAsia="宋体" w:cs="Arial"/>
          <w:color w:val="auto"/>
          <w:sz w:val="24"/>
          <w:szCs w:val="28"/>
          <w:highlight w:val="none"/>
        </w:rPr>
        <w:t>你单位的</w:t>
      </w:r>
      <w:r>
        <w:rPr>
          <w:rFonts w:hint="eastAsia" w:ascii="Arial" w:hAnsi="Arial" w:eastAsia="宋体" w:cs="Arial"/>
          <w:color w:val="auto"/>
          <w:sz w:val="24"/>
          <w:szCs w:val="28"/>
          <w:highlight w:val="none"/>
          <w:u w:val="single"/>
          <w:lang w:eastAsia="zh-CN"/>
        </w:rPr>
        <w:t xml:space="preserve"> </w:t>
      </w:r>
      <w:r>
        <w:rPr>
          <w:rFonts w:hint="eastAsia" w:ascii="Arial" w:hAnsi="Arial" w:cs="Arial"/>
          <w:color w:val="auto"/>
          <w:sz w:val="24"/>
          <w:szCs w:val="28"/>
          <w:highlight w:val="none"/>
          <w:u w:val="single"/>
          <w:lang w:eastAsia="zh-CN"/>
        </w:rPr>
        <w:t>太和路（沿山道路-腾云路）、椒江医化产业园区基础设施提升工程（腾云路半幅道路工程）路灯采购工程</w:t>
      </w:r>
      <w:r>
        <w:rPr>
          <w:rFonts w:ascii="Arial" w:hAnsi="Arial" w:cs="Arial"/>
          <w:color w:val="auto"/>
          <w:sz w:val="24"/>
          <w:highlight w:val="none"/>
        </w:rPr>
        <w:t>的</w:t>
      </w:r>
      <w:r>
        <w:rPr>
          <w:rFonts w:hint="eastAsia" w:ascii="Arial" w:hAnsi="Arial" w:cs="Arial"/>
          <w:color w:val="auto"/>
          <w:sz w:val="24"/>
          <w:szCs w:val="28"/>
          <w:highlight w:val="none"/>
        </w:rPr>
        <w:t>招标</w:t>
      </w:r>
      <w:r>
        <w:rPr>
          <w:rFonts w:ascii="Arial" w:hAnsi="Arial" w:cs="Arial"/>
          <w:color w:val="auto"/>
          <w:sz w:val="24"/>
          <w:szCs w:val="28"/>
          <w:highlight w:val="none"/>
        </w:rPr>
        <w:t>采购活动并提交</w:t>
      </w:r>
      <w:r>
        <w:rPr>
          <w:rFonts w:hint="eastAsia" w:ascii="Arial" w:hAnsi="Arial" w:cs="Arial"/>
          <w:color w:val="auto"/>
          <w:sz w:val="24"/>
          <w:szCs w:val="28"/>
          <w:highlight w:val="none"/>
        </w:rPr>
        <w:t>投标</w:t>
      </w:r>
      <w:r>
        <w:rPr>
          <w:rFonts w:ascii="Arial" w:hAnsi="Arial" w:cs="Arial"/>
          <w:color w:val="auto"/>
          <w:sz w:val="24"/>
          <w:szCs w:val="28"/>
          <w:highlight w:val="none"/>
        </w:rPr>
        <w:t>文件。为此，我方郑重声明以下诸点，并负法律责任。</w:t>
      </w:r>
    </w:p>
    <w:p>
      <w:pPr>
        <w:spacing w:line="360" w:lineRule="auto"/>
        <w:ind w:firstLine="480" w:firstLineChars="200"/>
        <w:jc w:val="left"/>
        <w:outlineLvl w:val="0"/>
        <w:rPr>
          <w:rFonts w:ascii="Arial" w:hAnsi="Arial" w:cs="Arial"/>
          <w:color w:val="auto"/>
          <w:spacing w:val="0"/>
          <w:sz w:val="24"/>
          <w:szCs w:val="24"/>
          <w:highlight w:val="none"/>
        </w:rPr>
      </w:pPr>
      <w:r>
        <w:rPr>
          <w:rFonts w:ascii="Arial" w:hAnsi="Arial" w:cs="Arial"/>
          <w:color w:val="auto"/>
          <w:spacing w:val="0"/>
          <w:sz w:val="24"/>
          <w:szCs w:val="24"/>
          <w:highlight w:val="none"/>
        </w:rPr>
        <w:t>1、如果我们的招标文件被接受，我们将履行招标文件中规定的每一项要求，并按我们投标文件中的承诺按期、按质、按量提供服务。</w:t>
      </w:r>
    </w:p>
    <w:p>
      <w:pPr>
        <w:pStyle w:val="6"/>
        <w:adjustRightInd w:val="0"/>
        <w:snapToGrid w:val="0"/>
        <w:spacing w:line="360" w:lineRule="auto"/>
        <w:ind w:left="0" w:leftChars="0" w:firstLine="480" w:firstLineChars="200"/>
        <w:rPr>
          <w:rFonts w:ascii="Arial" w:hAnsi="Arial" w:cs="Arial"/>
          <w:color w:val="auto"/>
          <w:spacing w:val="0"/>
          <w:sz w:val="24"/>
          <w:szCs w:val="24"/>
          <w:highlight w:val="none"/>
        </w:rPr>
      </w:pPr>
      <w:r>
        <w:rPr>
          <w:rFonts w:ascii="Arial" w:hAnsi="Arial" w:cs="Arial"/>
          <w:color w:val="auto"/>
          <w:spacing w:val="0"/>
          <w:sz w:val="24"/>
          <w:szCs w:val="24"/>
          <w:highlight w:val="none"/>
        </w:rPr>
        <w:t>2、我们同意按采购文件规定遵守</w:t>
      </w:r>
      <w:r>
        <w:rPr>
          <w:rFonts w:hint="eastAsia" w:ascii="Arial" w:hAnsi="Arial" w:cs="Arial"/>
          <w:color w:val="auto"/>
          <w:spacing w:val="0"/>
          <w:sz w:val="24"/>
          <w:szCs w:val="24"/>
          <w:highlight w:val="none"/>
          <w:lang w:val="en-US" w:eastAsia="zh-CN"/>
        </w:rPr>
        <w:t>招标人</w:t>
      </w:r>
      <w:r>
        <w:rPr>
          <w:rFonts w:ascii="Arial" w:hAnsi="Arial" w:cs="Arial"/>
          <w:color w:val="auto"/>
          <w:spacing w:val="0"/>
          <w:sz w:val="24"/>
          <w:szCs w:val="24"/>
          <w:highlight w:val="none"/>
        </w:rPr>
        <w:t>有关采购的各项规定。</w:t>
      </w:r>
    </w:p>
    <w:p>
      <w:pPr>
        <w:pStyle w:val="6"/>
        <w:adjustRightInd w:val="0"/>
        <w:snapToGrid w:val="0"/>
        <w:spacing w:line="360" w:lineRule="auto"/>
        <w:ind w:left="0" w:leftChars="0" w:firstLine="480" w:firstLineChars="200"/>
        <w:rPr>
          <w:rFonts w:ascii="Arial" w:hAnsi="Arial" w:cs="Arial"/>
          <w:color w:val="auto"/>
          <w:sz w:val="24"/>
          <w:szCs w:val="24"/>
          <w:highlight w:val="none"/>
        </w:rPr>
      </w:pPr>
      <w:r>
        <w:rPr>
          <w:rFonts w:ascii="Arial" w:hAnsi="Arial" w:cs="Arial"/>
          <w:color w:val="auto"/>
          <w:spacing w:val="0"/>
          <w:sz w:val="24"/>
          <w:szCs w:val="24"/>
          <w:highlight w:val="none"/>
        </w:rPr>
        <w:t>3、</w:t>
      </w:r>
      <w:r>
        <w:rPr>
          <w:rFonts w:ascii="Arial" w:hAnsi="Arial" w:cs="Arial"/>
          <w:color w:val="auto"/>
          <w:sz w:val="24"/>
          <w:szCs w:val="24"/>
          <w:highlight w:val="none"/>
        </w:rPr>
        <w:t>我方同意提供按照贵方可能要求的与投标有关的一切数据或资料，</w:t>
      </w:r>
      <w:r>
        <w:rPr>
          <w:rFonts w:ascii="Arial" w:hAnsi="Arial" w:cs="Arial"/>
          <w:color w:val="auto"/>
          <w:spacing w:val="0"/>
          <w:sz w:val="24"/>
          <w:szCs w:val="24"/>
          <w:highlight w:val="none"/>
        </w:rPr>
        <w:t>我方若未成为成交投标人，</w:t>
      </w:r>
      <w:r>
        <w:rPr>
          <w:rFonts w:hint="eastAsia" w:ascii="Arial" w:hAnsi="Arial" w:cs="Arial"/>
          <w:color w:val="auto"/>
          <w:spacing w:val="0"/>
          <w:sz w:val="24"/>
          <w:szCs w:val="24"/>
          <w:highlight w:val="none"/>
          <w:lang w:val="en-US" w:eastAsia="zh-CN"/>
        </w:rPr>
        <w:t>招标人</w:t>
      </w:r>
      <w:r>
        <w:rPr>
          <w:rFonts w:ascii="Arial" w:hAnsi="Arial" w:cs="Arial"/>
          <w:color w:val="auto"/>
          <w:spacing w:val="0"/>
          <w:sz w:val="24"/>
          <w:szCs w:val="24"/>
          <w:highlight w:val="none"/>
        </w:rPr>
        <w:t>有权不做任何解释。</w:t>
      </w:r>
    </w:p>
    <w:p>
      <w:pPr>
        <w:pStyle w:val="6"/>
        <w:adjustRightInd w:val="0"/>
        <w:snapToGrid w:val="0"/>
        <w:spacing w:line="360" w:lineRule="auto"/>
        <w:ind w:firstLine="522" w:firstLineChars="225"/>
        <w:rPr>
          <w:rFonts w:hint="eastAsia" w:ascii="宋体" w:hAnsi="宋体"/>
          <w:color w:val="auto"/>
          <w:sz w:val="24"/>
          <w:highlight w:val="none"/>
        </w:rPr>
      </w:pPr>
      <w:r>
        <w:rPr>
          <w:rFonts w:hint="eastAsia" w:ascii="Arial" w:hAnsi="Arial" w:cs="Arial"/>
          <w:color w:val="auto"/>
          <w:sz w:val="24"/>
          <w:highlight w:val="none"/>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auto"/>
                <w:sz w:val="24"/>
                <w:szCs w:val="21"/>
                <w:highlight w:val="none"/>
              </w:rPr>
            </w:pPr>
            <w:r>
              <w:rPr>
                <w:rFonts w:hint="eastAsia" w:ascii="宋体" w:hAnsi="宋体"/>
                <w:color w:val="auto"/>
                <w:sz w:val="24"/>
                <w:szCs w:val="21"/>
                <w:highlight w:val="none"/>
              </w:rPr>
              <w:t>1、投标总报价</w:t>
            </w:r>
          </w:p>
        </w:tc>
        <w:tc>
          <w:tcPr>
            <w:tcW w:w="6338" w:type="dxa"/>
            <w:noWrap w:val="0"/>
            <w:vAlign w:val="center"/>
          </w:tcPr>
          <w:p>
            <w:pPr>
              <w:wordWrap w:val="0"/>
              <w:spacing w:line="360" w:lineRule="auto"/>
              <w:ind w:right="420" w:firstLine="464" w:firstLineChars="200"/>
              <w:outlineLvl w:val="0"/>
              <w:rPr>
                <w:rFonts w:hint="eastAsia" w:ascii="宋体" w:hAnsi="宋体"/>
                <w:bCs/>
                <w:color w:val="auto"/>
                <w:sz w:val="21"/>
                <w:szCs w:val="21"/>
                <w:highlight w:val="none"/>
              </w:rPr>
            </w:pPr>
            <w:r>
              <w:rPr>
                <w:rFonts w:hint="eastAsia" w:ascii="Arial" w:hAnsi="Arial" w:eastAsia="宋体" w:cs="Arial"/>
                <w:color w:val="auto"/>
                <w:spacing w:val="-4"/>
                <w:kern w:val="2"/>
                <w:sz w:val="24"/>
                <w:szCs w:val="20"/>
                <w:highlight w:val="none"/>
                <w:lang w:val="en-US" w:eastAsia="zh-CN" w:bidi="ar-SA"/>
              </w:rPr>
              <w:t>大写</w:t>
            </w:r>
            <w:r>
              <w:rPr>
                <w:rFonts w:hint="eastAsia" w:ascii="Arial" w:hAnsi="Arial" w:eastAsia="宋体" w:cs="Arial"/>
                <w:color w:val="auto"/>
                <w:spacing w:val="-4"/>
                <w:kern w:val="2"/>
                <w:sz w:val="24"/>
                <w:szCs w:val="20"/>
                <w:highlight w:val="none"/>
                <w:u w:val="single"/>
                <w:lang w:val="en-US" w:eastAsia="zh-CN" w:bidi="ar-SA"/>
              </w:rPr>
              <w:t xml:space="preserve">：                  </w:t>
            </w:r>
            <w:r>
              <w:rPr>
                <w:rFonts w:hint="eastAsia" w:ascii="Arial" w:hAnsi="Arial" w:eastAsia="宋体" w:cs="Arial"/>
                <w:color w:val="auto"/>
                <w:spacing w:val="-4"/>
                <w:kern w:val="2"/>
                <w:sz w:val="24"/>
                <w:szCs w:val="20"/>
                <w:highlight w:val="none"/>
                <w:lang w:val="en-US" w:eastAsia="zh-CN" w:bidi="ar-SA"/>
              </w:rPr>
              <w:t>元；小写：</w:t>
            </w:r>
            <w:r>
              <w:rPr>
                <w:rFonts w:hint="eastAsia" w:ascii="Arial" w:hAnsi="Arial" w:eastAsia="宋体" w:cs="Arial"/>
                <w:color w:val="auto"/>
                <w:spacing w:val="-4"/>
                <w:kern w:val="2"/>
                <w:sz w:val="24"/>
                <w:szCs w:val="20"/>
                <w:highlight w:val="none"/>
                <w:u w:val="single"/>
                <w:lang w:val="en-US" w:eastAsia="zh-CN" w:bidi="ar-SA"/>
              </w:rPr>
              <w:t xml:space="preserve">         </w:t>
            </w:r>
            <w:r>
              <w:rPr>
                <w:rFonts w:hint="eastAsia" w:ascii="Arial" w:hAnsi="Arial" w:eastAsia="宋体" w:cs="Arial"/>
                <w:color w:val="auto"/>
                <w:spacing w:val="-4"/>
                <w:kern w:val="2"/>
                <w:sz w:val="24"/>
                <w:szCs w:val="20"/>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2、</w:t>
            </w:r>
            <w:r>
              <w:rPr>
                <w:rFonts w:hint="eastAsia" w:ascii="宋体" w:hAnsi="宋体"/>
                <w:color w:val="auto"/>
                <w:sz w:val="24"/>
                <w:szCs w:val="21"/>
                <w:highlight w:val="none"/>
                <w:lang w:val="en-US" w:eastAsia="zh-CN"/>
              </w:rPr>
              <w:t>供货期</w:t>
            </w:r>
          </w:p>
        </w:tc>
        <w:tc>
          <w:tcPr>
            <w:tcW w:w="6338" w:type="dxa"/>
            <w:noWrap w:val="0"/>
            <w:vAlign w:val="center"/>
          </w:tcPr>
          <w:p>
            <w:pPr>
              <w:spacing w:line="360" w:lineRule="auto"/>
              <w:jc w:val="center"/>
              <w:outlineLvl w:val="0"/>
              <w:rPr>
                <w:rFonts w:ascii="宋体" w:hAnsi="宋体"/>
                <w:color w:val="auto"/>
                <w:sz w:val="24"/>
                <w:szCs w:val="21"/>
                <w:highlight w:val="none"/>
              </w:rPr>
            </w:pPr>
            <w:r>
              <w:rPr>
                <w:rFonts w:hint="eastAsia" w:ascii="宋体" w:hAnsi="宋体"/>
                <w:color w:val="auto"/>
                <w:sz w:val="24"/>
                <w:szCs w:val="21"/>
                <w:highlight w:val="none"/>
                <w:lang w:val="en-US" w:eastAsia="zh-CN"/>
              </w:rPr>
              <w:t>合同签订后，中标人接到招标人书面通知后25天内按照招标人要求完成整批或者分批次供货，（非投标人原因除外）</w:t>
            </w:r>
            <w:r>
              <w:rPr>
                <w:rFonts w:hint="eastAsia" w:ascii="宋体" w:hAnsi="宋体"/>
                <w:color w:val="auto"/>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auto"/>
                <w:sz w:val="24"/>
                <w:szCs w:val="21"/>
                <w:highlight w:val="none"/>
              </w:rPr>
            </w:pPr>
            <w:r>
              <w:rPr>
                <w:rFonts w:hint="eastAsia" w:ascii="宋体" w:hAnsi="宋体"/>
                <w:color w:val="auto"/>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auto"/>
                <w:sz w:val="24"/>
                <w:szCs w:val="21"/>
                <w:highlight w:val="none"/>
              </w:rPr>
            </w:pPr>
            <w:r>
              <w:rPr>
                <w:rFonts w:hint="eastAsia" w:ascii="宋体" w:hAnsi="宋体"/>
                <w:color w:val="auto"/>
                <w:sz w:val="24"/>
                <w:szCs w:val="21"/>
                <w:highlight w:val="none"/>
              </w:rPr>
              <w:t>符合要求</w:t>
            </w:r>
          </w:p>
        </w:tc>
      </w:tr>
    </w:tbl>
    <w:p>
      <w:pPr>
        <w:spacing w:line="320" w:lineRule="exact"/>
        <w:rPr>
          <w:rFonts w:hint="eastAsia" w:ascii="宋体" w:hAnsi="宋体"/>
          <w:color w:val="auto"/>
          <w:sz w:val="24"/>
          <w:highlight w:val="none"/>
        </w:rPr>
      </w:pPr>
    </w:p>
    <w:p>
      <w:pPr>
        <w:spacing w:line="320" w:lineRule="exact"/>
        <w:ind w:left="420"/>
        <w:rPr>
          <w:rFonts w:hint="eastAsia" w:ascii="宋体" w:hAnsi="宋体"/>
          <w:color w:val="auto"/>
          <w:sz w:val="24"/>
          <w:highlight w:val="none"/>
        </w:rPr>
      </w:pPr>
      <w:r>
        <w:rPr>
          <w:rFonts w:hint="eastAsia" w:ascii="宋体" w:hAnsi="宋体"/>
          <w:color w:val="auto"/>
          <w:sz w:val="24"/>
          <w:highlight w:val="none"/>
          <w:lang w:eastAsia="zh-CN"/>
        </w:rPr>
        <w:t>投标人</w:t>
      </w:r>
      <w:r>
        <w:rPr>
          <w:rFonts w:hint="eastAsia" w:ascii="宋体" w:hAnsi="宋体"/>
          <w:color w:val="auto"/>
          <w:sz w:val="24"/>
          <w:highlight w:val="none"/>
        </w:rPr>
        <w:t xml:space="preserve">（盖章）：     </w:t>
      </w:r>
    </w:p>
    <w:p>
      <w:pPr>
        <w:spacing w:line="320" w:lineRule="exact"/>
        <w:ind w:left="420"/>
        <w:rPr>
          <w:rFonts w:hint="eastAsia" w:ascii="宋体" w:hAnsi="宋体"/>
          <w:color w:val="auto"/>
          <w:sz w:val="24"/>
          <w:highlight w:val="none"/>
        </w:rPr>
      </w:pPr>
    </w:p>
    <w:p>
      <w:pPr>
        <w:numPr>
          <w:ilvl w:val="0"/>
          <w:numId w:val="0"/>
        </w:numPr>
        <w:spacing w:line="320" w:lineRule="exact"/>
        <w:ind w:leftChars="0"/>
        <w:rPr>
          <w:rFonts w:hint="eastAsia"/>
          <w:color w:val="auto"/>
          <w:highlight w:val="none"/>
        </w:rPr>
        <w:sectPr>
          <w:pgSz w:w="11906" w:h="16838"/>
          <w:pgMar w:top="1440" w:right="1188" w:bottom="1440" w:left="1797" w:header="851" w:footer="992" w:gutter="0"/>
          <w:pgNumType w:fmt="decimal"/>
          <w:cols w:space="720" w:num="1"/>
          <w:docGrid w:type="lines" w:linePitch="312" w:charSpace="0"/>
        </w:sectPr>
      </w:pPr>
      <w:r>
        <w:rPr>
          <w:rFonts w:hint="eastAsia" w:ascii="宋体" w:hAnsi="宋体"/>
          <w:color w:val="auto"/>
          <w:sz w:val="24"/>
          <w:highlight w:val="none"/>
        </w:rPr>
        <w:t xml:space="preserve"> 法定代表人（签字或盖章）：                       日期：</w:t>
      </w:r>
      <w:r>
        <w:rPr>
          <w:rFonts w:hint="eastAsia" w:ascii="宋体"/>
          <w:color w:val="auto"/>
          <w:sz w:val="24"/>
          <w:highlight w:val="none"/>
          <w:lang w:val="en-US" w:eastAsia="zh-CN"/>
        </w:rPr>
        <w:t xml:space="preserve"> </w:t>
      </w:r>
      <w:r>
        <w:rPr>
          <w:rFonts w:hint="eastAsia" w:ascii="宋体" w:hAnsi="宋体" w:eastAsia="宋体" w:cs="Times New Roman"/>
          <w:color w:val="auto"/>
          <w:highlight w:val="none"/>
        </w:rPr>
        <w:t xml:space="preserve"> </w:t>
      </w:r>
      <w:r>
        <w:rPr>
          <w:rFonts w:hint="eastAsia" w:ascii="宋体" w:hAnsi="宋体" w:eastAsia="宋体" w:cs="Times New Roman"/>
          <w:color w:val="auto"/>
          <w:sz w:val="24"/>
          <w:highlight w:val="none"/>
        </w:rPr>
        <w:t xml:space="preserve"> 年</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月</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日</w:t>
      </w:r>
      <w:r>
        <w:rPr>
          <w:rFonts w:hint="eastAsia" w:ascii="宋体" w:hAnsi="宋体"/>
          <w:color w:val="auto"/>
          <w:sz w:val="24"/>
          <w:highlight w:val="none"/>
        </w:rPr>
        <w:t xml:space="preserve">   </w:t>
      </w:r>
    </w:p>
    <w:p>
      <w:pPr>
        <w:snapToGrid w:val="0"/>
        <w:spacing w:before="50" w:after="156" w:afterLines="50"/>
        <w:jc w:val="left"/>
        <w:rPr>
          <w:rFonts w:hint="eastAsia" w:ascii="宋体" w:hAnsi="宋体" w:cs="宋体"/>
          <w:b/>
          <w:color w:val="auto"/>
          <w:sz w:val="28"/>
          <w:szCs w:val="28"/>
          <w:highlight w:val="none"/>
          <w:lang w:eastAsia="zh-CN"/>
        </w:rPr>
      </w:pPr>
      <w:r>
        <w:rPr>
          <w:rFonts w:hint="eastAsia" w:ascii="宋体" w:hAnsi="宋体" w:cs="Times New Roman"/>
          <w:b/>
          <w:bCs/>
          <w:color w:val="auto"/>
          <w:sz w:val="24"/>
          <w:highlight w:val="none"/>
          <w:lang w:val="en-US" w:eastAsia="zh-CN"/>
        </w:rPr>
        <w:t>7</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val="en-US" w:eastAsia="zh-CN"/>
        </w:rPr>
        <w:t>投标报价明细表</w:t>
      </w:r>
    </w:p>
    <w:p>
      <w:pPr>
        <w:pStyle w:val="42"/>
        <w:ind w:left="0" w:left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sz w:val="28"/>
          <w:szCs w:val="28"/>
          <w:highlight w:val="none"/>
          <w:lang w:eastAsia="zh-CN"/>
        </w:rPr>
        <w:t>太和路（沿山道路-腾云路）、椒江医化产业园区基础设施提升工程（腾云路半幅道路工程）工程路灯采购</w:t>
      </w:r>
      <w:r>
        <w:rPr>
          <w:rFonts w:hint="eastAsia" w:ascii="宋体" w:hAnsi="宋体" w:eastAsia="宋体" w:cs="宋体"/>
          <w:b/>
          <w:color w:val="auto"/>
          <w:kern w:val="2"/>
          <w:sz w:val="28"/>
          <w:szCs w:val="28"/>
          <w:highlight w:val="none"/>
          <w:lang w:val="en-US" w:eastAsia="zh-CN" w:bidi="ar-SA"/>
        </w:rPr>
        <w:t>投标报价明细</w:t>
      </w:r>
      <w:r>
        <w:rPr>
          <w:rFonts w:hint="eastAsia" w:ascii="宋体" w:hAnsi="宋体" w:cs="宋体"/>
          <w:b/>
          <w:color w:val="auto"/>
          <w:kern w:val="2"/>
          <w:sz w:val="28"/>
          <w:szCs w:val="28"/>
          <w:highlight w:val="none"/>
          <w:lang w:val="en-US" w:eastAsia="zh-CN" w:bidi="ar-SA"/>
        </w:rPr>
        <w:t>表</w:t>
      </w:r>
    </w:p>
    <w:p>
      <w:pPr>
        <w:pStyle w:val="42"/>
        <w:ind w:left="0" w:leftChars="0"/>
        <w:rPr>
          <w:rFonts w:hint="eastAsia" w:ascii="Arial" w:hAnsi="Arial" w:eastAsia="宋体" w:cs="Arial"/>
          <w:color w:val="auto"/>
          <w:spacing w:val="0"/>
          <w:kern w:val="2"/>
          <w:sz w:val="24"/>
          <w:szCs w:val="24"/>
          <w:highlight w:val="none"/>
          <w:lang w:val="en-US" w:eastAsia="zh-CN" w:bidi="ar-SA"/>
        </w:rPr>
      </w:pPr>
      <w:r>
        <w:rPr>
          <w:rFonts w:hint="eastAsia" w:ascii="Arial" w:hAnsi="Arial" w:cs="Arial"/>
          <w:color w:val="auto"/>
          <w:spacing w:val="0"/>
          <w:kern w:val="2"/>
          <w:sz w:val="24"/>
          <w:szCs w:val="24"/>
          <w:highlight w:val="none"/>
          <w:lang w:val="en-US" w:eastAsia="zh-CN" w:bidi="ar-SA"/>
        </w:rPr>
        <w:t>台州市椒江新城基础设施建设有限公司</w:t>
      </w:r>
      <w:r>
        <w:rPr>
          <w:rFonts w:hint="eastAsia" w:ascii="Arial" w:hAnsi="Arial" w:eastAsia="宋体" w:cs="Arial"/>
          <w:color w:val="auto"/>
          <w:spacing w:val="0"/>
          <w:kern w:val="2"/>
          <w:sz w:val="24"/>
          <w:szCs w:val="24"/>
          <w:highlight w:val="none"/>
          <w:lang w:val="en-US" w:eastAsia="zh-CN" w:bidi="ar-SA"/>
        </w:rPr>
        <w:t>：</w:t>
      </w:r>
    </w:p>
    <w:p>
      <w:pP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 xml:space="preserve">    根据己收到的招标文件，我单位经考察现场和研究上述项目的招标文件后，在全部同意招标文件内容前提下，我方保证，按如下投标报价承包上述项目。</w:t>
      </w:r>
    </w:p>
    <w:tbl>
      <w:tblPr>
        <w:tblStyle w:val="47"/>
        <w:tblW w:w="1407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2150"/>
        <w:gridCol w:w="5517"/>
        <w:gridCol w:w="791"/>
        <w:gridCol w:w="1256"/>
        <w:gridCol w:w="1354"/>
        <w:gridCol w:w="1156"/>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609" w:type="dxa"/>
            <w:tcBorders>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序号</w:t>
            </w:r>
          </w:p>
        </w:tc>
        <w:tc>
          <w:tcPr>
            <w:tcW w:w="2150"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杆件类型</w:t>
            </w:r>
          </w:p>
        </w:tc>
        <w:tc>
          <w:tcPr>
            <w:tcW w:w="5517"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规格</w:t>
            </w:r>
          </w:p>
        </w:tc>
        <w:tc>
          <w:tcPr>
            <w:tcW w:w="791"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数量（套）</w:t>
            </w:r>
          </w:p>
        </w:tc>
        <w:tc>
          <w:tcPr>
            <w:tcW w:w="125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单价上限价（元/套）</w:t>
            </w:r>
          </w:p>
        </w:tc>
        <w:tc>
          <w:tcPr>
            <w:tcW w:w="135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全费用综合单价（元/套）</w:t>
            </w:r>
          </w:p>
        </w:tc>
        <w:tc>
          <w:tcPr>
            <w:tcW w:w="115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合价（元）</w:t>
            </w:r>
          </w:p>
        </w:tc>
        <w:tc>
          <w:tcPr>
            <w:tcW w:w="1242" w:type="dxa"/>
            <w:tcBorders>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0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单挑式路灯</w:t>
            </w:r>
          </w:p>
        </w:tc>
        <w:tc>
          <w:tcPr>
            <w:tcW w:w="5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LED120W,灯具安装高度10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2890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24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包含模组</w:t>
            </w:r>
            <w:r>
              <w:rPr>
                <w:rFonts w:hint="eastAsia" w:ascii="Arial" w:hAnsi="Arial" w:eastAsia="宋体" w:cs="Arial"/>
                <w:color w:val="auto"/>
                <w:spacing w:val="0"/>
                <w:kern w:val="2"/>
                <w:sz w:val="24"/>
                <w:szCs w:val="24"/>
                <w:highlight w:val="none"/>
                <w:lang w:val="en-US" w:eastAsia="zh-CN" w:bidi="ar-SA"/>
              </w:rPr>
              <w:br w:type="textWrapping"/>
            </w:r>
            <w:r>
              <w:rPr>
                <w:rFonts w:hint="eastAsia" w:ascii="Arial" w:hAnsi="Arial" w:eastAsia="宋体" w:cs="Arial"/>
                <w:color w:val="auto"/>
                <w:spacing w:val="0"/>
                <w:kern w:val="2"/>
                <w:sz w:val="24"/>
                <w:szCs w:val="24"/>
                <w:highlight w:val="none"/>
                <w:lang w:val="en-US" w:eastAsia="zh-CN" w:bidi="ar-SA"/>
              </w:rPr>
              <w:t>、驱动、单灯控制器</w:t>
            </w:r>
            <w:r>
              <w:rPr>
                <w:rFonts w:hint="eastAsia" w:ascii="Arial" w:hAnsi="Arial" w:cs="Arial"/>
                <w:color w:val="auto"/>
                <w:spacing w:val="0"/>
                <w:kern w:val="2"/>
                <w:sz w:val="24"/>
                <w:szCs w:val="24"/>
                <w:highlight w:val="none"/>
                <w:lang w:val="en-US" w:eastAsia="zh-CN" w:bidi="ar-SA"/>
              </w:rPr>
              <w:t>46</w:t>
            </w:r>
            <w:r>
              <w:rPr>
                <w:rFonts w:hint="eastAsia" w:ascii="Arial" w:hAnsi="Arial" w:eastAsia="宋体" w:cs="Arial"/>
                <w:color w:val="auto"/>
                <w:spacing w:val="0"/>
                <w:kern w:val="2"/>
                <w:sz w:val="24"/>
                <w:szCs w:val="24"/>
                <w:highlight w:val="none"/>
                <w:lang w:val="en-US" w:eastAsia="zh-CN" w:bidi="ar-SA"/>
              </w:rPr>
              <w:t>个、杆内保险，不含现场施工、杆内电缆线、基础地笼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0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cs="宋体"/>
                <w:i w:val="0"/>
                <w:color w:val="000000"/>
                <w:kern w:val="0"/>
                <w:sz w:val="22"/>
                <w:szCs w:val="22"/>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双挑式路灯</w:t>
            </w:r>
          </w:p>
        </w:tc>
        <w:tc>
          <w:tcPr>
            <w:tcW w:w="5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LED200W+LED120W,机动车道一侧灯具安装高度11m，灯臂长1.5m，非机动车道一侧灯具安装高度9m，灯臂长1.5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宋体" w:hAnsi="宋体" w:cs="宋体"/>
                <w:i w:val="0"/>
                <w:color w:val="000000"/>
                <w:kern w:val="0"/>
                <w:sz w:val="22"/>
                <w:szCs w:val="22"/>
                <w:u w:val="none"/>
                <w:lang w:val="en-US" w:eastAsia="zh-CN" w:bidi="ar"/>
              </w:rPr>
              <w:t>4200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24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Arial" w:hAnsi="Arial" w:eastAsia="宋体" w:cs="Arial"/>
                <w:color w:val="auto"/>
                <w:spacing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0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cs="宋体"/>
                <w:i w:val="0"/>
                <w:color w:val="000000"/>
                <w:kern w:val="0"/>
                <w:sz w:val="22"/>
                <w:szCs w:val="22"/>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中杆灯</w:t>
            </w:r>
          </w:p>
        </w:tc>
        <w:tc>
          <w:tcPr>
            <w:tcW w:w="5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1、4*LED200W,灯具安装高度13.8m，灯臂长1.0m，IP65；灯杆材料采用Q235或更合适的低硅低碳高强度优质钢材；根据沿海气候条件，所有灯杆均要求杆体（包括其他不锈钢意外的加工件）内外热浸镀锌处理，镀锌厚度≥86um,610g/㎡以上，防腐年限30年以上。LED灯具外壳防护等级不应小于IP65，电源模组应符合现行国家标准《灯的控制装置第14部分；LED模块用直流或交流电子装置的特殊要求》GB19510.14的要求；灯具包含保护熔断器。（其余参数要求详见招标文件及图纸）</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color w:val="auto"/>
                <w:spacing w:val="0"/>
                <w:kern w:val="2"/>
                <w:sz w:val="24"/>
                <w:szCs w:val="24"/>
                <w:highlight w:val="none"/>
                <w:lang w:val="en-US" w:eastAsia="zh-CN" w:bidi="ar-SA"/>
              </w:rPr>
            </w:pPr>
            <w:r>
              <w:rPr>
                <w:rFonts w:hint="eastAsia" w:ascii="宋体" w:hAnsi="宋体" w:eastAsia="宋体" w:cs="宋体"/>
                <w:i w:val="0"/>
                <w:color w:val="000000"/>
                <w:kern w:val="0"/>
                <w:sz w:val="22"/>
                <w:szCs w:val="22"/>
                <w:u w:val="none"/>
                <w:lang w:val="en-US" w:eastAsia="zh-CN" w:bidi="ar"/>
              </w:rPr>
              <w:t>5856</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color w:val="auto"/>
                <w:spacing w:val="0"/>
                <w:kern w:val="2"/>
                <w:sz w:val="24"/>
                <w:szCs w:val="24"/>
                <w:highlight w:val="none"/>
                <w:lang w:val="en-US" w:eastAsia="zh-CN" w:bidi="ar-SA"/>
              </w:rPr>
            </w:pPr>
          </w:p>
        </w:tc>
        <w:tc>
          <w:tcPr>
            <w:tcW w:w="124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Arial" w:hAnsi="Arial" w:eastAsia="宋体" w:cs="Arial"/>
                <w:color w:val="auto"/>
                <w:spacing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4075" w:type="dxa"/>
            <w:gridSpan w:val="8"/>
            <w:tcBorders>
              <w:top w:val="single" w:color="000000" w:sz="4" w:space="0"/>
              <w:bottom w:val="single" w:color="000000" w:sz="4" w:space="0"/>
            </w:tcBorders>
            <w:shd w:val="clear" w:color="auto" w:fill="auto"/>
            <w:noWrap/>
            <w:vAlign w:val="center"/>
          </w:tcPr>
          <w:p>
            <w:pPr>
              <w:jc w:val="both"/>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合计=1+2+3=</w:t>
            </w:r>
            <w:r>
              <w:rPr>
                <w:rFonts w:hint="eastAsia" w:ascii="Arial" w:hAnsi="Arial" w:eastAsia="宋体" w:cs="Arial"/>
                <w:color w:val="auto"/>
                <w:spacing w:val="0"/>
                <w:kern w:val="2"/>
                <w:sz w:val="24"/>
                <w:szCs w:val="24"/>
                <w:highlight w:val="none"/>
                <w:u w:val="single"/>
                <w:lang w:val="en-US" w:eastAsia="zh-CN" w:bidi="ar-SA"/>
              </w:rPr>
              <w:t xml:space="preserve">                    </w:t>
            </w:r>
            <w:r>
              <w:rPr>
                <w:rFonts w:hint="eastAsia" w:ascii="Arial" w:hAnsi="Arial" w:eastAsia="宋体" w:cs="Arial"/>
                <w:color w:val="auto"/>
                <w:spacing w:val="0"/>
                <w:kern w:val="2"/>
                <w:sz w:val="24"/>
                <w:szCs w:val="24"/>
                <w:highlight w:val="none"/>
                <w:lang w:val="en-US" w:eastAsia="zh-CN" w:bidi="ar-SA"/>
              </w:rPr>
              <w:t>（元）转结至附件6开标一览表（建议单价保留整数。）</w:t>
            </w:r>
          </w:p>
        </w:tc>
      </w:tr>
    </w:tbl>
    <w:p>
      <w:pPr>
        <w:pStyle w:val="42"/>
        <w:numPr>
          <w:ilvl w:val="0"/>
          <w:numId w:val="0"/>
        </w:numPr>
        <w:spacing w:line="240" w:lineRule="auto"/>
        <w:ind w:firstLine="480" w:firstLineChars="200"/>
        <w:jc w:val="left"/>
        <w:rPr>
          <w:rFonts w:hint="eastAsia" w:ascii="Arial" w:hAnsi="Arial" w:eastAsia="宋体" w:cs="Arial"/>
          <w:color w:val="auto"/>
          <w:spacing w:val="0"/>
          <w:kern w:val="2"/>
          <w:sz w:val="24"/>
          <w:szCs w:val="24"/>
          <w:highlight w:val="none"/>
          <w:lang w:val="en-US" w:eastAsia="zh-CN" w:bidi="ar-SA"/>
        </w:rPr>
      </w:pPr>
    </w:p>
    <w:p>
      <w:pPr>
        <w:spacing w:line="240" w:lineRule="auto"/>
        <w:jc w:val="left"/>
        <w:rPr>
          <w:rFonts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注：1</w:t>
      </w:r>
      <w:r>
        <w:rPr>
          <w:rFonts w:ascii="Arial" w:hAnsi="Arial" w:eastAsia="宋体" w:cs="Arial"/>
          <w:color w:val="auto"/>
          <w:spacing w:val="0"/>
          <w:kern w:val="2"/>
          <w:sz w:val="24"/>
          <w:szCs w:val="24"/>
          <w:highlight w:val="none"/>
          <w:lang w:val="en-US" w:eastAsia="zh-CN" w:bidi="ar-SA"/>
        </w:rPr>
        <w:t>.</w:t>
      </w:r>
      <w:r>
        <w:rPr>
          <w:rFonts w:hint="eastAsia" w:ascii="Arial" w:hAnsi="Arial" w:eastAsia="宋体" w:cs="Arial"/>
          <w:color w:val="auto"/>
          <w:spacing w:val="0"/>
          <w:kern w:val="2"/>
          <w:sz w:val="24"/>
          <w:szCs w:val="24"/>
          <w:highlight w:val="none"/>
          <w:lang w:val="en-US" w:eastAsia="zh-CN" w:bidi="ar-SA"/>
        </w:rPr>
        <w:t>投标报价明细表</w:t>
      </w:r>
      <w:r>
        <w:rPr>
          <w:rFonts w:hint="eastAsia" w:ascii="Arial" w:hAnsi="Arial" w:eastAsia="宋体" w:cs="Arial"/>
          <w:color w:val="auto"/>
          <w:spacing w:val="0"/>
          <w:kern w:val="2"/>
          <w:sz w:val="24"/>
          <w:szCs w:val="24"/>
          <w:highlight w:val="none"/>
          <w:lang w:val="zh-CN" w:eastAsia="zh-CN" w:bidi="ar-SA"/>
        </w:rPr>
        <w:t>中空白部分由投标人填写，每单项均须填写单价和合价,其它属于招标内容范围内而未列入工程量清单子目内的，视为己包含或分配到工程量清单的其它单价或合价之中。计算结果以元为单位，保留整数。</w:t>
      </w:r>
    </w:p>
    <w:p>
      <w:pPr>
        <w:numPr>
          <w:ilvl w:val="0"/>
          <w:numId w:val="0"/>
        </w:numPr>
        <w:spacing w:line="240" w:lineRule="auto"/>
        <w:ind w:left="15" w:leftChars="0" w:firstLine="480" w:firstLineChars="200"/>
        <w:rPr>
          <w:rFonts w:hint="eastAsia" w:ascii="Arial" w:hAnsi="Arial" w:eastAsia="宋体" w:cs="Arial"/>
          <w:color w:val="auto"/>
          <w:spacing w:val="0"/>
          <w:kern w:val="2"/>
          <w:sz w:val="24"/>
          <w:szCs w:val="24"/>
          <w:highlight w:val="none"/>
          <w:lang w:val="zh-CN" w:eastAsia="zh-CN" w:bidi="ar-SA"/>
        </w:rPr>
      </w:pPr>
      <w:r>
        <w:rPr>
          <w:rFonts w:hint="eastAsia" w:ascii="Arial" w:hAnsi="Arial" w:eastAsia="宋体" w:cs="Arial"/>
          <w:color w:val="auto"/>
          <w:spacing w:val="0"/>
          <w:kern w:val="2"/>
          <w:sz w:val="24"/>
          <w:szCs w:val="24"/>
          <w:highlight w:val="none"/>
          <w:lang w:val="en-US" w:eastAsia="zh-CN" w:bidi="ar-SA"/>
        </w:rPr>
        <w:t>2</w:t>
      </w:r>
      <w:r>
        <w:rPr>
          <w:rFonts w:hint="eastAsia" w:ascii="Arial" w:hAnsi="Arial" w:eastAsia="宋体" w:cs="Arial"/>
          <w:color w:val="auto"/>
          <w:spacing w:val="0"/>
          <w:kern w:val="2"/>
          <w:sz w:val="24"/>
          <w:szCs w:val="24"/>
          <w:highlight w:val="none"/>
          <w:lang w:val="zh-CN" w:eastAsia="zh-CN" w:bidi="ar-SA"/>
        </w:rPr>
        <w:t>.“投标报价明细表”中的报价合计应与“开标一览表”中的投标总报价相一致，不一致时，以开标一览表为准。</w:t>
      </w:r>
    </w:p>
    <w:p>
      <w:pPr>
        <w:numPr>
          <w:ilvl w:val="0"/>
          <w:numId w:val="0"/>
        </w:numPr>
        <w:spacing w:line="240" w:lineRule="auto"/>
        <w:ind w:firstLine="480" w:firstLineChars="200"/>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3</w:t>
      </w:r>
      <w:r>
        <w:rPr>
          <w:rFonts w:ascii="Arial" w:hAnsi="Arial" w:eastAsia="宋体" w:cs="Arial"/>
          <w:color w:val="auto"/>
          <w:spacing w:val="0"/>
          <w:kern w:val="2"/>
          <w:sz w:val="24"/>
          <w:szCs w:val="24"/>
          <w:highlight w:val="none"/>
          <w:lang w:val="en-US" w:eastAsia="zh-CN" w:bidi="ar-SA"/>
        </w:rPr>
        <w:t>.</w:t>
      </w:r>
      <w:r>
        <w:rPr>
          <w:rFonts w:hint="eastAsia" w:ascii="Arial" w:hAnsi="Arial" w:eastAsia="宋体" w:cs="Arial"/>
          <w:color w:val="auto"/>
          <w:spacing w:val="0"/>
          <w:kern w:val="2"/>
          <w:sz w:val="24"/>
          <w:szCs w:val="24"/>
          <w:highlight w:val="none"/>
          <w:lang w:val="en-US" w:eastAsia="zh-CN" w:bidi="ar-SA"/>
        </w:rPr>
        <w:t>投标报价明细表</w:t>
      </w:r>
      <w:r>
        <w:rPr>
          <w:rFonts w:hint="eastAsia" w:ascii="Arial" w:hAnsi="Arial" w:eastAsia="宋体" w:cs="Arial"/>
          <w:color w:val="auto"/>
          <w:spacing w:val="0"/>
          <w:kern w:val="2"/>
          <w:sz w:val="24"/>
          <w:szCs w:val="24"/>
          <w:highlight w:val="none"/>
          <w:lang w:val="zh-CN" w:eastAsia="zh-CN" w:bidi="ar-SA"/>
        </w:rPr>
        <w:t>所填内容按采购文件采购设备清单要求为准。如有漏报的，视同已包含在投标总价内或已作优惠处理。有重大缺项的将作无效标处理。</w:t>
      </w:r>
    </w:p>
    <w:p>
      <w:pPr>
        <w:snapToGrid/>
        <w:spacing w:line="320" w:lineRule="exact"/>
        <w:jc w:val="left"/>
        <w:rPr>
          <w:rFonts w:hint="eastAsia" w:ascii="Arial" w:hAnsi="Arial" w:eastAsia="宋体" w:cs="Arial"/>
          <w:color w:val="auto"/>
          <w:spacing w:val="0"/>
          <w:kern w:val="2"/>
          <w:sz w:val="24"/>
          <w:szCs w:val="24"/>
          <w:highlight w:val="none"/>
          <w:lang w:val="en-US" w:eastAsia="zh-CN" w:bidi="ar-SA"/>
        </w:rPr>
      </w:pPr>
    </w:p>
    <w:p>
      <w:pPr>
        <w:snapToGrid/>
        <w:spacing w:line="320" w:lineRule="exact"/>
        <w:jc w:val="left"/>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投标人名称：                                 （盖单位电子公章）</w:t>
      </w:r>
    </w:p>
    <w:p>
      <w:pPr>
        <w:widowControl/>
        <w:snapToGrid/>
        <w:spacing w:line="320" w:lineRule="exact"/>
        <w:jc w:val="left"/>
        <w:rPr>
          <w:rFonts w:hint="eastAsia" w:ascii="Arial" w:hAnsi="Arial" w:eastAsia="宋体" w:cs="Arial"/>
          <w:color w:val="auto"/>
          <w:spacing w:val="0"/>
          <w:kern w:val="2"/>
          <w:sz w:val="24"/>
          <w:szCs w:val="24"/>
          <w:highlight w:val="none"/>
          <w:lang w:val="en-US" w:eastAsia="zh-CN" w:bidi="ar-SA"/>
        </w:rPr>
      </w:pPr>
      <w:r>
        <w:rPr>
          <w:rFonts w:hint="eastAsia" w:ascii="Arial" w:hAnsi="Arial" w:eastAsia="宋体" w:cs="Arial"/>
          <w:color w:val="auto"/>
          <w:spacing w:val="0"/>
          <w:kern w:val="2"/>
          <w:sz w:val="24"/>
          <w:szCs w:val="24"/>
          <w:highlight w:val="none"/>
          <w:lang w:val="en-US" w:eastAsia="zh-CN" w:bidi="ar-SA"/>
        </w:rPr>
        <w:t>法定代表人或者其委托代理人：         （盖法定代表人电子章）</w:t>
      </w:r>
    </w:p>
    <w:p>
      <w:pPr>
        <w:spacing w:line="320" w:lineRule="exact"/>
        <w:jc w:val="left"/>
        <w:rPr>
          <w:rFonts w:hint="eastAsia" w:ascii="宋体" w:hAnsi="宋体" w:cs="宋体"/>
          <w:color w:val="auto"/>
          <w:szCs w:val="20"/>
          <w:highlight w:val="none"/>
          <w:u w:val="single"/>
        </w:rPr>
      </w:pPr>
      <w:r>
        <w:rPr>
          <w:rFonts w:hint="eastAsia" w:ascii="Arial" w:hAnsi="Arial" w:eastAsia="宋体" w:cs="Arial"/>
          <w:color w:val="auto"/>
          <w:spacing w:val="0"/>
          <w:kern w:val="2"/>
          <w:sz w:val="24"/>
          <w:szCs w:val="24"/>
          <w:highlight w:val="none"/>
          <w:lang w:val="en-US" w:eastAsia="zh-CN" w:bidi="ar-SA"/>
        </w:rPr>
        <w:t xml:space="preserve">日       期：              年          月          日               </w:t>
      </w:r>
    </w:p>
    <w:sectPr>
      <w:footerReference r:id="rId16" w:type="default"/>
      <w:pgSz w:w="16838" w:h="11906" w:orient="landscape"/>
      <w:pgMar w:top="1797" w:right="1440" w:bottom="1188"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page" w:x="5897" w:y="97"/>
      <w:rPr>
        <w:rStyle w:val="55"/>
      </w:rPr>
    </w:pPr>
    <w:r>
      <w:fldChar w:fldCharType="begin"/>
    </w:r>
    <w:r>
      <w:rPr>
        <w:rStyle w:val="55"/>
      </w:rPr>
      <w:instrText xml:space="preserve">PAGE  </w:instrText>
    </w:r>
    <w:r>
      <w:fldChar w:fldCharType="separate"/>
    </w:r>
    <w:r>
      <w:rPr>
        <w:rStyle w:val="55"/>
      </w:rPr>
      <w:t>33</w: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720"/>
      <w:jc w:val="center"/>
      <w:rPr>
        <w:rFonts w:hint="eastAsia"/>
        <w:b/>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ind w:right="720"/>
                            <w:jc w:val="center"/>
                          </w:pPr>
                          <w:r>
                            <w:rPr>
                              <w:rFonts w:ascii="宋体"/>
                              <w:b/>
                            </w:rPr>
                            <w:fldChar w:fldCharType="begin"/>
                          </w:r>
                          <w:r>
                            <w:rPr>
                              <w:rStyle w:val="51"/>
                              <w:b/>
                            </w:rPr>
                            <w:instrText xml:space="preserve"> PAGE </w:instrText>
                          </w:r>
                          <w:r>
                            <w:rPr>
                              <w:rFonts w:ascii="宋体"/>
                              <w:b/>
                            </w:rPr>
                            <w:fldChar w:fldCharType="separate"/>
                          </w:r>
                          <w:r>
                            <w:rPr>
                              <w:rStyle w:val="51"/>
                              <w:b/>
                            </w:rPr>
                            <w:t>27</w:t>
                          </w:r>
                          <w:r>
                            <w:rPr>
                              <w:rFonts w:ascii="宋体"/>
                              <w:b/>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4"/>
                      <w:ind w:right="720"/>
                      <w:jc w:val="center"/>
                    </w:pPr>
                    <w:r>
                      <w:rPr>
                        <w:rFonts w:ascii="宋体"/>
                        <w:b/>
                      </w:rPr>
                      <w:fldChar w:fldCharType="begin"/>
                    </w:r>
                    <w:r>
                      <w:rPr>
                        <w:rStyle w:val="51"/>
                        <w:b/>
                      </w:rPr>
                      <w:instrText xml:space="preserve"> PAGE </w:instrText>
                    </w:r>
                    <w:r>
                      <w:rPr>
                        <w:rFonts w:ascii="宋体"/>
                        <w:b/>
                      </w:rPr>
                      <w:fldChar w:fldCharType="separate"/>
                    </w:r>
                    <w:r>
                      <w:rPr>
                        <w:rStyle w:val="51"/>
                        <w:b/>
                      </w:rPr>
                      <w:t>27</w:t>
                    </w:r>
                    <w:r>
                      <w:rPr>
                        <w:rFonts w:ascii="宋体"/>
                        <w:b/>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mJgknwwEAAHEDAAAOAAAAAAAAAAEAIAAAAB4BAABkcnMvZTJvRG9jLnhtbFBL&#10;BQYAAAAABgAGAFkBAABT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31</w:t>
                    </w:r>
                    <w:r>
                      <w:fldChar w:fldCharType="end"/>
                    </w:r>
                  </w:p>
                </w:txbxContent>
              </v:textbox>
            </v:shape>
          </w:pict>
        </mc:Fallback>
      </mc:AlternateContent>
    </w:r>
  </w:p>
  <w:p>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0OvJiMQBAABxAwAADgAAAAAAAAABACAAAAAeAQAAZHJzL2Uyb0RvYy54bWxQ&#10;SwUGAAAAAAYABgBZAQAAVA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7QTqcMBAABxAwAADgAAAGRycy9lMm9Eb2MueG1srVNLjhMxEN0jcQfL&#10;e+KeI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NnlHjhcEWnb19P33+efnwhy6dlPkNMLabdRUzM48sw4p5nf0JnoT1qcOWL&#10;hAjGcdLHy3TVmIksj1bL1arBkMTYfMH67OF5hJRfq+BIMTgFXF+dqji8TXlKnVNKNx9ujbV1hdb/&#10;5sCaxcMK9gljsfK4Hc+EtqE7Ih9ULvbpA3ymZEAVcOpRppTYNx6HXAQzGzAb29kQXuJDTjMlk/kq&#10;T8LaRzC7vkqtgErxxT4j0kqgwJh6n9HhXusIzhoswvn1XrMe/pTN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tBOpwwEAAHEDAAAOAAAAAAAAAAEAIAAAAB4BAABkcnMvZTJvRG9jLnhtbFBL&#10;BQYAAAAABgAGAFkBAABTBQ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ascii="宋体" w:hAnsi="宋体"/>
      </w:rPr>
    </w:pPr>
    <w:r>
      <w:rPr>
        <w:rFonts w:hint="eastAsia" w:ascii="宋体" w:hAnsi="宋体"/>
        <w:bCs/>
        <w:lang w:eastAsia="zh-CN"/>
      </w:rPr>
      <w:t>台州湾新区滨康大道（海昌路—海丰路）北半幅道路工程、东海大道（聚海大道-渔舟路）道路工程（绿化工程）（ 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hint="eastAsia" w:ascii="宋体" w:hAnsi="宋体"/>
        <w:bCs/>
        <w:lang w:eastAsia="zh-CN"/>
      </w:rPr>
    </w:pPr>
    <w:r>
      <w:rPr>
        <w:rFonts w:hint="eastAsia" w:ascii="宋体" w:hAnsi="宋体"/>
        <w:bCs/>
        <w:lang w:val="en-US" w:eastAsia="zh-CN"/>
      </w:rPr>
      <w:t>太和路（沿山道路-腾云路）、椒江医化产业园区基础设施提升工程（腾云路半幅道路工程）路灯采购工程</w:t>
    </w:r>
  </w:p>
  <w:p>
    <w:pPr>
      <w:pStyle w:val="36"/>
      <w:jc w:val="right"/>
    </w:pPr>
    <w:r>
      <w:rPr>
        <w:rFonts w:hint="eastAsia" w:ascii="宋体" w:hAnsi="宋体"/>
        <w:bCs/>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rFonts w:hint="eastAsia" w:asci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pPr>
    <w:r>
      <w:rPr>
        <w:rFonts w:hint="eastAsia" w:ascii="宋体" w:hAnsi="宋体"/>
        <w:bCs/>
        <w:lang w:val="en-US" w:eastAsia="zh-CN"/>
      </w:rPr>
      <w:t xml:space="preserve">太和路（沿山道路-腾云路）、椒江医化产业园区基础设施提升工程（腾云路半幅道路工程）工程路灯采购工程招标文件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C495551C"/>
    <w:multiLevelType w:val="singleLevel"/>
    <w:tmpl w:val="C495551C"/>
    <w:lvl w:ilvl="0" w:tentative="0">
      <w:start w:val="6"/>
      <w:numFmt w:val="chineseCounting"/>
      <w:suff w:val="nothing"/>
      <w:lvlText w:val="%1、"/>
      <w:lvlJc w:val="left"/>
      <w:pPr>
        <w:tabs>
          <w:tab w:val="left" w:pos="0"/>
        </w:tabs>
        <w:ind w:left="0" w:firstLine="0"/>
      </w:pPr>
      <w:rPr>
        <w:rFonts w:hint="eastAsia"/>
      </w:rPr>
    </w:lvl>
  </w:abstractNum>
  <w:abstractNum w:abstractNumId="2">
    <w:nsid w:val="F683B775"/>
    <w:multiLevelType w:val="singleLevel"/>
    <w:tmpl w:val="F683B775"/>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4"/>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6"/>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37"/>
      <w:lvlText w:val="o"/>
      <w:lvlJc w:val="left"/>
      <w:pPr>
        <w:tabs>
          <w:tab w:val="left" w:pos="1440"/>
        </w:tabs>
        <w:ind w:left="1800" w:hanging="360"/>
      </w:pPr>
      <w:rPr>
        <w:rFonts w:hint="default" w:ascii="Courier New" w:hAnsi="Courier New"/>
      </w:rPr>
    </w:lvl>
    <w:lvl w:ilvl="3" w:tentative="0">
      <w:start w:val="1"/>
      <w:numFmt w:val="bullet"/>
      <w:pStyle w:val="134"/>
      <w:lvlText w:val=""/>
      <w:lvlJc w:val="left"/>
      <w:pPr>
        <w:tabs>
          <w:tab w:val="left" w:pos="2160"/>
        </w:tabs>
        <w:ind w:left="2520" w:hanging="360"/>
      </w:pPr>
      <w:rPr>
        <w:rFonts w:hint="default" w:ascii="Wingdings" w:hAnsi="Wingdings"/>
      </w:rPr>
    </w:lvl>
    <w:lvl w:ilvl="4" w:tentative="0">
      <w:start w:val="1"/>
      <w:numFmt w:val="bullet"/>
      <w:pStyle w:val="131"/>
      <w:lvlText w:val=""/>
      <w:lvlJc w:val="left"/>
      <w:pPr>
        <w:tabs>
          <w:tab w:val="left" w:pos="2880"/>
        </w:tabs>
        <w:ind w:left="3240" w:hanging="360"/>
      </w:pPr>
      <w:rPr>
        <w:rFonts w:hint="default" w:ascii="Wingdings" w:hAnsi="Wingdings"/>
      </w:rPr>
    </w:lvl>
    <w:lvl w:ilvl="5" w:tentative="0">
      <w:start w:val="1"/>
      <w:numFmt w:val="bullet"/>
      <w:pStyle w:val="124"/>
      <w:lvlText w:val=""/>
      <w:lvlJc w:val="left"/>
      <w:pPr>
        <w:tabs>
          <w:tab w:val="left" w:pos="3600"/>
        </w:tabs>
        <w:ind w:left="3960" w:hanging="360"/>
      </w:pPr>
      <w:rPr>
        <w:rFonts w:hint="default" w:ascii="Symbol" w:hAnsi="Symbol"/>
      </w:rPr>
    </w:lvl>
    <w:lvl w:ilvl="6" w:tentative="0">
      <w:start w:val="1"/>
      <w:numFmt w:val="bullet"/>
      <w:pStyle w:val="113"/>
      <w:lvlText w:val="o"/>
      <w:lvlJc w:val="left"/>
      <w:pPr>
        <w:tabs>
          <w:tab w:val="left" w:pos="4320"/>
        </w:tabs>
        <w:ind w:left="4680" w:hanging="360"/>
      </w:pPr>
      <w:rPr>
        <w:rFonts w:hint="default" w:ascii="Courier New" w:hAnsi="Courier New"/>
      </w:rPr>
    </w:lvl>
    <w:lvl w:ilvl="7" w:tentative="0">
      <w:start w:val="1"/>
      <w:numFmt w:val="bullet"/>
      <w:pStyle w:val="144"/>
      <w:lvlText w:val=""/>
      <w:lvlJc w:val="left"/>
      <w:pPr>
        <w:tabs>
          <w:tab w:val="left" w:pos="5040"/>
        </w:tabs>
        <w:ind w:left="5400" w:hanging="360"/>
      </w:pPr>
      <w:rPr>
        <w:rFonts w:hint="default" w:ascii="Wingdings" w:hAnsi="Wingdings"/>
      </w:rPr>
    </w:lvl>
    <w:lvl w:ilvl="8" w:tentative="0">
      <w:start w:val="1"/>
      <w:numFmt w:val="bullet"/>
      <w:pStyle w:val="121"/>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7">
    <w:nsid w:val="1564B7F8"/>
    <w:multiLevelType w:val="singleLevel"/>
    <w:tmpl w:val="1564B7F8"/>
    <w:lvl w:ilvl="0" w:tentative="0">
      <w:start w:val="1"/>
      <w:numFmt w:val="ideographTraditional"/>
      <w:suff w:val="nothing"/>
      <w:lvlText w:val="%1、"/>
      <w:lvlJc w:val="left"/>
      <w:rPr>
        <w:rFonts w:hint="eastAsia"/>
      </w:rPr>
    </w:lvl>
  </w:abstractNum>
  <w:abstractNum w:abstractNumId="8">
    <w:nsid w:val="75DDCF4D"/>
    <w:multiLevelType w:val="singleLevel"/>
    <w:tmpl w:val="75DDCF4D"/>
    <w:lvl w:ilvl="0" w:tentative="0">
      <w:start w:val="2"/>
      <w:numFmt w:val="chineseCounting"/>
      <w:suff w:val="space"/>
      <w:lvlText w:val="（%1）"/>
      <w:lvlJc w:val="left"/>
      <w:rPr>
        <w:rFonts w:hint="eastAsia"/>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A6497"/>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16FE2"/>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494D97"/>
    <w:rsid w:val="016D7723"/>
    <w:rsid w:val="01790AD9"/>
    <w:rsid w:val="01805223"/>
    <w:rsid w:val="018D025D"/>
    <w:rsid w:val="01C26E13"/>
    <w:rsid w:val="01CA0B33"/>
    <w:rsid w:val="01D95951"/>
    <w:rsid w:val="01EA4C52"/>
    <w:rsid w:val="01FB48A4"/>
    <w:rsid w:val="027D5C40"/>
    <w:rsid w:val="02B14781"/>
    <w:rsid w:val="02CD61DE"/>
    <w:rsid w:val="03942A31"/>
    <w:rsid w:val="03BC32EE"/>
    <w:rsid w:val="03F40B0B"/>
    <w:rsid w:val="04082143"/>
    <w:rsid w:val="041E263F"/>
    <w:rsid w:val="043438CC"/>
    <w:rsid w:val="045661E8"/>
    <w:rsid w:val="046554F3"/>
    <w:rsid w:val="0469763D"/>
    <w:rsid w:val="04780A8B"/>
    <w:rsid w:val="04E220D1"/>
    <w:rsid w:val="04F50394"/>
    <w:rsid w:val="050B6661"/>
    <w:rsid w:val="051C342F"/>
    <w:rsid w:val="05A04024"/>
    <w:rsid w:val="05A434F1"/>
    <w:rsid w:val="06256BCF"/>
    <w:rsid w:val="063D115E"/>
    <w:rsid w:val="064E06A4"/>
    <w:rsid w:val="067B48EA"/>
    <w:rsid w:val="069738E4"/>
    <w:rsid w:val="06B07C4D"/>
    <w:rsid w:val="06B465B7"/>
    <w:rsid w:val="06B569B6"/>
    <w:rsid w:val="06D25D4A"/>
    <w:rsid w:val="06ED3B1C"/>
    <w:rsid w:val="07927A80"/>
    <w:rsid w:val="07AF43E8"/>
    <w:rsid w:val="07C85B93"/>
    <w:rsid w:val="07D151AA"/>
    <w:rsid w:val="07ED3417"/>
    <w:rsid w:val="08027BA7"/>
    <w:rsid w:val="08310812"/>
    <w:rsid w:val="08332819"/>
    <w:rsid w:val="08474605"/>
    <w:rsid w:val="085379A4"/>
    <w:rsid w:val="08676FAF"/>
    <w:rsid w:val="08931D09"/>
    <w:rsid w:val="08C605E0"/>
    <w:rsid w:val="08CC3F42"/>
    <w:rsid w:val="08F23321"/>
    <w:rsid w:val="09076062"/>
    <w:rsid w:val="091E5277"/>
    <w:rsid w:val="09D328AF"/>
    <w:rsid w:val="09F2774C"/>
    <w:rsid w:val="09FE3852"/>
    <w:rsid w:val="0A1447F7"/>
    <w:rsid w:val="0A975F47"/>
    <w:rsid w:val="0AA150CD"/>
    <w:rsid w:val="0AB87521"/>
    <w:rsid w:val="0AD53E7E"/>
    <w:rsid w:val="0AD8497F"/>
    <w:rsid w:val="0AF73FD1"/>
    <w:rsid w:val="0B37005B"/>
    <w:rsid w:val="0B690133"/>
    <w:rsid w:val="0B696009"/>
    <w:rsid w:val="0B7D34FB"/>
    <w:rsid w:val="0B915756"/>
    <w:rsid w:val="0B9255E9"/>
    <w:rsid w:val="0BA31A63"/>
    <w:rsid w:val="0C080AD5"/>
    <w:rsid w:val="0C132F61"/>
    <w:rsid w:val="0C174618"/>
    <w:rsid w:val="0C2D77C6"/>
    <w:rsid w:val="0C3D6E6B"/>
    <w:rsid w:val="0CB36150"/>
    <w:rsid w:val="0CF5549F"/>
    <w:rsid w:val="0D193396"/>
    <w:rsid w:val="0D2308A2"/>
    <w:rsid w:val="0D352B8F"/>
    <w:rsid w:val="0D9074CF"/>
    <w:rsid w:val="0DB12D96"/>
    <w:rsid w:val="0DE85E53"/>
    <w:rsid w:val="0DFB758E"/>
    <w:rsid w:val="0E076386"/>
    <w:rsid w:val="0E3B58C3"/>
    <w:rsid w:val="0E491C87"/>
    <w:rsid w:val="0E660C05"/>
    <w:rsid w:val="0E8518F4"/>
    <w:rsid w:val="0E882C23"/>
    <w:rsid w:val="0EF600FC"/>
    <w:rsid w:val="0F1E0ABC"/>
    <w:rsid w:val="0F35547F"/>
    <w:rsid w:val="0F55458E"/>
    <w:rsid w:val="0FA04D56"/>
    <w:rsid w:val="0FBA55CD"/>
    <w:rsid w:val="0FBE719D"/>
    <w:rsid w:val="0FFF5595"/>
    <w:rsid w:val="10193860"/>
    <w:rsid w:val="11073F19"/>
    <w:rsid w:val="1147752C"/>
    <w:rsid w:val="117A3601"/>
    <w:rsid w:val="117C6435"/>
    <w:rsid w:val="11920FEA"/>
    <w:rsid w:val="11934328"/>
    <w:rsid w:val="11AD1FFA"/>
    <w:rsid w:val="11D4745D"/>
    <w:rsid w:val="120D6101"/>
    <w:rsid w:val="12317617"/>
    <w:rsid w:val="124144E7"/>
    <w:rsid w:val="124702BC"/>
    <w:rsid w:val="126A11B6"/>
    <w:rsid w:val="12B72BFB"/>
    <w:rsid w:val="12D45631"/>
    <w:rsid w:val="12D803B6"/>
    <w:rsid w:val="12E623B1"/>
    <w:rsid w:val="12F33049"/>
    <w:rsid w:val="13212EF5"/>
    <w:rsid w:val="137D79EB"/>
    <w:rsid w:val="1380268A"/>
    <w:rsid w:val="13D17028"/>
    <w:rsid w:val="13DE4C22"/>
    <w:rsid w:val="141A7E92"/>
    <w:rsid w:val="14665D24"/>
    <w:rsid w:val="14AA20B4"/>
    <w:rsid w:val="14AD1D52"/>
    <w:rsid w:val="14AF764B"/>
    <w:rsid w:val="14BD2D29"/>
    <w:rsid w:val="14F371D1"/>
    <w:rsid w:val="154F5DA1"/>
    <w:rsid w:val="157C0486"/>
    <w:rsid w:val="157E2845"/>
    <w:rsid w:val="15A33CB4"/>
    <w:rsid w:val="15FC5139"/>
    <w:rsid w:val="161103F3"/>
    <w:rsid w:val="163836F0"/>
    <w:rsid w:val="16674F83"/>
    <w:rsid w:val="1675368F"/>
    <w:rsid w:val="16855EF5"/>
    <w:rsid w:val="16E11692"/>
    <w:rsid w:val="16F072C1"/>
    <w:rsid w:val="17053DB0"/>
    <w:rsid w:val="17885FB1"/>
    <w:rsid w:val="179F57E3"/>
    <w:rsid w:val="181B0BD3"/>
    <w:rsid w:val="181C146A"/>
    <w:rsid w:val="182F15F3"/>
    <w:rsid w:val="18B61953"/>
    <w:rsid w:val="18BD0D8B"/>
    <w:rsid w:val="18F60BE4"/>
    <w:rsid w:val="190D6541"/>
    <w:rsid w:val="191401B2"/>
    <w:rsid w:val="191B2775"/>
    <w:rsid w:val="19232435"/>
    <w:rsid w:val="19246166"/>
    <w:rsid w:val="196066C9"/>
    <w:rsid w:val="197267FA"/>
    <w:rsid w:val="19815A9E"/>
    <w:rsid w:val="19AD4290"/>
    <w:rsid w:val="19BC4972"/>
    <w:rsid w:val="19FB4549"/>
    <w:rsid w:val="1A3500D6"/>
    <w:rsid w:val="1A5711F3"/>
    <w:rsid w:val="1A77355B"/>
    <w:rsid w:val="1A9C249F"/>
    <w:rsid w:val="1AAE00D3"/>
    <w:rsid w:val="1B193AF0"/>
    <w:rsid w:val="1B4F05F6"/>
    <w:rsid w:val="1BA56F67"/>
    <w:rsid w:val="1C614829"/>
    <w:rsid w:val="1CA76040"/>
    <w:rsid w:val="1CD35F20"/>
    <w:rsid w:val="1CE07536"/>
    <w:rsid w:val="1CEE2D5A"/>
    <w:rsid w:val="1D372595"/>
    <w:rsid w:val="1D6C62F0"/>
    <w:rsid w:val="1DAD27D8"/>
    <w:rsid w:val="1DDB572A"/>
    <w:rsid w:val="1E064063"/>
    <w:rsid w:val="1E09162A"/>
    <w:rsid w:val="1E2C13C1"/>
    <w:rsid w:val="1E3E6FBF"/>
    <w:rsid w:val="1EA21FA7"/>
    <w:rsid w:val="1EBF6BBB"/>
    <w:rsid w:val="1ED35B41"/>
    <w:rsid w:val="1EE85FCC"/>
    <w:rsid w:val="1F114ADE"/>
    <w:rsid w:val="1F3D3B25"/>
    <w:rsid w:val="1F642B22"/>
    <w:rsid w:val="1FA2250E"/>
    <w:rsid w:val="1FC50A0D"/>
    <w:rsid w:val="1FD368D8"/>
    <w:rsid w:val="1FF07FDC"/>
    <w:rsid w:val="1FF163E5"/>
    <w:rsid w:val="2049507A"/>
    <w:rsid w:val="205D3825"/>
    <w:rsid w:val="209D2C18"/>
    <w:rsid w:val="20A502E1"/>
    <w:rsid w:val="20CE4219"/>
    <w:rsid w:val="212D579A"/>
    <w:rsid w:val="214976C0"/>
    <w:rsid w:val="215C491E"/>
    <w:rsid w:val="21AE07DF"/>
    <w:rsid w:val="21AE2AB8"/>
    <w:rsid w:val="21AF2EFF"/>
    <w:rsid w:val="21D95588"/>
    <w:rsid w:val="221D7711"/>
    <w:rsid w:val="222D7E81"/>
    <w:rsid w:val="22521158"/>
    <w:rsid w:val="225A33A0"/>
    <w:rsid w:val="22603B03"/>
    <w:rsid w:val="22614E71"/>
    <w:rsid w:val="227D52A3"/>
    <w:rsid w:val="22AB3BEB"/>
    <w:rsid w:val="22C94C2C"/>
    <w:rsid w:val="230D433C"/>
    <w:rsid w:val="232E5022"/>
    <w:rsid w:val="236164A0"/>
    <w:rsid w:val="237F64BA"/>
    <w:rsid w:val="239D4C64"/>
    <w:rsid w:val="23BC5492"/>
    <w:rsid w:val="23C72F97"/>
    <w:rsid w:val="23FE3057"/>
    <w:rsid w:val="243811EA"/>
    <w:rsid w:val="24620B34"/>
    <w:rsid w:val="249A178C"/>
    <w:rsid w:val="24A51FCA"/>
    <w:rsid w:val="24DB51E1"/>
    <w:rsid w:val="24F83518"/>
    <w:rsid w:val="25020159"/>
    <w:rsid w:val="251F0416"/>
    <w:rsid w:val="25450F9C"/>
    <w:rsid w:val="25536518"/>
    <w:rsid w:val="25824282"/>
    <w:rsid w:val="25C30591"/>
    <w:rsid w:val="25F74A2E"/>
    <w:rsid w:val="260B3695"/>
    <w:rsid w:val="263621D9"/>
    <w:rsid w:val="264A0821"/>
    <w:rsid w:val="26744954"/>
    <w:rsid w:val="27004CA0"/>
    <w:rsid w:val="271A7AC3"/>
    <w:rsid w:val="272146F0"/>
    <w:rsid w:val="273300AF"/>
    <w:rsid w:val="273F6F04"/>
    <w:rsid w:val="27BD18F4"/>
    <w:rsid w:val="27F67DFC"/>
    <w:rsid w:val="28652BCB"/>
    <w:rsid w:val="28744D84"/>
    <w:rsid w:val="28B40E89"/>
    <w:rsid w:val="29055BE8"/>
    <w:rsid w:val="2920429C"/>
    <w:rsid w:val="293A353A"/>
    <w:rsid w:val="29475CCC"/>
    <w:rsid w:val="294D62E2"/>
    <w:rsid w:val="2952491D"/>
    <w:rsid w:val="29B94821"/>
    <w:rsid w:val="29BB3FC4"/>
    <w:rsid w:val="29E51F2A"/>
    <w:rsid w:val="2A0305DE"/>
    <w:rsid w:val="2A545252"/>
    <w:rsid w:val="2A811E1E"/>
    <w:rsid w:val="2A825C24"/>
    <w:rsid w:val="2A924D25"/>
    <w:rsid w:val="2A9A558F"/>
    <w:rsid w:val="2A9A62D0"/>
    <w:rsid w:val="2AE943C7"/>
    <w:rsid w:val="2AF177F9"/>
    <w:rsid w:val="2B2239E9"/>
    <w:rsid w:val="2B2A7653"/>
    <w:rsid w:val="2B33475A"/>
    <w:rsid w:val="2B407425"/>
    <w:rsid w:val="2B4E02A3"/>
    <w:rsid w:val="2B520958"/>
    <w:rsid w:val="2BC707B3"/>
    <w:rsid w:val="2BD934FD"/>
    <w:rsid w:val="2C475C12"/>
    <w:rsid w:val="2C4F21F7"/>
    <w:rsid w:val="2CB12996"/>
    <w:rsid w:val="2CFC1CC4"/>
    <w:rsid w:val="2D201D34"/>
    <w:rsid w:val="2D564DCB"/>
    <w:rsid w:val="2D8C697F"/>
    <w:rsid w:val="2DDD086A"/>
    <w:rsid w:val="2DF82442"/>
    <w:rsid w:val="2E3778B9"/>
    <w:rsid w:val="2E4C57E3"/>
    <w:rsid w:val="2E730264"/>
    <w:rsid w:val="2E755A58"/>
    <w:rsid w:val="2E7A61E1"/>
    <w:rsid w:val="2E7C0346"/>
    <w:rsid w:val="2E936D1A"/>
    <w:rsid w:val="2E9C72D5"/>
    <w:rsid w:val="2EA55927"/>
    <w:rsid w:val="2EB5128A"/>
    <w:rsid w:val="2EB90887"/>
    <w:rsid w:val="2EC13FA8"/>
    <w:rsid w:val="2EEA2A2C"/>
    <w:rsid w:val="2F0C6C63"/>
    <w:rsid w:val="2F6A3C0F"/>
    <w:rsid w:val="2F833390"/>
    <w:rsid w:val="2F8F217B"/>
    <w:rsid w:val="2FC47EE2"/>
    <w:rsid w:val="2FD75727"/>
    <w:rsid w:val="2FF335CC"/>
    <w:rsid w:val="306F722C"/>
    <w:rsid w:val="30710B10"/>
    <w:rsid w:val="307D30FB"/>
    <w:rsid w:val="30883624"/>
    <w:rsid w:val="30DF50EF"/>
    <w:rsid w:val="312373BE"/>
    <w:rsid w:val="31886E82"/>
    <w:rsid w:val="318A630B"/>
    <w:rsid w:val="31943EFE"/>
    <w:rsid w:val="31FB0EA1"/>
    <w:rsid w:val="32137CAC"/>
    <w:rsid w:val="322C04E2"/>
    <w:rsid w:val="322D3BD0"/>
    <w:rsid w:val="323E2BAF"/>
    <w:rsid w:val="32552CA4"/>
    <w:rsid w:val="325B3B5B"/>
    <w:rsid w:val="32A606E6"/>
    <w:rsid w:val="32DE1024"/>
    <w:rsid w:val="331C2212"/>
    <w:rsid w:val="332363B1"/>
    <w:rsid w:val="33243F85"/>
    <w:rsid w:val="333F7A14"/>
    <w:rsid w:val="33852F79"/>
    <w:rsid w:val="33922C82"/>
    <w:rsid w:val="3398324B"/>
    <w:rsid w:val="339D29C1"/>
    <w:rsid w:val="33A23E90"/>
    <w:rsid w:val="33D12D62"/>
    <w:rsid w:val="33E67E90"/>
    <w:rsid w:val="34255A5B"/>
    <w:rsid w:val="34BA5625"/>
    <w:rsid w:val="34BD2A27"/>
    <w:rsid w:val="34DB6175"/>
    <w:rsid w:val="34F9204F"/>
    <w:rsid w:val="350C785E"/>
    <w:rsid w:val="35784535"/>
    <w:rsid w:val="35976D3B"/>
    <w:rsid w:val="35981936"/>
    <w:rsid w:val="35F23F4E"/>
    <w:rsid w:val="35F64042"/>
    <w:rsid w:val="360F1920"/>
    <w:rsid w:val="362F3F71"/>
    <w:rsid w:val="36764892"/>
    <w:rsid w:val="36896F37"/>
    <w:rsid w:val="36A33AE5"/>
    <w:rsid w:val="36D80A45"/>
    <w:rsid w:val="36D91638"/>
    <w:rsid w:val="371D1E1A"/>
    <w:rsid w:val="37502835"/>
    <w:rsid w:val="37537C62"/>
    <w:rsid w:val="375C3D81"/>
    <w:rsid w:val="377F033F"/>
    <w:rsid w:val="378C0BB9"/>
    <w:rsid w:val="379876F3"/>
    <w:rsid w:val="37C91FA2"/>
    <w:rsid w:val="37D12FD5"/>
    <w:rsid w:val="37E140C6"/>
    <w:rsid w:val="3812452E"/>
    <w:rsid w:val="38473188"/>
    <w:rsid w:val="384B29B7"/>
    <w:rsid w:val="38881470"/>
    <w:rsid w:val="389163B8"/>
    <w:rsid w:val="38A020FB"/>
    <w:rsid w:val="38A968F5"/>
    <w:rsid w:val="38B01A5E"/>
    <w:rsid w:val="38C211EC"/>
    <w:rsid w:val="38DB4914"/>
    <w:rsid w:val="391263E7"/>
    <w:rsid w:val="392A081F"/>
    <w:rsid w:val="395822CB"/>
    <w:rsid w:val="398C3DFF"/>
    <w:rsid w:val="39D553ED"/>
    <w:rsid w:val="3A284E15"/>
    <w:rsid w:val="3A3C74D7"/>
    <w:rsid w:val="3A784CF1"/>
    <w:rsid w:val="3A895F88"/>
    <w:rsid w:val="3AAE727E"/>
    <w:rsid w:val="3AC802EF"/>
    <w:rsid w:val="3AD24D04"/>
    <w:rsid w:val="3AFD0C9A"/>
    <w:rsid w:val="3B0E43DD"/>
    <w:rsid w:val="3B6F29B1"/>
    <w:rsid w:val="3B9E6B4C"/>
    <w:rsid w:val="3BAD5B29"/>
    <w:rsid w:val="3BB97032"/>
    <w:rsid w:val="3BD6013A"/>
    <w:rsid w:val="3BD7464F"/>
    <w:rsid w:val="3BF83840"/>
    <w:rsid w:val="3C012C74"/>
    <w:rsid w:val="3C2D137C"/>
    <w:rsid w:val="3C337289"/>
    <w:rsid w:val="3C3417D1"/>
    <w:rsid w:val="3C361796"/>
    <w:rsid w:val="3C392377"/>
    <w:rsid w:val="3C836BC3"/>
    <w:rsid w:val="3C90032E"/>
    <w:rsid w:val="3CB23005"/>
    <w:rsid w:val="3CB65091"/>
    <w:rsid w:val="3CBB00A5"/>
    <w:rsid w:val="3CC44DE0"/>
    <w:rsid w:val="3CE60F00"/>
    <w:rsid w:val="3CFC10AC"/>
    <w:rsid w:val="3D031E6C"/>
    <w:rsid w:val="3D2A6DFA"/>
    <w:rsid w:val="3D406863"/>
    <w:rsid w:val="3D4D2F00"/>
    <w:rsid w:val="3D570D7C"/>
    <w:rsid w:val="3DB40CB8"/>
    <w:rsid w:val="3DC4050A"/>
    <w:rsid w:val="3DCD42A8"/>
    <w:rsid w:val="3DFB09DB"/>
    <w:rsid w:val="3E1A3557"/>
    <w:rsid w:val="3E282C82"/>
    <w:rsid w:val="3E3E07E3"/>
    <w:rsid w:val="3E774506"/>
    <w:rsid w:val="3EA67D5F"/>
    <w:rsid w:val="3EB32DD2"/>
    <w:rsid w:val="3EDD07A8"/>
    <w:rsid w:val="3EF75F59"/>
    <w:rsid w:val="3EFD1D40"/>
    <w:rsid w:val="3F0B4D59"/>
    <w:rsid w:val="3F0F09D8"/>
    <w:rsid w:val="3F5150C5"/>
    <w:rsid w:val="3F7C7EBE"/>
    <w:rsid w:val="3F8E5FAB"/>
    <w:rsid w:val="3FD41FB6"/>
    <w:rsid w:val="3FE960BF"/>
    <w:rsid w:val="3FFC0393"/>
    <w:rsid w:val="400C0149"/>
    <w:rsid w:val="40736F4F"/>
    <w:rsid w:val="40786313"/>
    <w:rsid w:val="407F3B46"/>
    <w:rsid w:val="410400F7"/>
    <w:rsid w:val="412443FB"/>
    <w:rsid w:val="41765975"/>
    <w:rsid w:val="41AC096A"/>
    <w:rsid w:val="41BC1C9B"/>
    <w:rsid w:val="41CF4659"/>
    <w:rsid w:val="41E015BF"/>
    <w:rsid w:val="42404049"/>
    <w:rsid w:val="425C4FB1"/>
    <w:rsid w:val="42B41EBB"/>
    <w:rsid w:val="42C245E4"/>
    <w:rsid w:val="42C95E08"/>
    <w:rsid w:val="42FA782C"/>
    <w:rsid w:val="433F6DD1"/>
    <w:rsid w:val="43400D1A"/>
    <w:rsid w:val="43592307"/>
    <w:rsid w:val="43A0304D"/>
    <w:rsid w:val="44316F05"/>
    <w:rsid w:val="444A1F0B"/>
    <w:rsid w:val="446E0600"/>
    <w:rsid w:val="446F65AC"/>
    <w:rsid w:val="44926D5D"/>
    <w:rsid w:val="44B07254"/>
    <w:rsid w:val="44BE0921"/>
    <w:rsid w:val="44D03153"/>
    <w:rsid w:val="44F87EAD"/>
    <w:rsid w:val="45053F4D"/>
    <w:rsid w:val="45534EA2"/>
    <w:rsid w:val="455D44EC"/>
    <w:rsid w:val="45603F46"/>
    <w:rsid w:val="45612AD3"/>
    <w:rsid w:val="45760C05"/>
    <w:rsid w:val="45E87A97"/>
    <w:rsid w:val="461F306C"/>
    <w:rsid w:val="4629258A"/>
    <w:rsid w:val="462C207A"/>
    <w:rsid w:val="46416C29"/>
    <w:rsid w:val="466248A6"/>
    <w:rsid w:val="46864226"/>
    <w:rsid w:val="4692687F"/>
    <w:rsid w:val="46C07C4C"/>
    <w:rsid w:val="46E82445"/>
    <w:rsid w:val="472B2D94"/>
    <w:rsid w:val="47441BF2"/>
    <w:rsid w:val="474A07B4"/>
    <w:rsid w:val="47947ED7"/>
    <w:rsid w:val="47D83900"/>
    <w:rsid w:val="484A5C62"/>
    <w:rsid w:val="485023CA"/>
    <w:rsid w:val="487248F3"/>
    <w:rsid w:val="48904B42"/>
    <w:rsid w:val="48D53F0A"/>
    <w:rsid w:val="49262DB0"/>
    <w:rsid w:val="492C2BE3"/>
    <w:rsid w:val="497173A6"/>
    <w:rsid w:val="499E0BD7"/>
    <w:rsid w:val="49A52363"/>
    <w:rsid w:val="49E307DA"/>
    <w:rsid w:val="4A0B3732"/>
    <w:rsid w:val="4A122160"/>
    <w:rsid w:val="4A767D68"/>
    <w:rsid w:val="4A942EFE"/>
    <w:rsid w:val="4AAC4B68"/>
    <w:rsid w:val="4AD405D7"/>
    <w:rsid w:val="4ADD7DE7"/>
    <w:rsid w:val="4B1F4BF8"/>
    <w:rsid w:val="4B3D7376"/>
    <w:rsid w:val="4B88775A"/>
    <w:rsid w:val="4BAE4EA6"/>
    <w:rsid w:val="4BB02E05"/>
    <w:rsid w:val="4BC444AE"/>
    <w:rsid w:val="4BEB703E"/>
    <w:rsid w:val="4BEF50DC"/>
    <w:rsid w:val="4C181498"/>
    <w:rsid w:val="4C2061DD"/>
    <w:rsid w:val="4C6C226D"/>
    <w:rsid w:val="4C725EAD"/>
    <w:rsid w:val="4C9C53DC"/>
    <w:rsid w:val="4CC4300C"/>
    <w:rsid w:val="4CDE0F1B"/>
    <w:rsid w:val="4D227D33"/>
    <w:rsid w:val="4D52311A"/>
    <w:rsid w:val="4D816CB1"/>
    <w:rsid w:val="4DAD1720"/>
    <w:rsid w:val="4DBB08DD"/>
    <w:rsid w:val="4DC43694"/>
    <w:rsid w:val="4DD52FF7"/>
    <w:rsid w:val="4E185162"/>
    <w:rsid w:val="4E3C15DA"/>
    <w:rsid w:val="4ECC1E2C"/>
    <w:rsid w:val="4F0631A5"/>
    <w:rsid w:val="4F0A6862"/>
    <w:rsid w:val="4F38383D"/>
    <w:rsid w:val="4F433E4B"/>
    <w:rsid w:val="4F5214CE"/>
    <w:rsid w:val="4F5368C9"/>
    <w:rsid w:val="4F90367A"/>
    <w:rsid w:val="4FA86F97"/>
    <w:rsid w:val="4FC26970"/>
    <w:rsid w:val="5023004A"/>
    <w:rsid w:val="50335E7A"/>
    <w:rsid w:val="507C3513"/>
    <w:rsid w:val="50917265"/>
    <w:rsid w:val="50BE5ADC"/>
    <w:rsid w:val="51190719"/>
    <w:rsid w:val="513975A4"/>
    <w:rsid w:val="51411F75"/>
    <w:rsid w:val="5165628A"/>
    <w:rsid w:val="517B2984"/>
    <w:rsid w:val="517C25A5"/>
    <w:rsid w:val="518C2F88"/>
    <w:rsid w:val="51AD662E"/>
    <w:rsid w:val="51C76236"/>
    <w:rsid w:val="52607FF9"/>
    <w:rsid w:val="528F5E6A"/>
    <w:rsid w:val="52C957F8"/>
    <w:rsid w:val="53294953"/>
    <w:rsid w:val="533D2DF7"/>
    <w:rsid w:val="53511928"/>
    <w:rsid w:val="536F7C48"/>
    <w:rsid w:val="539C1AE3"/>
    <w:rsid w:val="53A05E55"/>
    <w:rsid w:val="53A257C3"/>
    <w:rsid w:val="53B92684"/>
    <w:rsid w:val="53CC0BBB"/>
    <w:rsid w:val="53E779DA"/>
    <w:rsid w:val="53F4642B"/>
    <w:rsid w:val="544B132E"/>
    <w:rsid w:val="54644702"/>
    <w:rsid w:val="54A351F4"/>
    <w:rsid w:val="54D21D02"/>
    <w:rsid w:val="54F62570"/>
    <w:rsid w:val="54F9273C"/>
    <w:rsid w:val="552C1044"/>
    <w:rsid w:val="557334DB"/>
    <w:rsid w:val="558926D2"/>
    <w:rsid w:val="55977CC9"/>
    <w:rsid w:val="559A5477"/>
    <w:rsid w:val="55DE662B"/>
    <w:rsid w:val="55EF0851"/>
    <w:rsid w:val="55EF15FA"/>
    <w:rsid w:val="55F1064B"/>
    <w:rsid w:val="56226FF5"/>
    <w:rsid w:val="563C4F40"/>
    <w:rsid w:val="564C733E"/>
    <w:rsid w:val="56816FF2"/>
    <w:rsid w:val="569B7587"/>
    <w:rsid w:val="569E48CE"/>
    <w:rsid w:val="56AB2B47"/>
    <w:rsid w:val="56B4452B"/>
    <w:rsid w:val="56B525A0"/>
    <w:rsid w:val="56D5723C"/>
    <w:rsid w:val="56EC3232"/>
    <w:rsid w:val="57255927"/>
    <w:rsid w:val="5758355C"/>
    <w:rsid w:val="57664CC0"/>
    <w:rsid w:val="57751F04"/>
    <w:rsid w:val="577669A3"/>
    <w:rsid w:val="57831D16"/>
    <w:rsid w:val="5788776F"/>
    <w:rsid w:val="57A8641F"/>
    <w:rsid w:val="57B343A9"/>
    <w:rsid w:val="57D4062C"/>
    <w:rsid w:val="57DE6F4C"/>
    <w:rsid w:val="57E76309"/>
    <w:rsid w:val="585B5117"/>
    <w:rsid w:val="586B07E0"/>
    <w:rsid w:val="58BA494D"/>
    <w:rsid w:val="58D02EC2"/>
    <w:rsid w:val="58E80082"/>
    <w:rsid w:val="590454E8"/>
    <w:rsid w:val="594B6B72"/>
    <w:rsid w:val="59583A4A"/>
    <w:rsid w:val="595F7B1C"/>
    <w:rsid w:val="59A42B4E"/>
    <w:rsid w:val="59F66AC0"/>
    <w:rsid w:val="59FC2D73"/>
    <w:rsid w:val="5A080741"/>
    <w:rsid w:val="5A0B13F3"/>
    <w:rsid w:val="5A0F2366"/>
    <w:rsid w:val="5A1C6830"/>
    <w:rsid w:val="5A291A28"/>
    <w:rsid w:val="5A6912AD"/>
    <w:rsid w:val="5A8D59CF"/>
    <w:rsid w:val="5A9D65AB"/>
    <w:rsid w:val="5AAB6B27"/>
    <w:rsid w:val="5ACE5056"/>
    <w:rsid w:val="5B1B719B"/>
    <w:rsid w:val="5B4251BB"/>
    <w:rsid w:val="5B477E65"/>
    <w:rsid w:val="5B825CAE"/>
    <w:rsid w:val="5BA129CE"/>
    <w:rsid w:val="5BAC006B"/>
    <w:rsid w:val="5C0002A3"/>
    <w:rsid w:val="5C017CDC"/>
    <w:rsid w:val="5C0F5FEB"/>
    <w:rsid w:val="5C761A55"/>
    <w:rsid w:val="5C826A02"/>
    <w:rsid w:val="5C9A79D1"/>
    <w:rsid w:val="5CB050E1"/>
    <w:rsid w:val="5CBC2D74"/>
    <w:rsid w:val="5D9302F4"/>
    <w:rsid w:val="5D9D3FC6"/>
    <w:rsid w:val="5DA834AD"/>
    <w:rsid w:val="5DB669A1"/>
    <w:rsid w:val="5DE46F9D"/>
    <w:rsid w:val="5DE81C76"/>
    <w:rsid w:val="5DEB73AA"/>
    <w:rsid w:val="5DED7039"/>
    <w:rsid w:val="5DF53244"/>
    <w:rsid w:val="5E256E3F"/>
    <w:rsid w:val="5E30282C"/>
    <w:rsid w:val="5E337FF2"/>
    <w:rsid w:val="5E602469"/>
    <w:rsid w:val="5E742342"/>
    <w:rsid w:val="5EA92C74"/>
    <w:rsid w:val="5ECB464A"/>
    <w:rsid w:val="5EDD07E6"/>
    <w:rsid w:val="5F0C439F"/>
    <w:rsid w:val="5F374F24"/>
    <w:rsid w:val="5F3D7421"/>
    <w:rsid w:val="5F5920BE"/>
    <w:rsid w:val="5F9A2B00"/>
    <w:rsid w:val="5FA078D9"/>
    <w:rsid w:val="5FB52333"/>
    <w:rsid w:val="5FF8644F"/>
    <w:rsid w:val="603D2207"/>
    <w:rsid w:val="604C4978"/>
    <w:rsid w:val="604E5758"/>
    <w:rsid w:val="60700FAB"/>
    <w:rsid w:val="607B78DB"/>
    <w:rsid w:val="609D1752"/>
    <w:rsid w:val="61405951"/>
    <w:rsid w:val="61656D0F"/>
    <w:rsid w:val="61734BA9"/>
    <w:rsid w:val="619C00AC"/>
    <w:rsid w:val="61A050DE"/>
    <w:rsid w:val="61C92463"/>
    <w:rsid w:val="61CB22EF"/>
    <w:rsid w:val="62255EA3"/>
    <w:rsid w:val="62431354"/>
    <w:rsid w:val="62680180"/>
    <w:rsid w:val="628979F0"/>
    <w:rsid w:val="62D803E7"/>
    <w:rsid w:val="62E775FD"/>
    <w:rsid w:val="62FC6EF4"/>
    <w:rsid w:val="63393468"/>
    <w:rsid w:val="635D67B3"/>
    <w:rsid w:val="636724EA"/>
    <w:rsid w:val="63746DB1"/>
    <w:rsid w:val="63B06609"/>
    <w:rsid w:val="63E13364"/>
    <w:rsid w:val="64370C94"/>
    <w:rsid w:val="644B5969"/>
    <w:rsid w:val="646805F0"/>
    <w:rsid w:val="646C02EC"/>
    <w:rsid w:val="64894C07"/>
    <w:rsid w:val="648E23CC"/>
    <w:rsid w:val="64AC1ED4"/>
    <w:rsid w:val="651E6BDA"/>
    <w:rsid w:val="653D2B4E"/>
    <w:rsid w:val="6593435C"/>
    <w:rsid w:val="65C71020"/>
    <w:rsid w:val="6630389E"/>
    <w:rsid w:val="66371C77"/>
    <w:rsid w:val="6638385D"/>
    <w:rsid w:val="66B13A74"/>
    <w:rsid w:val="67487979"/>
    <w:rsid w:val="678A38D8"/>
    <w:rsid w:val="67C25D3D"/>
    <w:rsid w:val="67C97DDE"/>
    <w:rsid w:val="68146CA9"/>
    <w:rsid w:val="682239F3"/>
    <w:rsid w:val="68301C3C"/>
    <w:rsid w:val="68F56E18"/>
    <w:rsid w:val="68FA7C11"/>
    <w:rsid w:val="691454AE"/>
    <w:rsid w:val="691C3487"/>
    <w:rsid w:val="694B3CE5"/>
    <w:rsid w:val="697F0C2B"/>
    <w:rsid w:val="69BE786F"/>
    <w:rsid w:val="69D27648"/>
    <w:rsid w:val="69F57CC3"/>
    <w:rsid w:val="69F963AE"/>
    <w:rsid w:val="6A6257BB"/>
    <w:rsid w:val="6A7B4FCF"/>
    <w:rsid w:val="6A82508F"/>
    <w:rsid w:val="6AA64735"/>
    <w:rsid w:val="6AC24019"/>
    <w:rsid w:val="6ADC3089"/>
    <w:rsid w:val="6AF24886"/>
    <w:rsid w:val="6AF43325"/>
    <w:rsid w:val="6B3D6C60"/>
    <w:rsid w:val="6B9E1FD4"/>
    <w:rsid w:val="6BC16BCF"/>
    <w:rsid w:val="6BF45C82"/>
    <w:rsid w:val="6BF84629"/>
    <w:rsid w:val="6C435DE6"/>
    <w:rsid w:val="6C7833CE"/>
    <w:rsid w:val="6C992F9A"/>
    <w:rsid w:val="6CFE5C6F"/>
    <w:rsid w:val="6D106B2C"/>
    <w:rsid w:val="6D2C6FA7"/>
    <w:rsid w:val="6D555972"/>
    <w:rsid w:val="6DA01D6C"/>
    <w:rsid w:val="6E0E1EE1"/>
    <w:rsid w:val="6E3D297C"/>
    <w:rsid w:val="6E494945"/>
    <w:rsid w:val="6E54206C"/>
    <w:rsid w:val="6F08045A"/>
    <w:rsid w:val="6F085346"/>
    <w:rsid w:val="6F3E0414"/>
    <w:rsid w:val="6F9B7894"/>
    <w:rsid w:val="6FA81EC2"/>
    <w:rsid w:val="6FE763A8"/>
    <w:rsid w:val="70525D42"/>
    <w:rsid w:val="70BA2C8E"/>
    <w:rsid w:val="70CF4937"/>
    <w:rsid w:val="70FC052C"/>
    <w:rsid w:val="71395A23"/>
    <w:rsid w:val="71976757"/>
    <w:rsid w:val="71AA673A"/>
    <w:rsid w:val="71BA3FF3"/>
    <w:rsid w:val="71BE2151"/>
    <w:rsid w:val="71E41F32"/>
    <w:rsid w:val="72275320"/>
    <w:rsid w:val="722B5E25"/>
    <w:rsid w:val="723A01C1"/>
    <w:rsid w:val="724071D4"/>
    <w:rsid w:val="72414CAC"/>
    <w:rsid w:val="72563E57"/>
    <w:rsid w:val="72AA47F2"/>
    <w:rsid w:val="731B002C"/>
    <w:rsid w:val="7389701F"/>
    <w:rsid w:val="73A03F23"/>
    <w:rsid w:val="73B86B69"/>
    <w:rsid w:val="73BC4A4C"/>
    <w:rsid w:val="73C5308F"/>
    <w:rsid w:val="73E82F84"/>
    <w:rsid w:val="73F66EBD"/>
    <w:rsid w:val="73FD3CA2"/>
    <w:rsid w:val="74235540"/>
    <w:rsid w:val="745574FA"/>
    <w:rsid w:val="74563326"/>
    <w:rsid w:val="74627D7E"/>
    <w:rsid w:val="7463466C"/>
    <w:rsid w:val="74672AB4"/>
    <w:rsid w:val="748255BA"/>
    <w:rsid w:val="74835883"/>
    <w:rsid w:val="749F164B"/>
    <w:rsid w:val="74A537E4"/>
    <w:rsid w:val="74D74870"/>
    <w:rsid w:val="74E76CDB"/>
    <w:rsid w:val="754B3E0B"/>
    <w:rsid w:val="75570DC9"/>
    <w:rsid w:val="75604E93"/>
    <w:rsid w:val="756845CD"/>
    <w:rsid w:val="75812BE1"/>
    <w:rsid w:val="7583635B"/>
    <w:rsid w:val="75AE3D7D"/>
    <w:rsid w:val="76074761"/>
    <w:rsid w:val="760F469C"/>
    <w:rsid w:val="76116A13"/>
    <w:rsid w:val="7618517F"/>
    <w:rsid w:val="761D7286"/>
    <w:rsid w:val="761F0A5F"/>
    <w:rsid w:val="76586AC0"/>
    <w:rsid w:val="76AA2F44"/>
    <w:rsid w:val="76BB24DB"/>
    <w:rsid w:val="76CF1B29"/>
    <w:rsid w:val="76D404FA"/>
    <w:rsid w:val="77057BFA"/>
    <w:rsid w:val="77287254"/>
    <w:rsid w:val="77692CC8"/>
    <w:rsid w:val="77A3720D"/>
    <w:rsid w:val="77D925BA"/>
    <w:rsid w:val="783F0EE9"/>
    <w:rsid w:val="785C10BA"/>
    <w:rsid w:val="78CE1B28"/>
    <w:rsid w:val="78EA71D0"/>
    <w:rsid w:val="79206D53"/>
    <w:rsid w:val="792D4020"/>
    <w:rsid w:val="796E7CD8"/>
    <w:rsid w:val="7981742B"/>
    <w:rsid w:val="79EB3E94"/>
    <w:rsid w:val="79F564A6"/>
    <w:rsid w:val="79FC32FE"/>
    <w:rsid w:val="7A057CCF"/>
    <w:rsid w:val="7A532004"/>
    <w:rsid w:val="7A7B40CD"/>
    <w:rsid w:val="7AA6211F"/>
    <w:rsid w:val="7AB102AF"/>
    <w:rsid w:val="7AC34C78"/>
    <w:rsid w:val="7AC909B7"/>
    <w:rsid w:val="7AF54336"/>
    <w:rsid w:val="7B0021CC"/>
    <w:rsid w:val="7B3C549C"/>
    <w:rsid w:val="7B9F45BD"/>
    <w:rsid w:val="7C2B163A"/>
    <w:rsid w:val="7CC303D5"/>
    <w:rsid w:val="7D077C20"/>
    <w:rsid w:val="7D394BB3"/>
    <w:rsid w:val="7D443A69"/>
    <w:rsid w:val="7D463597"/>
    <w:rsid w:val="7D4D5E56"/>
    <w:rsid w:val="7D5E5A28"/>
    <w:rsid w:val="7D713990"/>
    <w:rsid w:val="7D7B6100"/>
    <w:rsid w:val="7DB31192"/>
    <w:rsid w:val="7DC264AD"/>
    <w:rsid w:val="7DCC0473"/>
    <w:rsid w:val="7DE50C72"/>
    <w:rsid w:val="7DED5A62"/>
    <w:rsid w:val="7DF657AA"/>
    <w:rsid w:val="7DF96000"/>
    <w:rsid w:val="7DFB58B2"/>
    <w:rsid w:val="7DFB6B6E"/>
    <w:rsid w:val="7E133DE7"/>
    <w:rsid w:val="7E201623"/>
    <w:rsid w:val="7E5232ED"/>
    <w:rsid w:val="7E642C27"/>
    <w:rsid w:val="7E706B96"/>
    <w:rsid w:val="7EB22406"/>
    <w:rsid w:val="7ECA2B50"/>
    <w:rsid w:val="7ED02E62"/>
    <w:rsid w:val="7EF7254F"/>
    <w:rsid w:val="7EFC6DF2"/>
    <w:rsid w:val="7F08725B"/>
    <w:rsid w:val="7F1135E0"/>
    <w:rsid w:val="7F371FAB"/>
    <w:rsid w:val="7F385010"/>
    <w:rsid w:val="7F424C4E"/>
    <w:rsid w:val="7F8B451C"/>
    <w:rsid w:val="7FCC5758"/>
    <w:rsid w:val="7FF0373C"/>
    <w:rsid w:val="7FF81589"/>
    <w:rsid w:val="BD7D811E"/>
    <w:rsid w:val="DFFF2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7">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8">
    <w:name w:val="heading 2"/>
    <w:basedOn w:val="1"/>
    <w:next w:val="1"/>
    <w:link w:val="5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9">
    <w:name w:val="heading 3"/>
    <w:basedOn w:val="1"/>
    <w:next w:val="1"/>
    <w:link w:val="59"/>
    <w:qFormat/>
    <w:uiPriority w:val="0"/>
    <w:pPr>
      <w:keepNext/>
      <w:keepLines/>
      <w:spacing w:before="260" w:beforeLines="0" w:after="260" w:afterLines="0" w:line="413" w:lineRule="auto"/>
      <w:outlineLvl w:val="2"/>
    </w:pPr>
    <w:rPr>
      <w:b/>
      <w:bCs/>
      <w:sz w:val="32"/>
      <w:szCs w:val="32"/>
    </w:rPr>
  </w:style>
  <w:style w:type="paragraph" w:styleId="10">
    <w:name w:val="heading 4"/>
    <w:basedOn w:val="1"/>
    <w:next w:val="1"/>
    <w:link w:val="60"/>
    <w:qFormat/>
    <w:uiPriority w:val="0"/>
    <w:pPr>
      <w:keepNext/>
      <w:keepLines/>
      <w:spacing w:before="280" w:beforeLines="0" w:after="290" w:afterLines="0" w:line="372" w:lineRule="auto"/>
      <w:outlineLvl w:val="3"/>
    </w:pPr>
    <w:rPr>
      <w:rFonts w:ascii="Arial" w:hAnsi="Arial" w:eastAsia="黑体"/>
      <w:b/>
      <w:bCs/>
      <w:szCs w:val="28"/>
    </w:rPr>
  </w:style>
  <w:style w:type="paragraph" w:styleId="11">
    <w:name w:val="heading 5"/>
    <w:basedOn w:val="1"/>
    <w:next w:val="1"/>
    <w:link w:val="61"/>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12">
    <w:name w:val="heading 6"/>
    <w:basedOn w:val="1"/>
    <w:next w:val="1"/>
    <w:link w:val="62"/>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13">
    <w:name w:val="heading 7"/>
    <w:basedOn w:val="1"/>
    <w:next w:val="1"/>
    <w:link w:val="63"/>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14">
    <w:name w:val="heading 8"/>
    <w:basedOn w:val="1"/>
    <w:next w:val="1"/>
    <w:link w:val="64"/>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5">
    <w:name w:val="heading 9"/>
    <w:basedOn w:val="1"/>
    <w:next w:val="1"/>
    <w:link w:val="65"/>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9">
    <w:name w:val="Default Paragraph Font"/>
    <w:qFormat/>
    <w:uiPriority w:val="0"/>
  </w:style>
  <w:style w:type="table" w:default="1" w:styleId="4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3">
    <w:name w:val="Body Text"/>
    <w:basedOn w:val="1"/>
    <w:next w:val="4"/>
    <w:link w:val="69"/>
    <w:qFormat/>
    <w:uiPriority w:val="0"/>
    <w:pPr>
      <w:spacing w:after="120" w:afterLines="0"/>
    </w:pPr>
  </w:style>
  <w:style w:type="paragraph" w:styleId="4">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5">
    <w:name w:val="Body Text First Indent 2"/>
    <w:basedOn w:val="6"/>
    <w:next w:val="2"/>
    <w:qFormat/>
    <w:uiPriority w:val="0"/>
    <w:pPr>
      <w:spacing w:after="120" w:afterLines="0" w:afterAutospacing="0" w:line="240" w:lineRule="auto"/>
      <w:ind w:left="420" w:leftChars="200" w:firstLine="420" w:firstLineChars="200"/>
    </w:pPr>
    <w:rPr>
      <w:rFonts w:ascii="等线" w:hAnsi="等线" w:eastAsia="等线"/>
      <w:sz w:val="21"/>
    </w:rPr>
  </w:style>
  <w:style w:type="paragraph" w:styleId="6">
    <w:name w:val="Body Text Indent"/>
    <w:basedOn w:val="1"/>
    <w:next w:val="1"/>
    <w:link w:val="70"/>
    <w:qFormat/>
    <w:uiPriority w:val="0"/>
    <w:pPr>
      <w:spacing w:line="200" w:lineRule="atLeast"/>
      <w:ind w:firstLine="301"/>
    </w:pPr>
    <w:rPr>
      <w:rFonts w:ascii="宋体" w:hAnsi="Courier New"/>
      <w:spacing w:val="-4"/>
      <w:sz w:val="18"/>
      <w:szCs w:val="20"/>
    </w:rPr>
  </w:style>
  <w:style w:type="paragraph" w:styleId="16">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7">
    <w:name w:val="Normal Indent"/>
    <w:basedOn w:val="1"/>
    <w:link w:val="66"/>
    <w:qFormat/>
    <w:uiPriority w:val="0"/>
    <w:pPr>
      <w:ind w:firstLine="420"/>
    </w:pPr>
    <w:rPr>
      <w:sz w:val="21"/>
      <w:szCs w:val="20"/>
    </w:rPr>
  </w:style>
  <w:style w:type="paragraph" w:styleId="18">
    <w:name w:val="caption"/>
    <w:basedOn w:val="1"/>
    <w:next w:val="1"/>
    <w:qFormat/>
    <w:uiPriority w:val="0"/>
    <w:pPr>
      <w:spacing w:before="152" w:beforeLines="0" w:after="160" w:afterLines="0"/>
    </w:pPr>
    <w:rPr>
      <w:rFonts w:ascii="Arial" w:hAnsi="Arial" w:eastAsia="黑体" w:cs="Arial"/>
      <w:sz w:val="20"/>
      <w:szCs w:val="20"/>
    </w:rPr>
  </w:style>
  <w:style w:type="paragraph" w:styleId="19">
    <w:name w:val="List Bullet"/>
    <w:basedOn w:val="1"/>
    <w:next w:val="1"/>
    <w:unhideWhenUsed/>
    <w:qFormat/>
    <w:uiPriority w:val="99"/>
    <w:pPr>
      <w:numPr>
        <w:ilvl w:val="0"/>
        <w:numId w:val="1"/>
      </w:numPr>
    </w:pPr>
  </w:style>
  <w:style w:type="paragraph" w:styleId="20">
    <w:name w:val="Document Map"/>
    <w:basedOn w:val="1"/>
    <w:link w:val="67"/>
    <w:qFormat/>
    <w:uiPriority w:val="0"/>
    <w:pPr>
      <w:shd w:val="clear" w:color="auto" w:fill="000080"/>
    </w:pPr>
    <w:rPr>
      <w:kern w:val="0"/>
      <w:sz w:val="20"/>
      <w:shd w:val="clear" w:color="auto" w:fill="000080"/>
    </w:rPr>
  </w:style>
  <w:style w:type="paragraph" w:styleId="21">
    <w:name w:val="toa heading"/>
    <w:basedOn w:val="1"/>
    <w:next w:val="1"/>
    <w:qFormat/>
    <w:uiPriority w:val="0"/>
    <w:pPr>
      <w:spacing w:before="120" w:beforeLines="0"/>
    </w:pPr>
    <w:rPr>
      <w:rFonts w:ascii="Arial" w:hAnsi="Arial" w:cs="Arial"/>
      <w:sz w:val="24"/>
    </w:rPr>
  </w:style>
  <w:style w:type="paragraph" w:styleId="22">
    <w:name w:val="annotation text"/>
    <w:basedOn w:val="1"/>
    <w:link w:val="68"/>
    <w:qFormat/>
    <w:uiPriority w:val="0"/>
    <w:pPr>
      <w:jc w:val="left"/>
    </w:pPr>
    <w:rPr>
      <w:sz w:val="21"/>
    </w:rPr>
  </w:style>
  <w:style w:type="paragraph" w:styleId="23">
    <w:name w:val="Body Text 3"/>
    <w:basedOn w:val="1"/>
    <w:qFormat/>
    <w:uiPriority w:val="0"/>
    <w:pPr>
      <w:snapToGrid w:val="0"/>
      <w:spacing w:before="50" w:beforeLines="0" w:after="50" w:afterLines="0"/>
    </w:pPr>
    <w:rPr>
      <w:rFonts w:hAnsi="宋体" w:eastAsia="仿宋_GB2312"/>
      <w:b/>
      <w:bCs/>
      <w:sz w:val="24"/>
      <w:szCs w:val="20"/>
    </w:rPr>
  </w:style>
  <w:style w:type="paragraph" w:styleId="24">
    <w:name w:val="List Number 3"/>
    <w:basedOn w:val="1"/>
    <w:qFormat/>
    <w:uiPriority w:val="0"/>
    <w:pPr>
      <w:numPr>
        <w:ilvl w:val="0"/>
        <w:numId w:val="2"/>
      </w:numPr>
      <w:ind w:left="720"/>
    </w:pPr>
    <w:rPr>
      <w:sz w:val="21"/>
    </w:rPr>
  </w:style>
  <w:style w:type="paragraph" w:styleId="25">
    <w:name w:val="List 2"/>
    <w:basedOn w:val="1"/>
    <w:qFormat/>
    <w:uiPriority w:val="0"/>
    <w:pPr>
      <w:ind w:leftChars="200" w:hanging="200" w:hangingChars="200"/>
    </w:pPr>
  </w:style>
  <w:style w:type="paragraph" w:styleId="26">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7">
    <w:name w:val="List Bullet 2"/>
    <w:basedOn w:val="1"/>
    <w:next w:val="19"/>
    <w:unhideWhenUsed/>
    <w:qFormat/>
    <w:uiPriority w:val="99"/>
    <w:pPr>
      <w:numPr>
        <w:ilvl w:val="0"/>
        <w:numId w:val="3"/>
      </w:numPr>
    </w:p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0"/>
    <w:pPr>
      <w:ind w:left="840" w:leftChars="400"/>
    </w:pPr>
    <w:rPr>
      <w:sz w:val="21"/>
    </w:rPr>
  </w:style>
  <w:style w:type="paragraph" w:styleId="30">
    <w:name w:val="Plain Text"/>
    <w:basedOn w:val="1"/>
    <w:next w:val="1"/>
    <w:link w:val="71"/>
    <w:qFormat/>
    <w:uiPriority w:val="0"/>
    <w:pPr>
      <w:spacing w:before="156" w:beforeLines="50" w:after="156" w:afterLines="50" w:line="400" w:lineRule="atLeast"/>
    </w:pPr>
    <w:rPr>
      <w:rFonts w:ascii="宋体" w:hAnsi="Courier New"/>
      <w:sz w:val="24"/>
    </w:rPr>
  </w:style>
  <w:style w:type="paragraph" w:styleId="31">
    <w:name w:val="Date"/>
    <w:basedOn w:val="1"/>
    <w:next w:val="1"/>
    <w:qFormat/>
    <w:uiPriority w:val="0"/>
    <w:pPr>
      <w:ind w:leftChars="2500"/>
    </w:pPr>
    <w:rPr>
      <w:rFonts w:eastAsia="楷体_GB2312"/>
      <w:sz w:val="32"/>
      <w:szCs w:val="20"/>
    </w:rPr>
  </w:style>
  <w:style w:type="paragraph" w:styleId="32">
    <w:name w:val="Body Text Indent 2"/>
    <w:basedOn w:val="1"/>
    <w:qFormat/>
    <w:uiPriority w:val="0"/>
    <w:pPr>
      <w:snapToGrid w:val="0"/>
      <w:ind w:firstLine="542" w:firstLineChars="225"/>
    </w:pPr>
    <w:rPr>
      <w:rFonts w:ascii="仿宋_GB2312" w:hAnsi="宋体" w:cs="Arial"/>
      <w:b/>
      <w:bCs/>
      <w:color w:val="000000"/>
      <w:sz w:val="24"/>
    </w:rPr>
  </w:style>
  <w:style w:type="paragraph" w:styleId="33">
    <w:name w:val="Balloon Text"/>
    <w:basedOn w:val="1"/>
    <w:qFormat/>
    <w:uiPriority w:val="0"/>
    <w:rPr>
      <w:sz w:val="18"/>
      <w:szCs w:val="20"/>
    </w:rPr>
  </w:style>
  <w:style w:type="paragraph" w:styleId="34">
    <w:name w:val="footer"/>
    <w:basedOn w:val="1"/>
    <w:link w:val="72"/>
    <w:qFormat/>
    <w:uiPriority w:val="0"/>
    <w:pPr>
      <w:tabs>
        <w:tab w:val="center" w:pos="4153"/>
        <w:tab w:val="right" w:pos="8306"/>
      </w:tabs>
      <w:snapToGrid w:val="0"/>
      <w:jc w:val="left"/>
    </w:pPr>
    <w:rPr>
      <w:sz w:val="18"/>
      <w:szCs w:val="18"/>
    </w:rPr>
  </w:style>
  <w:style w:type="paragraph" w:styleId="35">
    <w:name w:val="envelope return"/>
    <w:basedOn w:val="1"/>
    <w:qFormat/>
    <w:uiPriority w:val="0"/>
    <w:pPr>
      <w:snapToGrid w:val="0"/>
    </w:pPr>
    <w:rPr>
      <w:rFonts w:ascii="Arial" w:hAnsi="Arial"/>
    </w:rPr>
  </w:style>
  <w:style w:type="paragraph" w:styleId="36">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 w:val="21"/>
    </w:rPr>
  </w:style>
  <w:style w:type="paragraph" w:styleId="38">
    <w:name w:val="Subtitle"/>
    <w:basedOn w:val="1"/>
    <w:next w:val="1"/>
    <w:link w:val="74"/>
    <w:qFormat/>
    <w:uiPriority w:val="0"/>
    <w:pPr>
      <w:spacing w:before="240" w:beforeLines="0" w:after="60" w:afterLines="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style>
  <w:style w:type="paragraph" w:styleId="40">
    <w:name w:val="footnote text"/>
    <w:basedOn w:val="1"/>
    <w:qFormat/>
    <w:uiPriority w:val="0"/>
    <w:pPr>
      <w:snapToGrid w:val="0"/>
      <w:jc w:val="left"/>
    </w:pPr>
    <w:rPr>
      <w:rFonts w:eastAsia="仿宋_GB2312"/>
      <w:sz w:val="18"/>
      <w:szCs w:val="20"/>
    </w:rPr>
  </w:style>
  <w:style w:type="paragraph" w:styleId="41">
    <w:name w:val="toc 6"/>
    <w:basedOn w:val="1"/>
    <w:next w:val="1"/>
    <w:unhideWhenUsed/>
    <w:qFormat/>
    <w:uiPriority w:val="39"/>
    <w:pPr>
      <w:ind w:left="2100" w:leftChars="1000"/>
    </w:pPr>
    <w:rPr>
      <w:rFonts w:ascii="Calibri" w:hAnsi="Calibri"/>
    </w:rPr>
  </w:style>
  <w:style w:type="paragraph" w:styleId="42">
    <w:name w:val="Body Text Indent 3"/>
    <w:basedOn w:val="1"/>
    <w:qFormat/>
    <w:uiPriority w:val="0"/>
    <w:pPr>
      <w:spacing w:after="120" w:afterLines="0"/>
      <w:ind w:left="420" w:leftChars="200"/>
    </w:pPr>
    <w:rPr>
      <w:sz w:val="16"/>
      <w:szCs w:val="16"/>
    </w:rPr>
  </w:style>
  <w:style w:type="paragraph" w:styleId="43">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4">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5">
    <w:name w:val="Title"/>
    <w:basedOn w:val="1"/>
    <w:next w:val="1"/>
    <w:link w:val="75"/>
    <w:qFormat/>
    <w:uiPriority w:val="0"/>
    <w:pPr>
      <w:spacing w:before="240" w:beforeLines="0" w:after="60" w:afterLines="0"/>
      <w:jc w:val="center"/>
      <w:outlineLvl w:val="0"/>
    </w:pPr>
    <w:rPr>
      <w:rFonts w:ascii="Arial" w:hAnsi="Arial" w:cs="Arial"/>
      <w:b/>
      <w:bCs/>
      <w:sz w:val="32"/>
      <w:szCs w:val="32"/>
    </w:rPr>
  </w:style>
  <w:style w:type="paragraph" w:styleId="46">
    <w:name w:val="annotation subject"/>
    <w:basedOn w:val="22"/>
    <w:next w:val="22"/>
    <w:link w:val="76"/>
    <w:qFormat/>
    <w:uiPriority w:val="0"/>
    <w:rPr>
      <w:rFonts w:ascii="宋体"/>
      <w:b/>
      <w:bCs/>
      <w:kern w:val="0"/>
      <w:sz w:val="28"/>
      <w:szCs w:val="20"/>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签发人"/>
    <w:basedOn w:val="1"/>
    <w:qFormat/>
    <w:uiPriority w:val="0"/>
    <w:rPr>
      <w:rFonts w:eastAsia="楷体"/>
      <w:sz w:val="32"/>
    </w:rPr>
  </w:style>
  <w:style w:type="character" w:customStyle="1" w:styleId="57">
    <w:name w:val="标题 1 Char"/>
    <w:link w:val="7"/>
    <w:qFormat/>
    <w:uiPriority w:val="0"/>
    <w:rPr>
      <w:b/>
      <w:bCs/>
      <w:kern w:val="44"/>
      <w:sz w:val="44"/>
      <w:szCs w:val="44"/>
    </w:rPr>
  </w:style>
  <w:style w:type="character" w:customStyle="1" w:styleId="58">
    <w:name w:val="标题 2 Char"/>
    <w:link w:val="8"/>
    <w:qFormat/>
    <w:uiPriority w:val="0"/>
    <w:rPr>
      <w:rFonts w:ascii="Arial" w:hAnsi="Arial" w:eastAsia="黑体"/>
      <w:b/>
      <w:bCs/>
      <w:kern w:val="2"/>
      <w:sz w:val="32"/>
      <w:szCs w:val="32"/>
    </w:rPr>
  </w:style>
  <w:style w:type="character" w:customStyle="1" w:styleId="59">
    <w:name w:val="标题 3 Char"/>
    <w:link w:val="9"/>
    <w:qFormat/>
    <w:uiPriority w:val="0"/>
    <w:rPr>
      <w:b/>
      <w:bCs/>
      <w:kern w:val="2"/>
      <w:sz w:val="32"/>
      <w:szCs w:val="32"/>
    </w:rPr>
  </w:style>
  <w:style w:type="character" w:customStyle="1" w:styleId="60">
    <w:name w:val="标题 4 Char"/>
    <w:link w:val="10"/>
    <w:qFormat/>
    <w:uiPriority w:val="0"/>
    <w:rPr>
      <w:rFonts w:ascii="Arial" w:hAnsi="Arial" w:eastAsia="黑体"/>
      <w:b/>
      <w:bCs/>
      <w:kern w:val="2"/>
      <w:sz w:val="28"/>
      <w:szCs w:val="28"/>
    </w:rPr>
  </w:style>
  <w:style w:type="character" w:customStyle="1" w:styleId="61">
    <w:name w:val="标题 5 Char"/>
    <w:link w:val="11"/>
    <w:qFormat/>
    <w:uiPriority w:val="0"/>
    <w:rPr>
      <w:b/>
      <w:bCs/>
      <w:sz w:val="28"/>
      <w:szCs w:val="28"/>
    </w:rPr>
  </w:style>
  <w:style w:type="character" w:customStyle="1" w:styleId="62">
    <w:name w:val="标题 6 Char"/>
    <w:link w:val="12"/>
    <w:qFormat/>
    <w:uiPriority w:val="0"/>
    <w:rPr>
      <w:rFonts w:ascii="Arial" w:hAnsi="Arial" w:eastAsia="黑体"/>
      <w:b/>
      <w:bCs/>
      <w:sz w:val="24"/>
      <w:szCs w:val="24"/>
    </w:rPr>
  </w:style>
  <w:style w:type="character" w:customStyle="1" w:styleId="63">
    <w:name w:val="标题 7 Char"/>
    <w:link w:val="13"/>
    <w:qFormat/>
    <w:uiPriority w:val="0"/>
    <w:rPr>
      <w:b/>
      <w:bCs/>
      <w:sz w:val="24"/>
      <w:szCs w:val="24"/>
    </w:rPr>
  </w:style>
  <w:style w:type="character" w:customStyle="1" w:styleId="64">
    <w:name w:val="标题 8 Char"/>
    <w:link w:val="14"/>
    <w:qFormat/>
    <w:uiPriority w:val="0"/>
    <w:rPr>
      <w:rFonts w:ascii="Arial" w:hAnsi="Arial" w:eastAsia="黑体"/>
      <w:sz w:val="24"/>
      <w:szCs w:val="24"/>
    </w:rPr>
  </w:style>
  <w:style w:type="character" w:customStyle="1" w:styleId="65">
    <w:name w:val="标题 9 Char"/>
    <w:link w:val="15"/>
    <w:qFormat/>
    <w:uiPriority w:val="0"/>
    <w:rPr>
      <w:rFonts w:ascii="Arial" w:hAnsi="Arial" w:eastAsia="黑体"/>
      <w:sz w:val="21"/>
      <w:szCs w:val="21"/>
    </w:rPr>
  </w:style>
  <w:style w:type="character" w:customStyle="1" w:styleId="66">
    <w:name w:val="正文缩进 Char"/>
    <w:link w:val="17"/>
    <w:qFormat/>
    <w:uiPriority w:val="0"/>
    <w:rPr>
      <w:rFonts w:eastAsia="宋体"/>
      <w:kern w:val="2"/>
      <w:sz w:val="21"/>
      <w:lang w:val="en-US" w:eastAsia="zh-CN" w:bidi="ar-SA"/>
    </w:rPr>
  </w:style>
  <w:style w:type="character" w:customStyle="1" w:styleId="67">
    <w:name w:val="文档结构图 Char"/>
    <w:link w:val="20"/>
    <w:qFormat/>
    <w:uiPriority w:val="0"/>
    <w:rPr>
      <w:szCs w:val="24"/>
      <w:shd w:val="clear" w:color="auto" w:fill="000080"/>
    </w:rPr>
  </w:style>
  <w:style w:type="character" w:customStyle="1" w:styleId="68">
    <w:name w:val="批注文字 Char"/>
    <w:link w:val="22"/>
    <w:qFormat/>
    <w:uiPriority w:val="0"/>
    <w:rPr>
      <w:kern w:val="2"/>
      <w:sz w:val="21"/>
      <w:szCs w:val="24"/>
    </w:rPr>
  </w:style>
  <w:style w:type="character" w:customStyle="1" w:styleId="69">
    <w:name w:val="正文文本 Char"/>
    <w:link w:val="3"/>
    <w:qFormat/>
    <w:uiPriority w:val="0"/>
    <w:rPr>
      <w:kern w:val="2"/>
      <w:sz w:val="28"/>
      <w:szCs w:val="24"/>
    </w:rPr>
  </w:style>
  <w:style w:type="character" w:customStyle="1" w:styleId="70">
    <w:name w:val="正文文本缩进 Char"/>
    <w:link w:val="6"/>
    <w:qFormat/>
    <w:uiPriority w:val="0"/>
    <w:rPr>
      <w:rFonts w:ascii="宋体" w:hAnsi="Courier New"/>
      <w:spacing w:val="-4"/>
      <w:kern w:val="2"/>
      <w:sz w:val="18"/>
    </w:rPr>
  </w:style>
  <w:style w:type="character" w:customStyle="1" w:styleId="71">
    <w:name w:val="纯文本 Char"/>
    <w:link w:val="30"/>
    <w:qFormat/>
    <w:uiPriority w:val="0"/>
    <w:rPr>
      <w:rFonts w:ascii="宋体" w:hAnsi="Courier New" w:eastAsia="宋体"/>
      <w:kern w:val="2"/>
      <w:sz w:val="24"/>
      <w:szCs w:val="24"/>
      <w:lang w:val="en-US" w:eastAsia="zh-CN" w:bidi="ar-SA"/>
    </w:rPr>
  </w:style>
  <w:style w:type="character" w:customStyle="1" w:styleId="72">
    <w:name w:val="页脚 Char"/>
    <w:link w:val="34"/>
    <w:qFormat/>
    <w:uiPriority w:val="0"/>
    <w:rPr>
      <w:kern w:val="2"/>
      <w:sz w:val="18"/>
      <w:szCs w:val="18"/>
    </w:rPr>
  </w:style>
  <w:style w:type="character" w:customStyle="1" w:styleId="73">
    <w:name w:val="页眉 Char"/>
    <w:link w:val="36"/>
    <w:qFormat/>
    <w:uiPriority w:val="0"/>
    <w:rPr>
      <w:kern w:val="2"/>
      <w:sz w:val="18"/>
      <w:szCs w:val="18"/>
    </w:rPr>
  </w:style>
  <w:style w:type="character" w:customStyle="1" w:styleId="74">
    <w:name w:val="副标题 Char"/>
    <w:link w:val="38"/>
    <w:qFormat/>
    <w:uiPriority w:val="0"/>
    <w:rPr>
      <w:rFonts w:ascii="Cambria" w:hAnsi="Cambria"/>
      <w:b/>
      <w:bCs/>
      <w:kern w:val="28"/>
      <w:sz w:val="32"/>
      <w:szCs w:val="32"/>
    </w:rPr>
  </w:style>
  <w:style w:type="character" w:customStyle="1" w:styleId="75">
    <w:name w:val="标题 Char"/>
    <w:link w:val="45"/>
    <w:qFormat/>
    <w:uiPriority w:val="0"/>
    <w:rPr>
      <w:rFonts w:ascii="Arial" w:hAnsi="Arial" w:eastAsia="宋体" w:cs="Arial"/>
      <w:b/>
      <w:bCs/>
      <w:kern w:val="2"/>
      <w:sz w:val="32"/>
      <w:szCs w:val="32"/>
      <w:lang w:val="en-US" w:eastAsia="zh-CN" w:bidi="ar-SA"/>
    </w:rPr>
  </w:style>
  <w:style w:type="character" w:customStyle="1" w:styleId="76">
    <w:name w:val="批注主题 Char"/>
    <w:link w:val="46"/>
    <w:qFormat/>
    <w:uiPriority w:val="0"/>
    <w:rPr>
      <w:rFonts w:ascii="宋体"/>
      <w:b/>
      <w:bCs/>
      <w:sz w:val="28"/>
    </w:rPr>
  </w:style>
  <w:style w:type="paragraph" w:customStyle="1" w:styleId="7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8">
    <w:name w:val="正文文字4 Char Char"/>
    <w:qFormat/>
    <w:uiPriority w:val="0"/>
    <w:rPr>
      <w:rFonts w:eastAsia="宋体"/>
      <w:kern w:val="2"/>
      <w:sz w:val="21"/>
      <w:szCs w:val="24"/>
      <w:lang w:val="en-US" w:eastAsia="zh-CN" w:bidi="ar-SA"/>
    </w:rPr>
  </w:style>
  <w:style w:type="character" w:customStyle="1" w:styleId="79">
    <w:name w:val=" Char Char1"/>
    <w:qFormat/>
    <w:uiPriority w:val="0"/>
    <w:rPr>
      <w:rFonts w:ascii="Arial" w:hAnsi="Arial" w:eastAsia="黑体"/>
      <w:b/>
      <w:bCs/>
      <w:kern w:val="2"/>
      <w:sz w:val="32"/>
      <w:szCs w:val="32"/>
      <w:lang w:val="en-US" w:eastAsia="zh-CN" w:bidi="ar-SA"/>
    </w:rPr>
  </w:style>
  <w:style w:type="character" w:customStyle="1" w:styleId="80">
    <w:name w:val="ZJ正文 Char"/>
    <w:link w:val="81"/>
    <w:qFormat/>
    <w:uiPriority w:val="0"/>
    <w:rPr>
      <w:kern w:val="2"/>
      <w:sz w:val="24"/>
      <w:szCs w:val="24"/>
    </w:rPr>
  </w:style>
  <w:style w:type="paragraph" w:customStyle="1" w:styleId="81">
    <w:name w:val="ZJ正文"/>
    <w:basedOn w:val="1"/>
    <w:link w:val="80"/>
    <w:qFormat/>
    <w:uiPriority w:val="0"/>
    <w:pPr>
      <w:ind w:firstLine="480" w:firstLineChars="200"/>
    </w:pPr>
    <w:rPr>
      <w:sz w:val="24"/>
    </w:rPr>
  </w:style>
  <w:style w:type="character" w:customStyle="1" w:styleId="82">
    <w:name w:val="font161"/>
    <w:qFormat/>
    <w:uiPriority w:val="0"/>
    <w:rPr>
      <w:b/>
      <w:bCs/>
      <w:sz w:val="32"/>
      <w:szCs w:val="32"/>
    </w:rPr>
  </w:style>
  <w:style w:type="character" w:customStyle="1" w:styleId="83">
    <w:name w:val="标题4 Char Char"/>
    <w:qFormat/>
    <w:uiPriority w:val="0"/>
    <w:rPr>
      <w:rFonts w:eastAsia="仿宋_GB2312"/>
      <w:kern w:val="2"/>
      <w:sz w:val="32"/>
      <w:lang w:val="en-US" w:eastAsia="zh-CN" w:bidi="ar-SA"/>
    </w:rPr>
  </w:style>
  <w:style w:type="character" w:customStyle="1" w:styleId="84">
    <w:name w:val=" Char Char7"/>
    <w:qFormat/>
    <w:uiPriority w:val="0"/>
    <w:rPr>
      <w:rFonts w:ascii="宋体" w:hAnsi="Courier New" w:eastAsia="宋体"/>
      <w:kern w:val="2"/>
      <w:sz w:val="21"/>
      <w:lang w:val="en-US" w:eastAsia="zh-CN" w:bidi="ar-SA"/>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fx_label"/>
    <w:basedOn w:val="49"/>
    <w:qFormat/>
    <w:uiPriority w:val="0"/>
  </w:style>
  <w:style w:type="character" w:customStyle="1" w:styleId="88">
    <w:name w:val="文档结构图 Char1"/>
    <w:qFormat/>
    <w:uiPriority w:val="0"/>
    <w:rPr>
      <w:rFonts w:ascii="宋体"/>
      <w:kern w:val="2"/>
      <w:sz w:val="18"/>
      <w:szCs w:val="18"/>
    </w:rPr>
  </w:style>
  <w:style w:type="character" w:customStyle="1" w:styleId="89">
    <w:name w:val="普通文字 Char Char Char1"/>
    <w:qFormat/>
    <w:uiPriority w:val="0"/>
    <w:rPr>
      <w:rFonts w:ascii="宋体" w:hAnsi="Courier New" w:eastAsia="宋体"/>
      <w:kern w:val="2"/>
      <w:sz w:val="24"/>
      <w:szCs w:val="24"/>
      <w:lang w:val="en-US" w:eastAsia="zh-CN" w:bidi="ar-SA"/>
    </w:rPr>
  </w:style>
  <w:style w:type="character" w:customStyle="1" w:styleId="90">
    <w:name w:val=" Char Char8"/>
    <w:qFormat/>
    <w:uiPriority w:val="0"/>
    <w:rPr>
      <w:rFonts w:eastAsia="宋体"/>
      <w:kern w:val="2"/>
      <w:sz w:val="21"/>
      <w:szCs w:val="24"/>
      <w:lang w:val="en-US" w:eastAsia="zh-CN" w:bidi="ar-SA"/>
    </w:rPr>
  </w:style>
  <w:style w:type="character" w:customStyle="1" w:styleId="91">
    <w:name w:val="引用 Char1"/>
    <w:qFormat/>
    <w:uiPriority w:val="0"/>
    <w:rPr>
      <w:i/>
      <w:iCs/>
      <w:color w:val="000000"/>
      <w:kern w:val="2"/>
      <w:sz w:val="28"/>
      <w:szCs w:val="24"/>
    </w:rPr>
  </w:style>
  <w:style w:type="character" w:customStyle="1" w:styleId="92">
    <w:name w:val="font11"/>
    <w:qFormat/>
    <w:uiPriority w:val="0"/>
    <w:rPr>
      <w:rFonts w:hint="eastAsia" w:ascii="宋体" w:hAnsi="宋体" w:eastAsia="宋体" w:cs="宋体"/>
      <w:color w:val="FF0000"/>
      <w:sz w:val="20"/>
      <w:szCs w:val="20"/>
      <w:u w:val="none"/>
    </w:rPr>
  </w:style>
  <w:style w:type="character" w:customStyle="1" w:styleId="93">
    <w:name w:val="font31"/>
    <w:qFormat/>
    <w:uiPriority w:val="0"/>
    <w:rPr>
      <w:rFonts w:hint="eastAsia" w:ascii="宋体" w:hAnsi="宋体" w:eastAsia="宋体" w:cs="宋体"/>
      <w:color w:val="000000"/>
      <w:sz w:val="20"/>
      <w:szCs w:val="20"/>
      <w:u w:val="none"/>
    </w:rPr>
  </w:style>
  <w:style w:type="character" w:customStyle="1" w:styleId="94">
    <w:name w:val="htd01"/>
    <w:basedOn w:val="49"/>
    <w:qFormat/>
    <w:uiPriority w:val="0"/>
  </w:style>
  <w:style w:type="character" w:customStyle="1" w:styleId="95">
    <w:name w:val="纯文本 Char2"/>
    <w:qFormat/>
    <w:uiPriority w:val="0"/>
    <w:rPr>
      <w:rFonts w:ascii="宋体" w:hAnsi="Courier New" w:eastAsia="宋体"/>
      <w:kern w:val="2"/>
      <w:sz w:val="24"/>
      <w:szCs w:val="24"/>
      <w:lang w:val="en-US" w:eastAsia="zh-CN" w:bidi="ar-SA"/>
    </w:rPr>
  </w:style>
  <w:style w:type="character" w:customStyle="1" w:styleId="96">
    <w:name w:val="批注文字 Char1"/>
    <w:qFormat/>
    <w:uiPriority w:val="0"/>
    <w:rPr>
      <w:kern w:val="2"/>
      <w:sz w:val="28"/>
      <w:szCs w:val="24"/>
    </w:rPr>
  </w:style>
  <w:style w:type="character" w:customStyle="1" w:styleId="97">
    <w:name w:val="列出段落 Char"/>
    <w:link w:val="98"/>
    <w:qFormat/>
    <w:uiPriority w:val="0"/>
    <w:rPr>
      <w:kern w:val="2"/>
      <w:sz w:val="21"/>
      <w:szCs w:val="22"/>
    </w:rPr>
  </w:style>
  <w:style w:type="paragraph" w:customStyle="1" w:styleId="98">
    <w:name w:val="List Paragraph1"/>
    <w:basedOn w:val="1"/>
    <w:link w:val="97"/>
    <w:qFormat/>
    <w:uiPriority w:val="0"/>
    <w:pPr>
      <w:ind w:firstLine="420" w:firstLineChars="200"/>
    </w:pPr>
    <w:rPr>
      <w:sz w:val="21"/>
      <w:szCs w:val="22"/>
    </w:rPr>
  </w:style>
  <w:style w:type="character" w:customStyle="1" w:styleId="99">
    <w:name w:val="明显引用 Char"/>
    <w:link w:val="100"/>
    <w:qFormat/>
    <w:uiPriority w:val="0"/>
    <w:rPr>
      <w:b/>
      <w:bCs/>
      <w:i/>
      <w:iCs/>
      <w:color w:val="4F81BD"/>
      <w:kern w:val="2"/>
      <w:sz w:val="21"/>
      <w:szCs w:val="22"/>
    </w:rPr>
  </w:style>
  <w:style w:type="paragraph" w:styleId="100">
    <w:name w:val="Intense Quote"/>
    <w:basedOn w:val="1"/>
    <w:next w:val="1"/>
    <w:link w:val="99"/>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101">
    <w:name w:val="副标题 Char1"/>
    <w:qFormat/>
    <w:uiPriority w:val="0"/>
    <w:rPr>
      <w:rFonts w:ascii="Cambria" w:hAnsi="Cambria" w:cs="Times New Roman"/>
      <w:b/>
      <w:bCs/>
      <w:kern w:val="28"/>
      <w:sz w:val="32"/>
      <w:szCs w:val="32"/>
    </w:rPr>
  </w:style>
  <w:style w:type="character" w:customStyle="1" w:styleId="102">
    <w:name w:val="批注主题 Char1"/>
    <w:qFormat/>
    <w:uiPriority w:val="0"/>
    <w:rPr>
      <w:b/>
      <w:bCs/>
      <w:kern w:val="2"/>
      <w:sz w:val="28"/>
      <w:szCs w:val="24"/>
    </w:rPr>
  </w:style>
  <w:style w:type="character" w:customStyle="1" w:styleId="103">
    <w:name w:val="明显引用 Char1"/>
    <w:qFormat/>
    <w:uiPriority w:val="0"/>
    <w:rPr>
      <w:b/>
      <w:bCs/>
      <w:i/>
      <w:iCs/>
      <w:color w:val="4F81BD"/>
      <w:kern w:val="2"/>
      <w:sz w:val="28"/>
      <w:szCs w:val="24"/>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9"/>
    <w:link w:val="104"/>
    <w:qFormat/>
    <w:uiPriority w:val="0"/>
    <w:pPr>
      <w:spacing w:line="413" w:lineRule="auto"/>
    </w:pPr>
    <w:rPr>
      <w:rFonts w:ascii="Arial" w:hAnsi="Arial"/>
      <w:kern w:val="0"/>
      <w:sz w:val="24"/>
    </w:rPr>
  </w:style>
  <w:style w:type="character" w:customStyle="1" w:styleId="106">
    <w:name w:val=" Char Char6"/>
    <w:qFormat/>
    <w:uiPriority w:val="0"/>
    <w:rPr>
      <w:rFonts w:eastAsia="宋体"/>
      <w:kern w:val="2"/>
      <w:sz w:val="21"/>
      <w:szCs w:val="24"/>
      <w:lang w:val="en-US" w:eastAsia="zh-CN" w:bidi="ar-SA"/>
    </w:rPr>
  </w:style>
  <w:style w:type="character" w:customStyle="1" w:styleId="107">
    <w:name w:val=" Char Char19"/>
    <w:qFormat/>
    <w:uiPriority w:val="0"/>
    <w:rPr>
      <w:rFonts w:ascii="Arial" w:hAnsi="Arial" w:eastAsia="黑体"/>
      <w:b/>
      <w:bCs/>
      <w:kern w:val="2"/>
      <w:sz w:val="32"/>
      <w:szCs w:val="32"/>
      <w:lang w:val="en-US" w:eastAsia="zh-CN" w:bidi="ar-SA"/>
    </w:rPr>
  </w:style>
  <w:style w:type="character" w:customStyle="1" w:styleId="108">
    <w:name w:val="font51"/>
    <w:basedOn w:val="49"/>
    <w:qFormat/>
    <w:uiPriority w:val="0"/>
    <w:rPr>
      <w:rFonts w:hint="eastAsia" w:ascii="微软雅黑" w:hAnsi="微软雅黑" w:eastAsia="微软雅黑" w:cs="微软雅黑"/>
      <w:color w:val="000000"/>
      <w:sz w:val="20"/>
      <w:szCs w:val="20"/>
      <w:u w:val="none"/>
    </w:rPr>
  </w:style>
  <w:style w:type="character" w:customStyle="1" w:styleId="109">
    <w:name w:val="font71"/>
    <w:basedOn w:val="49"/>
    <w:qFormat/>
    <w:uiPriority w:val="0"/>
    <w:rPr>
      <w:rFonts w:hint="eastAsia" w:ascii="微软雅黑" w:hAnsi="微软雅黑" w:eastAsia="微软雅黑" w:cs="微软雅黑"/>
      <w:color w:val="000000"/>
      <w:sz w:val="20"/>
      <w:szCs w:val="20"/>
      <w:u w:val="none"/>
    </w:rPr>
  </w:style>
  <w:style w:type="character" w:customStyle="1" w:styleId="110">
    <w:name w:val="font41"/>
    <w:basedOn w:val="49"/>
    <w:qFormat/>
    <w:uiPriority w:val="0"/>
    <w:rPr>
      <w:rFonts w:hint="eastAsia" w:ascii="宋体" w:hAnsi="宋体" w:eastAsia="宋体" w:cs="宋体"/>
      <w:color w:val="000000"/>
      <w:sz w:val="20"/>
      <w:szCs w:val="20"/>
      <w:u w:val="none"/>
    </w:rPr>
  </w:style>
  <w:style w:type="paragraph" w:customStyle="1" w:styleId="111">
    <w:name w:val="样式 标题 3 + 段前: 7.8 磅"/>
    <w:basedOn w:val="9"/>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12">
    <w:name w:val="1"/>
    <w:basedOn w:val="1"/>
    <w:next w:val="1"/>
    <w:qFormat/>
    <w:uiPriority w:val="0"/>
    <w:rPr>
      <w:sz w:val="21"/>
    </w:rPr>
  </w:style>
  <w:style w:type="paragraph" w:customStyle="1" w:styleId="113">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1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styleId="115">
    <w:name w:val="List Paragraph"/>
    <w:basedOn w:val="1"/>
    <w:qFormat/>
    <w:uiPriority w:val="0"/>
    <w:pPr>
      <w:ind w:firstLine="420" w:firstLineChars="200"/>
    </w:pPr>
    <w:rPr>
      <w:rFonts w:ascii="Calibri" w:hAnsi="Calibri"/>
      <w:sz w:val="21"/>
      <w:szCs w:val="22"/>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8">
    <w:name w:val=" Char1"/>
    <w:basedOn w:val="1"/>
    <w:qFormat/>
    <w:uiPriority w:val="0"/>
    <w:pPr>
      <w:jc w:val="center"/>
    </w:pPr>
    <w:rPr>
      <w:rFonts w:ascii="仿宋_GB2312" w:eastAsia="仿宋_GB2312"/>
      <w:b/>
      <w:kern w:val="0"/>
      <w:sz w:val="32"/>
      <w:szCs w:val="32"/>
      <w:lang w:val="en-GB"/>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7"/>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paragraph" w:customStyle="1" w:styleId="122">
    <w:name w:val="样式 标题 2 + Times New Roman 四号 非加粗 段前: 5 磅 段后: 0 磅 行距: 固定值 20..."/>
    <w:basedOn w:val="8"/>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23">
    <w:name w:val="正文缩进2字符"/>
    <w:basedOn w:val="1"/>
    <w:qFormat/>
    <w:uiPriority w:val="0"/>
    <w:pPr>
      <w:ind w:firstLine="480" w:firstLineChars="200"/>
    </w:pPr>
    <w:rPr>
      <w:rFonts w:hint="eastAsia" w:ascii="宋体" w:hAnsi="宋体"/>
      <w:sz w:val="24"/>
      <w:szCs w:val="20"/>
    </w:rPr>
  </w:style>
  <w:style w:type="paragraph" w:customStyle="1" w:styleId="124">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25">
    <w:name w:val="4、正文"/>
    <w:basedOn w:val="1"/>
    <w:qFormat/>
    <w:uiPriority w:val="0"/>
    <w:pPr>
      <w:ind w:firstLine="200" w:firstLineChars="200"/>
    </w:pPr>
    <w:rPr>
      <w:rFonts w:ascii="宋体"/>
      <w:sz w:val="24"/>
      <w:szCs w:val="28"/>
    </w:rPr>
  </w:style>
  <w:style w:type="paragraph" w:customStyle="1" w:styleId="126">
    <w:name w:val="占位符文本2"/>
    <w:basedOn w:val="1"/>
    <w:qFormat/>
    <w:uiPriority w:val="0"/>
    <w:pPr>
      <w:keepNext/>
      <w:numPr>
        <w:ilvl w:val="0"/>
        <w:numId w:val="4"/>
      </w:numPr>
      <w:spacing w:line="360" w:lineRule="auto"/>
      <w:outlineLvl w:val="0"/>
    </w:pPr>
    <w:rPr>
      <w:rFonts w:ascii="宋体"/>
      <w:sz w:val="24"/>
    </w:rPr>
  </w:style>
  <w:style w:type="paragraph" w:customStyle="1" w:styleId="127">
    <w:name w:val="表格文字"/>
    <w:basedOn w:val="1"/>
    <w:qFormat/>
    <w:uiPriority w:val="0"/>
    <w:pPr>
      <w:adjustRightInd w:val="0"/>
      <w:spacing w:line="420" w:lineRule="atLeast"/>
      <w:jc w:val="left"/>
      <w:textAlignment w:val="baseline"/>
    </w:pPr>
    <w:rPr>
      <w:kern w:val="0"/>
      <w:sz w:val="21"/>
      <w:szCs w:val="20"/>
    </w:rPr>
  </w:style>
  <w:style w:type="paragraph" w:customStyle="1" w:styleId="128">
    <w:name w:val="正文段"/>
    <w:basedOn w:val="1"/>
    <w:qFormat/>
    <w:uiPriority w:val="0"/>
    <w:pPr>
      <w:widowControl/>
      <w:snapToGrid w:val="0"/>
      <w:spacing w:after="156" w:afterLines="50"/>
      <w:ind w:firstLine="200" w:firstLineChars="200"/>
    </w:pPr>
    <w:rPr>
      <w:kern w:val="0"/>
      <w:sz w:val="24"/>
      <w:szCs w:val="20"/>
    </w:rPr>
  </w:style>
  <w:style w:type="paragraph" w:customStyle="1" w:styleId="129">
    <w:name w:val="样式 样式 样式1 + 首行缩进:  2 字符 + 左侧:  0.74 厘米"/>
    <w:basedOn w:val="130"/>
    <w:qFormat/>
    <w:uiPriority w:val="0"/>
    <w:pPr>
      <w:ind w:firstLine="200"/>
    </w:pPr>
  </w:style>
  <w:style w:type="paragraph" w:customStyle="1" w:styleId="130">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1">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32">
    <w:name w:val="样式 标题 3 + (中文) 黑体 小四 非加粗 段前: 7.8 磅 段后: 0 磅 行距: 固定值 20 磅"/>
    <w:basedOn w:val="9"/>
    <w:qFormat/>
    <w:uiPriority w:val="0"/>
    <w:pPr>
      <w:spacing w:before="0" w:beforeLines="0" w:after="0" w:afterLines="0" w:line="400" w:lineRule="exact"/>
    </w:pPr>
    <w:rPr>
      <w:rFonts w:eastAsia="黑体" w:cs="宋体"/>
      <w:b w:val="0"/>
      <w:bCs w:val="0"/>
      <w:sz w:val="24"/>
      <w:szCs w:val="20"/>
    </w:rPr>
  </w:style>
  <w:style w:type="paragraph" w:customStyle="1" w:styleId="13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4">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35">
    <w:name w:val=" Char"/>
    <w:basedOn w:val="1"/>
    <w:qFormat/>
    <w:uiPriority w:val="0"/>
    <w:rPr>
      <w:sz w:val="24"/>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7">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38">
    <w:name w:val="样式 标题 3 + Arial"/>
    <w:basedOn w:val="9"/>
    <w:qFormat/>
    <w:uiPriority w:val="0"/>
    <w:pPr>
      <w:spacing w:before="312" w:beforeLines="100" w:after="0" w:afterLines="0" w:line="360" w:lineRule="auto"/>
    </w:pPr>
    <w:rPr>
      <w:rFonts w:ascii="Arial" w:hAnsi="Arial"/>
      <w:sz w:val="24"/>
    </w:rPr>
  </w:style>
  <w:style w:type="paragraph" w:customStyle="1" w:styleId="139">
    <w:name w:val=" Char2"/>
    <w:basedOn w:val="1"/>
    <w:qFormat/>
    <w:uiPriority w:val="0"/>
    <w:rPr>
      <w:rFonts w:ascii="仿宋_GB2312" w:eastAsia="仿宋_GB2312"/>
      <w:b/>
      <w:sz w:val="32"/>
      <w:szCs w:val="32"/>
    </w:rPr>
  </w:style>
  <w:style w:type="paragraph" w:customStyle="1" w:styleId="140">
    <w:name w:val="p0"/>
    <w:basedOn w:val="1"/>
    <w:qFormat/>
    <w:uiPriority w:val="0"/>
    <w:pPr>
      <w:widowControl/>
    </w:pPr>
    <w:rPr>
      <w:kern w:val="0"/>
      <w:szCs w:val="28"/>
    </w:rPr>
  </w:style>
  <w:style w:type="paragraph" w:customStyle="1" w:styleId="14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42">
    <w:name w:val="表格"/>
    <w:basedOn w:val="1"/>
    <w:qFormat/>
    <w:uiPriority w:val="0"/>
    <w:pPr>
      <w:jc w:val="center"/>
      <w:textAlignment w:val="center"/>
    </w:pPr>
    <w:rPr>
      <w:rFonts w:ascii="华文细黑" w:hAnsi="华文细黑"/>
      <w:kern w:val="0"/>
      <w:sz w:val="21"/>
      <w:szCs w:val="20"/>
    </w:rPr>
  </w:style>
  <w:style w:type="paragraph" w:customStyle="1" w:styleId="143">
    <w:name w:val=" Char1 Char Char Char Char Char1 Char"/>
    <w:basedOn w:val="1"/>
    <w:qFormat/>
    <w:uiPriority w:val="0"/>
    <w:pPr>
      <w:widowControl/>
      <w:spacing w:after="160" w:line="240" w:lineRule="exact"/>
      <w:jc w:val="left"/>
    </w:pPr>
    <w:rPr>
      <w:sz w:val="21"/>
    </w:rPr>
  </w:style>
  <w:style w:type="paragraph" w:customStyle="1" w:styleId="144">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45">
    <w:name w:val="BodyText1I"/>
    <w:basedOn w:val="146"/>
    <w:next w:val="147"/>
    <w:qFormat/>
    <w:uiPriority w:val="0"/>
    <w:pPr>
      <w:spacing w:after="120"/>
      <w:ind w:firstLine="420" w:firstLineChars="100"/>
      <w:jc w:val="both"/>
      <w:textAlignment w:val="baseline"/>
    </w:pPr>
  </w:style>
  <w:style w:type="paragraph" w:customStyle="1" w:styleId="146">
    <w:name w:val="BodyText"/>
    <w:basedOn w:val="1"/>
    <w:qFormat/>
    <w:uiPriority w:val="0"/>
    <w:pPr>
      <w:spacing w:after="120"/>
      <w:jc w:val="both"/>
      <w:textAlignment w:val="baseline"/>
    </w:pPr>
  </w:style>
  <w:style w:type="paragraph" w:customStyle="1" w:styleId="147">
    <w:name w:val="TOC6"/>
    <w:basedOn w:val="1"/>
    <w:next w:val="1"/>
    <w:qFormat/>
    <w:uiPriority w:val="0"/>
    <w:pPr>
      <w:ind w:left="2100" w:leftChars="1000"/>
      <w:jc w:val="both"/>
      <w:textAlignment w:val="baseline"/>
    </w:pPr>
  </w:style>
  <w:style w:type="paragraph" w:customStyle="1" w:styleId="14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0">
    <w:name w:val="ca-141"/>
    <w:qFormat/>
    <w:uiPriority w:val="0"/>
    <w:rPr>
      <w:rFonts w:hint="eastAsia" w:ascii="宋体" w:hAnsi="宋体"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46</Pages>
  <Words>7430</Words>
  <Characters>7837</Characters>
  <Lines>133</Lines>
  <Paragraphs>37</Paragraphs>
  <TotalTime>6</TotalTime>
  <ScaleCrop>false</ScaleCrop>
  <LinksUpToDate>false</LinksUpToDate>
  <CharactersWithSpaces>7979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2019-05-27T16:14:00Z</dcterms:created>
  <dc:creator>费国炎</dc:creator>
  <cp:lastModifiedBy>admin</cp:lastModifiedBy>
  <cp:lastPrinted>2025-04-27T03:23:00Z</cp:lastPrinted>
  <dcterms:modified xsi:type="dcterms:W3CDTF">2025-07-15T11:41:58Z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913FFC0516284207882FBCF3B625F5FB_13</vt:lpwstr>
  </property>
  <property fmtid="{D5CDD505-2E9C-101B-9397-08002B2CF9AE}" pid="4" name="KSOTemplateDocerSaveRecord">
    <vt:lpwstr>eyJoZGlkIjoiZTVhZTllMDJkODRkY2Q0ZWEzNzA1NmE0MDU3YTBkNmIifQ==</vt:lpwstr>
  </property>
</Properties>
</file>