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1BDF7">
      <w:pPr>
        <w:rPr>
          <w:rFonts w:hint="eastAsia"/>
          <w:color w:val="auto"/>
          <w:sz w:val="24"/>
          <w:szCs w:val="24"/>
        </w:rPr>
      </w:pPr>
    </w:p>
    <w:p w14:paraId="3491963D">
      <w:pPr>
        <w:spacing w:line="300" w:lineRule="auto"/>
        <w:jc w:val="center"/>
        <w:rPr>
          <w:rFonts w:hint="eastAsia" w:ascii="黑体" w:hAnsi="黑体" w:eastAsia="黑体" w:cs="黑体"/>
          <w:b/>
          <w:color w:val="auto"/>
          <w:sz w:val="48"/>
          <w:szCs w:val="48"/>
          <w:lang w:eastAsia="zh-CN"/>
        </w:rPr>
      </w:pPr>
      <w:r>
        <w:rPr>
          <w:rFonts w:hint="eastAsia" w:ascii="黑体" w:hAnsi="黑体" w:eastAsia="黑体" w:cs="黑体"/>
          <w:b/>
          <w:color w:val="auto"/>
          <w:sz w:val="48"/>
          <w:szCs w:val="48"/>
          <w:lang w:eastAsia="zh-CN"/>
        </w:rPr>
        <w:t>遂昌县人民医院职工食堂经营承包项目</w:t>
      </w:r>
    </w:p>
    <w:p w14:paraId="6DCE44BA">
      <w:pPr>
        <w:pStyle w:val="3"/>
        <w:rPr>
          <w:rFonts w:hint="eastAsia" w:ascii="黑体" w:hAnsi="黑体" w:eastAsia="黑体"/>
          <w:b/>
          <w:color w:val="auto"/>
          <w:sz w:val="44"/>
          <w:szCs w:val="44"/>
          <w:u w:val="none" w:color="800000"/>
          <w:lang w:val="en-US" w:eastAsia="zh-CN"/>
        </w:rPr>
      </w:pPr>
      <w:r>
        <w:rPr>
          <w:rFonts w:hint="eastAsia" w:ascii="黑体" w:hAnsi="黑体" w:eastAsia="黑体"/>
          <w:b/>
          <w:color w:val="auto"/>
          <w:sz w:val="44"/>
          <w:szCs w:val="44"/>
          <w:u w:val="none" w:color="800000"/>
          <w:lang w:val="en-US" w:eastAsia="zh-CN"/>
        </w:rPr>
        <w:t xml:space="preserve"> </w:t>
      </w:r>
    </w:p>
    <w:p w14:paraId="23749E44">
      <w:pPr>
        <w:rPr>
          <w:rFonts w:hint="eastAsia"/>
          <w:color w:val="auto"/>
          <w:lang w:eastAsia="zh-CN"/>
        </w:rPr>
      </w:pPr>
    </w:p>
    <w:p w14:paraId="60E7C7E3">
      <w:pPr>
        <w:pStyle w:val="2"/>
        <w:ind w:firstLine="210"/>
        <w:rPr>
          <w:color w:val="auto"/>
        </w:rPr>
      </w:pPr>
    </w:p>
    <w:p w14:paraId="36EC3B83">
      <w:pPr>
        <w:rPr>
          <w:color w:val="auto"/>
        </w:rPr>
      </w:pPr>
    </w:p>
    <w:p w14:paraId="1FB3E795">
      <w:pPr>
        <w:rPr>
          <w:color w:val="auto"/>
        </w:rPr>
      </w:pPr>
    </w:p>
    <w:p w14:paraId="53C8148C">
      <w:pPr>
        <w:rPr>
          <w:color w:val="auto"/>
        </w:rPr>
      </w:pPr>
    </w:p>
    <w:p w14:paraId="3DC91B65">
      <w:pPr>
        <w:rPr>
          <w:color w:val="auto"/>
        </w:rPr>
      </w:pPr>
    </w:p>
    <w:p w14:paraId="672CD80B">
      <w:pPr>
        <w:rPr>
          <w:color w:val="auto"/>
        </w:rPr>
      </w:pPr>
    </w:p>
    <w:p w14:paraId="3E68FC7B">
      <w:pPr>
        <w:rPr>
          <w:color w:val="auto"/>
        </w:rPr>
      </w:pPr>
    </w:p>
    <w:p w14:paraId="5CAAD665">
      <w:pPr>
        <w:widowControl/>
        <w:autoSpaceDE w:val="0"/>
        <w:autoSpaceDN w:val="0"/>
        <w:spacing w:line="240" w:lineRule="auto"/>
        <w:jc w:val="center"/>
        <w:textAlignment w:val="bottom"/>
        <w:outlineLvl w:val="0"/>
        <w:rPr>
          <w:rFonts w:hint="eastAsia" w:ascii="新宋体" w:hAnsi="新宋体" w:eastAsia="新宋体"/>
          <w:b/>
          <w:color w:val="auto"/>
          <w:kern w:val="0"/>
          <w:sz w:val="84"/>
          <w:szCs w:val="20"/>
          <w14:shadow w14:blurRad="50800" w14:dist="38100" w14:dir="2700000" w14:sx="100000" w14:sy="100000" w14:kx="0" w14:ky="0" w14:algn="tl">
            <w14:srgbClr w14:val="000000">
              <w14:alpha w14:val="60000"/>
            </w14:srgbClr>
          </w14:shadow>
        </w:rPr>
      </w:pPr>
      <w:bookmarkStart w:id="0" w:name="_Toc10460"/>
      <w:bookmarkStart w:id="1" w:name="_Toc27598"/>
      <w:bookmarkStart w:id="2" w:name="_Toc13298"/>
      <w:bookmarkStart w:id="3" w:name="_Toc18481"/>
      <w:bookmarkStart w:id="4" w:name="_Toc12793"/>
      <w:bookmarkStart w:id="5" w:name="_Toc8587"/>
      <w:bookmarkStart w:id="6" w:name="_Toc4448"/>
      <w:bookmarkStart w:id="7" w:name="_Toc28877"/>
      <w:bookmarkStart w:id="8" w:name="_Toc15537"/>
      <w:bookmarkStart w:id="9" w:name="_Toc3456"/>
      <w:bookmarkStart w:id="10" w:name="_Toc25810"/>
      <w:bookmarkStart w:id="11" w:name="_Toc32356"/>
      <w:bookmarkStart w:id="12" w:name="_Toc4050"/>
      <w:bookmarkStart w:id="13" w:name="_Toc32320"/>
      <w:r>
        <w:rPr>
          <w:rFonts w:hint="eastAsia" w:ascii="新宋体" w:hAnsi="新宋体" w:eastAsia="新宋体"/>
          <w:b/>
          <w:color w:val="auto"/>
          <w:kern w:val="0"/>
          <w:sz w:val="84"/>
          <w:szCs w:val="20"/>
          <w14:shadow w14:blurRad="50800" w14:dist="38100" w14:dir="2700000" w14:sx="100000" w14:sy="100000" w14:kx="0" w14:ky="0" w14:algn="tl">
            <w14:srgbClr w14:val="000000">
              <w14:alpha w14:val="60000"/>
            </w14:srgbClr>
          </w14:shadow>
        </w:rPr>
        <w:t>公开招标文件</w:t>
      </w:r>
      <w:bookmarkEnd w:id="0"/>
      <w:bookmarkEnd w:id="1"/>
      <w:bookmarkEnd w:id="2"/>
      <w:bookmarkEnd w:id="3"/>
      <w:bookmarkEnd w:id="4"/>
      <w:bookmarkEnd w:id="5"/>
      <w:bookmarkEnd w:id="6"/>
      <w:bookmarkEnd w:id="7"/>
      <w:bookmarkEnd w:id="8"/>
      <w:bookmarkEnd w:id="9"/>
      <w:bookmarkEnd w:id="10"/>
      <w:bookmarkEnd w:id="11"/>
      <w:bookmarkEnd w:id="12"/>
      <w:bookmarkEnd w:id="13"/>
    </w:p>
    <w:p w14:paraId="20EFC71F">
      <w:pPr>
        <w:rPr>
          <w:color w:val="auto"/>
        </w:rPr>
      </w:pPr>
    </w:p>
    <w:p w14:paraId="6E8572AE">
      <w:pPr>
        <w:pStyle w:val="25"/>
      </w:pPr>
    </w:p>
    <w:p w14:paraId="04A20EA7">
      <w:pPr>
        <w:pStyle w:val="25"/>
      </w:pPr>
    </w:p>
    <w:p w14:paraId="14FC3301">
      <w:pPr>
        <w:pStyle w:val="25"/>
      </w:pPr>
    </w:p>
    <w:p w14:paraId="29B6AF5A">
      <w:pPr>
        <w:rPr>
          <w:color w:val="auto"/>
        </w:rPr>
      </w:pPr>
    </w:p>
    <w:p w14:paraId="6071E749">
      <w:pPr>
        <w:rPr>
          <w:color w:val="auto"/>
        </w:rPr>
      </w:pPr>
    </w:p>
    <w:p w14:paraId="0CC2C253">
      <w:pPr>
        <w:rPr>
          <w:color w:val="auto"/>
        </w:rPr>
      </w:pPr>
    </w:p>
    <w:p w14:paraId="26A5A5B9">
      <w:pPr>
        <w:pStyle w:val="26"/>
        <w:ind w:left="420"/>
        <w:rPr>
          <w:color w:val="auto"/>
        </w:rPr>
      </w:pPr>
    </w:p>
    <w:p w14:paraId="3BD36D32">
      <w:pPr>
        <w:rPr>
          <w:color w:val="auto"/>
        </w:rPr>
      </w:pPr>
    </w:p>
    <w:p w14:paraId="3910D97A">
      <w:pPr>
        <w:rPr>
          <w:color w:val="auto"/>
        </w:rPr>
      </w:pPr>
    </w:p>
    <w:p w14:paraId="5673EDA4">
      <w:pPr>
        <w:rPr>
          <w:color w:val="auto"/>
        </w:rPr>
      </w:pPr>
    </w:p>
    <w:p w14:paraId="3870A1FE">
      <w:pPr>
        <w:rPr>
          <w:color w:val="auto"/>
        </w:rPr>
      </w:pPr>
    </w:p>
    <w:tbl>
      <w:tblPr>
        <w:tblStyle w:val="23"/>
        <w:tblW w:w="8199" w:type="dxa"/>
        <w:jc w:val="center"/>
        <w:tblLayout w:type="autofit"/>
        <w:tblCellMar>
          <w:top w:w="0" w:type="dxa"/>
          <w:left w:w="108" w:type="dxa"/>
          <w:bottom w:w="0" w:type="dxa"/>
          <w:right w:w="108" w:type="dxa"/>
        </w:tblCellMar>
      </w:tblPr>
      <w:tblGrid>
        <w:gridCol w:w="1861"/>
        <w:gridCol w:w="6338"/>
      </w:tblGrid>
      <w:tr w14:paraId="6547BE4E">
        <w:tblPrEx>
          <w:tblCellMar>
            <w:top w:w="0" w:type="dxa"/>
            <w:left w:w="108" w:type="dxa"/>
            <w:bottom w:w="0" w:type="dxa"/>
            <w:right w:w="108" w:type="dxa"/>
          </w:tblCellMar>
        </w:tblPrEx>
        <w:trPr>
          <w:trHeight w:val="875" w:hRule="atLeast"/>
          <w:jc w:val="center"/>
        </w:trPr>
        <w:tc>
          <w:tcPr>
            <w:tcW w:w="1861" w:type="dxa"/>
            <w:vAlign w:val="center"/>
          </w:tcPr>
          <w:p w14:paraId="540358F3">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b/>
                <w:color w:val="auto"/>
                <w:sz w:val="32"/>
                <w:szCs w:val="32"/>
              </w:rPr>
            </w:pPr>
            <w:bookmarkStart w:id="14" w:name="_Toc493956012"/>
            <w:bookmarkStart w:id="15" w:name="_Toc493928402"/>
            <w:r>
              <w:rPr>
                <w:rFonts w:hint="eastAsia" w:ascii="黑体" w:hAnsi="黑体" w:eastAsia="黑体"/>
                <w:b/>
                <w:color w:val="auto"/>
                <w:sz w:val="32"/>
                <w:szCs w:val="32"/>
              </w:rPr>
              <w:t>项目编号：</w:t>
            </w:r>
            <w:bookmarkEnd w:id="14"/>
            <w:bookmarkEnd w:id="15"/>
          </w:p>
        </w:tc>
        <w:tc>
          <w:tcPr>
            <w:tcW w:w="6338" w:type="dxa"/>
            <w:vAlign w:val="center"/>
          </w:tcPr>
          <w:p w14:paraId="1F784DA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b/>
                <w:color w:val="auto"/>
                <w:sz w:val="32"/>
                <w:szCs w:val="32"/>
                <w:lang w:eastAsia="zh-CN"/>
              </w:rPr>
            </w:pPr>
            <w:r>
              <w:rPr>
                <w:rFonts w:hint="eastAsia" w:ascii="黑体" w:hAnsi="黑体" w:eastAsia="黑体"/>
                <w:b/>
                <w:color w:val="auto"/>
                <w:sz w:val="32"/>
                <w:szCs w:val="32"/>
                <w:lang w:eastAsia="zh-CN"/>
              </w:rPr>
              <w:t>SCYH【2025】067-公22</w:t>
            </w:r>
          </w:p>
        </w:tc>
      </w:tr>
      <w:tr w14:paraId="23725189">
        <w:tblPrEx>
          <w:tblCellMar>
            <w:top w:w="0" w:type="dxa"/>
            <w:left w:w="108" w:type="dxa"/>
            <w:bottom w:w="0" w:type="dxa"/>
            <w:right w:w="108" w:type="dxa"/>
          </w:tblCellMar>
        </w:tblPrEx>
        <w:trPr>
          <w:trHeight w:val="912" w:hRule="atLeast"/>
          <w:jc w:val="center"/>
        </w:trPr>
        <w:tc>
          <w:tcPr>
            <w:tcW w:w="1861" w:type="dxa"/>
            <w:vAlign w:val="center"/>
          </w:tcPr>
          <w:p w14:paraId="0C5CB0D9">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b/>
                <w:color w:val="auto"/>
                <w:sz w:val="32"/>
                <w:szCs w:val="32"/>
              </w:rPr>
            </w:pPr>
            <w:r>
              <w:rPr>
                <w:rFonts w:hint="eastAsia" w:ascii="黑体" w:hAnsi="黑体" w:eastAsia="黑体"/>
                <w:b/>
                <w:color w:val="auto"/>
                <w:sz w:val="32"/>
                <w:szCs w:val="32"/>
              </w:rPr>
              <w:t>项目名称：</w:t>
            </w:r>
          </w:p>
        </w:tc>
        <w:tc>
          <w:tcPr>
            <w:tcW w:w="6338" w:type="dxa"/>
            <w:vAlign w:val="center"/>
          </w:tcPr>
          <w:p w14:paraId="5AF927A2">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b/>
                <w:color w:val="auto"/>
                <w:sz w:val="32"/>
                <w:szCs w:val="32"/>
                <w:lang w:eastAsia="zh-CN"/>
              </w:rPr>
            </w:pPr>
            <w:r>
              <w:rPr>
                <w:rFonts w:hint="eastAsia" w:ascii="黑体" w:hAnsi="黑体" w:eastAsia="黑体" w:cs="宋体"/>
                <w:b/>
                <w:bCs/>
                <w:color w:val="auto"/>
                <w:sz w:val="32"/>
                <w:szCs w:val="32"/>
                <w:lang w:eastAsia="zh-CN"/>
              </w:rPr>
              <w:t>遂昌县人民医院职工食堂经营承包项目</w:t>
            </w:r>
          </w:p>
        </w:tc>
      </w:tr>
      <w:tr w14:paraId="02AE6DF4">
        <w:tblPrEx>
          <w:tblCellMar>
            <w:top w:w="0" w:type="dxa"/>
            <w:left w:w="108" w:type="dxa"/>
            <w:bottom w:w="0" w:type="dxa"/>
            <w:right w:w="108" w:type="dxa"/>
          </w:tblCellMar>
        </w:tblPrEx>
        <w:trPr>
          <w:trHeight w:val="890" w:hRule="atLeast"/>
          <w:jc w:val="center"/>
        </w:trPr>
        <w:tc>
          <w:tcPr>
            <w:tcW w:w="1861" w:type="dxa"/>
            <w:vAlign w:val="center"/>
          </w:tcPr>
          <w:p w14:paraId="73AECCE2">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b/>
                <w:color w:val="auto"/>
                <w:kern w:val="0"/>
                <w:sz w:val="32"/>
                <w:szCs w:val="32"/>
              </w:rPr>
            </w:pPr>
            <w:bookmarkStart w:id="16" w:name="_Toc493928404"/>
            <w:bookmarkStart w:id="17" w:name="_Toc493956014"/>
            <w:r>
              <w:rPr>
                <w:rFonts w:hint="eastAsia" w:ascii="黑体" w:hAnsi="黑体" w:eastAsia="黑体"/>
                <w:b/>
                <w:color w:val="auto"/>
                <w:spacing w:val="54"/>
                <w:kern w:val="0"/>
                <w:sz w:val="32"/>
                <w:szCs w:val="32"/>
                <w:fitText w:val="1176" w:id="901783040"/>
              </w:rPr>
              <w:t>采购</w:t>
            </w:r>
            <w:r>
              <w:rPr>
                <w:rFonts w:hint="eastAsia" w:ascii="黑体" w:hAnsi="黑体" w:eastAsia="黑体"/>
                <w:b/>
                <w:color w:val="auto"/>
                <w:spacing w:val="0"/>
                <w:kern w:val="0"/>
                <w:sz w:val="32"/>
                <w:szCs w:val="32"/>
                <w:fitText w:val="1176" w:id="901783040"/>
              </w:rPr>
              <w:t>人</w:t>
            </w:r>
            <w:r>
              <w:rPr>
                <w:rFonts w:hint="eastAsia" w:ascii="黑体" w:hAnsi="黑体" w:eastAsia="黑体"/>
                <w:b/>
                <w:color w:val="auto"/>
                <w:sz w:val="32"/>
                <w:szCs w:val="32"/>
              </w:rPr>
              <w:t>：</w:t>
            </w:r>
            <w:bookmarkEnd w:id="16"/>
            <w:bookmarkEnd w:id="17"/>
          </w:p>
        </w:tc>
        <w:tc>
          <w:tcPr>
            <w:tcW w:w="6338" w:type="dxa"/>
            <w:vAlign w:val="center"/>
          </w:tcPr>
          <w:p w14:paraId="13F6EB52">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auto"/>
                <w:sz w:val="32"/>
                <w:szCs w:val="32"/>
                <w:lang w:eastAsia="zh-CN"/>
              </w:rPr>
            </w:pPr>
            <w:r>
              <w:rPr>
                <w:rFonts w:hint="eastAsia" w:ascii="黑体" w:hAnsi="黑体" w:eastAsia="黑体"/>
                <w:b/>
                <w:color w:val="auto"/>
                <w:sz w:val="32"/>
                <w:szCs w:val="32"/>
                <w:lang w:eastAsia="zh-CN"/>
              </w:rPr>
              <w:t>遂昌县人民医院</w:t>
            </w:r>
          </w:p>
        </w:tc>
      </w:tr>
    </w:tbl>
    <w:p w14:paraId="78BCCFDA">
      <w:pPr>
        <w:rPr>
          <w:color w:val="auto"/>
        </w:rPr>
      </w:pPr>
    </w:p>
    <w:p w14:paraId="7E7ED076">
      <w:pPr>
        <w:pStyle w:val="28"/>
        <w:rPr>
          <w:rFonts w:ascii="宋体" w:hAnsi="宋体" w:eastAsia="宋体" w:cs="宋体"/>
          <w:b/>
          <w:color w:val="auto"/>
          <w:sz w:val="32"/>
          <w:szCs w:val="32"/>
        </w:rPr>
      </w:pPr>
    </w:p>
    <w:p w14:paraId="62102FC8">
      <w:pPr>
        <w:rPr>
          <w:color w:val="auto"/>
        </w:rPr>
      </w:pPr>
    </w:p>
    <w:p w14:paraId="220601AC">
      <w:pPr>
        <w:rPr>
          <w:color w:val="auto"/>
        </w:rPr>
      </w:pPr>
    </w:p>
    <w:p w14:paraId="5B7ADA2E">
      <w:pPr>
        <w:autoSpaceDE w:val="0"/>
        <w:autoSpaceDN w:val="0"/>
        <w:jc w:val="center"/>
        <w:textAlignment w:val="bottom"/>
        <w:rPr>
          <w:rFonts w:ascii="黑体" w:hAnsi="黑体" w:eastAsia="黑体"/>
          <w:b/>
          <w:color w:val="auto"/>
          <w:sz w:val="36"/>
          <w:szCs w:val="36"/>
        </w:rPr>
      </w:pPr>
      <w:r>
        <w:rPr>
          <w:rFonts w:hint="eastAsia" w:ascii="黑体" w:hAnsi="黑体" w:eastAsia="黑体"/>
          <w:b/>
          <w:color w:val="auto"/>
          <w:sz w:val="36"/>
          <w:szCs w:val="36"/>
        </w:rPr>
        <w:t>采购代理机构：遂昌一航采购代理有限公司</w:t>
      </w:r>
    </w:p>
    <w:p w14:paraId="1311077B">
      <w:pPr>
        <w:jc w:val="center"/>
        <w:rPr>
          <w:color w:val="auto"/>
        </w:rPr>
      </w:pPr>
    </w:p>
    <w:p w14:paraId="0F58BB53">
      <w:pPr>
        <w:snapToGrid w:val="0"/>
        <w:spacing w:line="360" w:lineRule="auto"/>
        <w:jc w:val="center"/>
        <w:rPr>
          <w:rFonts w:ascii="宋体" w:hAnsi="宋体"/>
          <w:b/>
          <w:color w:val="auto"/>
          <w:sz w:val="36"/>
          <w14:shadow w14:blurRad="50800" w14:dist="38100" w14:dir="2700000" w14:sx="100000" w14:sy="100000" w14:kx="0" w14:ky="0" w14:algn="tl">
            <w14:srgbClr w14:val="000000">
              <w14:alpha w14:val="60000"/>
            </w14:srgbClr>
          </w14:shadow>
        </w:rPr>
      </w:pPr>
      <w:r>
        <w:rPr>
          <w:rFonts w:ascii="黑体" w:hAnsi="黑体" w:eastAsia="黑体"/>
          <w:b/>
          <w:color w:val="auto"/>
          <w:sz w:val="36"/>
          <w:szCs w:val="36"/>
        </w:rPr>
        <w:t>二</w:t>
      </w:r>
      <w:r>
        <w:rPr>
          <w:rFonts w:hint="eastAsia" w:ascii="黑体" w:hAnsi="黑体" w:eastAsia="黑体"/>
          <w:b/>
          <w:color w:val="auto"/>
          <w:sz w:val="36"/>
          <w:szCs w:val="36"/>
        </w:rPr>
        <w:t>〇</w:t>
      </w:r>
      <w:r>
        <w:rPr>
          <w:rFonts w:ascii="黑体" w:hAnsi="黑体" w:eastAsia="黑体"/>
          <w:b/>
          <w:color w:val="auto"/>
          <w:sz w:val="36"/>
          <w:szCs w:val="36"/>
        </w:rPr>
        <w:t>二</w:t>
      </w:r>
      <w:r>
        <w:rPr>
          <w:rFonts w:hint="eastAsia" w:ascii="黑体" w:hAnsi="黑体" w:eastAsia="黑体"/>
          <w:b/>
          <w:color w:val="auto"/>
          <w:sz w:val="36"/>
          <w:szCs w:val="36"/>
        </w:rPr>
        <w:t>五</w:t>
      </w:r>
      <w:r>
        <w:rPr>
          <w:rFonts w:ascii="黑体" w:hAnsi="黑体" w:eastAsia="黑体"/>
          <w:b/>
          <w:color w:val="auto"/>
          <w:sz w:val="36"/>
          <w:szCs w:val="36"/>
        </w:rPr>
        <w:t>年</w:t>
      </w:r>
      <w:r>
        <w:rPr>
          <w:rFonts w:hint="eastAsia" w:ascii="黑体" w:hAnsi="黑体" w:eastAsia="黑体"/>
          <w:b/>
          <w:color w:val="auto"/>
          <w:sz w:val="36"/>
          <w:szCs w:val="36"/>
          <w:lang w:val="en-US" w:eastAsia="zh-CN"/>
        </w:rPr>
        <w:t>六</w:t>
      </w:r>
      <w:r>
        <w:rPr>
          <w:rFonts w:ascii="黑体" w:hAnsi="黑体" w:eastAsia="黑体"/>
          <w:b/>
          <w:color w:val="auto"/>
          <w:sz w:val="36"/>
          <w:szCs w:val="36"/>
        </w:rPr>
        <w:t>月</w:t>
      </w:r>
    </w:p>
    <w:p w14:paraId="5D823B78">
      <w:pPr>
        <w:pStyle w:val="5"/>
        <w:spacing w:line="560" w:lineRule="exact"/>
        <w:rPr>
          <w:rFonts w:hAnsi="宋体" w:cs="宋体"/>
          <w:color w:val="auto"/>
          <w:sz w:val="32"/>
          <w:szCs w:val="32"/>
        </w:rPr>
        <w:sectPr>
          <w:headerReference r:id="rId3" w:type="default"/>
          <w:footerReference r:id="rId4" w:type="default"/>
          <w:pgSz w:w="11906" w:h="16838"/>
          <w:pgMar w:top="1440" w:right="1531" w:bottom="1440" w:left="1531" w:header="851" w:footer="850" w:gutter="0"/>
          <w:cols w:space="720" w:num="1"/>
          <w:titlePg/>
          <w:docGrid w:linePitch="312" w:charSpace="0"/>
        </w:sectPr>
      </w:pPr>
      <w:bookmarkStart w:id="18" w:name="_Toc18699"/>
      <w:bookmarkStart w:id="19" w:name="_Toc21116"/>
      <w:bookmarkStart w:id="20" w:name="_Toc14622"/>
    </w:p>
    <w:p w14:paraId="42DEF467">
      <w:pPr>
        <w:pStyle w:val="5"/>
        <w:keepNext w:val="0"/>
        <w:adjustRightInd/>
        <w:snapToGrid/>
        <w:spacing w:line="560" w:lineRule="exact"/>
        <w:textAlignment w:val="auto"/>
        <w:rPr>
          <w:rFonts w:ascii="仿宋" w:hAnsi="仿宋" w:eastAsia="仿宋" w:cs="仿宋"/>
          <w:color w:val="auto"/>
          <w:sz w:val="44"/>
          <w:szCs w:val="44"/>
        </w:rPr>
      </w:pPr>
      <w:bookmarkStart w:id="21" w:name="_Toc4329"/>
      <w:bookmarkStart w:id="22" w:name="_Toc15197"/>
      <w:bookmarkStart w:id="23" w:name="_Toc31263"/>
      <w:bookmarkStart w:id="24" w:name="_Toc30702"/>
      <w:bookmarkStart w:id="25" w:name="_Toc18164"/>
      <w:bookmarkStart w:id="26" w:name="_Toc8042"/>
      <w:bookmarkStart w:id="27" w:name="_Toc4061"/>
      <w:r>
        <w:rPr>
          <w:rFonts w:hint="eastAsia" w:ascii="仿宋" w:hAnsi="仿宋" w:eastAsia="仿宋" w:cs="仿宋"/>
          <w:color w:val="auto"/>
          <w:sz w:val="44"/>
          <w:szCs w:val="44"/>
        </w:rPr>
        <w:t>目  录</w:t>
      </w:r>
      <w:bookmarkEnd w:id="18"/>
      <w:bookmarkEnd w:id="19"/>
      <w:bookmarkEnd w:id="20"/>
      <w:bookmarkEnd w:id="21"/>
      <w:bookmarkEnd w:id="22"/>
      <w:bookmarkEnd w:id="23"/>
      <w:bookmarkEnd w:id="24"/>
      <w:bookmarkEnd w:id="25"/>
      <w:bookmarkEnd w:id="26"/>
      <w:bookmarkEnd w:id="27"/>
    </w:p>
    <w:p w14:paraId="7E52DBB8">
      <w:pPr>
        <w:pStyle w:val="19"/>
        <w:tabs>
          <w:tab w:val="right" w:leader="dot" w:pos="8844"/>
        </w:tabs>
        <w:rPr>
          <w:color w:val="auto"/>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"1-3" \h \u </w:instrText>
      </w:r>
      <w:r>
        <w:rPr>
          <w:rFonts w:hint="eastAsia" w:ascii="仿宋" w:hAnsi="仿宋" w:eastAsia="仿宋" w:cs="仿宋"/>
          <w:color w:val="auto"/>
          <w:sz w:val="24"/>
          <w:szCs w:val="24"/>
        </w:rPr>
        <w:fldChar w:fldCharType="separate"/>
      </w:r>
    </w:p>
    <w:p w14:paraId="4BC42CE9">
      <w:pPr>
        <w:pStyle w:val="19"/>
        <w:tabs>
          <w:tab w:val="right" w:leader="dot" w:pos="8844"/>
        </w:tabs>
        <w:spacing w:line="276" w:lineRule="auto"/>
        <w:ind w:left="0" w:leftChars="0"/>
        <w:rPr>
          <w:rFonts w:ascii="仿宋" w:hAnsi="仿宋" w:eastAsia="仿宋" w:cs="仿宋"/>
          <w:color w:val="auto"/>
          <w:sz w:val="24"/>
          <w:szCs w:val="24"/>
        </w:rPr>
      </w:pPr>
      <w:r>
        <w:rPr>
          <w:color w:val="auto"/>
        </w:rPr>
        <w:fldChar w:fldCharType="begin"/>
      </w:r>
      <w:r>
        <w:rPr>
          <w:color w:val="auto"/>
        </w:rPr>
        <w:instrText xml:space="preserve"> HYPERLINK \l "_Toc17670" </w:instrText>
      </w:r>
      <w:r>
        <w:rPr>
          <w:color w:val="auto"/>
        </w:rPr>
        <w:fldChar w:fldCharType="separate"/>
      </w:r>
      <w:r>
        <w:rPr>
          <w:rFonts w:hint="eastAsia" w:ascii="仿宋" w:hAnsi="仿宋" w:eastAsia="仿宋" w:cs="仿宋"/>
          <w:color w:val="auto"/>
          <w:sz w:val="24"/>
          <w:szCs w:val="24"/>
        </w:rPr>
        <w:t>第一章 公开招标公告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_Toc17670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FFBC547">
      <w:pPr>
        <w:pStyle w:val="19"/>
        <w:tabs>
          <w:tab w:val="right" w:leader="dot" w:pos="8844"/>
        </w:tabs>
        <w:spacing w:line="276" w:lineRule="auto"/>
        <w:ind w:left="0" w:leftChars="0"/>
        <w:rPr>
          <w:rFonts w:ascii="仿宋" w:hAnsi="仿宋" w:eastAsia="仿宋" w:cs="仿宋"/>
          <w:color w:val="auto"/>
          <w:sz w:val="24"/>
          <w:szCs w:val="24"/>
        </w:rPr>
      </w:pPr>
      <w:r>
        <w:rPr>
          <w:color w:val="auto"/>
        </w:rPr>
        <w:fldChar w:fldCharType="begin"/>
      </w:r>
      <w:r>
        <w:rPr>
          <w:color w:val="auto"/>
        </w:rPr>
        <w:instrText xml:space="preserve"> HYPERLINK \l "_Toc27800" </w:instrText>
      </w:r>
      <w:r>
        <w:rPr>
          <w:color w:val="auto"/>
        </w:rPr>
        <w:fldChar w:fldCharType="separate"/>
      </w:r>
      <w:r>
        <w:rPr>
          <w:rFonts w:hint="eastAsia" w:ascii="仿宋" w:hAnsi="仿宋" w:eastAsia="仿宋" w:cs="仿宋"/>
          <w:color w:val="auto"/>
          <w:sz w:val="24"/>
          <w:szCs w:val="24"/>
        </w:rPr>
        <w:t>第二章 采购需求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_Toc27800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8CC1E71">
      <w:pPr>
        <w:pStyle w:val="19"/>
        <w:tabs>
          <w:tab w:val="right" w:leader="dot" w:pos="8844"/>
        </w:tabs>
        <w:spacing w:line="276" w:lineRule="auto"/>
        <w:ind w:left="0" w:leftChars="0"/>
        <w:rPr>
          <w:rFonts w:ascii="仿宋" w:hAnsi="仿宋" w:eastAsia="仿宋" w:cs="仿宋"/>
          <w:color w:val="auto"/>
          <w:sz w:val="24"/>
          <w:szCs w:val="24"/>
        </w:rPr>
      </w:pPr>
      <w:r>
        <w:rPr>
          <w:color w:val="auto"/>
        </w:rPr>
        <w:fldChar w:fldCharType="begin"/>
      </w:r>
      <w:r>
        <w:rPr>
          <w:color w:val="auto"/>
        </w:rPr>
        <w:instrText xml:space="preserve"> HYPERLINK \l "_Toc7615" </w:instrText>
      </w:r>
      <w:r>
        <w:rPr>
          <w:color w:val="auto"/>
        </w:rPr>
        <w:fldChar w:fldCharType="separate"/>
      </w:r>
      <w:r>
        <w:rPr>
          <w:rFonts w:hint="eastAsia" w:ascii="仿宋" w:hAnsi="仿宋" w:eastAsia="仿宋" w:cs="仿宋"/>
          <w:color w:val="auto"/>
          <w:sz w:val="24"/>
          <w:szCs w:val="24"/>
        </w:rPr>
        <w:t>第三章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_Toc7615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9B8B33D">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"_Toc13079" </w:instrText>
      </w:r>
      <w:r>
        <w:rPr>
          <w:color w:val="auto"/>
        </w:rPr>
        <w:fldChar w:fldCharType="separate"/>
      </w:r>
      <w:r>
        <w:rPr>
          <w:rFonts w:hint="eastAsia" w:ascii="仿宋" w:hAnsi="仿宋" w:eastAsia="仿宋" w:cs="仿宋"/>
          <w:color w:val="auto"/>
          <w:szCs w:val="24"/>
        </w:rPr>
        <w:t>前附表</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_Toc13079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14</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0DC0EB01">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"_Toc31796" </w:instrText>
      </w:r>
      <w:r>
        <w:rPr>
          <w:color w:val="auto"/>
        </w:rPr>
        <w:fldChar w:fldCharType="separate"/>
      </w:r>
      <w:r>
        <w:rPr>
          <w:rFonts w:hint="eastAsia" w:ascii="仿宋" w:hAnsi="仿宋" w:eastAsia="仿宋" w:cs="仿宋"/>
          <w:color w:val="auto"/>
          <w:szCs w:val="24"/>
        </w:rPr>
        <w:t>一  总则</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_Toc31796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16</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3D042F8C">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"_Toc16865" </w:instrText>
      </w:r>
      <w:r>
        <w:rPr>
          <w:color w:val="auto"/>
        </w:rPr>
        <w:fldChar w:fldCharType="separate"/>
      </w:r>
      <w:r>
        <w:rPr>
          <w:rFonts w:hint="eastAsia" w:ascii="仿宋" w:hAnsi="仿宋" w:eastAsia="仿宋" w:cs="仿宋"/>
          <w:color w:val="auto"/>
          <w:szCs w:val="24"/>
        </w:rPr>
        <w:t>二  招标文件说明</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_Toc16865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17</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64A0F1D0">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"_Toc6273" </w:instrText>
      </w:r>
      <w:r>
        <w:rPr>
          <w:color w:val="auto"/>
        </w:rPr>
        <w:fldChar w:fldCharType="separate"/>
      </w:r>
      <w:r>
        <w:rPr>
          <w:rFonts w:hint="eastAsia" w:ascii="仿宋" w:hAnsi="仿宋" w:eastAsia="仿宋" w:cs="仿宋"/>
          <w:color w:val="auto"/>
          <w:szCs w:val="24"/>
        </w:rPr>
        <w:t>三  投标文件的编制</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_Toc6273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17</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0D699E3E">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"_Toc15770" </w:instrText>
      </w:r>
      <w:r>
        <w:rPr>
          <w:color w:val="auto"/>
        </w:rPr>
        <w:fldChar w:fldCharType="separate"/>
      </w:r>
      <w:r>
        <w:rPr>
          <w:rFonts w:hint="eastAsia" w:ascii="仿宋" w:hAnsi="仿宋" w:eastAsia="仿宋" w:cs="仿宋"/>
          <w:color w:val="auto"/>
          <w:szCs w:val="24"/>
        </w:rPr>
        <w:t>四  投标保证金</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_Toc15770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20</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27E876A8">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"_Toc13201" </w:instrText>
      </w:r>
      <w:r>
        <w:rPr>
          <w:color w:val="auto"/>
        </w:rPr>
        <w:fldChar w:fldCharType="separate"/>
      </w:r>
      <w:r>
        <w:rPr>
          <w:rFonts w:hint="eastAsia" w:ascii="仿宋" w:hAnsi="仿宋" w:eastAsia="仿宋" w:cs="仿宋"/>
          <w:color w:val="auto"/>
          <w:szCs w:val="24"/>
        </w:rPr>
        <w:t>五  投标文件的包装、装订、提交、修改和撤回</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_Toc13201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20</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1C1CE579">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"_Toc16729" </w:instrText>
      </w:r>
      <w:r>
        <w:rPr>
          <w:color w:val="auto"/>
        </w:rPr>
        <w:fldChar w:fldCharType="separate"/>
      </w:r>
      <w:r>
        <w:rPr>
          <w:rFonts w:hint="eastAsia" w:ascii="仿宋" w:hAnsi="仿宋" w:eastAsia="仿宋" w:cs="仿宋"/>
          <w:color w:val="auto"/>
          <w:szCs w:val="24"/>
        </w:rPr>
        <w:t>六  开标和评标</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_Toc16729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22</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1B9C0FA7">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"_Toc10922" </w:instrText>
      </w:r>
      <w:r>
        <w:rPr>
          <w:color w:val="auto"/>
        </w:rPr>
        <w:fldChar w:fldCharType="separate"/>
      </w:r>
      <w:r>
        <w:rPr>
          <w:rFonts w:hint="eastAsia" w:ascii="仿宋" w:hAnsi="仿宋" w:eastAsia="仿宋" w:cs="仿宋"/>
          <w:color w:val="auto"/>
          <w:szCs w:val="24"/>
        </w:rPr>
        <w:t>七  投标无效的情形</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_Toc10922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25</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4D113217">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"_Toc20905" </w:instrText>
      </w:r>
      <w:r>
        <w:rPr>
          <w:color w:val="auto"/>
        </w:rPr>
        <w:fldChar w:fldCharType="separate"/>
      </w:r>
      <w:r>
        <w:rPr>
          <w:rFonts w:hint="eastAsia" w:ascii="仿宋" w:hAnsi="仿宋" w:eastAsia="仿宋" w:cs="仿宋"/>
          <w:color w:val="auto"/>
          <w:szCs w:val="24"/>
        </w:rPr>
        <w:t>八  法律责任</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_Toc20905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26</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27BB6D94">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"_Toc8967" </w:instrText>
      </w:r>
      <w:r>
        <w:rPr>
          <w:color w:val="auto"/>
        </w:rPr>
        <w:fldChar w:fldCharType="separate"/>
      </w:r>
      <w:r>
        <w:rPr>
          <w:rFonts w:hint="eastAsia" w:ascii="仿宋" w:hAnsi="仿宋" w:eastAsia="仿宋" w:cs="仿宋"/>
          <w:color w:val="auto"/>
          <w:szCs w:val="24"/>
        </w:rPr>
        <w:t>九  询问</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_Toc8967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27</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5C679CB5">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"_Toc20048" </w:instrText>
      </w:r>
      <w:r>
        <w:rPr>
          <w:color w:val="auto"/>
        </w:rPr>
        <w:fldChar w:fldCharType="separate"/>
      </w:r>
      <w:r>
        <w:rPr>
          <w:rFonts w:hint="eastAsia" w:ascii="仿宋" w:hAnsi="仿宋" w:eastAsia="仿宋" w:cs="仿宋"/>
          <w:color w:val="auto"/>
          <w:szCs w:val="24"/>
        </w:rPr>
        <w:t>十  质疑</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_Toc20048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28</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bookmarkStart w:id="419" w:name="_GoBack"/>
      <w:bookmarkEnd w:id="419"/>
    </w:p>
    <w:p w14:paraId="0DF3B2B5">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"_Toc22269" </w:instrText>
      </w:r>
      <w:r>
        <w:rPr>
          <w:color w:val="auto"/>
        </w:rPr>
        <w:fldChar w:fldCharType="separate"/>
      </w:r>
      <w:r>
        <w:rPr>
          <w:rFonts w:hint="eastAsia" w:ascii="仿宋" w:hAnsi="仿宋" w:eastAsia="仿宋" w:cs="仿宋"/>
          <w:color w:val="auto"/>
          <w:szCs w:val="24"/>
        </w:rPr>
        <w:t>十一  投诉</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_Toc22269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29</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591B9342">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"_Toc9035" </w:instrText>
      </w:r>
      <w:r>
        <w:rPr>
          <w:color w:val="auto"/>
        </w:rPr>
        <w:fldChar w:fldCharType="separate"/>
      </w:r>
      <w:r>
        <w:rPr>
          <w:rFonts w:hint="eastAsia" w:ascii="仿宋" w:hAnsi="仿宋" w:eastAsia="仿宋" w:cs="仿宋"/>
          <w:color w:val="auto"/>
          <w:szCs w:val="24"/>
        </w:rPr>
        <w:t>十二  中标和合同</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_Toc9035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29</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11ED2C16">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"_Toc14735" </w:instrText>
      </w:r>
      <w:r>
        <w:rPr>
          <w:color w:val="auto"/>
        </w:rPr>
        <w:fldChar w:fldCharType="separate"/>
      </w:r>
      <w:r>
        <w:rPr>
          <w:rFonts w:hint="eastAsia" w:ascii="仿宋" w:hAnsi="仿宋" w:eastAsia="仿宋" w:cs="仿宋"/>
          <w:color w:val="auto"/>
          <w:szCs w:val="24"/>
        </w:rPr>
        <w:t>十三  履约保证金</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_Toc14735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30</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52C10B0D">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"_Toc15017" </w:instrText>
      </w:r>
      <w:r>
        <w:rPr>
          <w:color w:val="auto"/>
        </w:rPr>
        <w:fldChar w:fldCharType="separate"/>
      </w:r>
      <w:r>
        <w:rPr>
          <w:rFonts w:hint="eastAsia" w:ascii="仿宋" w:hAnsi="仿宋" w:eastAsia="仿宋" w:cs="仿宋"/>
          <w:color w:val="auto"/>
          <w:szCs w:val="24"/>
        </w:rPr>
        <w:t>十四  验收</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_Toc15017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30</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52D1E15D">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"_Toc2911" </w:instrText>
      </w:r>
      <w:r>
        <w:rPr>
          <w:color w:val="auto"/>
        </w:rPr>
        <w:fldChar w:fldCharType="separate"/>
      </w:r>
      <w:r>
        <w:rPr>
          <w:rFonts w:hint="eastAsia" w:ascii="仿宋" w:hAnsi="仿宋" w:eastAsia="仿宋" w:cs="仿宋"/>
          <w:color w:val="auto"/>
          <w:szCs w:val="24"/>
        </w:rPr>
        <w:t>十五  其他事项</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_Toc2911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31</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58BF9F59">
      <w:pPr>
        <w:pStyle w:val="19"/>
        <w:tabs>
          <w:tab w:val="right" w:leader="dot" w:pos="8844"/>
        </w:tabs>
        <w:spacing w:line="276" w:lineRule="auto"/>
        <w:ind w:left="0" w:leftChars="0"/>
        <w:rPr>
          <w:rFonts w:ascii="仿宋" w:hAnsi="仿宋" w:eastAsia="仿宋" w:cs="仿宋"/>
          <w:color w:val="auto"/>
          <w:sz w:val="24"/>
          <w:szCs w:val="24"/>
        </w:rPr>
      </w:pPr>
      <w:r>
        <w:rPr>
          <w:color w:val="auto"/>
        </w:rPr>
        <w:fldChar w:fldCharType="begin"/>
      </w:r>
      <w:r>
        <w:rPr>
          <w:color w:val="auto"/>
        </w:rPr>
        <w:instrText xml:space="preserve"> HYPERLINK \l "_Toc32290" </w:instrText>
      </w:r>
      <w:r>
        <w:rPr>
          <w:color w:val="auto"/>
        </w:rPr>
        <w:fldChar w:fldCharType="separate"/>
      </w:r>
      <w:r>
        <w:rPr>
          <w:rFonts w:hint="eastAsia" w:ascii="仿宋" w:hAnsi="仿宋" w:eastAsia="仿宋" w:cs="仿宋"/>
          <w:color w:val="auto"/>
          <w:sz w:val="24"/>
          <w:szCs w:val="24"/>
        </w:rPr>
        <w:t>第四章 合同主要条款</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_Toc32290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A510F1E">
      <w:pPr>
        <w:pStyle w:val="19"/>
        <w:tabs>
          <w:tab w:val="right" w:leader="dot" w:pos="8844"/>
        </w:tabs>
        <w:spacing w:line="276" w:lineRule="auto"/>
        <w:ind w:left="0" w:leftChars="0"/>
        <w:rPr>
          <w:rFonts w:ascii="仿宋" w:hAnsi="仿宋" w:eastAsia="仿宋" w:cs="仿宋"/>
          <w:color w:val="auto"/>
          <w:sz w:val="24"/>
          <w:szCs w:val="24"/>
        </w:rPr>
      </w:pPr>
      <w:r>
        <w:rPr>
          <w:color w:val="auto"/>
        </w:rPr>
        <w:fldChar w:fldCharType="begin"/>
      </w:r>
      <w:r>
        <w:rPr>
          <w:color w:val="auto"/>
        </w:rPr>
        <w:instrText xml:space="preserve"> HYPERLINK \l "_Toc5207" </w:instrText>
      </w:r>
      <w:r>
        <w:rPr>
          <w:color w:val="auto"/>
        </w:rPr>
        <w:fldChar w:fldCharType="separate"/>
      </w:r>
      <w:r>
        <w:rPr>
          <w:rFonts w:hint="eastAsia" w:ascii="仿宋" w:hAnsi="仿宋" w:eastAsia="仿宋" w:cs="仿宋"/>
          <w:color w:val="auto"/>
          <w:sz w:val="24"/>
          <w:szCs w:val="24"/>
        </w:rPr>
        <w:t>第五章  投标相关文件格式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_Toc5207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2BDE06B">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"_Toc28330" </w:instrText>
      </w:r>
      <w:r>
        <w:rPr>
          <w:color w:val="auto"/>
        </w:rPr>
        <w:fldChar w:fldCharType="separate"/>
      </w:r>
      <w:r>
        <w:rPr>
          <w:rFonts w:hint="eastAsia" w:ascii="仿宋" w:hAnsi="仿宋" w:eastAsia="仿宋" w:cs="仿宋"/>
          <w:color w:val="auto"/>
          <w:szCs w:val="24"/>
        </w:rPr>
        <w:t>一  资格审查文件格式</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_Toc28330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38</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69573FA3">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"_Toc524" </w:instrText>
      </w:r>
      <w:r>
        <w:rPr>
          <w:color w:val="auto"/>
        </w:rPr>
        <w:fldChar w:fldCharType="separate"/>
      </w:r>
      <w:r>
        <w:rPr>
          <w:rFonts w:hint="eastAsia" w:ascii="仿宋" w:hAnsi="仿宋" w:eastAsia="仿宋" w:cs="仿宋"/>
          <w:color w:val="auto"/>
          <w:szCs w:val="24"/>
        </w:rPr>
        <w:t>二  资信商务及技术文件格式</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_Toc524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49</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53313717">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"_Toc29823" </w:instrText>
      </w:r>
      <w:r>
        <w:rPr>
          <w:color w:val="auto"/>
        </w:rPr>
        <w:fldChar w:fldCharType="separate"/>
      </w:r>
      <w:r>
        <w:rPr>
          <w:rFonts w:hint="eastAsia" w:ascii="仿宋" w:hAnsi="仿宋" w:eastAsia="仿宋" w:cs="仿宋"/>
          <w:color w:val="auto"/>
          <w:szCs w:val="24"/>
        </w:rPr>
        <w:t>三  报价文件格式</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_Toc29823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59</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221B5642">
      <w:pPr>
        <w:pStyle w:val="19"/>
        <w:tabs>
          <w:tab w:val="right" w:leader="dot" w:pos="8844"/>
        </w:tabs>
        <w:spacing w:line="276" w:lineRule="auto"/>
        <w:ind w:left="0" w:leftChars="0"/>
        <w:rPr>
          <w:rFonts w:ascii="仿宋" w:hAnsi="仿宋" w:eastAsia="仿宋" w:cs="仿宋"/>
          <w:color w:val="auto"/>
          <w:sz w:val="24"/>
          <w:szCs w:val="24"/>
        </w:rPr>
      </w:pPr>
      <w:r>
        <w:rPr>
          <w:color w:val="auto"/>
        </w:rPr>
        <w:fldChar w:fldCharType="begin"/>
      </w:r>
      <w:r>
        <w:rPr>
          <w:color w:val="auto"/>
        </w:rPr>
        <w:instrText xml:space="preserve"> HYPERLINK \l "_Toc20478" </w:instrText>
      </w:r>
      <w:r>
        <w:rPr>
          <w:color w:val="auto"/>
        </w:rPr>
        <w:fldChar w:fldCharType="separate"/>
      </w:r>
      <w:r>
        <w:rPr>
          <w:rFonts w:hint="eastAsia" w:ascii="仿宋" w:hAnsi="仿宋" w:eastAsia="仿宋" w:cs="仿宋"/>
          <w:color w:val="auto"/>
          <w:sz w:val="24"/>
          <w:szCs w:val="24"/>
        </w:rPr>
        <w:t>第六章  评审办法和细则</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_Toc20478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DC8E0D8">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"_Toc22832" </w:instrText>
      </w:r>
      <w:r>
        <w:rPr>
          <w:color w:val="auto"/>
        </w:rPr>
        <w:fldChar w:fldCharType="separate"/>
      </w:r>
      <w:r>
        <w:rPr>
          <w:rFonts w:hint="eastAsia" w:ascii="仿宋" w:hAnsi="仿宋" w:eastAsia="仿宋" w:cs="仿宋"/>
          <w:color w:val="auto"/>
          <w:szCs w:val="24"/>
        </w:rPr>
        <w:t>一  总则</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_Toc22832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62</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6E668127">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"_Toc23132" </w:instrText>
      </w:r>
      <w:r>
        <w:rPr>
          <w:color w:val="auto"/>
        </w:rPr>
        <w:fldChar w:fldCharType="separate"/>
      </w:r>
      <w:r>
        <w:rPr>
          <w:rFonts w:hint="eastAsia" w:ascii="仿宋" w:hAnsi="仿宋" w:eastAsia="仿宋" w:cs="仿宋"/>
          <w:color w:val="auto"/>
          <w:szCs w:val="24"/>
        </w:rPr>
        <w:t>二  评标委员会</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_Toc23132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62</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6D75A855">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"_Toc24902" </w:instrText>
      </w:r>
      <w:r>
        <w:rPr>
          <w:color w:val="auto"/>
        </w:rPr>
        <w:fldChar w:fldCharType="separate"/>
      </w:r>
      <w:r>
        <w:rPr>
          <w:rFonts w:hint="eastAsia" w:ascii="仿宋" w:hAnsi="仿宋" w:eastAsia="仿宋" w:cs="仿宋"/>
          <w:color w:val="auto"/>
          <w:szCs w:val="24"/>
        </w:rPr>
        <w:t>三  评标程序</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_Toc24902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63</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55C7A5C3">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"_Toc19242" </w:instrText>
      </w:r>
      <w:r>
        <w:rPr>
          <w:color w:val="auto"/>
        </w:rPr>
        <w:fldChar w:fldCharType="separate"/>
      </w:r>
      <w:r>
        <w:rPr>
          <w:rFonts w:hint="eastAsia" w:ascii="仿宋" w:hAnsi="仿宋" w:eastAsia="仿宋" w:cs="仿宋"/>
          <w:color w:val="auto"/>
          <w:szCs w:val="24"/>
        </w:rPr>
        <w:t>四  评审一般规定</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_Toc19242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64</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672EFE6F">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"_Toc30661" </w:instrText>
      </w:r>
      <w:r>
        <w:rPr>
          <w:color w:val="auto"/>
        </w:rPr>
        <w:fldChar w:fldCharType="separate"/>
      </w:r>
      <w:r>
        <w:rPr>
          <w:rFonts w:hint="eastAsia" w:ascii="仿宋" w:hAnsi="仿宋" w:eastAsia="仿宋" w:cs="仿宋"/>
          <w:color w:val="auto"/>
          <w:szCs w:val="24"/>
        </w:rPr>
        <w:t>五  评审内容及标准</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_Toc30661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64</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10E3C4F0">
      <w:pPr>
        <w:pStyle w:val="12"/>
        <w:tabs>
          <w:tab w:val="right" w:leader="dot" w:pos="8844"/>
          <w:tab w:val="clear" w:pos="9060"/>
        </w:tabs>
        <w:spacing w:line="276" w:lineRule="auto"/>
        <w:rPr>
          <w:rFonts w:ascii="仿宋" w:hAnsi="仿宋" w:eastAsia="仿宋" w:cs="仿宋"/>
          <w:color w:val="auto"/>
          <w:szCs w:val="24"/>
        </w:rPr>
      </w:pPr>
      <w:r>
        <w:rPr>
          <w:color w:val="auto"/>
        </w:rPr>
        <w:fldChar w:fldCharType="begin"/>
      </w:r>
      <w:r>
        <w:rPr>
          <w:color w:val="auto"/>
        </w:rPr>
        <w:instrText xml:space="preserve"> HYPERLINK \l "_Toc16534" </w:instrText>
      </w:r>
      <w:r>
        <w:rPr>
          <w:color w:val="auto"/>
        </w:rPr>
        <w:fldChar w:fldCharType="separate"/>
      </w:r>
      <w:r>
        <w:rPr>
          <w:rFonts w:hint="eastAsia" w:ascii="仿宋" w:hAnsi="仿宋" w:eastAsia="仿宋" w:cs="仿宋"/>
          <w:color w:val="auto"/>
          <w:szCs w:val="24"/>
        </w:rPr>
        <w:t>六  评审纪律和要求</w:t>
      </w:r>
      <w:r>
        <w:rPr>
          <w:rFonts w:hint="eastAsia" w:ascii="仿宋" w:hAnsi="仿宋" w:eastAsia="仿宋" w:cs="仿宋"/>
          <w:color w:val="auto"/>
          <w:szCs w:val="24"/>
        </w:rPr>
        <w:tab/>
      </w:r>
      <w:r>
        <w:rPr>
          <w:rFonts w:hint="eastAsia" w:ascii="仿宋" w:hAnsi="仿宋" w:eastAsia="仿宋" w:cs="仿宋"/>
          <w:color w:val="auto"/>
          <w:szCs w:val="24"/>
        </w:rPr>
        <w:fldChar w:fldCharType="begin"/>
      </w:r>
      <w:r>
        <w:rPr>
          <w:rFonts w:hint="eastAsia" w:ascii="仿宋" w:hAnsi="仿宋" w:eastAsia="仿宋" w:cs="仿宋"/>
          <w:color w:val="auto"/>
          <w:szCs w:val="24"/>
        </w:rPr>
        <w:instrText xml:space="preserve"> PAGEREF _Toc16534 \h </w:instrText>
      </w:r>
      <w:r>
        <w:rPr>
          <w:rFonts w:hint="eastAsia" w:ascii="仿宋" w:hAnsi="仿宋" w:eastAsia="仿宋" w:cs="仿宋"/>
          <w:color w:val="auto"/>
          <w:szCs w:val="24"/>
        </w:rPr>
        <w:fldChar w:fldCharType="separate"/>
      </w:r>
      <w:r>
        <w:rPr>
          <w:rFonts w:hint="eastAsia" w:ascii="仿宋" w:hAnsi="仿宋" w:eastAsia="仿宋" w:cs="仿宋"/>
          <w:color w:val="auto"/>
          <w:szCs w:val="24"/>
        </w:rPr>
        <w:t>66</w:t>
      </w:r>
      <w:r>
        <w:rPr>
          <w:rFonts w:hint="eastAsia" w:ascii="仿宋" w:hAnsi="仿宋" w:eastAsia="仿宋" w:cs="仿宋"/>
          <w:color w:val="auto"/>
          <w:szCs w:val="24"/>
        </w:rPr>
        <w:fldChar w:fldCharType="end"/>
      </w:r>
      <w:r>
        <w:rPr>
          <w:rFonts w:hint="eastAsia" w:ascii="仿宋" w:hAnsi="仿宋" w:eastAsia="仿宋" w:cs="仿宋"/>
          <w:color w:val="auto"/>
          <w:szCs w:val="24"/>
        </w:rPr>
        <w:fldChar w:fldCharType="end"/>
      </w:r>
    </w:p>
    <w:p w14:paraId="0D06F226">
      <w:pPr>
        <w:spacing w:line="360" w:lineRule="auto"/>
        <w:jc w:val="center"/>
        <w:rPr>
          <w:rFonts w:ascii="仿宋" w:hAnsi="仿宋" w:eastAsia="仿宋" w:cs="仿宋"/>
          <w:color w:val="auto"/>
        </w:rPr>
      </w:pPr>
      <w:r>
        <w:rPr>
          <w:rFonts w:hint="eastAsia" w:ascii="仿宋" w:hAnsi="仿宋" w:eastAsia="仿宋" w:cs="仿宋"/>
          <w:color w:val="auto"/>
          <w:szCs w:val="24"/>
        </w:rPr>
        <w:fldChar w:fldCharType="end"/>
      </w:r>
    </w:p>
    <w:p w14:paraId="5E844FCE">
      <w:pPr>
        <w:tabs>
          <w:tab w:val="right" w:pos="9071"/>
        </w:tabs>
        <w:jc w:val="left"/>
        <w:rPr>
          <w:rFonts w:ascii="仿宋" w:hAnsi="仿宋" w:eastAsia="仿宋" w:cs="仿宋"/>
          <w:color w:val="auto"/>
        </w:rPr>
      </w:pPr>
    </w:p>
    <w:p w14:paraId="14F66DED">
      <w:pPr>
        <w:pStyle w:val="5"/>
        <w:rPr>
          <w:rFonts w:ascii="仿宋" w:hAnsi="仿宋" w:eastAsia="仿宋" w:cs="仿宋"/>
          <w:color w:val="auto"/>
        </w:rPr>
      </w:pPr>
    </w:p>
    <w:p w14:paraId="4CE3D9A4">
      <w:pPr>
        <w:rPr>
          <w:rFonts w:ascii="仿宋" w:hAnsi="仿宋" w:eastAsia="仿宋" w:cs="仿宋"/>
          <w:color w:val="auto"/>
        </w:rPr>
      </w:pPr>
    </w:p>
    <w:p w14:paraId="5C21396D">
      <w:pPr>
        <w:pStyle w:val="5"/>
        <w:keepNext/>
        <w:keepLines w:val="0"/>
        <w:pageBreakBefore w:val="0"/>
        <w:widowControl w:val="0"/>
        <w:numPr>
          <w:ilvl w:val="0"/>
          <w:numId w:val="2"/>
        </w:numPr>
        <w:kinsoku/>
        <w:wordWrap/>
        <w:overflowPunct/>
        <w:topLinePunct w:val="0"/>
        <w:autoSpaceDE/>
        <w:autoSpaceDN/>
        <w:bidi w:val="0"/>
        <w:adjustRightInd w:val="0"/>
        <w:snapToGrid/>
        <w:spacing w:before="157" w:beforeLines="50" w:after="157" w:afterLines="50" w:line="360" w:lineRule="auto"/>
        <w:textAlignment w:val="baseline"/>
        <w:rPr>
          <w:rFonts w:ascii="仿宋" w:hAnsi="仿宋" w:eastAsia="仿宋" w:cs="仿宋"/>
          <w:color w:val="auto"/>
          <w:szCs w:val="36"/>
        </w:rPr>
      </w:pPr>
      <w:bookmarkStart w:id="28" w:name="_Toc25983"/>
      <w:bookmarkStart w:id="29" w:name="_Toc493956018"/>
      <w:r>
        <w:rPr>
          <w:rFonts w:hint="eastAsia" w:ascii="仿宋" w:hAnsi="仿宋" w:eastAsia="仿宋" w:cs="仿宋"/>
          <w:color w:val="auto"/>
        </w:rPr>
        <w:t xml:space="preserve"> </w:t>
      </w:r>
      <w:bookmarkEnd w:id="28"/>
      <w:bookmarkEnd w:id="29"/>
      <w:bookmarkStart w:id="30" w:name="_Toc17670"/>
      <w:r>
        <w:rPr>
          <w:rFonts w:hint="eastAsia" w:ascii="仿宋" w:hAnsi="仿宋" w:eastAsia="仿宋" w:cs="仿宋"/>
          <w:color w:val="auto"/>
          <w:szCs w:val="36"/>
        </w:rPr>
        <w:t>公开招标公告</w:t>
      </w:r>
      <w:bookmarkEnd w:id="30"/>
    </w:p>
    <w:p w14:paraId="2DCE0F02">
      <w:pPr>
        <w:pStyle w:val="26"/>
        <w:keepNext w:val="0"/>
        <w:keepLines w:val="0"/>
        <w:pageBreakBefore w:val="0"/>
        <w:widowControl w:val="0"/>
        <w:kinsoku/>
        <w:wordWrap/>
        <w:overflowPunct/>
        <w:topLinePunct w:val="0"/>
        <w:bidi w:val="0"/>
        <w:snapToGrid/>
        <w:spacing w:after="0" w:line="360" w:lineRule="auto"/>
        <w:ind w:left="0" w:leftChars="0" w:firstLine="466" w:firstLineChars="200"/>
        <w:textAlignment w:val="auto"/>
        <w:rPr>
          <w:rFonts w:ascii="仿宋" w:hAnsi="仿宋" w:eastAsia="仿宋" w:cs="仿宋"/>
          <w:color w:val="auto"/>
          <w:szCs w:val="24"/>
        </w:rPr>
      </w:pPr>
      <w:bookmarkStart w:id="31" w:name="EBf1e27c6183244f4a8f3fc355defd653e"/>
      <w:r>
        <w:rPr>
          <w:rFonts w:hint="eastAsia" w:ascii="仿宋" w:hAnsi="仿宋" w:eastAsia="仿宋" w:cs="仿宋"/>
          <w:b/>
          <w:bCs/>
          <w:color w:val="auto"/>
          <w:szCs w:val="24"/>
          <w:u w:val="single"/>
        </w:rPr>
        <w:t>遂昌一航采购代理有限公司</w:t>
      </w:r>
      <w:r>
        <w:rPr>
          <w:rFonts w:hint="eastAsia" w:ascii="仿宋" w:hAnsi="仿宋" w:eastAsia="仿宋" w:cs="仿宋"/>
          <w:color w:val="auto"/>
          <w:szCs w:val="24"/>
        </w:rPr>
        <w:t>受</w:t>
      </w:r>
      <w:r>
        <w:rPr>
          <w:rFonts w:hint="eastAsia" w:ascii="仿宋" w:hAnsi="仿宋" w:eastAsia="仿宋" w:cs="仿宋"/>
          <w:b/>
          <w:bCs/>
          <w:color w:val="auto"/>
          <w:szCs w:val="24"/>
          <w:u w:val="single"/>
          <w:lang w:eastAsia="zh-CN"/>
        </w:rPr>
        <w:t>遂昌县人民医院</w:t>
      </w:r>
      <w:r>
        <w:rPr>
          <w:rFonts w:hint="eastAsia" w:ascii="仿宋" w:hAnsi="仿宋" w:eastAsia="仿宋" w:cs="仿宋"/>
          <w:color w:val="auto"/>
          <w:szCs w:val="24"/>
        </w:rPr>
        <w:t>的委托，就其</w:t>
      </w:r>
      <w:r>
        <w:rPr>
          <w:rFonts w:hint="eastAsia" w:ascii="仿宋" w:hAnsi="仿宋" w:eastAsia="仿宋" w:cs="仿宋"/>
          <w:b/>
          <w:color w:val="auto"/>
          <w:szCs w:val="24"/>
          <w:u w:val="single"/>
          <w:lang w:eastAsia="zh-CN"/>
        </w:rPr>
        <w:t>遂昌县人民医院职工食堂经营承包项目</w:t>
      </w:r>
      <w:r>
        <w:rPr>
          <w:rFonts w:hint="eastAsia" w:ascii="仿宋" w:hAnsi="仿宋" w:eastAsia="仿宋" w:cs="仿宋"/>
          <w:color w:val="auto"/>
          <w:szCs w:val="24"/>
        </w:rPr>
        <w:t>进行公开招标，欢迎</w:t>
      </w:r>
      <w:r>
        <w:rPr>
          <w:rFonts w:hint="eastAsia" w:ascii="仿宋" w:hAnsi="仿宋" w:eastAsia="仿宋" w:cs="仿宋"/>
          <w:bCs/>
          <w:color w:val="auto"/>
        </w:rPr>
        <w:t>国内</w:t>
      </w:r>
      <w:r>
        <w:rPr>
          <w:rFonts w:hint="eastAsia" w:ascii="仿宋" w:hAnsi="仿宋" w:eastAsia="仿宋" w:cs="仿宋"/>
          <w:color w:val="auto"/>
          <w:szCs w:val="24"/>
        </w:rPr>
        <w:t>符合条件的潜在投标人参加本项目投标。</w:t>
      </w:r>
    </w:p>
    <w:p w14:paraId="5522875C">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rPr>
        <w:t>项目编号：</w:t>
      </w:r>
      <w:r>
        <w:rPr>
          <w:rFonts w:hint="eastAsia" w:ascii="仿宋" w:hAnsi="仿宋" w:eastAsia="仿宋" w:cs="仿宋"/>
          <w:color w:val="auto"/>
          <w:sz w:val="24"/>
          <w:szCs w:val="24"/>
          <w:lang w:eastAsia="zh-CN"/>
        </w:rPr>
        <w:t>SCYH【2025】067-公22</w:t>
      </w:r>
    </w:p>
    <w:p w14:paraId="28AFAC47">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color w:val="auto"/>
          <w:kern w:val="0"/>
          <w:sz w:val="24"/>
          <w:szCs w:val="24"/>
        </w:rPr>
      </w:pPr>
      <w:r>
        <w:rPr>
          <w:rFonts w:hint="eastAsia" w:ascii="仿宋" w:hAnsi="仿宋" w:eastAsia="仿宋" w:cs="仿宋"/>
          <w:b/>
          <w:color w:val="auto"/>
          <w:sz w:val="24"/>
          <w:szCs w:val="24"/>
        </w:rPr>
        <w:t>项目名称：</w:t>
      </w:r>
      <w:r>
        <w:rPr>
          <w:rFonts w:hint="eastAsia" w:ascii="仿宋" w:hAnsi="仿宋" w:eastAsia="仿宋" w:cs="仿宋"/>
          <w:bCs/>
          <w:color w:val="auto"/>
          <w:sz w:val="24"/>
          <w:szCs w:val="24"/>
          <w:lang w:eastAsia="zh-CN"/>
        </w:rPr>
        <w:t>遂昌县人民医院职工食堂经营承包项目</w:t>
      </w:r>
    </w:p>
    <w:p w14:paraId="7670E579">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color w:val="auto"/>
          <w:sz w:val="24"/>
          <w:szCs w:val="24"/>
        </w:rPr>
      </w:pPr>
      <w:r>
        <w:rPr>
          <w:rFonts w:hint="eastAsia" w:ascii="仿宋" w:hAnsi="仿宋" w:eastAsia="仿宋" w:cs="仿宋"/>
          <w:b/>
          <w:color w:val="auto"/>
          <w:sz w:val="24"/>
          <w:szCs w:val="24"/>
        </w:rPr>
        <w:t>采购方式：</w:t>
      </w:r>
      <w:r>
        <w:rPr>
          <w:rFonts w:hint="eastAsia" w:ascii="仿宋" w:hAnsi="仿宋" w:eastAsia="仿宋" w:cs="仿宋"/>
          <w:color w:val="auto"/>
          <w:sz w:val="24"/>
          <w:szCs w:val="24"/>
        </w:rPr>
        <w:t>公开招标</w:t>
      </w:r>
    </w:p>
    <w:p w14:paraId="6420504F">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color w:val="auto"/>
          <w:sz w:val="24"/>
          <w:szCs w:val="24"/>
        </w:rPr>
      </w:pPr>
      <w:r>
        <w:rPr>
          <w:rFonts w:hint="eastAsia" w:ascii="仿宋" w:hAnsi="仿宋" w:eastAsia="仿宋" w:cs="仿宋"/>
          <w:b/>
          <w:color w:val="auto"/>
          <w:sz w:val="24"/>
          <w:szCs w:val="24"/>
        </w:rPr>
        <w:t>组织类型</w:t>
      </w:r>
      <w:r>
        <w:rPr>
          <w:rFonts w:hint="eastAsia" w:ascii="仿宋" w:hAnsi="仿宋" w:eastAsia="仿宋" w:cs="仿宋"/>
          <w:color w:val="auto"/>
          <w:sz w:val="24"/>
          <w:szCs w:val="24"/>
        </w:rPr>
        <w:t>：分散采购委托代理</w:t>
      </w:r>
    </w:p>
    <w:p w14:paraId="46B5E28E">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项目概况：</w:t>
      </w:r>
    </w:p>
    <w:p w14:paraId="1E2667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bCs/>
          <w:color w:val="auto"/>
          <w:sz w:val="24"/>
          <w:szCs w:val="24"/>
          <w:lang w:eastAsia="zh-CN"/>
        </w:rPr>
        <w:t>遂昌县人民医院职工食堂经营承包项目，</w:t>
      </w:r>
      <w:r>
        <w:rPr>
          <w:rFonts w:hint="eastAsia" w:ascii="仿宋" w:hAnsi="仿宋" w:eastAsia="仿宋" w:cs="仿宋"/>
          <w:bCs/>
          <w:color w:val="auto"/>
          <w:sz w:val="24"/>
          <w:szCs w:val="24"/>
          <w:lang w:val="en-US" w:eastAsia="zh-CN"/>
        </w:rPr>
        <w:t>承包金额不少于</w:t>
      </w:r>
      <w:r>
        <w:rPr>
          <w:rFonts w:hint="eastAsia" w:ascii="仿宋" w:hAnsi="仿宋" w:eastAsia="仿宋"/>
          <w:color w:val="auto"/>
          <w:sz w:val="24"/>
          <w:szCs w:val="24"/>
          <w:lang w:val="en-US" w:eastAsia="zh-CN"/>
        </w:rPr>
        <w:t>280000元/年，且每年一交；经营年限5</w:t>
      </w:r>
      <w:r>
        <w:rPr>
          <w:rFonts w:hint="eastAsia" w:ascii="仿宋" w:hAnsi="仿宋" w:eastAsia="仿宋"/>
          <w:color w:val="auto"/>
          <w:sz w:val="24"/>
          <w:szCs w:val="24"/>
        </w:rPr>
        <w:t>年</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从新院区搬迁开始计算（具体时间以采购人通知为准），</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lang w:val="en-US" w:eastAsia="zh-CN" w:bidi="ar-SA"/>
        </w:rPr>
        <w:t>内容详见采购需求。</w:t>
      </w:r>
    </w:p>
    <w:p w14:paraId="4263FF8F">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rPr>
        <w:t>投标人的资格</w:t>
      </w:r>
    </w:p>
    <w:p w14:paraId="114FF522">
      <w:pPr>
        <w:keepNext w:val="0"/>
        <w:keepLines w:val="0"/>
        <w:pageBreakBefore w:val="0"/>
        <w:widowControl w:val="0"/>
        <w:numPr>
          <w:ilvl w:val="0"/>
          <w:numId w:val="4"/>
        </w:numPr>
        <w:tabs>
          <w:tab w:val="left" w:pos="540"/>
        </w:tabs>
        <w:kinsoku/>
        <w:wordWrap/>
        <w:overflowPunct/>
        <w:topLinePunct w:val="0"/>
        <w:bidi w:val="0"/>
        <w:snapToGrid/>
        <w:spacing w:line="360" w:lineRule="auto"/>
        <w:ind w:firstLine="480" w:firstLineChars="2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符合《中华人民共和国政府采购法》第二十二条的规定</w:t>
      </w:r>
      <w:r>
        <w:rPr>
          <w:rFonts w:hint="eastAsia" w:ascii="仿宋" w:hAnsi="仿宋" w:eastAsia="仿宋" w:cs="仿宋"/>
          <w:bCs/>
          <w:color w:val="auto"/>
          <w:sz w:val="24"/>
          <w:szCs w:val="24"/>
          <w:lang w:eastAsia="zh-CN"/>
        </w:rPr>
        <w:t>。</w:t>
      </w:r>
    </w:p>
    <w:p w14:paraId="437BC735">
      <w:pPr>
        <w:keepNext w:val="0"/>
        <w:keepLines w:val="0"/>
        <w:pageBreakBefore w:val="0"/>
        <w:widowControl w:val="0"/>
        <w:numPr>
          <w:ilvl w:val="0"/>
          <w:numId w:val="4"/>
        </w:numPr>
        <w:tabs>
          <w:tab w:val="left" w:pos="540"/>
        </w:tabs>
        <w:kinsoku/>
        <w:wordWrap/>
        <w:overflowPunct/>
        <w:topLinePunct w:val="0"/>
        <w:bidi w:val="0"/>
        <w:snapToGrid/>
        <w:spacing w:line="360" w:lineRule="auto"/>
        <w:ind w:firstLine="480" w:firstLineChars="2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未被“信用中国”（www.creditchina.gov.cn）、中国政府采购网（www.ccgp.gov.cn）列入失信被执行人、重大税收违法失信主体、政府采购严重违法失信行为记录名单。（注：本项内容由代理机构在资格审查现场完成查询）。</w:t>
      </w:r>
    </w:p>
    <w:p w14:paraId="7E961C62">
      <w:pPr>
        <w:keepNext w:val="0"/>
        <w:keepLines w:val="0"/>
        <w:pageBreakBefore w:val="0"/>
        <w:widowControl w:val="0"/>
        <w:numPr>
          <w:ilvl w:val="0"/>
          <w:numId w:val="4"/>
        </w:numPr>
        <w:tabs>
          <w:tab w:val="left" w:pos="540"/>
        </w:tabs>
        <w:kinsoku/>
        <w:wordWrap/>
        <w:overflowPunct/>
        <w:topLinePunct w:val="0"/>
        <w:bidi w:val="0"/>
        <w:snapToGrid/>
        <w:spacing w:line="360" w:lineRule="auto"/>
        <w:ind w:firstLine="480" w:firstLineChars="2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本项目的特定资格要求</w:t>
      </w:r>
      <w:r>
        <w:rPr>
          <w:rFonts w:hint="eastAsia" w:ascii="仿宋" w:hAnsi="仿宋" w:eastAsia="仿宋" w:cs="仿宋"/>
          <w:bCs/>
          <w:color w:val="auto"/>
          <w:sz w:val="24"/>
          <w:szCs w:val="24"/>
          <w:lang w:eastAsia="zh-CN"/>
        </w:rPr>
        <w:t>：具有有效期内的《</w:t>
      </w:r>
      <w:r>
        <w:rPr>
          <w:rFonts w:hint="eastAsia" w:ascii="仿宋" w:hAnsi="仿宋" w:eastAsia="仿宋" w:cs="仿宋"/>
          <w:bCs/>
          <w:color w:val="auto"/>
          <w:sz w:val="24"/>
          <w:szCs w:val="24"/>
          <w:lang w:val="en-US" w:eastAsia="zh-CN"/>
        </w:rPr>
        <w:t>食品经营许可证</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w:t>
      </w:r>
    </w:p>
    <w:p w14:paraId="5FCBDD87">
      <w:pPr>
        <w:keepNext w:val="0"/>
        <w:keepLines w:val="0"/>
        <w:pageBreakBefore w:val="0"/>
        <w:widowControl w:val="0"/>
        <w:numPr>
          <w:ilvl w:val="0"/>
          <w:numId w:val="4"/>
        </w:numPr>
        <w:tabs>
          <w:tab w:val="left" w:pos="540"/>
        </w:tabs>
        <w:kinsoku/>
        <w:wordWrap/>
        <w:overflowPunct/>
        <w:topLinePunct w:val="0"/>
        <w:bidi w:val="0"/>
        <w:snapToGrid/>
        <w:spacing w:line="360" w:lineRule="auto"/>
        <w:ind w:firstLine="480" w:firstLineChars="2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本项目不接受联合体投标，不允许转包和分包。</w:t>
      </w:r>
    </w:p>
    <w:p w14:paraId="2AFE5CAF">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rPr>
        <w:t>获取招标文件方式</w:t>
      </w:r>
    </w:p>
    <w:p w14:paraId="7B367AD7">
      <w:pPr>
        <w:keepNext w:val="0"/>
        <w:keepLines w:val="0"/>
        <w:pageBreakBefore w:val="0"/>
        <w:widowControl w:val="0"/>
        <w:numPr>
          <w:ilvl w:val="0"/>
          <w:numId w:val="5"/>
        </w:numPr>
        <w:kinsoku/>
        <w:wordWrap/>
        <w:overflowPunct/>
        <w:topLinePunct w:val="0"/>
        <w:bidi w:val="0"/>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招标文件获取：公告发布之日起至2025年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，每天上午00:00至12:00 ，下午12:00至23:59（北京时间，线上获取法定节假日均可）</w:t>
      </w:r>
    </w:p>
    <w:p w14:paraId="74137F11">
      <w:pPr>
        <w:keepNext w:val="0"/>
        <w:keepLines w:val="0"/>
        <w:pageBreakBefore w:val="0"/>
        <w:widowControl w:val="0"/>
        <w:numPr>
          <w:ilvl w:val="0"/>
          <w:numId w:val="5"/>
        </w:numPr>
        <w:kinsoku/>
        <w:wordWrap/>
        <w:overflowPunct/>
        <w:topLinePunct w:val="0"/>
        <w:bidi w:val="0"/>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本项目不提供招标文件纸质版。</w:t>
      </w:r>
      <w:r>
        <w:rPr>
          <w:rFonts w:hint="eastAsia" w:ascii="仿宋" w:hAnsi="仿宋" w:eastAsia="仿宋" w:cs="仿宋"/>
          <w:color w:val="auto"/>
          <w:sz w:val="24"/>
          <w:szCs w:val="24"/>
          <w:lang w:val="en-US" w:eastAsia="zh-CN"/>
        </w:rPr>
        <w:t>潜在投标人可在“浙江政府采购网（https://zfcg.czt.zj.gov.cn/）、丽水市公共资源交易网（https://lssggzy.lishui.gov.cn/）”发布的公告附件中自行下载获取</w:t>
      </w:r>
      <w:r>
        <w:rPr>
          <w:rFonts w:hint="eastAsia" w:ascii="仿宋" w:hAnsi="仿宋" w:eastAsia="仿宋" w:cs="仿宋"/>
          <w:color w:val="auto"/>
          <w:sz w:val="24"/>
          <w:szCs w:val="24"/>
        </w:rPr>
        <w:t>。</w:t>
      </w:r>
    </w:p>
    <w:p w14:paraId="2AFE9DD9">
      <w:pPr>
        <w:keepNext w:val="0"/>
        <w:keepLines w:val="0"/>
        <w:pageBreakBefore w:val="0"/>
        <w:widowControl w:val="0"/>
        <w:numPr>
          <w:ilvl w:val="0"/>
          <w:numId w:val="5"/>
        </w:numPr>
        <w:kinsoku/>
        <w:wordWrap/>
        <w:overflowPunct/>
        <w:topLinePunct w:val="0"/>
        <w:bidi w:val="0"/>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bCs/>
          <w:color w:val="auto"/>
          <w:sz w:val="24"/>
        </w:rPr>
        <w:t>投标人获取招标文件时须向采购代理机构提供以下资料：</w:t>
      </w:r>
    </w:p>
    <w:p w14:paraId="04FA4C40">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⑴供应商报名表；</w:t>
      </w:r>
    </w:p>
    <w:p w14:paraId="114BF27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⑵营业执照复印件；</w:t>
      </w:r>
    </w:p>
    <w:p w14:paraId="7D5CDDE5">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⑶</w:t>
      </w:r>
      <w:r>
        <w:rPr>
          <w:rFonts w:hint="eastAsia" w:ascii="仿宋" w:hAnsi="仿宋" w:eastAsia="仿宋" w:cs="仿宋"/>
          <w:bCs/>
          <w:color w:val="auto"/>
          <w:sz w:val="24"/>
          <w:szCs w:val="24"/>
          <w:lang w:val="en-US" w:eastAsia="zh-CN"/>
        </w:rPr>
        <w:t>食品经营许可证复印件；</w:t>
      </w:r>
    </w:p>
    <w:p w14:paraId="29A28AF1">
      <w:pPr>
        <w:keepNext w:val="0"/>
        <w:keepLines w:val="0"/>
        <w:pageBreakBefore w:val="0"/>
        <w:widowControl w:val="0"/>
        <w:tabs>
          <w:tab w:val="left" w:pos="540"/>
        </w:tabs>
        <w:kinsoku/>
        <w:wordWrap/>
        <w:overflowPunct/>
        <w:topLinePunct w:val="0"/>
        <w:bidi w:val="0"/>
        <w:snapToGrid/>
        <w:spacing w:line="360" w:lineRule="auto"/>
        <w:ind w:firstLine="480" w:firstLineChars="200"/>
        <w:textAlignment w:val="auto"/>
        <w:rPr>
          <w:rFonts w:ascii="仿宋" w:hAnsi="仿宋" w:eastAsia="仿宋" w:cs="仿宋"/>
          <w:b/>
          <w:color w:val="auto"/>
          <w:sz w:val="24"/>
          <w:szCs w:val="24"/>
        </w:rPr>
      </w:pPr>
      <w:r>
        <w:rPr>
          <w:rFonts w:hint="eastAsia" w:ascii="仿宋" w:hAnsi="仿宋" w:eastAsia="仿宋" w:cs="仿宋"/>
          <w:bCs/>
          <w:color w:val="auto"/>
          <w:sz w:val="24"/>
        </w:rPr>
        <w:t>以上资料须加盖投标单位公章</w:t>
      </w:r>
      <w:r>
        <w:rPr>
          <w:rFonts w:hint="eastAsia" w:ascii="仿宋" w:hAnsi="仿宋" w:eastAsia="仿宋" w:cs="仿宋"/>
          <w:bCs/>
          <w:color w:val="auto"/>
          <w:sz w:val="24"/>
          <w:szCs w:val="24"/>
        </w:rPr>
        <w:t>，并将扫描件发送至邮箱：846824067@qq.com。</w:t>
      </w:r>
    </w:p>
    <w:p w14:paraId="5BB8F7BF">
      <w:pPr>
        <w:keepNext w:val="0"/>
        <w:keepLines w:val="0"/>
        <w:pageBreakBefore w:val="0"/>
        <w:widowControl w:val="0"/>
        <w:numPr>
          <w:ilvl w:val="0"/>
          <w:numId w:val="5"/>
        </w:numPr>
        <w:kinsoku/>
        <w:wordWrap/>
        <w:overflowPunct/>
        <w:topLinePunct w:val="0"/>
        <w:bidi w:val="0"/>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招标文件售价：0元/本</w:t>
      </w:r>
    </w:p>
    <w:p w14:paraId="62053D11">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rPr>
        <w:t>公告期限：</w:t>
      </w:r>
      <w:r>
        <w:rPr>
          <w:rFonts w:hint="eastAsia" w:ascii="仿宋" w:hAnsi="仿宋" w:eastAsia="仿宋" w:cs="仿宋"/>
          <w:bCs/>
          <w:color w:val="auto"/>
          <w:sz w:val="24"/>
          <w:szCs w:val="24"/>
        </w:rPr>
        <w:t>本项目公告期限为5个工作日（从公告发布次日开始计算）。</w:t>
      </w:r>
    </w:p>
    <w:p w14:paraId="7E04977A">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rPr>
        <w:t>招标文件补充（答疑、澄清）、修改文件获取的方式：网上下载</w:t>
      </w:r>
    </w:p>
    <w:p w14:paraId="11342F84">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b/>
          <w:color w:val="auto"/>
          <w:sz w:val="24"/>
          <w:szCs w:val="24"/>
        </w:rPr>
      </w:pPr>
      <w:r>
        <w:rPr>
          <w:rFonts w:hint="eastAsia" w:ascii="仿宋" w:hAnsi="仿宋" w:eastAsia="仿宋" w:cs="仿宋"/>
          <w:bCs/>
          <w:color w:val="auto"/>
          <w:sz w:val="24"/>
          <w:szCs w:val="24"/>
        </w:rPr>
        <w:t>潜在投标人应自行关注网站招标公告，关于招标文件更正公告、答疑文件等内容，采购代理机构不一一通知已获取招标文件的投标人，投标人因自身贻误行为导致投标失败的，责任自负。</w:t>
      </w:r>
    </w:p>
    <w:p w14:paraId="2DEDD9BE">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投标保证金：</w:t>
      </w:r>
    </w:p>
    <w:p w14:paraId="134CA32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color w:val="auto"/>
          <w:lang w:val="en-US" w:eastAsia="zh-CN"/>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投标保证金金额：</w:t>
      </w:r>
      <w:r>
        <w:rPr>
          <w:rFonts w:hint="eastAsia" w:ascii="仿宋" w:hAnsi="仿宋" w:eastAsia="仿宋" w:cs="仿宋"/>
          <w:bCs/>
          <w:color w:val="auto"/>
          <w:sz w:val="24"/>
          <w:szCs w:val="24"/>
          <w:u w:val="single"/>
        </w:rPr>
        <w:t>人民币</w:t>
      </w:r>
      <w:r>
        <w:rPr>
          <w:rFonts w:hint="eastAsia" w:ascii="仿宋" w:hAnsi="仿宋" w:eastAsia="仿宋" w:cs="仿宋"/>
          <w:bCs/>
          <w:color w:val="auto"/>
          <w:sz w:val="24"/>
          <w:szCs w:val="24"/>
          <w:u w:val="single"/>
          <w:lang w:val="en-US" w:eastAsia="zh-CN"/>
        </w:rPr>
        <w:t>贰万</w:t>
      </w:r>
      <w:r>
        <w:rPr>
          <w:rFonts w:hint="eastAsia" w:ascii="仿宋" w:hAnsi="仿宋" w:eastAsia="仿宋" w:cs="仿宋"/>
          <w:bCs/>
          <w:color w:val="auto"/>
          <w:sz w:val="24"/>
          <w:szCs w:val="24"/>
          <w:u w:val="single"/>
          <w:lang w:eastAsia="zh-CN"/>
        </w:rPr>
        <w:t>元整</w:t>
      </w:r>
      <w:r>
        <w:rPr>
          <w:rFonts w:hint="eastAsia" w:ascii="仿宋" w:hAnsi="仿宋" w:eastAsia="仿宋" w:cs="仿宋"/>
          <w:bCs/>
          <w:color w:val="auto"/>
          <w:sz w:val="24"/>
          <w:szCs w:val="24"/>
          <w:u w:val="single"/>
        </w:rPr>
        <w:t>（¥</w:t>
      </w:r>
      <w:r>
        <w:rPr>
          <w:rFonts w:hint="eastAsia" w:ascii="仿宋" w:hAnsi="仿宋" w:eastAsia="仿宋" w:cs="仿宋"/>
          <w:bCs/>
          <w:color w:val="auto"/>
          <w:sz w:val="24"/>
          <w:szCs w:val="24"/>
          <w:u w:val="single"/>
          <w:lang w:val="en-US" w:eastAsia="zh-CN"/>
        </w:rPr>
        <w:t>20,000.00</w:t>
      </w:r>
      <w:r>
        <w:rPr>
          <w:rFonts w:hint="eastAsia" w:ascii="仿宋" w:hAnsi="仿宋" w:eastAsia="仿宋" w:cs="仿宋"/>
          <w:bCs/>
          <w:color w:val="auto"/>
          <w:sz w:val="24"/>
          <w:szCs w:val="24"/>
          <w:u w:val="single"/>
        </w:rPr>
        <w:t>）</w:t>
      </w:r>
      <w:r>
        <w:rPr>
          <w:rFonts w:hint="eastAsia" w:ascii="仿宋" w:hAnsi="仿宋" w:eastAsia="仿宋" w:cs="仿宋"/>
          <w:bCs/>
          <w:color w:val="auto"/>
          <w:sz w:val="24"/>
          <w:szCs w:val="24"/>
          <w:u w:val="single"/>
          <w:lang w:eastAsia="zh-CN"/>
        </w:rPr>
        <w:t>。</w:t>
      </w:r>
    </w:p>
    <w:p w14:paraId="321A58C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lang w:eastAsia="zh-CN"/>
        </w:rPr>
        <w:t>形式：银行电汇或网银形式提交；不得用现金或现金交纳单提交，不得通过投标人分支机构或第三者账户转入，必须从投标人银行账户汇出，并在本项目</w:t>
      </w:r>
      <w:r>
        <w:rPr>
          <w:rFonts w:hint="eastAsia" w:ascii="仿宋" w:hAnsi="仿宋" w:eastAsia="仿宋" w:cs="仿宋"/>
          <w:bCs/>
          <w:color w:val="auto"/>
          <w:sz w:val="24"/>
          <w:szCs w:val="24"/>
          <w:lang w:val="en-US" w:eastAsia="zh-CN"/>
        </w:rPr>
        <w:t>投标截止时间前（以到账时间为准）</w:t>
      </w:r>
      <w:r>
        <w:rPr>
          <w:rFonts w:hint="eastAsia" w:ascii="仿宋" w:hAnsi="仿宋" w:eastAsia="仿宋" w:cs="仿宋"/>
          <w:bCs/>
          <w:color w:val="auto"/>
          <w:sz w:val="24"/>
          <w:szCs w:val="24"/>
          <w:lang w:eastAsia="zh-CN"/>
        </w:rPr>
        <w:t>到达本项目规定账户。</w:t>
      </w:r>
    </w:p>
    <w:p w14:paraId="0192C5D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收 款 人：遂昌一航采购代理有限公司</w:t>
      </w:r>
    </w:p>
    <w:p w14:paraId="7095B5F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开户银行：浙江稠州商业银行股份有限公司丽水遂昌支行</w:t>
      </w:r>
    </w:p>
    <w:p w14:paraId="7B61A282">
      <w:pPr>
        <w:keepNext w:val="0"/>
        <w:keepLines w:val="0"/>
        <w:pageBreakBefore w:val="0"/>
        <w:widowControl w:val="0"/>
        <w:kinsoku/>
        <w:wordWrap/>
        <w:overflowPunct/>
        <w:topLinePunct w:val="0"/>
        <w:bidi w:val="0"/>
        <w:snapToGrid/>
        <w:spacing w:line="360" w:lineRule="auto"/>
        <w:ind w:firstLine="480" w:firstLineChars="200"/>
        <w:textAlignment w:val="auto"/>
        <w:rPr>
          <w:color w:val="auto"/>
        </w:rPr>
      </w:pPr>
      <w:r>
        <w:rPr>
          <w:rFonts w:hint="eastAsia" w:ascii="仿宋" w:hAnsi="仿宋" w:eastAsia="仿宋" w:cs="仿宋"/>
          <w:bCs/>
          <w:color w:val="auto"/>
          <w:sz w:val="24"/>
          <w:szCs w:val="24"/>
        </w:rPr>
        <w:t>银行账号：16901012010090006822</w:t>
      </w:r>
    </w:p>
    <w:p w14:paraId="1A0F88BD">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rPr>
        <w:t>投标文件提交截止时间和地点：</w:t>
      </w:r>
    </w:p>
    <w:p w14:paraId="60FD6D76">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b/>
          <w:color w:val="auto"/>
          <w:sz w:val="24"/>
          <w:szCs w:val="24"/>
        </w:rPr>
      </w:pPr>
      <w:r>
        <w:rPr>
          <w:rFonts w:hint="eastAsia" w:ascii="仿宋" w:hAnsi="仿宋" w:eastAsia="仿宋" w:cs="仿宋"/>
          <w:bCs/>
          <w:color w:val="auto"/>
          <w:sz w:val="24"/>
          <w:szCs w:val="24"/>
        </w:rPr>
        <w:t>投标人应于</w:t>
      </w:r>
      <w:r>
        <w:rPr>
          <w:rFonts w:hint="eastAsia" w:ascii="仿宋" w:hAnsi="仿宋" w:eastAsia="仿宋" w:cs="仿宋"/>
          <w:bCs/>
          <w:color w:val="auto"/>
          <w:sz w:val="24"/>
          <w:szCs w:val="24"/>
          <w:lang w:eastAsia="zh-CN"/>
        </w:rPr>
        <w:t>2025年7月10日</w:t>
      </w:r>
      <w:r>
        <w:rPr>
          <w:rFonts w:hint="eastAsia" w:ascii="仿宋" w:hAnsi="仿宋" w:eastAsia="仿宋" w:cs="仿宋"/>
          <w:bCs/>
          <w:color w:val="auto"/>
          <w:sz w:val="24"/>
          <w:szCs w:val="24"/>
        </w:rPr>
        <w:t>09:30（北京时间）前将投标文件密封送交到遂昌县政务服务中心(遂昌县妙高街道君子路357号A区5楼开标室)，逾期送达或未密封的投标文件将被拒收。</w:t>
      </w:r>
    </w:p>
    <w:p w14:paraId="755D278C">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rPr>
        <w:t>开标时间及地点：</w:t>
      </w:r>
    </w:p>
    <w:p w14:paraId="11C32457">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b/>
          <w:color w:val="auto"/>
          <w:sz w:val="24"/>
          <w:szCs w:val="24"/>
        </w:rPr>
      </w:pPr>
      <w:r>
        <w:rPr>
          <w:rFonts w:hint="eastAsia" w:ascii="仿宋" w:hAnsi="仿宋" w:eastAsia="仿宋" w:cs="仿宋"/>
          <w:bCs/>
          <w:color w:val="auto"/>
          <w:sz w:val="24"/>
          <w:szCs w:val="24"/>
          <w:lang w:eastAsia="zh-CN"/>
        </w:rPr>
        <w:t>2025年7月10日</w:t>
      </w:r>
      <w:r>
        <w:rPr>
          <w:rFonts w:hint="eastAsia" w:ascii="仿宋" w:hAnsi="仿宋" w:eastAsia="仿宋" w:cs="仿宋"/>
          <w:bCs/>
          <w:color w:val="auto"/>
          <w:sz w:val="24"/>
          <w:szCs w:val="24"/>
        </w:rPr>
        <w:t>09:30（北京时间）在遂昌县政务服务中心(遂昌县妙高街道君子路357号A区5楼开标室)，投标人</w:t>
      </w:r>
      <w:r>
        <w:rPr>
          <w:rFonts w:ascii="仿宋" w:hAnsi="仿宋" w:eastAsia="仿宋" w:cs="仿宋"/>
          <w:color w:val="auto"/>
          <w:sz w:val="24"/>
          <w:szCs w:val="24"/>
        </w:rPr>
        <w:t>法定代表人或其授权代表必须出席开标会议。</w:t>
      </w:r>
    </w:p>
    <w:p w14:paraId="0655E876">
      <w:pPr>
        <w:keepNext w:val="0"/>
        <w:keepLines w:val="0"/>
        <w:pageBreakBefore w:val="0"/>
        <w:widowControl w:val="0"/>
        <w:numPr>
          <w:ilvl w:val="0"/>
          <w:numId w:val="3"/>
        </w:numPr>
        <w:kinsoku/>
        <w:wordWrap/>
        <w:overflowPunct/>
        <w:topLinePunct w:val="0"/>
        <w:bidi w:val="0"/>
        <w:snapToGrid/>
        <w:spacing w:line="360" w:lineRule="auto"/>
        <w:textAlignment w:val="auto"/>
        <w:rPr>
          <w:rFonts w:ascii="仿宋" w:hAnsi="仿宋" w:eastAsia="仿宋" w:cs="仿宋"/>
          <w:b/>
          <w:color w:val="auto"/>
          <w:sz w:val="24"/>
          <w:szCs w:val="24"/>
        </w:rPr>
      </w:pPr>
      <w:r>
        <w:rPr>
          <w:rFonts w:hint="eastAsia" w:ascii="仿宋" w:hAnsi="仿宋" w:eastAsia="仿宋" w:cs="仿宋"/>
          <w:b/>
          <w:color w:val="auto"/>
          <w:sz w:val="24"/>
          <w:szCs w:val="24"/>
        </w:rPr>
        <w:t>其他事项</w:t>
      </w:r>
    </w:p>
    <w:p w14:paraId="28C3BBF4">
      <w:pPr>
        <w:keepNext w:val="0"/>
        <w:keepLines w:val="0"/>
        <w:pageBreakBefore w:val="0"/>
        <w:widowControl w:val="0"/>
        <w:numPr>
          <w:ilvl w:val="0"/>
          <w:numId w:val="6"/>
        </w:numPr>
        <w:tabs>
          <w:tab w:val="left" w:pos="540"/>
        </w:tabs>
        <w:kinsoku/>
        <w:wordWrap/>
        <w:overflowPunct/>
        <w:topLinePunct w:val="0"/>
        <w:bidi w:val="0"/>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质疑。质疑供应商对采购人、采购代理机构的答复不满意或者采购人、采购代理机构未在规定的时间内作出答复的，可以在答复期满后十五个工作日内向监督管理部门投诉。</w:t>
      </w:r>
    </w:p>
    <w:p w14:paraId="780E453F">
      <w:pPr>
        <w:keepNext w:val="0"/>
        <w:keepLines w:val="0"/>
        <w:pageBreakBefore w:val="0"/>
        <w:widowControl w:val="0"/>
        <w:numPr>
          <w:ilvl w:val="0"/>
          <w:numId w:val="6"/>
        </w:numPr>
        <w:tabs>
          <w:tab w:val="left" w:pos="540"/>
        </w:tabs>
        <w:kinsoku/>
        <w:wordWrap/>
        <w:overflowPunct/>
        <w:topLinePunct w:val="0"/>
        <w:bidi w:val="0"/>
        <w:snapToGrid/>
        <w:spacing w:line="360" w:lineRule="auto"/>
        <w:ind w:firstLine="480" w:firstLineChars="200"/>
        <w:textAlignment w:val="auto"/>
        <w:rPr>
          <w:color w:val="auto"/>
        </w:rPr>
      </w:pPr>
      <w:r>
        <w:rPr>
          <w:rFonts w:hint="eastAsia" w:ascii="仿宋" w:hAnsi="仿宋" w:eastAsia="仿宋" w:cs="仿宋"/>
          <w:color w:val="auto"/>
          <w:sz w:val="24"/>
        </w:rPr>
        <w:t>只有通过报名获取招标文件的投标人才能对招标文件提出质疑，否则不予受理。</w:t>
      </w:r>
    </w:p>
    <w:p w14:paraId="56837846">
      <w:pPr>
        <w:keepNext w:val="0"/>
        <w:keepLines w:val="0"/>
        <w:pageBreakBefore w:val="0"/>
        <w:widowControl w:val="0"/>
        <w:numPr>
          <w:ilvl w:val="0"/>
          <w:numId w:val="3"/>
        </w:numPr>
        <w:kinsoku/>
        <w:wordWrap/>
        <w:overflowPunct/>
        <w:topLinePunct w:val="0"/>
        <w:bidi w:val="0"/>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凡对本次招标提出询问、质疑、投诉，请按以下方式联系 </w:t>
      </w:r>
    </w:p>
    <w:p w14:paraId="0CA9EEF9">
      <w:pPr>
        <w:keepNext w:val="0"/>
        <w:keepLines w:val="0"/>
        <w:pageBreakBefore w:val="0"/>
        <w:widowControl w:val="0"/>
        <w:tabs>
          <w:tab w:val="left" w:pos="540"/>
        </w:tabs>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采购人名称：</w:t>
      </w:r>
      <w:r>
        <w:rPr>
          <w:rFonts w:hint="eastAsia" w:ascii="仿宋" w:hAnsi="仿宋" w:eastAsia="仿宋" w:cs="仿宋"/>
          <w:bCs/>
          <w:color w:val="auto"/>
          <w:sz w:val="24"/>
          <w:szCs w:val="24"/>
          <w:lang w:eastAsia="zh-CN"/>
        </w:rPr>
        <w:t>遂昌县人民医院</w:t>
      </w:r>
    </w:p>
    <w:p w14:paraId="6E417C41">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项目联系人（询问）：江老师</w:t>
      </w:r>
    </w:p>
    <w:p w14:paraId="6148B37C">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项目联系方式（询问）：0578-8127437</w:t>
      </w:r>
    </w:p>
    <w:p w14:paraId="3D1A8F36">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质疑联系人：</w:t>
      </w:r>
      <w:r>
        <w:rPr>
          <w:rFonts w:hint="eastAsia" w:ascii="仿宋" w:hAnsi="仿宋" w:eastAsia="仿宋" w:cs="仿宋"/>
          <w:bCs/>
          <w:color w:val="auto"/>
          <w:sz w:val="24"/>
          <w:szCs w:val="24"/>
          <w:lang w:val="en-US" w:eastAsia="zh-CN"/>
        </w:rPr>
        <w:t>杨老师</w:t>
      </w:r>
    </w:p>
    <w:p w14:paraId="3EF4EB6D">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质疑联系方式：17826932703</w:t>
      </w:r>
    </w:p>
    <w:p w14:paraId="54F88226">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地    址：遂昌县妙高街道北街143号</w:t>
      </w:r>
    </w:p>
    <w:p w14:paraId="798DB57B">
      <w:pPr>
        <w:pStyle w:val="7"/>
        <w:keepNext w:val="0"/>
        <w:keepLines w:val="0"/>
        <w:pageBreakBefore w:val="0"/>
        <w:widowControl w:val="0"/>
        <w:kinsoku/>
        <w:wordWrap/>
        <w:overflowPunct/>
        <w:topLinePunct w:val="0"/>
        <w:bidi w:val="0"/>
        <w:snapToGrid/>
        <w:spacing w:line="360" w:lineRule="auto"/>
        <w:textAlignment w:val="auto"/>
        <w:rPr>
          <w:rFonts w:hint="eastAsia"/>
          <w:color w:val="auto"/>
        </w:rPr>
      </w:pPr>
    </w:p>
    <w:p w14:paraId="5CA5C591">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rPr>
        <w:t>采购代理机构名称：遂昌一航采购代理有限公司</w:t>
      </w:r>
    </w:p>
    <w:p w14:paraId="5E993CBE">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 xml:space="preserve">项目联系人(询问）：华莉瑛           </w:t>
      </w:r>
    </w:p>
    <w:p w14:paraId="37BC2289">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项目联系方式（询问）：13754268787</w:t>
      </w:r>
    </w:p>
    <w:p w14:paraId="4785AF9F">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质疑联系人：</w:t>
      </w:r>
      <w:r>
        <w:rPr>
          <w:rFonts w:hint="eastAsia" w:ascii="仿宋" w:hAnsi="仿宋" w:eastAsia="仿宋" w:cs="仿宋"/>
          <w:bCs/>
          <w:color w:val="auto"/>
          <w:sz w:val="24"/>
          <w:szCs w:val="24"/>
          <w:lang w:eastAsia="zh-CN"/>
        </w:rPr>
        <w:t>尹丽香</w:t>
      </w:r>
      <w:r>
        <w:rPr>
          <w:rFonts w:hint="eastAsia" w:ascii="仿宋" w:hAnsi="仿宋" w:eastAsia="仿宋" w:cs="仿宋"/>
          <w:bCs/>
          <w:color w:val="auto"/>
          <w:sz w:val="24"/>
          <w:szCs w:val="24"/>
        </w:rPr>
        <w:t xml:space="preserve">            </w:t>
      </w:r>
    </w:p>
    <w:p w14:paraId="6EAF3609">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质疑联系方式：</w:t>
      </w:r>
      <w:r>
        <w:rPr>
          <w:rFonts w:hint="eastAsia" w:ascii="仿宋" w:hAnsi="仿宋" w:eastAsia="仿宋" w:cs="仿宋"/>
          <w:bCs/>
          <w:color w:val="auto"/>
          <w:sz w:val="24"/>
          <w:szCs w:val="24"/>
          <w:lang w:eastAsia="zh-CN"/>
        </w:rPr>
        <w:t>15990878558</w:t>
      </w:r>
    </w:p>
    <w:p w14:paraId="52B8D7DA">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传  真：0578-8126963</w:t>
      </w:r>
    </w:p>
    <w:p w14:paraId="183DA548">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地址：遂昌县妙高街道北街348号203室</w:t>
      </w:r>
    </w:p>
    <w:p w14:paraId="0FFA81E4">
      <w:pPr>
        <w:keepNext w:val="0"/>
        <w:keepLines w:val="0"/>
        <w:pageBreakBefore w:val="0"/>
        <w:widowControl w:val="0"/>
        <w:kinsoku/>
        <w:wordWrap/>
        <w:overflowPunct/>
        <w:topLinePunct w:val="0"/>
        <w:bidi w:val="0"/>
        <w:snapToGrid/>
        <w:spacing w:line="360" w:lineRule="auto"/>
        <w:textAlignment w:val="auto"/>
        <w:rPr>
          <w:color w:val="auto"/>
        </w:rPr>
      </w:pPr>
    </w:p>
    <w:p w14:paraId="1855CD4A">
      <w:pPr>
        <w:keepNext w:val="0"/>
        <w:keepLines w:val="0"/>
        <w:pageBreakBefore w:val="0"/>
        <w:widowControl w:val="0"/>
        <w:tabs>
          <w:tab w:val="left" w:pos="540"/>
        </w:tabs>
        <w:kinsoku/>
        <w:wordWrap/>
        <w:overflowPunct/>
        <w:topLinePunct w:val="0"/>
        <w:autoSpaceDE/>
        <w:autoSpaceDN/>
        <w:bidi w:val="0"/>
        <w:adjustRightInd/>
        <w:snapToGrid/>
        <w:spacing w:line="360" w:lineRule="auto"/>
        <w:ind w:left="420" w:leftChars="200"/>
        <w:textAlignment w:val="auto"/>
        <w:rPr>
          <w:rFonts w:hint="default" w:ascii="仿宋" w:hAnsi="仿宋" w:eastAsia="仿宋" w:cs="仿宋"/>
          <w:color w:val="auto"/>
          <w:sz w:val="24"/>
          <w:szCs w:val="24"/>
          <w:lang w:val="en-US" w:eastAsia="zh-CN"/>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监督管理部门：遂昌县人民医院</w:t>
      </w:r>
      <w:r>
        <w:rPr>
          <w:rFonts w:hint="eastAsia" w:ascii="仿宋" w:hAnsi="仿宋" w:eastAsia="仿宋" w:cs="仿宋"/>
          <w:color w:val="auto"/>
          <w:sz w:val="24"/>
          <w:szCs w:val="24"/>
          <w:lang w:val="en-US" w:eastAsia="zh-CN"/>
        </w:rPr>
        <w:t>纪检办</w:t>
      </w:r>
    </w:p>
    <w:p w14:paraId="2EB151F9">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lang w:val="en-US" w:eastAsia="zh-CN"/>
        </w:rPr>
        <w:t>宋老师</w:t>
      </w:r>
    </w:p>
    <w:p w14:paraId="63A278E0">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监督投诉电话：</w:t>
      </w:r>
      <w:r>
        <w:rPr>
          <w:rFonts w:hint="eastAsia" w:ascii="仿宋" w:hAnsi="仿宋" w:eastAsia="仿宋" w:cs="仿宋"/>
          <w:bCs/>
          <w:color w:val="auto"/>
          <w:sz w:val="24"/>
          <w:szCs w:val="24"/>
          <w:lang w:val="en-US" w:eastAsia="zh-CN"/>
        </w:rPr>
        <w:t>0578- 8131731</w:t>
      </w:r>
    </w:p>
    <w:p w14:paraId="6B0404C9">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ascii="仿宋" w:hAnsi="仿宋" w:eastAsia="仿宋" w:cs="仿宋"/>
          <w:bCs/>
          <w:color w:val="auto"/>
          <w:sz w:val="24"/>
          <w:szCs w:val="24"/>
        </w:rPr>
      </w:pPr>
      <w:r>
        <w:rPr>
          <w:rFonts w:hint="eastAsia" w:ascii="仿宋" w:hAnsi="仿宋" w:eastAsia="仿宋" w:cs="仿宋"/>
          <w:bCs/>
          <w:color w:val="auto"/>
          <w:sz w:val="24"/>
          <w:szCs w:val="24"/>
        </w:rPr>
        <w:t>联系地址：遂昌县妙高街道北街143号</w:t>
      </w:r>
    </w:p>
    <w:p w14:paraId="143883F1">
      <w:pPr>
        <w:pStyle w:val="29"/>
        <w:rPr>
          <w:color w:val="auto"/>
        </w:rPr>
      </w:pPr>
    </w:p>
    <w:p w14:paraId="572A5DD6">
      <w:pPr>
        <w:pStyle w:val="29"/>
        <w:rPr>
          <w:color w:val="auto"/>
        </w:rPr>
      </w:pPr>
    </w:p>
    <w:p w14:paraId="0F5EB7CE">
      <w:pPr>
        <w:pStyle w:val="29"/>
        <w:rPr>
          <w:color w:val="auto"/>
        </w:rPr>
      </w:pPr>
    </w:p>
    <w:p w14:paraId="3FBE243D">
      <w:pPr>
        <w:pStyle w:val="29"/>
        <w:rPr>
          <w:color w:val="auto"/>
        </w:rPr>
      </w:pPr>
    </w:p>
    <w:p w14:paraId="0141DB7C">
      <w:pPr>
        <w:pStyle w:val="29"/>
        <w:rPr>
          <w:color w:val="auto"/>
        </w:rPr>
      </w:pPr>
    </w:p>
    <w:p w14:paraId="7C812028">
      <w:pPr>
        <w:rPr>
          <w:color w:val="auto"/>
        </w:rPr>
      </w:pPr>
    </w:p>
    <w:p w14:paraId="00BBA33C">
      <w:pPr>
        <w:snapToGrid w:val="0"/>
        <w:spacing w:line="360" w:lineRule="auto"/>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遂昌县人民医院</w:t>
      </w:r>
    </w:p>
    <w:p w14:paraId="3971DC49">
      <w:pPr>
        <w:snapToGrid w:val="0"/>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采购代理机构：遂昌一航采购代理有限公司</w:t>
      </w:r>
    </w:p>
    <w:p w14:paraId="601CABCB">
      <w:pPr>
        <w:snapToGrid w:val="0"/>
        <w:spacing w:line="360" w:lineRule="auto"/>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日</w:t>
      </w:r>
    </w:p>
    <w:p w14:paraId="46F776CB">
      <w:pPr>
        <w:pStyle w:val="20"/>
        <w:rPr>
          <w:color w:val="auto"/>
        </w:rPr>
      </w:pPr>
    </w:p>
    <w:p w14:paraId="1E9520BD">
      <w:pPr>
        <w:pStyle w:val="20"/>
        <w:rPr>
          <w:color w:val="auto"/>
        </w:rPr>
      </w:pPr>
    </w:p>
    <w:p w14:paraId="5A15C814">
      <w:pPr>
        <w:pStyle w:val="20"/>
        <w:rPr>
          <w:color w:val="auto"/>
        </w:rPr>
      </w:pPr>
    </w:p>
    <w:bookmarkEnd w:id="31"/>
    <w:p w14:paraId="0ED3B7A3">
      <w:pPr>
        <w:pStyle w:val="5"/>
        <w:numPr>
          <w:ilvl w:val="0"/>
          <w:numId w:val="7"/>
        </w:numPr>
        <w:spacing w:before="0" w:line="560" w:lineRule="exact"/>
        <w:rPr>
          <w:rFonts w:ascii="仿宋" w:hAnsi="仿宋" w:eastAsia="仿宋" w:cs="仿宋"/>
          <w:color w:val="auto"/>
        </w:rPr>
      </w:pPr>
      <w:bookmarkStart w:id="32" w:name="_Toc27837"/>
      <w:bookmarkStart w:id="33" w:name="_Toc493956019"/>
      <w:r>
        <w:rPr>
          <w:rFonts w:hint="eastAsia" w:ascii="仿宋" w:hAnsi="仿宋" w:eastAsia="仿宋" w:cs="仿宋"/>
          <w:color w:val="auto"/>
        </w:rPr>
        <w:t xml:space="preserve"> </w:t>
      </w:r>
      <w:bookmarkEnd w:id="32"/>
      <w:bookmarkEnd w:id="33"/>
      <w:bookmarkStart w:id="34" w:name="_Toc27800"/>
      <w:r>
        <w:rPr>
          <w:rFonts w:hint="eastAsia" w:ascii="仿宋" w:hAnsi="仿宋" w:eastAsia="仿宋" w:cs="仿宋"/>
          <w:color w:val="auto"/>
        </w:rPr>
        <w:t>采购需求</w:t>
      </w:r>
      <w:bookmarkEnd w:id="34"/>
    </w:p>
    <w:p w14:paraId="69D711F9">
      <w:pPr>
        <w:pStyle w:val="5"/>
        <w:keepNext/>
        <w:keepLines/>
        <w:pageBreakBefore w:val="0"/>
        <w:widowControl w:val="0"/>
        <w:numPr>
          <w:ilvl w:val="1"/>
          <w:numId w:val="8"/>
        </w:numPr>
        <w:kinsoku/>
        <w:wordWrap/>
        <w:overflowPunct/>
        <w:topLinePunct w:val="0"/>
        <w:autoSpaceDE/>
        <w:autoSpaceDN/>
        <w:bidi w:val="0"/>
        <w:adjustRightInd/>
        <w:snapToGrid/>
        <w:spacing w:before="110" w:beforeLines="35" w:after="110" w:afterLines="35" w:line="360" w:lineRule="auto"/>
        <w:ind w:firstLine="403" w:firstLineChars="0"/>
        <w:jc w:val="left"/>
        <w:textAlignment w:val="auto"/>
        <w:rPr>
          <w:rFonts w:hint="eastAsia" w:ascii="仿宋" w:hAnsi="仿宋" w:eastAsia="仿宋" w:cs="仿宋"/>
          <w:color w:val="auto"/>
          <w:sz w:val="28"/>
          <w:szCs w:val="28"/>
        </w:rPr>
      </w:pPr>
      <w:bookmarkStart w:id="35" w:name="_Toc17477"/>
      <w:bookmarkStart w:id="36" w:name="_Toc24283"/>
      <w:bookmarkStart w:id="37" w:name="_Toc24946"/>
      <w:r>
        <w:rPr>
          <w:rFonts w:hint="eastAsia" w:ascii="仿宋" w:hAnsi="仿宋" w:eastAsia="仿宋" w:cs="仿宋"/>
          <w:color w:val="auto"/>
          <w:sz w:val="28"/>
          <w:szCs w:val="28"/>
        </w:rPr>
        <w:t>项目概况</w:t>
      </w:r>
      <w:bookmarkEnd w:id="35"/>
      <w:bookmarkEnd w:id="36"/>
      <w:bookmarkEnd w:id="37"/>
    </w:p>
    <w:p w14:paraId="3C418AFE">
      <w:pPr>
        <w:pStyle w:val="48"/>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招标范围：</w:t>
      </w:r>
      <w:r>
        <w:rPr>
          <w:rFonts w:hint="eastAsia" w:ascii="仿宋" w:hAnsi="仿宋" w:eastAsia="仿宋" w:cs="仿宋"/>
          <w:color w:val="auto"/>
          <w:sz w:val="24"/>
          <w:szCs w:val="24"/>
        </w:rPr>
        <w:t>食堂经营承包</w:t>
      </w:r>
    </w:p>
    <w:p w14:paraId="58C79F20">
      <w:pPr>
        <w:pStyle w:val="48"/>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经营方式：</w:t>
      </w:r>
      <w:r>
        <w:rPr>
          <w:rFonts w:hint="eastAsia" w:ascii="仿宋" w:hAnsi="仿宋" w:eastAsia="仿宋" w:cs="仿宋"/>
          <w:color w:val="auto"/>
          <w:sz w:val="24"/>
          <w:szCs w:val="24"/>
        </w:rPr>
        <w:t>承包经营、独立核算、院方监管。承包方发生的任何债权债务与医院无关。</w:t>
      </w:r>
    </w:p>
    <w:p w14:paraId="1B221D85">
      <w:pPr>
        <w:pStyle w:val="48"/>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承包金额：</w:t>
      </w:r>
      <w:r>
        <w:rPr>
          <w:rFonts w:hint="eastAsia" w:ascii="仿宋" w:hAnsi="仿宋" w:eastAsia="仿宋" w:cs="仿宋"/>
          <w:b w:val="0"/>
          <w:bCs/>
          <w:color w:val="auto"/>
          <w:sz w:val="24"/>
          <w:szCs w:val="24"/>
          <w:lang w:val="en-US" w:eastAsia="zh-CN"/>
        </w:rPr>
        <w:t>不少于</w:t>
      </w:r>
      <w:r>
        <w:rPr>
          <w:rFonts w:hint="eastAsia" w:ascii="仿宋" w:hAnsi="仿宋" w:eastAsia="仿宋" w:cs="仿宋"/>
          <w:color w:val="auto"/>
          <w:sz w:val="24"/>
          <w:szCs w:val="24"/>
          <w:lang w:val="en-US" w:eastAsia="zh-CN"/>
        </w:rPr>
        <w:t>280000元/年，</w:t>
      </w:r>
      <w:r>
        <w:rPr>
          <w:rFonts w:hint="eastAsia" w:ascii="仿宋" w:hAnsi="仿宋" w:eastAsia="仿宋" w:cs="仿宋"/>
          <w:color w:val="auto"/>
          <w:sz w:val="24"/>
          <w:szCs w:val="24"/>
        </w:rPr>
        <w:t>承包金额每年一交</w:t>
      </w:r>
      <w:r>
        <w:rPr>
          <w:rFonts w:hint="eastAsia" w:ascii="仿宋" w:hAnsi="仿宋" w:eastAsia="仿宋" w:cs="仿宋"/>
          <w:color w:val="auto"/>
          <w:sz w:val="24"/>
          <w:szCs w:val="24"/>
          <w:lang w:val="en-US" w:eastAsia="zh-CN"/>
        </w:rPr>
        <w:t>(服务期开始前一个月内一次性付清）</w:t>
      </w:r>
      <w:r>
        <w:rPr>
          <w:rFonts w:hint="eastAsia" w:ascii="仿宋" w:hAnsi="仿宋" w:eastAsia="仿宋" w:cs="仿宋"/>
          <w:color w:val="auto"/>
          <w:sz w:val="24"/>
          <w:szCs w:val="24"/>
          <w:lang w:eastAsia="zh-CN"/>
        </w:rPr>
        <w:t>。</w:t>
      </w:r>
    </w:p>
    <w:p w14:paraId="2AE33A99">
      <w:pPr>
        <w:pStyle w:val="48"/>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承包期限：</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新院区搬迁开始计算</w:t>
      </w:r>
      <w:r>
        <w:rPr>
          <w:rFonts w:hint="eastAsia" w:ascii="仿宋" w:hAnsi="仿宋" w:eastAsia="仿宋"/>
          <w:color w:val="auto"/>
          <w:sz w:val="24"/>
          <w:szCs w:val="24"/>
          <w:lang w:val="en-US" w:eastAsia="zh-CN"/>
        </w:rPr>
        <w:t>（具体时间以采购人通知为准）</w:t>
      </w:r>
      <w:r>
        <w:rPr>
          <w:rFonts w:hint="eastAsia" w:ascii="仿宋" w:hAnsi="仿宋" w:eastAsia="仿宋" w:cs="仿宋"/>
          <w:color w:val="auto"/>
          <w:sz w:val="24"/>
          <w:szCs w:val="24"/>
          <w:lang w:val="en-US" w:eastAsia="zh-CN"/>
        </w:rPr>
        <w:t>。</w:t>
      </w:r>
    </w:p>
    <w:p w14:paraId="1B939D69">
      <w:pPr>
        <w:pStyle w:val="5"/>
        <w:keepNext/>
        <w:keepLines/>
        <w:pageBreakBefore w:val="0"/>
        <w:widowControl w:val="0"/>
        <w:numPr>
          <w:ilvl w:val="1"/>
          <w:numId w:val="8"/>
        </w:numPr>
        <w:kinsoku/>
        <w:wordWrap/>
        <w:overflowPunct/>
        <w:topLinePunct w:val="0"/>
        <w:autoSpaceDE/>
        <w:autoSpaceDN/>
        <w:bidi w:val="0"/>
        <w:adjustRightInd/>
        <w:snapToGrid/>
        <w:spacing w:before="110" w:beforeLines="35" w:after="110" w:afterLines="35" w:line="360" w:lineRule="auto"/>
        <w:ind w:firstLine="403" w:firstLineChars="0"/>
        <w:jc w:val="left"/>
        <w:textAlignment w:val="auto"/>
        <w:rPr>
          <w:rFonts w:hint="eastAsia" w:ascii="仿宋" w:hAnsi="仿宋" w:eastAsia="仿宋" w:cs="仿宋"/>
          <w:color w:val="auto"/>
          <w:sz w:val="28"/>
          <w:szCs w:val="28"/>
          <w:lang w:val="en-US" w:eastAsia="zh-CN"/>
        </w:rPr>
      </w:pPr>
      <w:bookmarkStart w:id="38" w:name="_Toc25054"/>
      <w:bookmarkStart w:id="39" w:name="_Toc11996"/>
      <w:bookmarkStart w:id="40" w:name="_Toc23166"/>
      <w:r>
        <w:rPr>
          <w:rFonts w:hint="eastAsia" w:ascii="仿宋" w:hAnsi="仿宋" w:eastAsia="仿宋" w:cs="仿宋"/>
          <w:color w:val="auto"/>
          <w:sz w:val="28"/>
          <w:szCs w:val="28"/>
          <w:lang w:val="en-US" w:eastAsia="zh-CN"/>
        </w:rPr>
        <w:t>经营内容</w:t>
      </w:r>
      <w:bookmarkEnd w:id="38"/>
      <w:bookmarkEnd w:id="39"/>
      <w:bookmarkEnd w:id="40"/>
    </w:p>
    <w:p w14:paraId="5340A029">
      <w:pPr>
        <w:pStyle w:val="48"/>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基本情况</w:t>
      </w:r>
    </w:p>
    <w:p w14:paraId="4D2BF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遂昌县人民医院食堂位于妙高街道新庵村内综合楼1-2楼，一楼建筑面积约729 ㎡：含操作间、病员餐厅，满足门诊、住院病员及家属餐饮服务需求，开设快餐、小炒、面点、特色餐饮窗口，并依据医疗工作需要提供治疗饮食，提供订送餐服务。二楼建筑面积约729 ㎡，为职工餐厅，满足职工日常及夜班餐饮服务、送餐服务需求。</w:t>
      </w:r>
    </w:p>
    <w:p w14:paraId="0A9D8CC3">
      <w:pPr>
        <w:pStyle w:val="48"/>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服务对象</w:t>
      </w:r>
    </w:p>
    <w:p w14:paraId="663889E3">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医院在职职工、第三方工作人员、浙大二院常驻专家、实习生、医院病人及家属，招标方来客及社会人员等。</w:t>
      </w:r>
    </w:p>
    <w:p w14:paraId="3D18CD4C">
      <w:pPr>
        <w:pStyle w:val="5"/>
        <w:keepNext/>
        <w:keepLines/>
        <w:pageBreakBefore w:val="0"/>
        <w:widowControl w:val="0"/>
        <w:numPr>
          <w:ilvl w:val="1"/>
          <w:numId w:val="8"/>
        </w:numPr>
        <w:kinsoku/>
        <w:wordWrap/>
        <w:overflowPunct/>
        <w:topLinePunct w:val="0"/>
        <w:autoSpaceDE/>
        <w:autoSpaceDN/>
        <w:bidi w:val="0"/>
        <w:adjustRightInd/>
        <w:snapToGrid/>
        <w:spacing w:before="110" w:beforeLines="35" w:after="110" w:afterLines="35" w:line="360" w:lineRule="auto"/>
        <w:ind w:firstLine="403" w:firstLineChars="0"/>
        <w:jc w:val="left"/>
        <w:textAlignment w:val="auto"/>
        <w:rPr>
          <w:rFonts w:hint="eastAsia" w:ascii="仿宋" w:hAnsi="仿宋" w:eastAsia="仿宋" w:cs="仿宋"/>
          <w:color w:val="auto"/>
          <w:sz w:val="28"/>
          <w:szCs w:val="28"/>
          <w:lang w:val="en-US" w:eastAsia="zh-CN"/>
        </w:rPr>
      </w:pPr>
      <w:bookmarkStart w:id="41" w:name="_Toc27132"/>
      <w:bookmarkStart w:id="42" w:name="_Toc10778"/>
      <w:bookmarkStart w:id="43" w:name="_Toc622"/>
      <w:r>
        <w:rPr>
          <w:rFonts w:hint="eastAsia" w:ascii="仿宋" w:hAnsi="仿宋" w:eastAsia="仿宋" w:cs="仿宋"/>
          <w:color w:val="auto"/>
          <w:sz w:val="28"/>
          <w:szCs w:val="28"/>
          <w:lang w:val="en-US" w:eastAsia="zh-CN"/>
        </w:rPr>
        <w:t>服务要求</w:t>
      </w:r>
      <w:bookmarkEnd w:id="41"/>
      <w:bookmarkEnd w:id="42"/>
      <w:bookmarkEnd w:id="43"/>
    </w:p>
    <w:p w14:paraId="72F3CB0A">
      <w:pPr>
        <w:pStyle w:val="48"/>
        <w:keepNext w:val="0"/>
        <w:keepLines w:val="0"/>
        <w:pageBreakBefore w:val="0"/>
        <w:numPr>
          <w:ilvl w:val="0"/>
          <w:numId w:val="11"/>
        </w:numPr>
        <w:kinsoku/>
        <w:wordWrap/>
        <w:overflowPunct/>
        <w:topLinePunct w:val="0"/>
        <w:autoSpaceDE/>
        <w:autoSpaceDN/>
        <w:bidi w:val="0"/>
        <w:adjustRightInd/>
        <w:snapToGrid/>
        <w:spacing w:line="360" w:lineRule="auto"/>
        <w:ind w:left="840" w:leftChars="0" w:hanging="420" w:firstLineChars="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服务原则：</w:t>
      </w:r>
      <w:r>
        <w:rPr>
          <w:rFonts w:hint="eastAsia" w:ascii="仿宋" w:hAnsi="仿宋" w:eastAsia="仿宋" w:cs="仿宋"/>
          <w:color w:val="auto"/>
          <w:sz w:val="24"/>
          <w:szCs w:val="24"/>
        </w:rPr>
        <w:t>确保饮食安全、配送及时、保障供给。</w:t>
      </w:r>
    </w:p>
    <w:p w14:paraId="3EDA9021">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保障医院患者及家属、职工用餐、送餐、体检用餐、手术用餐等服务是本次招标考核投标人的关键指标之一，投标人应在投标文件中列出如何为医院临床一线服务的理念、具体做法、保障措施等，以便招标时进行选择。</w:t>
      </w:r>
    </w:p>
    <w:p w14:paraId="3C43B69C">
      <w:pPr>
        <w:pStyle w:val="48"/>
        <w:keepNext w:val="0"/>
        <w:keepLines w:val="0"/>
        <w:pageBreakBefore w:val="0"/>
        <w:numPr>
          <w:ilvl w:val="0"/>
          <w:numId w:val="11"/>
        </w:numPr>
        <w:kinsoku/>
        <w:wordWrap/>
        <w:overflowPunct/>
        <w:topLinePunct w:val="0"/>
        <w:autoSpaceDE/>
        <w:autoSpaceDN/>
        <w:bidi w:val="0"/>
        <w:adjustRightInd/>
        <w:snapToGrid/>
        <w:spacing w:line="360" w:lineRule="auto"/>
        <w:ind w:left="840" w:leftChars="0" w:hanging="42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工作要求</w:t>
      </w:r>
    </w:p>
    <w:p w14:paraId="791976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2.1</w:t>
      </w:r>
      <w:r>
        <w:rPr>
          <w:rFonts w:hint="eastAsia" w:ascii="仿宋" w:hAnsi="仿宋" w:eastAsia="仿宋" w:cs="仿宋"/>
          <w:color w:val="auto"/>
          <w:kern w:val="2"/>
          <w:sz w:val="24"/>
          <w:szCs w:val="24"/>
          <w:lang w:val="en-US" w:eastAsia="zh-CN" w:bidi="ar-SA"/>
        </w:rPr>
        <w:t>严格遵守《中华人民共和国食品安全法》、《中华人民共和国食品安全实施条例》等相关法律法规，遵守《医院膳食服务管理规范》《餐饮服务食品安全操作规范》《食品安全国家标准 餐饮服务通用卫生规范》《餐饮业和集体送餐配送单位卫生规范》、《餐饮消毒技术规范》、《医院感染管理规范》管理要求，完成医院对食堂管理的各项指标和要求，经营花色品种齐全、价格合理、制度规范并有效执行。中标人须按法规、规范要求接受市场监督、税务、卫生、环保等执法部门的检查、监督、指导，因违规经营处罚或现场问题整改所产生的一切费用和责任均由投标方自行承担。</w:t>
      </w:r>
    </w:p>
    <w:p w14:paraId="7B0A35C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2.2经营者保证全年无间断提供就餐（含所有国家法定节假日）。</w:t>
      </w:r>
    </w:p>
    <w:p w14:paraId="4C0BF3F5">
      <w:pPr>
        <w:pStyle w:val="48"/>
        <w:keepNext w:val="0"/>
        <w:keepLines w:val="0"/>
        <w:pageBreakBefore w:val="0"/>
        <w:numPr>
          <w:ilvl w:val="0"/>
          <w:numId w:val="11"/>
        </w:numPr>
        <w:kinsoku/>
        <w:wordWrap/>
        <w:overflowPunct/>
        <w:topLinePunct w:val="0"/>
        <w:autoSpaceDE/>
        <w:autoSpaceDN/>
        <w:bidi w:val="0"/>
        <w:adjustRightInd/>
        <w:snapToGrid/>
        <w:spacing w:line="360" w:lineRule="auto"/>
        <w:ind w:left="840" w:leftChars="0" w:hanging="42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供餐标准</w:t>
      </w:r>
    </w:p>
    <w:p w14:paraId="790534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早餐各类膳食品种不少于12种，粗细搭配、营养均衡，午餐、晚餐主菜、副菜品种不少于15种（其中荤菜不少于5 种，半荤菜不少于 5 种，时令蔬菜不少于5种，需提供免费汤品）。每周提前公示菜单，每周更换品种不少于50%。为满足不同消费层的需求，提供各种小炒供选择。快餐菜类、小炒价格明码标价，职工盛菜区按“碟”为单位计价。</w:t>
      </w:r>
    </w:p>
    <w:p w14:paraId="2216371A">
      <w:pPr>
        <w:pStyle w:val="48"/>
        <w:keepNext w:val="0"/>
        <w:keepLines w:val="0"/>
        <w:pageBreakBefore w:val="0"/>
        <w:numPr>
          <w:ilvl w:val="0"/>
          <w:numId w:val="11"/>
        </w:numPr>
        <w:kinsoku/>
        <w:wordWrap/>
        <w:overflowPunct/>
        <w:topLinePunct w:val="0"/>
        <w:autoSpaceDE/>
        <w:autoSpaceDN/>
        <w:bidi w:val="0"/>
        <w:adjustRightInd/>
        <w:snapToGrid/>
        <w:spacing w:line="360" w:lineRule="auto"/>
        <w:ind w:left="840" w:leftChars="0" w:hanging="420" w:firstLineChars="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特需服务</w:t>
      </w:r>
    </w:p>
    <w:p w14:paraId="347763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为满足病员个性化服务需求，中标人须有提供治疗及营养膳食、订送餐服务的能力，做到服务规范、流程合理。根据体检中心及血透中心等科室实际需求，对体检中心早餐及血透中心配餐提供送餐服务。实行多种订送餐服务模式（APP扫码、固定电话、微信群等），实现定时定量定点送餐。如为病人（家属）提供加工业务，可适当收取加工服务费。</w:t>
      </w:r>
    </w:p>
    <w:p w14:paraId="2A3AFF74">
      <w:pPr>
        <w:pStyle w:val="48"/>
        <w:keepNext w:val="0"/>
        <w:keepLines w:val="0"/>
        <w:pageBreakBefore w:val="0"/>
        <w:numPr>
          <w:ilvl w:val="0"/>
          <w:numId w:val="11"/>
        </w:numPr>
        <w:kinsoku/>
        <w:wordWrap/>
        <w:overflowPunct/>
        <w:topLinePunct w:val="0"/>
        <w:autoSpaceDE/>
        <w:autoSpaceDN/>
        <w:bidi w:val="0"/>
        <w:adjustRightInd/>
        <w:snapToGrid/>
        <w:spacing w:line="360" w:lineRule="auto"/>
        <w:ind w:left="840" w:leftChars="0" w:hanging="42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价格标准</w:t>
      </w:r>
    </w:p>
    <w:p w14:paraId="251D13C3">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为保障职工、病人及家属利益，食堂饭菜价格以不高于市场价格；粮油、牛奶、饮料等其他副食品价格以不高于本县大型超市（如世纪联华超市、万客缘超市）零售价为经营准则，具体标准由经营者与医院共同制定。饭菜质量、数量及价格，医院有监督权利。</w:t>
      </w:r>
    </w:p>
    <w:p w14:paraId="44E9C1EB">
      <w:pPr>
        <w:pStyle w:val="48"/>
        <w:keepNext w:val="0"/>
        <w:keepLines w:val="0"/>
        <w:pageBreakBefore w:val="0"/>
        <w:numPr>
          <w:ilvl w:val="0"/>
          <w:numId w:val="11"/>
        </w:numPr>
        <w:kinsoku/>
        <w:wordWrap/>
        <w:overflowPunct/>
        <w:topLinePunct w:val="0"/>
        <w:autoSpaceDE/>
        <w:autoSpaceDN/>
        <w:bidi w:val="0"/>
        <w:adjustRightInd/>
        <w:snapToGrid/>
        <w:spacing w:line="360" w:lineRule="auto"/>
        <w:ind w:left="840" w:leftChars="0" w:hanging="42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质量保证</w:t>
      </w:r>
    </w:p>
    <w:p w14:paraId="11461600">
      <w:pPr>
        <w:pStyle w:val="22"/>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饭菜质量好、色香味俱佳、花色品种全。生熟食分类加工、存放，严禁经营腐烂变质食品，原材料进货渠道正规，供应商证件齐全，大米符合新国标并达一级品质、食用油加工原料为非转基因质量等级一级。</w:t>
      </w:r>
    </w:p>
    <w:p w14:paraId="48263A7E">
      <w:pPr>
        <w:pStyle w:val="5"/>
        <w:keepNext/>
        <w:keepLines/>
        <w:pageBreakBefore w:val="0"/>
        <w:widowControl w:val="0"/>
        <w:numPr>
          <w:ilvl w:val="1"/>
          <w:numId w:val="8"/>
        </w:numPr>
        <w:kinsoku/>
        <w:wordWrap/>
        <w:overflowPunct/>
        <w:topLinePunct w:val="0"/>
        <w:autoSpaceDE/>
        <w:autoSpaceDN/>
        <w:bidi w:val="0"/>
        <w:adjustRightInd/>
        <w:snapToGrid/>
        <w:spacing w:before="110" w:beforeLines="35" w:after="110" w:afterLines="35" w:line="360" w:lineRule="auto"/>
        <w:ind w:firstLine="403" w:firstLineChars="0"/>
        <w:jc w:val="left"/>
        <w:textAlignment w:val="auto"/>
        <w:rPr>
          <w:rFonts w:hint="eastAsia" w:ascii="仿宋" w:hAnsi="仿宋" w:eastAsia="仿宋" w:cs="仿宋"/>
          <w:color w:val="auto"/>
          <w:sz w:val="28"/>
          <w:szCs w:val="28"/>
          <w:lang w:val="en-US" w:eastAsia="zh-CN"/>
        </w:rPr>
      </w:pPr>
      <w:bookmarkStart w:id="44" w:name="_Toc8190"/>
      <w:bookmarkStart w:id="45" w:name="_Toc9664"/>
      <w:bookmarkStart w:id="46" w:name="_Toc22582"/>
      <w:r>
        <w:rPr>
          <w:rFonts w:hint="eastAsia" w:ascii="仿宋" w:hAnsi="仿宋" w:eastAsia="仿宋" w:cs="仿宋"/>
          <w:color w:val="auto"/>
          <w:sz w:val="28"/>
          <w:szCs w:val="28"/>
          <w:lang w:val="en-US" w:eastAsia="zh-CN"/>
        </w:rPr>
        <w:t>管理要求</w:t>
      </w:r>
    </w:p>
    <w:p w14:paraId="3F86DEBF">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中标人应严格落实食堂承包区域内水、电、燃气等附属设施的自查自检自修（含水电燃气系统设备每周巡查维护维修、油烟管道定期清洗、设施维修等），有隐患及时排除，并留存相关记录备查。区域内地面保持干净整洁无油污（含区域楼道），如因中标人经营管理不善等原因造成食品、消防、人身伤害、被盗等安全事故，均由中标人承担一切责任和后果。</w:t>
      </w:r>
    </w:p>
    <w:p w14:paraId="3D09CE65">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明厨亮灶：中标人应接受医院对其食品加工环节进行监控。在菜品的验收、食品加工、餐具消毒等环节，安装高清视频联网监控装置及配套设备，以便医院对材料加工、厨具使用、卫生行为等全程进行监督。监控资料按规定保存期限为30天。</w:t>
      </w:r>
    </w:p>
    <w:p w14:paraId="2DAC94BC">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中标人应严格执行垃圾分类、泔水处理的政策性规定，承担油污管道油污池、格栅池清理疏通等工作，所产生的费用由中标人自行承担。</w:t>
      </w:r>
    </w:p>
    <w:p w14:paraId="39D8081F">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本食堂的《食品经营许可证》由中标人办理；中标人不得将食堂私自转让或委托他人经营，更不能利用采购人资产搞不法经营。</w:t>
      </w:r>
    </w:p>
    <w:p w14:paraId="1D7ABC31">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中标人负责对食堂员工进行管理、教育、培训，员工须经过基本消防知识、急救技术、突发事件应急处理培训，合格者方能上岗。 </w:t>
      </w:r>
    </w:p>
    <w:p w14:paraId="16BEFEE9">
      <w:pPr>
        <w:pStyle w:val="5"/>
        <w:keepNext/>
        <w:keepLines/>
        <w:pageBreakBefore w:val="0"/>
        <w:widowControl w:val="0"/>
        <w:numPr>
          <w:ilvl w:val="1"/>
          <w:numId w:val="8"/>
        </w:numPr>
        <w:kinsoku/>
        <w:wordWrap/>
        <w:overflowPunct/>
        <w:topLinePunct w:val="0"/>
        <w:autoSpaceDE/>
        <w:autoSpaceDN/>
        <w:bidi w:val="0"/>
        <w:adjustRightInd/>
        <w:snapToGrid/>
        <w:spacing w:before="110" w:beforeLines="35" w:after="110" w:afterLines="35" w:line="360" w:lineRule="auto"/>
        <w:ind w:firstLine="403"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其他要求</w:t>
      </w:r>
      <w:bookmarkEnd w:id="44"/>
      <w:bookmarkEnd w:id="45"/>
      <w:bookmarkEnd w:id="46"/>
    </w:p>
    <w:p w14:paraId="53385E8B">
      <w:pPr>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水电费：</w:t>
      </w:r>
      <w:r>
        <w:rPr>
          <w:rFonts w:hint="eastAsia" w:ascii="仿宋" w:hAnsi="仿宋" w:eastAsia="仿宋" w:cs="仿宋"/>
          <w:color w:val="auto"/>
          <w:kern w:val="2"/>
          <w:sz w:val="24"/>
          <w:szCs w:val="24"/>
          <w:highlight w:val="none"/>
          <w:lang w:val="en-US" w:eastAsia="zh-CN" w:bidi="ar-SA"/>
        </w:rPr>
        <w:t>每季度结算。</w:t>
      </w:r>
    </w:p>
    <w:p w14:paraId="21995BF0">
      <w:pPr>
        <w:keepNext w:val="0"/>
        <w:keepLines w:val="0"/>
        <w:pageBreakBefore w:val="0"/>
        <w:numPr>
          <w:ilvl w:val="0"/>
          <w:numId w:val="13"/>
        </w:numPr>
        <w:tabs>
          <w:tab w:val="left" w:pos="312"/>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SA"/>
        </w:rPr>
        <w:t>中标人对职工食堂的营业收入每月一结，开票税费由中标人自行承担</w:t>
      </w:r>
      <w:r>
        <w:rPr>
          <w:rFonts w:hint="eastAsia" w:ascii="仿宋" w:hAnsi="仿宋" w:eastAsia="仿宋" w:cs="仿宋"/>
          <w:color w:val="auto"/>
          <w:kern w:val="2"/>
          <w:sz w:val="24"/>
          <w:szCs w:val="24"/>
        </w:rPr>
        <w:t>。</w:t>
      </w:r>
    </w:p>
    <w:p w14:paraId="47F0F8BD">
      <w:pPr>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粮油、牛奶、饮料等其他副食品品种、品牌、价格，中标人需与医院共同协议确定。</w:t>
      </w:r>
    </w:p>
    <w:p w14:paraId="2A54A186">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职工餐卡系统由采购人提供，并进行管理及费用结算。中标人应支持采购人信息系统点餐结算，若因平台使用、故障维修、更换等产生的费用，均由中标人承担。</w:t>
      </w:r>
    </w:p>
    <w:p w14:paraId="67D7AA5B">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承包承诺：①经营区域交由中标人使用，建筑及附属设施为采购人所有，合同期内采购人不再增加资金投入用于改造和维修设备设施。中标人须对接现场布局、流程，根据现场实际情况进行个性化装饰，可改变现场布局不可改变结构，中标人根据食堂运行需求自行采购所需的厨具、餐具等材料、物资和设施设备，要求进货渠道正规，供应商证件齐全。②中标者不得将食堂私自转让或委托他人经营，更不能利用医院资产进行非法经营，一经发现，院方有权取消其承包资格，并给予相应处罚直至追究其法律责任；③承包到期后,若无安全事故及其他违约行为，于两周内全部清空浮产（桌、椅、灶具等），不破坏墙、地面等固定装修，经双方确认后退还履约保证金；若发生安全事故及违约行为，则在保证金中酌情或全部扣除。</w:t>
      </w:r>
    </w:p>
    <w:p w14:paraId="749D4573">
      <w:pPr>
        <w:pStyle w:val="5"/>
        <w:keepNext/>
        <w:keepLines/>
        <w:pageBreakBefore w:val="0"/>
        <w:widowControl w:val="0"/>
        <w:numPr>
          <w:ilvl w:val="1"/>
          <w:numId w:val="8"/>
        </w:numPr>
        <w:kinsoku/>
        <w:wordWrap/>
        <w:overflowPunct/>
        <w:topLinePunct w:val="0"/>
        <w:autoSpaceDE/>
        <w:autoSpaceDN/>
        <w:bidi w:val="0"/>
        <w:adjustRightInd/>
        <w:snapToGrid/>
        <w:spacing w:before="110" w:beforeLines="35" w:after="110" w:afterLines="35" w:line="360" w:lineRule="auto"/>
        <w:ind w:firstLine="403" w:firstLineChars="0"/>
        <w:jc w:val="left"/>
        <w:textAlignment w:val="auto"/>
        <w:rPr>
          <w:rFonts w:hint="eastAsia" w:ascii="仿宋" w:hAnsi="仿宋" w:eastAsia="仿宋" w:cs="仿宋"/>
          <w:color w:val="auto"/>
          <w:sz w:val="28"/>
          <w:szCs w:val="28"/>
          <w:lang w:val="en-US" w:eastAsia="zh-CN"/>
        </w:rPr>
      </w:pPr>
      <w:bookmarkStart w:id="47" w:name="_Toc6546"/>
      <w:bookmarkStart w:id="48" w:name="_Toc20333"/>
      <w:bookmarkStart w:id="49" w:name="_Toc19833"/>
      <w:r>
        <w:rPr>
          <w:rFonts w:hint="eastAsia" w:ascii="仿宋" w:hAnsi="仿宋" w:eastAsia="仿宋" w:cs="仿宋"/>
          <w:color w:val="auto"/>
          <w:sz w:val="28"/>
          <w:szCs w:val="28"/>
          <w:lang w:val="en-US" w:eastAsia="zh-CN"/>
        </w:rPr>
        <w:t>中标人责任</w:t>
      </w:r>
      <w:bookmarkEnd w:id="47"/>
      <w:bookmarkEnd w:id="48"/>
      <w:bookmarkEnd w:id="49"/>
    </w:p>
    <w:p w14:paraId="736EE0C0">
      <w:pPr>
        <w:pStyle w:val="3"/>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在遵守国家的各种法律、法规、政策和医院的规章制度的前提下自主经营，并承担一切法律责任。</w:t>
      </w:r>
    </w:p>
    <w:p w14:paraId="5F5D3C73">
      <w:pPr>
        <w:pStyle w:val="3"/>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食堂要搞好卫生，做好餐具消毒记录，应达到医院及餐饮监督部门规定的要求。医院膳食质量与安全管理小组每月对食堂进行考核，不定期抽查，考核方案详见附件《遂昌县人民医院食堂日常管理量化考核表》。</w:t>
      </w:r>
    </w:p>
    <w:p w14:paraId="7B6F3C3A">
      <w:pPr>
        <w:pStyle w:val="3"/>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食品商品采购实行索证制度，并做好台账资料，填写项目完整规范，以备有关部门检查。所采购的食品均应确保食品质量安全，符合卫生要求，不得出售“三无”食品及变质食品，不准供应隔夜饭菜食物，做好食品的保鲜工作及留样备查。若因中标人提供不符合卫生要求的饭菜，造成医院员工、住院病人、陪客食物中毒，则中标人必须承担全部的法律和经济责任，医院有权解除合同，并赔偿医院的经济损失。</w:t>
      </w:r>
    </w:p>
    <w:p w14:paraId="2BF9229B">
      <w:pPr>
        <w:pStyle w:val="3"/>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中标人承包期间应做好所聘用工作人员的安全、卫生观念、服务理念等思想教育，规范操作，职工上班期间应穿工作服、戴工作帽。工作人员发生任何意外事故由中标人自行负责。聘用人员应身体健康，具有有效《健康证》和完全民事行为和能力。聘用人员的工资福利待遇由中标人支付，与医院无关。</w:t>
      </w:r>
    </w:p>
    <w:p w14:paraId="62C4367A">
      <w:pPr>
        <w:pStyle w:val="3"/>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kern w:val="2"/>
          <w:sz w:val="24"/>
          <w:szCs w:val="24"/>
          <w:lang w:val="en-US" w:eastAsia="zh-CN" w:bidi="ar-SA"/>
        </w:rPr>
        <w:t>食堂用电、用水、防火等安全工作要求按规定执行，若有意外，中标人承担全部责任。</w:t>
      </w:r>
      <w:bookmarkStart w:id="50" w:name="_Toc12504"/>
      <w:bookmarkStart w:id="51" w:name="_Toc8119"/>
      <w:bookmarkStart w:id="52" w:name="_Toc28534"/>
    </w:p>
    <w:p w14:paraId="47641A34">
      <w:pPr>
        <w:pStyle w:val="5"/>
        <w:keepNext/>
        <w:keepLines/>
        <w:pageBreakBefore w:val="0"/>
        <w:widowControl w:val="0"/>
        <w:numPr>
          <w:ilvl w:val="1"/>
          <w:numId w:val="8"/>
        </w:numPr>
        <w:kinsoku/>
        <w:wordWrap/>
        <w:overflowPunct/>
        <w:topLinePunct w:val="0"/>
        <w:autoSpaceDE/>
        <w:autoSpaceDN/>
        <w:bidi w:val="0"/>
        <w:adjustRightInd/>
        <w:snapToGrid/>
        <w:spacing w:before="110" w:beforeLines="35" w:after="110" w:afterLines="35" w:line="360" w:lineRule="auto"/>
        <w:ind w:firstLine="403" w:firstLine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履约保证金</w:t>
      </w:r>
      <w:bookmarkEnd w:id="50"/>
      <w:bookmarkEnd w:id="51"/>
      <w:bookmarkEnd w:id="52"/>
    </w:p>
    <w:p w14:paraId="4D50FE52">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合同签订前，中标人应缴纳履约保证金壹拾万元整</w:t>
      </w:r>
      <w:r>
        <w:rPr>
          <w:rFonts w:hint="eastAsia" w:ascii="仿宋" w:hAnsi="仿宋" w:eastAsia="仿宋" w:cs="仿宋"/>
          <w:b w:val="0"/>
          <w:bCs/>
          <w:color w:val="auto"/>
          <w:sz w:val="24"/>
          <w:szCs w:val="24"/>
          <w:u w:val="none"/>
          <w:lang w:val="en-US" w:eastAsia="zh-CN"/>
        </w:rPr>
        <w:t>（¥100,000.00）</w:t>
      </w:r>
      <w:r>
        <w:rPr>
          <w:rFonts w:hint="eastAsia" w:ascii="仿宋" w:hAnsi="仿宋" w:eastAsia="仿宋" w:cs="仿宋"/>
          <w:color w:val="auto"/>
          <w:kern w:val="2"/>
          <w:sz w:val="24"/>
          <w:szCs w:val="24"/>
          <w:lang w:val="en-US" w:eastAsia="zh-CN" w:bidi="ar-SA"/>
        </w:rPr>
        <w:t>至采购人指定账户；履约保证金在承包期满，中标人清空及点清浮产（桌、椅、灶具等）、交还房屋及设施等并确认未破坏房屋主体结构、结清水电等费用、无安全事故及其他违约行为的，院方确认后10个工作日内无息退还。</w:t>
      </w:r>
    </w:p>
    <w:p w14:paraId="21611A5E">
      <w:pPr>
        <w:pStyle w:val="5"/>
        <w:keepNext/>
        <w:keepLines/>
        <w:pageBreakBefore w:val="0"/>
        <w:widowControl w:val="0"/>
        <w:numPr>
          <w:ilvl w:val="1"/>
          <w:numId w:val="8"/>
        </w:numPr>
        <w:kinsoku/>
        <w:wordWrap/>
        <w:overflowPunct/>
        <w:topLinePunct w:val="0"/>
        <w:autoSpaceDE/>
        <w:autoSpaceDN/>
        <w:bidi w:val="0"/>
        <w:adjustRightInd/>
        <w:snapToGrid/>
        <w:spacing w:before="110" w:beforeLines="35" w:after="110" w:afterLines="35" w:line="360" w:lineRule="auto"/>
        <w:ind w:firstLine="403" w:firstLineChars="0"/>
        <w:jc w:val="left"/>
        <w:textAlignment w:val="auto"/>
        <w:rPr>
          <w:rFonts w:hint="eastAsia" w:ascii="仿宋" w:hAnsi="仿宋" w:eastAsia="仿宋" w:cs="仿宋"/>
          <w:color w:val="auto"/>
          <w:sz w:val="28"/>
          <w:szCs w:val="28"/>
          <w:lang w:val="en-US" w:eastAsia="zh-CN"/>
        </w:rPr>
      </w:pPr>
      <w:bookmarkStart w:id="53" w:name="_Toc11944"/>
      <w:bookmarkStart w:id="54" w:name="_Toc32097"/>
      <w:bookmarkStart w:id="55" w:name="_Toc8027"/>
      <w:r>
        <w:rPr>
          <w:rFonts w:hint="eastAsia" w:ascii="仿宋" w:hAnsi="仿宋" w:eastAsia="仿宋" w:cs="仿宋"/>
          <w:color w:val="auto"/>
          <w:sz w:val="28"/>
          <w:szCs w:val="28"/>
          <w:lang w:val="en-US" w:eastAsia="zh-CN"/>
        </w:rPr>
        <w:t>补充说明</w:t>
      </w:r>
      <w:bookmarkEnd w:id="53"/>
      <w:bookmarkEnd w:id="54"/>
    </w:p>
    <w:p w14:paraId="2CB26499">
      <w:pPr>
        <w:pStyle w:val="3"/>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2"/>
          <w:sz w:val="24"/>
          <w:szCs w:val="24"/>
          <w:lang w:val="en-US" w:eastAsia="zh-CN" w:bidi="ar-SA"/>
        </w:rPr>
      </w:pPr>
      <w:bookmarkStart w:id="56" w:name="_Toc31203"/>
      <w:bookmarkStart w:id="57" w:name="_Toc10558"/>
      <w:r>
        <w:rPr>
          <w:rFonts w:hint="eastAsia" w:ascii="仿宋" w:hAnsi="仿宋" w:eastAsia="仿宋" w:cs="仿宋"/>
          <w:color w:val="auto"/>
          <w:kern w:val="2"/>
          <w:sz w:val="24"/>
          <w:szCs w:val="24"/>
          <w:lang w:val="en-US" w:eastAsia="zh-CN" w:bidi="ar-SA"/>
        </w:rPr>
        <w:t>有下列情况之一者，医院有权终止中标人承包经营权，没收中标人所交纳的履约保证金和未到期的经营</w:t>
      </w:r>
      <w:bookmarkEnd w:id="55"/>
      <w:r>
        <w:rPr>
          <w:rFonts w:hint="eastAsia" w:ascii="仿宋" w:hAnsi="仿宋" w:eastAsia="仿宋" w:cs="仿宋"/>
          <w:color w:val="auto"/>
          <w:kern w:val="2"/>
          <w:sz w:val="24"/>
          <w:szCs w:val="24"/>
          <w:lang w:val="en-US" w:eastAsia="zh-CN" w:bidi="ar-SA"/>
        </w:rPr>
        <w:t>承包金额：</w:t>
      </w:r>
      <w:bookmarkEnd w:id="56"/>
      <w:bookmarkEnd w:id="57"/>
    </w:p>
    <w:p w14:paraId="555CA659">
      <w:pPr>
        <w:pStyle w:val="3"/>
        <w:keepNext w:val="0"/>
        <w:keepLines w:val="0"/>
        <w:pageBreakBefore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经营期内中途转包；</w:t>
      </w:r>
    </w:p>
    <w:p w14:paraId="58A71BAF">
      <w:pPr>
        <w:pStyle w:val="3"/>
        <w:keepNext w:val="0"/>
        <w:keepLines w:val="0"/>
        <w:pageBreakBefore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中标人单方面突然终止合同；</w:t>
      </w:r>
    </w:p>
    <w:p w14:paraId="1FAF0039">
      <w:pPr>
        <w:pStyle w:val="3"/>
        <w:keepNext w:val="0"/>
        <w:keepLines w:val="0"/>
        <w:pageBreakBefore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中标人因经营不善或暴利而使广大员工反响很大，经医院干预无效，从而影响正常工作的；</w:t>
      </w:r>
    </w:p>
    <w:p w14:paraId="31E993B6">
      <w:pPr>
        <w:pStyle w:val="3"/>
        <w:keepNext w:val="0"/>
        <w:keepLines w:val="0"/>
        <w:pageBreakBefore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中标人经常违规操作，又不及时纠正，被上级部门勒令停业整顿的；</w:t>
      </w:r>
    </w:p>
    <w:p w14:paraId="6B3426AB">
      <w:pPr>
        <w:pStyle w:val="3"/>
        <w:keepNext w:val="0"/>
        <w:keepLines w:val="0"/>
        <w:pageBreakBefore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发生责任安全事故的；</w:t>
      </w:r>
    </w:p>
    <w:p w14:paraId="549CD985">
      <w:pPr>
        <w:pStyle w:val="3"/>
        <w:keepNext w:val="0"/>
        <w:keepLines w:val="0"/>
        <w:pageBreakBefore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2"/>
          <w:sz w:val="24"/>
          <w:szCs w:val="24"/>
          <w:lang w:val="en-US" w:eastAsia="zh-CN" w:bidi="ar-SA"/>
        </w:rPr>
        <w:t>出现《遂昌县人民医院食堂日常管理量化考核表》提到的情况。</w:t>
      </w:r>
    </w:p>
    <w:p w14:paraId="7E501669">
      <w:pPr>
        <w:pStyle w:val="5"/>
        <w:keepNext/>
        <w:keepLines/>
        <w:pageBreakBefore w:val="0"/>
        <w:widowControl w:val="0"/>
        <w:numPr>
          <w:ilvl w:val="1"/>
          <w:numId w:val="8"/>
        </w:numPr>
        <w:kinsoku/>
        <w:wordWrap/>
        <w:overflowPunct/>
        <w:topLinePunct w:val="0"/>
        <w:autoSpaceDE/>
        <w:autoSpaceDN/>
        <w:bidi w:val="0"/>
        <w:adjustRightInd/>
        <w:snapToGrid/>
        <w:spacing w:before="110" w:beforeLines="35" w:after="110" w:afterLines="35" w:line="360" w:lineRule="auto"/>
        <w:ind w:firstLine="403" w:firstLineChars="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现场踏勘</w:t>
      </w:r>
    </w:p>
    <w:p w14:paraId="2972BDCC">
      <w:pPr>
        <w:pStyle w:val="7"/>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请各投标人在投标之前自行前往</w:t>
      </w:r>
      <w:r>
        <w:rPr>
          <w:rFonts w:hint="eastAsia" w:ascii="仿宋" w:hAnsi="仿宋" w:eastAsia="仿宋" w:cs="仿宋"/>
          <w:color w:val="auto"/>
          <w:sz w:val="24"/>
          <w:szCs w:val="24"/>
          <w:lang w:val="en-US" w:eastAsia="zh-CN"/>
        </w:rPr>
        <w:t>新院区</w:t>
      </w:r>
      <w:r>
        <w:rPr>
          <w:rFonts w:hint="default" w:ascii="仿宋" w:hAnsi="仿宋" w:eastAsia="仿宋" w:cs="仿宋"/>
          <w:color w:val="auto"/>
          <w:sz w:val="24"/>
          <w:szCs w:val="24"/>
          <w:lang w:val="en-US" w:eastAsia="zh-CN"/>
        </w:rPr>
        <w:t>进行实地踏勘，详细了解项目基本情况(包括</w:t>
      </w:r>
      <w:r>
        <w:rPr>
          <w:rFonts w:hint="eastAsia" w:ascii="仿宋" w:hAnsi="仿宋" w:eastAsia="仿宋" w:cs="仿宋"/>
          <w:color w:val="auto"/>
          <w:sz w:val="24"/>
          <w:szCs w:val="24"/>
          <w:lang w:val="en-US" w:eastAsia="zh-CN"/>
        </w:rPr>
        <w:t>地理位置、场地情况</w:t>
      </w:r>
      <w:r>
        <w:rPr>
          <w:rFonts w:hint="default" w:ascii="仿宋" w:hAnsi="仿宋" w:eastAsia="仿宋" w:cs="仿宋"/>
          <w:color w:val="auto"/>
          <w:sz w:val="24"/>
          <w:szCs w:val="24"/>
          <w:lang w:val="en-US" w:eastAsia="zh-CN"/>
        </w:rPr>
        <w:t>等)。投标人应自行对此次踏勘现场过程中发生的人身伤亡、财产损失、踏勘费用等承担责任。采购人对投标人因踏勘现场造成的损失与费用均不承担任何责任。联系人:</w:t>
      </w:r>
      <w:r>
        <w:rPr>
          <w:rFonts w:hint="eastAsia" w:ascii="仿宋" w:hAnsi="仿宋" w:eastAsia="仿宋" w:cs="仿宋"/>
          <w:color w:val="auto"/>
          <w:sz w:val="24"/>
          <w:szCs w:val="24"/>
          <w:lang w:val="en-US" w:eastAsia="zh-CN"/>
        </w:rPr>
        <w:t>杨老师</w:t>
      </w:r>
      <w:r>
        <w:rPr>
          <w:rFonts w:hint="default" w:ascii="仿宋" w:hAnsi="仿宋" w:eastAsia="仿宋" w:cs="仿宋"/>
          <w:color w:val="auto"/>
          <w:sz w:val="24"/>
          <w:szCs w:val="24"/>
          <w:lang w:val="en-US" w:eastAsia="zh-CN"/>
        </w:rPr>
        <w:t>，联系电话:</w:t>
      </w:r>
      <w:r>
        <w:rPr>
          <w:rFonts w:hint="eastAsia" w:ascii="仿宋" w:hAnsi="仿宋" w:eastAsia="仿宋" w:cs="仿宋"/>
          <w:bCs/>
          <w:color w:val="auto"/>
          <w:sz w:val="24"/>
          <w:szCs w:val="24"/>
        </w:rPr>
        <w:t>17826932703</w:t>
      </w:r>
      <w:r>
        <w:rPr>
          <w:rFonts w:hint="eastAsia" w:ascii="仿宋" w:hAnsi="仿宋" w:eastAsia="仿宋" w:cs="仿宋"/>
          <w:color w:val="auto"/>
          <w:sz w:val="24"/>
          <w:szCs w:val="24"/>
          <w:lang w:val="en-US" w:eastAsia="zh-CN"/>
        </w:rPr>
        <w:t>。</w:t>
      </w:r>
    </w:p>
    <w:p w14:paraId="40C92C02">
      <w:pPr>
        <w:rPr>
          <w:rFonts w:hint="default"/>
          <w:lang w:val="en-US" w:eastAsia="zh-CN"/>
        </w:rPr>
      </w:pPr>
    </w:p>
    <w:p w14:paraId="2CC820F0">
      <w:pPr>
        <w:pStyle w:val="2"/>
        <w:rPr>
          <w:rFonts w:hint="default"/>
          <w:lang w:val="en-US" w:eastAsia="zh-CN"/>
        </w:rPr>
      </w:pPr>
    </w:p>
    <w:p w14:paraId="12F8506E">
      <w:pPr>
        <w:rPr>
          <w:rFonts w:hint="default"/>
          <w:lang w:val="en-US" w:eastAsia="zh-CN"/>
        </w:rPr>
      </w:pPr>
    </w:p>
    <w:p w14:paraId="5ED5F0D0">
      <w:pPr>
        <w:pStyle w:val="2"/>
        <w:rPr>
          <w:rFonts w:hint="default"/>
          <w:lang w:val="en-US" w:eastAsia="zh-CN"/>
        </w:rPr>
      </w:pPr>
    </w:p>
    <w:p w14:paraId="168AF44D">
      <w:pPr>
        <w:rPr>
          <w:rFonts w:hint="default"/>
          <w:lang w:val="en-US" w:eastAsia="zh-CN"/>
        </w:rPr>
      </w:pPr>
    </w:p>
    <w:p w14:paraId="390E61A6">
      <w:pPr>
        <w:pStyle w:val="2"/>
        <w:rPr>
          <w:rFonts w:hint="default"/>
          <w:lang w:val="en-US" w:eastAsia="zh-CN"/>
        </w:rPr>
      </w:pPr>
    </w:p>
    <w:p w14:paraId="3C8A6AF1">
      <w:pPr>
        <w:rPr>
          <w:rFonts w:hint="default"/>
          <w:lang w:val="en-US" w:eastAsia="zh-CN"/>
        </w:rPr>
      </w:pPr>
    </w:p>
    <w:p w14:paraId="675A9DDB">
      <w:pPr>
        <w:pStyle w:val="2"/>
        <w:rPr>
          <w:rFonts w:hint="default"/>
          <w:lang w:val="en-US" w:eastAsia="zh-CN"/>
        </w:rPr>
      </w:pPr>
    </w:p>
    <w:p w14:paraId="1498F53B">
      <w:pPr>
        <w:rPr>
          <w:rFonts w:hint="default"/>
          <w:lang w:val="en-US" w:eastAsia="zh-CN"/>
        </w:rPr>
      </w:pPr>
    </w:p>
    <w:p w14:paraId="58C87AD6">
      <w:pPr>
        <w:pStyle w:val="2"/>
        <w:rPr>
          <w:rFonts w:hint="default"/>
          <w:lang w:val="en-US" w:eastAsia="zh-CN"/>
        </w:rPr>
      </w:pPr>
    </w:p>
    <w:p w14:paraId="15C9DBC0">
      <w:pPr>
        <w:rPr>
          <w:rFonts w:hint="default"/>
          <w:lang w:val="en-US" w:eastAsia="zh-CN"/>
        </w:rPr>
      </w:pPr>
    </w:p>
    <w:p w14:paraId="4D8554CD">
      <w:pPr>
        <w:pStyle w:val="2"/>
        <w:rPr>
          <w:rFonts w:hint="default"/>
          <w:lang w:val="en-US" w:eastAsia="zh-CN"/>
        </w:rPr>
      </w:pPr>
    </w:p>
    <w:p w14:paraId="77407E15">
      <w:pPr>
        <w:rPr>
          <w:rFonts w:hint="default"/>
          <w:lang w:val="en-US" w:eastAsia="zh-CN"/>
        </w:rPr>
      </w:pPr>
    </w:p>
    <w:p w14:paraId="5D94B94A">
      <w:pPr>
        <w:pStyle w:val="2"/>
        <w:rPr>
          <w:rFonts w:hint="default"/>
          <w:lang w:val="en-US" w:eastAsia="zh-CN"/>
        </w:rPr>
      </w:pPr>
    </w:p>
    <w:p w14:paraId="57394ED2">
      <w:pPr>
        <w:rPr>
          <w:rFonts w:hint="default"/>
          <w:lang w:val="en-US" w:eastAsia="zh-CN"/>
        </w:rPr>
      </w:pPr>
    </w:p>
    <w:p w14:paraId="4DC18F4F">
      <w:pPr>
        <w:pStyle w:val="2"/>
        <w:rPr>
          <w:rFonts w:hint="default"/>
          <w:lang w:val="en-US" w:eastAsia="zh-CN"/>
        </w:rPr>
      </w:pPr>
    </w:p>
    <w:p w14:paraId="2E222F2E">
      <w:pPr>
        <w:rPr>
          <w:rFonts w:hint="default"/>
          <w:lang w:val="en-US" w:eastAsia="zh-CN"/>
        </w:rPr>
      </w:pPr>
    </w:p>
    <w:p w14:paraId="42C066B5">
      <w:pPr>
        <w:pStyle w:val="2"/>
        <w:rPr>
          <w:rFonts w:hint="default"/>
          <w:lang w:val="en-US" w:eastAsia="zh-CN"/>
        </w:rPr>
      </w:pPr>
    </w:p>
    <w:p w14:paraId="30C0986D">
      <w:pPr>
        <w:rPr>
          <w:rFonts w:hint="default"/>
          <w:lang w:val="en-US" w:eastAsia="zh-CN"/>
        </w:rPr>
      </w:pPr>
    </w:p>
    <w:p w14:paraId="415CC12B">
      <w:pPr>
        <w:pStyle w:val="2"/>
        <w:rPr>
          <w:rFonts w:hint="default"/>
          <w:lang w:val="en-US" w:eastAsia="zh-CN"/>
        </w:rPr>
      </w:pPr>
    </w:p>
    <w:p w14:paraId="60373A78">
      <w:pPr>
        <w:rPr>
          <w:rFonts w:hint="default"/>
          <w:lang w:val="en-US" w:eastAsia="zh-CN"/>
        </w:rPr>
      </w:pPr>
    </w:p>
    <w:p w14:paraId="5E10857E">
      <w:pPr>
        <w:pStyle w:val="2"/>
        <w:rPr>
          <w:rFonts w:hint="default"/>
          <w:lang w:val="en-US" w:eastAsia="zh-CN"/>
        </w:rPr>
      </w:pPr>
    </w:p>
    <w:p w14:paraId="16DF4EA0">
      <w:pPr>
        <w:rPr>
          <w:rFonts w:hint="default"/>
          <w:lang w:val="en-US" w:eastAsia="zh-CN"/>
        </w:rPr>
      </w:pPr>
    </w:p>
    <w:p w14:paraId="05FCDB26">
      <w:pPr>
        <w:pStyle w:val="2"/>
        <w:rPr>
          <w:rFonts w:hint="default"/>
          <w:lang w:val="en-US" w:eastAsia="zh-CN"/>
        </w:rPr>
      </w:pPr>
    </w:p>
    <w:p w14:paraId="6BC1B93B">
      <w:pPr>
        <w:rPr>
          <w:rFonts w:hint="default"/>
          <w:lang w:val="en-US" w:eastAsia="zh-CN"/>
        </w:rPr>
      </w:pPr>
    </w:p>
    <w:p w14:paraId="160C5548">
      <w:pPr>
        <w:pStyle w:val="2"/>
        <w:rPr>
          <w:rFonts w:hint="default"/>
          <w:lang w:val="en-US" w:eastAsia="zh-CN"/>
        </w:rPr>
      </w:pPr>
    </w:p>
    <w:p w14:paraId="1904266D">
      <w:pPr>
        <w:rPr>
          <w:rFonts w:hint="default"/>
          <w:lang w:val="en-US" w:eastAsia="zh-CN"/>
        </w:rPr>
      </w:pPr>
    </w:p>
    <w:p w14:paraId="2F1386BB">
      <w:pPr>
        <w:pStyle w:val="2"/>
        <w:rPr>
          <w:rFonts w:hint="default"/>
          <w:lang w:val="en-US" w:eastAsia="zh-CN"/>
        </w:rPr>
      </w:pPr>
    </w:p>
    <w:p w14:paraId="570973B1">
      <w:pPr>
        <w:rPr>
          <w:rFonts w:hint="default"/>
          <w:lang w:val="en-US" w:eastAsia="zh-CN"/>
        </w:rPr>
      </w:pPr>
    </w:p>
    <w:p w14:paraId="129B841B">
      <w:pPr>
        <w:pStyle w:val="2"/>
        <w:rPr>
          <w:rFonts w:hint="default"/>
          <w:lang w:val="en-US" w:eastAsia="zh-CN"/>
        </w:rPr>
      </w:pPr>
    </w:p>
    <w:p w14:paraId="46738304">
      <w:pPr>
        <w:rPr>
          <w:rFonts w:hint="default"/>
          <w:lang w:val="en-US" w:eastAsia="zh-CN"/>
        </w:rPr>
      </w:pPr>
    </w:p>
    <w:p w14:paraId="6EE633EB">
      <w:pPr>
        <w:pStyle w:val="2"/>
        <w:rPr>
          <w:rFonts w:hint="default"/>
          <w:lang w:val="en-US" w:eastAsia="zh-CN"/>
        </w:rPr>
      </w:pPr>
    </w:p>
    <w:p w14:paraId="023BAB1F">
      <w:pPr>
        <w:rPr>
          <w:rFonts w:hint="default"/>
          <w:lang w:val="en-US" w:eastAsia="zh-CN"/>
        </w:rPr>
      </w:pPr>
    </w:p>
    <w:p w14:paraId="076336A0">
      <w:pPr>
        <w:pStyle w:val="2"/>
        <w:rPr>
          <w:rFonts w:hint="default"/>
          <w:lang w:val="en-US" w:eastAsia="zh-CN"/>
        </w:rPr>
      </w:pPr>
    </w:p>
    <w:p w14:paraId="13029D5D">
      <w:pPr>
        <w:rPr>
          <w:rFonts w:hint="default"/>
          <w:lang w:val="en-US" w:eastAsia="zh-CN"/>
        </w:rPr>
      </w:pPr>
    </w:p>
    <w:p w14:paraId="309F012E">
      <w:pPr>
        <w:pStyle w:val="2"/>
        <w:rPr>
          <w:rFonts w:hint="default"/>
          <w:lang w:val="en-US" w:eastAsia="zh-CN"/>
        </w:rPr>
      </w:pPr>
    </w:p>
    <w:p w14:paraId="729BE913">
      <w:pPr>
        <w:rPr>
          <w:rFonts w:hint="default"/>
          <w:lang w:val="en-US" w:eastAsia="zh-CN"/>
        </w:rPr>
      </w:pPr>
    </w:p>
    <w:p w14:paraId="4310F610">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附件：</w:t>
      </w:r>
    </w:p>
    <w:p w14:paraId="3AF5A27F">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遂昌县人民医院食堂日常管理量化考核表</w:t>
      </w:r>
    </w:p>
    <w:tbl>
      <w:tblPr>
        <w:tblStyle w:val="23"/>
        <w:tblpPr w:leftFromText="180" w:rightFromText="180" w:vertAnchor="text" w:horzAnchor="page" w:tblpX="1290" w:tblpY="42"/>
        <w:tblOverlap w:val="never"/>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4244"/>
        <w:gridCol w:w="2615"/>
        <w:gridCol w:w="855"/>
        <w:gridCol w:w="773"/>
      </w:tblGrid>
      <w:tr w14:paraId="4503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191" w:type="dxa"/>
            <w:noWrap w:val="0"/>
            <w:vAlign w:val="center"/>
          </w:tcPr>
          <w:p w14:paraId="31B4D4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w:t>
            </w:r>
          </w:p>
        </w:tc>
        <w:tc>
          <w:tcPr>
            <w:tcW w:w="4244" w:type="dxa"/>
            <w:noWrap w:val="0"/>
            <w:vAlign w:val="center"/>
          </w:tcPr>
          <w:p w14:paraId="2AFADC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检查具体内容</w:t>
            </w:r>
          </w:p>
        </w:tc>
        <w:tc>
          <w:tcPr>
            <w:tcW w:w="2615" w:type="dxa"/>
            <w:noWrap w:val="0"/>
            <w:vAlign w:val="center"/>
          </w:tcPr>
          <w:p w14:paraId="0A96DB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855" w:type="dxa"/>
            <w:noWrap w:val="0"/>
            <w:vAlign w:val="center"/>
          </w:tcPr>
          <w:p w14:paraId="1D3B1B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773" w:type="dxa"/>
            <w:noWrap w:val="0"/>
            <w:vAlign w:val="center"/>
          </w:tcPr>
          <w:p w14:paraId="7EF2FC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得分</w:t>
            </w:r>
          </w:p>
        </w:tc>
      </w:tr>
      <w:tr w14:paraId="4588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191" w:type="dxa"/>
            <w:vMerge w:val="restart"/>
            <w:noWrap w:val="0"/>
            <w:vAlign w:val="center"/>
          </w:tcPr>
          <w:p w14:paraId="0BF072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价格管理（25分）</w:t>
            </w:r>
          </w:p>
        </w:tc>
        <w:tc>
          <w:tcPr>
            <w:tcW w:w="4244" w:type="dxa"/>
            <w:noWrap w:val="0"/>
            <w:vAlign w:val="center"/>
          </w:tcPr>
          <w:p w14:paraId="46FF3C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菜品搭配合理，明码标价，分量足。</w:t>
            </w:r>
          </w:p>
        </w:tc>
        <w:tc>
          <w:tcPr>
            <w:tcW w:w="2615" w:type="dxa"/>
            <w:noWrap w:val="0"/>
            <w:vAlign w:val="center"/>
          </w:tcPr>
          <w:p w14:paraId="4C7CDD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无明码标价或不符，每次扣1分，有投诉经查实每次扣1分，扣完为止。</w:t>
            </w:r>
          </w:p>
        </w:tc>
        <w:tc>
          <w:tcPr>
            <w:tcW w:w="855" w:type="dxa"/>
            <w:noWrap w:val="0"/>
            <w:vAlign w:val="center"/>
          </w:tcPr>
          <w:p w14:paraId="10572F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3</w:t>
            </w:r>
          </w:p>
        </w:tc>
        <w:tc>
          <w:tcPr>
            <w:tcW w:w="773" w:type="dxa"/>
            <w:noWrap w:val="0"/>
            <w:vAlign w:val="bottom"/>
          </w:tcPr>
          <w:p w14:paraId="243758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p>
        </w:tc>
      </w:tr>
      <w:tr w14:paraId="1EB5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191" w:type="dxa"/>
            <w:vMerge w:val="continue"/>
            <w:noWrap w:val="0"/>
            <w:vAlign w:val="center"/>
          </w:tcPr>
          <w:p w14:paraId="35C910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bCs/>
                <w:color w:val="auto"/>
                <w:sz w:val="24"/>
                <w:szCs w:val="24"/>
              </w:rPr>
            </w:pPr>
          </w:p>
        </w:tc>
        <w:tc>
          <w:tcPr>
            <w:tcW w:w="4244" w:type="dxa"/>
            <w:noWrap w:val="0"/>
            <w:vAlign w:val="center"/>
          </w:tcPr>
          <w:p w14:paraId="55895E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饭菜及主食价格由医院</w:t>
            </w:r>
            <w:r>
              <w:rPr>
                <w:rFonts w:hint="eastAsia" w:ascii="仿宋" w:hAnsi="仿宋" w:eastAsia="仿宋" w:cs="仿宋"/>
                <w:color w:val="auto"/>
                <w:sz w:val="24"/>
                <w:szCs w:val="24"/>
                <w:lang w:val="en-US" w:eastAsia="zh-CN"/>
              </w:rPr>
              <w:t>膳食质量与安全管理小组</w:t>
            </w:r>
            <w:r>
              <w:rPr>
                <w:rFonts w:hint="eastAsia" w:ascii="仿宋" w:hAnsi="仿宋" w:eastAsia="仿宋" w:cs="仿宋"/>
                <w:color w:val="auto"/>
                <w:sz w:val="24"/>
                <w:szCs w:val="24"/>
              </w:rPr>
              <w:t>审定后不得擅自调价，如上调须报医院审批后执行。每月不定期由</w:t>
            </w:r>
            <w:r>
              <w:rPr>
                <w:rFonts w:hint="eastAsia" w:ascii="仿宋" w:hAnsi="仿宋" w:eastAsia="仿宋" w:cs="仿宋"/>
                <w:color w:val="auto"/>
                <w:sz w:val="24"/>
                <w:szCs w:val="24"/>
                <w:lang w:val="en-US" w:eastAsia="zh-CN"/>
              </w:rPr>
              <w:t>膳食质量与安全管理小组</w:t>
            </w:r>
            <w:r>
              <w:rPr>
                <w:rFonts w:hint="eastAsia" w:ascii="仿宋" w:hAnsi="仿宋" w:eastAsia="仿宋" w:cs="仿宋"/>
                <w:color w:val="auto"/>
                <w:sz w:val="24"/>
                <w:szCs w:val="24"/>
              </w:rPr>
              <w:t>组织人员对同类菜品相同级别的快餐店作对比。</w:t>
            </w:r>
          </w:p>
        </w:tc>
        <w:tc>
          <w:tcPr>
            <w:tcW w:w="2615" w:type="dxa"/>
            <w:noWrap w:val="0"/>
            <w:vAlign w:val="center"/>
          </w:tcPr>
          <w:p w14:paraId="0A7B64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擅自变更价格扣5分，价格高于同级别快餐店扣5分。</w:t>
            </w:r>
          </w:p>
        </w:tc>
        <w:tc>
          <w:tcPr>
            <w:tcW w:w="855" w:type="dxa"/>
            <w:noWrap w:val="0"/>
            <w:vAlign w:val="center"/>
          </w:tcPr>
          <w:p w14:paraId="5B6A51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73" w:type="dxa"/>
            <w:noWrap w:val="0"/>
            <w:vAlign w:val="bottom"/>
          </w:tcPr>
          <w:p w14:paraId="75DEEF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p>
        </w:tc>
      </w:tr>
      <w:tr w14:paraId="29E0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191" w:type="dxa"/>
            <w:vMerge w:val="continue"/>
            <w:noWrap w:val="0"/>
            <w:vAlign w:val="center"/>
          </w:tcPr>
          <w:p w14:paraId="6BB380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bCs/>
                <w:color w:val="auto"/>
                <w:sz w:val="24"/>
                <w:szCs w:val="24"/>
              </w:rPr>
            </w:pPr>
          </w:p>
        </w:tc>
        <w:tc>
          <w:tcPr>
            <w:tcW w:w="4244" w:type="dxa"/>
            <w:noWrap w:val="0"/>
            <w:vAlign w:val="center"/>
          </w:tcPr>
          <w:p w14:paraId="65CF5C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粮油牛奶饮料等其他副食品价格以不高于本县大型超市（如世纪联华超市、万客缘超市）零售价为经营准则，具体标准由经营者与医院共同制定。</w:t>
            </w:r>
          </w:p>
        </w:tc>
        <w:tc>
          <w:tcPr>
            <w:tcW w:w="2615" w:type="dxa"/>
            <w:noWrap w:val="0"/>
            <w:vAlign w:val="center"/>
          </w:tcPr>
          <w:p w14:paraId="3C9E3F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高于本县大型超市（如世纪联华超市、万客缘超市）零售价，每项扣2分，扣完为止。</w:t>
            </w:r>
          </w:p>
        </w:tc>
        <w:tc>
          <w:tcPr>
            <w:tcW w:w="855" w:type="dxa"/>
            <w:noWrap w:val="0"/>
            <w:vAlign w:val="center"/>
          </w:tcPr>
          <w:p w14:paraId="424362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73" w:type="dxa"/>
            <w:vMerge w:val="restart"/>
            <w:noWrap w:val="0"/>
            <w:vAlign w:val="bottom"/>
          </w:tcPr>
          <w:p w14:paraId="6C6A97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p>
        </w:tc>
      </w:tr>
      <w:tr w14:paraId="7EC2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91" w:type="dxa"/>
            <w:vMerge w:val="continue"/>
            <w:noWrap w:val="0"/>
            <w:vAlign w:val="center"/>
          </w:tcPr>
          <w:p w14:paraId="00D4AB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bCs/>
                <w:color w:val="auto"/>
                <w:sz w:val="24"/>
                <w:szCs w:val="24"/>
              </w:rPr>
            </w:pPr>
          </w:p>
        </w:tc>
        <w:tc>
          <w:tcPr>
            <w:tcW w:w="4244" w:type="dxa"/>
            <w:noWrap w:val="0"/>
            <w:vAlign w:val="center"/>
          </w:tcPr>
          <w:p w14:paraId="6A609B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免费供应汤类。</w:t>
            </w:r>
          </w:p>
        </w:tc>
        <w:tc>
          <w:tcPr>
            <w:tcW w:w="2615" w:type="dxa"/>
            <w:noWrap w:val="0"/>
            <w:vAlign w:val="center"/>
          </w:tcPr>
          <w:p w14:paraId="495D44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未免费供应汤类扣2分。</w:t>
            </w:r>
          </w:p>
        </w:tc>
        <w:tc>
          <w:tcPr>
            <w:tcW w:w="855" w:type="dxa"/>
            <w:noWrap w:val="0"/>
            <w:vAlign w:val="center"/>
          </w:tcPr>
          <w:p w14:paraId="5C1369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73" w:type="dxa"/>
            <w:vMerge w:val="continue"/>
            <w:noWrap w:val="0"/>
            <w:vAlign w:val="bottom"/>
          </w:tcPr>
          <w:p w14:paraId="4781C3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4"/>
                <w:szCs w:val="24"/>
              </w:rPr>
            </w:pPr>
          </w:p>
        </w:tc>
      </w:tr>
      <w:tr w14:paraId="02F1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191" w:type="dxa"/>
            <w:vMerge w:val="restart"/>
            <w:noWrap w:val="0"/>
            <w:vAlign w:val="center"/>
          </w:tcPr>
          <w:p w14:paraId="5C9536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伙食质量(25分)</w:t>
            </w:r>
          </w:p>
        </w:tc>
        <w:tc>
          <w:tcPr>
            <w:tcW w:w="4244" w:type="dxa"/>
            <w:noWrap w:val="0"/>
            <w:vAlign w:val="center"/>
          </w:tcPr>
          <w:p w14:paraId="7A132B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面粉、大米、食用油、牛奶等主要食品及副食品从正规渠道进货，有供货方提供的相关证件，有采购进货台账，蔬菜新鲜，清洗达要求（干净无杂物），加工食品达到卫生标准，无“三无”产品，无过期变质。</w:t>
            </w:r>
          </w:p>
        </w:tc>
        <w:tc>
          <w:tcPr>
            <w:tcW w:w="2615" w:type="dxa"/>
            <w:noWrap w:val="0"/>
            <w:vAlign w:val="center"/>
          </w:tcPr>
          <w:p w14:paraId="294293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一项不合格扣2分，出现质量问题，根据经济损失大小进行处罚。</w:t>
            </w:r>
          </w:p>
        </w:tc>
        <w:tc>
          <w:tcPr>
            <w:tcW w:w="855" w:type="dxa"/>
            <w:noWrap w:val="0"/>
            <w:vAlign w:val="center"/>
          </w:tcPr>
          <w:p w14:paraId="11B08A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73" w:type="dxa"/>
            <w:noWrap w:val="0"/>
            <w:vAlign w:val="center"/>
          </w:tcPr>
          <w:p w14:paraId="060F892A">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0B38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1" w:type="dxa"/>
            <w:vMerge w:val="continue"/>
            <w:noWrap w:val="0"/>
            <w:vAlign w:val="center"/>
          </w:tcPr>
          <w:p w14:paraId="3CFCDE42">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636FBC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食品中出现杂物、不熟或口感较差。</w:t>
            </w:r>
          </w:p>
        </w:tc>
        <w:tc>
          <w:tcPr>
            <w:tcW w:w="2615" w:type="dxa"/>
            <w:noWrap w:val="0"/>
            <w:vAlign w:val="center"/>
          </w:tcPr>
          <w:p w14:paraId="3A17BC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有一项扣1分，有投诉经查实扣5分。</w:t>
            </w:r>
          </w:p>
        </w:tc>
        <w:tc>
          <w:tcPr>
            <w:tcW w:w="855" w:type="dxa"/>
            <w:noWrap w:val="0"/>
            <w:vAlign w:val="center"/>
          </w:tcPr>
          <w:p w14:paraId="59C901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73" w:type="dxa"/>
            <w:noWrap w:val="0"/>
            <w:vAlign w:val="center"/>
          </w:tcPr>
          <w:p w14:paraId="46349F22">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1807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1" w:type="dxa"/>
            <w:vMerge w:val="continue"/>
            <w:noWrap w:val="0"/>
            <w:vAlign w:val="center"/>
          </w:tcPr>
          <w:p w14:paraId="078A3166">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479460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早、中、晚餐工作餐荤素搭配合理，种类不少于4种。</w:t>
            </w:r>
          </w:p>
        </w:tc>
        <w:tc>
          <w:tcPr>
            <w:tcW w:w="2615" w:type="dxa"/>
            <w:noWrap w:val="0"/>
            <w:vAlign w:val="center"/>
          </w:tcPr>
          <w:p w14:paraId="61BFDC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少一种扣1分，搭配不合理扣2分。</w:t>
            </w:r>
          </w:p>
        </w:tc>
        <w:tc>
          <w:tcPr>
            <w:tcW w:w="855" w:type="dxa"/>
            <w:noWrap w:val="0"/>
            <w:vAlign w:val="center"/>
          </w:tcPr>
          <w:p w14:paraId="147CF7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73" w:type="dxa"/>
            <w:noWrap w:val="0"/>
            <w:vAlign w:val="center"/>
          </w:tcPr>
          <w:p w14:paraId="1BDCF1E3">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3BF0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91" w:type="dxa"/>
            <w:vMerge w:val="continue"/>
            <w:noWrap w:val="0"/>
            <w:vAlign w:val="center"/>
          </w:tcPr>
          <w:p w14:paraId="0D331692">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11ACB0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不准出售隔夜饭菜，超过用餐时间出售的饭菜必须加热 。 </w:t>
            </w:r>
          </w:p>
        </w:tc>
        <w:tc>
          <w:tcPr>
            <w:tcW w:w="2615" w:type="dxa"/>
            <w:noWrap w:val="0"/>
            <w:vAlign w:val="center"/>
          </w:tcPr>
          <w:p w14:paraId="1A60E9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出现该现象扣5分，造成经济损失的给予相应处罚。</w:t>
            </w:r>
          </w:p>
        </w:tc>
        <w:tc>
          <w:tcPr>
            <w:tcW w:w="855" w:type="dxa"/>
            <w:noWrap w:val="0"/>
            <w:vAlign w:val="center"/>
          </w:tcPr>
          <w:p w14:paraId="34222B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73" w:type="dxa"/>
            <w:noWrap w:val="0"/>
            <w:vAlign w:val="center"/>
          </w:tcPr>
          <w:p w14:paraId="3751E7B4">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1D46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91" w:type="dxa"/>
            <w:vMerge w:val="restart"/>
            <w:noWrap w:val="0"/>
            <w:vAlign w:val="center"/>
          </w:tcPr>
          <w:p w14:paraId="0A8CE4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服务质量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tc>
        <w:tc>
          <w:tcPr>
            <w:tcW w:w="4244" w:type="dxa"/>
            <w:noWrap w:val="0"/>
            <w:vAlign w:val="center"/>
          </w:tcPr>
          <w:p w14:paraId="52E22D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工作人员均持有有效健康证，加工及出售食品时穿戴整洁</w:t>
            </w:r>
            <w:r>
              <w:rPr>
                <w:rFonts w:hint="eastAsia" w:ascii="仿宋" w:hAnsi="仿宋" w:eastAsia="仿宋" w:cs="仿宋"/>
                <w:color w:val="auto"/>
                <w:sz w:val="24"/>
                <w:szCs w:val="24"/>
                <w:lang w:val="en-US" w:eastAsia="zh-CN"/>
              </w:rPr>
              <w:t>干净</w:t>
            </w:r>
            <w:r>
              <w:rPr>
                <w:rFonts w:hint="eastAsia" w:ascii="仿宋" w:hAnsi="仿宋" w:eastAsia="仿宋" w:cs="仿宋"/>
                <w:color w:val="auto"/>
                <w:sz w:val="24"/>
                <w:szCs w:val="24"/>
              </w:rPr>
              <w:t>工作服、</w:t>
            </w:r>
            <w:r>
              <w:rPr>
                <w:rFonts w:hint="eastAsia" w:ascii="仿宋" w:hAnsi="仿宋" w:eastAsia="仿宋" w:cs="仿宋"/>
                <w:color w:val="auto"/>
                <w:sz w:val="24"/>
                <w:szCs w:val="24"/>
                <w:lang w:val="en-US" w:eastAsia="zh-CN"/>
              </w:rPr>
              <w:t>一次性</w:t>
            </w:r>
            <w:r>
              <w:rPr>
                <w:rFonts w:hint="eastAsia" w:ascii="仿宋" w:hAnsi="仿宋" w:eastAsia="仿宋" w:cs="仿宋"/>
                <w:color w:val="auto"/>
                <w:sz w:val="24"/>
                <w:szCs w:val="24"/>
              </w:rPr>
              <w:t>工作帽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口罩</w:t>
            </w:r>
            <w:r>
              <w:rPr>
                <w:rFonts w:hint="eastAsia" w:ascii="仿宋" w:hAnsi="仿宋" w:eastAsia="仿宋" w:cs="仿宋"/>
                <w:color w:val="auto"/>
                <w:sz w:val="24"/>
                <w:szCs w:val="24"/>
              </w:rPr>
              <w:t>并佩证上岗。</w:t>
            </w:r>
          </w:p>
        </w:tc>
        <w:tc>
          <w:tcPr>
            <w:tcW w:w="2615" w:type="dxa"/>
            <w:noWrap w:val="0"/>
            <w:vAlign w:val="center"/>
          </w:tcPr>
          <w:p w14:paraId="58752D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无健康证一人扣5分，</w:t>
            </w:r>
            <w:r>
              <w:rPr>
                <w:rFonts w:hint="eastAsia" w:ascii="仿宋" w:hAnsi="仿宋" w:eastAsia="仿宋" w:cs="仿宋"/>
                <w:color w:val="auto"/>
                <w:sz w:val="24"/>
                <w:szCs w:val="24"/>
                <w:lang w:val="en-US" w:eastAsia="zh-CN"/>
              </w:rPr>
              <w:t>未</w:t>
            </w:r>
            <w:r>
              <w:rPr>
                <w:rFonts w:hint="eastAsia" w:ascii="仿宋" w:hAnsi="仿宋" w:eastAsia="仿宋" w:cs="仿宋"/>
                <w:color w:val="auto"/>
                <w:sz w:val="24"/>
                <w:szCs w:val="24"/>
              </w:rPr>
              <w:t>穿工作服、工作帽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口罩、</w:t>
            </w:r>
            <w:r>
              <w:rPr>
                <w:rFonts w:hint="eastAsia" w:ascii="仿宋" w:hAnsi="仿宋" w:eastAsia="仿宋" w:cs="仿宋"/>
                <w:color w:val="auto"/>
                <w:sz w:val="24"/>
                <w:szCs w:val="24"/>
              </w:rPr>
              <w:t>服务证每人次扣1分。</w:t>
            </w:r>
          </w:p>
        </w:tc>
        <w:tc>
          <w:tcPr>
            <w:tcW w:w="855" w:type="dxa"/>
            <w:noWrap w:val="0"/>
            <w:vAlign w:val="center"/>
          </w:tcPr>
          <w:p w14:paraId="7F5BF2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73" w:type="dxa"/>
            <w:noWrap w:val="0"/>
            <w:vAlign w:val="center"/>
          </w:tcPr>
          <w:p w14:paraId="1BEFDC66">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1A95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191" w:type="dxa"/>
            <w:vMerge w:val="continue"/>
            <w:noWrap w:val="0"/>
            <w:vAlign w:val="center"/>
          </w:tcPr>
          <w:p w14:paraId="6F9F4E7E">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17D199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炊事人员必须保持整洁，不佩戴首饰，操作时禁止吸烟及其他不卫生行为。</w:t>
            </w:r>
          </w:p>
        </w:tc>
        <w:tc>
          <w:tcPr>
            <w:tcW w:w="2615" w:type="dxa"/>
            <w:noWrap w:val="0"/>
            <w:vAlign w:val="center"/>
          </w:tcPr>
          <w:p w14:paraId="09BB55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发现一人次扣1分。</w:t>
            </w:r>
          </w:p>
        </w:tc>
        <w:tc>
          <w:tcPr>
            <w:tcW w:w="855" w:type="dxa"/>
            <w:noWrap w:val="0"/>
            <w:vAlign w:val="center"/>
          </w:tcPr>
          <w:p w14:paraId="0AA8CE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73" w:type="dxa"/>
            <w:noWrap w:val="0"/>
            <w:vAlign w:val="center"/>
          </w:tcPr>
          <w:p w14:paraId="608AEB80">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7952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1" w:type="dxa"/>
            <w:vMerge w:val="continue"/>
            <w:noWrap w:val="0"/>
            <w:vAlign w:val="center"/>
          </w:tcPr>
          <w:p w14:paraId="5C16090B">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12DB18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出售食品时不得用手直接接触食品，必须使用食品夹。</w:t>
            </w:r>
          </w:p>
        </w:tc>
        <w:tc>
          <w:tcPr>
            <w:tcW w:w="2615" w:type="dxa"/>
            <w:noWrap w:val="0"/>
            <w:vAlign w:val="center"/>
          </w:tcPr>
          <w:p w14:paraId="5744AE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发现一人次扣1分，投诉经查实扣2分。</w:t>
            </w:r>
          </w:p>
        </w:tc>
        <w:tc>
          <w:tcPr>
            <w:tcW w:w="855" w:type="dxa"/>
            <w:noWrap w:val="0"/>
            <w:vAlign w:val="center"/>
          </w:tcPr>
          <w:p w14:paraId="44353D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73" w:type="dxa"/>
            <w:noWrap w:val="0"/>
            <w:vAlign w:val="center"/>
          </w:tcPr>
          <w:p w14:paraId="5FDDF19B">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244D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1" w:type="dxa"/>
            <w:vMerge w:val="continue"/>
            <w:noWrap w:val="0"/>
            <w:vAlign w:val="center"/>
          </w:tcPr>
          <w:p w14:paraId="7F9A3D5C">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2AED52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食堂服务人员耐心解答、微笑服务，不得发生争吵等不文明行为。</w:t>
            </w:r>
          </w:p>
        </w:tc>
        <w:tc>
          <w:tcPr>
            <w:tcW w:w="2615" w:type="dxa"/>
            <w:noWrap w:val="0"/>
            <w:vAlign w:val="center"/>
          </w:tcPr>
          <w:p w14:paraId="54E3DB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发现一次不文明行为扣2分，争吵扣5分。</w:t>
            </w:r>
          </w:p>
        </w:tc>
        <w:tc>
          <w:tcPr>
            <w:tcW w:w="855" w:type="dxa"/>
            <w:noWrap w:val="0"/>
            <w:vAlign w:val="center"/>
          </w:tcPr>
          <w:p w14:paraId="0A77DB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73" w:type="dxa"/>
            <w:noWrap w:val="0"/>
            <w:vAlign w:val="center"/>
          </w:tcPr>
          <w:p w14:paraId="50663551">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36C9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91" w:type="dxa"/>
            <w:vMerge w:val="continue"/>
            <w:noWrap w:val="0"/>
            <w:vAlign w:val="center"/>
          </w:tcPr>
          <w:p w14:paraId="6568FE3C">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5D9013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职工点餐开放时间、食堂送餐时间、职工就餐区用餐时间按医院相关约定。</w:t>
            </w:r>
          </w:p>
        </w:tc>
        <w:tc>
          <w:tcPr>
            <w:tcW w:w="2615" w:type="dxa"/>
            <w:noWrap w:val="0"/>
            <w:vAlign w:val="center"/>
          </w:tcPr>
          <w:p w14:paraId="30682A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发现一次不符扣2分。</w:t>
            </w:r>
          </w:p>
        </w:tc>
        <w:tc>
          <w:tcPr>
            <w:tcW w:w="855" w:type="dxa"/>
            <w:noWrap w:val="0"/>
            <w:vAlign w:val="center"/>
          </w:tcPr>
          <w:p w14:paraId="6773DE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73" w:type="dxa"/>
            <w:noWrap w:val="0"/>
            <w:vAlign w:val="center"/>
          </w:tcPr>
          <w:p w14:paraId="5651CDFB">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1690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91" w:type="dxa"/>
            <w:vMerge w:val="continue"/>
            <w:noWrap w:val="0"/>
            <w:vAlign w:val="center"/>
          </w:tcPr>
          <w:p w14:paraId="570321C3">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530C5C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工作间无“四害”，防尘设施齐全，无破损。</w:t>
            </w:r>
          </w:p>
        </w:tc>
        <w:tc>
          <w:tcPr>
            <w:tcW w:w="2615" w:type="dxa"/>
            <w:noWrap w:val="0"/>
            <w:vAlign w:val="center"/>
          </w:tcPr>
          <w:p w14:paraId="7CEA8A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发现一次扣2分，无防四害设备扣5分。</w:t>
            </w:r>
          </w:p>
        </w:tc>
        <w:tc>
          <w:tcPr>
            <w:tcW w:w="855" w:type="dxa"/>
            <w:noWrap w:val="0"/>
            <w:vAlign w:val="center"/>
          </w:tcPr>
          <w:p w14:paraId="382420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73" w:type="dxa"/>
            <w:noWrap w:val="0"/>
            <w:vAlign w:val="center"/>
          </w:tcPr>
          <w:p w14:paraId="403FDF4C">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7D50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91" w:type="dxa"/>
            <w:vMerge w:val="restart"/>
            <w:noWrap w:val="0"/>
            <w:vAlign w:val="center"/>
          </w:tcPr>
          <w:p w14:paraId="1113A1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卫生标准（</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分）</w:t>
            </w:r>
          </w:p>
        </w:tc>
        <w:tc>
          <w:tcPr>
            <w:tcW w:w="4244" w:type="dxa"/>
            <w:noWrap w:val="0"/>
            <w:vAlign w:val="top"/>
          </w:tcPr>
          <w:p w14:paraId="551BB3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4"/>
                <w:szCs w:val="24"/>
              </w:rPr>
            </w:pPr>
          </w:p>
          <w:p w14:paraId="5186DC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原料、半成品、成品的加工、存放容器不得有交叉并有明显区分标识，生熟分开、分类分架，无过期、变质食品。</w:t>
            </w:r>
          </w:p>
        </w:tc>
        <w:tc>
          <w:tcPr>
            <w:tcW w:w="2615" w:type="dxa"/>
            <w:noWrap w:val="0"/>
            <w:vAlign w:val="center"/>
          </w:tcPr>
          <w:p w14:paraId="493EA6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存在交叉污染并无明显标识扣2分，生熟不分、未分类扣5分。</w:t>
            </w:r>
          </w:p>
        </w:tc>
        <w:tc>
          <w:tcPr>
            <w:tcW w:w="855" w:type="dxa"/>
            <w:noWrap w:val="0"/>
            <w:vAlign w:val="center"/>
          </w:tcPr>
          <w:p w14:paraId="582D98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73" w:type="dxa"/>
            <w:noWrap w:val="0"/>
            <w:vAlign w:val="center"/>
          </w:tcPr>
          <w:p w14:paraId="75F57F34">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4D41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91" w:type="dxa"/>
            <w:vMerge w:val="continue"/>
            <w:noWrap w:val="0"/>
            <w:vAlign w:val="center"/>
          </w:tcPr>
          <w:p w14:paraId="6DA677C9">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02F030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工作间卫生清洁，地面干净、无积水、杂物，操作台卫生清洁，桌椅洁净无油污。</w:t>
            </w:r>
          </w:p>
        </w:tc>
        <w:tc>
          <w:tcPr>
            <w:tcW w:w="2615" w:type="dxa"/>
            <w:noWrap w:val="0"/>
            <w:vAlign w:val="center"/>
          </w:tcPr>
          <w:p w14:paraId="21E0B8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有一项不清洁扣1分。</w:t>
            </w:r>
          </w:p>
        </w:tc>
        <w:tc>
          <w:tcPr>
            <w:tcW w:w="855" w:type="dxa"/>
            <w:noWrap w:val="0"/>
            <w:vAlign w:val="center"/>
          </w:tcPr>
          <w:p w14:paraId="08F1A4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73" w:type="dxa"/>
            <w:noWrap w:val="0"/>
            <w:vAlign w:val="center"/>
          </w:tcPr>
          <w:p w14:paraId="56200F7B">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6B80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91" w:type="dxa"/>
            <w:vMerge w:val="continue"/>
            <w:noWrap w:val="0"/>
            <w:vAlign w:val="center"/>
          </w:tcPr>
          <w:p w14:paraId="018DC55E">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0D438C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炊具餐具、菜具、熟食容器定期消毒并保持清洁。</w:t>
            </w:r>
          </w:p>
        </w:tc>
        <w:tc>
          <w:tcPr>
            <w:tcW w:w="2615" w:type="dxa"/>
            <w:noWrap w:val="0"/>
            <w:vAlign w:val="center"/>
          </w:tcPr>
          <w:p w14:paraId="25C00A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无消毒扣5分，不定期扣2分。</w:t>
            </w:r>
          </w:p>
        </w:tc>
        <w:tc>
          <w:tcPr>
            <w:tcW w:w="855" w:type="dxa"/>
            <w:noWrap w:val="0"/>
            <w:vAlign w:val="center"/>
          </w:tcPr>
          <w:p w14:paraId="79B670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73" w:type="dxa"/>
            <w:noWrap w:val="0"/>
            <w:vAlign w:val="center"/>
          </w:tcPr>
          <w:p w14:paraId="03FFA1B9">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6270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91" w:type="dxa"/>
            <w:vMerge w:val="continue"/>
            <w:noWrap w:val="0"/>
            <w:vAlign w:val="center"/>
          </w:tcPr>
          <w:p w14:paraId="6767529A">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504E1A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仓库管理：分类存放、储存管理、卫生及安全管理。</w:t>
            </w:r>
          </w:p>
        </w:tc>
        <w:tc>
          <w:tcPr>
            <w:tcW w:w="2615" w:type="dxa"/>
            <w:noWrap w:val="0"/>
            <w:vAlign w:val="center"/>
          </w:tcPr>
          <w:p w14:paraId="0857CF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发现一次不符扣2分。</w:t>
            </w:r>
          </w:p>
        </w:tc>
        <w:tc>
          <w:tcPr>
            <w:tcW w:w="855" w:type="dxa"/>
            <w:noWrap w:val="0"/>
            <w:vAlign w:val="center"/>
          </w:tcPr>
          <w:p w14:paraId="235C1D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73" w:type="dxa"/>
            <w:noWrap w:val="0"/>
            <w:vAlign w:val="center"/>
          </w:tcPr>
          <w:p w14:paraId="114309DD">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1099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91" w:type="dxa"/>
            <w:vMerge w:val="restart"/>
            <w:noWrap w:val="0"/>
            <w:vAlign w:val="center"/>
          </w:tcPr>
          <w:p w14:paraId="70F097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食堂管理（5分）</w:t>
            </w:r>
          </w:p>
        </w:tc>
        <w:tc>
          <w:tcPr>
            <w:tcW w:w="4244" w:type="dxa"/>
            <w:noWrap w:val="0"/>
            <w:vAlign w:val="center"/>
          </w:tcPr>
          <w:p w14:paraId="743AD8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食堂建立严格的操作规程和相关规章制度，严禁外来人员进入工作区。</w:t>
            </w:r>
          </w:p>
        </w:tc>
        <w:tc>
          <w:tcPr>
            <w:tcW w:w="2615" w:type="dxa"/>
            <w:noWrap w:val="0"/>
            <w:vAlign w:val="center"/>
          </w:tcPr>
          <w:p w14:paraId="45C509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未建立制度扣3分，制度不全扣2分，未严格执行一项扣1分。</w:t>
            </w:r>
          </w:p>
        </w:tc>
        <w:tc>
          <w:tcPr>
            <w:tcW w:w="855" w:type="dxa"/>
            <w:noWrap w:val="0"/>
            <w:vAlign w:val="center"/>
          </w:tcPr>
          <w:p w14:paraId="1A4E62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73" w:type="dxa"/>
            <w:noWrap w:val="0"/>
            <w:vAlign w:val="center"/>
          </w:tcPr>
          <w:p w14:paraId="24265C0D">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5272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91" w:type="dxa"/>
            <w:vMerge w:val="continue"/>
            <w:noWrap w:val="0"/>
            <w:vAlign w:val="center"/>
          </w:tcPr>
          <w:p w14:paraId="732840F5">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c>
          <w:tcPr>
            <w:tcW w:w="4244" w:type="dxa"/>
            <w:noWrap w:val="0"/>
            <w:vAlign w:val="center"/>
          </w:tcPr>
          <w:p w14:paraId="1E38D0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对所有工作人员进行实名登记管理，并对业绩、工作态度等进行考核管理。</w:t>
            </w:r>
          </w:p>
        </w:tc>
        <w:tc>
          <w:tcPr>
            <w:tcW w:w="2615" w:type="dxa"/>
            <w:noWrap w:val="0"/>
            <w:vAlign w:val="center"/>
          </w:tcPr>
          <w:p w14:paraId="168D50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无登记扣2分，考核不到位每人次扣1分。</w:t>
            </w:r>
          </w:p>
        </w:tc>
        <w:tc>
          <w:tcPr>
            <w:tcW w:w="855" w:type="dxa"/>
            <w:noWrap w:val="0"/>
            <w:vAlign w:val="center"/>
          </w:tcPr>
          <w:p w14:paraId="340817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73" w:type="dxa"/>
            <w:noWrap w:val="0"/>
            <w:vAlign w:val="center"/>
          </w:tcPr>
          <w:p w14:paraId="2640214A">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6CF6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050" w:type="dxa"/>
            <w:gridSpan w:val="3"/>
            <w:noWrap w:val="0"/>
            <w:vAlign w:val="center"/>
          </w:tcPr>
          <w:p w14:paraId="359B8C7F">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考核人员（签字）：</w:t>
            </w:r>
          </w:p>
        </w:tc>
        <w:tc>
          <w:tcPr>
            <w:tcW w:w="855" w:type="dxa"/>
            <w:noWrap w:val="0"/>
            <w:vAlign w:val="center"/>
          </w:tcPr>
          <w:p w14:paraId="3FF389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总得分</w:t>
            </w:r>
          </w:p>
        </w:tc>
        <w:tc>
          <w:tcPr>
            <w:tcW w:w="773" w:type="dxa"/>
            <w:noWrap w:val="0"/>
            <w:vAlign w:val="center"/>
          </w:tcPr>
          <w:p w14:paraId="2A501A1E">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p>
        </w:tc>
      </w:tr>
      <w:tr w14:paraId="3795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678" w:type="dxa"/>
            <w:gridSpan w:val="5"/>
            <w:noWrap w:val="0"/>
            <w:vAlign w:val="center"/>
          </w:tcPr>
          <w:p w14:paraId="35992B44">
            <w:pPr>
              <w:keepNext w:val="0"/>
              <w:keepLines w:val="0"/>
              <w:pageBreakBefore w:val="0"/>
              <w:widowControl w:val="0"/>
              <w:kinsoku/>
              <w:wordWrap/>
              <w:overflowPunct/>
              <w:topLinePunct w:val="0"/>
              <w:autoSpaceDE/>
              <w:autoSpaceDN/>
              <w:bidi w:val="0"/>
              <w:adjustRightInd w:val="0"/>
              <w:snapToGrid w:val="0"/>
              <w:spacing w:line="24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监督管理部门人员（签字）：</w:t>
            </w:r>
          </w:p>
        </w:tc>
      </w:tr>
    </w:tbl>
    <w:p w14:paraId="244B542B">
      <w:pPr>
        <w:pStyle w:val="10"/>
        <w:keepNext w:val="0"/>
        <w:keepLines w:val="0"/>
        <w:pageBreakBefore w:val="0"/>
        <w:kinsoku/>
        <w:wordWrap/>
        <w:overflowPunct/>
        <w:topLinePunct w:val="0"/>
        <w:autoSpaceDE/>
        <w:autoSpaceDN/>
        <w:bidi w:val="0"/>
        <w:spacing w:line="5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处罚办法：每月</w:t>
      </w:r>
      <w:r>
        <w:rPr>
          <w:rFonts w:hint="eastAsia" w:ascii="仿宋" w:hAnsi="仿宋" w:eastAsia="仿宋" w:cs="仿宋"/>
          <w:color w:val="auto"/>
          <w:sz w:val="24"/>
          <w:szCs w:val="24"/>
          <w:lang w:val="en-US" w:eastAsia="zh-CN"/>
        </w:rPr>
        <w:t>总务、纪检、工会、感控等多部门</w:t>
      </w:r>
      <w:r>
        <w:rPr>
          <w:rFonts w:hint="eastAsia" w:ascii="仿宋" w:hAnsi="仿宋" w:eastAsia="仿宋" w:cs="仿宋"/>
          <w:color w:val="auto"/>
          <w:sz w:val="24"/>
          <w:szCs w:val="24"/>
        </w:rPr>
        <w:t>检查1次，满分为100分，根据检查结果，9</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分以上不处罚，85-</w:t>
      </w:r>
      <w:r>
        <w:rPr>
          <w:rFonts w:hint="eastAsia" w:ascii="仿宋" w:hAnsi="仿宋" w:eastAsia="仿宋" w:cs="仿宋"/>
          <w:color w:val="auto"/>
          <w:sz w:val="24"/>
          <w:szCs w:val="24"/>
          <w:lang w:val="en-US" w:eastAsia="zh-CN"/>
        </w:rPr>
        <w:t>89</w:t>
      </w:r>
      <w:r>
        <w:rPr>
          <w:rFonts w:hint="eastAsia" w:ascii="仿宋" w:hAnsi="仿宋" w:eastAsia="仿宋" w:cs="仿宋"/>
          <w:color w:val="auto"/>
          <w:sz w:val="24"/>
          <w:szCs w:val="24"/>
        </w:rPr>
        <w:t>每少一分扣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00元，</w:t>
      </w: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84分每少一分扣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00元，</w:t>
      </w:r>
      <w:r>
        <w:rPr>
          <w:rFonts w:hint="eastAsia" w:ascii="仿宋" w:hAnsi="仿宋" w:eastAsia="仿宋" w:cs="仿宋"/>
          <w:color w:val="auto"/>
          <w:sz w:val="24"/>
          <w:szCs w:val="24"/>
          <w:lang w:val="en-US" w:eastAsia="zh-CN"/>
        </w:rPr>
        <w:t>75-79</w:t>
      </w:r>
      <w:r>
        <w:rPr>
          <w:rFonts w:hint="eastAsia" w:ascii="仿宋" w:hAnsi="仿宋" w:eastAsia="仿宋" w:cs="仿宋"/>
          <w:color w:val="auto"/>
          <w:sz w:val="24"/>
          <w:szCs w:val="24"/>
        </w:rPr>
        <w:t>分每少一分扣</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00元</w:t>
      </w:r>
      <w:r>
        <w:rPr>
          <w:rFonts w:hint="eastAsia" w:ascii="仿宋" w:hAnsi="仿宋" w:eastAsia="仿宋" w:cs="仿宋"/>
          <w:color w:val="auto"/>
          <w:sz w:val="24"/>
          <w:szCs w:val="24"/>
          <w:lang w:val="en-US" w:eastAsia="zh-CN"/>
        </w:rPr>
        <w:t>,70-74分每少一分扣500元</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0分以下</w:t>
      </w:r>
      <w:r>
        <w:rPr>
          <w:rFonts w:hint="eastAsia" w:ascii="仿宋" w:hAnsi="仿宋" w:eastAsia="仿宋" w:cs="仿宋"/>
          <w:color w:val="auto"/>
          <w:sz w:val="24"/>
          <w:szCs w:val="24"/>
          <w:lang w:val="en-US" w:eastAsia="zh-CN"/>
        </w:rPr>
        <w:t>扣10000元，60分以下</w:t>
      </w:r>
      <w:r>
        <w:rPr>
          <w:rFonts w:hint="eastAsia" w:ascii="仿宋" w:hAnsi="仿宋" w:eastAsia="仿宋" w:cs="仿宋"/>
          <w:color w:val="auto"/>
          <w:sz w:val="24"/>
          <w:szCs w:val="24"/>
        </w:rPr>
        <w:t>认定为当月考核不合格并扣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0000元，并书面责令整改。连续3个月60分以下，解除或终止协议并没收履约保证金，所造成的一切经济损失由</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自行负责。</w:t>
      </w:r>
    </w:p>
    <w:p w14:paraId="27906536">
      <w:pPr>
        <w:pStyle w:val="10"/>
        <w:keepNext w:val="0"/>
        <w:keepLines w:val="0"/>
        <w:pageBreakBefore w:val="0"/>
        <w:kinsoku/>
        <w:wordWrap/>
        <w:overflowPunct/>
        <w:topLinePunct w:val="0"/>
        <w:autoSpaceDE/>
        <w:autoSpaceDN/>
        <w:bidi w:val="0"/>
        <w:spacing w:line="5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日常经营中有违反市场监督管理部门有关规定，被处罚的，医院有权再处以同等金额的罚款。发生以下事件的按如下规定实行：</w:t>
      </w:r>
    </w:p>
    <w:p w14:paraId="02D527D9">
      <w:pPr>
        <w:pStyle w:val="10"/>
        <w:keepNext w:val="0"/>
        <w:keepLines w:val="0"/>
        <w:pageBreakBefore w:val="0"/>
        <w:numPr>
          <w:ilvl w:val="0"/>
          <w:numId w:val="16"/>
        </w:numPr>
        <w:kinsoku/>
        <w:wordWrap/>
        <w:overflowPunct/>
        <w:topLinePunct w:val="0"/>
        <w:autoSpaceDE/>
        <w:autoSpaceDN/>
        <w:bidi w:val="0"/>
        <w:spacing w:line="520" w:lineRule="exact"/>
        <w:ind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发生轻微食物中毒（5人以下），认定为当月考核不合格。</w:t>
      </w:r>
    </w:p>
    <w:p w14:paraId="37DFE8A9">
      <w:pPr>
        <w:pStyle w:val="10"/>
        <w:keepNext w:val="0"/>
        <w:keepLines w:val="0"/>
        <w:pageBreakBefore w:val="0"/>
        <w:numPr>
          <w:ilvl w:val="0"/>
          <w:numId w:val="16"/>
        </w:numPr>
        <w:kinsoku/>
        <w:wordWrap/>
        <w:overflowPunct/>
        <w:topLinePunct w:val="0"/>
        <w:autoSpaceDE/>
        <w:autoSpaceDN/>
        <w:bidi w:val="0"/>
        <w:spacing w:line="520" w:lineRule="exact"/>
        <w:ind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发生严重食物中毒或食源性疾病的，除进行相应处罚外，解除或终止协议。</w:t>
      </w:r>
    </w:p>
    <w:p w14:paraId="55305E49">
      <w:pPr>
        <w:rPr>
          <w:color w:val="auto"/>
        </w:rPr>
      </w:pPr>
    </w:p>
    <w:p w14:paraId="528E6587">
      <w:pPr>
        <w:pStyle w:val="5"/>
        <w:pageBreakBefore/>
        <w:rPr>
          <w:rFonts w:ascii="仿宋" w:hAnsi="仿宋" w:eastAsia="仿宋" w:cs="仿宋"/>
          <w:color w:val="auto"/>
        </w:rPr>
      </w:pPr>
      <w:bookmarkStart w:id="58" w:name="_Toc7615"/>
      <w:bookmarkStart w:id="59" w:name="_Toc409683143"/>
      <w:bookmarkStart w:id="60" w:name="_Toc17875"/>
      <w:bookmarkStart w:id="61" w:name="_Toc493956031"/>
      <w:r>
        <w:rPr>
          <w:rFonts w:hint="eastAsia" w:ascii="仿宋" w:hAnsi="仿宋" w:eastAsia="仿宋" w:cs="仿宋"/>
          <w:color w:val="auto"/>
        </w:rPr>
        <w:t>第三章  投标人须知</w:t>
      </w:r>
      <w:bookmarkEnd w:id="58"/>
      <w:bookmarkEnd w:id="59"/>
      <w:bookmarkEnd w:id="60"/>
      <w:bookmarkEnd w:id="61"/>
    </w:p>
    <w:p w14:paraId="3BD9CD00">
      <w:pPr>
        <w:pStyle w:val="6"/>
        <w:spacing w:before="0" w:after="0" w:line="240" w:lineRule="auto"/>
        <w:ind w:firstLine="0" w:firstLineChars="0"/>
        <w:jc w:val="center"/>
        <w:rPr>
          <w:rFonts w:ascii="仿宋" w:hAnsi="仿宋" w:eastAsia="仿宋" w:cs="仿宋"/>
          <w:color w:val="auto"/>
        </w:rPr>
      </w:pPr>
      <w:bookmarkStart w:id="62" w:name="_Toc510162926"/>
      <w:bookmarkStart w:id="63" w:name="_Toc486423882"/>
      <w:bookmarkStart w:id="64" w:name="_Toc493956032"/>
      <w:bookmarkStart w:id="65" w:name="_Toc30458"/>
      <w:bookmarkStart w:id="66" w:name="_Toc9248"/>
      <w:bookmarkStart w:id="67" w:name="_Toc7591"/>
      <w:bookmarkStart w:id="68" w:name="_Toc13417"/>
      <w:bookmarkStart w:id="69" w:name="_Toc13079"/>
      <w:bookmarkStart w:id="70" w:name="EB4c7125c6dc654ed08b5f32dccfe34746"/>
      <w:bookmarkStart w:id="71" w:name="_Toc493956033"/>
      <w:r>
        <w:rPr>
          <w:rFonts w:hint="eastAsia" w:ascii="仿宋" w:hAnsi="仿宋" w:eastAsia="仿宋" w:cs="仿宋"/>
          <w:color w:val="auto"/>
        </w:rPr>
        <w:t>前附表</w:t>
      </w:r>
      <w:bookmarkEnd w:id="62"/>
      <w:bookmarkEnd w:id="63"/>
      <w:bookmarkEnd w:id="64"/>
      <w:bookmarkEnd w:id="65"/>
      <w:bookmarkEnd w:id="66"/>
      <w:bookmarkEnd w:id="67"/>
      <w:bookmarkEnd w:id="68"/>
      <w:bookmarkEnd w:id="69"/>
    </w:p>
    <w:tbl>
      <w:tblPr>
        <w:tblStyle w:val="23"/>
        <w:tblW w:w="96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38"/>
        <w:gridCol w:w="7092"/>
      </w:tblGrid>
      <w:tr w14:paraId="6EACB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789" w:type="dxa"/>
            <w:tcBorders>
              <w:top w:val="double" w:color="auto" w:sz="4" w:space="0"/>
              <w:left w:val="double" w:color="auto" w:sz="4" w:space="0"/>
              <w:right w:val="single" w:color="auto" w:sz="4" w:space="0"/>
            </w:tcBorders>
            <w:vAlign w:val="center"/>
          </w:tcPr>
          <w:p w14:paraId="2D9A547D">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1738" w:type="dxa"/>
            <w:tcBorders>
              <w:top w:val="double" w:color="auto" w:sz="4" w:space="0"/>
              <w:left w:val="single" w:color="auto" w:sz="4" w:space="0"/>
            </w:tcBorders>
            <w:vAlign w:val="center"/>
          </w:tcPr>
          <w:p w14:paraId="14A810EF">
            <w:pPr>
              <w:jc w:val="center"/>
              <w:rPr>
                <w:rFonts w:ascii="仿宋" w:hAnsi="仿宋" w:eastAsia="仿宋" w:cs="仿宋"/>
                <w:b/>
                <w:bCs/>
                <w:color w:val="auto"/>
                <w:sz w:val="24"/>
              </w:rPr>
            </w:pPr>
            <w:r>
              <w:rPr>
                <w:rFonts w:hint="eastAsia" w:ascii="仿宋" w:hAnsi="仿宋" w:eastAsia="仿宋" w:cs="仿宋"/>
                <w:b/>
                <w:bCs/>
                <w:color w:val="auto"/>
                <w:sz w:val="24"/>
              </w:rPr>
              <w:t>须知项目</w:t>
            </w:r>
          </w:p>
        </w:tc>
        <w:tc>
          <w:tcPr>
            <w:tcW w:w="7092" w:type="dxa"/>
            <w:tcBorders>
              <w:top w:val="double" w:color="auto" w:sz="4" w:space="0"/>
              <w:right w:val="double" w:color="auto" w:sz="4" w:space="0"/>
            </w:tcBorders>
            <w:vAlign w:val="center"/>
          </w:tcPr>
          <w:p w14:paraId="0E9E6C48">
            <w:pPr>
              <w:jc w:val="center"/>
              <w:rPr>
                <w:rFonts w:ascii="仿宋" w:hAnsi="仿宋" w:eastAsia="仿宋" w:cs="仿宋"/>
                <w:b/>
                <w:bCs/>
                <w:color w:val="auto"/>
                <w:sz w:val="24"/>
              </w:rPr>
            </w:pPr>
            <w:r>
              <w:rPr>
                <w:rFonts w:hint="eastAsia" w:ascii="仿宋" w:hAnsi="仿宋" w:eastAsia="仿宋" w:cs="仿宋"/>
                <w:b/>
                <w:bCs/>
                <w:color w:val="auto"/>
                <w:sz w:val="24"/>
              </w:rPr>
              <w:t>内容、要求和时间</w:t>
            </w:r>
          </w:p>
        </w:tc>
      </w:tr>
      <w:tr w14:paraId="734B7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789" w:type="dxa"/>
            <w:tcBorders>
              <w:left w:val="double" w:color="auto" w:sz="4" w:space="0"/>
              <w:right w:val="single" w:color="auto" w:sz="4" w:space="0"/>
            </w:tcBorders>
            <w:vAlign w:val="center"/>
          </w:tcPr>
          <w:p w14:paraId="72D8F357">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1</w:t>
            </w:r>
          </w:p>
        </w:tc>
        <w:tc>
          <w:tcPr>
            <w:tcW w:w="1738" w:type="dxa"/>
            <w:tcBorders>
              <w:left w:val="single" w:color="auto" w:sz="4" w:space="0"/>
            </w:tcBorders>
            <w:vAlign w:val="center"/>
          </w:tcPr>
          <w:p w14:paraId="07FC4A11">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项目名称</w:t>
            </w:r>
          </w:p>
        </w:tc>
        <w:tc>
          <w:tcPr>
            <w:tcW w:w="7092" w:type="dxa"/>
            <w:tcBorders>
              <w:right w:val="double" w:color="auto" w:sz="4" w:space="0"/>
            </w:tcBorders>
            <w:vAlign w:val="center"/>
          </w:tcPr>
          <w:p w14:paraId="74B23295">
            <w:pPr>
              <w:snapToGrid w:val="0"/>
              <w:ind w:right="-107" w:rightChars="-51"/>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遂昌县人民医院职工食堂经营承包项目</w:t>
            </w:r>
          </w:p>
        </w:tc>
      </w:tr>
      <w:tr w14:paraId="560B3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789" w:type="dxa"/>
            <w:tcBorders>
              <w:left w:val="double" w:color="auto" w:sz="4" w:space="0"/>
              <w:right w:val="single" w:color="auto" w:sz="4" w:space="0"/>
            </w:tcBorders>
            <w:vAlign w:val="center"/>
          </w:tcPr>
          <w:p w14:paraId="314BBF49">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2</w:t>
            </w:r>
          </w:p>
        </w:tc>
        <w:tc>
          <w:tcPr>
            <w:tcW w:w="1738" w:type="dxa"/>
            <w:tcBorders>
              <w:left w:val="single" w:color="auto" w:sz="4" w:space="0"/>
            </w:tcBorders>
            <w:vAlign w:val="center"/>
          </w:tcPr>
          <w:p w14:paraId="41F629C3">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采购方式</w:t>
            </w:r>
          </w:p>
        </w:tc>
        <w:tc>
          <w:tcPr>
            <w:tcW w:w="7092" w:type="dxa"/>
            <w:tcBorders>
              <w:right w:val="double" w:color="auto" w:sz="4" w:space="0"/>
            </w:tcBorders>
            <w:vAlign w:val="center"/>
          </w:tcPr>
          <w:p w14:paraId="1BACFA4E">
            <w:pPr>
              <w:snapToGrid w:val="0"/>
              <w:ind w:right="-107" w:rightChars="-51"/>
              <w:rPr>
                <w:rFonts w:ascii="仿宋" w:hAnsi="仿宋" w:eastAsia="仿宋" w:cs="仿宋"/>
                <w:bCs/>
                <w:color w:val="auto"/>
                <w:sz w:val="24"/>
              </w:rPr>
            </w:pPr>
            <w:r>
              <w:rPr>
                <w:rFonts w:hint="eastAsia" w:ascii="仿宋" w:hAnsi="仿宋" w:eastAsia="仿宋" w:cs="仿宋"/>
                <w:bCs/>
                <w:color w:val="auto"/>
                <w:sz w:val="24"/>
              </w:rPr>
              <w:t>公开招标</w:t>
            </w:r>
          </w:p>
        </w:tc>
      </w:tr>
      <w:tr w14:paraId="6EA02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789" w:type="dxa"/>
            <w:tcBorders>
              <w:left w:val="double" w:color="auto" w:sz="4" w:space="0"/>
              <w:right w:val="single" w:color="auto" w:sz="4" w:space="0"/>
            </w:tcBorders>
            <w:vAlign w:val="center"/>
          </w:tcPr>
          <w:p w14:paraId="07F0F4AB">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3</w:t>
            </w:r>
          </w:p>
        </w:tc>
        <w:tc>
          <w:tcPr>
            <w:tcW w:w="1738" w:type="dxa"/>
            <w:tcBorders>
              <w:left w:val="single" w:color="auto" w:sz="4" w:space="0"/>
            </w:tcBorders>
            <w:vAlign w:val="center"/>
          </w:tcPr>
          <w:p w14:paraId="41E6F918">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采购人</w:t>
            </w:r>
          </w:p>
        </w:tc>
        <w:tc>
          <w:tcPr>
            <w:tcW w:w="7092" w:type="dxa"/>
            <w:tcBorders>
              <w:right w:val="double" w:color="auto" w:sz="4" w:space="0"/>
            </w:tcBorders>
            <w:vAlign w:val="center"/>
          </w:tcPr>
          <w:p w14:paraId="54EEF7AB">
            <w:pPr>
              <w:snapToGrid w:val="0"/>
              <w:ind w:right="-107" w:rightChars="-51"/>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遂昌县人民医院</w:t>
            </w:r>
          </w:p>
        </w:tc>
      </w:tr>
      <w:tr w14:paraId="70A98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789" w:type="dxa"/>
            <w:tcBorders>
              <w:left w:val="double" w:color="auto" w:sz="4" w:space="0"/>
              <w:right w:val="single" w:color="auto" w:sz="4" w:space="0"/>
            </w:tcBorders>
            <w:vAlign w:val="center"/>
          </w:tcPr>
          <w:p w14:paraId="1230DDA6">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4</w:t>
            </w:r>
          </w:p>
        </w:tc>
        <w:tc>
          <w:tcPr>
            <w:tcW w:w="1738" w:type="dxa"/>
            <w:tcBorders>
              <w:left w:val="single" w:color="auto" w:sz="4" w:space="0"/>
            </w:tcBorders>
            <w:vAlign w:val="center"/>
          </w:tcPr>
          <w:p w14:paraId="77B3D4FC">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采购代理机构</w:t>
            </w:r>
          </w:p>
        </w:tc>
        <w:tc>
          <w:tcPr>
            <w:tcW w:w="7092" w:type="dxa"/>
            <w:tcBorders>
              <w:right w:val="double" w:color="auto" w:sz="4" w:space="0"/>
            </w:tcBorders>
            <w:vAlign w:val="center"/>
          </w:tcPr>
          <w:p w14:paraId="48FEC3C7">
            <w:pPr>
              <w:snapToGrid w:val="0"/>
              <w:ind w:right="-107" w:rightChars="-51"/>
              <w:rPr>
                <w:rFonts w:ascii="仿宋" w:hAnsi="仿宋" w:eastAsia="仿宋" w:cs="仿宋"/>
                <w:bCs/>
                <w:color w:val="auto"/>
                <w:sz w:val="24"/>
              </w:rPr>
            </w:pPr>
            <w:r>
              <w:rPr>
                <w:rFonts w:hint="eastAsia" w:ascii="仿宋" w:hAnsi="仿宋" w:eastAsia="仿宋" w:cs="仿宋"/>
                <w:bCs/>
                <w:color w:val="auto"/>
                <w:sz w:val="24"/>
              </w:rPr>
              <w:t>遂昌一航采购代理有限公司</w:t>
            </w:r>
          </w:p>
        </w:tc>
      </w:tr>
      <w:tr w14:paraId="7D0E8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789" w:type="dxa"/>
            <w:tcBorders>
              <w:left w:val="double" w:color="auto" w:sz="4" w:space="0"/>
              <w:right w:val="single" w:color="auto" w:sz="4" w:space="0"/>
            </w:tcBorders>
            <w:vAlign w:val="center"/>
          </w:tcPr>
          <w:p w14:paraId="3309F629">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5</w:t>
            </w:r>
          </w:p>
        </w:tc>
        <w:tc>
          <w:tcPr>
            <w:tcW w:w="1738" w:type="dxa"/>
            <w:tcBorders>
              <w:left w:val="single" w:color="auto" w:sz="4" w:space="0"/>
            </w:tcBorders>
            <w:vAlign w:val="center"/>
          </w:tcPr>
          <w:p w14:paraId="20355B89">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投标有效期</w:t>
            </w:r>
          </w:p>
        </w:tc>
        <w:tc>
          <w:tcPr>
            <w:tcW w:w="7092" w:type="dxa"/>
            <w:tcBorders>
              <w:right w:val="double" w:color="auto" w:sz="4" w:space="0"/>
            </w:tcBorders>
            <w:vAlign w:val="center"/>
          </w:tcPr>
          <w:p w14:paraId="3A056C0A">
            <w:pPr>
              <w:snapToGrid w:val="0"/>
              <w:ind w:right="-107" w:rightChars="-51"/>
              <w:rPr>
                <w:rFonts w:ascii="仿宋" w:hAnsi="仿宋" w:eastAsia="仿宋" w:cs="仿宋"/>
                <w:bCs/>
                <w:color w:val="auto"/>
                <w:sz w:val="24"/>
              </w:rPr>
            </w:pPr>
            <w:r>
              <w:rPr>
                <w:rFonts w:hint="eastAsia" w:ascii="仿宋" w:hAnsi="仿宋" w:eastAsia="仿宋" w:cs="仿宋"/>
                <w:bCs/>
                <w:color w:val="auto"/>
                <w:sz w:val="24"/>
              </w:rPr>
              <w:t>提交投标文件的截止之日起90天内有效</w:t>
            </w:r>
          </w:p>
        </w:tc>
      </w:tr>
      <w:tr w14:paraId="78C1D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89" w:type="dxa"/>
            <w:tcBorders>
              <w:left w:val="double" w:color="auto" w:sz="4" w:space="0"/>
              <w:right w:val="single" w:color="auto" w:sz="4" w:space="0"/>
            </w:tcBorders>
            <w:vAlign w:val="center"/>
          </w:tcPr>
          <w:p w14:paraId="31D9E807">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6</w:t>
            </w:r>
          </w:p>
        </w:tc>
        <w:tc>
          <w:tcPr>
            <w:tcW w:w="1738" w:type="dxa"/>
            <w:tcBorders>
              <w:left w:val="single" w:color="auto" w:sz="4" w:space="0"/>
            </w:tcBorders>
            <w:vAlign w:val="center"/>
          </w:tcPr>
          <w:p w14:paraId="0FA73248">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投标文件份数</w:t>
            </w:r>
          </w:p>
        </w:tc>
        <w:tc>
          <w:tcPr>
            <w:tcW w:w="7092" w:type="dxa"/>
            <w:tcBorders>
              <w:right w:val="double" w:color="auto" w:sz="4" w:space="0"/>
            </w:tcBorders>
            <w:vAlign w:val="center"/>
          </w:tcPr>
          <w:p w14:paraId="1C40B08D">
            <w:pPr>
              <w:snapToGrid w:val="0"/>
              <w:rPr>
                <w:rFonts w:ascii="仿宋" w:hAnsi="仿宋" w:eastAsia="仿宋" w:cs="仿宋"/>
                <w:color w:val="auto"/>
                <w:sz w:val="24"/>
              </w:rPr>
            </w:pPr>
            <w:r>
              <w:rPr>
                <w:rFonts w:hint="eastAsia" w:ascii="仿宋" w:hAnsi="仿宋" w:eastAsia="仿宋" w:cs="仿宋"/>
                <w:color w:val="auto"/>
                <w:sz w:val="24"/>
              </w:rPr>
              <w:t>资格审查文件正本</w:t>
            </w:r>
            <w:r>
              <w:rPr>
                <w:rFonts w:hint="eastAsia" w:ascii="仿宋" w:hAnsi="仿宋" w:eastAsia="仿宋" w:cs="仿宋"/>
                <w:color w:val="auto"/>
                <w:sz w:val="24"/>
                <w:u w:val="single"/>
              </w:rPr>
              <w:t>一</w:t>
            </w:r>
            <w:r>
              <w:rPr>
                <w:rFonts w:hint="eastAsia" w:ascii="仿宋" w:hAnsi="仿宋" w:eastAsia="仿宋" w:cs="仿宋"/>
                <w:color w:val="auto"/>
                <w:sz w:val="24"/>
              </w:rPr>
              <w:t>份、副本</w:t>
            </w:r>
            <w:r>
              <w:rPr>
                <w:rFonts w:hint="eastAsia" w:ascii="仿宋" w:hAnsi="仿宋" w:eastAsia="仿宋" w:cs="仿宋"/>
                <w:color w:val="auto"/>
                <w:sz w:val="24"/>
                <w:u w:val="single"/>
                <w:lang w:val="en-US" w:eastAsia="zh-CN"/>
              </w:rPr>
              <w:t>二</w:t>
            </w:r>
            <w:r>
              <w:rPr>
                <w:rFonts w:hint="eastAsia" w:ascii="仿宋" w:hAnsi="仿宋" w:eastAsia="仿宋" w:cs="仿宋"/>
                <w:color w:val="auto"/>
                <w:sz w:val="24"/>
              </w:rPr>
              <w:t>份</w:t>
            </w:r>
            <w:r>
              <w:rPr>
                <w:rFonts w:hint="eastAsia" w:ascii="仿宋" w:hAnsi="仿宋" w:eastAsia="仿宋" w:cs="仿宋"/>
                <w:color w:val="auto"/>
                <w:sz w:val="24"/>
                <w:lang w:eastAsia="zh-CN"/>
              </w:rPr>
              <w:t>；</w:t>
            </w:r>
            <w:r>
              <w:rPr>
                <w:rFonts w:hint="eastAsia" w:ascii="仿宋" w:hAnsi="仿宋" w:eastAsia="仿宋" w:cs="仿宋"/>
                <w:color w:val="auto"/>
                <w:sz w:val="24"/>
              </w:rPr>
              <w:t>资信商务及技术文件、报价文件各正本</w:t>
            </w:r>
            <w:r>
              <w:rPr>
                <w:rFonts w:hint="eastAsia" w:ascii="仿宋" w:hAnsi="仿宋" w:eastAsia="仿宋" w:cs="仿宋"/>
                <w:color w:val="auto"/>
                <w:sz w:val="24"/>
                <w:u w:val="single"/>
              </w:rPr>
              <w:t>一</w:t>
            </w:r>
            <w:r>
              <w:rPr>
                <w:rFonts w:hint="eastAsia" w:ascii="仿宋" w:hAnsi="仿宋" w:eastAsia="仿宋" w:cs="仿宋"/>
                <w:color w:val="auto"/>
                <w:sz w:val="24"/>
              </w:rPr>
              <w:t>份、副本</w:t>
            </w:r>
            <w:r>
              <w:rPr>
                <w:rFonts w:hint="eastAsia" w:ascii="仿宋" w:hAnsi="仿宋" w:eastAsia="仿宋" w:cs="仿宋"/>
                <w:color w:val="auto"/>
                <w:sz w:val="24"/>
                <w:u w:val="single"/>
              </w:rPr>
              <w:t>五</w:t>
            </w:r>
            <w:r>
              <w:rPr>
                <w:rFonts w:hint="eastAsia" w:ascii="仿宋" w:hAnsi="仿宋" w:eastAsia="仿宋" w:cs="仿宋"/>
                <w:color w:val="auto"/>
                <w:sz w:val="24"/>
              </w:rPr>
              <w:t>份。三</w:t>
            </w:r>
            <w:r>
              <w:rPr>
                <w:rFonts w:hint="eastAsia" w:ascii="仿宋" w:hAnsi="仿宋" w:eastAsia="仿宋"/>
                <w:color w:val="auto"/>
                <w:sz w:val="24"/>
              </w:rPr>
              <w:t>部分文件应独立密封包装（注：各部分正本与副本包装在同一个密封袋内）。</w:t>
            </w:r>
          </w:p>
        </w:tc>
      </w:tr>
      <w:tr w14:paraId="5C265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789" w:type="dxa"/>
            <w:tcBorders>
              <w:left w:val="double" w:color="auto" w:sz="4" w:space="0"/>
              <w:right w:val="single" w:color="auto" w:sz="4" w:space="0"/>
            </w:tcBorders>
            <w:vAlign w:val="center"/>
          </w:tcPr>
          <w:p w14:paraId="3EF3FE0F">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7</w:t>
            </w:r>
          </w:p>
        </w:tc>
        <w:tc>
          <w:tcPr>
            <w:tcW w:w="1738" w:type="dxa"/>
            <w:tcBorders>
              <w:left w:val="single" w:color="auto" w:sz="4" w:space="0"/>
            </w:tcBorders>
            <w:vAlign w:val="center"/>
          </w:tcPr>
          <w:p w14:paraId="316659E5">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招标文件质疑</w:t>
            </w:r>
          </w:p>
        </w:tc>
        <w:tc>
          <w:tcPr>
            <w:tcW w:w="7092" w:type="dxa"/>
            <w:tcBorders>
              <w:right w:val="double" w:color="auto" w:sz="4" w:space="0"/>
            </w:tcBorders>
            <w:vAlign w:val="center"/>
          </w:tcPr>
          <w:p w14:paraId="3E9374DE">
            <w:pPr>
              <w:tabs>
                <w:tab w:val="left" w:pos="540"/>
              </w:tabs>
              <w:snapToGrid w:val="0"/>
              <w:rPr>
                <w:rFonts w:ascii="仿宋" w:hAnsi="仿宋" w:eastAsia="仿宋" w:cs="仿宋"/>
                <w:color w:val="auto"/>
                <w:sz w:val="24"/>
              </w:rPr>
            </w:pPr>
            <w:r>
              <w:rPr>
                <w:rFonts w:hint="eastAsia" w:ascii="仿宋" w:hAnsi="仿宋" w:eastAsia="仿宋" w:cs="仿宋"/>
                <w:color w:val="auto"/>
                <w:sz w:val="24"/>
              </w:rPr>
              <w:t>1.只有通过报名获取招标文件的投标人才能对招标文件提出质疑，否则不予受理。</w:t>
            </w:r>
          </w:p>
          <w:p w14:paraId="39F737D9">
            <w:pPr>
              <w:tabs>
                <w:tab w:val="left" w:pos="540"/>
              </w:tabs>
              <w:snapToGrid w:val="0"/>
              <w:rPr>
                <w:rFonts w:ascii="仿宋" w:hAnsi="仿宋" w:eastAsia="仿宋" w:cs="仿宋"/>
                <w:color w:val="auto"/>
                <w:sz w:val="24"/>
              </w:rPr>
            </w:pPr>
            <w:r>
              <w:rPr>
                <w:rFonts w:hint="eastAsia" w:ascii="仿宋" w:hAnsi="仿宋" w:eastAsia="仿宋" w:cs="仿宋"/>
                <w:color w:val="auto"/>
                <w:sz w:val="24"/>
              </w:rPr>
              <w:t>2.投标人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质疑。</w:t>
            </w:r>
          </w:p>
        </w:tc>
      </w:tr>
      <w:tr w14:paraId="1C6F6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89" w:type="dxa"/>
            <w:tcBorders>
              <w:left w:val="double" w:color="auto" w:sz="4" w:space="0"/>
              <w:right w:val="single" w:color="auto" w:sz="4" w:space="0"/>
            </w:tcBorders>
            <w:vAlign w:val="center"/>
          </w:tcPr>
          <w:p w14:paraId="46424D8B">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8</w:t>
            </w:r>
          </w:p>
        </w:tc>
        <w:tc>
          <w:tcPr>
            <w:tcW w:w="1738" w:type="dxa"/>
            <w:tcBorders>
              <w:left w:val="single" w:color="auto" w:sz="4" w:space="0"/>
            </w:tcBorders>
            <w:vAlign w:val="center"/>
          </w:tcPr>
          <w:p w14:paraId="78A5B33F">
            <w:pPr>
              <w:ind w:left="-113" w:leftChars="-54" w:right="-107" w:rightChars="-51"/>
              <w:jc w:val="center"/>
              <w:rPr>
                <w:rFonts w:ascii="仿宋" w:hAnsi="仿宋" w:eastAsia="仿宋" w:cs="仿宋"/>
                <w:bCs/>
                <w:color w:val="auto"/>
                <w:sz w:val="24"/>
              </w:rPr>
            </w:pPr>
            <w:r>
              <w:rPr>
                <w:rFonts w:hint="eastAsia" w:ascii="仿宋_GB2312" w:hAnsi="宋体" w:eastAsia="仿宋_GB2312"/>
                <w:bCs/>
                <w:color w:val="auto"/>
                <w:sz w:val="24"/>
                <w:szCs w:val="24"/>
              </w:rPr>
              <w:t>澄清、修改发布网址</w:t>
            </w:r>
          </w:p>
        </w:tc>
        <w:tc>
          <w:tcPr>
            <w:tcW w:w="7092" w:type="dxa"/>
            <w:tcBorders>
              <w:right w:val="double" w:color="auto" w:sz="4" w:space="0"/>
            </w:tcBorders>
            <w:vAlign w:val="center"/>
          </w:tcPr>
          <w:p w14:paraId="3B5FDF95">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浙江政府采购网（</w:t>
            </w:r>
            <w:r>
              <w:rPr>
                <w:rFonts w:hint="eastAsia" w:ascii="仿宋" w:hAnsi="仿宋" w:eastAsia="仿宋" w:cs="仿宋"/>
                <w:bCs/>
                <w:color w:val="auto"/>
                <w:sz w:val="24"/>
              </w:rPr>
              <w:t>https://zfcg.czt.zj.gov.cn/</w:t>
            </w:r>
            <w:r>
              <w:rPr>
                <w:rFonts w:hint="eastAsia" w:ascii="仿宋" w:hAnsi="仿宋" w:eastAsia="仿宋" w:cs="仿宋"/>
                <w:bCs/>
                <w:color w:val="auto"/>
                <w:sz w:val="24"/>
                <w:lang w:val="en-US" w:eastAsia="zh-CN"/>
              </w:rPr>
              <w:t>）</w:t>
            </w:r>
          </w:p>
          <w:p w14:paraId="4E8E9934">
            <w:pPr>
              <w:snapToGrid w:val="0"/>
              <w:ind w:right="-107" w:rightChars="-51"/>
              <w:rPr>
                <w:rFonts w:ascii="仿宋" w:hAnsi="仿宋" w:eastAsia="仿宋" w:cs="仿宋"/>
                <w:bCs/>
                <w:color w:val="auto"/>
                <w:sz w:val="24"/>
              </w:rPr>
            </w:pPr>
            <w:r>
              <w:rPr>
                <w:rFonts w:hint="eastAsia" w:ascii="仿宋" w:hAnsi="仿宋" w:eastAsia="仿宋" w:cs="仿宋"/>
                <w:bCs/>
                <w:color w:val="auto"/>
                <w:sz w:val="24"/>
              </w:rPr>
              <w:t>丽水市公共资源交易网（https://lssggzy.lishui.gov.cn/）</w:t>
            </w:r>
          </w:p>
        </w:tc>
      </w:tr>
      <w:tr w14:paraId="3652D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89" w:type="dxa"/>
            <w:tcBorders>
              <w:left w:val="double" w:color="auto" w:sz="4" w:space="0"/>
              <w:right w:val="single" w:color="auto" w:sz="4" w:space="0"/>
            </w:tcBorders>
            <w:vAlign w:val="center"/>
          </w:tcPr>
          <w:p w14:paraId="77D1B377">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9</w:t>
            </w:r>
          </w:p>
        </w:tc>
        <w:tc>
          <w:tcPr>
            <w:tcW w:w="1738" w:type="dxa"/>
            <w:tcBorders>
              <w:left w:val="single" w:color="auto" w:sz="4" w:space="0"/>
            </w:tcBorders>
            <w:vAlign w:val="center"/>
          </w:tcPr>
          <w:p w14:paraId="42DEE5F3">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投标文件提交截止时间及地点</w:t>
            </w:r>
          </w:p>
        </w:tc>
        <w:tc>
          <w:tcPr>
            <w:tcW w:w="7092" w:type="dxa"/>
            <w:tcBorders>
              <w:right w:val="double" w:color="auto" w:sz="4" w:space="0"/>
            </w:tcBorders>
            <w:vAlign w:val="center"/>
          </w:tcPr>
          <w:p w14:paraId="7C286FB8">
            <w:pPr>
              <w:tabs>
                <w:tab w:val="left" w:pos="540"/>
              </w:tabs>
              <w:snapToGrid w:val="0"/>
              <w:rPr>
                <w:rFonts w:ascii="仿宋" w:hAnsi="仿宋" w:eastAsia="仿宋" w:cs="仿宋"/>
                <w:bCs/>
                <w:color w:val="auto"/>
                <w:sz w:val="24"/>
              </w:rPr>
            </w:pPr>
            <w:r>
              <w:rPr>
                <w:rFonts w:hint="eastAsia" w:ascii="仿宋" w:hAnsi="仿宋" w:eastAsia="仿宋" w:cs="仿宋"/>
                <w:color w:val="auto"/>
                <w:sz w:val="24"/>
              </w:rPr>
              <w:t>投标人应于</w:t>
            </w:r>
            <w:r>
              <w:rPr>
                <w:rFonts w:hint="eastAsia" w:ascii="仿宋" w:hAnsi="仿宋" w:eastAsia="仿宋" w:cs="仿宋"/>
                <w:color w:val="auto"/>
                <w:sz w:val="24"/>
                <w:lang w:eastAsia="zh-CN"/>
              </w:rPr>
              <w:t>2025年7月10日</w:t>
            </w:r>
            <w:r>
              <w:rPr>
                <w:rFonts w:hint="eastAsia" w:ascii="仿宋" w:hAnsi="仿宋" w:eastAsia="仿宋" w:cs="仿宋"/>
                <w:color w:val="auto"/>
                <w:sz w:val="24"/>
              </w:rPr>
              <w:t>09:30（北京时间）前将投标文件密封送交到遂昌县政务服务中心(遂昌县妙高街道君子路357号A区5楼</w:t>
            </w:r>
            <w:r>
              <w:rPr>
                <w:rFonts w:hint="eastAsia" w:ascii="仿宋" w:hAnsi="仿宋" w:eastAsia="仿宋" w:cs="仿宋"/>
                <w:bCs/>
                <w:color w:val="auto"/>
                <w:sz w:val="24"/>
                <w:szCs w:val="24"/>
              </w:rPr>
              <w:t>开标室</w:t>
            </w:r>
            <w:r>
              <w:rPr>
                <w:rFonts w:hint="eastAsia" w:ascii="仿宋" w:hAnsi="仿宋" w:eastAsia="仿宋" w:cs="仿宋"/>
                <w:color w:val="auto"/>
                <w:sz w:val="24"/>
              </w:rPr>
              <w:t>)，逾期送达作无效投标处理。</w:t>
            </w:r>
          </w:p>
        </w:tc>
      </w:tr>
      <w:tr w14:paraId="670C3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89" w:type="dxa"/>
            <w:tcBorders>
              <w:left w:val="double" w:color="auto" w:sz="4" w:space="0"/>
              <w:right w:val="single" w:color="auto" w:sz="4" w:space="0"/>
            </w:tcBorders>
            <w:vAlign w:val="center"/>
          </w:tcPr>
          <w:p w14:paraId="23A3DF74">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10</w:t>
            </w:r>
          </w:p>
        </w:tc>
        <w:tc>
          <w:tcPr>
            <w:tcW w:w="1738" w:type="dxa"/>
            <w:tcBorders>
              <w:left w:val="single" w:color="auto" w:sz="4" w:space="0"/>
            </w:tcBorders>
            <w:vAlign w:val="center"/>
          </w:tcPr>
          <w:p w14:paraId="60C02654">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开标时间及地点</w:t>
            </w:r>
          </w:p>
        </w:tc>
        <w:tc>
          <w:tcPr>
            <w:tcW w:w="7092" w:type="dxa"/>
            <w:tcBorders>
              <w:right w:val="double" w:color="auto" w:sz="4" w:space="0"/>
            </w:tcBorders>
            <w:vAlign w:val="center"/>
          </w:tcPr>
          <w:p w14:paraId="468B3F67">
            <w:pPr>
              <w:snapToGrid w:val="0"/>
              <w:rPr>
                <w:rFonts w:ascii="仿宋" w:hAnsi="仿宋" w:eastAsia="仿宋" w:cs="仿宋"/>
                <w:bCs/>
                <w:color w:val="auto"/>
                <w:sz w:val="24"/>
              </w:rPr>
            </w:pPr>
            <w:r>
              <w:rPr>
                <w:rFonts w:hint="eastAsia" w:ascii="仿宋" w:hAnsi="仿宋" w:eastAsia="仿宋" w:cs="仿宋"/>
                <w:color w:val="auto"/>
                <w:sz w:val="24"/>
                <w:lang w:eastAsia="zh-CN"/>
              </w:rPr>
              <w:t>2025年7月10日</w:t>
            </w:r>
            <w:r>
              <w:rPr>
                <w:rFonts w:hint="eastAsia" w:ascii="仿宋" w:hAnsi="仿宋" w:eastAsia="仿宋" w:cs="仿宋"/>
                <w:color w:val="auto"/>
                <w:sz w:val="24"/>
              </w:rPr>
              <w:t>09:30（北京时间）在遂昌县政务服务中心(遂昌县妙高街道君子路357号A区5楼</w:t>
            </w:r>
            <w:r>
              <w:rPr>
                <w:rFonts w:hint="eastAsia" w:ascii="仿宋" w:hAnsi="仿宋" w:eastAsia="仿宋" w:cs="仿宋"/>
                <w:bCs/>
                <w:color w:val="auto"/>
                <w:sz w:val="24"/>
                <w:szCs w:val="24"/>
              </w:rPr>
              <w:t>开标室</w:t>
            </w:r>
            <w:r>
              <w:rPr>
                <w:rFonts w:hint="eastAsia" w:ascii="仿宋" w:hAnsi="仿宋" w:eastAsia="仿宋" w:cs="仿宋"/>
                <w:color w:val="auto"/>
                <w:sz w:val="24"/>
              </w:rPr>
              <w:t>)，法定代表人或其授权代表必须出席开标会议。</w:t>
            </w:r>
          </w:p>
        </w:tc>
      </w:tr>
      <w:tr w14:paraId="60812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23" w:hRule="exact"/>
          <w:jc w:val="center"/>
        </w:trPr>
        <w:tc>
          <w:tcPr>
            <w:tcW w:w="789" w:type="dxa"/>
            <w:tcBorders>
              <w:left w:val="double" w:color="auto" w:sz="4" w:space="0"/>
              <w:right w:val="single" w:color="auto" w:sz="4" w:space="0"/>
            </w:tcBorders>
            <w:shd w:val="clear" w:color="auto" w:fill="auto"/>
            <w:vAlign w:val="center"/>
          </w:tcPr>
          <w:p w14:paraId="5AF07BCA">
            <w:pPr>
              <w:jc w:val="center"/>
              <w:rPr>
                <w:rFonts w:hint="default" w:ascii="仿宋" w:hAnsi="仿宋" w:eastAsia="仿宋" w:cs="仿宋"/>
                <w:bCs/>
                <w:snapToGrid w:val="0"/>
                <w:color w:val="auto"/>
                <w:sz w:val="24"/>
                <w:lang w:val="en-US" w:eastAsia="zh-CN"/>
              </w:rPr>
            </w:pPr>
            <w:r>
              <w:rPr>
                <w:rFonts w:hint="eastAsia" w:ascii="仿宋" w:hAnsi="仿宋" w:eastAsia="仿宋" w:cs="仿宋"/>
                <w:bCs/>
                <w:snapToGrid w:val="0"/>
                <w:color w:val="auto"/>
                <w:sz w:val="24"/>
                <w:lang w:val="en-US" w:eastAsia="zh-CN"/>
              </w:rPr>
              <w:t>11</w:t>
            </w:r>
          </w:p>
        </w:tc>
        <w:tc>
          <w:tcPr>
            <w:tcW w:w="1738" w:type="dxa"/>
            <w:tcBorders>
              <w:left w:val="single" w:color="auto" w:sz="4" w:space="0"/>
            </w:tcBorders>
            <w:vAlign w:val="center"/>
          </w:tcPr>
          <w:p w14:paraId="56C9EE37">
            <w:pPr>
              <w:jc w:val="center"/>
              <w:rPr>
                <w:rFonts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投标</w:t>
            </w:r>
            <w:r>
              <w:rPr>
                <w:rFonts w:hint="eastAsia" w:ascii="仿宋" w:hAnsi="仿宋" w:eastAsia="仿宋" w:cs="仿宋"/>
                <w:bCs/>
                <w:snapToGrid w:val="0"/>
                <w:color w:val="auto"/>
                <w:sz w:val="24"/>
                <w:szCs w:val="24"/>
              </w:rPr>
              <w:t>保证金</w:t>
            </w:r>
          </w:p>
        </w:tc>
        <w:tc>
          <w:tcPr>
            <w:tcW w:w="7092" w:type="dxa"/>
            <w:tcBorders>
              <w:right w:val="double" w:color="auto" w:sz="4" w:space="0"/>
            </w:tcBorders>
            <w:vAlign w:val="center"/>
          </w:tcPr>
          <w:p w14:paraId="0F61B070">
            <w:pPr>
              <w:snapToGrid w:val="0"/>
              <w:spacing w:line="240" w:lineRule="auto"/>
              <w:rPr>
                <w:rFonts w:hint="eastAsia" w:ascii="仿宋" w:hAnsi="仿宋" w:eastAsia="仿宋" w:cs="仿宋"/>
                <w:b/>
                <w:bCs w:val="0"/>
                <w:color w:val="auto"/>
                <w:sz w:val="24"/>
                <w:szCs w:val="24"/>
                <w:u w:val="none"/>
                <w:lang w:val="en-US" w:eastAsia="zh-CN"/>
              </w:rPr>
            </w:pPr>
            <w:r>
              <w:rPr>
                <w:rFonts w:hint="eastAsia" w:ascii="仿宋" w:hAnsi="仿宋" w:eastAsia="仿宋" w:cs="仿宋"/>
                <w:bCs/>
                <w:color w:val="auto"/>
                <w:sz w:val="24"/>
                <w:szCs w:val="24"/>
              </w:rPr>
              <w:t>投标保证金金</w:t>
            </w:r>
            <w:r>
              <w:rPr>
                <w:rFonts w:hint="eastAsia" w:ascii="仿宋" w:hAnsi="仿宋" w:eastAsia="仿宋" w:cs="仿宋"/>
                <w:b w:val="0"/>
                <w:bCs/>
                <w:color w:val="auto"/>
                <w:sz w:val="24"/>
                <w:szCs w:val="24"/>
              </w:rPr>
              <w:t>额：</w:t>
            </w:r>
            <w:r>
              <w:rPr>
                <w:rFonts w:hint="eastAsia" w:ascii="仿宋" w:hAnsi="仿宋" w:eastAsia="仿宋" w:cs="仿宋"/>
                <w:b/>
                <w:bCs w:val="0"/>
                <w:color w:val="auto"/>
                <w:sz w:val="24"/>
                <w:szCs w:val="24"/>
                <w:u w:val="none"/>
                <w:lang w:val="en-US" w:eastAsia="zh-CN"/>
              </w:rPr>
              <w:t>人民币贰万元整（¥20,000.00）。</w:t>
            </w:r>
          </w:p>
          <w:p w14:paraId="41E86F4E">
            <w:pPr>
              <w:snapToGrid w:val="0"/>
              <w:spacing w:line="240" w:lineRule="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形式：银行电汇或网银形式提交；不得用现金或现金交纳单提交，不得通过投标人分支机构或第三者账户转入，必须从投标人银行账户汇出，并在本项目</w:t>
            </w:r>
            <w:r>
              <w:rPr>
                <w:rFonts w:hint="eastAsia" w:ascii="仿宋" w:hAnsi="仿宋" w:eastAsia="仿宋" w:cs="仿宋"/>
                <w:bCs/>
                <w:color w:val="auto"/>
                <w:sz w:val="24"/>
                <w:szCs w:val="24"/>
                <w:lang w:val="en-US" w:eastAsia="zh-CN"/>
              </w:rPr>
              <w:t>投标截止时间前（以到账时间为准）</w:t>
            </w:r>
            <w:r>
              <w:rPr>
                <w:rFonts w:hint="eastAsia" w:ascii="仿宋" w:hAnsi="仿宋" w:eastAsia="仿宋" w:cs="仿宋"/>
                <w:bCs/>
                <w:color w:val="auto"/>
                <w:sz w:val="24"/>
                <w:szCs w:val="24"/>
                <w:lang w:eastAsia="zh-CN"/>
              </w:rPr>
              <w:t>到达本项目规定账户。</w:t>
            </w:r>
          </w:p>
          <w:p w14:paraId="6DAFAC58">
            <w:pPr>
              <w:snapToGrid w:val="0"/>
              <w:spacing w:line="240" w:lineRule="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收 款 人：遂昌一航采购代理有限公司</w:t>
            </w:r>
          </w:p>
          <w:p w14:paraId="446BFB9B">
            <w:pPr>
              <w:snapToGrid w:val="0"/>
              <w:spacing w:line="240" w:lineRule="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开户银行：浙江稠州商业银行股份有限公司丽水遂昌支行</w:t>
            </w:r>
          </w:p>
          <w:p w14:paraId="701C2198">
            <w:pPr>
              <w:pStyle w:val="26"/>
              <w:spacing w:after="0" w:line="240" w:lineRule="auto"/>
              <w:ind w:left="0" w:leftChars="0" w:firstLine="0"/>
              <w:rPr>
                <w:rFonts w:ascii="仿宋" w:hAnsi="仿宋" w:eastAsia="仿宋" w:cs="仿宋"/>
                <w:bCs/>
                <w:color w:val="auto"/>
                <w:szCs w:val="24"/>
              </w:rPr>
            </w:pPr>
            <w:r>
              <w:rPr>
                <w:rFonts w:hint="eastAsia" w:ascii="仿宋" w:hAnsi="仿宋" w:eastAsia="仿宋" w:cs="仿宋"/>
                <w:bCs/>
                <w:color w:val="auto"/>
                <w:sz w:val="24"/>
                <w:szCs w:val="24"/>
              </w:rPr>
              <w:t>银行账号：16901012010090006822</w:t>
            </w:r>
          </w:p>
        </w:tc>
      </w:tr>
      <w:tr w14:paraId="54A00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03" w:hRule="exact"/>
          <w:jc w:val="center"/>
        </w:trPr>
        <w:tc>
          <w:tcPr>
            <w:tcW w:w="789" w:type="dxa"/>
            <w:tcBorders>
              <w:left w:val="double" w:color="auto" w:sz="4" w:space="0"/>
              <w:right w:val="single" w:color="auto" w:sz="4" w:space="0"/>
            </w:tcBorders>
            <w:shd w:val="clear" w:color="auto" w:fill="auto"/>
            <w:vAlign w:val="center"/>
          </w:tcPr>
          <w:p w14:paraId="59A53DA2">
            <w:pPr>
              <w:jc w:val="center"/>
              <w:rPr>
                <w:rFonts w:hint="default" w:ascii="仿宋" w:hAnsi="仿宋" w:eastAsia="仿宋" w:cs="仿宋"/>
                <w:bCs/>
                <w:snapToGrid w:val="0"/>
                <w:color w:val="auto"/>
                <w:sz w:val="24"/>
                <w:lang w:val="en-US" w:eastAsia="zh-CN"/>
              </w:rPr>
            </w:pPr>
            <w:r>
              <w:rPr>
                <w:rFonts w:hint="eastAsia" w:ascii="仿宋" w:hAnsi="仿宋" w:eastAsia="仿宋" w:cs="仿宋"/>
                <w:bCs/>
                <w:snapToGrid w:val="0"/>
                <w:color w:val="auto"/>
                <w:sz w:val="24"/>
                <w:lang w:val="en-US" w:eastAsia="zh-CN"/>
              </w:rPr>
              <w:t>12</w:t>
            </w:r>
          </w:p>
        </w:tc>
        <w:tc>
          <w:tcPr>
            <w:tcW w:w="1738" w:type="dxa"/>
            <w:tcBorders>
              <w:left w:val="single" w:color="auto" w:sz="4" w:space="0"/>
            </w:tcBorders>
            <w:vAlign w:val="center"/>
          </w:tcPr>
          <w:p w14:paraId="31A03155">
            <w:pPr>
              <w:jc w:val="center"/>
              <w:rPr>
                <w:rFonts w:hint="default"/>
                <w:color w:val="auto"/>
                <w:lang w:val="en-US" w:eastAsia="zh-CN"/>
              </w:rPr>
            </w:pPr>
            <w:r>
              <w:rPr>
                <w:rFonts w:hint="eastAsia" w:ascii="仿宋" w:hAnsi="仿宋" w:eastAsia="仿宋" w:cs="仿宋"/>
                <w:bCs/>
                <w:snapToGrid w:val="0"/>
                <w:color w:val="auto"/>
                <w:sz w:val="24"/>
                <w:szCs w:val="24"/>
                <w:highlight w:val="none"/>
                <w:lang w:val="en-US" w:eastAsia="zh-CN"/>
              </w:rPr>
              <w:t>履约保证金</w:t>
            </w:r>
          </w:p>
        </w:tc>
        <w:tc>
          <w:tcPr>
            <w:tcW w:w="7092" w:type="dxa"/>
            <w:tcBorders>
              <w:right w:val="double" w:color="auto" w:sz="4" w:space="0"/>
            </w:tcBorders>
            <w:vAlign w:val="center"/>
          </w:tcPr>
          <w:p w14:paraId="01607725">
            <w:pPr>
              <w:pStyle w:val="26"/>
              <w:keepNext w:val="0"/>
              <w:keepLines w:val="0"/>
              <w:pageBreakBefore w:val="0"/>
              <w:widowControl w:val="0"/>
              <w:kinsoku/>
              <w:wordWrap/>
              <w:overflowPunct/>
              <w:topLinePunct w:val="0"/>
              <w:bidi w:val="0"/>
              <w:spacing w:after="0" w:line="240" w:lineRule="auto"/>
              <w:ind w:left="0" w:leftChars="0" w:firstLine="0" w:firstLineChars="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履约保证金金额：</w:t>
            </w:r>
            <w:r>
              <w:rPr>
                <w:rFonts w:hint="eastAsia" w:ascii="仿宋" w:hAnsi="仿宋" w:eastAsia="仿宋" w:cs="仿宋"/>
                <w:b/>
                <w:bCs w:val="0"/>
                <w:color w:val="auto"/>
                <w:sz w:val="24"/>
                <w:szCs w:val="24"/>
                <w:highlight w:val="none"/>
                <w:lang w:val="en-US" w:eastAsia="zh-CN"/>
              </w:rPr>
              <w:t>人民币</w:t>
            </w:r>
            <w:r>
              <w:rPr>
                <w:rFonts w:hint="eastAsia" w:ascii="仿宋" w:hAnsi="仿宋" w:eastAsia="仿宋" w:cs="仿宋"/>
                <w:b/>
                <w:bCs w:val="0"/>
                <w:color w:val="auto"/>
                <w:kern w:val="2"/>
                <w:sz w:val="24"/>
                <w:szCs w:val="24"/>
                <w:lang w:val="en-US" w:eastAsia="zh-CN" w:bidi="ar-SA"/>
              </w:rPr>
              <w:t>壹拾万元整</w:t>
            </w:r>
            <w:r>
              <w:rPr>
                <w:rFonts w:hint="eastAsia" w:ascii="仿宋" w:hAnsi="仿宋" w:eastAsia="仿宋" w:cs="仿宋"/>
                <w:b/>
                <w:bCs w:val="0"/>
                <w:color w:val="auto"/>
                <w:sz w:val="24"/>
                <w:szCs w:val="24"/>
                <w:u w:val="none"/>
                <w:lang w:val="en-US" w:eastAsia="zh-CN"/>
              </w:rPr>
              <w:t>（¥100,000.00）。</w:t>
            </w:r>
          </w:p>
          <w:p w14:paraId="606EBA3D">
            <w:pPr>
              <w:pStyle w:val="26"/>
              <w:keepNext w:val="0"/>
              <w:keepLines w:val="0"/>
              <w:pageBreakBefore w:val="0"/>
              <w:widowControl w:val="0"/>
              <w:kinsoku/>
              <w:wordWrap/>
              <w:overflowPunct/>
              <w:topLinePunct w:val="0"/>
              <w:bidi w:val="0"/>
              <w:spacing w:after="0" w:line="240" w:lineRule="auto"/>
              <w:ind w:left="0" w:leftChars="0" w:firstLine="0" w:firstLineChars="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履约保证金可以采用电汇、转账、银行或保险公司出具履约保函形式缴纳,以到采购人指定银行账户为准。</w:t>
            </w:r>
          </w:p>
          <w:p w14:paraId="5BAA2D96">
            <w:pPr>
              <w:pStyle w:val="26"/>
              <w:keepNext w:val="0"/>
              <w:keepLines w:val="0"/>
              <w:pageBreakBefore w:val="0"/>
              <w:widowControl w:val="0"/>
              <w:kinsoku/>
              <w:wordWrap/>
              <w:overflowPunct/>
              <w:topLinePunct w:val="0"/>
              <w:bidi w:val="0"/>
              <w:spacing w:after="0" w:line="240" w:lineRule="auto"/>
              <w:ind w:left="0" w:leftChars="0" w:firstLine="0" w:firstLineChars="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履约保证金的缴纳：合同签订前缴纳至采购人指定账户。</w:t>
            </w:r>
          </w:p>
          <w:p w14:paraId="3A20A7C6">
            <w:pPr>
              <w:pStyle w:val="26"/>
              <w:spacing w:after="0" w:line="240" w:lineRule="auto"/>
              <w:ind w:left="0" w:leftChars="0" w:firstLine="0"/>
              <w:rPr>
                <w:rFonts w:hint="eastAsia" w:ascii="仿宋" w:hAnsi="仿宋" w:eastAsia="仿宋" w:cs="仿宋"/>
                <w:bCs/>
                <w:color w:val="auto"/>
                <w:sz w:val="24"/>
                <w:szCs w:val="24"/>
              </w:rPr>
            </w:pPr>
            <w:r>
              <w:rPr>
                <w:rFonts w:hint="eastAsia" w:ascii="仿宋" w:hAnsi="仿宋" w:eastAsia="仿宋" w:cs="仿宋"/>
                <w:b w:val="0"/>
                <w:bCs/>
                <w:color w:val="auto"/>
                <w:sz w:val="24"/>
                <w:szCs w:val="24"/>
                <w:highlight w:val="none"/>
                <w:lang w:val="en-US" w:eastAsia="zh-CN"/>
              </w:rPr>
              <w:t>履约保证金的退还：</w:t>
            </w:r>
            <w:r>
              <w:rPr>
                <w:rFonts w:hint="eastAsia" w:ascii="仿宋" w:hAnsi="仿宋" w:eastAsia="仿宋" w:cs="仿宋"/>
                <w:color w:val="auto"/>
                <w:kern w:val="2"/>
                <w:sz w:val="24"/>
                <w:szCs w:val="24"/>
                <w:lang w:val="en-US" w:eastAsia="zh-CN" w:bidi="ar-SA"/>
              </w:rPr>
              <w:t>在承包期满，中标人清空及点清浮产（桌、椅、灶具等）、交还房屋及设施等并确认未破坏房屋主体结构、结清水电等费用、无安全事故及其他违约行为的，院方确认后10个工作日内无息退还。</w:t>
            </w:r>
          </w:p>
        </w:tc>
      </w:tr>
      <w:tr w14:paraId="784FF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789" w:type="dxa"/>
            <w:tcBorders>
              <w:left w:val="double" w:color="auto" w:sz="4" w:space="0"/>
              <w:right w:val="single" w:color="auto" w:sz="4" w:space="0"/>
            </w:tcBorders>
            <w:shd w:val="clear" w:color="auto" w:fill="auto"/>
            <w:vAlign w:val="center"/>
          </w:tcPr>
          <w:p w14:paraId="567F914B">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13</w:t>
            </w:r>
          </w:p>
        </w:tc>
        <w:tc>
          <w:tcPr>
            <w:tcW w:w="1738" w:type="dxa"/>
            <w:tcBorders>
              <w:left w:val="single" w:color="auto" w:sz="4" w:space="0"/>
            </w:tcBorders>
            <w:vAlign w:val="center"/>
          </w:tcPr>
          <w:p w14:paraId="76F5D4CB">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评审办法和细则</w:t>
            </w:r>
          </w:p>
        </w:tc>
        <w:tc>
          <w:tcPr>
            <w:tcW w:w="7092" w:type="dxa"/>
            <w:tcBorders>
              <w:right w:val="double" w:color="auto" w:sz="4" w:space="0"/>
            </w:tcBorders>
            <w:vAlign w:val="center"/>
          </w:tcPr>
          <w:p w14:paraId="4FF154D3">
            <w:pPr>
              <w:snapToGrid w:val="0"/>
              <w:ind w:right="-107" w:rightChars="-51"/>
              <w:rPr>
                <w:rFonts w:ascii="仿宋" w:hAnsi="仿宋" w:eastAsia="仿宋" w:cs="仿宋"/>
                <w:bCs/>
                <w:color w:val="auto"/>
                <w:sz w:val="24"/>
              </w:rPr>
            </w:pPr>
            <w:r>
              <w:rPr>
                <w:rFonts w:hint="eastAsia" w:ascii="仿宋" w:hAnsi="仿宋" w:eastAsia="仿宋" w:cs="仿宋"/>
                <w:bCs/>
                <w:color w:val="auto"/>
                <w:sz w:val="24"/>
              </w:rPr>
              <w:t>采用综合评分法，详见招标文件“第六章评审办法和细则”</w:t>
            </w:r>
          </w:p>
        </w:tc>
      </w:tr>
      <w:tr w14:paraId="1E474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789" w:type="dxa"/>
            <w:tcBorders>
              <w:left w:val="double" w:color="auto" w:sz="4" w:space="0"/>
              <w:right w:val="single" w:color="auto" w:sz="4" w:space="0"/>
            </w:tcBorders>
            <w:shd w:val="clear" w:color="auto" w:fill="auto"/>
            <w:vAlign w:val="center"/>
          </w:tcPr>
          <w:p w14:paraId="2FC9FD1E">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14</w:t>
            </w:r>
          </w:p>
        </w:tc>
        <w:tc>
          <w:tcPr>
            <w:tcW w:w="1738" w:type="dxa"/>
            <w:tcBorders>
              <w:left w:val="single" w:color="auto" w:sz="4" w:space="0"/>
            </w:tcBorders>
            <w:vAlign w:val="center"/>
          </w:tcPr>
          <w:p w14:paraId="730043D5">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中标结果公告及中标通知书</w:t>
            </w:r>
          </w:p>
        </w:tc>
        <w:tc>
          <w:tcPr>
            <w:tcW w:w="7092" w:type="dxa"/>
            <w:tcBorders>
              <w:right w:val="double" w:color="auto" w:sz="4" w:space="0"/>
            </w:tcBorders>
            <w:vAlign w:val="center"/>
          </w:tcPr>
          <w:p w14:paraId="6C373DB5">
            <w:pPr>
              <w:snapToGrid w:val="0"/>
              <w:ind w:right="-107" w:rightChars="-51"/>
              <w:rPr>
                <w:rFonts w:ascii="仿宋" w:hAnsi="仿宋" w:eastAsia="仿宋" w:cs="仿宋"/>
                <w:bCs/>
                <w:color w:val="auto"/>
                <w:sz w:val="24"/>
              </w:rPr>
            </w:pPr>
            <w:r>
              <w:rPr>
                <w:rFonts w:hint="eastAsia" w:ascii="仿宋" w:hAnsi="仿宋" w:eastAsia="仿宋" w:cs="仿宋"/>
                <w:bCs/>
                <w:color w:val="auto"/>
                <w:kern w:val="0"/>
                <w:sz w:val="24"/>
              </w:rPr>
              <w:t>评审报告经采购人确认后2个工作日内，</w:t>
            </w:r>
            <w:r>
              <w:rPr>
                <w:rFonts w:hint="eastAsia" w:ascii="仿宋" w:hAnsi="仿宋" w:eastAsia="仿宋" w:cs="仿宋"/>
                <w:bCs/>
                <w:color w:val="auto"/>
                <w:sz w:val="24"/>
              </w:rPr>
              <w:t>成交结果公告在</w:t>
            </w:r>
            <w:r>
              <w:rPr>
                <w:rFonts w:hint="eastAsia" w:ascii="仿宋" w:hAnsi="仿宋" w:eastAsia="仿宋" w:cs="仿宋"/>
                <w:bCs/>
                <w:color w:val="auto"/>
                <w:sz w:val="24"/>
                <w:lang w:val="en-US" w:eastAsia="zh-CN"/>
              </w:rPr>
              <w:t>浙江政府采购网（</w:t>
            </w:r>
            <w:r>
              <w:rPr>
                <w:rFonts w:hint="eastAsia" w:ascii="仿宋" w:hAnsi="仿宋" w:eastAsia="仿宋" w:cs="仿宋"/>
                <w:bCs/>
                <w:color w:val="auto"/>
                <w:sz w:val="24"/>
              </w:rPr>
              <w:t>https://zfcg.czt.zj.gov.cn/</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丽水市公共资源交易网（https://lssggzy.lishui.gov.cn/）发布，</w:t>
            </w:r>
            <w:r>
              <w:rPr>
                <w:rFonts w:hint="eastAsia" w:ascii="仿宋" w:hAnsi="仿宋" w:eastAsia="仿宋" w:cs="仿宋"/>
                <w:bCs/>
                <w:color w:val="auto"/>
                <w:kern w:val="0"/>
                <w:sz w:val="24"/>
              </w:rPr>
              <w:t>并同时发出</w:t>
            </w:r>
            <w:r>
              <w:rPr>
                <w:rFonts w:hint="eastAsia" w:ascii="仿宋" w:hAnsi="仿宋" w:eastAsia="仿宋" w:cs="仿宋"/>
                <w:bCs/>
                <w:color w:val="auto"/>
                <w:kern w:val="0"/>
                <w:sz w:val="24"/>
                <w:lang w:val="en-US" w:eastAsia="zh-CN"/>
              </w:rPr>
              <w:t>中标</w:t>
            </w:r>
            <w:r>
              <w:rPr>
                <w:rFonts w:hint="eastAsia" w:ascii="仿宋" w:hAnsi="仿宋" w:eastAsia="仿宋" w:cs="仿宋"/>
                <w:bCs/>
                <w:color w:val="auto"/>
                <w:kern w:val="0"/>
                <w:sz w:val="24"/>
              </w:rPr>
              <w:t>通知书。</w:t>
            </w:r>
          </w:p>
        </w:tc>
      </w:tr>
      <w:tr w14:paraId="66470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89" w:type="dxa"/>
            <w:tcBorders>
              <w:left w:val="double" w:color="auto" w:sz="4" w:space="0"/>
              <w:right w:val="single" w:color="auto" w:sz="4" w:space="0"/>
            </w:tcBorders>
            <w:shd w:val="clear" w:color="auto" w:fill="auto"/>
            <w:vAlign w:val="center"/>
          </w:tcPr>
          <w:p w14:paraId="2FAFB1C9">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15</w:t>
            </w:r>
          </w:p>
        </w:tc>
        <w:tc>
          <w:tcPr>
            <w:tcW w:w="1738" w:type="dxa"/>
            <w:tcBorders>
              <w:left w:val="single" w:color="auto" w:sz="4" w:space="0"/>
            </w:tcBorders>
            <w:vAlign w:val="center"/>
          </w:tcPr>
          <w:p w14:paraId="024446FD">
            <w:pPr>
              <w:ind w:left="-113" w:leftChars="-54" w:right="-107" w:rightChars="-51"/>
              <w:jc w:val="center"/>
              <w:rPr>
                <w:rFonts w:ascii="仿宋" w:hAnsi="仿宋" w:eastAsia="仿宋" w:cs="仿宋"/>
                <w:bCs/>
                <w:color w:val="auto"/>
                <w:sz w:val="24"/>
              </w:rPr>
            </w:pPr>
            <w:r>
              <w:rPr>
                <w:rFonts w:hint="eastAsia" w:ascii="仿宋" w:hAnsi="仿宋" w:eastAsia="仿宋" w:cs="仿宋"/>
                <w:bCs/>
                <w:color w:val="auto"/>
                <w:sz w:val="24"/>
              </w:rPr>
              <w:t>签订合同</w:t>
            </w:r>
          </w:p>
        </w:tc>
        <w:tc>
          <w:tcPr>
            <w:tcW w:w="7092" w:type="dxa"/>
            <w:tcBorders>
              <w:right w:val="double" w:color="auto" w:sz="4" w:space="0"/>
            </w:tcBorders>
            <w:vAlign w:val="center"/>
          </w:tcPr>
          <w:p w14:paraId="1063F8A8">
            <w:pPr>
              <w:snapToGrid w:val="0"/>
              <w:ind w:right="-107" w:rightChars="-51"/>
              <w:rPr>
                <w:rFonts w:ascii="仿宋" w:hAnsi="仿宋" w:eastAsia="仿宋" w:cs="仿宋"/>
                <w:bCs/>
                <w:color w:val="auto"/>
                <w:sz w:val="24"/>
              </w:rPr>
            </w:pPr>
            <w:r>
              <w:rPr>
                <w:rFonts w:hint="eastAsia" w:ascii="仿宋" w:hAnsi="仿宋" w:eastAsia="仿宋" w:cs="仿宋"/>
                <w:bCs/>
                <w:color w:val="auto"/>
                <w:sz w:val="24"/>
              </w:rPr>
              <w:t>中标通知书发出之日起30日内，按照招标文件确定的事项签订采购合同。</w:t>
            </w:r>
          </w:p>
        </w:tc>
      </w:tr>
      <w:tr w14:paraId="23480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789" w:type="dxa"/>
            <w:tcBorders>
              <w:left w:val="double" w:color="auto" w:sz="4" w:space="0"/>
              <w:right w:val="single" w:color="auto" w:sz="4" w:space="0"/>
            </w:tcBorders>
            <w:shd w:val="clear" w:color="auto" w:fill="auto"/>
            <w:vAlign w:val="center"/>
          </w:tcPr>
          <w:p w14:paraId="4DE342F1">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16</w:t>
            </w:r>
          </w:p>
        </w:tc>
        <w:tc>
          <w:tcPr>
            <w:tcW w:w="1738" w:type="dxa"/>
            <w:tcBorders>
              <w:left w:val="single" w:color="auto" w:sz="4" w:space="0"/>
            </w:tcBorders>
            <w:vAlign w:val="center"/>
          </w:tcPr>
          <w:p w14:paraId="228BF224">
            <w:pPr>
              <w:ind w:left="-113" w:leftChars="-54" w:right="-107" w:rightChars="-51"/>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招标文件解释</w:t>
            </w:r>
          </w:p>
        </w:tc>
        <w:tc>
          <w:tcPr>
            <w:tcW w:w="7092" w:type="dxa"/>
            <w:tcBorders>
              <w:right w:val="double" w:color="auto" w:sz="4" w:space="0"/>
            </w:tcBorders>
            <w:vAlign w:val="center"/>
          </w:tcPr>
          <w:p w14:paraId="6DD519B4">
            <w:pPr>
              <w:snapToGrid w:val="0"/>
              <w:ind w:right="-107" w:rightChars="-51"/>
              <w:rPr>
                <w:rFonts w:ascii="仿宋" w:hAnsi="仿宋" w:eastAsia="仿宋" w:cs="仿宋"/>
                <w:bCs/>
                <w:color w:val="auto"/>
                <w:sz w:val="24"/>
              </w:rPr>
            </w:pPr>
            <w:r>
              <w:rPr>
                <w:rFonts w:hint="eastAsia" w:ascii="仿宋" w:hAnsi="仿宋" w:eastAsia="仿宋" w:cs="仿宋"/>
                <w:bCs/>
                <w:color w:val="auto"/>
                <w:sz w:val="24"/>
              </w:rPr>
              <w:t>本项目招标文件的解释权属于遂昌一航采购代理有限公司</w:t>
            </w:r>
          </w:p>
        </w:tc>
      </w:tr>
      <w:tr w14:paraId="0A266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89" w:type="dxa"/>
            <w:tcBorders>
              <w:left w:val="double" w:color="auto" w:sz="4" w:space="0"/>
              <w:right w:val="single" w:color="auto" w:sz="4" w:space="0"/>
            </w:tcBorders>
            <w:shd w:val="clear" w:color="auto" w:fill="auto"/>
            <w:vAlign w:val="center"/>
          </w:tcPr>
          <w:p w14:paraId="1DE634A9">
            <w:pPr>
              <w:jc w:val="center"/>
              <w:rPr>
                <w:rFonts w:ascii="仿宋" w:hAnsi="仿宋" w:eastAsia="仿宋" w:cs="仿宋"/>
                <w:bCs/>
                <w:snapToGrid w:val="0"/>
                <w:color w:val="auto"/>
                <w:sz w:val="24"/>
              </w:rPr>
            </w:pPr>
            <w:r>
              <w:rPr>
                <w:rFonts w:hint="eastAsia" w:ascii="仿宋" w:hAnsi="仿宋" w:eastAsia="仿宋" w:cs="仿宋"/>
                <w:bCs/>
                <w:snapToGrid w:val="0"/>
                <w:color w:val="auto"/>
                <w:sz w:val="24"/>
              </w:rPr>
              <w:t>17</w:t>
            </w:r>
          </w:p>
        </w:tc>
        <w:tc>
          <w:tcPr>
            <w:tcW w:w="1738" w:type="dxa"/>
            <w:tcBorders>
              <w:left w:val="single" w:color="auto" w:sz="4" w:space="0"/>
            </w:tcBorders>
            <w:vAlign w:val="center"/>
          </w:tcPr>
          <w:p w14:paraId="237EE6E7">
            <w:pPr>
              <w:ind w:left="-113" w:leftChars="-54" w:right="-107" w:rightChars="-51"/>
              <w:jc w:val="center"/>
              <w:rPr>
                <w:rFonts w:ascii="仿宋" w:hAnsi="仿宋" w:eastAsia="仿宋" w:cs="仿宋"/>
                <w:color w:val="auto"/>
                <w:sz w:val="24"/>
              </w:rPr>
            </w:pPr>
            <w:r>
              <w:rPr>
                <w:rFonts w:hint="eastAsia" w:ascii="仿宋" w:hAnsi="仿宋" w:eastAsia="仿宋" w:cs="仿宋"/>
                <w:color w:val="auto"/>
                <w:sz w:val="24"/>
              </w:rPr>
              <w:t>发布媒体</w:t>
            </w:r>
          </w:p>
        </w:tc>
        <w:tc>
          <w:tcPr>
            <w:tcW w:w="7092" w:type="dxa"/>
            <w:tcBorders>
              <w:right w:val="double" w:color="auto" w:sz="4" w:space="0"/>
            </w:tcBorders>
            <w:vAlign w:val="center"/>
          </w:tcPr>
          <w:p w14:paraId="69BD3C5F">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浙江政府采购网（</w:t>
            </w:r>
            <w:r>
              <w:rPr>
                <w:rFonts w:hint="eastAsia" w:ascii="仿宋" w:hAnsi="仿宋" w:eastAsia="仿宋" w:cs="仿宋"/>
                <w:bCs/>
                <w:color w:val="auto"/>
                <w:sz w:val="24"/>
              </w:rPr>
              <w:t>https://zfcg.czt.zj.gov.cn/</w:t>
            </w:r>
            <w:r>
              <w:rPr>
                <w:rFonts w:hint="eastAsia" w:ascii="仿宋" w:hAnsi="仿宋" w:eastAsia="仿宋" w:cs="仿宋"/>
                <w:bCs/>
                <w:color w:val="auto"/>
                <w:sz w:val="24"/>
                <w:lang w:val="en-US" w:eastAsia="zh-CN"/>
              </w:rPr>
              <w:t>）</w:t>
            </w:r>
          </w:p>
          <w:p w14:paraId="3F5AA8C0">
            <w:pPr>
              <w:snapToGrid w:val="0"/>
              <w:ind w:right="-107" w:rightChars="-51"/>
              <w:rPr>
                <w:rFonts w:ascii="仿宋" w:hAnsi="仿宋" w:eastAsia="仿宋" w:cs="仿宋"/>
                <w:bCs/>
                <w:color w:val="auto"/>
                <w:sz w:val="24"/>
              </w:rPr>
            </w:pPr>
            <w:r>
              <w:rPr>
                <w:rFonts w:hint="eastAsia" w:ascii="仿宋" w:hAnsi="仿宋" w:eastAsia="仿宋" w:cs="仿宋"/>
                <w:bCs/>
                <w:color w:val="auto"/>
                <w:sz w:val="24"/>
              </w:rPr>
              <w:t>丽水市公共资源交易网（https://lssggzy.lishui.gov.cn/）</w:t>
            </w:r>
          </w:p>
        </w:tc>
      </w:tr>
      <w:tr w14:paraId="0A185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89" w:type="dxa"/>
            <w:tcBorders>
              <w:left w:val="double" w:color="auto" w:sz="4" w:space="0"/>
              <w:right w:val="single" w:color="auto" w:sz="4" w:space="0"/>
            </w:tcBorders>
            <w:vAlign w:val="center"/>
          </w:tcPr>
          <w:p w14:paraId="7F853132">
            <w:pPr>
              <w:jc w:val="center"/>
              <w:rPr>
                <w:rFonts w:ascii="仿宋" w:hAnsi="仿宋" w:eastAsia="仿宋" w:cs="仿宋"/>
                <w:bCs/>
                <w:snapToGrid w:val="0"/>
                <w:color w:val="auto"/>
                <w:sz w:val="24"/>
              </w:rPr>
            </w:pPr>
            <w:bookmarkStart w:id="72" w:name="_Toc27292"/>
            <w:r>
              <w:rPr>
                <w:rFonts w:hint="eastAsia" w:ascii="仿宋" w:hAnsi="仿宋" w:eastAsia="仿宋" w:cs="仿宋"/>
                <w:bCs/>
                <w:snapToGrid w:val="0"/>
                <w:color w:val="auto"/>
                <w:sz w:val="24"/>
              </w:rPr>
              <w:t>18</w:t>
            </w:r>
          </w:p>
        </w:tc>
        <w:tc>
          <w:tcPr>
            <w:tcW w:w="1738" w:type="dxa"/>
            <w:tcBorders>
              <w:left w:val="single" w:color="auto" w:sz="4" w:space="0"/>
            </w:tcBorders>
            <w:vAlign w:val="center"/>
          </w:tcPr>
          <w:p w14:paraId="33BD4F6A">
            <w:pPr>
              <w:ind w:left="-113" w:leftChars="-54" w:right="-107" w:rightChars="-51"/>
              <w:jc w:val="center"/>
              <w:rPr>
                <w:rFonts w:ascii="仿宋" w:hAnsi="仿宋" w:eastAsia="仿宋" w:cs="仿宋"/>
                <w:b/>
                <w:bCs/>
                <w:color w:val="auto"/>
                <w:sz w:val="24"/>
              </w:rPr>
            </w:pPr>
            <w:r>
              <w:rPr>
                <w:rFonts w:hint="eastAsia" w:ascii="仿宋" w:hAnsi="仿宋" w:eastAsia="仿宋" w:cs="仿宋"/>
                <w:b/>
                <w:bCs/>
                <w:color w:val="auto"/>
                <w:sz w:val="24"/>
              </w:rPr>
              <w:t>原件提醒</w:t>
            </w:r>
          </w:p>
        </w:tc>
        <w:tc>
          <w:tcPr>
            <w:tcW w:w="7092" w:type="dxa"/>
            <w:tcBorders>
              <w:right w:val="double" w:color="auto" w:sz="4" w:space="0"/>
            </w:tcBorders>
            <w:vAlign w:val="center"/>
          </w:tcPr>
          <w:p w14:paraId="009C5FEA">
            <w:pPr>
              <w:ind w:left="-113" w:leftChars="-54" w:right="-107" w:rightChars="-51"/>
              <w:jc w:val="left"/>
              <w:rPr>
                <w:rFonts w:ascii="仿宋" w:hAnsi="仿宋" w:eastAsia="仿宋" w:cs="仿宋"/>
                <w:b/>
                <w:bCs/>
                <w:color w:val="auto"/>
                <w:sz w:val="24"/>
              </w:rPr>
            </w:pPr>
            <w:r>
              <w:rPr>
                <w:rFonts w:hint="eastAsia" w:ascii="仿宋" w:hAnsi="仿宋" w:eastAsia="仿宋" w:cs="仿宋"/>
                <w:b/>
                <w:bCs/>
                <w:color w:val="auto"/>
                <w:sz w:val="24"/>
              </w:rPr>
              <w:t>请投标人根据资格审查要求和投标文件格式要求及评标办法要求提供相关原件，所有原件可装入同一档案袋内（原件较多的，可分袋装），所有原件于投标截止时间前提交，逾期不予受理。未按要求提供原件所造成的风险由投标人自行承担。</w:t>
            </w:r>
          </w:p>
        </w:tc>
      </w:tr>
      <w:bookmarkEnd w:id="70"/>
    </w:tbl>
    <w:p w14:paraId="629A7947">
      <w:pPr>
        <w:rPr>
          <w:rFonts w:ascii="仿宋" w:hAnsi="仿宋" w:eastAsia="仿宋" w:cs="仿宋"/>
          <w:color w:val="auto"/>
        </w:rPr>
      </w:pPr>
    </w:p>
    <w:p w14:paraId="66D04035">
      <w:pPr>
        <w:pStyle w:val="25"/>
        <w:rPr>
          <w:rFonts w:ascii="仿宋" w:hAnsi="仿宋" w:eastAsia="仿宋" w:cs="仿宋"/>
          <w:color w:val="auto"/>
        </w:rPr>
      </w:pPr>
    </w:p>
    <w:p w14:paraId="5B9C2A37">
      <w:pPr>
        <w:pStyle w:val="25"/>
        <w:rPr>
          <w:rFonts w:ascii="仿宋" w:hAnsi="仿宋" w:eastAsia="仿宋" w:cs="仿宋"/>
          <w:color w:val="auto"/>
        </w:rPr>
      </w:pPr>
    </w:p>
    <w:p w14:paraId="5CF08A5D">
      <w:pPr>
        <w:pStyle w:val="25"/>
        <w:rPr>
          <w:rFonts w:ascii="仿宋" w:hAnsi="仿宋" w:eastAsia="仿宋" w:cs="仿宋"/>
          <w:color w:val="auto"/>
        </w:rPr>
      </w:pPr>
    </w:p>
    <w:p w14:paraId="4CA88634">
      <w:pPr>
        <w:pStyle w:val="25"/>
        <w:rPr>
          <w:rFonts w:ascii="仿宋" w:hAnsi="仿宋" w:eastAsia="仿宋" w:cs="仿宋"/>
          <w:color w:val="auto"/>
        </w:rPr>
      </w:pPr>
    </w:p>
    <w:p w14:paraId="0868F39D">
      <w:pPr>
        <w:pStyle w:val="25"/>
        <w:rPr>
          <w:rFonts w:ascii="仿宋" w:hAnsi="仿宋" w:eastAsia="仿宋" w:cs="仿宋"/>
          <w:color w:val="auto"/>
        </w:rPr>
      </w:pPr>
    </w:p>
    <w:p w14:paraId="35733939">
      <w:pPr>
        <w:pStyle w:val="25"/>
        <w:rPr>
          <w:rFonts w:ascii="仿宋" w:hAnsi="仿宋" w:eastAsia="仿宋" w:cs="仿宋"/>
          <w:color w:val="auto"/>
        </w:rPr>
      </w:pPr>
    </w:p>
    <w:p w14:paraId="7BBBDECD">
      <w:pPr>
        <w:pStyle w:val="25"/>
        <w:rPr>
          <w:rFonts w:ascii="仿宋" w:hAnsi="仿宋" w:eastAsia="仿宋" w:cs="仿宋"/>
          <w:color w:val="auto"/>
        </w:rPr>
      </w:pPr>
    </w:p>
    <w:p w14:paraId="1301FFD7">
      <w:pPr>
        <w:pStyle w:val="25"/>
        <w:rPr>
          <w:rFonts w:ascii="仿宋" w:hAnsi="仿宋" w:eastAsia="仿宋" w:cs="仿宋"/>
          <w:color w:val="auto"/>
        </w:rPr>
      </w:pPr>
    </w:p>
    <w:p w14:paraId="3921B15F">
      <w:pPr>
        <w:pStyle w:val="25"/>
        <w:rPr>
          <w:rFonts w:ascii="仿宋" w:hAnsi="仿宋" w:eastAsia="仿宋" w:cs="仿宋"/>
          <w:color w:val="auto"/>
        </w:rPr>
      </w:pPr>
    </w:p>
    <w:p w14:paraId="73BF8770">
      <w:pPr>
        <w:pStyle w:val="25"/>
        <w:rPr>
          <w:rFonts w:ascii="仿宋" w:hAnsi="仿宋" w:eastAsia="仿宋" w:cs="仿宋"/>
          <w:color w:val="auto"/>
        </w:rPr>
      </w:pPr>
    </w:p>
    <w:p w14:paraId="3B631928">
      <w:pPr>
        <w:pStyle w:val="25"/>
        <w:rPr>
          <w:rFonts w:ascii="仿宋" w:hAnsi="仿宋" w:eastAsia="仿宋" w:cs="仿宋"/>
          <w:color w:val="auto"/>
        </w:rPr>
      </w:pPr>
    </w:p>
    <w:p w14:paraId="0197B6A1">
      <w:pPr>
        <w:pStyle w:val="25"/>
        <w:rPr>
          <w:rFonts w:ascii="仿宋" w:hAnsi="仿宋" w:eastAsia="仿宋" w:cs="仿宋"/>
          <w:color w:val="auto"/>
        </w:rPr>
      </w:pPr>
    </w:p>
    <w:p w14:paraId="3F19EEAD">
      <w:pPr>
        <w:pStyle w:val="25"/>
        <w:rPr>
          <w:rFonts w:ascii="仿宋" w:hAnsi="仿宋" w:eastAsia="仿宋" w:cs="仿宋"/>
          <w:color w:val="auto"/>
        </w:rPr>
      </w:pPr>
    </w:p>
    <w:p w14:paraId="0B2789DD">
      <w:pPr>
        <w:pStyle w:val="25"/>
        <w:rPr>
          <w:rFonts w:ascii="仿宋" w:hAnsi="仿宋" w:eastAsia="仿宋" w:cs="仿宋"/>
          <w:color w:val="auto"/>
        </w:rPr>
      </w:pPr>
    </w:p>
    <w:p w14:paraId="112BA4EE">
      <w:pPr>
        <w:pStyle w:val="25"/>
        <w:rPr>
          <w:rFonts w:ascii="仿宋" w:hAnsi="仿宋" w:eastAsia="仿宋" w:cs="仿宋"/>
          <w:color w:val="auto"/>
        </w:rPr>
      </w:pPr>
    </w:p>
    <w:p w14:paraId="5B2B7212">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ascii="仿宋" w:hAnsi="仿宋" w:eastAsia="仿宋" w:cs="仿宋"/>
          <w:color w:val="auto"/>
          <w:sz w:val="32"/>
        </w:rPr>
      </w:pPr>
      <w:bookmarkStart w:id="73" w:name="_Toc31796"/>
      <w:r>
        <w:rPr>
          <w:rFonts w:hint="eastAsia" w:ascii="仿宋" w:hAnsi="仿宋" w:eastAsia="仿宋" w:cs="仿宋"/>
          <w:color w:val="auto"/>
          <w:sz w:val="32"/>
        </w:rPr>
        <w:t>一  总则</w:t>
      </w:r>
      <w:bookmarkEnd w:id="71"/>
      <w:bookmarkEnd w:id="72"/>
      <w:bookmarkEnd w:id="73"/>
    </w:p>
    <w:p w14:paraId="2CC3F375">
      <w:pPr>
        <w:numPr>
          <w:ilvl w:val="0"/>
          <w:numId w:val="17"/>
        </w:num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适用范围</w:t>
      </w:r>
    </w:p>
    <w:p w14:paraId="745F9DF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1.1 </w:t>
      </w:r>
      <w:r>
        <w:rPr>
          <w:rFonts w:hint="eastAsia" w:ascii="仿宋" w:hAnsi="仿宋" w:eastAsia="仿宋" w:cs="仿宋"/>
          <w:bCs/>
          <w:color w:val="auto"/>
          <w:sz w:val="24"/>
        </w:rPr>
        <w:t>招标文件</w:t>
      </w:r>
      <w:r>
        <w:rPr>
          <w:rFonts w:hint="eastAsia" w:ascii="仿宋" w:hAnsi="仿宋" w:eastAsia="仿宋" w:cs="仿宋"/>
          <w:color w:val="auto"/>
          <w:sz w:val="24"/>
        </w:rPr>
        <w:t>适用于本次所述项目的采购行为（法律、法规另有规定的，从其规定）。</w:t>
      </w:r>
    </w:p>
    <w:p w14:paraId="133B7A4D">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 定义</w:t>
      </w:r>
    </w:p>
    <w:p w14:paraId="6BCF9BB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2.1.1 “采购人”系指</w:t>
      </w:r>
      <w:r>
        <w:rPr>
          <w:rFonts w:hint="eastAsia" w:ascii="仿宋" w:hAnsi="仿宋" w:eastAsia="仿宋" w:cs="仿宋"/>
          <w:color w:val="auto"/>
          <w:sz w:val="24"/>
          <w:lang w:eastAsia="zh-CN"/>
        </w:rPr>
        <w:t>遂昌县人民医院</w:t>
      </w:r>
      <w:r>
        <w:rPr>
          <w:rFonts w:hint="eastAsia" w:ascii="仿宋" w:hAnsi="仿宋" w:eastAsia="仿宋" w:cs="仿宋"/>
          <w:color w:val="auto"/>
          <w:sz w:val="24"/>
        </w:rPr>
        <w:t>。</w:t>
      </w:r>
    </w:p>
    <w:p w14:paraId="16966B3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 “采购代理机构”系指遂昌一航采购代理有限公司。</w:t>
      </w:r>
    </w:p>
    <w:p w14:paraId="239CEB6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2.1.3 “投标人”系指符合本项目资格要求，依法获取招标文件并参与项目投标的供应商。“投标人代表”系指投标文件中的负责人或其授权的委托代理人。</w:t>
      </w:r>
    </w:p>
    <w:p w14:paraId="55FF01D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2.1.4 “负责人”系指法人企业的法定负责人，或其他组织为法律、行政法规规定代表单位行使职权的主要负责人，或自然人本人。</w:t>
      </w:r>
    </w:p>
    <w:p w14:paraId="32F67CE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2.1.5 “合同”系指采购人与中标人双方签署的规定双方权利与义务的协议，以及所有附件、附录、招标文件和投标文件所提到的构成合同的所有文件。</w:t>
      </w:r>
    </w:p>
    <w:p w14:paraId="3521B38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 xml:space="preserve">2.1.6 </w:t>
      </w:r>
      <w:r>
        <w:rPr>
          <w:rFonts w:hint="eastAsia" w:ascii="仿宋" w:hAnsi="仿宋" w:eastAsia="仿宋" w:cs="仿宋"/>
          <w:color w:val="auto"/>
          <w:sz w:val="24"/>
          <w:szCs w:val="24"/>
        </w:rPr>
        <w:t>“产品”系指投标人按招标文件规定，须向采购人提供的一切产品（包括：虚拟产品），以及产品相关的保险、税金、备品备件、附件、耗材、工具、手册及其它有关技术资料和材料等。</w:t>
      </w:r>
    </w:p>
    <w:p w14:paraId="68F1428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szCs w:val="24"/>
        </w:rPr>
        <w:t xml:space="preserve">2.1.7 </w:t>
      </w:r>
      <w:r>
        <w:rPr>
          <w:rFonts w:hint="eastAsia" w:ascii="仿宋" w:hAnsi="仿宋" w:eastAsia="仿宋" w:cs="仿宋"/>
          <w:color w:val="auto"/>
          <w:sz w:val="24"/>
        </w:rPr>
        <w:t>“服务”系指投标人按招标文件规定应承担</w:t>
      </w:r>
      <w:r>
        <w:rPr>
          <w:rFonts w:hint="eastAsia" w:ascii="仿宋" w:hAnsi="仿宋" w:eastAsia="仿宋" w:cs="仿宋"/>
          <w:color w:val="auto"/>
          <w:sz w:val="24"/>
          <w:lang w:val="en-US" w:eastAsia="zh-CN"/>
        </w:rPr>
        <w:t>与本项目相关的所有服务内容</w:t>
      </w:r>
      <w:r>
        <w:rPr>
          <w:rFonts w:hint="eastAsia" w:ascii="仿宋" w:hAnsi="仿宋" w:eastAsia="仿宋" w:cs="仿宋"/>
          <w:color w:val="auto"/>
          <w:sz w:val="24"/>
        </w:rPr>
        <w:t>。</w:t>
      </w:r>
    </w:p>
    <w:p w14:paraId="3A44BAE7">
      <w:pPr>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 xml:space="preserve">2.1.8 </w:t>
      </w:r>
      <w:r>
        <w:rPr>
          <w:rFonts w:hint="eastAsia" w:ascii="仿宋" w:hAnsi="仿宋" w:eastAsia="仿宋" w:cs="仿宋"/>
          <w:bCs/>
          <w:color w:val="auto"/>
          <w:sz w:val="24"/>
        </w:rPr>
        <w:t>标有“▲”符号均属于“实质性条款”，不允许负偏离。</w:t>
      </w:r>
    </w:p>
    <w:p w14:paraId="79C2FFA3">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3. 投标人应具备资格条件</w:t>
      </w:r>
    </w:p>
    <w:p w14:paraId="48D61A9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 符合本文件第一章第“六”条的规定；</w:t>
      </w:r>
    </w:p>
    <w:p w14:paraId="58C7990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 投标人应遵守有关的法律、法规和规章条例。</w:t>
      </w:r>
    </w:p>
    <w:p w14:paraId="7C4690E2">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4. 联合体说明</w:t>
      </w:r>
    </w:p>
    <w:p w14:paraId="3A312B2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4.1本项目不接受联合体参加。</w:t>
      </w:r>
    </w:p>
    <w:p w14:paraId="0B517D85">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5. 特别说明</w:t>
      </w:r>
    </w:p>
    <w:p w14:paraId="5048FE94">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▲5.1 单位负责人为同一人或者存在直接控股、管理关系的不同投标人，以及属于同一母公司或集团的不同投标人不得参加同一合同项下的采购活动。</w:t>
      </w:r>
    </w:p>
    <w:p w14:paraId="1B5B5480">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5.2 为采购项目提供整体设计、规范编制或者项目管理、监理、检测等服务的供应商，不得再参加该采购项目的其他采购活动。</w:t>
      </w:r>
    </w:p>
    <w:p w14:paraId="19C57916">
      <w:pPr>
        <w:spacing w:line="360" w:lineRule="auto"/>
        <w:ind w:firstLine="480" w:firstLineChars="200"/>
        <w:rPr>
          <w:rFonts w:ascii="仿宋" w:hAnsi="仿宋" w:eastAsia="仿宋" w:cs="仿宋"/>
          <w:color w:val="auto"/>
        </w:rPr>
      </w:pPr>
      <w:r>
        <w:rPr>
          <w:rFonts w:hint="eastAsia" w:ascii="仿宋" w:hAnsi="仿宋" w:eastAsia="仿宋" w:cs="仿宋"/>
          <w:color w:val="auto"/>
          <w:sz w:val="24"/>
        </w:rPr>
        <w:t>5.3 投标人自行承担所有与投标有关的全部费用。</w:t>
      </w:r>
    </w:p>
    <w:p w14:paraId="47C2F884">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74" w:name="_Toc16865"/>
      <w:bookmarkStart w:id="75" w:name="_Toc657"/>
      <w:bookmarkStart w:id="76" w:name="_Toc493956034"/>
      <w:r>
        <w:rPr>
          <w:rFonts w:hint="eastAsia" w:ascii="仿宋" w:hAnsi="仿宋" w:eastAsia="仿宋" w:cs="仿宋"/>
          <w:color w:val="auto"/>
          <w:sz w:val="32"/>
        </w:rPr>
        <w:t>二  招标文件说明</w:t>
      </w:r>
      <w:bookmarkEnd w:id="74"/>
      <w:bookmarkEnd w:id="75"/>
      <w:bookmarkEnd w:id="76"/>
    </w:p>
    <w:p w14:paraId="1DC4AA49">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6. 招标文件的构成</w:t>
      </w:r>
    </w:p>
    <w:p w14:paraId="1CC56D3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6.1 </w:t>
      </w:r>
      <w:r>
        <w:rPr>
          <w:rFonts w:hint="eastAsia" w:ascii="仿宋" w:hAnsi="仿宋" w:eastAsia="仿宋" w:cs="仿宋"/>
          <w:bCs/>
          <w:color w:val="auto"/>
          <w:sz w:val="24"/>
        </w:rPr>
        <w:t>招标文件</w:t>
      </w:r>
      <w:r>
        <w:rPr>
          <w:rFonts w:hint="eastAsia" w:ascii="仿宋" w:hAnsi="仿宋" w:eastAsia="仿宋" w:cs="仿宋"/>
          <w:color w:val="auto"/>
          <w:sz w:val="24"/>
        </w:rPr>
        <w:t>用以阐明项目所需服务、招标、投标程序和合同条款等。本</w:t>
      </w:r>
      <w:r>
        <w:rPr>
          <w:rFonts w:hint="eastAsia" w:ascii="仿宋" w:hAnsi="仿宋" w:eastAsia="仿宋" w:cs="仿宋"/>
          <w:bCs/>
          <w:color w:val="auto"/>
          <w:sz w:val="24"/>
        </w:rPr>
        <w:t>招标文件</w:t>
      </w:r>
      <w:r>
        <w:rPr>
          <w:rFonts w:hint="eastAsia" w:ascii="仿宋" w:hAnsi="仿宋" w:eastAsia="仿宋" w:cs="仿宋"/>
          <w:color w:val="auto"/>
          <w:sz w:val="24"/>
        </w:rPr>
        <w:t>由下述部分组成：</w:t>
      </w:r>
    </w:p>
    <w:p w14:paraId="5CFAACE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6.1.1公开招标公告</w:t>
      </w:r>
    </w:p>
    <w:p w14:paraId="17C79A9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6.1.2 采购需求</w:t>
      </w:r>
    </w:p>
    <w:p w14:paraId="5F82850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6.1.3 投标人须知</w:t>
      </w:r>
    </w:p>
    <w:p w14:paraId="2D36F04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6.1.4合同主要条款</w:t>
      </w:r>
    </w:p>
    <w:p w14:paraId="2FADBD1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6.1.5 投标相关文件格式</w:t>
      </w:r>
    </w:p>
    <w:p w14:paraId="373C3CF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6.1.6 评审办法和细则</w:t>
      </w:r>
    </w:p>
    <w:p w14:paraId="1CFC14F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6.1.7 与本项目有关的</w:t>
      </w:r>
      <w:r>
        <w:rPr>
          <w:rFonts w:hint="eastAsia" w:ascii="仿宋" w:hAnsi="仿宋" w:eastAsia="仿宋" w:cs="仿宋"/>
          <w:bCs/>
          <w:color w:val="auto"/>
          <w:sz w:val="24"/>
        </w:rPr>
        <w:t>招标文件</w:t>
      </w:r>
      <w:r>
        <w:rPr>
          <w:rFonts w:hint="eastAsia" w:ascii="仿宋" w:hAnsi="仿宋" w:eastAsia="仿宋" w:cs="仿宋"/>
          <w:color w:val="auto"/>
          <w:sz w:val="24"/>
        </w:rPr>
        <w:t>澄清、答复、修改、补充的内容</w:t>
      </w:r>
    </w:p>
    <w:p w14:paraId="0DBC3E64">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7. 投标人的风险</w:t>
      </w:r>
    </w:p>
    <w:p w14:paraId="09B237D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 投标人应认真阅读</w:t>
      </w:r>
      <w:r>
        <w:rPr>
          <w:rFonts w:hint="eastAsia" w:ascii="仿宋" w:hAnsi="仿宋" w:eastAsia="仿宋" w:cs="仿宋"/>
          <w:bCs/>
          <w:color w:val="auto"/>
          <w:sz w:val="24"/>
        </w:rPr>
        <w:t>招标文件</w:t>
      </w:r>
      <w:r>
        <w:rPr>
          <w:rFonts w:hint="eastAsia" w:ascii="仿宋" w:hAnsi="仿宋" w:eastAsia="仿宋" w:cs="仿宋"/>
          <w:color w:val="auto"/>
          <w:sz w:val="24"/>
        </w:rPr>
        <w:t>中的所有条款。投标人没有按照</w:t>
      </w:r>
      <w:r>
        <w:rPr>
          <w:rFonts w:hint="eastAsia" w:ascii="仿宋" w:hAnsi="仿宋" w:eastAsia="仿宋" w:cs="仿宋"/>
          <w:bCs/>
          <w:color w:val="auto"/>
          <w:sz w:val="24"/>
        </w:rPr>
        <w:t>招标文件</w:t>
      </w:r>
      <w:r>
        <w:rPr>
          <w:rFonts w:hint="eastAsia" w:ascii="仿宋" w:hAnsi="仿宋" w:eastAsia="仿宋" w:cs="仿宋"/>
          <w:color w:val="auto"/>
          <w:sz w:val="24"/>
        </w:rPr>
        <w:t>的要求提供全部资料，或者投标人没有对</w:t>
      </w:r>
      <w:r>
        <w:rPr>
          <w:rFonts w:hint="eastAsia" w:ascii="仿宋" w:hAnsi="仿宋" w:eastAsia="仿宋" w:cs="仿宋"/>
          <w:bCs/>
          <w:color w:val="auto"/>
          <w:sz w:val="24"/>
        </w:rPr>
        <w:t>招标文件</w:t>
      </w:r>
      <w:r>
        <w:rPr>
          <w:rFonts w:hint="eastAsia" w:ascii="仿宋" w:hAnsi="仿宋" w:eastAsia="仿宋" w:cs="仿宋"/>
          <w:color w:val="auto"/>
          <w:sz w:val="24"/>
        </w:rPr>
        <w:t>在各方面作出实质性响应是投标人的风险，并可能导致其投标被拒绝。</w:t>
      </w:r>
    </w:p>
    <w:p w14:paraId="15148E05">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8. 招标文件的澄清和修改</w:t>
      </w:r>
    </w:p>
    <w:p w14:paraId="50990CA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8.1 </w:t>
      </w:r>
      <w:r>
        <w:rPr>
          <w:rFonts w:hint="eastAsia" w:ascii="仿宋" w:hAnsi="仿宋" w:eastAsia="仿宋" w:cs="仿宋"/>
          <w:bCs/>
          <w:color w:val="auto"/>
          <w:sz w:val="24"/>
        </w:rPr>
        <w:t>招标文件</w:t>
      </w:r>
      <w:r>
        <w:rPr>
          <w:rFonts w:hint="eastAsia" w:ascii="仿宋" w:hAnsi="仿宋" w:eastAsia="仿宋" w:cs="仿宋"/>
          <w:color w:val="auto"/>
          <w:sz w:val="24"/>
        </w:rPr>
        <w:t>澄清、答复、修改、补充的内容为</w:t>
      </w:r>
      <w:r>
        <w:rPr>
          <w:rFonts w:hint="eastAsia" w:ascii="仿宋" w:hAnsi="仿宋" w:eastAsia="仿宋" w:cs="仿宋"/>
          <w:bCs/>
          <w:color w:val="auto"/>
          <w:sz w:val="24"/>
        </w:rPr>
        <w:t>招标文件</w:t>
      </w:r>
      <w:r>
        <w:rPr>
          <w:rFonts w:hint="eastAsia" w:ascii="仿宋" w:hAnsi="仿宋" w:eastAsia="仿宋" w:cs="仿宋"/>
          <w:color w:val="auto"/>
          <w:sz w:val="24"/>
        </w:rPr>
        <w:t>的组成部分。</w:t>
      </w:r>
    </w:p>
    <w:p w14:paraId="1A87AE1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8.2 </w:t>
      </w:r>
      <w:r>
        <w:rPr>
          <w:rFonts w:hint="eastAsia" w:ascii="仿宋" w:hAnsi="仿宋" w:eastAsia="仿宋" w:cs="仿宋"/>
          <w:bCs/>
          <w:color w:val="auto"/>
          <w:sz w:val="24"/>
        </w:rPr>
        <w:t>报名供应商认真阅读招标文件，应于招标文件</w:t>
      </w:r>
      <w:r>
        <w:rPr>
          <w:rFonts w:hint="eastAsia" w:ascii="仿宋" w:hAnsi="仿宋" w:eastAsia="仿宋" w:cs="仿宋"/>
          <w:color w:val="auto"/>
          <w:sz w:val="24"/>
        </w:rPr>
        <w:t>规定的时间前</w:t>
      </w:r>
      <w:r>
        <w:rPr>
          <w:rFonts w:hint="eastAsia" w:ascii="仿宋" w:hAnsi="仿宋" w:eastAsia="仿宋" w:cs="仿宋"/>
          <w:bCs/>
          <w:color w:val="auto"/>
          <w:sz w:val="24"/>
        </w:rPr>
        <w:t>向采购代理机构（传真）提出澄清申请。采购代理机构对已发出的招标文件进行必要的澄清或者修改。澄清或者修改内容可能影响投标文件编制的，采购代理机构</w:t>
      </w:r>
      <w:r>
        <w:rPr>
          <w:rFonts w:hint="eastAsia" w:ascii="仿宋" w:hAnsi="仿宋" w:eastAsia="仿宋" w:cs="仿宋"/>
          <w:color w:val="auto"/>
          <w:sz w:val="24"/>
        </w:rPr>
        <w:t>在提交投标文件的截止时间15日前,在</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浙江政府采购网</w:t>
      </w:r>
      <w:r>
        <w:rPr>
          <w:rFonts w:hint="eastAsia" w:ascii="仿宋" w:hAnsi="仿宋" w:eastAsia="仿宋" w:cs="仿宋"/>
          <w:color w:val="auto"/>
          <w:sz w:val="24"/>
          <w:lang w:eastAsia="zh-CN"/>
        </w:rPr>
        <w:t>”、</w:t>
      </w:r>
      <w:r>
        <w:rPr>
          <w:rFonts w:hint="eastAsia" w:ascii="仿宋" w:hAnsi="仿宋" w:eastAsia="仿宋" w:cs="仿宋"/>
          <w:color w:val="auto"/>
          <w:sz w:val="24"/>
        </w:rPr>
        <w:t>“丽水市公共资源交易网”发布更正公告,并对其具有约束力。不足15日的，</w:t>
      </w:r>
      <w:r>
        <w:rPr>
          <w:rFonts w:hint="eastAsia" w:ascii="仿宋" w:hAnsi="仿宋" w:eastAsia="仿宋" w:cs="仿宋"/>
          <w:bCs/>
          <w:color w:val="auto"/>
          <w:sz w:val="24"/>
        </w:rPr>
        <w:t>采购代理机构</w:t>
      </w:r>
      <w:r>
        <w:rPr>
          <w:rFonts w:hint="eastAsia" w:ascii="仿宋" w:hAnsi="仿宋" w:eastAsia="仿宋" w:cs="仿宋"/>
          <w:color w:val="auto"/>
          <w:sz w:val="24"/>
        </w:rPr>
        <w:t>有权顺延提交投标文件的截止时间。</w:t>
      </w:r>
    </w:p>
    <w:p w14:paraId="622ED4D7">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77" w:name="_Toc493956035"/>
      <w:bookmarkStart w:id="78" w:name="_Toc6273"/>
      <w:bookmarkStart w:id="79" w:name="_Toc2483"/>
      <w:r>
        <w:rPr>
          <w:rFonts w:hint="eastAsia" w:ascii="仿宋" w:hAnsi="仿宋" w:eastAsia="仿宋" w:cs="仿宋"/>
          <w:color w:val="auto"/>
          <w:sz w:val="32"/>
        </w:rPr>
        <w:t>三  投标文件的编制</w:t>
      </w:r>
      <w:bookmarkEnd w:id="77"/>
      <w:bookmarkEnd w:id="78"/>
      <w:bookmarkEnd w:id="79"/>
    </w:p>
    <w:p w14:paraId="39A81B31">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9. 要求</w:t>
      </w:r>
    </w:p>
    <w:p w14:paraId="0127ED8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 投标人应仔细阅读</w:t>
      </w:r>
      <w:r>
        <w:rPr>
          <w:rFonts w:hint="eastAsia" w:ascii="仿宋" w:hAnsi="仿宋" w:eastAsia="仿宋" w:cs="仿宋"/>
          <w:bCs/>
          <w:color w:val="auto"/>
          <w:sz w:val="24"/>
        </w:rPr>
        <w:t>招标文件</w:t>
      </w:r>
      <w:r>
        <w:rPr>
          <w:rFonts w:hint="eastAsia" w:ascii="仿宋" w:hAnsi="仿宋" w:eastAsia="仿宋" w:cs="仿宋"/>
          <w:color w:val="auto"/>
          <w:sz w:val="24"/>
        </w:rPr>
        <w:t>的所有内容，按照</w:t>
      </w:r>
      <w:r>
        <w:rPr>
          <w:rFonts w:hint="eastAsia" w:ascii="仿宋" w:hAnsi="仿宋" w:eastAsia="仿宋" w:cs="仿宋"/>
          <w:bCs/>
          <w:color w:val="auto"/>
          <w:sz w:val="24"/>
        </w:rPr>
        <w:t>招标文件</w:t>
      </w:r>
      <w:r>
        <w:rPr>
          <w:rFonts w:hint="eastAsia" w:ascii="仿宋" w:hAnsi="仿宋" w:eastAsia="仿宋" w:cs="仿宋"/>
          <w:color w:val="auto"/>
          <w:sz w:val="24"/>
        </w:rPr>
        <w:t>的要求提交</w:t>
      </w:r>
      <w:r>
        <w:rPr>
          <w:rFonts w:hint="eastAsia" w:ascii="仿宋" w:hAnsi="仿宋" w:eastAsia="仿宋" w:cs="仿宋"/>
          <w:color w:val="auto"/>
          <w:kern w:val="0"/>
          <w:sz w:val="24"/>
        </w:rPr>
        <w:t>投标文件</w:t>
      </w:r>
      <w:r>
        <w:rPr>
          <w:rFonts w:hint="eastAsia" w:ascii="仿宋" w:hAnsi="仿宋" w:eastAsia="仿宋" w:cs="仿宋"/>
          <w:color w:val="auto"/>
          <w:sz w:val="24"/>
        </w:rPr>
        <w:t>，并对所提供的全部资料的真实性承担法律责任。</w:t>
      </w:r>
    </w:p>
    <w:p w14:paraId="73D0663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9.2 </w:t>
      </w:r>
      <w:r>
        <w:rPr>
          <w:rFonts w:hint="eastAsia" w:ascii="仿宋" w:hAnsi="仿宋" w:eastAsia="仿宋" w:cs="仿宋"/>
          <w:bCs/>
          <w:color w:val="auto"/>
          <w:sz w:val="24"/>
        </w:rPr>
        <w:t>投标文件</w:t>
      </w:r>
      <w:r>
        <w:rPr>
          <w:rFonts w:hint="eastAsia" w:ascii="仿宋" w:hAnsi="仿宋" w:eastAsia="仿宋" w:cs="仿宋"/>
          <w:color w:val="auto"/>
          <w:sz w:val="24"/>
        </w:rPr>
        <w:t>、投标人与采购有关的往来通知、函件和文件均应使用中文。如涉及非中文内容的，投标人有义务将其内容翻译成中文，一切对非中文内容的误解，都将由投标人承担。</w:t>
      </w:r>
    </w:p>
    <w:p w14:paraId="1CEEA786">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10. 投标文件的组成</w:t>
      </w:r>
    </w:p>
    <w:p w14:paraId="0A9D86A4">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10.1 提交的</w:t>
      </w:r>
      <w:r>
        <w:rPr>
          <w:rFonts w:hint="eastAsia" w:ascii="仿宋" w:hAnsi="仿宋" w:eastAsia="仿宋" w:cs="仿宋"/>
          <w:bCs/>
          <w:color w:val="auto"/>
          <w:sz w:val="24"/>
        </w:rPr>
        <w:t>投标文件</w:t>
      </w:r>
      <w:r>
        <w:rPr>
          <w:rFonts w:hint="eastAsia" w:ascii="仿宋" w:hAnsi="仿宋" w:eastAsia="仿宋" w:cs="仿宋"/>
          <w:color w:val="auto"/>
          <w:kern w:val="0"/>
          <w:sz w:val="24"/>
        </w:rPr>
        <w:t>应分为资格审查文件、资信商务及技术文件、报价文件三部分，</w:t>
      </w:r>
      <w:r>
        <w:rPr>
          <w:rFonts w:hint="eastAsia" w:ascii="仿宋" w:hAnsi="仿宋" w:eastAsia="仿宋" w:cs="仿宋"/>
          <w:bCs/>
          <w:color w:val="auto"/>
          <w:sz w:val="24"/>
        </w:rPr>
        <w:t>投标文件</w:t>
      </w:r>
      <w:r>
        <w:rPr>
          <w:rFonts w:hint="eastAsia" w:ascii="仿宋" w:hAnsi="仿宋" w:eastAsia="仿宋" w:cs="仿宋"/>
          <w:color w:val="auto"/>
          <w:kern w:val="0"/>
          <w:sz w:val="24"/>
        </w:rPr>
        <w:t>应全部单独密封</w:t>
      </w:r>
      <w:r>
        <w:rPr>
          <w:rFonts w:hint="eastAsia" w:ascii="仿宋" w:hAnsi="仿宋" w:eastAsia="仿宋" w:cs="仿宋"/>
          <w:color w:val="auto"/>
          <w:sz w:val="24"/>
        </w:rPr>
        <w:t>(同一种文件的正副本可混装在同一个密封袋内，三个密封袋应标明</w:t>
      </w:r>
      <w:r>
        <w:rPr>
          <w:rFonts w:hint="eastAsia" w:ascii="仿宋" w:hAnsi="仿宋" w:eastAsia="仿宋" w:cs="仿宋"/>
          <w:color w:val="auto"/>
          <w:kern w:val="0"/>
          <w:sz w:val="24"/>
        </w:rPr>
        <w:t>资格审查文件</w:t>
      </w:r>
      <w:r>
        <w:rPr>
          <w:rFonts w:hint="eastAsia" w:ascii="仿宋" w:hAnsi="仿宋" w:eastAsia="仿宋" w:cs="仿宋"/>
          <w:color w:val="auto"/>
          <w:sz w:val="24"/>
        </w:rPr>
        <w:t>／资信商务文件及技术文件／报价文件)</w:t>
      </w:r>
      <w:r>
        <w:rPr>
          <w:rFonts w:hint="eastAsia" w:ascii="仿宋" w:hAnsi="仿宋" w:eastAsia="仿宋" w:cs="仿宋"/>
          <w:color w:val="auto"/>
          <w:kern w:val="0"/>
          <w:sz w:val="24"/>
        </w:rPr>
        <w:t>。</w:t>
      </w:r>
    </w:p>
    <w:p w14:paraId="5842F59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10.2 </w:t>
      </w:r>
      <w:r>
        <w:rPr>
          <w:rFonts w:hint="eastAsia" w:ascii="仿宋" w:hAnsi="仿宋" w:eastAsia="仿宋" w:cs="仿宋"/>
          <w:bCs/>
          <w:color w:val="auto"/>
          <w:sz w:val="24"/>
        </w:rPr>
        <w:t>招标文件</w:t>
      </w:r>
      <w:r>
        <w:rPr>
          <w:rFonts w:hint="eastAsia" w:ascii="仿宋" w:hAnsi="仿宋" w:eastAsia="仿宋" w:cs="仿宋"/>
          <w:color w:val="auto"/>
          <w:sz w:val="24"/>
        </w:rPr>
        <w:t>“第五章投标相关文件格式”所列的格式、内容以及投标人认为有必要提供的其它文件。</w:t>
      </w:r>
    </w:p>
    <w:p w14:paraId="1BD40ADB">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11. 投标文件（资格审查文件、资信商务及技术文件、报价文件）编制的内容和要求</w:t>
      </w:r>
    </w:p>
    <w:p w14:paraId="30B1301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11.1 资格审查文件编制内容和要求</w:t>
      </w:r>
    </w:p>
    <w:p w14:paraId="188F264C">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▲11.1.1 公司有效营业执照复印件</w:t>
      </w:r>
      <w:r>
        <w:rPr>
          <w:rFonts w:hint="eastAsia" w:ascii="仿宋" w:hAnsi="仿宋" w:eastAsia="仿宋" w:cs="仿宋"/>
          <w:color w:val="auto"/>
          <w:kern w:val="0"/>
          <w:sz w:val="24"/>
        </w:rPr>
        <w:t>；</w:t>
      </w:r>
    </w:p>
    <w:p w14:paraId="52573EB6">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 xml:space="preserve">▲11.1.2 </w:t>
      </w:r>
      <w:r>
        <w:rPr>
          <w:rFonts w:hint="eastAsia" w:ascii="仿宋" w:hAnsi="仿宋" w:eastAsia="仿宋" w:cs="仿宋"/>
          <w:color w:val="auto"/>
          <w:sz w:val="24"/>
          <w:lang w:val="en-US" w:eastAsia="zh-CN"/>
        </w:rPr>
        <w:t>有效食品经营许可证复印件；</w:t>
      </w:r>
    </w:p>
    <w:p w14:paraId="46BCE4B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法定代表人资格证明书或授权委托书（法人参与开标会的需提供身份原件核对）；有被委托人的，则还应当提供授权委托书及被委托人的身份证复印件（身份证需提供原件核对）；</w:t>
      </w:r>
    </w:p>
    <w:p w14:paraId="579EEF4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资格声明；</w:t>
      </w:r>
    </w:p>
    <w:p w14:paraId="074F97B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具有履行合同所必需的场地、设备和专业技术能力的承诺函；</w:t>
      </w:r>
    </w:p>
    <w:p w14:paraId="137B540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依法缴纳税收和社会保障资金的承诺函；</w:t>
      </w:r>
    </w:p>
    <w:p w14:paraId="7D52FAC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 无重大违法记录声明书；</w:t>
      </w:r>
    </w:p>
    <w:p w14:paraId="736CE3D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 xml:space="preserve">8 </w:t>
      </w:r>
      <w:r>
        <w:rPr>
          <w:rFonts w:hint="eastAsia" w:ascii="仿宋" w:hAnsi="仿宋" w:eastAsia="仿宋" w:cs="仿宋"/>
          <w:color w:val="auto"/>
          <w:sz w:val="24"/>
        </w:rPr>
        <w:t>信用信息记录查询（注：本项内容由代理机构在资格审查现场完成查询，故不作装入资格文件要求。）</w:t>
      </w:r>
    </w:p>
    <w:p w14:paraId="336D86B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 xml:space="preserve">9 </w:t>
      </w:r>
      <w:r>
        <w:rPr>
          <w:rFonts w:hint="eastAsia" w:ascii="仿宋" w:hAnsi="仿宋" w:eastAsia="仿宋" w:cs="仿宋"/>
          <w:color w:val="auto"/>
          <w:sz w:val="24"/>
        </w:rPr>
        <w:t>以上复印件均需加盖投标单位公章。</w:t>
      </w:r>
    </w:p>
    <w:p w14:paraId="0BD5418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10</w:t>
      </w:r>
      <w:r>
        <w:rPr>
          <w:rFonts w:hint="eastAsia" w:ascii="仿宋" w:hAnsi="仿宋" w:eastAsia="仿宋" w:cs="仿宋"/>
          <w:color w:val="auto"/>
          <w:sz w:val="24"/>
        </w:rPr>
        <w:t xml:space="preserve"> 以上材料有格式的严格按格式要求填写（格式见第五章资格审查文件格式）。</w:t>
      </w:r>
    </w:p>
    <w:p w14:paraId="0F403409">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11.1.1</w:t>
      </w:r>
      <w:r>
        <w:rPr>
          <w:rFonts w:hint="eastAsia" w:ascii="仿宋" w:hAnsi="仿宋" w:eastAsia="仿宋" w:cs="仿宋"/>
          <w:color w:val="auto"/>
          <w:kern w:val="0"/>
          <w:sz w:val="24"/>
          <w:lang w:val="en-US" w:eastAsia="zh-CN"/>
        </w:rPr>
        <w:t xml:space="preserve">1 </w:t>
      </w:r>
      <w:r>
        <w:rPr>
          <w:rFonts w:hint="eastAsia" w:ascii="仿宋" w:hAnsi="仿宋" w:eastAsia="仿宋" w:cs="仿宋"/>
          <w:color w:val="auto"/>
          <w:kern w:val="0"/>
          <w:sz w:val="24"/>
        </w:rPr>
        <w:t>资格审查文件应装订成册，纸张建议采用A4规格。上述所涉复印件应装订入资格审查文件中。资格审查不通过的，不进入下一阶段评标。</w:t>
      </w:r>
    </w:p>
    <w:p w14:paraId="2D18FC23">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kern w:val="0"/>
          <w:sz w:val="24"/>
        </w:rPr>
        <w:t>注：以上资料内容须清晰可辨的，模糊不清造成资格审查不予以通过，由投标人自行负责。</w:t>
      </w:r>
    </w:p>
    <w:p w14:paraId="328D8D67">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11.2 资信商务及技术文件编制内容和要求：</w:t>
      </w:r>
    </w:p>
    <w:p w14:paraId="7B767537">
      <w:pPr>
        <w:spacing w:line="360" w:lineRule="auto"/>
        <w:ind w:firstLine="241" w:firstLineChars="100"/>
        <w:rPr>
          <w:rFonts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11.2.1 投标声明书；</w:t>
      </w:r>
    </w:p>
    <w:p w14:paraId="0A7BC628">
      <w:pPr>
        <w:spacing w:line="360" w:lineRule="auto"/>
        <w:ind w:firstLine="240" w:firstLineChars="100"/>
        <w:rPr>
          <w:rFonts w:ascii="仿宋" w:hAnsi="仿宋" w:eastAsia="仿宋" w:cs="仿宋"/>
          <w:bCs/>
          <w:color w:val="auto"/>
          <w:sz w:val="24"/>
        </w:rPr>
      </w:pPr>
      <w:r>
        <w:rPr>
          <w:rFonts w:hint="eastAsia" w:ascii="仿宋" w:hAnsi="仿宋" w:eastAsia="仿宋" w:cs="仿宋"/>
          <w:bCs/>
          <w:color w:val="auto"/>
          <w:sz w:val="24"/>
        </w:rPr>
        <w:t>▲11.2.2 投标人参标申请表；</w:t>
      </w:r>
    </w:p>
    <w:p w14:paraId="496D93B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11.2.3 商务响应表；</w:t>
      </w:r>
    </w:p>
    <w:p w14:paraId="0BC8D39D">
      <w:pPr>
        <w:spacing w:line="360" w:lineRule="auto"/>
        <w:ind w:firstLine="480" w:firstLineChars="200"/>
        <w:rPr>
          <w:rFonts w:eastAsia="仿宋" w:cs="Calibri"/>
          <w:color w:val="auto"/>
          <w:sz w:val="24"/>
          <w:highlight w:val="none"/>
        </w:rPr>
      </w:pPr>
      <w:r>
        <w:rPr>
          <w:rFonts w:hint="eastAsia" w:ascii="仿宋" w:hAnsi="仿宋" w:eastAsia="仿宋"/>
          <w:color w:val="auto"/>
          <w:sz w:val="24"/>
          <w:highlight w:val="none"/>
        </w:rPr>
        <w:t>11.2.4</w:t>
      </w:r>
      <w:r>
        <w:rPr>
          <w:rFonts w:eastAsia="仿宋" w:cs="Calibri"/>
          <w:color w:val="auto"/>
          <w:sz w:val="24"/>
          <w:highlight w:val="none"/>
        </w:rPr>
        <w:t> </w:t>
      </w:r>
      <w:r>
        <w:rPr>
          <w:rFonts w:hint="eastAsia" w:eastAsia="仿宋" w:cs="Calibri"/>
          <w:color w:val="auto"/>
          <w:sz w:val="24"/>
          <w:highlight w:val="none"/>
        </w:rPr>
        <w:t xml:space="preserve"> </w:t>
      </w:r>
      <w:r>
        <w:rPr>
          <w:rFonts w:hint="eastAsia" w:eastAsia="仿宋" w:cs="Calibri"/>
          <w:color w:val="auto"/>
          <w:sz w:val="24"/>
          <w:highlight w:val="none"/>
          <w:lang w:val="en-US" w:eastAsia="zh-CN"/>
        </w:rPr>
        <w:t>项目业绩</w:t>
      </w:r>
      <w:r>
        <w:rPr>
          <w:rFonts w:hint="eastAsia" w:eastAsia="仿宋" w:cs="Calibri"/>
          <w:color w:val="auto"/>
          <w:sz w:val="24"/>
          <w:highlight w:val="none"/>
        </w:rPr>
        <w:t>；</w:t>
      </w:r>
    </w:p>
    <w:p w14:paraId="326AD26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11.2.5</w:t>
      </w:r>
      <w:r>
        <w:rPr>
          <w:rFonts w:eastAsia="仿宋" w:cs="Calibri"/>
          <w:color w:val="auto"/>
          <w:sz w:val="24"/>
          <w:highlight w:val="none"/>
        </w:rPr>
        <w:t> </w:t>
      </w:r>
      <w:r>
        <w:rPr>
          <w:rFonts w:hint="eastAsia" w:eastAsia="仿宋" w:cs="Calibri"/>
          <w:color w:val="auto"/>
          <w:sz w:val="24"/>
          <w:highlight w:val="none"/>
        </w:rPr>
        <w:t xml:space="preserve"> </w:t>
      </w:r>
      <w:r>
        <w:rPr>
          <w:rFonts w:hint="eastAsia" w:eastAsia="仿宋" w:cs="Calibri"/>
          <w:color w:val="auto"/>
          <w:sz w:val="24"/>
          <w:highlight w:val="none"/>
          <w:lang w:val="en-US" w:eastAsia="zh-CN"/>
        </w:rPr>
        <w:t>人员配置方案</w:t>
      </w:r>
      <w:r>
        <w:rPr>
          <w:rFonts w:hint="eastAsia" w:ascii="仿宋" w:hAnsi="仿宋" w:eastAsia="仿宋"/>
          <w:color w:val="auto"/>
          <w:sz w:val="24"/>
          <w:highlight w:val="none"/>
        </w:rPr>
        <w:t>；</w:t>
      </w:r>
    </w:p>
    <w:p w14:paraId="47158A63">
      <w:pPr>
        <w:spacing w:line="360" w:lineRule="auto"/>
        <w:ind w:firstLine="480" w:firstLineChars="200"/>
        <w:rPr>
          <w:rFonts w:ascii="仿宋" w:hAnsi="仿宋" w:eastAsia="仿宋" w:cs="仿宋"/>
          <w:color w:val="auto"/>
          <w:sz w:val="24"/>
          <w:highlight w:val="none"/>
        </w:rPr>
      </w:pPr>
      <w:r>
        <w:rPr>
          <w:rFonts w:hint="eastAsia" w:ascii="仿宋" w:hAnsi="仿宋" w:eastAsia="仿宋"/>
          <w:color w:val="auto"/>
          <w:sz w:val="24"/>
          <w:highlight w:val="none"/>
        </w:rPr>
        <w:t>11.2.6</w:t>
      </w:r>
      <w:r>
        <w:rPr>
          <w:rFonts w:eastAsia="仿宋" w:cs="Calibri"/>
          <w:color w:val="auto"/>
          <w:sz w:val="24"/>
          <w:highlight w:val="none"/>
        </w:rPr>
        <w:t> </w:t>
      </w:r>
      <w:r>
        <w:rPr>
          <w:rFonts w:hint="eastAsia" w:eastAsia="仿宋" w:cs="Calibri"/>
          <w:color w:val="auto"/>
          <w:sz w:val="24"/>
          <w:highlight w:val="none"/>
        </w:rPr>
        <w:t xml:space="preserve"> 资信商务及技术文件相关材料</w:t>
      </w:r>
      <w:r>
        <w:rPr>
          <w:rFonts w:hint="eastAsia" w:ascii="仿宋" w:hAnsi="仿宋" w:eastAsia="仿宋" w:cs="仿宋"/>
          <w:color w:val="auto"/>
          <w:sz w:val="24"/>
          <w:highlight w:val="none"/>
        </w:rPr>
        <w:t>（不得出现报价）；</w:t>
      </w:r>
    </w:p>
    <w:p w14:paraId="206AC5D1">
      <w:pPr>
        <w:spacing w:line="360" w:lineRule="auto"/>
        <w:ind w:firstLine="480" w:firstLineChars="200"/>
        <w:rPr>
          <w:rFonts w:ascii="仿宋" w:hAnsi="仿宋" w:eastAsia="仿宋" w:cs="仿宋"/>
          <w:color w:val="auto"/>
          <w:sz w:val="24"/>
        </w:rPr>
      </w:pPr>
      <w:r>
        <w:rPr>
          <w:rFonts w:hint="eastAsia" w:ascii="仿宋" w:hAnsi="仿宋" w:eastAsia="仿宋"/>
          <w:color w:val="auto"/>
          <w:sz w:val="24"/>
        </w:rPr>
        <w:t>11.2.7</w:t>
      </w:r>
      <w:r>
        <w:rPr>
          <w:rFonts w:hint="eastAsia" w:eastAsia="仿宋" w:cs="Calibri"/>
          <w:color w:val="auto"/>
          <w:sz w:val="24"/>
        </w:rPr>
        <w:t xml:space="preserve"> </w:t>
      </w:r>
      <w:r>
        <w:rPr>
          <w:rFonts w:hint="eastAsia" w:ascii="仿宋" w:hAnsi="仿宋" w:eastAsia="仿宋" w:cs="仿宋"/>
          <w:color w:val="auto"/>
          <w:sz w:val="24"/>
        </w:rPr>
        <w:t>投标人认为需要提供的或评分办法要求提供的其他资料。</w:t>
      </w:r>
    </w:p>
    <w:p w14:paraId="3B33B23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11.2.8 资信及商务文件应装订成册，建议采用A4规格。上述所涉复印件应装订入资信及商务文件中。</w:t>
      </w:r>
    </w:p>
    <w:p w14:paraId="49482F1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11.2.9 投标人未在投标文件的资信及商务文件中注明上述相关明细或证明的，造成后果由投标人自行承担。</w:t>
      </w:r>
    </w:p>
    <w:p w14:paraId="7144242E">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11.3 报价文件编制的内容和要求</w:t>
      </w:r>
    </w:p>
    <w:p w14:paraId="5E2CDED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11.3.1开标一览表</w:t>
      </w:r>
    </w:p>
    <w:p w14:paraId="7A6DA7C2">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11.3.2</w:t>
      </w:r>
      <w:r>
        <w:rPr>
          <w:rFonts w:hint="eastAsia" w:ascii="仿宋" w:hAnsi="仿宋" w:eastAsia="仿宋" w:cs="仿宋"/>
          <w:bCs/>
          <w:color w:val="auto"/>
          <w:sz w:val="24"/>
        </w:rPr>
        <w:t>.1投标人应在招标文件所附表格格式填写投标报价。投标文件只允许有一个报价，有选择的或者有条件的报价将不予接受。</w:t>
      </w:r>
    </w:p>
    <w:p w14:paraId="62EC4BA5">
      <w:pPr>
        <w:spacing w:line="360" w:lineRule="auto"/>
        <w:ind w:firstLine="480"/>
        <w:rPr>
          <w:rFonts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11.3.2.</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投标报价不得低于贰拾</w:t>
      </w:r>
      <w:r>
        <w:rPr>
          <w:rFonts w:hint="eastAsia" w:ascii="仿宋" w:hAnsi="仿宋" w:eastAsia="仿宋" w:cs="仿宋"/>
          <w:color w:val="auto"/>
          <w:sz w:val="24"/>
          <w:lang w:val="en-US" w:eastAsia="zh-CN"/>
        </w:rPr>
        <w:t>捌</w:t>
      </w:r>
      <w:r>
        <w:rPr>
          <w:rFonts w:hint="eastAsia" w:ascii="仿宋" w:hAnsi="仿宋" w:eastAsia="仿宋" w:cs="仿宋"/>
          <w:color w:val="auto"/>
          <w:sz w:val="24"/>
        </w:rPr>
        <w:t>万元</w:t>
      </w:r>
      <w:r>
        <w:rPr>
          <w:rFonts w:hint="eastAsia" w:ascii="仿宋" w:hAnsi="仿宋" w:eastAsia="仿宋" w:cs="仿宋"/>
          <w:color w:val="auto"/>
          <w:sz w:val="24"/>
          <w:lang w:val="en-US" w:eastAsia="zh-CN"/>
        </w:rPr>
        <w:t>/年</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280000元/年</w:t>
      </w:r>
      <w:r>
        <w:rPr>
          <w:rFonts w:hint="eastAsia" w:ascii="仿宋" w:hAnsi="仿宋" w:eastAsia="仿宋" w:cs="仿宋"/>
          <w:color w:val="auto"/>
          <w:sz w:val="24"/>
          <w:lang w:eastAsia="zh-CN"/>
        </w:rPr>
        <w:t>）</w:t>
      </w:r>
      <w:r>
        <w:rPr>
          <w:rFonts w:hint="eastAsia" w:ascii="仿宋" w:hAnsi="仿宋" w:eastAsia="仿宋" w:cs="仿宋"/>
          <w:color w:val="auto"/>
          <w:sz w:val="24"/>
        </w:rPr>
        <w:t>，报价低于贰拾</w:t>
      </w:r>
      <w:r>
        <w:rPr>
          <w:rFonts w:hint="eastAsia" w:ascii="仿宋" w:hAnsi="仿宋" w:eastAsia="仿宋" w:cs="仿宋"/>
          <w:color w:val="auto"/>
          <w:sz w:val="24"/>
          <w:lang w:val="en-US" w:eastAsia="zh-CN"/>
        </w:rPr>
        <w:t>捌</w:t>
      </w:r>
      <w:r>
        <w:rPr>
          <w:rFonts w:hint="eastAsia" w:ascii="仿宋" w:hAnsi="仿宋" w:eastAsia="仿宋" w:cs="仿宋"/>
          <w:color w:val="auto"/>
          <w:sz w:val="24"/>
        </w:rPr>
        <w:t>万元/年</w:t>
      </w:r>
      <w:r>
        <w:rPr>
          <w:rFonts w:hint="eastAsia" w:ascii="仿宋" w:hAnsi="仿宋" w:eastAsia="仿宋" w:cs="仿宋"/>
          <w:color w:val="auto"/>
          <w:sz w:val="24"/>
          <w:lang w:eastAsia="zh-CN"/>
        </w:rPr>
        <w:t>（280000元/年）</w:t>
      </w:r>
      <w:r>
        <w:rPr>
          <w:rFonts w:hint="eastAsia" w:ascii="仿宋" w:hAnsi="仿宋" w:eastAsia="仿宋" w:cs="仿宋"/>
          <w:color w:val="auto"/>
          <w:sz w:val="24"/>
        </w:rPr>
        <w:t>视为无效报价。</w:t>
      </w:r>
    </w:p>
    <w:p w14:paraId="1E1EF746">
      <w:pPr>
        <w:spacing w:line="360" w:lineRule="auto"/>
        <w:ind w:firstLine="480"/>
        <w:rPr>
          <w:rFonts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11.3.2.</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投标报价是履行合同的最终价格，除招标文件特殊说明外，结算价包括完成招标文件要求的所有工作内容的一切费用。</w:t>
      </w:r>
    </w:p>
    <w:p w14:paraId="2500F559">
      <w:pPr>
        <w:spacing w:line="360" w:lineRule="auto"/>
        <w:ind w:firstLine="480"/>
        <w:rPr>
          <w:rFonts w:ascii="仿宋" w:hAnsi="仿宋" w:eastAsia="仿宋" w:cs="仿宋"/>
          <w:color w:val="auto"/>
          <w:sz w:val="24"/>
        </w:rPr>
      </w:pPr>
      <w:r>
        <w:rPr>
          <w:rFonts w:hint="eastAsia" w:ascii="仿宋" w:hAnsi="仿宋" w:eastAsia="仿宋" w:cs="仿宋"/>
          <w:b/>
          <w:bCs/>
          <w:color w:val="auto"/>
          <w:sz w:val="24"/>
        </w:rPr>
        <w:t>11.4 排版：</w:t>
      </w:r>
      <w:r>
        <w:rPr>
          <w:rFonts w:hint="eastAsia" w:ascii="仿宋" w:hAnsi="仿宋" w:eastAsia="仿宋" w:cs="仿宋"/>
          <w:color w:val="auto"/>
          <w:sz w:val="24"/>
        </w:rPr>
        <w:t>所有文字及表格的纸张应采用白色标准A4纸，建议所有文字及表格采用黑色进行打印或印刷。</w:t>
      </w:r>
    </w:p>
    <w:p w14:paraId="30D124A9">
      <w:pPr>
        <w:spacing w:line="360" w:lineRule="auto"/>
        <w:ind w:firstLine="480"/>
        <w:rPr>
          <w:rFonts w:ascii="仿宋" w:hAnsi="仿宋" w:eastAsia="仿宋" w:cs="仿宋"/>
          <w:color w:val="auto"/>
          <w:sz w:val="24"/>
        </w:rPr>
      </w:pPr>
      <w:r>
        <w:rPr>
          <w:rFonts w:hint="eastAsia" w:ascii="仿宋" w:hAnsi="仿宋" w:eastAsia="仿宋" w:cs="仿宋"/>
          <w:b/>
          <w:color w:val="auto"/>
          <w:sz w:val="24"/>
        </w:rPr>
        <w:t>11.5 封面：</w:t>
      </w:r>
      <w:r>
        <w:rPr>
          <w:rFonts w:hint="eastAsia" w:ascii="仿宋" w:hAnsi="仿宋" w:eastAsia="仿宋" w:cs="仿宋"/>
          <w:color w:val="auto"/>
          <w:sz w:val="24"/>
        </w:rPr>
        <w:t>按照</w:t>
      </w:r>
      <w:r>
        <w:rPr>
          <w:rFonts w:hint="eastAsia" w:ascii="仿宋" w:hAnsi="仿宋" w:eastAsia="仿宋" w:cs="仿宋"/>
          <w:bCs/>
          <w:color w:val="auto"/>
          <w:sz w:val="24"/>
        </w:rPr>
        <w:t>招标文件</w:t>
      </w:r>
      <w:r>
        <w:rPr>
          <w:rFonts w:hint="eastAsia" w:ascii="仿宋" w:hAnsi="仿宋" w:eastAsia="仿宋" w:cs="仿宋"/>
          <w:color w:val="auto"/>
          <w:sz w:val="24"/>
        </w:rPr>
        <w:t>规定的要求制作封面，并按本章“16.2.1”点加盖投标人公章和其法定代表人（或被委托人）签字或盖章。</w:t>
      </w:r>
    </w:p>
    <w:p w14:paraId="62782C4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 投标报价应符合第二章采购需求的要求。</w:t>
      </w:r>
    </w:p>
    <w:p w14:paraId="374690A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12.1 投标人需提交其提供产品和服务所符合</w:t>
      </w:r>
      <w:r>
        <w:rPr>
          <w:rFonts w:hint="eastAsia" w:ascii="仿宋" w:hAnsi="仿宋" w:eastAsia="仿宋" w:cs="仿宋"/>
          <w:bCs/>
          <w:color w:val="auto"/>
          <w:sz w:val="24"/>
        </w:rPr>
        <w:t>招标文件</w:t>
      </w:r>
      <w:r>
        <w:rPr>
          <w:rFonts w:hint="eastAsia" w:ascii="仿宋" w:hAnsi="仿宋" w:eastAsia="仿宋" w:cs="仿宋"/>
          <w:color w:val="auto"/>
          <w:sz w:val="24"/>
        </w:rPr>
        <w:t>规定的证明文件，其应作为</w:t>
      </w:r>
      <w:r>
        <w:rPr>
          <w:rFonts w:hint="eastAsia" w:ascii="仿宋" w:hAnsi="仿宋" w:eastAsia="仿宋" w:cs="仿宋"/>
          <w:bCs/>
          <w:color w:val="auto"/>
          <w:sz w:val="24"/>
        </w:rPr>
        <w:t>投标文件</w:t>
      </w:r>
      <w:r>
        <w:rPr>
          <w:rFonts w:hint="eastAsia" w:ascii="仿宋" w:hAnsi="仿宋" w:eastAsia="仿宋" w:cs="仿宋"/>
          <w:color w:val="auto"/>
          <w:sz w:val="24"/>
        </w:rPr>
        <w:t>的一部分。上述文件可以是文字资料、电子文本、图纸和数据。</w:t>
      </w:r>
    </w:p>
    <w:p w14:paraId="29293F99">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13.投标有效期</w:t>
      </w:r>
    </w:p>
    <w:p w14:paraId="2E79A90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kern w:val="0"/>
          <w:sz w:val="24"/>
        </w:rPr>
        <w:t>投标文件</w:t>
      </w:r>
      <w:r>
        <w:rPr>
          <w:rFonts w:hint="eastAsia" w:ascii="仿宋" w:hAnsi="仿宋" w:eastAsia="仿宋" w:cs="仿宋"/>
          <w:color w:val="auto"/>
          <w:sz w:val="24"/>
        </w:rPr>
        <w:t>自开标之日起，投标有效期均为90天。</w:t>
      </w:r>
    </w:p>
    <w:p w14:paraId="0C55255E">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14.投标文件的签署及规定</w:t>
      </w:r>
    </w:p>
    <w:p w14:paraId="39873BC0">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14.1 投标人应按招标文件规定的内容和要求编制投标文件，每套</w:t>
      </w:r>
      <w:r>
        <w:rPr>
          <w:rFonts w:hint="eastAsia" w:ascii="仿宋" w:hAnsi="仿宋" w:eastAsia="仿宋" w:cs="仿宋"/>
          <w:bCs/>
          <w:color w:val="auto"/>
          <w:sz w:val="24"/>
        </w:rPr>
        <w:t>投标文件</w:t>
      </w:r>
      <w:r>
        <w:rPr>
          <w:rFonts w:hint="eastAsia" w:ascii="仿宋" w:hAnsi="仿宋" w:eastAsia="仿宋" w:cs="仿宋"/>
          <w:color w:val="auto"/>
          <w:kern w:val="0"/>
          <w:sz w:val="24"/>
        </w:rPr>
        <w:t>须清楚地标明“资格审查文件”、“资信商务及技术文件”、“报价文件”、“正本”、“副本”的字样。若正本和副本有差异，以正本为准。</w:t>
      </w:r>
    </w:p>
    <w:p w14:paraId="140BFBD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14.2 </w:t>
      </w:r>
      <w:r>
        <w:rPr>
          <w:rFonts w:hint="eastAsia" w:ascii="仿宋" w:hAnsi="仿宋" w:eastAsia="仿宋" w:cs="仿宋"/>
          <w:bCs/>
          <w:color w:val="auto"/>
          <w:sz w:val="24"/>
        </w:rPr>
        <w:t>投标文件</w:t>
      </w:r>
      <w:r>
        <w:rPr>
          <w:rFonts w:hint="eastAsia" w:ascii="仿宋" w:hAnsi="仿宋" w:eastAsia="仿宋" w:cs="仿宋"/>
          <w:color w:val="auto"/>
          <w:sz w:val="24"/>
        </w:rPr>
        <w:t>的正本需打印或印刷，并由负责人（或授权代表）在</w:t>
      </w:r>
      <w:r>
        <w:rPr>
          <w:rFonts w:hint="eastAsia" w:ascii="仿宋" w:hAnsi="仿宋" w:eastAsia="仿宋" w:cs="仿宋"/>
          <w:bCs/>
          <w:color w:val="auto"/>
          <w:sz w:val="24"/>
        </w:rPr>
        <w:t>投标文件</w:t>
      </w:r>
      <w:r>
        <w:rPr>
          <w:rFonts w:hint="eastAsia" w:ascii="仿宋" w:hAnsi="仿宋" w:eastAsia="仿宋" w:cs="仿宋"/>
          <w:color w:val="auto"/>
          <w:sz w:val="24"/>
        </w:rPr>
        <w:t>相关位置签字或盖章。</w:t>
      </w:r>
      <w:r>
        <w:rPr>
          <w:rFonts w:hint="eastAsia" w:ascii="仿宋" w:hAnsi="仿宋" w:eastAsia="仿宋" w:cs="仿宋"/>
          <w:bCs/>
          <w:color w:val="auto"/>
          <w:sz w:val="24"/>
        </w:rPr>
        <w:t>投标文件</w:t>
      </w:r>
      <w:r>
        <w:rPr>
          <w:rFonts w:hint="eastAsia" w:ascii="仿宋" w:hAnsi="仿宋" w:eastAsia="仿宋" w:cs="仿宋"/>
          <w:color w:val="auto"/>
          <w:sz w:val="24"/>
        </w:rPr>
        <w:t>的副本可采用正本的复印件。</w:t>
      </w:r>
    </w:p>
    <w:p w14:paraId="2AC9E8DC">
      <w:pPr>
        <w:spacing w:line="360" w:lineRule="auto"/>
        <w:ind w:firstLine="482" w:firstLineChars="200"/>
        <w:rPr>
          <w:rFonts w:ascii="仿宋" w:hAnsi="仿宋" w:eastAsia="仿宋" w:cs="仿宋"/>
          <w:color w:val="auto"/>
        </w:rPr>
      </w:pPr>
      <w:r>
        <w:rPr>
          <w:rFonts w:hint="eastAsia" w:ascii="仿宋" w:hAnsi="仿宋" w:eastAsia="仿宋" w:cs="仿宋"/>
          <w:b/>
          <w:bCs/>
          <w:color w:val="auto"/>
          <w:sz w:val="24"/>
        </w:rPr>
        <w:t>14.3 电报、电话、传真形式的投标概不接受。</w:t>
      </w:r>
      <w:bookmarkStart w:id="80" w:name="EBc4b37bb6e01e40e49841cd030912a0f0"/>
      <w:r>
        <w:rPr>
          <w:rFonts w:hint="eastAsia" w:ascii="仿宋" w:hAnsi="仿宋" w:eastAsia="仿宋" w:cs="仿宋"/>
          <w:color w:val="auto"/>
          <w:sz w:val="20"/>
        </w:rPr>
        <w:t xml:space="preserve"> </w:t>
      </w:r>
      <w:bookmarkEnd w:id="80"/>
      <w:bookmarkStart w:id="81" w:name="EBcf26f66e408a40c9a0b6da14ff78b099"/>
      <w:r>
        <w:rPr>
          <w:rFonts w:hint="eastAsia" w:ascii="仿宋" w:hAnsi="仿宋" w:eastAsia="仿宋" w:cs="仿宋"/>
          <w:color w:val="auto"/>
          <w:sz w:val="20"/>
        </w:rPr>
        <w:t xml:space="preserve"> </w:t>
      </w:r>
      <w:bookmarkEnd w:id="81"/>
    </w:p>
    <w:p w14:paraId="1EF713C5">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82" w:name="_Toc56928685"/>
      <w:bookmarkStart w:id="83" w:name="_Toc107820049"/>
      <w:bookmarkStart w:id="84" w:name="_Toc493956037"/>
      <w:bookmarkStart w:id="85" w:name="_Toc30207"/>
      <w:bookmarkStart w:id="86" w:name="_Toc15770"/>
      <w:r>
        <w:rPr>
          <w:rFonts w:hint="eastAsia" w:ascii="仿宋" w:hAnsi="仿宋" w:eastAsia="仿宋" w:cs="仿宋"/>
          <w:color w:val="auto"/>
          <w:sz w:val="32"/>
        </w:rPr>
        <w:t xml:space="preserve">四  </w:t>
      </w:r>
      <w:bookmarkEnd w:id="82"/>
      <w:bookmarkEnd w:id="83"/>
      <w:r>
        <w:rPr>
          <w:rFonts w:hint="eastAsia" w:ascii="仿宋" w:hAnsi="仿宋" w:eastAsia="仿宋" w:cs="仿宋"/>
          <w:color w:val="auto"/>
          <w:sz w:val="32"/>
        </w:rPr>
        <w:t>投标</w:t>
      </w:r>
      <w:bookmarkEnd w:id="84"/>
      <w:bookmarkEnd w:id="85"/>
      <w:r>
        <w:rPr>
          <w:rFonts w:hint="eastAsia" w:ascii="仿宋" w:hAnsi="仿宋" w:eastAsia="仿宋" w:cs="仿宋"/>
          <w:color w:val="auto"/>
          <w:sz w:val="32"/>
        </w:rPr>
        <w:t>保证金</w:t>
      </w:r>
      <w:bookmarkEnd w:id="86"/>
    </w:p>
    <w:p w14:paraId="42F06AE2">
      <w:pPr>
        <w:spacing w:line="360" w:lineRule="auto"/>
        <w:ind w:firstLine="482" w:firstLineChars="200"/>
        <w:rPr>
          <w:rFonts w:hint="eastAsia" w:ascii="仿宋" w:hAnsi="仿宋" w:eastAsia="仿宋" w:cs="仿宋"/>
          <w:b/>
          <w:color w:val="auto"/>
          <w:sz w:val="24"/>
        </w:rPr>
      </w:pPr>
      <w:bookmarkStart w:id="87" w:name="_Toc13201"/>
      <w:r>
        <w:rPr>
          <w:rFonts w:hint="eastAsia" w:ascii="仿宋" w:hAnsi="仿宋" w:eastAsia="仿宋" w:cs="仿宋"/>
          <w:b/>
          <w:color w:val="auto"/>
          <w:sz w:val="24"/>
        </w:rPr>
        <w:t>15. 投标保证金</w:t>
      </w:r>
    </w:p>
    <w:p w14:paraId="25FDAA5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▲15.1 投标人按</w:t>
      </w:r>
      <w:r>
        <w:rPr>
          <w:rFonts w:hint="eastAsia" w:ascii="仿宋" w:hAnsi="仿宋" w:eastAsia="仿宋" w:cs="仿宋"/>
          <w:bCs/>
          <w:color w:val="auto"/>
          <w:sz w:val="24"/>
        </w:rPr>
        <w:t>招标文件</w:t>
      </w:r>
      <w:r>
        <w:rPr>
          <w:rFonts w:hint="eastAsia" w:ascii="仿宋" w:hAnsi="仿宋" w:eastAsia="仿宋" w:cs="仿宋"/>
          <w:color w:val="auto"/>
          <w:sz w:val="24"/>
        </w:rPr>
        <w:t>的规定交纳保证金。否则，其投标将被拒绝。</w:t>
      </w:r>
    </w:p>
    <w:p w14:paraId="2547004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15.2</w:t>
      </w:r>
      <w:r>
        <w:rPr>
          <w:rFonts w:hint="eastAsia" w:ascii="仿宋" w:hAnsi="仿宋" w:eastAsia="仿宋" w:cs="仿宋"/>
          <w:color w:val="auto"/>
          <w:sz w:val="24"/>
        </w:rPr>
        <w:t xml:space="preserve"> 投标保证金按投标人须知前附表规定交纳。</w:t>
      </w:r>
    </w:p>
    <w:p w14:paraId="05CF75C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15.3 </w:t>
      </w:r>
      <w:r>
        <w:rPr>
          <w:rFonts w:hint="eastAsia" w:ascii="仿宋" w:hAnsi="仿宋" w:eastAsia="仿宋" w:cs="仿宋"/>
          <w:color w:val="auto"/>
          <w:kern w:val="0"/>
          <w:sz w:val="24"/>
        </w:rPr>
        <w:t>自中标通知书发出之日起5个工作日内退还未中标供应商的投标保证金，自采购合同签订之日起5个工作日内退还中标供应商的投标保证金</w:t>
      </w:r>
      <w:r>
        <w:rPr>
          <w:rFonts w:hint="eastAsia" w:ascii="仿宋" w:hAnsi="仿宋" w:eastAsia="仿宋" w:cs="仿宋"/>
          <w:color w:val="auto"/>
          <w:sz w:val="24"/>
        </w:rPr>
        <w:t>。</w:t>
      </w:r>
    </w:p>
    <w:p w14:paraId="4DB07F1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15.4 投标人有下列情形之一的，投标保证金将不予退还：</w:t>
      </w:r>
    </w:p>
    <w:p w14:paraId="627A184F">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15.4.1 开标后投标人在投标有效期内撤回投标文件的；</w:t>
      </w:r>
    </w:p>
    <w:p w14:paraId="0B742D43">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15.4.2 中标人无正当理由不与招标人签订合同的；</w:t>
      </w:r>
    </w:p>
    <w:p w14:paraId="4D3CBBB1">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15.4.3 中标人未按招标文件规定交纳履约保证金的；</w:t>
      </w:r>
    </w:p>
    <w:p w14:paraId="73875A4C">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15.4.4 违反投标承诺函的相关内容及条款的；</w:t>
      </w:r>
    </w:p>
    <w:p w14:paraId="21DC4DBF">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15.4.5 提供虚假材料谋取中标的；</w:t>
      </w:r>
    </w:p>
    <w:p w14:paraId="1DD928D8">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15.4.6 采取不正当手段诋毁、排挤其他投标人的；</w:t>
      </w:r>
    </w:p>
    <w:p w14:paraId="4B48FA8B">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 xml:space="preserve">15.4.7 </w:t>
      </w:r>
      <w:r>
        <w:rPr>
          <w:rFonts w:hint="eastAsia" w:ascii="仿宋" w:hAnsi="仿宋" w:eastAsia="仿宋" w:cs="仿宋"/>
          <w:b w:val="0"/>
          <w:bCs/>
          <w:color w:val="auto"/>
          <w:sz w:val="24"/>
          <w:lang w:val="en-US" w:eastAsia="zh-CN"/>
        </w:rPr>
        <w:t>与</w:t>
      </w:r>
      <w:r>
        <w:rPr>
          <w:rFonts w:hint="eastAsia" w:ascii="仿宋" w:hAnsi="仿宋" w:eastAsia="仿宋" w:cs="仿宋"/>
          <w:b w:val="0"/>
          <w:bCs/>
          <w:color w:val="auto"/>
          <w:sz w:val="24"/>
        </w:rPr>
        <w:t>采购人、采购代理机构、其他投标人恶意串通的；</w:t>
      </w:r>
    </w:p>
    <w:p w14:paraId="1085AE4F">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15.4.8 向</w:t>
      </w:r>
      <w:r>
        <w:rPr>
          <w:rFonts w:hint="eastAsia" w:ascii="仿宋" w:hAnsi="仿宋" w:eastAsia="仿宋" w:cs="仿宋"/>
          <w:b w:val="0"/>
          <w:bCs/>
          <w:color w:val="auto"/>
          <w:sz w:val="24"/>
          <w:lang w:val="en-US" w:eastAsia="zh-CN"/>
        </w:rPr>
        <w:t>采购</w:t>
      </w:r>
      <w:r>
        <w:rPr>
          <w:rFonts w:hint="eastAsia" w:ascii="仿宋" w:hAnsi="仿宋" w:eastAsia="仿宋" w:cs="仿宋"/>
          <w:b w:val="0"/>
          <w:bCs/>
          <w:color w:val="auto"/>
          <w:sz w:val="24"/>
        </w:rPr>
        <w:t>人、采购代理机构行贿或者提供其他不正当利益的；</w:t>
      </w:r>
    </w:p>
    <w:p w14:paraId="710C0137">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15.4.9 在招标过程中与</w:t>
      </w:r>
      <w:r>
        <w:rPr>
          <w:rFonts w:hint="eastAsia" w:ascii="仿宋" w:hAnsi="仿宋" w:eastAsia="仿宋" w:cs="仿宋"/>
          <w:b w:val="0"/>
          <w:bCs/>
          <w:color w:val="auto"/>
          <w:sz w:val="24"/>
          <w:lang w:val="en-US" w:eastAsia="zh-CN"/>
        </w:rPr>
        <w:t>采购</w:t>
      </w:r>
      <w:r>
        <w:rPr>
          <w:rFonts w:hint="eastAsia" w:ascii="仿宋" w:hAnsi="仿宋" w:eastAsia="仿宋" w:cs="仿宋"/>
          <w:b w:val="0"/>
          <w:bCs/>
          <w:color w:val="auto"/>
          <w:sz w:val="24"/>
        </w:rPr>
        <w:t>人进行协商谈判、不按照招标文件和中标人投标文件订立合同，或者与</w:t>
      </w:r>
      <w:r>
        <w:rPr>
          <w:rFonts w:hint="eastAsia" w:ascii="仿宋" w:hAnsi="仿宋" w:eastAsia="仿宋" w:cs="仿宋"/>
          <w:b w:val="0"/>
          <w:bCs/>
          <w:color w:val="auto"/>
          <w:sz w:val="24"/>
          <w:lang w:val="en-US" w:eastAsia="zh-CN"/>
        </w:rPr>
        <w:t>采购人</w:t>
      </w:r>
      <w:r>
        <w:rPr>
          <w:rFonts w:hint="eastAsia" w:ascii="仿宋" w:hAnsi="仿宋" w:eastAsia="仿宋" w:cs="仿宋"/>
          <w:b w:val="0"/>
          <w:bCs/>
          <w:color w:val="auto"/>
          <w:sz w:val="24"/>
        </w:rPr>
        <w:t>另行订立背离合同实质性内容协议的；</w:t>
      </w:r>
    </w:p>
    <w:p w14:paraId="402714D0">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15.4.10 拒绝有关部门监督检查或者提供虚假情况的；</w:t>
      </w:r>
    </w:p>
    <w:p w14:paraId="025BB620">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15.4.11 将中标项目转让给他人或者在投标文件中未说明且未经</w:t>
      </w:r>
      <w:r>
        <w:rPr>
          <w:rFonts w:hint="eastAsia" w:ascii="仿宋" w:hAnsi="仿宋" w:eastAsia="仿宋" w:cs="仿宋"/>
          <w:b w:val="0"/>
          <w:bCs/>
          <w:color w:val="auto"/>
          <w:sz w:val="24"/>
          <w:lang w:val="en-US" w:eastAsia="zh-CN"/>
        </w:rPr>
        <w:t>采购人</w:t>
      </w:r>
      <w:r>
        <w:rPr>
          <w:rFonts w:hint="eastAsia" w:ascii="仿宋" w:hAnsi="仿宋" w:eastAsia="仿宋" w:cs="仿宋"/>
          <w:b w:val="0"/>
          <w:bCs/>
          <w:color w:val="auto"/>
          <w:sz w:val="24"/>
        </w:rPr>
        <w:t>同意将中标项目分包给他人的；</w:t>
      </w:r>
    </w:p>
    <w:p w14:paraId="2247728F">
      <w:pPr>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15.4.12 拒绝履行合同义务的；</w:t>
      </w:r>
    </w:p>
    <w:p w14:paraId="0472270C">
      <w:pPr>
        <w:spacing w:line="360" w:lineRule="auto"/>
        <w:ind w:firstLine="480" w:firstLineChars="200"/>
        <w:rPr>
          <w:rFonts w:hint="eastAsia" w:ascii="仿宋" w:hAnsi="仿宋" w:eastAsia="仿宋" w:cs="仿宋"/>
          <w:b w:val="0"/>
          <w:bCs/>
          <w:color w:val="auto"/>
          <w:lang w:eastAsia="zh-CN"/>
        </w:rPr>
      </w:pPr>
      <w:r>
        <w:rPr>
          <w:rFonts w:hint="eastAsia" w:ascii="仿宋" w:hAnsi="仿宋" w:eastAsia="仿宋" w:cs="仿宋"/>
          <w:b w:val="0"/>
          <w:bCs/>
          <w:color w:val="auto"/>
          <w:sz w:val="24"/>
        </w:rPr>
        <w:t>15.4.13 其他严重扰乱招投标程序的</w:t>
      </w:r>
      <w:r>
        <w:rPr>
          <w:rFonts w:hint="eastAsia" w:ascii="仿宋" w:hAnsi="仿宋" w:eastAsia="仿宋" w:cs="仿宋"/>
          <w:b w:val="0"/>
          <w:bCs/>
          <w:color w:val="auto"/>
          <w:sz w:val="24"/>
          <w:lang w:eastAsia="zh-CN"/>
        </w:rPr>
        <w:t>。</w:t>
      </w:r>
    </w:p>
    <w:p w14:paraId="2558A6BA">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r>
        <w:rPr>
          <w:rFonts w:hint="eastAsia" w:ascii="仿宋" w:hAnsi="仿宋" w:eastAsia="仿宋" w:cs="仿宋"/>
          <w:color w:val="auto"/>
          <w:sz w:val="32"/>
        </w:rPr>
        <w:t>五  投标文件的包装、装订、提交、修改和撤回</w:t>
      </w:r>
      <w:bookmarkEnd w:id="87"/>
    </w:p>
    <w:p w14:paraId="55010430">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16. 纸质投标文件的包装、密封、标记和装订</w:t>
      </w:r>
    </w:p>
    <w:p w14:paraId="230A7E6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 投标文件按资格审查文件、资信商务及技术文件、报价文件三部分单独密封封装成</w:t>
      </w:r>
      <w:r>
        <w:rPr>
          <w:rFonts w:hint="eastAsia" w:ascii="仿宋" w:hAnsi="仿宋" w:eastAsia="仿宋" w:cs="仿宋"/>
          <w:bCs/>
          <w:color w:val="auto"/>
          <w:sz w:val="24"/>
        </w:rPr>
        <w:t>投标文件（注：各部分的正本与副本包装在同一个密封袋内）。</w:t>
      </w:r>
    </w:p>
    <w:p w14:paraId="649F1A0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16.2 </w:t>
      </w:r>
      <w:r>
        <w:rPr>
          <w:rFonts w:hint="eastAsia" w:ascii="仿宋" w:hAnsi="仿宋" w:eastAsia="仿宋" w:cs="仿宋"/>
          <w:bCs/>
          <w:color w:val="auto"/>
          <w:sz w:val="24"/>
        </w:rPr>
        <w:t>投标文件</w:t>
      </w:r>
      <w:r>
        <w:rPr>
          <w:rFonts w:hint="eastAsia" w:ascii="仿宋" w:hAnsi="仿宋" w:eastAsia="仿宋" w:cs="仿宋"/>
          <w:color w:val="auto"/>
          <w:sz w:val="24"/>
        </w:rPr>
        <w:t>封面及</w:t>
      </w:r>
      <w:r>
        <w:rPr>
          <w:rFonts w:hint="eastAsia" w:ascii="仿宋" w:hAnsi="仿宋" w:eastAsia="仿宋" w:cs="仿宋"/>
          <w:bCs/>
          <w:color w:val="auto"/>
          <w:sz w:val="24"/>
        </w:rPr>
        <w:t>投标文件</w:t>
      </w:r>
      <w:r>
        <w:rPr>
          <w:rFonts w:hint="eastAsia" w:ascii="仿宋" w:hAnsi="仿宋" w:eastAsia="仿宋" w:cs="仿宋"/>
          <w:color w:val="auto"/>
          <w:sz w:val="24"/>
        </w:rPr>
        <w:t>外层包装制作要求：</w:t>
      </w:r>
    </w:p>
    <w:p w14:paraId="46B5EFE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16.2.1 资格审查文件、资信商务及技术文件、报价文件封面上应注明文件名称（即资格审查文件、资信商务及技术文件、报价文件的字样）、项目名称、投标人名称（盖章）、法定代表人（或被委托人）签字或盖章和正副本字样。</w:t>
      </w:r>
    </w:p>
    <w:p w14:paraId="4CC26D8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16.2.2 </w:t>
      </w:r>
      <w:r>
        <w:rPr>
          <w:rFonts w:hint="eastAsia" w:ascii="仿宋" w:hAnsi="仿宋" w:eastAsia="仿宋" w:cs="仿宋"/>
          <w:bCs/>
          <w:color w:val="auto"/>
          <w:sz w:val="24"/>
        </w:rPr>
        <w:t>投标文件</w:t>
      </w:r>
      <w:r>
        <w:rPr>
          <w:rFonts w:hint="eastAsia" w:ascii="仿宋" w:hAnsi="仿宋" w:eastAsia="仿宋" w:cs="仿宋"/>
          <w:color w:val="auto"/>
          <w:sz w:val="24"/>
        </w:rPr>
        <w:t>外层包装应注明文件名称（即资格审查文件、资信商务及技术文件、报价文件的字样）、项目名称、投标人名称（盖章）、投标人地址、法定代表人（或被委托人）签字或盖章和“在（开标时间）之前不得启封”的字样。</w:t>
      </w:r>
    </w:p>
    <w:p w14:paraId="59F1B03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16.3 投标文件采用A4或A3规格纸张进行单面或双面打印（或印刷）。</w:t>
      </w:r>
    </w:p>
    <w:p w14:paraId="2802CAD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16.4 投标文件统一左侧装订，采用胶装（黏贴方式）装订，不得采用活页夹等可随意拆换的方式装订。</w:t>
      </w:r>
    </w:p>
    <w:p w14:paraId="0E2D245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16.5 超过截止时间送达或未按规定签字、盖章、密封的</w:t>
      </w:r>
      <w:r>
        <w:rPr>
          <w:rFonts w:hint="eastAsia" w:ascii="仿宋" w:hAnsi="仿宋" w:eastAsia="仿宋" w:cs="仿宋"/>
          <w:bCs/>
          <w:color w:val="auto"/>
          <w:sz w:val="24"/>
        </w:rPr>
        <w:t>投标文件</w:t>
      </w:r>
      <w:r>
        <w:rPr>
          <w:rFonts w:hint="eastAsia" w:ascii="仿宋" w:hAnsi="仿宋" w:eastAsia="仿宋" w:cs="仿宋"/>
          <w:color w:val="auto"/>
          <w:sz w:val="24"/>
        </w:rPr>
        <w:t>将被拒绝。由投标人标记错误造成</w:t>
      </w:r>
      <w:r>
        <w:rPr>
          <w:rFonts w:hint="eastAsia" w:ascii="仿宋" w:hAnsi="仿宋" w:eastAsia="仿宋" w:cs="仿宋"/>
          <w:bCs/>
          <w:color w:val="auto"/>
          <w:sz w:val="24"/>
        </w:rPr>
        <w:t>投标文件</w:t>
      </w:r>
      <w:r>
        <w:rPr>
          <w:rFonts w:hint="eastAsia" w:ascii="仿宋" w:hAnsi="仿宋" w:eastAsia="仿宋" w:cs="仿宋"/>
          <w:color w:val="auto"/>
          <w:sz w:val="24"/>
        </w:rPr>
        <w:t>被误投或提前拆封的风险由投标人承担。</w:t>
      </w:r>
    </w:p>
    <w:p w14:paraId="74D76C26">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16.6 对以下不符合密封、装订、包装要求的投标文件由现场工作人员退还投标人代表人；</w:t>
      </w:r>
    </w:p>
    <w:p w14:paraId="075CF28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16.6.1 未按招标文件规定要求密封的；</w:t>
      </w:r>
    </w:p>
    <w:p w14:paraId="13D00CB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16.6.2 未按招标文件规定要求装订的；</w:t>
      </w:r>
    </w:p>
    <w:p w14:paraId="2F8497C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16.6.3 未按招标文件要求的份数提交的投标文件；</w:t>
      </w:r>
    </w:p>
    <w:p w14:paraId="0CBEA7B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16.6.4 投标文件中的资格审查文件、资信商务及技术文件、报价文件出现包装混装。</w:t>
      </w:r>
    </w:p>
    <w:p w14:paraId="093436AD">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17. 投标文件的提交</w:t>
      </w:r>
    </w:p>
    <w:p w14:paraId="33224A9D">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kern w:val="0"/>
          <w:sz w:val="24"/>
        </w:rPr>
        <w:t>▲</w:t>
      </w:r>
      <w:r>
        <w:rPr>
          <w:rFonts w:hint="eastAsia" w:ascii="仿宋" w:hAnsi="仿宋" w:eastAsia="仿宋" w:cs="仿宋"/>
          <w:color w:val="auto"/>
          <w:kern w:val="0"/>
          <w:sz w:val="24"/>
        </w:rPr>
        <w:t>17.1 在提交</w:t>
      </w:r>
      <w:r>
        <w:rPr>
          <w:rFonts w:hint="eastAsia" w:ascii="仿宋" w:hAnsi="仿宋" w:eastAsia="仿宋" w:cs="仿宋"/>
          <w:bCs/>
          <w:color w:val="auto"/>
          <w:sz w:val="24"/>
        </w:rPr>
        <w:t>投标文件</w:t>
      </w:r>
      <w:r>
        <w:rPr>
          <w:rFonts w:hint="eastAsia" w:ascii="仿宋" w:hAnsi="仿宋" w:eastAsia="仿宋" w:cs="仿宋"/>
          <w:color w:val="auto"/>
          <w:kern w:val="0"/>
          <w:sz w:val="24"/>
        </w:rPr>
        <w:t>截止时间前，投标人应按招标文件规定的时间和地点提交</w:t>
      </w:r>
      <w:r>
        <w:rPr>
          <w:rFonts w:hint="eastAsia" w:ascii="仿宋" w:hAnsi="仿宋" w:eastAsia="仿宋" w:cs="仿宋"/>
          <w:bCs/>
          <w:color w:val="auto"/>
          <w:sz w:val="24"/>
        </w:rPr>
        <w:t>投标文件</w:t>
      </w:r>
      <w:r>
        <w:rPr>
          <w:rFonts w:hint="eastAsia" w:ascii="仿宋" w:hAnsi="仿宋" w:eastAsia="仿宋" w:cs="仿宋"/>
          <w:color w:val="auto"/>
          <w:kern w:val="0"/>
          <w:sz w:val="24"/>
        </w:rPr>
        <w:t>。在提交</w:t>
      </w:r>
      <w:r>
        <w:rPr>
          <w:rFonts w:hint="eastAsia" w:ascii="仿宋" w:hAnsi="仿宋" w:eastAsia="仿宋" w:cs="仿宋"/>
          <w:bCs/>
          <w:color w:val="auto"/>
          <w:sz w:val="24"/>
        </w:rPr>
        <w:t>投标文件</w:t>
      </w:r>
      <w:r>
        <w:rPr>
          <w:rFonts w:hint="eastAsia" w:ascii="仿宋" w:hAnsi="仿宋" w:eastAsia="仿宋" w:cs="仿宋"/>
          <w:color w:val="auto"/>
          <w:kern w:val="0"/>
          <w:sz w:val="24"/>
        </w:rPr>
        <w:t>截止时间后，采购代理机构将拒收投标人的</w:t>
      </w:r>
      <w:r>
        <w:rPr>
          <w:rFonts w:hint="eastAsia" w:ascii="仿宋" w:hAnsi="仿宋" w:eastAsia="仿宋" w:cs="仿宋"/>
          <w:bCs/>
          <w:color w:val="auto"/>
          <w:sz w:val="24"/>
        </w:rPr>
        <w:t>投标文件</w:t>
      </w:r>
      <w:r>
        <w:rPr>
          <w:rFonts w:hint="eastAsia" w:ascii="仿宋" w:hAnsi="仿宋" w:eastAsia="仿宋" w:cs="仿宋"/>
          <w:color w:val="auto"/>
          <w:kern w:val="0"/>
          <w:sz w:val="24"/>
        </w:rPr>
        <w:t>。</w:t>
      </w:r>
    </w:p>
    <w:p w14:paraId="4595329D">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17.2 采购代理机构工作人员将做好纸质</w:t>
      </w:r>
      <w:r>
        <w:rPr>
          <w:rFonts w:hint="eastAsia" w:ascii="仿宋" w:hAnsi="仿宋" w:eastAsia="仿宋" w:cs="仿宋"/>
          <w:bCs/>
          <w:color w:val="auto"/>
          <w:sz w:val="24"/>
        </w:rPr>
        <w:t>投标文件</w:t>
      </w:r>
      <w:r>
        <w:rPr>
          <w:rFonts w:hint="eastAsia" w:ascii="仿宋" w:hAnsi="仿宋" w:eastAsia="仿宋" w:cs="仿宋"/>
          <w:color w:val="auto"/>
          <w:kern w:val="0"/>
          <w:sz w:val="24"/>
        </w:rPr>
        <w:t>签收手续，明确投标文件的提交时间、投标文件的份数、提交人等信息。</w:t>
      </w:r>
    </w:p>
    <w:p w14:paraId="07C3991D">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18. 投标文件的修改和撤销</w:t>
      </w:r>
    </w:p>
    <w:p w14:paraId="75D5AC7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18.1 在提交</w:t>
      </w:r>
      <w:r>
        <w:rPr>
          <w:rFonts w:hint="eastAsia" w:ascii="仿宋" w:hAnsi="仿宋" w:eastAsia="仿宋" w:cs="仿宋"/>
          <w:bCs/>
          <w:color w:val="auto"/>
          <w:sz w:val="24"/>
        </w:rPr>
        <w:t>投标文件</w:t>
      </w:r>
      <w:r>
        <w:rPr>
          <w:rFonts w:hint="eastAsia" w:ascii="仿宋" w:hAnsi="仿宋" w:eastAsia="仿宋" w:cs="仿宋"/>
          <w:color w:val="auto"/>
          <w:sz w:val="24"/>
        </w:rPr>
        <w:t>截止时间前，投标人可对已提交的</w:t>
      </w:r>
      <w:r>
        <w:rPr>
          <w:rFonts w:hint="eastAsia" w:ascii="仿宋" w:hAnsi="仿宋" w:eastAsia="仿宋" w:cs="仿宋"/>
          <w:color w:val="auto"/>
          <w:kern w:val="0"/>
          <w:sz w:val="24"/>
        </w:rPr>
        <w:t>投标文件</w:t>
      </w:r>
      <w:r>
        <w:rPr>
          <w:rFonts w:hint="eastAsia" w:ascii="仿宋" w:hAnsi="仿宋" w:eastAsia="仿宋" w:cs="仿宋"/>
          <w:color w:val="auto"/>
          <w:sz w:val="24"/>
        </w:rPr>
        <w:t>进行补充、修改或撤回，修改或撤回的意思应以书面形式通知采购代理机构。</w:t>
      </w:r>
    </w:p>
    <w:p w14:paraId="21468DF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18.2 修改后重新提交的</w:t>
      </w:r>
      <w:r>
        <w:rPr>
          <w:rFonts w:hint="eastAsia" w:ascii="仿宋" w:hAnsi="仿宋" w:eastAsia="仿宋" w:cs="仿宋"/>
          <w:bCs/>
          <w:color w:val="auto"/>
          <w:sz w:val="24"/>
        </w:rPr>
        <w:t>投标文件</w:t>
      </w:r>
      <w:r>
        <w:rPr>
          <w:rFonts w:hint="eastAsia" w:ascii="仿宋" w:hAnsi="仿宋" w:eastAsia="仿宋" w:cs="仿宋"/>
          <w:color w:val="auto"/>
          <w:sz w:val="24"/>
        </w:rPr>
        <w:t>应按招标文件的规定编制、密封、标记和提交。</w:t>
      </w:r>
    </w:p>
    <w:p w14:paraId="2AC17894">
      <w:pPr>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18.3 在提交</w:t>
      </w:r>
      <w:r>
        <w:rPr>
          <w:rFonts w:hint="eastAsia" w:ascii="仿宋" w:hAnsi="仿宋" w:eastAsia="仿宋" w:cs="仿宋"/>
          <w:color w:val="auto"/>
          <w:kern w:val="0"/>
          <w:sz w:val="24"/>
        </w:rPr>
        <w:t>投标文件</w:t>
      </w:r>
      <w:r>
        <w:rPr>
          <w:rFonts w:hint="eastAsia" w:ascii="仿宋" w:hAnsi="仿宋" w:eastAsia="仿宋" w:cs="仿宋"/>
          <w:color w:val="auto"/>
          <w:sz w:val="24"/>
        </w:rPr>
        <w:t>截止时间后，投标人不得修改、撤回已提交的</w:t>
      </w:r>
      <w:r>
        <w:rPr>
          <w:rFonts w:hint="eastAsia" w:ascii="仿宋" w:hAnsi="仿宋" w:eastAsia="仿宋" w:cs="仿宋"/>
          <w:color w:val="auto"/>
          <w:kern w:val="0"/>
          <w:sz w:val="24"/>
        </w:rPr>
        <w:t>投标文件</w:t>
      </w:r>
      <w:r>
        <w:rPr>
          <w:rFonts w:hint="eastAsia" w:ascii="仿宋" w:hAnsi="仿宋" w:eastAsia="仿宋" w:cs="仿宋"/>
          <w:color w:val="auto"/>
          <w:sz w:val="24"/>
        </w:rPr>
        <w:t>。</w:t>
      </w:r>
    </w:p>
    <w:p w14:paraId="5B3B878D">
      <w:pPr>
        <w:spacing w:line="360" w:lineRule="auto"/>
        <w:ind w:firstLine="480" w:firstLineChars="200"/>
        <w:rPr>
          <w:rFonts w:ascii="仿宋" w:hAnsi="仿宋" w:eastAsia="仿宋" w:cs="仿宋"/>
          <w:color w:val="auto"/>
        </w:rPr>
      </w:pPr>
      <w:r>
        <w:rPr>
          <w:rFonts w:hint="eastAsia" w:ascii="仿宋" w:hAnsi="仿宋" w:eastAsia="仿宋" w:cs="仿宋"/>
          <w:color w:val="auto"/>
          <w:kern w:val="0"/>
          <w:sz w:val="24"/>
        </w:rPr>
        <w:t>18.4 投标文件不得涂改，若有修改错漏处，须加盖投标人公章或者负责人或被委托人签字或盖章。投标文件因字迹潦草或表达不清所引起的后果由投标人负责。</w:t>
      </w:r>
    </w:p>
    <w:p w14:paraId="15CC187F">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88" w:name="_Toc107820050"/>
      <w:bookmarkStart w:id="89" w:name="_Toc493956038"/>
      <w:bookmarkStart w:id="90" w:name="_Toc16729"/>
      <w:bookmarkStart w:id="91" w:name="_Toc2820"/>
      <w:r>
        <w:rPr>
          <w:rFonts w:hint="eastAsia" w:ascii="仿宋" w:hAnsi="仿宋" w:eastAsia="仿宋" w:cs="仿宋"/>
          <w:color w:val="auto"/>
          <w:sz w:val="32"/>
        </w:rPr>
        <w:t>六  开标和</w:t>
      </w:r>
      <w:bookmarkEnd w:id="88"/>
      <w:r>
        <w:rPr>
          <w:rFonts w:hint="eastAsia" w:ascii="仿宋" w:hAnsi="仿宋" w:eastAsia="仿宋" w:cs="仿宋"/>
          <w:color w:val="auto"/>
          <w:sz w:val="32"/>
        </w:rPr>
        <w:t>评</w:t>
      </w:r>
      <w:bookmarkEnd w:id="89"/>
      <w:r>
        <w:rPr>
          <w:rFonts w:hint="eastAsia" w:ascii="仿宋" w:hAnsi="仿宋" w:eastAsia="仿宋" w:cs="仿宋"/>
          <w:color w:val="auto"/>
          <w:sz w:val="32"/>
        </w:rPr>
        <w:t>标</w:t>
      </w:r>
      <w:bookmarkEnd w:id="90"/>
      <w:bookmarkEnd w:id="91"/>
    </w:p>
    <w:p w14:paraId="51D485AB">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19.开标</w:t>
      </w:r>
    </w:p>
    <w:p w14:paraId="6118E08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19.1采购代理机构在招标文件规定的时间和地点组织开标。开标时所有投标人应到场，如投标人不派代表参加开标大会的，事后不得对采购相关人员、开标过程和开标结果提出异议。</w:t>
      </w:r>
    </w:p>
    <w:p w14:paraId="126AEBC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 开标会由采购代理机构主持，主持人介绍标前基本情况、投标人名单，宣读开标日程安排，宣布评审期间的有关事项。公布开标会主持人、记录人、监督人等人员名单，应要求投标人代表书面提出其中是否有应当回避的人员。</w:t>
      </w:r>
    </w:p>
    <w:p w14:paraId="2AE4A68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投标人认为采购人及相关人员与其他投标人有利害关系的，可以向采购代理机构书面提出回避申请，并说明理由。</w:t>
      </w:r>
    </w:p>
    <w:p w14:paraId="20D59CCE">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19.3 投标文件经投标人或者其推选的代表检查投标文件密封情况，如有问题应及时向工作人员及监督人提出。但工作人员当众拆封后，投标人不得对投标文件的密封情况提出质疑。</w:t>
      </w:r>
    </w:p>
    <w:p w14:paraId="3DED45C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19.3.1 采购代理机构按投标文件递交的先后顺序打开投标文件包装，清点投标文件正本、副本数量，符合招标文件要求的送评审室评审；不符合要求的，当场退还投标人；</w:t>
      </w:r>
    </w:p>
    <w:p w14:paraId="529BC7CD">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19.3.2 因投标文件份数不符合要求造成投标人不足三家，按相关规定重新组织招标。</w:t>
      </w:r>
    </w:p>
    <w:p w14:paraId="3D4CE6C1">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19.4 唱标</w:t>
      </w:r>
    </w:p>
    <w:p w14:paraId="4A3D4770">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19.4.1 采购代理机构按递交投标文件先后顺序宣布投标人名称、投标报价和招标文件规定的需要宣布的其他内容。</w:t>
      </w:r>
    </w:p>
    <w:p w14:paraId="2BEA7EE9">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19.4.2 采购代理机构做好开标记录。投标人代表对开标记录进行当场校验核对，并签字确认。投标人代表未到场签字确认或者拒绝签字确认的，视同认可开标结果，不影响评审过程，但有可能影响投标人诚信。</w:t>
      </w:r>
    </w:p>
    <w:p w14:paraId="5E1387B6">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19.5 开标会议结束。</w:t>
      </w:r>
    </w:p>
    <w:p w14:paraId="2E4A2D81">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20. 资格审查</w:t>
      </w:r>
    </w:p>
    <w:p w14:paraId="6EC0864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20.1 采购人或采购代理机构按资格要求和资格审查文件要求对投标人进行资格审查及记录，并当场告知审查结果。</w:t>
      </w:r>
    </w:p>
    <w:p w14:paraId="6AEC3884">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20.2 经资格审查后合格的投标人不足三家的，不得进入评审，并按相关规定重新组织招标。</w:t>
      </w:r>
    </w:p>
    <w:p w14:paraId="0341215C">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21. 评审流程</w:t>
      </w:r>
    </w:p>
    <w:p w14:paraId="74A96E35">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21.1采购代理机构和采购人将根据采购项目的特点组建</w:t>
      </w:r>
      <w:r>
        <w:rPr>
          <w:rFonts w:hint="eastAsia" w:ascii="仿宋" w:hAnsi="仿宋" w:eastAsia="仿宋" w:cs="仿宋"/>
          <w:color w:val="auto"/>
          <w:sz w:val="24"/>
        </w:rPr>
        <w:t>评标委员会</w:t>
      </w:r>
      <w:r>
        <w:rPr>
          <w:rFonts w:hint="eastAsia" w:ascii="仿宋" w:hAnsi="仿宋" w:eastAsia="仿宋" w:cs="仿宋"/>
          <w:color w:val="auto"/>
          <w:kern w:val="0"/>
          <w:sz w:val="24"/>
        </w:rPr>
        <w:t>，其成员由技术、经济等方面的专家和采购人代表组成，成员人数为5人以上单数，其中评审专家不少于成员总数的三分之二。</w:t>
      </w:r>
      <w:r>
        <w:rPr>
          <w:rFonts w:hint="eastAsia" w:ascii="仿宋" w:hAnsi="仿宋" w:eastAsia="仿宋" w:cs="仿宋"/>
          <w:color w:val="auto"/>
          <w:sz w:val="24"/>
        </w:rPr>
        <w:t>评标委员会</w:t>
      </w:r>
      <w:r>
        <w:rPr>
          <w:rFonts w:hint="eastAsia" w:ascii="仿宋" w:hAnsi="仿宋" w:eastAsia="仿宋" w:cs="仿宋"/>
          <w:color w:val="auto"/>
          <w:kern w:val="0"/>
          <w:sz w:val="24"/>
        </w:rPr>
        <w:t>对投标文件进行符合性审查、询标、评价和推荐中标候选人。</w:t>
      </w:r>
    </w:p>
    <w:p w14:paraId="22F5D26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 评审</w:t>
      </w:r>
    </w:p>
    <w:p w14:paraId="4B95A09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21.2.1 符合性审查</w:t>
      </w:r>
    </w:p>
    <w:p w14:paraId="463EC5A1">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根据招标文件的规定，从投标文件的有效性、完整性和对招标文件的响应程度进行审查，以确定是否对招标文件的实质性要求作出响应。</w:t>
      </w:r>
      <w:r>
        <w:rPr>
          <w:rFonts w:hint="eastAsia" w:ascii="仿宋" w:hAnsi="仿宋" w:eastAsia="仿宋" w:cs="仿宋"/>
          <w:b/>
          <w:bCs/>
          <w:color w:val="auto"/>
          <w:sz w:val="24"/>
        </w:rPr>
        <w:t>通过符合性审查不足三家的，除采购任务取消情形外，按相关规定重新组织招标。</w:t>
      </w:r>
    </w:p>
    <w:p w14:paraId="7130863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21.2.2 资信商务及技术文件评审</w:t>
      </w:r>
    </w:p>
    <w:p w14:paraId="6D9A6FF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循序由开标现场随机抽取产生，并根据澄清、演示、样品等情况按评审细则进行独立打分。</w:t>
      </w:r>
      <w:r>
        <w:rPr>
          <w:rFonts w:hint="eastAsia" w:ascii="仿宋_GB2312" w:eastAsia="仿宋_GB2312"/>
          <w:color w:val="auto"/>
          <w:sz w:val="24"/>
        </w:rPr>
        <w:t>各投标人的资信商务及技术得分，为各评审专家对该投标人的评审得分结果汇总后的算术平均数。</w:t>
      </w:r>
    </w:p>
    <w:p w14:paraId="58C6D56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21.2.3 报价文件评审</w:t>
      </w:r>
    </w:p>
    <w:p w14:paraId="5EF6064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评标委员会依据招标文件的规定，对各投标人的报价的完整性、合理性进行审查，必要时可要求投标人对其报价做出澄清、说明。评标委员会根据投标人的报价和评审标准，计算各投标人的报价得分。</w:t>
      </w:r>
    </w:p>
    <w:p w14:paraId="1F5B58D7">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22. 投标文件的澄清</w:t>
      </w:r>
    </w:p>
    <w:p w14:paraId="0E6BE66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22.1 对</w:t>
      </w:r>
      <w:r>
        <w:rPr>
          <w:rFonts w:hint="eastAsia" w:ascii="仿宋" w:hAnsi="仿宋" w:eastAsia="仿宋" w:cs="仿宋"/>
          <w:color w:val="auto"/>
          <w:kern w:val="0"/>
          <w:sz w:val="24"/>
        </w:rPr>
        <w:t>投标文件</w:t>
      </w:r>
      <w:r>
        <w:rPr>
          <w:rFonts w:hint="eastAsia" w:ascii="仿宋" w:hAnsi="仿宋" w:eastAsia="仿宋" w:cs="仿宋"/>
          <w:color w:val="auto"/>
          <w:sz w:val="24"/>
        </w:rPr>
        <w:t>中含义不明确、同类问题表述不一致或者有明显文字和计算错误的内容，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14:paraId="5C73D7E3">
      <w:pPr>
        <w:spacing w:line="360" w:lineRule="auto"/>
        <w:ind w:firstLine="436" w:firstLineChars="182"/>
        <w:rPr>
          <w:rFonts w:ascii="仿宋" w:hAnsi="仿宋" w:eastAsia="仿宋" w:cs="仿宋"/>
          <w:color w:val="auto"/>
          <w:sz w:val="24"/>
        </w:rPr>
      </w:pPr>
      <w:r>
        <w:rPr>
          <w:rFonts w:hint="eastAsia" w:ascii="仿宋" w:hAnsi="仿宋" w:eastAsia="仿宋" w:cs="仿宋"/>
          <w:color w:val="auto"/>
          <w:sz w:val="24"/>
        </w:rPr>
        <w:t>22.2 报价算术错误将按以下方法修正：</w:t>
      </w:r>
    </w:p>
    <w:p w14:paraId="632DF5B5">
      <w:pPr>
        <w:spacing w:line="360" w:lineRule="auto"/>
        <w:ind w:firstLine="436" w:firstLineChars="182"/>
        <w:rPr>
          <w:rFonts w:ascii="仿宋" w:hAnsi="仿宋" w:eastAsia="仿宋" w:cs="仿宋"/>
          <w:bCs/>
          <w:color w:val="auto"/>
          <w:sz w:val="24"/>
        </w:rPr>
      </w:pPr>
      <w:r>
        <w:rPr>
          <w:rFonts w:hint="eastAsia" w:ascii="仿宋" w:hAnsi="仿宋" w:eastAsia="仿宋" w:cs="仿宋"/>
          <w:bCs/>
          <w:color w:val="auto"/>
          <w:sz w:val="24"/>
        </w:rPr>
        <w:t>（1）正本与副本不一致时，以正本为准</w:t>
      </w:r>
    </w:p>
    <w:p w14:paraId="7537FD36">
      <w:pPr>
        <w:spacing w:line="360" w:lineRule="auto"/>
        <w:ind w:firstLine="436" w:firstLineChars="182"/>
        <w:rPr>
          <w:rFonts w:ascii="仿宋" w:hAnsi="仿宋" w:eastAsia="仿宋" w:cs="仿宋"/>
          <w:bCs/>
          <w:color w:val="auto"/>
          <w:sz w:val="24"/>
        </w:rPr>
      </w:pPr>
      <w:r>
        <w:rPr>
          <w:rFonts w:hint="eastAsia" w:ascii="仿宋" w:hAnsi="仿宋" w:eastAsia="仿宋" w:cs="仿宋"/>
          <w:bCs/>
          <w:color w:val="auto"/>
          <w:sz w:val="24"/>
        </w:rPr>
        <w:t>（2）报价文件中开标一览表（报价表）内容与报价明细表相应内容不一致的，以开标一览表（报价表）为准；</w:t>
      </w:r>
    </w:p>
    <w:p w14:paraId="7FFA065C">
      <w:pPr>
        <w:spacing w:line="360" w:lineRule="auto"/>
        <w:ind w:firstLine="436" w:firstLineChars="182"/>
        <w:rPr>
          <w:rFonts w:ascii="仿宋" w:hAnsi="仿宋" w:eastAsia="仿宋" w:cs="仿宋"/>
          <w:bCs/>
          <w:color w:val="auto"/>
          <w:sz w:val="24"/>
        </w:rPr>
      </w:pPr>
      <w:r>
        <w:rPr>
          <w:rFonts w:hint="eastAsia" w:ascii="仿宋" w:hAnsi="仿宋" w:eastAsia="仿宋" w:cs="仿宋"/>
          <w:color w:val="auto"/>
          <w:sz w:val="24"/>
        </w:rPr>
        <w:t>（3）</w:t>
      </w:r>
      <w:r>
        <w:rPr>
          <w:rFonts w:hint="eastAsia" w:ascii="仿宋" w:hAnsi="仿宋" w:eastAsia="仿宋" w:cs="仿宋"/>
          <w:bCs/>
          <w:color w:val="auto"/>
          <w:sz w:val="24"/>
        </w:rPr>
        <w:t>报价文件的大写金额和小写金额不一致的，以大写金额为准；</w:t>
      </w:r>
    </w:p>
    <w:p w14:paraId="35D30077">
      <w:pPr>
        <w:spacing w:line="360" w:lineRule="auto"/>
        <w:ind w:firstLine="436" w:firstLineChars="182"/>
        <w:rPr>
          <w:rFonts w:ascii="仿宋" w:hAnsi="仿宋" w:eastAsia="仿宋" w:cs="仿宋"/>
          <w:bCs/>
          <w:color w:val="auto"/>
          <w:sz w:val="24"/>
        </w:rPr>
      </w:pPr>
      <w:r>
        <w:rPr>
          <w:rFonts w:hint="eastAsia" w:ascii="仿宋" w:hAnsi="仿宋" w:eastAsia="仿宋" w:cs="仿宋"/>
          <w:color w:val="auto"/>
          <w:sz w:val="24"/>
        </w:rPr>
        <w:t>（4）</w:t>
      </w:r>
      <w:r>
        <w:rPr>
          <w:rFonts w:hint="eastAsia" w:ascii="仿宋" w:hAnsi="仿宋" w:eastAsia="仿宋" w:cs="仿宋"/>
          <w:bCs/>
          <w:color w:val="auto"/>
          <w:sz w:val="24"/>
        </w:rPr>
        <w:t>单价金额小数点或者百分比有明显错位的，以开标一览表（报价表）的总价为准，并修改单价；</w:t>
      </w:r>
    </w:p>
    <w:p w14:paraId="7AC5B79C">
      <w:pPr>
        <w:spacing w:line="360" w:lineRule="auto"/>
        <w:ind w:firstLine="436" w:firstLineChars="182"/>
        <w:rPr>
          <w:rFonts w:ascii="仿宋" w:hAnsi="仿宋" w:eastAsia="仿宋" w:cs="仿宋"/>
          <w:color w:val="auto"/>
          <w:sz w:val="24"/>
        </w:rPr>
      </w:pPr>
      <w:r>
        <w:rPr>
          <w:rFonts w:hint="eastAsia" w:ascii="仿宋" w:hAnsi="仿宋" w:eastAsia="仿宋" w:cs="仿宋"/>
          <w:color w:val="auto"/>
          <w:sz w:val="24"/>
        </w:rPr>
        <w:t>（5）总价金额与按单价汇总金额不一致的，以单价金额计算结果为准；</w:t>
      </w:r>
    </w:p>
    <w:p w14:paraId="0E21C879">
      <w:pPr>
        <w:spacing w:line="360" w:lineRule="auto"/>
        <w:ind w:firstLine="436" w:firstLineChars="182"/>
        <w:rPr>
          <w:rFonts w:ascii="仿宋" w:hAnsi="仿宋" w:eastAsia="仿宋" w:cs="仿宋"/>
          <w:bCs/>
          <w:color w:val="auto"/>
          <w:sz w:val="24"/>
        </w:rPr>
      </w:pPr>
      <w:r>
        <w:rPr>
          <w:rFonts w:hint="eastAsia" w:ascii="仿宋" w:hAnsi="仿宋" w:eastAsia="仿宋" w:cs="仿宋"/>
          <w:color w:val="auto"/>
          <w:sz w:val="24"/>
        </w:rPr>
        <w:t>（6）</w:t>
      </w:r>
      <w:r>
        <w:rPr>
          <w:rFonts w:hint="eastAsia" w:ascii="仿宋" w:hAnsi="仿宋" w:eastAsia="仿宋" w:cs="仿宋"/>
          <w:bCs/>
          <w:color w:val="auto"/>
          <w:sz w:val="24"/>
        </w:rPr>
        <w:t>同时出现两种以上不一致的，按上述顺序修正；</w:t>
      </w:r>
    </w:p>
    <w:p w14:paraId="4114738B">
      <w:pPr>
        <w:spacing w:line="360" w:lineRule="auto"/>
        <w:ind w:firstLine="436" w:firstLineChars="182"/>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bCs/>
          <w:color w:val="auto"/>
          <w:sz w:val="24"/>
        </w:rPr>
        <w:t>对不同文字文本</w:t>
      </w:r>
      <w:r>
        <w:rPr>
          <w:rFonts w:hint="eastAsia" w:ascii="仿宋" w:hAnsi="仿宋" w:eastAsia="仿宋" w:cs="仿宋"/>
          <w:color w:val="auto"/>
          <w:kern w:val="0"/>
          <w:sz w:val="24"/>
        </w:rPr>
        <w:t>投标文件</w:t>
      </w:r>
      <w:r>
        <w:rPr>
          <w:rFonts w:hint="eastAsia" w:ascii="仿宋" w:hAnsi="仿宋" w:eastAsia="仿宋" w:cs="仿宋"/>
          <w:bCs/>
          <w:color w:val="auto"/>
          <w:sz w:val="24"/>
        </w:rPr>
        <w:t>的解释发生异议的，以中文文本为准。</w:t>
      </w:r>
    </w:p>
    <w:p w14:paraId="48A16E11">
      <w:pPr>
        <w:spacing w:line="360" w:lineRule="auto"/>
        <w:ind w:firstLine="436" w:firstLineChars="182"/>
        <w:rPr>
          <w:rFonts w:ascii="仿宋" w:hAnsi="仿宋" w:eastAsia="仿宋" w:cs="仿宋"/>
          <w:color w:val="auto"/>
          <w:sz w:val="24"/>
        </w:rPr>
      </w:pPr>
      <w:r>
        <w:rPr>
          <w:rFonts w:hint="eastAsia" w:ascii="仿宋" w:hAnsi="仿宋" w:eastAsia="仿宋" w:cs="仿宋"/>
          <w:color w:val="auto"/>
          <w:sz w:val="24"/>
        </w:rPr>
        <w:t>（8）修正错误的投标报价，经投标人的负责人（或授权代表）同意签字确认后产生约束力。调整后的投标报价对投标人具有约束作用。若投标人不接受修正后的投标报价，则其投标将作为无效投标处理。</w:t>
      </w:r>
    </w:p>
    <w:p w14:paraId="74086275">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23. 对投标文件的比较和评估</w:t>
      </w:r>
    </w:p>
    <w:p w14:paraId="00B60C0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23.1 评标委员会根据招标文件规定的评审办法和标准、对符合性审查合格投标人的投标文件及澄清答复内容进行商务和技术评估，综合比较与评价，并按照平等、客观、公正的原则对投标文件进行综合评审和评分。</w:t>
      </w:r>
    </w:p>
    <w:p w14:paraId="62F7529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23.2相同品牌产品的认定</w:t>
      </w:r>
    </w:p>
    <w:p w14:paraId="4529191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23.2.1采用最低评标价法的采购项目，提供相同品牌产品的不同投标人参加同一项目投标的，以其中通过资格审查、符合性审查且报价最低的参加评标；报价相同的，则按照技术优的投标人参加评标；均相同时，随机抽取方式确定；使用综合评分法的采购项目，提供相同品牌产品且通过资格审查、符合性审查的不同投标人参加同一项目投标的，按一家投标人计算，评审后得分最高的同品牌投标人获得中标人推荐资格；得分相同时，取报价最低者；均相同时，随机抽取方式确定。其他同品牌投标人不作为中标候选人。</w:t>
      </w:r>
    </w:p>
    <w:p w14:paraId="54B56F2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23.2.2因相同品牌产品原因造成多家投标人按一家有效认定后，造成项目有效投标人不足三家的，项目应予以废标处理。</w:t>
      </w:r>
    </w:p>
    <w:p w14:paraId="4F765AE0">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24. 评标报告</w:t>
      </w:r>
    </w:p>
    <w:p w14:paraId="0A891B3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评标委员会根据全体评审成员签字的原始评审记录和评审结果编写评标报告，并推荐1名中标候选人，评审报告由评标委员会成员签字确认提交。</w:t>
      </w:r>
    </w:p>
    <w:p w14:paraId="48E4FC25">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25. 保密和评审过程的监控</w:t>
      </w:r>
    </w:p>
    <w:p w14:paraId="13A9ED03">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25.1 自开标时间起至中标结果公告发布时间止，凡属于审查、澄清、评估和比较投标的有关资料，且与授予合同有关的信息都不得向任何投标人或与上述评审过程无关的人员透露。</w:t>
      </w:r>
    </w:p>
    <w:p w14:paraId="78F65032">
      <w:pPr>
        <w:spacing w:line="360" w:lineRule="auto"/>
        <w:ind w:firstLine="480" w:firstLineChars="200"/>
        <w:rPr>
          <w:rFonts w:ascii="仿宋" w:hAnsi="仿宋" w:eastAsia="仿宋" w:cs="仿宋"/>
          <w:color w:val="auto"/>
          <w:sz w:val="20"/>
        </w:rPr>
      </w:pPr>
      <w:r>
        <w:rPr>
          <w:rFonts w:hint="eastAsia" w:ascii="仿宋" w:hAnsi="仿宋" w:eastAsia="仿宋" w:cs="仿宋"/>
          <w:color w:val="auto"/>
          <w:sz w:val="24"/>
        </w:rPr>
        <w:t>25.2 本项目开标、评审过程实行全程录音、录像监控，投标人在开标、评审过程中所进行的试图影响评审结果的不公正行为或授予合同决定的过程施加影响的企图和行为，可能导致其投标被拒绝。</w:t>
      </w:r>
      <w:bookmarkStart w:id="92" w:name="EB6abbdb67ad8e4dca83235298b1f0b56f"/>
      <w:r>
        <w:rPr>
          <w:rFonts w:hint="eastAsia" w:ascii="仿宋" w:hAnsi="仿宋" w:eastAsia="仿宋" w:cs="仿宋"/>
          <w:color w:val="auto"/>
          <w:sz w:val="20"/>
        </w:rPr>
        <w:t xml:space="preserve"> </w:t>
      </w:r>
      <w:bookmarkEnd w:id="92"/>
      <w:bookmarkStart w:id="93" w:name="EB50051ac8f4a946c091713b64242fa8f2"/>
      <w:r>
        <w:rPr>
          <w:rFonts w:hint="eastAsia" w:ascii="仿宋" w:hAnsi="仿宋" w:eastAsia="仿宋" w:cs="仿宋"/>
          <w:color w:val="auto"/>
          <w:sz w:val="20"/>
        </w:rPr>
        <w:t xml:space="preserve"> </w:t>
      </w:r>
      <w:bookmarkEnd w:id="93"/>
    </w:p>
    <w:p w14:paraId="1C6F92A4">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94" w:name="_Toc493956039"/>
      <w:bookmarkStart w:id="95" w:name="_Toc8648"/>
      <w:bookmarkStart w:id="96" w:name="_Toc10922"/>
      <w:r>
        <w:rPr>
          <w:rFonts w:hint="eastAsia" w:ascii="仿宋" w:hAnsi="仿宋" w:eastAsia="仿宋" w:cs="仿宋"/>
          <w:color w:val="auto"/>
          <w:sz w:val="32"/>
        </w:rPr>
        <w:t>七  投标无效的情形</w:t>
      </w:r>
      <w:bookmarkEnd w:id="94"/>
      <w:bookmarkEnd w:id="95"/>
      <w:bookmarkEnd w:id="96"/>
    </w:p>
    <w:p w14:paraId="7F59567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 实质上没有响应招标文件要求的投标将被视为无效投标。投标人不得通过修正或撤销不合要求的偏离或保留从而使其投标成为实质上响应的投标。投标人如有下列情形之一的，其投标将被拒绝，</w:t>
      </w:r>
      <w:r>
        <w:rPr>
          <w:rFonts w:hint="eastAsia" w:ascii="仿宋" w:hAnsi="仿宋" w:eastAsia="仿宋" w:cs="仿宋"/>
          <w:color w:val="auto"/>
          <w:kern w:val="0"/>
          <w:sz w:val="24"/>
        </w:rPr>
        <w:t>投标文件</w:t>
      </w:r>
      <w:r>
        <w:rPr>
          <w:rFonts w:hint="eastAsia" w:ascii="仿宋" w:hAnsi="仿宋" w:eastAsia="仿宋" w:cs="仿宋"/>
          <w:color w:val="auto"/>
          <w:sz w:val="24"/>
        </w:rPr>
        <w:t>无效：</w:t>
      </w:r>
    </w:p>
    <w:p w14:paraId="21564E7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26.1投标人未按招标文件的要求交纳投标保证金，包括交纳保证金的金额、时间和方式不符合招标文件规定的；</w:t>
      </w:r>
    </w:p>
    <w:p w14:paraId="070C4F2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26.2 电报、电话、传真形式的投标。</w:t>
      </w:r>
    </w:p>
    <w:p w14:paraId="7E450F3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26.3 投标人没有按招标文件规定的时间和地点提交</w:t>
      </w:r>
      <w:r>
        <w:rPr>
          <w:rFonts w:hint="eastAsia" w:ascii="仿宋" w:hAnsi="仿宋" w:eastAsia="仿宋" w:cs="仿宋"/>
          <w:color w:val="auto"/>
          <w:kern w:val="0"/>
          <w:sz w:val="24"/>
        </w:rPr>
        <w:t>投标文件</w:t>
      </w:r>
      <w:r>
        <w:rPr>
          <w:rFonts w:hint="eastAsia" w:ascii="仿宋" w:hAnsi="仿宋" w:eastAsia="仿宋" w:cs="仿宋"/>
          <w:color w:val="auto"/>
          <w:sz w:val="24"/>
        </w:rPr>
        <w:t>的；</w:t>
      </w:r>
    </w:p>
    <w:p w14:paraId="3A65837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26.4 未按招标文件规定要求签署、盖章的；</w:t>
      </w:r>
    </w:p>
    <w:p w14:paraId="6371B8B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26.5 </w:t>
      </w:r>
      <w:r>
        <w:rPr>
          <w:rFonts w:hint="eastAsia" w:ascii="仿宋" w:hAnsi="仿宋" w:eastAsia="仿宋" w:cs="仿宋"/>
          <w:color w:val="auto"/>
          <w:kern w:val="0"/>
          <w:sz w:val="24"/>
        </w:rPr>
        <w:t>投标文件</w:t>
      </w:r>
      <w:r>
        <w:rPr>
          <w:rFonts w:hint="eastAsia" w:ascii="仿宋" w:hAnsi="仿宋" w:eastAsia="仿宋" w:cs="仿宋"/>
          <w:color w:val="auto"/>
          <w:sz w:val="24"/>
        </w:rPr>
        <w:t>无负责人或者授权代表签字或盖章的；</w:t>
      </w:r>
    </w:p>
    <w:p w14:paraId="1CC7EC5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26.6 开启投标文件后，投标文件无法区分正、副本的；</w:t>
      </w:r>
    </w:p>
    <w:p w14:paraId="3CC2B7B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26.7 开启投标文件后，投标文件份数不满足招标文件要求的；</w:t>
      </w:r>
    </w:p>
    <w:p w14:paraId="150F003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26.8 不具备招标文件规定资格要求的；</w:t>
      </w:r>
    </w:p>
    <w:p w14:paraId="7B86EBF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26.9 投标有效期不足的；</w:t>
      </w:r>
    </w:p>
    <w:p w14:paraId="0216EA87">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26.10</w:t>
      </w:r>
      <w:r>
        <w:rPr>
          <w:rFonts w:hint="eastAsia" w:ascii="仿宋" w:hAnsi="仿宋" w:eastAsia="仿宋" w:cs="仿宋"/>
          <w:color w:val="auto"/>
          <w:sz w:val="24"/>
        </w:rPr>
        <w:t>评标委员会评定有实质上 “▲”条款的负偏离的；</w:t>
      </w:r>
    </w:p>
    <w:p w14:paraId="442FEC5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26.11 评标委员会评定有非实质性负偏离超过招标文件规定项数的；</w:t>
      </w:r>
    </w:p>
    <w:p w14:paraId="7D89F73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26.12投标文件含有采购人不能接受的附加条款的；</w:t>
      </w:r>
    </w:p>
    <w:p w14:paraId="30DE836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26.13 报价超过招标文件中规定的预算金额或者最高限价的；</w:t>
      </w:r>
    </w:p>
    <w:p w14:paraId="6364C32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26.14</w:t>
      </w:r>
      <w:r>
        <w:rPr>
          <w:rFonts w:hint="eastAsia" w:ascii="仿宋" w:hAnsi="仿宋" w:eastAsia="仿宋" w:cs="仿宋"/>
          <w:color w:val="auto"/>
          <w:kern w:val="0"/>
          <w:sz w:val="24"/>
        </w:rPr>
        <w:t>招标文件中未要求投标人额外免费、无偿赠送情况的；</w:t>
      </w:r>
    </w:p>
    <w:p w14:paraId="2B9F0E0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26.15投标报价存在漏项或报价数量少于采购要求的；</w:t>
      </w:r>
    </w:p>
    <w:p w14:paraId="0FEAD7A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26.16 评审时如发现投标人的报价明显高于其市场报价或低于成本价的，且不能合理说明原因和提供证明材料的；</w:t>
      </w:r>
    </w:p>
    <w:p w14:paraId="33CC5BE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 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仿宋" w:hAnsi="仿宋" w:eastAsia="仿宋" w:cs="仿宋"/>
          <w:color w:val="auto"/>
          <w:kern w:val="0"/>
          <w:sz w:val="24"/>
        </w:rPr>
        <w:t>投标文件</w:t>
      </w:r>
      <w:r>
        <w:rPr>
          <w:rFonts w:hint="eastAsia" w:ascii="仿宋" w:hAnsi="仿宋" w:eastAsia="仿宋" w:cs="仿宋"/>
          <w:color w:val="auto"/>
          <w:sz w:val="24"/>
        </w:rPr>
        <w:t>中予以特别说明的；</w:t>
      </w:r>
    </w:p>
    <w:p w14:paraId="41EE6ACF">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26.1</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 xml:space="preserve"> </w:t>
      </w:r>
      <w:r>
        <w:rPr>
          <w:rFonts w:hint="eastAsia" w:ascii="仿宋" w:hAnsi="仿宋" w:eastAsia="仿宋" w:cs="仿宋"/>
          <w:color w:val="auto"/>
          <w:sz w:val="24"/>
        </w:rPr>
        <w:t>提供虚假材料谋取中标的；</w:t>
      </w:r>
    </w:p>
    <w:p w14:paraId="7284626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w:t>
      </w:r>
      <w:r>
        <w:rPr>
          <w:rFonts w:hint="eastAsia" w:ascii="仿宋" w:hAnsi="仿宋" w:eastAsia="仿宋" w:cs="仿宋"/>
          <w:color w:val="auto"/>
          <w:sz w:val="24"/>
          <w:lang w:val="en-US" w:eastAsia="zh-CN"/>
        </w:rPr>
        <w:t>19</w:t>
      </w:r>
      <w:r>
        <w:rPr>
          <w:rFonts w:hint="eastAsia" w:ascii="仿宋" w:hAnsi="仿宋" w:eastAsia="仿宋" w:cs="仿宋"/>
          <w:color w:val="auto"/>
          <w:sz w:val="24"/>
        </w:rPr>
        <w:t xml:space="preserve"> 在招标过程中与采购人进行协商谈判、不按招标文件和中标人的</w:t>
      </w:r>
      <w:r>
        <w:rPr>
          <w:rFonts w:hint="eastAsia" w:ascii="仿宋" w:hAnsi="仿宋" w:eastAsia="仿宋" w:cs="仿宋"/>
          <w:color w:val="auto"/>
          <w:kern w:val="0"/>
          <w:sz w:val="24"/>
        </w:rPr>
        <w:t>投标文件</w:t>
      </w:r>
      <w:r>
        <w:rPr>
          <w:rFonts w:hint="eastAsia" w:ascii="仿宋" w:hAnsi="仿宋" w:eastAsia="仿宋" w:cs="仿宋"/>
          <w:color w:val="auto"/>
          <w:sz w:val="24"/>
        </w:rPr>
        <w:t>订立合同，或者与采购人另行订立背离合同实质性内容的协议的；</w:t>
      </w:r>
    </w:p>
    <w:p w14:paraId="5BBF4BFA">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26.2</w:t>
      </w:r>
      <w:r>
        <w:rPr>
          <w:rFonts w:hint="eastAsia" w:ascii="仿宋" w:hAnsi="仿宋" w:eastAsia="仿宋" w:cs="仿宋"/>
          <w:color w:val="auto"/>
          <w:kern w:val="0"/>
          <w:sz w:val="24"/>
          <w:lang w:val="en-US" w:eastAsia="zh-CN"/>
        </w:rPr>
        <w:t>0</w:t>
      </w:r>
      <w:r>
        <w:rPr>
          <w:rFonts w:hint="eastAsia" w:ascii="仿宋" w:hAnsi="仿宋" w:eastAsia="仿宋" w:cs="仿宋"/>
          <w:color w:val="auto"/>
          <w:sz w:val="24"/>
        </w:rPr>
        <w:t>招标文件规定的其他</w:t>
      </w:r>
      <w:r>
        <w:rPr>
          <w:rFonts w:hint="eastAsia" w:ascii="仿宋" w:hAnsi="仿宋" w:eastAsia="仿宋" w:cs="仿宋"/>
          <w:color w:val="auto"/>
          <w:kern w:val="0"/>
          <w:sz w:val="24"/>
        </w:rPr>
        <w:t>投标文件</w:t>
      </w:r>
      <w:r>
        <w:rPr>
          <w:rFonts w:hint="eastAsia" w:ascii="仿宋" w:hAnsi="仿宋" w:eastAsia="仿宋" w:cs="仿宋"/>
          <w:color w:val="auto"/>
          <w:sz w:val="24"/>
        </w:rPr>
        <w:t>无效情形。</w:t>
      </w:r>
    </w:p>
    <w:p w14:paraId="54D291C2">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97" w:name="_Toc23283"/>
      <w:bookmarkStart w:id="98" w:name="_Toc20905"/>
      <w:bookmarkStart w:id="99" w:name="_Toc493956040"/>
      <w:r>
        <w:rPr>
          <w:rFonts w:hint="eastAsia" w:ascii="仿宋" w:hAnsi="仿宋" w:eastAsia="仿宋" w:cs="仿宋"/>
          <w:color w:val="auto"/>
          <w:sz w:val="32"/>
        </w:rPr>
        <w:t>八  法律责任</w:t>
      </w:r>
      <w:bookmarkEnd w:id="97"/>
      <w:bookmarkEnd w:id="98"/>
      <w:bookmarkEnd w:id="99"/>
    </w:p>
    <w:p w14:paraId="2D2E9472">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27.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6F01B28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27.1 提供虚假材料谋取中标的；</w:t>
      </w:r>
    </w:p>
    <w:p w14:paraId="2F29D79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27.2 采取不正当手段诋毁、排挤其他投标人的；</w:t>
      </w:r>
    </w:p>
    <w:p w14:paraId="7340250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27.3 与采购人、其他投标人或者采购代理机构恶意串通的；</w:t>
      </w:r>
    </w:p>
    <w:p w14:paraId="7ED861D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27.4 向采购人、采购代理机构行贿或者提供其他不正当利益的；</w:t>
      </w:r>
    </w:p>
    <w:p w14:paraId="4E2E643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27.5 在招标采购过程中与采购人进行协商谈判的；</w:t>
      </w:r>
    </w:p>
    <w:p w14:paraId="64C7C6E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27.6 拒绝有关部门监督检查或者提供虚假情况的；</w:t>
      </w:r>
    </w:p>
    <w:p w14:paraId="5F278BB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投标人有前款27.1至27.5项情形之一的，中标无效。</w:t>
      </w:r>
    </w:p>
    <w:p w14:paraId="0B2739CE">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28.投标人有下列情形之一的，依照政府采购法第七十七条第一款的规定追究法律责任：</w:t>
      </w:r>
    </w:p>
    <w:p w14:paraId="7AE15D4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28.1 向评标委员会或者评标委员会成员行贿或者提供其他不正当利益；</w:t>
      </w:r>
    </w:p>
    <w:p w14:paraId="32C3D3D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28.2 中标或者成交后无正当理由拒不与采购人签订采购合同；</w:t>
      </w:r>
    </w:p>
    <w:p w14:paraId="1DA2CCB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28.3 未按照招标文件确定的事项签订采购合同；</w:t>
      </w:r>
    </w:p>
    <w:p w14:paraId="0994CB7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28.4 将采购合同转包；</w:t>
      </w:r>
    </w:p>
    <w:p w14:paraId="2C4DA00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28.5 提供假冒伪劣产品；</w:t>
      </w:r>
    </w:p>
    <w:p w14:paraId="39009DD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28.6 擅自变更、中止或者终止采购合同。</w:t>
      </w:r>
    </w:p>
    <w:p w14:paraId="67B4C3A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CC3E459">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29. 投标人捏造事实、提供虚假材料或者以非法手段取得证明材料进行投诉的，由财政部门列入不良行为记录名单，禁止其1至3年内参加政府采购活动。</w:t>
      </w:r>
    </w:p>
    <w:p w14:paraId="221BE0A8">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30. 有下列情形之一的，属于恶意串通，对投标人依照政府采购法第七十七条第一款的规定追究法律责任，对采购人、采购代理机构及其工作人员依照政府采购法第七十二条的规定追究法律责任：</w:t>
      </w:r>
    </w:p>
    <w:p w14:paraId="22865AF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30.1投标人直接或者间接从采购人或者采购代理机构处获得其他投标人的相关情况并修改其</w:t>
      </w:r>
      <w:r>
        <w:rPr>
          <w:rFonts w:hint="eastAsia" w:ascii="仿宋" w:hAnsi="仿宋" w:eastAsia="仿宋" w:cs="仿宋"/>
          <w:color w:val="auto"/>
          <w:kern w:val="0"/>
          <w:sz w:val="24"/>
        </w:rPr>
        <w:t>投标文件</w:t>
      </w:r>
      <w:r>
        <w:rPr>
          <w:rFonts w:hint="eastAsia" w:ascii="仿宋" w:hAnsi="仿宋" w:eastAsia="仿宋" w:cs="仿宋"/>
          <w:color w:val="auto"/>
          <w:sz w:val="24"/>
        </w:rPr>
        <w:t>；</w:t>
      </w:r>
    </w:p>
    <w:p w14:paraId="175C3F4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30.2 投标人按照采购人或者采购代理机构的授意撤换、修改</w:t>
      </w:r>
      <w:r>
        <w:rPr>
          <w:rFonts w:hint="eastAsia" w:ascii="仿宋" w:hAnsi="仿宋" w:eastAsia="仿宋" w:cs="仿宋"/>
          <w:color w:val="auto"/>
          <w:kern w:val="0"/>
          <w:sz w:val="24"/>
        </w:rPr>
        <w:t>投标文件</w:t>
      </w:r>
      <w:r>
        <w:rPr>
          <w:rFonts w:hint="eastAsia" w:ascii="仿宋" w:hAnsi="仿宋" w:eastAsia="仿宋" w:cs="仿宋"/>
          <w:color w:val="auto"/>
          <w:sz w:val="24"/>
        </w:rPr>
        <w:t>；</w:t>
      </w:r>
    </w:p>
    <w:p w14:paraId="48F3305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30.3 投标人之间协商报价、技术方案等</w:t>
      </w:r>
      <w:r>
        <w:rPr>
          <w:rFonts w:hint="eastAsia" w:ascii="仿宋" w:hAnsi="仿宋" w:eastAsia="仿宋" w:cs="仿宋"/>
          <w:color w:val="auto"/>
          <w:kern w:val="0"/>
          <w:sz w:val="24"/>
        </w:rPr>
        <w:t>投标文件</w:t>
      </w:r>
      <w:r>
        <w:rPr>
          <w:rFonts w:hint="eastAsia" w:ascii="仿宋" w:hAnsi="仿宋" w:eastAsia="仿宋" w:cs="仿宋"/>
          <w:color w:val="auto"/>
          <w:sz w:val="24"/>
        </w:rPr>
        <w:t>的实质性内容；</w:t>
      </w:r>
    </w:p>
    <w:p w14:paraId="3492A5B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30.4 属于同一集团、协会、商会等组织成员的投标人按照该组织要求协同参加政府采购活动；</w:t>
      </w:r>
    </w:p>
    <w:p w14:paraId="78EC401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30.5 投标人之间事先约定由某一特定投标人中标、成交；</w:t>
      </w:r>
    </w:p>
    <w:p w14:paraId="1A63675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30.6 投标人之间商定部分投标人放弃参加政府采购活动或者放弃中标、成交；</w:t>
      </w:r>
    </w:p>
    <w:p w14:paraId="727FEB89">
      <w:pPr>
        <w:spacing w:line="360" w:lineRule="auto"/>
        <w:ind w:firstLine="480" w:firstLineChars="200"/>
        <w:rPr>
          <w:rFonts w:ascii="仿宋" w:hAnsi="仿宋" w:eastAsia="仿宋" w:cs="仿宋"/>
          <w:color w:val="auto"/>
          <w:sz w:val="20"/>
        </w:rPr>
      </w:pPr>
      <w:r>
        <w:rPr>
          <w:rFonts w:hint="eastAsia" w:ascii="仿宋" w:hAnsi="仿宋" w:eastAsia="仿宋" w:cs="仿宋"/>
          <w:color w:val="auto"/>
          <w:sz w:val="24"/>
        </w:rPr>
        <w:t>30.7投标人与采购人或者采购代理机构之间、投标人相互之间，为谋求特定投标人中标、成交或者排斥其他投标人的其他串通行为；</w:t>
      </w:r>
    </w:p>
    <w:p w14:paraId="307BE7C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30.8 不同投标人的投标文件由同一单位或者个人编制；</w:t>
      </w:r>
    </w:p>
    <w:p w14:paraId="1C784ED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30.9 不同投标人委托同一单位或者个人办理投标事宜；</w:t>
      </w:r>
    </w:p>
    <w:p w14:paraId="4E7607E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30.10 不同投标人的投标文件载明的项目管理成员或者联系人员为同一人；</w:t>
      </w:r>
    </w:p>
    <w:p w14:paraId="211A8C7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30.11 不同投标人的投标文件异常一致或者投标报价呈规律性差异；</w:t>
      </w:r>
    </w:p>
    <w:p w14:paraId="128BF07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30.12 不同投标人的投标文件相互混装。</w:t>
      </w:r>
    </w:p>
    <w:p w14:paraId="1D94343C">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100" w:name="_Toc493956042"/>
      <w:bookmarkStart w:id="101" w:name="_Toc8967"/>
      <w:bookmarkStart w:id="102" w:name="_Toc12911"/>
      <w:r>
        <w:rPr>
          <w:rFonts w:hint="eastAsia" w:ascii="仿宋" w:hAnsi="仿宋" w:eastAsia="仿宋" w:cs="仿宋"/>
          <w:color w:val="auto"/>
          <w:sz w:val="32"/>
        </w:rPr>
        <w:t>九  询问</w:t>
      </w:r>
      <w:bookmarkEnd w:id="100"/>
      <w:bookmarkEnd w:id="101"/>
      <w:bookmarkEnd w:id="102"/>
    </w:p>
    <w:p w14:paraId="59A4AE1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 投标人有权就采购活动的事项提出询问。</w:t>
      </w:r>
    </w:p>
    <w:p w14:paraId="1DB6E54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31.1 投标人对采购活动事项有疑问的，可向采购代理机构提出询问，但答复的内容不涉及商业秘密。</w:t>
      </w:r>
    </w:p>
    <w:p w14:paraId="0C8758A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31.2 对招标文件有疑问的，应在规定的时间内向采购代理机构书面提出。</w:t>
      </w:r>
    </w:p>
    <w:p w14:paraId="3F60891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31.2.1 采购代理机构为合理安排工作进度，建议投标人在规定时间前，准备好需答疑、澄清的内容（内容包括：招标文件内容、技术参数是否具有排他性或独有性以及是否有违反三公原则的内容等），以书面形式送达或传真至采购代理机构项目负责人。</w:t>
      </w:r>
    </w:p>
    <w:p w14:paraId="7577CDFB">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31.2.2 采购代理机构将在提交投标文件的截止时间十五日前对投标人澄清的要求予以答复，答复内容将在</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浙江政府采购网</w:t>
      </w:r>
      <w:r>
        <w:rPr>
          <w:rFonts w:hint="eastAsia" w:ascii="仿宋" w:hAnsi="仿宋" w:eastAsia="仿宋" w:cs="仿宋"/>
          <w:color w:val="auto"/>
          <w:sz w:val="24"/>
          <w:lang w:eastAsia="zh-CN"/>
        </w:rPr>
        <w:t>”、</w:t>
      </w:r>
      <w:r>
        <w:rPr>
          <w:rFonts w:hint="eastAsia" w:ascii="仿宋" w:hAnsi="仿宋" w:eastAsia="仿宋" w:cs="仿宋"/>
          <w:color w:val="auto"/>
          <w:kern w:val="0"/>
          <w:sz w:val="24"/>
        </w:rPr>
        <w:t>“</w:t>
      </w:r>
      <w:r>
        <w:rPr>
          <w:rFonts w:hint="eastAsia" w:ascii="仿宋" w:hAnsi="仿宋" w:eastAsia="仿宋" w:cs="仿宋"/>
          <w:snapToGrid w:val="0"/>
          <w:color w:val="auto"/>
          <w:sz w:val="24"/>
        </w:rPr>
        <w:t>丽水市公共资源交易网”</w:t>
      </w:r>
      <w:r>
        <w:rPr>
          <w:rFonts w:hint="eastAsia" w:ascii="仿宋" w:hAnsi="仿宋" w:eastAsia="仿宋" w:cs="仿宋"/>
          <w:color w:val="auto"/>
          <w:kern w:val="0"/>
          <w:sz w:val="24"/>
        </w:rPr>
        <w:t>上予以公布。潜在投标人应自行关注网站更正公告、答疑文件等内容，采购代理机构不再一一通知。</w:t>
      </w:r>
    </w:p>
    <w:p w14:paraId="102610D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31.3 投标人提出的询问超出采购人对采购代理机构委托授权范围的，采购代理机构应当告知投标人向采购人提出。</w:t>
      </w:r>
    </w:p>
    <w:p w14:paraId="1F60EF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采购人或者采购代理机构应当在3个工作日内对投标人依法提出的询问作出答复。</w:t>
      </w:r>
    </w:p>
    <w:p w14:paraId="64C87B90">
      <w:pPr>
        <w:spacing w:line="360" w:lineRule="auto"/>
        <w:ind w:firstLine="480" w:firstLineChars="200"/>
        <w:rPr>
          <w:rFonts w:ascii="仿宋" w:hAnsi="仿宋" w:eastAsia="仿宋" w:cs="仿宋"/>
          <w:color w:val="auto"/>
        </w:rPr>
      </w:pPr>
      <w:r>
        <w:rPr>
          <w:rFonts w:hint="eastAsia" w:ascii="仿宋" w:hAnsi="仿宋" w:eastAsia="仿宋" w:cs="仿宋"/>
          <w:color w:val="auto"/>
          <w:sz w:val="24"/>
        </w:rPr>
        <w:t>31.4 采购评审专家应当配合采购人或者采购代理机构答复投标人的询问。</w:t>
      </w:r>
    </w:p>
    <w:p w14:paraId="7A393E6B">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103" w:name="_Toc334087237"/>
      <w:bookmarkStart w:id="104" w:name="_Toc176659672"/>
      <w:bookmarkStart w:id="105" w:name="_Toc20048"/>
      <w:bookmarkStart w:id="106" w:name="_Toc9305"/>
      <w:bookmarkStart w:id="107" w:name="_Toc335664279"/>
      <w:bookmarkStart w:id="108" w:name="_Toc493956043"/>
      <w:bookmarkStart w:id="109" w:name="_Toc107820051"/>
      <w:r>
        <w:rPr>
          <w:rFonts w:hint="eastAsia" w:ascii="仿宋" w:hAnsi="仿宋" w:eastAsia="仿宋" w:cs="仿宋"/>
          <w:color w:val="auto"/>
          <w:sz w:val="32"/>
        </w:rPr>
        <w:t>十  质疑</w:t>
      </w:r>
      <w:bookmarkEnd w:id="103"/>
      <w:bookmarkEnd w:id="104"/>
      <w:bookmarkEnd w:id="105"/>
      <w:bookmarkEnd w:id="106"/>
      <w:bookmarkEnd w:id="107"/>
      <w:bookmarkEnd w:id="108"/>
    </w:p>
    <w:p w14:paraId="011C796C">
      <w:pPr>
        <w:pStyle w:val="13"/>
        <w:spacing w:line="360" w:lineRule="auto"/>
        <w:ind w:firstLine="480" w:firstLineChars="200"/>
        <w:rPr>
          <w:rFonts w:ascii="仿宋" w:hAnsi="仿宋" w:eastAsia="仿宋" w:cs="仿宋"/>
          <w:color w:val="auto"/>
          <w:sz w:val="24"/>
          <w:szCs w:val="21"/>
        </w:rPr>
      </w:pPr>
      <w:bookmarkStart w:id="110" w:name="_Toc334087238"/>
      <w:r>
        <w:rPr>
          <w:rFonts w:hint="eastAsia" w:ascii="仿宋" w:hAnsi="仿宋" w:eastAsia="仿宋" w:cs="仿宋"/>
          <w:color w:val="auto"/>
          <w:sz w:val="24"/>
          <w:szCs w:val="21"/>
        </w:rPr>
        <w:t>32.1 投标人认为招标文件、采购过程和中标结果使自己的权益受到损害的，可以在知道或者应知其权益受到损害之日起七个工作日内，以书面形式向采购代理机构一次性提出各采购程序环节的质疑。</w:t>
      </w:r>
    </w:p>
    <w:p w14:paraId="3C6AE31A">
      <w:pPr>
        <w:pStyle w:val="13"/>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32.2 质疑的主要内容应符合相关法律法规以及浙江省和丽水市相关文件的规定。质疑内容涉及保密事项，质疑投标人应提供有效的信息来源或有效证据。</w:t>
      </w:r>
    </w:p>
    <w:p w14:paraId="6B971F21">
      <w:pPr>
        <w:pStyle w:val="13"/>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32.3 质疑投标人可直接提交、传真或邮寄方式提交质疑书（一式三份以上）。以其他方式提出的质疑，采购代理机构可不予接受、答复。</w:t>
      </w:r>
    </w:p>
    <w:p w14:paraId="1F92339F">
      <w:pPr>
        <w:pStyle w:val="13"/>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32.3.1 邮寄方式送达质疑书的，以采购代理机构实际收到邮件之日作为收到质疑的日期。</w:t>
      </w:r>
    </w:p>
    <w:p w14:paraId="46D30D57">
      <w:pPr>
        <w:pStyle w:val="13"/>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32.3.2 传真方式送达质疑书的，质疑投标人应当取得采购代理机构确认收到传真的意见，并及时将质疑书原件送达采购代理机构。采购代理机构以实际收到原件之日作为收到质疑的日期。</w:t>
      </w:r>
    </w:p>
    <w:p w14:paraId="29B38D63">
      <w:pPr>
        <w:pStyle w:val="13"/>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32.3.3 在质疑期限届满前，质疑书已经邮寄或传真成功的，质疑不视为过期。</w:t>
      </w:r>
    </w:p>
    <w:p w14:paraId="6843CD14">
      <w:pPr>
        <w:pStyle w:val="13"/>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32.4 质疑投标人提供的相关材料中有外文资料的，应将与质疑相关的外文资料完整、客观、真实地翻译为中文，并注明翻译人员姓名、工作单位、联系方式等信息。</w:t>
      </w:r>
    </w:p>
    <w:p w14:paraId="0C1F685D">
      <w:pPr>
        <w:pStyle w:val="13"/>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32.5 采购代理机构在收到质疑投标人的书面质疑后7个工作日内作出答复，并以书面形式答复质疑投标人。</w:t>
      </w:r>
    </w:p>
    <w:p w14:paraId="2BF36112">
      <w:pPr>
        <w:pStyle w:val="13"/>
        <w:spacing w:line="360" w:lineRule="auto"/>
        <w:ind w:firstLine="480" w:firstLineChars="200"/>
        <w:rPr>
          <w:rFonts w:ascii="仿宋" w:hAnsi="仿宋" w:eastAsia="仿宋" w:cs="仿宋"/>
          <w:color w:val="auto"/>
        </w:rPr>
      </w:pPr>
      <w:r>
        <w:rPr>
          <w:rFonts w:hint="eastAsia" w:ascii="仿宋" w:hAnsi="仿宋" w:eastAsia="仿宋" w:cs="仿宋"/>
          <w:color w:val="auto"/>
          <w:sz w:val="24"/>
          <w:szCs w:val="21"/>
        </w:rPr>
        <w:t>32.6 质疑投标人捏造事实、提供虚假材料进行质疑的，采购代理机构报告同级财政部门，由同级财政部门审查，情况属实的，应列入不良行为记录，并在指定的媒体上公告。</w:t>
      </w:r>
      <w:bookmarkStart w:id="111" w:name="EB8661f9369d5940c2886aecdfa46afbcc"/>
      <w:r>
        <w:rPr>
          <w:rFonts w:hint="eastAsia" w:ascii="仿宋" w:hAnsi="仿宋" w:eastAsia="仿宋" w:cs="仿宋"/>
          <w:color w:val="auto"/>
          <w:sz w:val="20"/>
        </w:rPr>
        <w:t xml:space="preserve"> </w:t>
      </w:r>
      <w:bookmarkEnd w:id="111"/>
    </w:p>
    <w:p w14:paraId="32DFCC9A">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112" w:name="_Toc22269"/>
      <w:bookmarkStart w:id="113" w:name="_Toc493956044"/>
      <w:bookmarkStart w:id="114" w:name="_Toc335664280"/>
      <w:bookmarkStart w:id="115" w:name="_Toc10504"/>
      <w:r>
        <w:rPr>
          <w:rFonts w:hint="eastAsia" w:ascii="仿宋" w:hAnsi="仿宋" w:eastAsia="仿宋" w:cs="仿宋"/>
          <w:color w:val="auto"/>
          <w:sz w:val="32"/>
        </w:rPr>
        <w:t>十一  投诉</w:t>
      </w:r>
      <w:bookmarkEnd w:id="110"/>
      <w:bookmarkEnd w:id="112"/>
      <w:bookmarkEnd w:id="113"/>
      <w:bookmarkEnd w:id="114"/>
      <w:bookmarkEnd w:id="115"/>
    </w:p>
    <w:p w14:paraId="4EB8FA59">
      <w:pPr>
        <w:spacing w:line="360" w:lineRule="auto"/>
        <w:ind w:firstLine="480" w:firstLineChars="200"/>
        <w:rPr>
          <w:rFonts w:ascii="仿宋" w:hAnsi="仿宋" w:eastAsia="仿宋" w:cs="仿宋"/>
          <w:color w:val="auto"/>
        </w:rPr>
      </w:pPr>
      <w:bookmarkStart w:id="116" w:name="_Toc334087239"/>
      <w:r>
        <w:rPr>
          <w:rFonts w:hint="eastAsia" w:ascii="仿宋" w:hAnsi="仿宋" w:eastAsia="仿宋" w:cs="仿宋"/>
          <w:color w:val="auto"/>
          <w:sz w:val="24"/>
        </w:rPr>
        <w:t>33. 质疑投标人对采购代理机构的答复不满意或者采购代理机构未在规定时间内答复的，可以在答复期满后十五个工作日内按有关规定</w:t>
      </w:r>
      <w:bookmarkStart w:id="117" w:name="EB8f50e80e86224acdbbc55948f8dd6242"/>
      <w:r>
        <w:rPr>
          <w:rFonts w:hint="eastAsia" w:ascii="仿宋" w:hAnsi="仿宋" w:eastAsia="仿宋" w:cs="仿宋"/>
          <w:color w:val="auto"/>
          <w:sz w:val="24"/>
        </w:rPr>
        <w:t>进行投诉。</w:t>
      </w:r>
      <w:r>
        <w:rPr>
          <w:rFonts w:hint="eastAsia" w:ascii="仿宋" w:hAnsi="仿宋" w:eastAsia="仿宋" w:cs="仿宋"/>
          <w:color w:val="auto"/>
          <w:sz w:val="20"/>
        </w:rPr>
        <w:t xml:space="preserve"> </w:t>
      </w:r>
      <w:bookmarkEnd w:id="117"/>
    </w:p>
    <w:p w14:paraId="29691056">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118" w:name="_Toc9035"/>
      <w:bookmarkStart w:id="119" w:name="_Toc19946"/>
      <w:bookmarkStart w:id="120" w:name="_Toc493956045"/>
      <w:bookmarkStart w:id="121" w:name="_Toc335664281"/>
      <w:r>
        <w:rPr>
          <w:rFonts w:hint="eastAsia" w:ascii="仿宋" w:hAnsi="仿宋" w:eastAsia="仿宋" w:cs="仿宋"/>
          <w:color w:val="auto"/>
          <w:sz w:val="32"/>
        </w:rPr>
        <w:t>十二  中标和合同</w:t>
      </w:r>
      <w:bookmarkEnd w:id="109"/>
      <w:bookmarkEnd w:id="116"/>
      <w:bookmarkEnd w:id="118"/>
      <w:bookmarkEnd w:id="119"/>
      <w:bookmarkEnd w:id="120"/>
      <w:bookmarkEnd w:id="121"/>
    </w:p>
    <w:p w14:paraId="3EA46B37">
      <w:pPr>
        <w:numPr>
          <w:ilvl w:val="0"/>
          <w:numId w:val="18"/>
        </w:numPr>
        <w:spacing w:line="360" w:lineRule="auto"/>
        <w:ind w:firstLine="480" w:firstLineChars="200"/>
        <w:rPr>
          <w:rFonts w:ascii="仿宋" w:hAnsi="仿宋" w:eastAsia="仿宋" w:cs="仿宋"/>
          <w:color w:val="auto"/>
          <w:sz w:val="24"/>
        </w:rPr>
      </w:pPr>
      <w:bookmarkStart w:id="122" w:name="_Toc47756031"/>
      <w:bookmarkStart w:id="123" w:name="_Toc107820052"/>
      <w:bookmarkStart w:id="124" w:name="_Toc15813254"/>
      <w:bookmarkStart w:id="125" w:name="_Toc15805937"/>
      <w:bookmarkStart w:id="126" w:name="_Toc334087240"/>
      <w:bookmarkStart w:id="127" w:name="_Toc45506731"/>
      <w:r>
        <w:rPr>
          <w:rFonts w:hint="eastAsia" w:ascii="仿宋" w:hAnsi="仿宋" w:eastAsia="仿宋" w:cs="仿宋"/>
          <w:color w:val="auto"/>
          <w:sz w:val="24"/>
        </w:rPr>
        <w:t>中标</w:t>
      </w:r>
    </w:p>
    <w:p w14:paraId="44B1EAC2">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 采购代理机构在评标结束后2个工作日内将评标报告提交采购人确认；</w:t>
      </w:r>
    </w:p>
    <w:p w14:paraId="7887DCC7">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 采购人应当自收到评标报告之日起5个工作日内，在评标报告确定的中标候选人名单中按顺序确定中标人；</w:t>
      </w:r>
    </w:p>
    <w:p w14:paraId="0F2DC95D">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34.3采购人在收到评标报告5个工作日内未按评标报告推荐的中标候选人顺序确定中标人，又不能说明合法理由的，视同按评标报告推荐的顺序确定排名第一的中标候选人为中标人；</w:t>
      </w:r>
    </w:p>
    <w:p w14:paraId="6A92AD0E">
      <w:pPr>
        <w:snapToGrid w:val="0"/>
        <w:spacing w:line="360" w:lineRule="auto"/>
        <w:ind w:firstLine="480" w:firstLineChars="200"/>
        <w:rPr>
          <w:color w:val="auto"/>
        </w:rPr>
      </w:pPr>
      <w:r>
        <w:rPr>
          <w:rFonts w:hint="eastAsia" w:ascii="仿宋" w:hAnsi="仿宋" w:eastAsia="仿宋" w:cs="仿宋"/>
          <w:color w:val="auto"/>
          <w:sz w:val="24"/>
        </w:rPr>
        <w:t>34.4中标人拒绝与采购人签订合同的，采购人可以按照评标报告推荐的中标人名单排序，确定下一候选人为中标人，也可以重新开展采购活动。</w:t>
      </w:r>
    </w:p>
    <w:p w14:paraId="1805DBBD">
      <w:pPr>
        <w:numPr>
          <w:ilvl w:val="0"/>
          <w:numId w:val="19"/>
        </w:num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中标结果公告及中标通知书</w:t>
      </w:r>
    </w:p>
    <w:p w14:paraId="33CB997C">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35.1 采购代理机构将在</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浙江政府采购网</w:t>
      </w:r>
      <w:r>
        <w:rPr>
          <w:rFonts w:hint="eastAsia" w:ascii="仿宋" w:hAnsi="仿宋" w:eastAsia="仿宋" w:cs="仿宋"/>
          <w:color w:val="auto"/>
          <w:sz w:val="24"/>
          <w:lang w:eastAsia="zh-CN"/>
        </w:rPr>
        <w:t>”、</w:t>
      </w:r>
      <w:r>
        <w:rPr>
          <w:rFonts w:hint="eastAsia" w:ascii="仿宋" w:hAnsi="仿宋" w:eastAsia="仿宋" w:cs="仿宋"/>
          <w:color w:val="auto"/>
          <w:kern w:val="0"/>
          <w:sz w:val="24"/>
        </w:rPr>
        <w:t>“丽水市公共资源交易网”上发布中标结果公告。中标结果公告内容不包括国家秘密、商业秘密。</w:t>
      </w:r>
    </w:p>
    <w:p w14:paraId="24CBE9E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 xml:space="preserve">35.2 </w:t>
      </w:r>
      <w:r>
        <w:rPr>
          <w:rFonts w:hint="eastAsia" w:ascii="仿宋" w:hAnsi="仿宋" w:eastAsia="仿宋" w:cs="仿宋"/>
          <w:color w:val="auto"/>
          <w:sz w:val="24"/>
        </w:rPr>
        <w:t>发布中标公告的同时，采购代理机构向中标人书面发出中标通知书。</w:t>
      </w:r>
    </w:p>
    <w:p w14:paraId="3DD87A0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36. 授予合同时变更数量的权力</w:t>
      </w:r>
    </w:p>
    <w:p w14:paraId="2FF82E88">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36.1 采购人需追加与合同标的相同的服务，在不改变合同其他条款的前提下，可以与中标人签订补充合同</w:t>
      </w:r>
      <w:r>
        <w:rPr>
          <w:rFonts w:hint="eastAsia" w:ascii="仿宋" w:hAnsi="仿宋" w:eastAsia="仿宋" w:cs="仿宋"/>
          <w:color w:val="auto"/>
          <w:sz w:val="24"/>
          <w:lang w:eastAsia="zh-CN"/>
        </w:rPr>
        <w:t>。</w:t>
      </w:r>
    </w:p>
    <w:p w14:paraId="50DAF0AC">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37. 签订合同</w:t>
      </w:r>
    </w:p>
    <w:p w14:paraId="7A4FE2FA">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37.1 采购人与中标人应当在中标通知书发出之日起30日内签订采购合同。同时，采购代理机构对合同内容进行审查，如发现与采购结果和投标承诺内容不一致的，应予以纠正。</w:t>
      </w:r>
    </w:p>
    <w:p w14:paraId="65C3919F">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37.2 招标文件、中标人的投标文件及其澄清文件等，均为签订合同的依据。</w:t>
      </w:r>
    </w:p>
    <w:p w14:paraId="1AB663E5">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37.3 中标人不遵守招标文件和投标文件的要约条款及所作的承诺，擅自修改报价或在接到中标通知书30天内，无故拖延、拒签合同者，采购代理机构和采购人有权取消投标人的中标资格。</w:t>
      </w:r>
    </w:p>
    <w:p w14:paraId="62230794">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按有关法律法规中标人拒绝与采购人签订合同的，采购人可以按照评审报告推荐的中标候选人名单排序，确定下一候选人为中标人，也可以重新开展采购活动。</w:t>
      </w:r>
    </w:p>
    <w:p w14:paraId="74E6AC3A">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37.4 询问或者质疑事项可能影响中标结果的，采购人应当暂停签订合同，已经签订合同的，应当中止履行合同。（中标结果的质疑期为中标结果公告期限届满之日起七个工作日）。</w:t>
      </w:r>
    </w:p>
    <w:p w14:paraId="506A29C0">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128" w:name="_Toc14735"/>
      <w:bookmarkStart w:id="129" w:name="_Toc16358"/>
      <w:bookmarkStart w:id="130" w:name="_Toc493956046"/>
      <w:r>
        <w:rPr>
          <w:rFonts w:hint="eastAsia" w:ascii="仿宋" w:hAnsi="仿宋" w:eastAsia="仿宋" w:cs="仿宋"/>
          <w:color w:val="auto"/>
          <w:sz w:val="32"/>
        </w:rPr>
        <w:t>十三  履约保证金</w:t>
      </w:r>
      <w:bookmarkEnd w:id="128"/>
    </w:p>
    <w:p w14:paraId="3DF62FBD">
      <w:pPr>
        <w:numPr>
          <w:ilvl w:val="0"/>
          <w:numId w:val="0"/>
        </w:numPr>
        <w:spacing w:line="360" w:lineRule="auto"/>
        <w:ind w:firstLine="480" w:firstLineChars="200"/>
        <w:rPr>
          <w:rFonts w:hint="eastAsia" w:ascii="仿宋" w:hAnsi="仿宋" w:eastAsia="仿宋" w:cs="仿宋"/>
          <w:color w:val="auto"/>
          <w:sz w:val="24"/>
          <w:lang w:val="en-US" w:eastAsia="zh-CN"/>
        </w:rPr>
      </w:pPr>
      <w:bookmarkStart w:id="131" w:name="_Toc15017"/>
      <w:r>
        <w:rPr>
          <w:rFonts w:hint="eastAsia" w:ascii="仿宋" w:hAnsi="仿宋" w:eastAsia="仿宋" w:cs="仿宋"/>
          <w:color w:val="auto"/>
          <w:sz w:val="24"/>
        </w:rPr>
        <w:t>3</w:t>
      </w: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缴纳金额：人民币壹拾万元整(¥100,000.00)。</w:t>
      </w:r>
    </w:p>
    <w:p w14:paraId="098FD984">
      <w:pPr>
        <w:numPr>
          <w:ilvl w:val="0"/>
          <w:numId w:val="0"/>
        </w:num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38.2缴纳方式：可以采用电汇、转账、银行或保险公司出具履约保函形式缴纳,以到采购人指定银行账户为准。</w:t>
      </w:r>
    </w:p>
    <w:p w14:paraId="6E062501">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38.3缴纳时间：中标人在合同签订前缴纳至采购人指定账户。</w:t>
      </w:r>
    </w:p>
    <w:p w14:paraId="4D0EB24F">
      <w:pPr>
        <w:numPr>
          <w:ilvl w:val="0"/>
          <w:numId w:val="0"/>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38.2</w:t>
      </w:r>
      <w:r>
        <w:rPr>
          <w:rFonts w:hint="eastAsia" w:ascii="仿宋" w:hAnsi="仿宋" w:eastAsia="仿宋" w:cs="仿宋"/>
          <w:color w:val="auto"/>
          <w:sz w:val="24"/>
        </w:rPr>
        <w:t>退还</w:t>
      </w:r>
      <w:r>
        <w:rPr>
          <w:rFonts w:hint="eastAsia" w:ascii="仿宋" w:hAnsi="仿宋" w:eastAsia="仿宋" w:cs="仿宋"/>
          <w:color w:val="auto"/>
          <w:sz w:val="24"/>
          <w:lang w:val="en-US" w:eastAsia="zh-CN"/>
        </w:rPr>
        <w:t>时间</w:t>
      </w:r>
      <w:r>
        <w:rPr>
          <w:rFonts w:hint="eastAsia" w:ascii="仿宋" w:hAnsi="仿宋" w:eastAsia="仿宋" w:cs="仿宋"/>
          <w:color w:val="auto"/>
          <w:sz w:val="24"/>
        </w:rPr>
        <w:t>：在承包期满，中标人清空及点清浮产(桌、椅</w:t>
      </w:r>
      <w:r>
        <w:rPr>
          <w:rFonts w:hint="eastAsia" w:ascii="仿宋" w:hAnsi="仿宋" w:eastAsia="仿宋" w:cs="仿宋"/>
          <w:color w:val="auto"/>
          <w:sz w:val="24"/>
          <w:lang w:eastAsia="zh-CN"/>
        </w:rPr>
        <w:t>、</w:t>
      </w:r>
      <w:r>
        <w:rPr>
          <w:rFonts w:hint="eastAsia" w:ascii="仿宋" w:hAnsi="仿宋" w:eastAsia="仿宋" w:cs="仿宋"/>
          <w:color w:val="auto"/>
          <w:sz w:val="24"/>
        </w:rPr>
        <w:t>灶具等)、交还房屋及设施等并确认未破坏房屋主体结构、结清水电等费用、无安全事故及其他违约行为的，院方确认后10个工作日内无息退还。</w:t>
      </w:r>
    </w:p>
    <w:p w14:paraId="42EB55F9">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r>
        <w:rPr>
          <w:rFonts w:hint="eastAsia" w:ascii="仿宋" w:hAnsi="仿宋" w:eastAsia="仿宋" w:cs="仿宋"/>
          <w:color w:val="auto"/>
          <w:sz w:val="32"/>
        </w:rPr>
        <w:t>十四  验收</w:t>
      </w:r>
      <w:bookmarkEnd w:id="129"/>
      <w:bookmarkEnd w:id="130"/>
      <w:bookmarkEnd w:id="131"/>
    </w:p>
    <w:p w14:paraId="594E1470">
      <w:pPr>
        <w:spacing w:line="360" w:lineRule="auto"/>
        <w:ind w:firstLine="480" w:firstLineChars="200"/>
        <w:rPr>
          <w:rFonts w:ascii="仿宋" w:hAnsi="仿宋" w:eastAsia="仿宋" w:cs="仿宋"/>
          <w:color w:val="auto"/>
          <w:sz w:val="24"/>
        </w:rPr>
      </w:pPr>
      <w:bookmarkStart w:id="132" w:name="_Toc335664282"/>
      <w:bookmarkStart w:id="133" w:name="_Toc14276"/>
      <w:bookmarkStart w:id="134" w:name="_Toc493956048"/>
      <w:r>
        <w:rPr>
          <w:rFonts w:hint="eastAsia" w:ascii="仿宋" w:hAnsi="仿宋" w:eastAsia="仿宋" w:cs="仿宋"/>
          <w:color w:val="auto"/>
          <w:sz w:val="24"/>
        </w:rPr>
        <w:t>39.采购人应当按照采购合同规定的技术、服务、安全标准组织对供应商履约情况进行验收，并出具验收书。验收书应当包括每一项技术、服务、安全标准的履约情况。</w:t>
      </w:r>
    </w:p>
    <w:p w14:paraId="2372E48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39.1本项目采购人可邀请其他投标人或者第三方机构参与验收、核对，参与验收、核对的内容为中标产品的技术指标、规格型号、质保服务、承诺等内容，是否和招标文件、中标人投标文件的内容相符合。</w:t>
      </w:r>
    </w:p>
    <w:p w14:paraId="09B4FE3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7F890CD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39.3其他投标人应遵守诚实信用、实事求是的原则，在验收期间积极配合采购人组织的验收工作，不得影响或阻扰验收工作的正常进行。参与验收的一切费用，原则上由投标人自行承担。  </w:t>
      </w:r>
    </w:p>
    <w:p w14:paraId="47BDBEC3">
      <w:pPr>
        <w:pStyle w:val="6"/>
        <w:keepNext/>
        <w:keepLines/>
        <w:pageBreakBefore w:val="0"/>
        <w:widowControl w:val="0"/>
        <w:kinsoku/>
        <w:wordWrap/>
        <w:overflowPunct/>
        <w:topLinePunct w:val="0"/>
        <w:autoSpaceDE/>
        <w:autoSpaceDN/>
        <w:bidi w:val="0"/>
        <w:adjustRightInd/>
        <w:snapToGrid/>
        <w:spacing w:before="200" w:after="200"/>
        <w:ind w:firstLine="0" w:firstLineChars="0"/>
        <w:textAlignment w:val="auto"/>
        <w:rPr>
          <w:rFonts w:hint="eastAsia" w:ascii="仿宋" w:hAnsi="仿宋" w:eastAsia="仿宋" w:cs="仿宋"/>
          <w:color w:val="auto"/>
          <w:sz w:val="32"/>
        </w:rPr>
      </w:pPr>
      <w:bookmarkStart w:id="135" w:name="_Toc2911"/>
      <w:r>
        <w:rPr>
          <w:rFonts w:hint="eastAsia" w:ascii="仿宋" w:hAnsi="仿宋" w:eastAsia="仿宋" w:cs="仿宋"/>
          <w:color w:val="auto"/>
          <w:sz w:val="32"/>
        </w:rPr>
        <w:t>十五  其他事项</w:t>
      </w:r>
      <w:bookmarkEnd w:id="122"/>
      <w:bookmarkEnd w:id="123"/>
      <w:bookmarkEnd w:id="124"/>
      <w:bookmarkEnd w:id="125"/>
      <w:bookmarkEnd w:id="126"/>
      <w:bookmarkEnd w:id="127"/>
      <w:bookmarkEnd w:id="132"/>
      <w:bookmarkEnd w:id="133"/>
      <w:bookmarkEnd w:id="134"/>
      <w:bookmarkEnd w:id="135"/>
    </w:p>
    <w:p w14:paraId="554C1D06">
      <w:pPr>
        <w:spacing w:line="360" w:lineRule="auto"/>
        <w:ind w:firstLine="480" w:firstLineChars="200"/>
        <w:rPr>
          <w:rFonts w:ascii="仿宋" w:hAnsi="仿宋" w:eastAsia="仿宋" w:cs="仿宋"/>
          <w:color w:val="auto"/>
          <w:sz w:val="24"/>
        </w:rPr>
      </w:pPr>
      <w:r>
        <w:rPr>
          <w:rFonts w:hint="eastAsia" w:ascii="仿宋" w:hAnsi="仿宋" w:eastAsia="仿宋" w:cs="仿宋"/>
          <w:bCs/>
          <w:color w:val="auto"/>
          <w:sz w:val="24"/>
        </w:rPr>
        <w:t>40.</w:t>
      </w:r>
      <w:r>
        <w:rPr>
          <w:rFonts w:hint="eastAsia" w:ascii="仿宋" w:hAnsi="仿宋" w:eastAsia="仿宋" w:cs="仿宋"/>
          <w:color w:val="auto"/>
          <w:sz w:val="24"/>
        </w:rPr>
        <w:t xml:space="preserve"> 解释权 </w:t>
      </w:r>
    </w:p>
    <w:p w14:paraId="64025561">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40.1 本</w:t>
      </w:r>
      <w:r>
        <w:rPr>
          <w:rFonts w:hint="eastAsia" w:ascii="仿宋" w:hAnsi="仿宋" w:eastAsia="仿宋" w:cs="仿宋"/>
          <w:color w:val="auto"/>
          <w:sz w:val="24"/>
        </w:rPr>
        <w:t>招标文件</w:t>
      </w:r>
      <w:r>
        <w:rPr>
          <w:rFonts w:hint="eastAsia" w:ascii="仿宋" w:hAnsi="仿宋" w:eastAsia="仿宋" w:cs="仿宋"/>
          <w:bCs/>
          <w:color w:val="auto"/>
          <w:sz w:val="24"/>
        </w:rPr>
        <w:t>是根据国家有关法律、法规、规章和有关规定编制的，解释权属采购代理机构。</w:t>
      </w:r>
    </w:p>
    <w:p w14:paraId="48926126">
      <w:pPr>
        <w:spacing w:line="360" w:lineRule="auto"/>
        <w:ind w:firstLine="480" w:firstLineChars="200"/>
        <w:rPr>
          <w:rFonts w:ascii="仿宋" w:hAnsi="仿宋" w:eastAsia="仿宋" w:cs="仿宋"/>
          <w:color w:val="auto"/>
          <w:sz w:val="24"/>
        </w:rPr>
      </w:pPr>
      <w:r>
        <w:rPr>
          <w:rFonts w:hint="eastAsia" w:ascii="仿宋" w:hAnsi="仿宋" w:eastAsia="仿宋" w:cs="仿宋"/>
          <w:bCs/>
          <w:color w:val="auto"/>
          <w:sz w:val="24"/>
        </w:rPr>
        <w:t>41.采购代理机构</w:t>
      </w:r>
      <w:r>
        <w:rPr>
          <w:rFonts w:hint="eastAsia" w:ascii="仿宋" w:hAnsi="仿宋" w:eastAsia="仿宋" w:cs="仿宋"/>
          <w:color w:val="auto"/>
          <w:sz w:val="24"/>
        </w:rPr>
        <w:t>对决标结果不负责解释。</w:t>
      </w:r>
    </w:p>
    <w:p w14:paraId="32A5D2C3">
      <w:pPr>
        <w:spacing w:line="360" w:lineRule="auto"/>
        <w:ind w:left="479" w:leftChars="228"/>
        <w:rPr>
          <w:rFonts w:ascii="仿宋" w:hAnsi="仿宋" w:eastAsia="仿宋" w:cs="仿宋"/>
          <w:color w:val="auto"/>
          <w:sz w:val="24"/>
        </w:rPr>
      </w:pPr>
      <w:r>
        <w:rPr>
          <w:rFonts w:hint="eastAsia" w:ascii="仿宋" w:hAnsi="仿宋" w:eastAsia="仿宋" w:cs="仿宋"/>
          <w:color w:val="auto"/>
          <w:sz w:val="24"/>
        </w:rPr>
        <w:t>42.通讯地址</w:t>
      </w:r>
    </w:p>
    <w:p w14:paraId="1E93422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42.1所有与本次招标有关的函电请按下面联系</w:t>
      </w:r>
    </w:p>
    <w:p w14:paraId="125DBEA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A．采购代理机构:遂昌一航采购代理有限公司</w:t>
      </w:r>
    </w:p>
    <w:p w14:paraId="31685A3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B．通讯地址:遂昌县妙高街道北街348号203室    邮编:323000</w:t>
      </w:r>
    </w:p>
    <w:p w14:paraId="0B59133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C．报名咨询电话:13754268787              联系人:华莉瑛</w:t>
      </w:r>
    </w:p>
    <w:p w14:paraId="73432A20">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D. 招标文件答疑咨询电话:</w:t>
      </w:r>
      <w:r>
        <w:rPr>
          <w:rFonts w:hint="eastAsia" w:ascii="仿宋" w:hAnsi="仿宋" w:eastAsia="仿宋" w:cs="仿宋"/>
          <w:color w:val="auto"/>
          <w:sz w:val="24"/>
          <w:lang w:eastAsia="zh-CN"/>
        </w:rPr>
        <w:t>15990878558</w:t>
      </w:r>
      <w:r>
        <w:rPr>
          <w:rFonts w:hint="eastAsia" w:ascii="仿宋" w:hAnsi="仿宋" w:eastAsia="仿宋" w:cs="仿宋"/>
          <w:color w:val="auto"/>
          <w:sz w:val="24"/>
        </w:rPr>
        <w:t xml:space="preserve">      联系人:</w:t>
      </w:r>
      <w:r>
        <w:rPr>
          <w:rFonts w:hint="eastAsia" w:ascii="仿宋" w:hAnsi="仿宋" w:eastAsia="仿宋" w:cs="仿宋"/>
          <w:color w:val="auto"/>
          <w:sz w:val="24"/>
          <w:lang w:val="en-US" w:eastAsia="zh-CN"/>
        </w:rPr>
        <w:t>尹丽香</w:t>
      </w:r>
    </w:p>
    <w:p w14:paraId="72B40535">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43.</w:t>
      </w:r>
      <w:r>
        <w:rPr>
          <w:rFonts w:hint="eastAsia" w:ascii="仿宋" w:hAnsi="仿宋" w:eastAsia="仿宋" w:cs="仿宋"/>
          <w:b/>
          <w:color w:val="auto"/>
          <w:sz w:val="24"/>
        </w:rPr>
        <w:t xml:space="preserve"> 采购代理服务费</w:t>
      </w:r>
    </w:p>
    <w:p w14:paraId="7F38BE8E">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本项目采购代理服务费</w:t>
      </w:r>
      <w:r>
        <w:rPr>
          <w:rFonts w:hint="eastAsia" w:ascii="仿宋" w:hAnsi="仿宋" w:eastAsia="仿宋"/>
          <w:bCs/>
          <w:color w:val="auto"/>
          <w:sz w:val="24"/>
        </w:rPr>
        <w:t>由成交供应商支付代理服务费，</w:t>
      </w:r>
      <w:r>
        <w:rPr>
          <w:rFonts w:hint="eastAsia" w:ascii="仿宋" w:hAnsi="仿宋" w:eastAsia="仿宋" w:cs="仿宋"/>
          <w:color w:val="auto"/>
          <w:sz w:val="24"/>
          <w:lang w:val="en-US" w:eastAsia="zh-CN"/>
        </w:rPr>
        <w:t>费用为人民币壹万捌仟元整</w:t>
      </w:r>
      <w:r>
        <w:rPr>
          <w:rFonts w:hint="eastAsia" w:ascii="仿宋" w:hAnsi="仿宋" w:eastAsia="仿宋" w:cs="仿宋"/>
          <w:b w:val="0"/>
          <w:bCs w:val="0"/>
          <w:color w:val="auto"/>
          <w:sz w:val="24"/>
          <w:lang w:val="en-US" w:eastAsia="zh-CN"/>
        </w:rPr>
        <w:t>（¥</w:t>
      </w:r>
      <w:r>
        <w:rPr>
          <w:rFonts w:hint="eastAsia" w:ascii="仿宋" w:hAnsi="仿宋" w:eastAsia="仿宋" w:cs="仿宋"/>
          <w:b w:val="0"/>
          <w:bCs w:val="0"/>
          <w:color w:val="auto"/>
          <w:sz w:val="24"/>
          <w:szCs w:val="24"/>
          <w:u w:val="none"/>
          <w:lang w:val="en-US" w:eastAsia="zh-CN"/>
        </w:rPr>
        <w:t>18,000.00</w:t>
      </w:r>
      <w:r>
        <w:rPr>
          <w:rFonts w:hint="eastAsia" w:ascii="仿宋" w:hAnsi="仿宋" w:eastAsia="仿宋" w:cs="仿宋"/>
          <w:b w:val="0"/>
          <w:bCs w:val="0"/>
          <w:color w:val="auto"/>
          <w:sz w:val="24"/>
          <w:lang w:val="en-US" w:eastAsia="zh-CN"/>
        </w:rPr>
        <w:t>)</w:t>
      </w:r>
      <w:r>
        <w:rPr>
          <w:rFonts w:hint="eastAsia" w:ascii="仿宋" w:hAnsi="仿宋" w:eastAsia="仿宋"/>
          <w:color w:val="auto"/>
          <w:sz w:val="24"/>
        </w:rPr>
        <w:t>。成交人在成交结果公告发出后5个工作日内向采购代理机构缴纳代理服务费。</w:t>
      </w:r>
    </w:p>
    <w:p w14:paraId="49C2B9C7">
      <w:pPr>
        <w:spacing w:line="360" w:lineRule="auto"/>
        <w:ind w:left="960" w:hanging="960" w:hangingChars="400"/>
        <w:rPr>
          <w:rFonts w:ascii="仿宋" w:hAnsi="仿宋" w:eastAsia="仿宋"/>
          <w:color w:val="auto"/>
          <w:sz w:val="24"/>
        </w:rPr>
      </w:pPr>
      <w:r>
        <w:rPr>
          <w:rFonts w:hint="eastAsia" w:ascii="仿宋" w:hAnsi="仿宋" w:eastAsia="仿宋"/>
          <w:color w:val="auto"/>
          <w:sz w:val="24"/>
        </w:rPr>
        <w:t>采购代理机构账户信息：</w:t>
      </w:r>
    </w:p>
    <w:p w14:paraId="4E5DEE3E">
      <w:pPr>
        <w:spacing w:line="360" w:lineRule="auto"/>
        <w:ind w:firstLine="480" w:firstLineChars="200"/>
        <w:rPr>
          <w:rFonts w:ascii="仿宋" w:hAnsi="仿宋" w:eastAsia="仿宋"/>
          <w:color w:val="auto"/>
          <w:sz w:val="24"/>
        </w:rPr>
      </w:pPr>
      <w:r>
        <w:rPr>
          <w:rFonts w:hint="eastAsia" w:ascii="仿宋" w:hAnsi="仿宋" w:eastAsia="仿宋"/>
          <w:color w:val="auto"/>
          <w:sz w:val="24"/>
        </w:rPr>
        <w:t>户名: 遂昌一航采购代理有限公司</w:t>
      </w:r>
    </w:p>
    <w:p w14:paraId="0489B065">
      <w:pPr>
        <w:spacing w:line="360" w:lineRule="auto"/>
        <w:ind w:firstLine="480" w:firstLineChars="200"/>
        <w:rPr>
          <w:rFonts w:ascii="仿宋" w:hAnsi="仿宋" w:eastAsia="仿宋"/>
          <w:color w:val="auto"/>
          <w:sz w:val="24"/>
        </w:rPr>
      </w:pPr>
      <w:r>
        <w:rPr>
          <w:rFonts w:hint="eastAsia" w:ascii="仿宋" w:hAnsi="仿宋" w:eastAsia="仿宋"/>
          <w:color w:val="auto"/>
          <w:sz w:val="24"/>
        </w:rPr>
        <w:t>账号: 1690 1012 0100 9000 6822</w:t>
      </w:r>
    </w:p>
    <w:p w14:paraId="3B7C47C3">
      <w:pPr>
        <w:spacing w:line="360" w:lineRule="auto"/>
        <w:ind w:left="959" w:leftChars="228" w:hanging="480" w:hangingChars="200"/>
        <w:rPr>
          <w:rFonts w:ascii="仿宋" w:hAnsi="仿宋" w:eastAsia="仿宋" w:cs="仿宋"/>
          <w:color w:val="auto"/>
          <w:sz w:val="24"/>
        </w:rPr>
        <w:sectPr>
          <w:headerReference r:id="rId6" w:type="first"/>
          <w:footerReference r:id="rId8" w:type="first"/>
          <w:headerReference r:id="rId5" w:type="default"/>
          <w:footerReference r:id="rId7" w:type="default"/>
          <w:pgSz w:w="11906" w:h="16838"/>
          <w:pgMar w:top="1440" w:right="1531" w:bottom="1440" w:left="1531" w:header="851" w:footer="851" w:gutter="0"/>
          <w:cols w:space="720" w:num="1"/>
          <w:titlePg/>
          <w:docGrid w:linePitch="312" w:charSpace="0"/>
        </w:sectPr>
      </w:pPr>
      <w:r>
        <w:rPr>
          <w:rFonts w:hint="eastAsia" w:ascii="仿宋" w:hAnsi="仿宋" w:eastAsia="仿宋"/>
          <w:color w:val="auto"/>
          <w:sz w:val="24"/>
        </w:rPr>
        <w:t>开户行: 浙江稠州商业银行股份有限公司丽水遂昌支行</w:t>
      </w:r>
    </w:p>
    <w:p w14:paraId="1E1604C0">
      <w:pPr>
        <w:pStyle w:val="5"/>
        <w:pageBreakBefore/>
        <w:numPr>
          <w:ilvl w:val="0"/>
          <w:numId w:val="7"/>
        </w:numPr>
        <w:spacing w:line="560" w:lineRule="exact"/>
        <w:rPr>
          <w:rFonts w:ascii="仿宋" w:hAnsi="仿宋" w:eastAsia="仿宋" w:cs="仿宋"/>
          <w:color w:val="auto"/>
        </w:rPr>
      </w:pPr>
      <w:bookmarkStart w:id="136" w:name="_Toc17982"/>
      <w:bookmarkStart w:id="137" w:name="_Toc32290"/>
      <w:bookmarkStart w:id="138" w:name="_Toc493956050"/>
      <w:r>
        <w:rPr>
          <w:rFonts w:hint="eastAsia" w:ascii="仿宋" w:hAnsi="仿宋" w:eastAsia="仿宋" w:cs="仿宋"/>
          <w:color w:val="auto"/>
        </w:rPr>
        <w:t>合同主要条款</w:t>
      </w:r>
      <w:bookmarkEnd w:id="136"/>
      <w:bookmarkEnd w:id="137"/>
    </w:p>
    <w:p w14:paraId="4DC10308">
      <w:pPr>
        <w:rPr>
          <w:color w:val="auto"/>
        </w:rPr>
      </w:pPr>
    </w:p>
    <w:p w14:paraId="009E161D">
      <w:pPr>
        <w:rPr>
          <w:rFonts w:ascii="仿宋" w:hAnsi="仿宋" w:eastAsia="仿宋" w:cs="仿宋"/>
          <w:color w:val="auto"/>
        </w:rPr>
      </w:pPr>
    </w:p>
    <w:p w14:paraId="4BC2FF98">
      <w:pPr>
        <w:jc w:val="center"/>
        <w:rPr>
          <w:rFonts w:ascii="仿宋" w:hAnsi="仿宋" w:eastAsia="仿宋" w:cs="仿宋"/>
          <w:b/>
          <w:color w:val="auto"/>
          <w:sz w:val="30"/>
          <w:szCs w:val="30"/>
        </w:rPr>
      </w:pPr>
      <w:r>
        <w:rPr>
          <w:rFonts w:hint="eastAsia" w:ascii="仿宋" w:hAnsi="仿宋" w:eastAsia="仿宋" w:cs="仿宋"/>
          <w:b/>
          <w:color w:val="auto"/>
          <w:sz w:val="30"/>
          <w:szCs w:val="30"/>
        </w:rPr>
        <w:t>合同格式（范本）</w:t>
      </w:r>
    </w:p>
    <w:p w14:paraId="12D458BE">
      <w:pPr>
        <w:rPr>
          <w:rFonts w:ascii="仿宋" w:hAnsi="仿宋" w:eastAsia="仿宋" w:cs="仿宋"/>
          <w:b/>
          <w:color w:val="auto"/>
          <w:sz w:val="28"/>
          <w:szCs w:val="24"/>
        </w:rPr>
      </w:pPr>
      <w:r>
        <w:rPr>
          <w:rFonts w:hint="eastAsia" w:ascii="仿宋" w:hAnsi="仿宋" w:eastAsia="仿宋" w:cs="仿宋"/>
          <w:b/>
          <w:color w:val="auto"/>
          <w:sz w:val="28"/>
          <w:szCs w:val="24"/>
        </w:rPr>
        <w:t xml:space="preserve"> </w:t>
      </w:r>
    </w:p>
    <w:p w14:paraId="4C9005B0">
      <w:pPr>
        <w:widowControl/>
        <w:rPr>
          <w:rFonts w:ascii="仿宋" w:hAnsi="仿宋" w:eastAsia="仿宋" w:cs="仿宋"/>
          <w:color w:val="auto"/>
          <w:sz w:val="24"/>
          <w:szCs w:val="21"/>
        </w:rPr>
      </w:pPr>
      <w:r>
        <w:rPr>
          <w:rFonts w:hint="eastAsia" w:ascii="仿宋" w:hAnsi="仿宋" w:eastAsia="仿宋" w:cs="仿宋"/>
          <w:b/>
          <w:color w:val="auto"/>
          <w:sz w:val="24"/>
        </w:rPr>
        <w:t xml:space="preserve">                                           </w:t>
      </w:r>
      <w:r>
        <w:rPr>
          <w:rFonts w:hint="eastAsia" w:ascii="仿宋" w:hAnsi="仿宋" w:eastAsia="仿宋" w:cs="仿宋"/>
          <w:b/>
          <w:color w:val="auto"/>
          <w:sz w:val="24"/>
          <w:szCs w:val="21"/>
        </w:rPr>
        <w:t>合同编号：</w:t>
      </w:r>
      <w:r>
        <w:rPr>
          <w:rFonts w:hint="eastAsia" w:ascii="仿宋" w:hAnsi="仿宋" w:eastAsia="仿宋" w:cs="仿宋"/>
          <w:b/>
          <w:color w:val="auto"/>
          <w:sz w:val="24"/>
          <w:szCs w:val="21"/>
          <w:u w:val="single"/>
        </w:rPr>
        <w:t xml:space="preserve">             </w:t>
      </w:r>
    </w:p>
    <w:p w14:paraId="4C370947">
      <w:pPr>
        <w:ind w:firstLine="420"/>
        <w:rPr>
          <w:rFonts w:ascii="仿宋" w:hAnsi="仿宋" w:eastAsia="仿宋" w:cs="仿宋"/>
          <w:color w:val="auto"/>
          <w:sz w:val="24"/>
          <w:u w:val="single" w:color="000000"/>
        </w:rPr>
      </w:pPr>
    </w:p>
    <w:p w14:paraId="766BC88C">
      <w:pPr>
        <w:pStyle w:val="2"/>
        <w:ind w:firstLine="240"/>
        <w:rPr>
          <w:rFonts w:ascii="仿宋" w:hAnsi="仿宋" w:eastAsia="仿宋" w:cs="仿宋"/>
          <w:color w:val="auto"/>
          <w:sz w:val="24"/>
          <w:u w:val="single" w:color="000000"/>
        </w:rPr>
      </w:pPr>
    </w:p>
    <w:p w14:paraId="55A24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u w:val="single" w:color="000000"/>
          <w:lang w:val="en-US" w:eastAsia="zh-CN"/>
        </w:rPr>
      </w:pPr>
      <w:r>
        <w:rPr>
          <w:rFonts w:hint="eastAsia" w:ascii="仿宋" w:hAnsi="仿宋" w:eastAsia="仿宋" w:cs="仿宋"/>
          <w:color w:val="auto"/>
          <w:sz w:val="24"/>
          <w:u w:val="none" w:color="auto"/>
          <w:lang w:val="en-US" w:eastAsia="zh-CN"/>
        </w:rPr>
        <w:t>采购人：</w:t>
      </w:r>
      <w:r>
        <w:rPr>
          <w:rFonts w:hint="eastAsia" w:ascii="仿宋" w:hAnsi="仿宋" w:eastAsia="仿宋" w:cs="仿宋"/>
          <w:color w:val="auto"/>
          <w:sz w:val="24"/>
          <w:u w:val="single" w:color="000000"/>
          <w:lang w:val="en-US" w:eastAsia="zh-CN"/>
        </w:rPr>
        <w:t xml:space="preserve">遂昌县人民医院      </w:t>
      </w:r>
      <w:r>
        <w:rPr>
          <w:rFonts w:hint="eastAsia" w:ascii="仿宋" w:hAnsi="仿宋" w:eastAsia="仿宋" w:cs="仿宋"/>
          <w:color w:val="auto"/>
          <w:sz w:val="24"/>
          <w:u w:val="none" w:color="auto"/>
          <w:lang w:val="en-US" w:eastAsia="zh-CN"/>
        </w:rPr>
        <w:t>（以下简称甲方）</w:t>
      </w:r>
    </w:p>
    <w:p w14:paraId="27E1AB93">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lang w:val="en-US" w:eastAsia="zh-CN"/>
        </w:rPr>
      </w:pPr>
      <w:r>
        <w:rPr>
          <w:rFonts w:hint="eastAsia" w:ascii="仿宋" w:hAnsi="仿宋" w:eastAsia="仿宋" w:cs="仿宋"/>
          <w:color w:val="auto"/>
          <w:sz w:val="24"/>
          <w:u w:val="none" w:color="auto"/>
          <w:lang w:val="en-US" w:eastAsia="zh-CN"/>
        </w:rPr>
        <w:t>中标人：</w:t>
      </w:r>
      <w:r>
        <w:rPr>
          <w:rFonts w:hint="eastAsia" w:ascii="仿宋" w:hAnsi="仿宋" w:eastAsia="仿宋" w:cs="仿宋"/>
          <w:color w:val="auto"/>
          <w:sz w:val="24"/>
          <w:u w:val="single" w:color="000000"/>
          <w:lang w:val="en-US" w:eastAsia="zh-CN"/>
        </w:rPr>
        <w:t xml:space="preserve">                    </w:t>
      </w:r>
      <w:r>
        <w:rPr>
          <w:rFonts w:hint="eastAsia" w:ascii="仿宋" w:hAnsi="仿宋" w:eastAsia="仿宋" w:cs="仿宋"/>
          <w:color w:val="auto"/>
          <w:sz w:val="24"/>
          <w:u w:val="none" w:color="auto"/>
          <w:lang w:val="en-US" w:eastAsia="zh-CN"/>
        </w:rPr>
        <w:t>（以下简称乙方）</w:t>
      </w:r>
    </w:p>
    <w:p w14:paraId="4DD18360">
      <w:pPr>
        <w:pStyle w:val="2"/>
        <w:ind w:firstLine="240"/>
        <w:rPr>
          <w:rFonts w:ascii="仿宋" w:hAnsi="仿宋" w:eastAsia="仿宋" w:cs="仿宋"/>
          <w:color w:val="auto"/>
          <w:sz w:val="24"/>
          <w:u w:val="single" w:color="000000"/>
        </w:rPr>
      </w:pPr>
    </w:p>
    <w:p w14:paraId="18913B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u w:val="single" w:color="000000"/>
          <w:lang w:val="en-US" w:eastAsia="zh-CN"/>
        </w:rPr>
        <w:t>遂昌县人民医院</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(采购人名称)  以</w:t>
      </w:r>
      <w:r>
        <w:rPr>
          <w:rFonts w:hint="eastAsia" w:ascii="仿宋" w:hAnsi="仿宋" w:eastAsia="仿宋" w:cs="仿宋"/>
          <w:color w:val="auto"/>
          <w:sz w:val="24"/>
          <w:szCs w:val="24"/>
          <w:u w:val="single"/>
        </w:rPr>
        <w:t xml:space="preserve">  公开招标</w:t>
      </w:r>
      <w:r>
        <w:rPr>
          <w:rFonts w:hint="eastAsia" w:ascii="仿宋" w:hAnsi="仿宋" w:eastAsia="仿宋" w:cs="仿宋"/>
          <w:color w:val="auto"/>
          <w:sz w:val="24"/>
          <w:szCs w:val="24"/>
          <w:u w:val="single"/>
          <w:lang w:val="en-US" w:eastAsia="zh-CN"/>
        </w:rPr>
        <w:t xml:space="preserve">方式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对</w:t>
      </w:r>
      <w:r>
        <w:rPr>
          <w:rFonts w:hint="eastAsia" w:ascii="仿宋" w:hAnsi="仿宋" w:eastAsia="仿宋" w:cs="仿宋"/>
          <w:color w:val="auto"/>
          <w:sz w:val="24"/>
          <w:szCs w:val="24"/>
          <w:u w:val="single"/>
          <w:lang w:eastAsia="zh-CN"/>
        </w:rPr>
        <w:t>遂昌县人民医院职工食堂经营承包项目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项目编号：SCYH【2025】067-公22</w:t>
      </w:r>
      <w:r>
        <w:rPr>
          <w:rFonts w:hint="eastAsia" w:ascii="仿宋" w:hAnsi="仿宋" w:eastAsia="仿宋" w:cs="仿宋"/>
          <w:color w:val="auto"/>
          <w:sz w:val="24"/>
          <w:szCs w:val="24"/>
        </w:rPr>
        <w:t xml:space="preserve">)项目进行了采购。经评审小组 (相关评定主体名称) 评定，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为该项目</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人。现于成交通知书发出之日起三十日内，按照采购文件确定的事项签订本合同。</w:t>
      </w:r>
    </w:p>
    <w:p w14:paraId="16AFB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根据《中华人民共和国民法典》等相关法律法规之规定，按照平等、自愿、公平和诚实信用的原则，经</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lang w:eastAsia="zh-CN"/>
        </w:rPr>
        <w:t>遂昌县人民医院</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(采购人名称) (以下简称：甲方)和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(成交人名称) (以下简称：乙方)协商一致，约定以下合同条款，以兹共同遵守、全面履行。</w:t>
      </w:r>
    </w:p>
    <w:p w14:paraId="6ED4E2F8">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rPr>
        <w:t>第一条　</w:t>
      </w:r>
      <w:r>
        <w:rPr>
          <w:rFonts w:hint="eastAsia" w:ascii="仿宋" w:hAnsi="仿宋" w:eastAsia="仿宋" w:cs="仿宋"/>
          <w:b/>
          <w:color w:val="auto"/>
          <w:sz w:val="24"/>
          <w:szCs w:val="24"/>
          <w:lang w:val="en-US" w:eastAsia="zh-CN"/>
        </w:rPr>
        <w:t>承包期限</w:t>
      </w:r>
    </w:p>
    <w:p w14:paraId="78144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1.1 </w:t>
      </w:r>
      <w:r>
        <w:rPr>
          <w:rFonts w:hint="eastAsia" w:ascii="仿宋" w:hAnsi="仿宋" w:eastAsia="仿宋" w:cs="仿宋"/>
          <w:color w:val="auto"/>
          <w:sz w:val="24"/>
          <w:szCs w:val="24"/>
          <w:u w:val="single"/>
        </w:rPr>
        <w:t xml:space="preserve">                                      </w:t>
      </w:r>
    </w:p>
    <w:p w14:paraId="3CBAE74A">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rPr>
        <w:t>第二条　</w:t>
      </w:r>
      <w:r>
        <w:rPr>
          <w:rFonts w:hint="eastAsia" w:ascii="仿宋" w:hAnsi="仿宋" w:eastAsia="仿宋" w:cs="仿宋"/>
          <w:b/>
          <w:color w:val="auto"/>
          <w:sz w:val="24"/>
          <w:szCs w:val="24"/>
          <w:lang w:val="en-US" w:eastAsia="zh-CN"/>
        </w:rPr>
        <w:t>承包金额及支付方式</w:t>
      </w:r>
    </w:p>
    <w:p w14:paraId="324055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本合同项下</w:t>
      </w:r>
      <w:r>
        <w:rPr>
          <w:rFonts w:hint="eastAsia" w:ascii="仿宋" w:hAnsi="仿宋" w:eastAsia="仿宋" w:cs="仿宋"/>
          <w:color w:val="auto"/>
          <w:sz w:val="24"/>
          <w:szCs w:val="24"/>
          <w:lang w:val="en-US" w:eastAsia="zh-CN"/>
        </w:rPr>
        <w:t>承包</w:t>
      </w:r>
      <w:r>
        <w:rPr>
          <w:rFonts w:hint="eastAsia" w:ascii="仿宋" w:hAnsi="仿宋" w:eastAsia="仿宋" w:cs="仿宋"/>
          <w:color w:val="auto"/>
          <w:sz w:val="24"/>
          <w:szCs w:val="24"/>
        </w:rPr>
        <w:t>总价款为人民币</w:t>
      </w:r>
      <w:r>
        <w:rPr>
          <w:rFonts w:hint="eastAsia" w:ascii="仿宋" w:hAnsi="仿宋" w:eastAsia="仿宋" w:cs="仿宋"/>
          <w:color w:val="auto"/>
          <w:sz w:val="24"/>
          <w:szCs w:val="24"/>
          <w:u w:val="single"/>
        </w:rPr>
        <w:t xml:space="preserve">      （大写）（</w:t>
      </w:r>
      <w:r>
        <w:rPr>
          <w:rFonts w:hint="default" w:ascii="Arial" w:hAnsi="Arial" w:eastAsia="仿宋" w:cs="Arial"/>
          <w:color w:val="auto"/>
          <w:sz w:val="24"/>
          <w:szCs w:val="24"/>
          <w:u w:val="single"/>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4D03C20">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color w:val="auto"/>
          <w:lang w:val="en-US" w:eastAsia="zh-CN"/>
        </w:rPr>
      </w:pPr>
      <w:r>
        <w:rPr>
          <w:rFonts w:hint="eastAsia" w:ascii="仿宋" w:hAnsi="仿宋" w:eastAsia="仿宋" w:cs="仿宋"/>
          <w:color w:val="auto"/>
          <w:sz w:val="24"/>
          <w:szCs w:val="24"/>
          <w:lang w:val="en-US" w:eastAsia="zh-CN"/>
        </w:rPr>
        <w:t xml:space="preserve">2.2承包金额每年一交，先租后经营，每年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日前缴纳次年承包经营款，逾期15天不缴纳承包金额的甲方有权收回承包经营权。</w:t>
      </w:r>
    </w:p>
    <w:p w14:paraId="691A9BF3">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第三条　组成本合同的有关文件</w:t>
      </w:r>
    </w:p>
    <w:p w14:paraId="3CDDB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3.1 下列文件构成本合同的组成部分，应该认为是一个整体，彼此相互解释，相互补充。具体如下：</w:t>
      </w:r>
    </w:p>
    <w:p w14:paraId="212455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3.1.1 本合同书</w:t>
      </w:r>
    </w:p>
    <w:p w14:paraId="09E667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3.1.2 中标通知书</w:t>
      </w:r>
      <w:r>
        <w:rPr>
          <w:rFonts w:hint="eastAsia" w:ascii="仿宋" w:hAnsi="仿宋" w:eastAsia="仿宋" w:cs="仿宋"/>
          <w:color w:val="auto"/>
          <w:sz w:val="24"/>
          <w:szCs w:val="24"/>
        </w:rPr>
        <w:tab/>
      </w:r>
    </w:p>
    <w:p w14:paraId="67174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3.1.3 中标人澄清修改文件</w:t>
      </w:r>
    </w:p>
    <w:p w14:paraId="027A1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3.1.4 中标人投标文件</w:t>
      </w:r>
    </w:p>
    <w:p w14:paraId="1FD74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3.1.5 招标文件澄清修改文件</w:t>
      </w:r>
    </w:p>
    <w:p w14:paraId="2029D5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3.1.6 招标文件</w:t>
      </w:r>
    </w:p>
    <w:p w14:paraId="7FED1D6B">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rPr>
        <w:t xml:space="preserve">第四条  </w:t>
      </w:r>
      <w:r>
        <w:rPr>
          <w:rFonts w:hint="eastAsia" w:ascii="仿宋" w:hAnsi="仿宋" w:eastAsia="仿宋" w:cs="仿宋"/>
          <w:b/>
          <w:color w:val="auto"/>
          <w:sz w:val="24"/>
          <w:szCs w:val="24"/>
          <w:lang w:val="en-US" w:eastAsia="zh-CN"/>
        </w:rPr>
        <w:t>履约保证金</w:t>
      </w:r>
    </w:p>
    <w:p w14:paraId="468E9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4.1 乙方缴纳人民币壹拾万元整至甲方指定账户；履约保证金在承包期满，乙方清空及点清浮产（桌、椅、灶具等）、交还房屋及设施等并确认未破坏房屋主体结构、结清水电等费用、无安全事故及其他违约行为的，甲方确认后10个工作日内无息退还。</w:t>
      </w:r>
    </w:p>
    <w:p w14:paraId="6658B6B7">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rPr>
        <w:t xml:space="preserve">第五条  </w:t>
      </w:r>
      <w:r>
        <w:rPr>
          <w:rFonts w:hint="eastAsia" w:ascii="仿宋" w:hAnsi="仿宋" w:eastAsia="仿宋" w:cs="仿宋"/>
          <w:b/>
          <w:color w:val="auto"/>
          <w:sz w:val="24"/>
          <w:szCs w:val="24"/>
          <w:lang w:val="en-US" w:eastAsia="zh-CN"/>
        </w:rPr>
        <w:t>经营内容</w:t>
      </w:r>
    </w:p>
    <w:p w14:paraId="150CAFC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5.1</w:t>
      </w:r>
      <w:r>
        <w:rPr>
          <w:rFonts w:hint="eastAsia" w:ascii="仿宋" w:hAnsi="仿宋" w:eastAsia="仿宋" w:cs="仿宋"/>
          <w:b/>
          <w:color w:val="auto"/>
          <w:sz w:val="24"/>
          <w:szCs w:val="24"/>
        </w:rPr>
        <w:t>基本情况</w:t>
      </w:r>
    </w:p>
    <w:p w14:paraId="2CE0BA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遂昌县人民医院食堂位于妙高街道新庵村内综合楼1-2楼，一楼建筑面积约729 ㎡：含操作间、病员餐厅，满足门诊、住院病员及家属餐饮服务需求，开设快餐、小炒、面点、特色餐饮窗口，并依据医疗工作需要提供治疗饮食，提供订送餐服务。二楼建筑面积约729 ㎡，为职工餐厅，满足职工日常及夜班餐饮服务、送餐服务需求。</w:t>
      </w:r>
    </w:p>
    <w:p w14:paraId="224A294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5.2</w:t>
      </w:r>
      <w:r>
        <w:rPr>
          <w:rFonts w:hint="eastAsia" w:ascii="仿宋" w:hAnsi="仿宋" w:eastAsia="仿宋" w:cs="仿宋"/>
          <w:b/>
          <w:color w:val="auto"/>
          <w:sz w:val="24"/>
          <w:szCs w:val="24"/>
        </w:rPr>
        <w:t>服务对象</w:t>
      </w:r>
    </w:p>
    <w:p w14:paraId="49B5C7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kern w:val="2"/>
          <w:sz w:val="24"/>
          <w:szCs w:val="24"/>
          <w:lang w:val="en-US" w:eastAsia="zh-CN" w:bidi="ar-SA"/>
        </w:rPr>
        <w:t>医院在职职工、第三方工作人员、浙大二院常驻专家、实习生、医院病人及家属，招标方来客及社会人员等。</w:t>
      </w:r>
    </w:p>
    <w:p w14:paraId="7EC8AD54">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第六条  服</w:t>
      </w:r>
      <w:r>
        <w:rPr>
          <w:rFonts w:hint="eastAsia" w:ascii="仿宋" w:hAnsi="仿宋" w:eastAsia="仿宋" w:cs="仿宋"/>
          <w:b/>
          <w:color w:val="auto"/>
          <w:sz w:val="24"/>
          <w:szCs w:val="24"/>
          <w:lang w:val="en-US" w:eastAsia="zh-CN"/>
        </w:rPr>
        <w:t>务</w:t>
      </w:r>
      <w:r>
        <w:rPr>
          <w:rFonts w:hint="eastAsia" w:ascii="仿宋" w:hAnsi="仿宋" w:eastAsia="仿宋" w:cs="仿宋"/>
          <w:b/>
          <w:color w:val="auto"/>
          <w:sz w:val="24"/>
          <w:szCs w:val="24"/>
        </w:rPr>
        <w:t>要求</w:t>
      </w:r>
    </w:p>
    <w:p w14:paraId="3036CCE7">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6.1</w:t>
      </w:r>
      <w:r>
        <w:rPr>
          <w:rFonts w:hint="eastAsia" w:ascii="仿宋" w:hAnsi="仿宋" w:eastAsia="仿宋" w:cs="仿宋"/>
          <w:b/>
          <w:color w:val="auto"/>
          <w:sz w:val="24"/>
          <w:szCs w:val="24"/>
        </w:rPr>
        <w:t>服务原则：</w:t>
      </w:r>
      <w:r>
        <w:rPr>
          <w:rFonts w:hint="eastAsia" w:ascii="仿宋" w:hAnsi="仿宋" w:eastAsia="仿宋" w:cs="仿宋"/>
          <w:color w:val="auto"/>
          <w:sz w:val="24"/>
          <w:szCs w:val="24"/>
        </w:rPr>
        <w:t>确保饮食安全、配送及时、保障供给。</w:t>
      </w:r>
    </w:p>
    <w:p w14:paraId="1553CD3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保障医院患者及家属、职工用餐、送餐、体检用餐、手术用餐等服务是本次招标考核乙方的关键指标之一。</w:t>
      </w:r>
    </w:p>
    <w:p w14:paraId="1E741900">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6.2</w:t>
      </w:r>
      <w:r>
        <w:rPr>
          <w:rFonts w:hint="eastAsia" w:ascii="仿宋" w:hAnsi="仿宋" w:eastAsia="仿宋" w:cs="仿宋"/>
          <w:b/>
          <w:color w:val="auto"/>
          <w:sz w:val="24"/>
          <w:szCs w:val="24"/>
        </w:rPr>
        <w:t>工作要求</w:t>
      </w:r>
    </w:p>
    <w:p w14:paraId="4571C6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2.1</w:t>
      </w:r>
      <w:r>
        <w:rPr>
          <w:rFonts w:hint="eastAsia" w:ascii="仿宋" w:hAnsi="仿宋" w:eastAsia="仿宋" w:cs="仿宋"/>
          <w:color w:val="auto"/>
          <w:kern w:val="2"/>
          <w:sz w:val="24"/>
          <w:szCs w:val="24"/>
          <w:lang w:val="en-US" w:eastAsia="zh-CN" w:bidi="ar-SA"/>
        </w:rPr>
        <w:t>严格遵守《中华人民共和国食品安全法》、《中华人民共和国食品安全实施条例》等相关法律法规，遵守《医院膳食服务管理规范》《餐饮服务食品安全操作规范》《食品安全国家标准 餐饮服务通用卫生规范》《餐饮业和集体送餐配送单位卫生规范》、《餐饮消毒技术规范》、《医院感染管理规范》管理要求，完成医院对食堂管理的各项指标和要求，经营花色品种齐全、价格合理、制度规范并有效执行。乙方须按法规、规范要求接受市场监督、税务、卫生、环保等执法部门的检查、监督、指导，因违规经营处罚或现场问题整改所产生的一切费用和责任均由乙方自行承担。</w:t>
      </w:r>
    </w:p>
    <w:p w14:paraId="145DDB69">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6.2.2经营者保证全年无间断提供就餐（含所有国家法定节假日）。</w:t>
      </w:r>
    </w:p>
    <w:p w14:paraId="2B0C7803">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6.3</w:t>
      </w:r>
      <w:r>
        <w:rPr>
          <w:rFonts w:hint="eastAsia" w:ascii="仿宋" w:hAnsi="仿宋" w:eastAsia="仿宋" w:cs="仿宋"/>
          <w:b/>
          <w:color w:val="auto"/>
          <w:sz w:val="24"/>
          <w:szCs w:val="24"/>
        </w:rPr>
        <w:t>供餐标准</w:t>
      </w:r>
    </w:p>
    <w:p w14:paraId="54743D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早餐各类膳食品种不少于12种，粗细搭配、营养均衡，午餐、晚餐主菜、副菜品种不少于15种（其中荤菜不少于5 种，半荤菜不少于 5 种，时令蔬菜不少于5种，需提供免费汤品）。每周提前公示菜单，每周更换品种不少于50%。为满足不同消费层的需求，提供各种小炒供选择。快餐菜类、小炒价格明码标价，职工盛菜区按“碟”为单位计价。</w:t>
      </w:r>
    </w:p>
    <w:p w14:paraId="0D93DE06">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6.4</w:t>
      </w:r>
      <w:r>
        <w:rPr>
          <w:rFonts w:hint="eastAsia" w:ascii="仿宋" w:hAnsi="仿宋" w:eastAsia="仿宋" w:cs="仿宋"/>
          <w:b/>
          <w:color w:val="auto"/>
          <w:sz w:val="24"/>
          <w:szCs w:val="24"/>
        </w:rPr>
        <w:t>特需服务</w:t>
      </w:r>
    </w:p>
    <w:p w14:paraId="4D9B3C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为满足病员个性化服务需求，乙方须有提供治疗及营养膳食、订送餐服务的能力，做到服务规范、流程合理。根据体检中心及血透中心等科室实际需求，对体检中心早餐及血透中心配餐提供送餐服务。实行多种订送餐服务模式（APP扫码、固定电话、微信群等），实现定时定量定点送餐。如为病人（家属）提供加工业务，可适当收取加工服务费。</w:t>
      </w:r>
    </w:p>
    <w:p w14:paraId="2F95072B">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6.5</w:t>
      </w:r>
      <w:r>
        <w:rPr>
          <w:rFonts w:hint="eastAsia" w:ascii="仿宋" w:hAnsi="仿宋" w:eastAsia="仿宋" w:cs="仿宋"/>
          <w:b/>
          <w:color w:val="auto"/>
          <w:sz w:val="24"/>
          <w:szCs w:val="24"/>
        </w:rPr>
        <w:t>价格标准</w:t>
      </w:r>
    </w:p>
    <w:p w14:paraId="4A67E56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为保障职工、病人及家属利益，食堂饭菜价格以不高于市场价格；粮油、牛奶、饮料等其他副食品价格以不高于本县大型超市（如世纪联华超市、万客缘超市）零售价为经营准则，具体标准由乙方与甲方共同制定。饭菜质量、数量及价格，甲方有监督权利。</w:t>
      </w:r>
    </w:p>
    <w:p w14:paraId="1865AD6C">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6.6</w:t>
      </w:r>
      <w:r>
        <w:rPr>
          <w:rFonts w:hint="eastAsia" w:ascii="仿宋" w:hAnsi="仿宋" w:eastAsia="仿宋" w:cs="仿宋"/>
          <w:b/>
          <w:color w:val="auto"/>
          <w:sz w:val="24"/>
          <w:szCs w:val="24"/>
        </w:rPr>
        <w:t>质量保证</w:t>
      </w:r>
    </w:p>
    <w:p w14:paraId="22F21E5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eastAsia" w:ascii="仿宋" w:hAnsi="仿宋" w:eastAsia="仿宋" w:cs="仿宋"/>
          <w:b/>
          <w:color w:val="auto"/>
          <w:sz w:val="24"/>
          <w:szCs w:val="24"/>
        </w:rPr>
      </w:pPr>
      <w:r>
        <w:rPr>
          <w:rFonts w:hint="eastAsia" w:ascii="仿宋" w:hAnsi="仿宋" w:eastAsia="仿宋" w:cs="仿宋"/>
          <w:color w:val="auto"/>
          <w:kern w:val="2"/>
          <w:sz w:val="24"/>
          <w:szCs w:val="24"/>
          <w:lang w:val="en-US" w:eastAsia="zh-CN" w:bidi="ar-SA"/>
        </w:rPr>
        <w:t>饭菜质量好、色香味俱佳、花色品种全。生熟食分类加工、存放，严禁经营腐烂变质食品，原材料进货渠道正规，供应商证件齐全，大米符合新国标并达一级品质、食用油加工原料为非转基因质量等级一级。</w:t>
      </w:r>
    </w:p>
    <w:p w14:paraId="049C47A2">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管理</w:t>
      </w:r>
      <w:r>
        <w:rPr>
          <w:rFonts w:hint="eastAsia" w:ascii="仿宋" w:hAnsi="仿宋" w:eastAsia="仿宋" w:cs="仿宋"/>
          <w:b/>
          <w:color w:val="auto"/>
          <w:sz w:val="24"/>
          <w:szCs w:val="24"/>
        </w:rPr>
        <w:t>要求</w:t>
      </w:r>
    </w:p>
    <w:p w14:paraId="150DB6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7.1乙方应严格落实食堂承包区域内水、电、燃气等附属设施的自查自检自修（含水电燃气系统设备每周巡查维护维修、油烟管道每月清洗、可燃气体报警器的年度检测、设施维修等），有隐患及时排除，并留存相关记录备查。区域内地面保持干净整洁无油污（含区域楼道），如因乙方经营管理不善等原因造成食品、消防、人身伤害、被盗等安全事故，均由乙方承担一切责任和后果。</w:t>
      </w:r>
    </w:p>
    <w:p w14:paraId="4E8FDB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7.2明厨亮灶：乙方应接受甲方对其食品加工环节进行监控。在菜品的验收、切配、烹饪、冷食类、生食类食品加工、餐具消毒等环节，安装高清视频联网监控装置及配套设备，以便甲方对材料加工、厨具使用、厨师操作、工艺流程和卫生行为等全程进行监督。监控资料按规定保存期限为30天。</w:t>
      </w:r>
    </w:p>
    <w:p w14:paraId="1C0AD8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7.3乙方应严格执行垃圾分类、泔水处理的政策性规定，承担油污管道油污池、格栅池清理疏通等工作，所产生的费用由乙方自行承担。</w:t>
      </w:r>
    </w:p>
    <w:p w14:paraId="18BA6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7.4本食堂的《食品经营许可证》由乙方办理；乙方不得将食堂私自转让或委托他人经营，更不能利用甲方资产搞不法经营。</w:t>
      </w:r>
    </w:p>
    <w:p w14:paraId="40A12E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仿宋" w:hAnsi="仿宋" w:eastAsia="仿宋" w:cs="仿宋"/>
          <w:color w:val="auto"/>
          <w:kern w:val="2"/>
          <w:sz w:val="24"/>
          <w:szCs w:val="24"/>
          <w:lang w:val="en-US" w:eastAsia="zh-CN" w:bidi="ar-SA"/>
        </w:rPr>
        <w:t xml:space="preserve">7.5乙方负责对食堂员工进行管理、教育、培训，员工须经过基本消防知识、急救技术、突发事件应急处理培训，合格者方能上岗。 </w:t>
      </w:r>
    </w:p>
    <w:p w14:paraId="6D585EE0">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72" w:firstLineChars="196"/>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其他要求</w:t>
      </w:r>
    </w:p>
    <w:p w14:paraId="5A0CA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8.1水电费：每季结算，费用从甲方应付餐费中扣除。</w:t>
      </w:r>
    </w:p>
    <w:p w14:paraId="7C6DB18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bidi="ar-SA"/>
        </w:rPr>
        <w:t>8.2乙方对职工食堂的营业收入每月一结，开票税费由乙方自行承担</w:t>
      </w:r>
      <w:r>
        <w:rPr>
          <w:rFonts w:hint="eastAsia" w:ascii="仿宋" w:hAnsi="仿宋" w:eastAsia="仿宋" w:cs="仿宋"/>
          <w:color w:val="auto"/>
          <w:kern w:val="2"/>
          <w:sz w:val="24"/>
          <w:szCs w:val="24"/>
        </w:rPr>
        <w:t>。</w:t>
      </w:r>
    </w:p>
    <w:p w14:paraId="3BC735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8.3粮油、牛奶、饮料等其他副食品品种、品牌、价格，乙方需与甲方共同协议确定。</w:t>
      </w:r>
    </w:p>
    <w:p w14:paraId="57CC0B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8.4职工餐卡系统由甲方提供，并进行管理及费用结算。乙方应支持甲方信息系统点餐结算，若因平台使用、故障维修、更换等产生的费用，均由乙方承担。</w:t>
      </w:r>
    </w:p>
    <w:p w14:paraId="056BA2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eastAsia" w:ascii="仿宋" w:hAnsi="仿宋" w:eastAsia="仿宋" w:cs="仿宋"/>
          <w:color w:val="auto"/>
          <w:kern w:val="2"/>
          <w:sz w:val="24"/>
          <w:szCs w:val="24"/>
          <w:lang w:val="en-US" w:eastAsia="zh-CN" w:bidi="ar-SA"/>
        </w:rPr>
        <w:t>8.5承包承诺：①经营区域交由乙方使用，建筑及附属设施为甲方所有，合同期内甲方不再增加资金投入用于改造和维修设备设施。乙方须对接现场布局、流程，根据现场实际情况进行个性化装饰，可改变现场布局不可改变结构，乙方根据食堂运行需求自行采购所需的厨具、餐具等材料、物资和设施设备，要求进货渠道正规，供应商证件齐全。②乙方不得将食堂私自转让或委托他人经营，更不能利用医院资产进行非法经营，一经发现，甲方有权取消期承包资格，并给予相应处罚直至追究其法律责任；③承包到期后,若无安全事故及其他违约行为，于两周内全部清空浮产（桌、椅、灶具等），不破坏墙、地面等固定装修，经双方确认后退还履约保证金；若发生安全事故及违约行为，则在保证金中酌情或全部扣除。</w:t>
      </w:r>
    </w:p>
    <w:p w14:paraId="1776E9EA">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rPr>
        <w:t xml:space="preserve">第十条  </w:t>
      </w:r>
      <w:r>
        <w:rPr>
          <w:rFonts w:hint="eastAsia" w:ascii="仿宋" w:hAnsi="仿宋" w:eastAsia="仿宋" w:cs="仿宋"/>
          <w:b/>
          <w:color w:val="auto"/>
          <w:sz w:val="24"/>
          <w:szCs w:val="24"/>
          <w:lang w:val="en-US" w:eastAsia="zh-CN"/>
        </w:rPr>
        <w:t>乙方责任</w:t>
      </w:r>
    </w:p>
    <w:p w14:paraId="4927BB1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10.1在遵守国家的各种法律、法规、政策和甲方的规章制度的前提下自主经营，并承担一切法律责任。</w:t>
      </w:r>
    </w:p>
    <w:p w14:paraId="56BD8156">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10.2食堂要搞好卫生，做好餐具消毒记录，应达到甲方及餐饮监督部门规定的要求。医院膳食质量与安全管理小组每月对食堂进行考核，不定期抽查，考核方案详见附件《遂昌县人民医院食堂日常管理量化考核表》。</w:t>
      </w:r>
    </w:p>
    <w:p w14:paraId="7A559D1D">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10.3食品商品采购实行索证制度，并做好台账资料，填写项目完整规范，以备有关部门检查。所采购的食品均应确保食品质量安全，符合卫生要求，不得出售“三无”食品及变质食品，不准供应隔夜饭菜食物，做好食品的保鲜工作及留样备查。若因乙方提供不符合卫生要求的饭菜，造成医院员工、住院病人、陪客食物中毒，则乙方必须承担全部的法律和经济责任，甲方有权解除合同，并赔偿甲方的经济损失。</w:t>
      </w:r>
    </w:p>
    <w:p w14:paraId="51162FF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10.4乙方承包期间应做好所聘用工作人员的安全、卫生观念、服务理念等思想教育，规范操作，职工上班期间应穿工作服、戴工作帽。工作人员发生任何意外事故由乙方自行负责。聘用人员应身体健康，具有有效《健康证》和完全民事行为和能力。聘用人员的工资福利待遇由乙方支付，与甲方无关。</w:t>
      </w:r>
    </w:p>
    <w:p w14:paraId="3C5CBCCD">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kern w:val="2"/>
          <w:sz w:val="24"/>
          <w:szCs w:val="24"/>
          <w:lang w:val="en-US" w:eastAsia="zh-CN" w:bidi="ar-SA"/>
        </w:rPr>
        <w:t>10.5食堂用电、用水、防火等安全工作要求按规定执行，若有意外，乙方承担全部责任。</w:t>
      </w:r>
    </w:p>
    <w:p w14:paraId="37FCCE4C">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rPr>
        <w:t xml:space="preserve">第十一条  </w:t>
      </w:r>
      <w:r>
        <w:rPr>
          <w:rFonts w:hint="eastAsia" w:ascii="仿宋" w:hAnsi="仿宋" w:eastAsia="仿宋" w:cs="仿宋"/>
          <w:b/>
          <w:color w:val="auto"/>
          <w:sz w:val="24"/>
          <w:szCs w:val="24"/>
          <w:lang w:val="en-US" w:eastAsia="zh-CN"/>
        </w:rPr>
        <w:t>履约保证金</w:t>
      </w:r>
    </w:p>
    <w:p w14:paraId="1E45272E">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auto"/>
          <w:sz w:val="24"/>
          <w:szCs w:val="24"/>
        </w:rPr>
      </w:pPr>
      <w:r>
        <w:rPr>
          <w:rFonts w:hint="eastAsia" w:ascii="仿宋" w:hAnsi="仿宋" w:eastAsia="仿宋" w:cs="仿宋"/>
          <w:color w:val="auto"/>
          <w:kern w:val="2"/>
          <w:sz w:val="24"/>
          <w:szCs w:val="24"/>
          <w:lang w:val="en-US" w:eastAsia="zh-CN" w:bidi="ar-SA"/>
        </w:rPr>
        <w:t>11.1合同签订前，乙方应缴纳履约保证金壹拾万元整至甲方指定账户；履约保证金在承包期满，乙方清空及点清浮产（桌、椅、灶具等）、交还房屋及设施等并确认未破坏房屋主体结构、结清水电等费用、无安全事故及其他违约行为的，甲方确认后10个工作日内无息退还。</w:t>
      </w:r>
    </w:p>
    <w:p w14:paraId="41946A20">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违约终止</w:t>
      </w:r>
    </w:p>
    <w:p w14:paraId="6246051E">
      <w:pPr>
        <w:pStyle w:val="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有下列情况之一者，甲方有权终止乙方承包经营权，没收乙方所交纳的履约保证金和未到期的经营承包金额：</w:t>
      </w:r>
    </w:p>
    <w:p w14:paraId="0FFDB00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12.1经营期内中途转包；</w:t>
      </w:r>
    </w:p>
    <w:p w14:paraId="26C8EB8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12.2乙方单方面突然终止合同；</w:t>
      </w:r>
    </w:p>
    <w:p w14:paraId="11ACA800">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12.3乙方因经营不善或暴利而使广大员工反响很大，经甲方干预无效，从而影响正常工作的；</w:t>
      </w:r>
    </w:p>
    <w:p w14:paraId="7F65D2B5">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12.4乙方经常违规操作，又不及时纠正，被上级部门勒令停业整顿的；</w:t>
      </w:r>
    </w:p>
    <w:p w14:paraId="475B7B66">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12.5发生责任安全事故的；</w:t>
      </w:r>
    </w:p>
    <w:p w14:paraId="62CB3EAE">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ascii="仿宋" w:hAnsi="仿宋" w:eastAsia="仿宋" w:cs="仿宋"/>
          <w:color w:val="auto"/>
          <w:kern w:val="2"/>
          <w:sz w:val="24"/>
          <w:szCs w:val="24"/>
          <w:lang w:val="en-US" w:eastAsia="zh-CN" w:bidi="ar-SA"/>
        </w:rPr>
        <w:t>12.6出现《遂昌县人民医院食堂日常管理量化考核表》提到的情况。</w:t>
      </w:r>
    </w:p>
    <w:p w14:paraId="379AC5C1">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合同的转让和分包</w:t>
      </w:r>
    </w:p>
    <w:p w14:paraId="47A15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 乙方不得擅自转让</w:t>
      </w:r>
      <w:r>
        <w:rPr>
          <w:rFonts w:hint="eastAsia" w:ascii="仿宋" w:hAnsi="仿宋" w:eastAsia="仿宋" w:cs="仿宋"/>
          <w:color w:val="auto"/>
          <w:sz w:val="24"/>
          <w:szCs w:val="24"/>
          <w:lang w:val="en-US" w:eastAsia="zh-CN"/>
        </w:rPr>
        <w:t>和分包</w:t>
      </w:r>
      <w:r>
        <w:rPr>
          <w:rFonts w:hint="eastAsia" w:ascii="仿宋" w:hAnsi="仿宋" w:eastAsia="仿宋" w:cs="仿宋"/>
          <w:color w:val="auto"/>
          <w:sz w:val="24"/>
          <w:szCs w:val="24"/>
        </w:rPr>
        <w:t>其应履行的合同义务。</w:t>
      </w:r>
    </w:p>
    <w:p w14:paraId="6152ADFA">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第十四条  不可抗力</w:t>
      </w:r>
    </w:p>
    <w:p w14:paraId="3BE93F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14.1 如果双方中任</w:t>
      </w:r>
      <w:r>
        <w:rPr>
          <w:rFonts w:hint="eastAsia" w:ascii="仿宋" w:hAnsi="仿宋" w:eastAsia="仿宋" w:cs="仿宋"/>
          <w:color w:val="auto"/>
          <w:spacing w:val="-2"/>
          <w:sz w:val="24"/>
          <w:szCs w:val="24"/>
        </w:rPr>
        <w:t>何一方遭遇法律规定的不可抗力，致使合同履行受阻时，履行合同的期限应予</w:t>
      </w:r>
      <w:r>
        <w:rPr>
          <w:rFonts w:hint="eastAsia" w:ascii="仿宋" w:hAnsi="仿宋" w:eastAsia="仿宋" w:cs="仿宋"/>
          <w:color w:val="auto"/>
          <w:sz w:val="24"/>
          <w:szCs w:val="24"/>
        </w:rPr>
        <w:t>延长，延长的期限应相当于不可抗力所影响的时间。</w:t>
      </w:r>
    </w:p>
    <w:p w14:paraId="7E31A4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14.2 受事故影响的一</w:t>
      </w:r>
      <w:r>
        <w:rPr>
          <w:rFonts w:hint="eastAsia" w:ascii="仿宋" w:hAnsi="仿宋" w:eastAsia="仿宋" w:cs="仿宋"/>
          <w:color w:val="auto"/>
          <w:spacing w:val="-2"/>
          <w:sz w:val="24"/>
          <w:szCs w:val="24"/>
        </w:rPr>
        <w:t>方应在不可抗力的事故发生后尽快书面形式通知另一方，并尽快将有关部门</w:t>
      </w:r>
      <w:r>
        <w:rPr>
          <w:rFonts w:hint="eastAsia" w:ascii="仿宋" w:hAnsi="仿宋" w:eastAsia="仿宋" w:cs="仿宋"/>
          <w:color w:val="auto"/>
          <w:sz w:val="24"/>
          <w:szCs w:val="24"/>
        </w:rPr>
        <w:t>出具的证明文件送达另一方。</w:t>
      </w:r>
    </w:p>
    <w:p w14:paraId="5182FB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14.3 不可抗力使合同的某些内容有变更必要的， 双方应通过协商达成进一步履行合同的协议，因不可抗力致使合同不能履行的，合同终止。</w:t>
      </w:r>
    </w:p>
    <w:p w14:paraId="2904EEC8">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第十五条  争议的解决</w:t>
      </w:r>
    </w:p>
    <w:p w14:paraId="390C66B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ascii="仿宋" w:hAnsi="仿宋" w:eastAsia="仿宋" w:cs="仿宋"/>
          <w:color w:val="auto"/>
          <w:sz w:val="24"/>
          <w:szCs w:val="24"/>
        </w:rPr>
      </w:pPr>
      <w:r>
        <w:rPr>
          <w:rFonts w:hint="eastAsia" w:ascii="仿宋" w:hAnsi="仿宋" w:eastAsia="仿宋" w:cs="仿宋"/>
          <w:color w:val="auto"/>
          <w:spacing w:val="-4"/>
          <w:sz w:val="24"/>
          <w:szCs w:val="24"/>
        </w:rPr>
        <w:t xml:space="preserve">15.1 </w:t>
      </w:r>
      <w:r>
        <w:rPr>
          <w:rFonts w:hint="eastAsia" w:ascii="仿宋" w:hAnsi="仿宋" w:eastAsia="仿宋" w:cs="仿宋"/>
          <w:color w:val="auto"/>
          <w:sz w:val="24"/>
          <w:szCs w:val="24"/>
        </w:rPr>
        <w:t>因履行本合同</w:t>
      </w:r>
      <w:r>
        <w:rPr>
          <w:rFonts w:hint="eastAsia" w:ascii="仿宋" w:hAnsi="仿宋" w:eastAsia="仿宋" w:cs="仿宋"/>
          <w:color w:val="auto"/>
          <w:spacing w:val="-2"/>
          <w:sz w:val="24"/>
          <w:szCs w:val="24"/>
        </w:rPr>
        <w:t>引起的或与本合同有关的争议，甲、乙双方应首先通过友好协商解决，如果协</w:t>
      </w:r>
      <w:r>
        <w:rPr>
          <w:rFonts w:hint="eastAsia" w:ascii="仿宋" w:hAnsi="仿宋" w:eastAsia="仿宋" w:cs="仿宋"/>
          <w:color w:val="auto"/>
          <w:sz w:val="24"/>
          <w:szCs w:val="24"/>
        </w:rPr>
        <w:t>商不能解决争议，则向甲方所在地有管辖权的人民法院提起诉讼；</w:t>
      </w:r>
    </w:p>
    <w:p w14:paraId="2B382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 在诉讼期间，本合同应继续履行。</w:t>
      </w:r>
    </w:p>
    <w:p w14:paraId="23C96639">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第十六条  合同生效及其他</w:t>
      </w:r>
    </w:p>
    <w:p w14:paraId="00634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16.1 合同经双方法定代表人或被委托人签字并加盖单位公章。</w:t>
      </w:r>
    </w:p>
    <w:p w14:paraId="1594C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16.</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 本合同自签订之日起生效。</w:t>
      </w:r>
    </w:p>
    <w:p w14:paraId="6BF14A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 xml:space="preserve"> 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份，甲乙双方各执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份，一份交采购代理机构存档。</w:t>
      </w:r>
    </w:p>
    <w:p w14:paraId="1C95C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16.</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 本合同应按照中华人民共和国的现行法律进行解释。</w:t>
      </w:r>
    </w:p>
    <w:p w14:paraId="01ABF526">
      <w:pPr>
        <w:pStyle w:val="7"/>
        <w:rPr>
          <w:color w:val="auto"/>
        </w:rPr>
      </w:pPr>
    </w:p>
    <w:tbl>
      <w:tblPr>
        <w:tblStyle w:val="23"/>
        <w:tblW w:w="9755" w:type="dxa"/>
        <w:jc w:val="center"/>
        <w:tblLayout w:type="fixed"/>
        <w:tblCellMar>
          <w:top w:w="0" w:type="dxa"/>
          <w:left w:w="108" w:type="dxa"/>
          <w:bottom w:w="0" w:type="dxa"/>
          <w:right w:w="108" w:type="dxa"/>
        </w:tblCellMar>
      </w:tblPr>
      <w:tblGrid>
        <w:gridCol w:w="4736"/>
        <w:gridCol w:w="5019"/>
      </w:tblGrid>
      <w:tr w14:paraId="4665BD8F">
        <w:tblPrEx>
          <w:tblCellMar>
            <w:top w:w="0" w:type="dxa"/>
            <w:left w:w="108" w:type="dxa"/>
            <w:bottom w:w="0" w:type="dxa"/>
            <w:right w:w="108" w:type="dxa"/>
          </w:tblCellMar>
        </w:tblPrEx>
        <w:trPr>
          <w:trHeight w:val="504" w:hRule="atLeast"/>
          <w:jc w:val="center"/>
        </w:trPr>
        <w:tc>
          <w:tcPr>
            <w:tcW w:w="4736" w:type="dxa"/>
            <w:vAlign w:val="center"/>
          </w:tcPr>
          <w:p w14:paraId="4146896B">
            <w:pPr>
              <w:widowControl/>
              <w:ind w:firstLine="420"/>
              <w:rPr>
                <w:rFonts w:ascii="仿宋" w:hAnsi="仿宋" w:eastAsia="仿宋" w:cs="仿宋"/>
                <w:color w:val="auto"/>
                <w:sz w:val="24"/>
                <w:u w:val="single"/>
              </w:rPr>
            </w:pPr>
            <w:r>
              <w:rPr>
                <w:rFonts w:hint="eastAsia" w:ascii="仿宋" w:hAnsi="仿宋" w:eastAsia="仿宋" w:cs="仿宋"/>
                <w:color w:val="auto"/>
                <w:sz w:val="24"/>
              </w:rPr>
              <w:t>甲方（盖单位章）：</w:t>
            </w:r>
            <w:r>
              <w:rPr>
                <w:rFonts w:hint="eastAsia" w:ascii="仿宋" w:hAnsi="仿宋" w:eastAsia="仿宋" w:cs="仿宋"/>
                <w:color w:val="auto"/>
                <w:sz w:val="24"/>
                <w:u w:val="single"/>
              </w:rPr>
              <w:t xml:space="preserve">                    </w:t>
            </w:r>
          </w:p>
        </w:tc>
        <w:tc>
          <w:tcPr>
            <w:tcW w:w="5019" w:type="dxa"/>
            <w:vAlign w:val="center"/>
          </w:tcPr>
          <w:p w14:paraId="4A129833">
            <w:pPr>
              <w:widowControl/>
              <w:ind w:firstLine="420"/>
              <w:rPr>
                <w:rFonts w:ascii="仿宋" w:hAnsi="仿宋" w:eastAsia="仿宋" w:cs="仿宋"/>
                <w:color w:val="auto"/>
                <w:sz w:val="24"/>
                <w:u w:val="single"/>
              </w:rPr>
            </w:pPr>
            <w:r>
              <w:rPr>
                <w:rFonts w:hint="eastAsia" w:ascii="仿宋" w:hAnsi="仿宋" w:eastAsia="仿宋" w:cs="仿宋"/>
                <w:color w:val="auto"/>
                <w:sz w:val="24"/>
              </w:rPr>
              <w:t>乙方（盖单位章）：</w:t>
            </w:r>
            <w:r>
              <w:rPr>
                <w:rFonts w:hint="eastAsia" w:ascii="仿宋" w:hAnsi="仿宋" w:eastAsia="仿宋" w:cs="仿宋"/>
                <w:color w:val="auto"/>
                <w:sz w:val="24"/>
                <w:u w:val="single"/>
              </w:rPr>
              <w:t xml:space="preserve">                     </w:t>
            </w:r>
          </w:p>
        </w:tc>
      </w:tr>
      <w:tr w14:paraId="20BB4EE7">
        <w:tblPrEx>
          <w:tblCellMar>
            <w:top w:w="0" w:type="dxa"/>
            <w:left w:w="108" w:type="dxa"/>
            <w:bottom w:w="0" w:type="dxa"/>
            <w:right w:w="108" w:type="dxa"/>
          </w:tblCellMar>
        </w:tblPrEx>
        <w:trPr>
          <w:trHeight w:val="504" w:hRule="atLeast"/>
          <w:jc w:val="center"/>
        </w:trPr>
        <w:tc>
          <w:tcPr>
            <w:tcW w:w="4736" w:type="dxa"/>
            <w:vAlign w:val="center"/>
          </w:tcPr>
          <w:p w14:paraId="4825F968">
            <w:pPr>
              <w:widowControl/>
              <w:ind w:firstLine="420"/>
              <w:rPr>
                <w:rFonts w:ascii="仿宋" w:hAnsi="仿宋" w:eastAsia="仿宋" w:cs="仿宋"/>
                <w:color w:val="auto"/>
                <w:sz w:val="24"/>
                <w:u w:val="single"/>
              </w:rPr>
            </w:pPr>
            <w:r>
              <w:rPr>
                <w:rFonts w:hint="eastAsia" w:ascii="仿宋" w:hAnsi="仿宋" w:eastAsia="仿宋" w:cs="仿宋"/>
                <w:color w:val="auto"/>
                <w:sz w:val="24"/>
              </w:rPr>
              <w:t>法定代表人（签字或盖章）：</w:t>
            </w:r>
            <w:r>
              <w:rPr>
                <w:rFonts w:hint="eastAsia" w:ascii="仿宋" w:hAnsi="仿宋" w:eastAsia="仿宋" w:cs="仿宋"/>
                <w:color w:val="auto"/>
                <w:sz w:val="24"/>
                <w:u w:val="single"/>
              </w:rPr>
              <w:t xml:space="preserve">            </w:t>
            </w:r>
          </w:p>
        </w:tc>
        <w:tc>
          <w:tcPr>
            <w:tcW w:w="5019" w:type="dxa"/>
            <w:vAlign w:val="center"/>
          </w:tcPr>
          <w:p w14:paraId="73DDD82E">
            <w:pPr>
              <w:widowControl/>
              <w:ind w:firstLine="420"/>
              <w:rPr>
                <w:rFonts w:ascii="仿宋" w:hAnsi="仿宋" w:eastAsia="仿宋" w:cs="仿宋"/>
                <w:color w:val="auto"/>
                <w:sz w:val="24"/>
                <w:u w:val="single"/>
              </w:rPr>
            </w:pPr>
            <w:r>
              <w:rPr>
                <w:rFonts w:hint="eastAsia" w:ascii="仿宋" w:hAnsi="仿宋" w:eastAsia="仿宋" w:cs="仿宋"/>
                <w:color w:val="auto"/>
                <w:sz w:val="24"/>
              </w:rPr>
              <w:t>法定代表人（签字或盖章）：</w:t>
            </w:r>
            <w:r>
              <w:rPr>
                <w:rFonts w:hint="eastAsia" w:ascii="仿宋" w:hAnsi="仿宋" w:eastAsia="仿宋" w:cs="仿宋"/>
                <w:color w:val="auto"/>
                <w:sz w:val="24"/>
                <w:u w:val="single"/>
              </w:rPr>
              <w:t xml:space="preserve">             </w:t>
            </w:r>
          </w:p>
        </w:tc>
      </w:tr>
      <w:tr w14:paraId="7E8C4640">
        <w:tblPrEx>
          <w:tblCellMar>
            <w:top w:w="0" w:type="dxa"/>
            <w:left w:w="108" w:type="dxa"/>
            <w:bottom w:w="0" w:type="dxa"/>
            <w:right w:w="108" w:type="dxa"/>
          </w:tblCellMar>
        </w:tblPrEx>
        <w:trPr>
          <w:trHeight w:val="504" w:hRule="atLeast"/>
          <w:jc w:val="center"/>
        </w:trPr>
        <w:tc>
          <w:tcPr>
            <w:tcW w:w="4736" w:type="dxa"/>
            <w:vAlign w:val="center"/>
          </w:tcPr>
          <w:p w14:paraId="4CCEC6DD">
            <w:pPr>
              <w:widowControl/>
              <w:ind w:firstLine="420"/>
              <w:rPr>
                <w:rFonts w:ascii="仿宋" w:hAnsi="仿宋" w:eastAsia="仿宋" w:cs="仿宋"/>
                <w:color w:val="auto"/>
                <w:sz w:val="24"/>
              </w:rPr>
            </w:pPr>
            <w:r>
              <w:rPr>
                <w:rFonts w:hint="eastAsia" w:ascii="仿宋" w:hAnsi="仿宋" w:eastAsia="仿宋" w:cs="仿宋"/>
                <w:color w:val="auto"/>
                <w:sz w:val="24"/>
              </w:rPr>
              <w:t>授权代表（签字或盖章）：</w:t>
            </w:r>
            <w:r>
              <w:rPr>
                <w:rFonts w:hint="eastAsia" w:ascii="仿宋" w:hAnsi="仿宋" w:eastAsia="仿宋" w:cs="仿宋"/>
                <w:color w:val="auto"/>
                <w:sz w:val="24"/>
                <w:u w:val="single"/>
              </w:rPr>
              <w:t xml:space="preserve">              </w:t>
            </w:r>
          </w:p>
        </w:tc>
        <w:tc>
          <w:tcPr>
            <w:tcW w:w="5019" w:type="dxa"/>
            <w:vAlign w:val="center"/>
          </w:tcPr>
          <w:p w14:paraId="33AFE90C">
            <w:pPr>
              <w:widowControl/>
              <w:ind w:firstLine="420"/>
              <w:rPr>
                <w:rFonts w:ascii="仿宋" w:hAnsi="仿宋" w:eastAsia="仿宋" w:cs="仿宋"/>
                <w:color w:val="auto"/>
                <w:sz w:val="24"/>
                <w:u w:val="single"/>
              </w:rPr>
            </w:pPr>
            <w:r>
              <w:rPr>
                <w:rFonts w:hint="eastAsia" w:ascii="仿宋" w:hAnsi="仿宋" w:eastAsia="仿宋" w:cs="仿宋"/>
                <w:color w:val="auto"/>
                <w:sz w:val="24"/>
              </w:rPr>
              <w:t>授权代表（签字或盖章）：</w:t>
            </w:r>
            <w:r>
              <w:rPr>
                <w:rFonts w:hint="eastAsia" w:ascii="仿宋" w:hAnsi="仿宋" w:eastAsia="仿宋" w:cs="仿宋"/>
                <w:color w:val="auto"/>
                <w:sz w:val="24"/>
                <w:u w:val="single"/>
              </w:rPr>
              <w:t xml:space="preserve">               </w:t>
            </w:r>
          </w:p>
        </w:tc>
      </w:tr>
      <w:tr w14:paraId="6F06DE36">
        <w:tblPrEx>
          <w:tblCellMar>
            <w:top w:w="0" w:type="dxa"/>
            <w:left w:w="108" w:type="dxa"/>
            <w:bottom w:w="0" w:type="dxa"/>
            <w:right w:w="108" w:type="dxa"/>
          </w:tblCellMar>
        </w:tblPrEx>
        <w:trPr>
          <w:trHeight w:val="504" w:hRule="atLeast"/>
          <w:jc w:val="center"/>
        </w:trPr>
        <w:tc>
          <w:tcPr>
            <w:tcW w:w="4736" w:type="dxa"/>
            <w:vAlign w:val="center"/>
          </w:tcPr>
          <w:p w14:paraId="666FFDBC">
            <w:pPr>
              <w:widowControl/>
              <w:ind w:firstLine="420"/>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tc>
        <w:tc>
          <w:tcPr>
            <w:tcW w:w="5019" w:type="dxa"/>
            <w:vAlign w:val="center"/>
          </w:tcPr>
          <w:p w14:paraId="7165F221">
            <w:pPr>
              <w:widowControl/>
              <w:ind w:firstLine="420"/>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tc>
      </w:tr>
      <w:tr w14:paraId="5B54F9C2">
        <w:tblPrEx>
          <w:tblCellMar>
            <w:top w:w="0" w:type="dxa"/>
            <w:left w:w="108" w:type="dxa"/>
            <w:bottom w:w="0" w:type="dxa"/>
            <w:right w:w="108" w:type="dxa"/>
          </w:tblCellMar>
        </w:tblPrEx>
        <w:trPr>
          <w:trHeight w:val="504" w:hRule="atLeast"/>
          <w:jc w:val="center"/>
        </w:trPr>
        <w:tc>
          <w:tcPr>
            <w:tcW w:w="4736" w:type="dxa"/>
            <w:vAlign w:val="center"/>
          </w:tcPr>
          <w:p w14:paraId="7587B221">
            <w:pPr>
              <w:widowControl/>
              <w:ind w:firstLine="420"/>
              <w:rPr>
                <w:rFonts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tc>
        <w:tc>
          <w:tcPr>
            <w:tcW w:w="5019" w:type="dxa"/>
            <w:vAlign w:val="center"/>
          </w:tcPr>
          <w:p w14:paraId="71C98735">
            <w:pPr>
              <w:widowControl/>
              <w:ind w:firstLine="420"/>
              <w:rPr>
                <w:rFonts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tc>
      </w:tr>
      <w:tr w14:paraId="0C0BB47B">
        <w:tblPrEx>
          <w:tblCellMar>
            <w:top w:w="0" w:type="dxa"/>
            <w:left w:w="108" w:type="dxa"/>
            <w:bottom w:w="0" w:type="dxa"/>
            <w:right w:w="108" w:type="dxa"/>
          </w:tblCellMar>
        </w:tblPrEx>
        <w:trPr>
          <w:trHeight w:val="504" w:hRule="atLeast"/>
          <w:jc w:val="center"/>
        </w:trPr>
        <w:tc>
          <w:tcPr>
            <w:tcW w:w="4736" w:type="dxa"/>
            <w:vAlign w:val="center"/>
          </w:tcPr>
          <w:p w14:paraId="65FE6AE8">
            <w:pPr>
              <w:widowControl/>
              <w:ind w:firstLine="420"/>
              <w:rPr>
                <w:rFonts w:ascii="仿宋" w:hAnsi="仿宋" w:eastAsia="仿宋" w:cs="仿宋"/>
                <w:color w:val="auto"/>
                <w:sz w:val="24"/>
              </w:rPr>
            </w:pPr>
            <w:r>
              <w:rPr>
                <w:rFonts w:hint="eastAsia" w:ascii="仿宋" w:hAnsi="仿宋" w:eastAsia="仿宋" w:cs="仿宋"/>
                <w:color w:val="auto"/>
                <w:sz w:val="24"/>
              </w:rPr>
              <w:t>电　　话：</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tc>
        <w:tc>
          <w:tcPr>
            <w:tcW w:w="5019" w:type="dxa"/>
            <w:vAlign w:val="center"/>
          </w:tcPr>
          <w:p w14:paraId="6C58218B">
            <w:pPr>
              <w:widowControl/>
              <w:ind w:firstLine="420"/>
              <w:rPr>
                <w:rFonts w:ascii="仿宋" w:hAnsi="仿宋" w:eastAsia="仿宋" w:cs="仿宋"/>
                <w:color w:val="auto"/>
                <w:sz w:val="24"/>
              </w:rPr>
            </w:pPr>
            <w:r>
              <w:rPr>
                <w:rFonts w:hint="eastAsia" w:ascii="仿宋" w:hAnsi="仿宋" w:eastAsia="仿宋" w:cs="仿宋"/>
                <w:color w:val="auto"/>
                <w:sz w:val="24"/>
              </w:rPr>
              <w:t>电　　话：</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tc>
      </w:tr>
      <w:tr w14:paraId="70C966E8">
        <w:tblPrEx>
          <w:tblCellMar>
            <w:top w:w="0" w:type="dxa"/>
            <w:left w:w="108" w:type="dxa"/>
            <w:bottom w:w="0" w:type="dxa"/>
            <w:right w:w="108" w:type="dxa"/>
          </w:tblCellMar>
        </w:tblPrEx>
        <w:trPr>
          <w:trHeight w:val="504" w:hRule="atLeast"/>
          <w:jc w:val="center"/>
        </w:trPr>
        <w:tc>
          <w:tcPr>
            <w:tcW w:w="4736" w:type="dxa"/>
            <w:vAlign w:val="center"/>
          </w:tcPr>
          <w:p w14:paraId="38178436">
            <w:pPr>
              <w:widowControl/>
              <w:ind w:firstLine="420"/>
              <w:rPr>
                <w:rFonts w:ascii="仿宋" w:hAnsi="仿宋" w:eastAsia="仿宋" w:cs="仿宋"/>
                <w:color w:val="auto"/>
                <w:sz w:val="24"/>
                <w:u w:val="single"/>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p>
        </w:tc>
        <w:tc>
          <w:tcPr>
            <w:tcW w:w="5019" w:type="dxa"/>
            <w:vAlign w:val="center"/>
          </w:tcPr>
          <w:p w14:paraId="7937E7ED">
            <w:pPr>
              <w:widowControl/>
              <w:ind w:firstLine="420"/>
              <w:rPr>
                <w:rFonts w:ascii="仿宋" w:hAnsi="仿宋" w:eastAsia="仿宋" w:cs="仿宋"/>
                <w:color w:val="auto"/>
                <w:sz w:val="24"/>
                <w:u w:val="single"/>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p>
        </w:tc>
      </w:tr>
      <w:tr w14:paraId="3E6DC33B">
        <w:tblPrEx>
          <w:tblCellMar>
            <w:top w:w="0" w:type="dxa"/>
            <w:left w:w="108" w:type="dxa"/>
            <w:bottom w:w="0" w:type="dxa"/>
            <w:right w:w="108" w:type="dxa"/>
          </w:tblCellMar>
        </w:tblPrEx>
        <w:trPr>
          <w:trHeight w:val="504" w:hRule="atLeast"/>
          <w:jc w:val="center"/>
        </w:trPr>
        <w:tc>
          <w:tcPr>
            <w:tcW w:w="4736" w:type="dxa"/>
            <w:vAlign w:val="center"/>
          </w:tcPr>
          <w:p w14:paraId="797DBD33">
            <w:pPr>
              <w:widowControl/>
              <w:ind w:firstLine="420"/>
              <w:rPr>
                <w:rFonts w:ascii="仿宋" w:hAnsi="仿宋" w:eastAsia="仿宋" w:cs="仿宋"/>
                <w:color w:val="auto"/>
                <w:sz w:val="24"/>
                <w:u w:val="single"/>
              </w:rPr>
            </w:pPr>
            <w:r>
              <w:rPr>
                <w:rFonts w:hint="eastAsia" w:ascii="仿宋" w:hAnsi="仿宋" w:eastAsia="仿宋" w:cs="仿宋"/>
                <w:color w:val="auto"/>
                <w:sz w:val="24"/>
              </w:rPr>
              <w:t>账　　号：</w:t>
            </w:r>
            <w:r>
              <w:rPr>
                <w:rFonts w:hint="eastAsia" w:ascii="仿宋" w:hAnsi="仿宋" w:eastAsia="仿宋" w:cs="仿宋"/>
                <w:color w:val="auto"/>
                <w:sz w:val="24"/>
                <w:u w:val="single"/>
              </w:rPr>
              <w:t xml:space="preserve">                           </w:t>
            </w:r>
          </w:p>
        </w:tc>
        <w:tc>
          <w:tcPr>
            <w:tcW w:w="5019" w:type="dxa"/>
            <w:vAlign w:val="center"/>
          </w:tcPr>
          <w:p w14:paraId="67D05585">
            <w:pPr>
              <w:widowControl/>
              <w:ind w:firstLine="420"/>
              <w:rPr>
                <w:rFonts w:ascii="仿宋" w:hAnsi="仿宋" w:eastAsia="仿宋" w:cs="仿宋"/>
                <w:color w:val="auto"/>
                <w:sz w:val="24"/>
                <w:u w:val="single"/>
              </w:rPr>
            </w:pPr>
            <w:r>
              <w:rPr>
                <w:rFonts w:hint="eastAsia" w:ascii="仿宋" w:hAnsi="仿宋" w:eastAsia="仿宋" w:cs="仿宋"/>
                <w:color w:val="auto"/>
                <w:sz w:val="24"/>
              </w:rPr>
              <w:t>账　　号：</w:t>
            </w:r>
            <w:r>
              <w:rPr>
                <w:rFonts w:hint="eastAsia" w:ascii="仿宋" w:hAnsi="仿宋" w:eastAsia="仿宋" w:cs="仿宋"/>
                <w:color w:val="auto"/>
                <w:sz w:val="24"/>
                <w:u w:val="single"/>
              </w:rPr>
              <w:t xml:space="preserve">                            </w:t>
            </w:r>
          </w:p>
        </w:tc>
      </w:tr>
      <w:tr w14:paraId="022DCFF3">
        <w:tblPrEx>
          <w:tblCellMar>
            <w:top w:w="0" w:type="dxa"/>
            <w:left w:w="108" w:type="dxa"/>
            <w:bottom w:w="0" w:type="dxa"/>
            <w:right w:w="108" w:type="dxa"/>
          </w:tblCellMar>
        </w:tblPrEx>
        <w:trPr>
          <w:trHeight w:val="504" w:hRule="atLeast"/>
          <w:jc w:val="center"/>
        </w:trPr>
        <w:tc>
          <w:tcPr>
            <w:tcW w:w="4736" w:type="dxa"/>
            <w:vAlign w:val="center"/>
          </w:tcPr>
          <w:p w14:paraId="13E78833">
            <w:pPr>
              <w:widowControl/>
              <w:ind w:firstLine="420"/>
              <w:rPr>
                <w:rFonts w:ascii="仿宋" w:hAnsi="仿宋" w:eastAsia="仿宋" w:cs="仿宋"/>
                <w:color w:val="auto"/>
                <w:sz w:val="24"/>
              </w:rPr>
            </w:pPr>
            <w:r>
              <w:rPr>
                <w:rFonts w:hint="eastAsia" w:ascii="仿宋" w:hAnsi="仿宋" w:eastAsia="仿宋" w:cs="仿宋"/>
                <w:color w:val="auto"/>
                <w:sz w:val="24"/>
              </w:rPr>
              <w:t>签订时间：      年　 月　 日</w:t>
            </w:r>
          </w:p>
        </w:tc>
        <w:tc>
          <w:tcPr>
            <w:tcW w:w="5019" w:type="dxa"/>
            <w:vAlign w:val="center"/>
          </w:tcPr>
          <w:p w14:paraId="3460D73B">
            <w:pPr>
              <w:widowControl/>
              <w:ind w:firstLine="420"/>
              <w:rPr>
                <w:rFonts w:ascii="仿宋" w:hAnsi="仿宋" w:eastAsia="仿宋" w:cs="仿宋"/>
                <w:color w:val="auto"/>
                <w:sz w:val="24"/>
              </w:rPr>
            </w:pPr>
            <w:r>
              <w:rPr>
                <w:rFonts w:hint="eastAsia" w:ascii="仿宋" w:hAnsi="仿宋" w:eastAsia="仿宋" w:cs="仿宋"/>
                <w:color w:val="auto"/>
                <w:sz w:val="24"/>
              </w:rPr>
              <w:t>签订时间：      年 　 月　 日</w:t>
            </w:r>
          </w:p>
        </w:tc>
      </w:tr>
    </w:tbl>
    <w:p w14:paraId="594E45C2">
      <w:pPr>
        <w:widowControl/>
        <w:spacing w:line="341" w:lineRule="auto"/>
        <w:jc w:val="left"/>
        <w:rPr>
          <w:rFonts w:hint="eastAsia" w:ascii="仿宋" w:hAnsi="仿宋" w:eastAsia="仿宋" w:cs="仿宋"/>
          <w:b/>
          <w:color w:val="auto"/>
          <w:kern w:val="0"/>
          <w:sz w:val="28"/>
          <w:szCs w:val="28"/>
        </w:rPr>
      </w:pPr>
    </w:p>
    <w:p w14:paraId="1C39604A">
      <w:pPr>
        <w:widowControl/>
        <w:spacing w:line="341" w:lineRule="auto"/>
        <w:jc w:val="left"/>
        <w:rPr>
          <w:rFonts w:hint="eastAsia" w:ascii="仿宋" w:hAnsi="仿宋" w:eastAsia="仿宋" w:cs="仿宋"/>
          <w:b/>
          <w:color w:val="auto"/>
          <w:kern w:val="0"/>
          <w:sz w:val="28"/>
          <w:szCs w:val="28"/>
        </w:rPr>
      </w:pPr>
    </w:p>
    <w:p w14:paraId="328F44C4">
      <w:pPr>
        <w:widowControl/>
        <w:spacing w:line="341" w:lineRule="auto"/>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注：本合同仅作示范文本，具体以双方签订的正式合同为准，合同内容不得违背本招标文件实质性要求。</w:t>
      </w:r>
    </w:p>
    <w:p w14:paraId="3D4DE27B">
      <w:pPr>
        <w:pStyle w:val="5"/>
        <w:pageBreakBefore/>
        <w:spacing w:line="560" w:lineRule="exact"/>
        <w:rPr>
          <w:rFonts w:ascii="仿宋" w:hAnsi="仿宋" w:eastAsia="仿宋" w:cs="仿宋"/>
          <w:color w:val="auto"/>
        </w:rPr>
      </w:pPr>
      <w:bookmarkStart w:id="139" w:name="_Toc24462"/>
      <w:bookmarkStart w:id="140" w:name="_Toc5207"/>
      <w:r>
        <w:rPr>
          <w:rFonts w:hint="eastAsia" w:ascii="仿宋" w:hAnsi="仿宋" w:eastAsia="仿宋" w:cs="仿宋"/>
          <w:color w:val="auto"/>
        </w:rPr>
        <w:t>第五章  投标相关文件格式</w:t>
      </w:r>
      <w:bookmarkEnd w:id="138"/>
      <w:bookmarkEnd w:id="139"/>
      <w:bookmarkEnd w:id="140"/>
      <w:bookmarkStart w:id="141" w:name="_Toc15805942"/>
    </w:p>
    <w:p w14:paraId="6FF659E7">
      <w:pPr>
        <w:rPr>
          <w:rFonts w:ascii="仿宋" w:hAnsi="仿宋" w:eastAsia="仿宋" w:cs="仿宋"/>
          <w:color w:val="auto"/>
        </w:rPr>
      </w:pPr>
    </w:p>
    <w:p w14:paraId="58E3EF39">
      <w:pPr>
        <w:pStyle w:val="6"/>
        <w:spacing w:before="240" w:after="240"/>
        <w:ind w:firstLine="0" w:firstLineChars="0"/>
        <w:jc w:val="center"/>
        <w:rPr>
          <w:rFonts w:ascii="仿宋" w:hAnsi="仿宋" w:eastAsia="仿宋" w:cs="仿宋"/>
          <w:color w:val="auto"/>
          <w:sz w:val="44"/>
          <w:szCs w:val="44"/>
        </w:rPr>
      </w:pPr>
      <w:bookmarkStart w:id="142" w:name="_Toc16402"/>
      <w:bookmarkStart w:id="143" w:name="_Toc28330"/>
      <w:bookmarkStart w:id="144" w:name="_Toc493956051"/>
      <w:r>
        <w:rPr>
          <w:rFonts w:hint="eastAsia" w:ascii="仿宋" w:hAnsi="仿宋" w:eastAsia="仿宋" w:cs="仿宋"/>
          <w:color w:val="auto"/>
          <w:sz w:val="44"/>
          <w:szCs w:val="44"/>
        </w:rPr>
        <w:t>一  资格审查文件格式</w:t>
      </w:r>
      <w:bookmarkEnd w:id="142"/>
      <w:bookmarkEnd w:id="143"/>
      <w:bookmarkEnd w:id="144"/>
    </w:p>
    <w:p w14:paraId="3B5D44BC">
      <w:pPr>
        <w:pStyle w:val="6"/>
        <w:ind w:firstLine="0" w:firstLineChars="0"/>
        <w:jc w:val="center"/>
        <w:rPr>
          <w:rFonts w:ascii="仿宋" w:hAnsi="仿宋" w:eastAsia="仿宋" w:cs="仿宋"/>
          <w:color w:val="auto"/>
          <w:spacing w:val="6"/>
        </w:rPr>
      </w:pPr>
      <w:bookmarkStart w:id="145" w:name="_Toc22309"/>
      <w:bookmarkStart w:id="146" w:name="_Toc3979"/>
      <w:bookmarkStart w:id="147" w:name="_Toc23702"/>
      <w:bookmarkStart w:id="148" w:name="_Toc8493"/>
      <w:bookmarkStart w:id="149" w:name="_Toc1604"/>
      <w:bookmarkStart w:id="150" w:name="_Toc24172"/>
      <w:bookmarkStart w:id="151" w:name="_Toc20866"/>
      <w:bookmarkStart w:id="152" w:name="_Toc32044"/>
      <w:bookmarkStart w:id="153" w:name="_Toc17498"/>
      <w:bookmarkStart w:id="154" w:name="_Toc16788"/>
      <w:bookmarkStart w:id="155" w:name="_Toc6191"/>
      <w:bookmarkStart w:id="156" w:name="_Toc450893976"/>
      <w:bookmarkStart w:id="157" w:name="_Toc452968820"/>
      <w:bookmarkStart w:id="158" w:name="_Toc510162947"/>
      <w:bookmarkStart w:id="159" w:name="_Toc19093"/>
      <w:bookmarkStart w:id="160" w:name="_Toc18672"/>
      <w:bookmarkStart w:id="161" w:name="_Toc453940290"/>
      <w:bookmarkStart w:id="162" w:name="_Toc499804893"/>
      <w:bookmarkStart w:id="163" w:name="_Toc20343"/>
      <w:bookmarkStart w:id="164" w:name="_Toc499814946"/>
      <w:bookmarkStart w:id="165" w:name="_Toc26593"/>
      <w:bookmarkStart w:id="166" w:name="_Toc27829"/>
      <w:bookmarkStart w:id="167" w:name="_Toc497142709"/>
      <w:bookmarkStart w:id="168" w:name="_Toc26220"/>
      <w:bookmarkStart w:id="169" w:name="_Toc29406"/>
      <w:r>
        <w:rPr>
          <w:rFonts w:hint="eastAsia" w:ascii="仿宋" w:hAnsi="仿宋" w:eastAsia="仿宋" w:cs="仿宋"/>
          <w:color w:val="auto"/>
          <w:spacing w:val="6"/>
        </w:rPr>
        <w:t>资格审查文件外层信封格式</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Start w:id="170" w:name="_Toc19218"/>
      <w:bookmarkStart w:id="171" w:name="_Toc23056"/>
      <w:bookmarkStart w:id="172" w:name="_Toc499814945"/>
      <w:bookmarkStart w:id="173" w:name="_Toc20639"/>
      <w:bookmarkStart w:id="174" w:name="_Toc499804892"/>
      <w:bookmarkStart w:id="175" w:name="_Toc14379"/>
      <w:bookmarkStart w:id="176" w:name="_Toc3800"/>
      <w:bookmarkStart w:id="177" w:name="_Toc14839"/>
      <w:bookmarkStart w:id="178" w:name="_Toc497142708"/>
      <w:bookmarkStart w:id="179" w:name="_Toc26908"/>
      <w:bookmarkStart w:id="180" w:name="_Toc510162946"/>
      <w:bookmarkStart w:id="181" w:name="_Toc28374"/>
    </w:p>
    <w:bookmarkEnd w:id="170"/>
    <w:bookmarkEnd w:id="171"/>
    <w:bookmarkEnd w:id="172"/>
    <w:bookmarkEnd w:id="173"/>
    <w:bookmarkEnd w:id="174"/>
    <w:bookmarkEnd w:id="175"/>
    <w:bookmarkEnd w:id="176"/>
    <w:bookmarkEnd w:id="177"/>
    <w:bookmarkEnd w:id="178"/>
    <w:bookmarkEnd w:id="179"/>
    <w:bookmarkEnd w:id="180"/>
    <w:bookmarkEnd w:id="181"/>
    <w:p w14:paraId="0422B0C6">
      <w:pPr>
        <w:rPr>
          <w:color w:val="auto"/>
        </w:rPr>
      </w:pPr>
    </w:p>
    <w:p w14:paraId="41E4528D">
      <w:pPr>
        <w:spacing w:line="600" w:lineRule="auto"/>
        <w:ind w:left="2304" w:leftChars="304" w:hanging="1666" w:hangingChars="500"/>
        <w:rPr>
          <w:rFonts w:hint="eastAsia" w:eastAsia="仿宋"/>
          <w:color w:val="auto"/>
          <w:lang w:eastAsia="zh-CN"/>
        </w:rPr>
      </w:pPr>
      <w:r>
        <w:rPr>
          <w:rFonts w:hint="eastAsia" w:ascii="仿宋" w:hAnsi="仿宋" w:eastAsia="仿宋" w:cs="仿宋"/>
          <w:b/>
          <w:color w:val="auto"/>
          <w:spacing w:val="6"/>
          <w:sz w:val="32"/>
        </w:rPr>
        <w:t>项目编号：</w:t>
      </w:r>
      <w:r>
        <w:rPr>
          <w:rFonts w:hint="eastAsia" w:ascii="仿宋" w:hAnsi="仿宋" w:eastAsia="仿宋" w:cs="仿宋"/>
          <w:color w:val="auto"/>
          <w:sz w:val="30"/>
          <w:szCs w:val="30"/>
          <w:lang w:eastAsia="zh-CN"/>
        </w:rPr>
        <w:t>SCYH【2025】067-公22</w:t>
      </w:r>
    </w:p>
    <w:p w14:paraId="0D4C2386">
      <w:pPr>
        <w:keepNext w:val="0"/>
        <w:keepLines w:val="0"/>
        <w:pageBreakBefore w:val="0"/>
        <w:widowControl w:val="0"/>
        <w:kinsoku/>
        <w:wordWrap/>
        <w:overflowPunct/>
        <w:topLinePunct w:val="0"/>
        <w:autoSpaceDE/>
        <w:autoSpaceDN/>
        <w:bidi w:val="0"/>
        <w:adjustRightInd/>
        <w:snapToGrid/>
        <w:spacing w:line="360" w:lineRule="auto"/>
        <w:ind w:left="2304" w:leftChars="304" w:hanging="1666" w:hangingChars="500"/>
        <w:textAlignment w:val="auto"/>
        <w:rPr>
          <w:rFonts w:hint="eastAsia" w:ascii="仿宋" w:hAnsi="仿宋" w:eastAsia="仿宋" w:cs="仿宋"/>
          <w:color w:val="auto"/>
          <w:spacing w:val="-6"/>
          <w:sz w:val="30"/>
          <w:szCs w:val="30"/>
          <w:lang w:eastAsia="zh-CN"/>
        </w:rPr>
      </w:pPr>
      <w:r>
        <w:rPr>
          <w:rFonts w:hint="eastAsia" w:ascii="仿宋" w:hAnsi="仿宋" w:eastAsia="仿宋" w:cs="仿宋"/>
          <w:b/>
          <w:color w:val="auto"/>
          <w:spacing w:val="6"/>
          <w:sz w:val="32"/>
        </w:rPr>
        <w:t>项目名称：</w:t>
      </w:r>
      <w:r>
        <w:rPr>
          <w:rFonts w:hint="eastAsia" w:ascii="仿宋" w:hAnsi="仿宋" w:eastAsia="仿宋" w:cs="仿宋"/>
          <w:color w:val="auto"/>
          <w:spacing w:val="0"/>
          <w:sz w:val="30"/>
          <w:szCs w:val="30"/>
          <w:lang w:eastAsia="zh-CN"/>
        </w:rPr>
        <w:t>遂昌县人民医院职工食堂经营承包项目</w:t>
      </w:r>
    </w:p>
    <w:p w14:paraId="671B3082">
      <w:pPr>
        <w:rPr>
          <w:color w:val="auto"/>
        </w:rPr>
      </w:pPr>
    </w:p>
    <w:p w14:paraId="3071704B">
      <w:pPr>
        <w:rPr>
          <w:color w:val="auto"/>
        </w:rPr>
      </w:pPr>
    </w:p>
    <w:p w14:paraId="7EDC0CEF">
      <w:pPr>
        <w:pStyle w:val="31"/>
        <w:snapToGrid w:val="0"/>
        <w:spacing w:line="600" w:lineRule="auto"/>
        <w:ind w:firstLine="626" w:firstLineChars="200"/>
        <w:rPr>
          <w:rFonts w:ascii="仿宋" w:hAnsi="仿宋" w:eastAsia="仿宋" w:cs="仿宋"/>
          <w:color w:val="auto"/>
          <w:spacing w:val="6"/>
          <w:sz w:val="30"/>
          <w:szCs w:val="30"/>
        </w:rPr>
      </w:pPr>
      <w:r>
        <w:rPr>
          <w:rFonts w:hint="eastAsia" w:ascii="仿宋" w:hAnsi="仿宋" w:eastAsia="仿宋" w:cs="仿宋"/>
          <w:b/>
          <w:bCs/>
          <w:color w:val="auto"/>
          <w:spacing w:val="6"/>
          <w:sz w:val="30"/>
          <w:szCs w:val="30"/>
        </w:rPr>
        <w:t>投标文件名称：</w:t>
      </w:r>
      <w:r>
        <w:rPr>
          <w:rFonts w:hint="eastAsia" w:ascii="仿宋" w:hAnsi="仿宋" w:eastAsia="仿宋" w:cs="仿宋"/>
          <w:color w:val="auto"/>
          <w:spacing w:val="6"/>
          <w:sz w:val="30"/>
          <w:szCs w:val="30"/>
        </w:rPr>
        <w:t>资格审查文件</w:t>
      </w:r>
    </w:p>
    <w:p w14:paraId="5AE93139">
      <w:pPr>
        <w:pStyle w:val="31"/>
        <w:snapToGrid w:val="0"/>
        <w:spacing w:line="600" w:lineRule="auto"/>
        <w:ind w:firstLine="626" w:firstLineChars="200"/>
        <w:rPr>
          <w:rFonts w:ascii="仿宋" w:hAnsi="仿宋" w:eastAsia="仿宋" w:cs="仿宋"/>
          <w:b/>
          <w:bCs/>
          <w:color w:val="auto"/>
          <w:spacing w:val="6"/>
          <w:sz w:val="36"/>
        </w:rPr>
      </w:pPr>
      <w:r>
        <w:rPr>
          <w:rFonts w:hint="eastAsia" w:ascii="仿宋" w:hAnsi="仿宋" w:eastAsia="仿宋" w:cs="仿宋"/>
          <w:b/>
          <w:bCs/>
          <w:color w:val="auto"/>
          <w:spacing w:val="6"/>
          <w:sz w:val="30"/>
          <w:szCs w:val="30"/>
        </w:rPr>
        <w:t>投标人名称：（盖章）</w:t>
      </w:r>
    </w:p>
    <w:p w14:paraId="3F12300C">
      <w:pPr>
        <w:pStyle w:val="31"/>
        <w:snapToGrid w:val="0"/>
        <w:spacing w:line="600" w:lineRule="auto"/>
        <w:ind w:firstLine="626" w:firstLineChars="200"/>
        <w:rPr>
          <w:rFonts w:ascii="仿宋" w:hAnsi="仿宋" w:eastAsia="仿宋" w:cs="仿宋"/>
          <w:b/>
          <w:bCs/>
          <w:color w:val="auto"/>
          <w:spacing w:val="6"/>
          <w:sz w:val="36"/>
        </w:rPr>
      </w:pPr>
      <w:r>
        <w:rPr>
          <w:rFonts w:hint="eastAsia" w:ascii="仿宋" w:hAnsi="仿宋" w:eastAsia="仿宋" w:cs="仿宋"/>
          <w:b/>
          <w:bCs/>
          <w:color w:val="auto"/>
          <w:spacing w:val="6"/>
          <w:sz w:val="30"/>
          <w:szCs w:val="30"/>
        </w:rPr>
        <w:t>投标人地址：</w:t>
      </w:r>
    </w:p>
    <w:p w14:paraId="37CA1C1E">
      <w:pPr>
        <w:pStyle w:val="31"/>
        <w:snapToGrid w:val="0"/>
        <w:spacing w:line="600" w:lineRule="auto"/>
        <w:ind w:firstLine="626" w:firstLineChars="200"/>
        <w:rPr>
          <w:rFonts w:ascii="仿宋" w:hAnsi="仿宋" w:eastAsia="仿宋" w:cs="仿宋"/>
          <w:b/>
          <w:bCs/>
          <w:color w:val="auto"/>
          <w:spacing w:val="6"/>
          <w:sz w:val="36"/>
        </w:rPr>
      </w:pPr>
      <w:r>
        <w:rPr>
          <w:rFonts w:hint="eastAsia" w:ascii="仿宋" w:hAnsi="仿宋" w:eastAsia="仿宋" w:cs="仿宋"/>
          <w:b/>
          <w:bCs/>
          <w:color w:val="auto"/>
          <w:spacing w:val="6"/>
          <w:sz w:val="30"/>
          <w:szCs w:val="30"/>
        </w:rPr>
        <w:t>法定代表人（或被委托人）签字或盖章：</w:t>
      </w:r>
    </w:p>
    <w:p w14:paraId="5FA589FB">
      <w:pPr>
        <w:pStyle w:val="31"/>
        <w:snapToGrid w:val="0"/>
        <w:spacing w:line="600" w:lineRule="auto"/>
        <w:ind w:firstLine="626" w:firstLineChars="200"/>
        <w:rPr>
          <w:rFonts w:ascii="仿宋" w:hAnsi="仿宋" w:eastAsia="仿宋" w:cs="仿宋"/>
          <w:b/>
          <w:bCs/>
          <w:color w:val="auto"/>
          <w:spacing w:val="6"/>
          <w:sz w:val="30"/>
          <w:szCs w:val="30"/>
        </w:rPr>
      </w:pPr>
      <w:r>
        <w:rPr>
          <w:rFonts w:hint="eastAsia" w:ascii="仿宋" w:hAnsi="仿宋" w:eastAsia="仿宋" w:cs="仿宋"/>
          <w:b/>
          <w:bCs/>
          <w:color w:val="auto"/>
          <w:spacing w:val="6"/>
          <w:sz w:val="30"/>
          <w:szCs w:val="30"/>
        </w:rPr>
        <w:t>时间：在     年   月   日   时   分之前不得启封</w:t>
      </w:r>
    </w:p>
    <w:p w14:paraId="6CAB4F47">
      <w:pPr>
        <w:rPr>
          <w:rFonts w:ascii="仿宋" w:hAnsi="仿宋" w:eastAsia="仿宋" w:cs="仿宋"/>
          <w:b/>
          <w:bCs/>
          <w:color w:val="auto"/>
          <w:spacing w:val="6"/>
          <w:sz w:val="36"/>
        </w:rPr>
      </w:pPr>
    </w:p>
    <w:p w14:paraId="030D429E">
      <w:pPr>
        <w:pStyle w:val="32"/>
        <w:rPr>
          <w:rFonts w:ascii="仿宋" w:hAnsi="仿宋" w:eastAsia="仿宋" w:cs="仿宋"/>
          <w:color w:val="auto"/>
        </w:rPr>
      </w:pPr>
    </w:p>
    <w:p w14:paraId="2EC16990">
      <w:pPr>
        <w:pStyle w:val="3"/>
        <w:rPr>
          <w:color w:val="auto"/>
        </w:rPr>
      </w:pPr>
    </w:p>
    <w:p w14:paraId="4CFB7BB3">
      <w:pPr>
        <w:pStyle w:val="2"/>
        <w:ind w:firstLine="210"/>
        <w:rPr>
          <w:color w:val="auto"/>
        </w:rPr>
      </w:pPr>
    </w:p>
    <w:p w14:paraId="66C57052">
      <w:pPr>
        <w:rPr>
          <w:color w:val="auto"/>
        </w:rPr>
      </w:pPr>
    </w:p>
    <w:p w14:paraId="3F72E204">
      <w:pPr>
        <w:pStyle w:val="6"/>
        <w:ind w:firstLine="0" w:firstLineChars="0"/>
        <w:jc w:val="center"/>
        <w:rPr>
          <w:rFonts w:ascii="仿宋" w:hAnsi="仿宋" w:eastAsia="仿宋" w:cs="仿宋"/>
          <w:color w:val="auto"/>
          <w:spacing w:val="6"/>
        </w:rPr>
      </w:pPr>
      <w:bookmarkStart w:id="182" w:name="_Toc18763"/>
      <w:bookmarkStart w:id="183" w:name="_Toc31243"/>
      <w:bookmarkStart w:id="184" w:name="_Toc26557"/>
      <w:bookmarkStart w:id="185" w:name="_Toc29845"/>
      <w:r>
        <w:rPr>
          <w:rFonts w:hint="eastAsia" w:ascii="仿宋" w:hAnsi="仿宋" w:eastAsia="仿宋" w:cs="仿宋"/>
          <w:color w:val="auto"/>
          <w:spacing w:val="6"/>
        </w:rPr>
        <w:t>资格审查文件内层投标文件封面格式</w:t>
      </w:r>
      <w:bookmarkEnd w:id="182"/>
      <w:bookmarkEnd w:id="183"/>
      <w:bookmarkEnd w:id="184"/>
      <w:bookmarkEnd w:id="185"/>
    </w:p>
    <w:p w14:paraId="35558055">
      <w:pPr>
        <w:pStyle w:val="7"/>
        <w:rPr>
          <w:rFonts w:ascii="仿宋" w:hAnsi="仿宋" w:eastAsia="仿宋" w:cs="仿宋"/>
          <w:color w:val="auto"/>
          <w:spacing w:val="6"/>
        </w:rPr>
      </w:pPr>
    </w:p>
    <w:p w14:paraId="2C28FE4B">
      <w:pPr>
        <w:rPr>
          <w:color w:val="auto"/>
        </w:rPr>
      </w:pPr>
    </w:p>
    <w:p w14:paraId="3BB04CAD">
      <w:pPr>
        <w:pStyle w:val="22"/>
        <w:ind w:firstLine="480"/>
        <w:rPr>
          <w:color w:val="auto"/>
        </w:rPr>
      </w:pPr>
    </w:p>
    <w:p w14:paraId="757A62FC">
      <w:pPr>
        <w:pStyle w:val="6"/>
        <w:ind w:firstLine="0" w:firstLineChars="0"/>
        <w:jc w:val="right"/>
        <w:rPr>
          <w:rFonts w:ascii="仿宋" w:hAnsi="仿宋" w:eastAsia="仿宋" w:cs="仿宋"/>
          <w:color w:val="auto"/>
          <w:spacing w:val="6"/>
        </w:rPr>
      </w:pPr>
      <w:bookmarkStart w:id="186" w:name="_Toc3642"/>
      <w:bookmarkStart w:id="187" w:name="_Toc29891"/>
      <w:bookmarkStart w:id="188" w:name="_Toc789"/>
      <w:bookmarkStart w:id="189" w:name="_Toc9946"/>
      <w:r>
        <w:rPr>
          <w:rFonts w:hint="eastAsia" w:ascii="仿宋" w:hAnsi="仿宋" w:eastAsia="仿宋" w:cs="仿宋"/>
          <w:b w:val="0"/>
          <w:color w:val="auto"/>
          <w:sz w:val="32"/>
          <w:szCs w:val="32"/>
        </w:rPr>
        <w:t>正本（或副本）</w:t>
      </w:r>
      <w:bookmarkEnd w:id="186"/>
      <w:bookmarkEnd w:id="187"/>
      <w:bookmarkEnd w:id="188"/>
      <w:bookmarkEnd w:id="189"/>
    </w:p>
    <w:p w14:paraId="73344B17">
      <w:pPr>
        <w:spacing w:line="600" w:lineRule="auto"/>
        <w:ind w:left="2304" w:leftChars="304" w:hanging="1666" w:hangingChars="500"/>
        <w:rPr>
          <w:rFonts w:hint="eastAsia" w:eastAsia="仿宋"/>
          <w:color w:val="auto"/>
          <w:lang w:eastAsia="zh-CN"/>
        </w:rPr>
      </w:pPr>
      <w:r>
        <w:rPr>
          <w:rFonts w:hint="eastAsia" w:ascii="仿宋" w:hAnsi="仿宋" w:eastAsia="仿宋" w:cs="仿宋"/>
          <w:b/>
          <w:color w:val="auto"/>
          <w:spacing w:val="6"/>
          <w:sz w:val="32"/>
        </w:rPr>
        <w:t>项目编号：</w:t>
      </w:r>
      <w:r>
        <w:rPr>
          <w:rFonts w:hint="eastAsia" w:ascii="仿宋" w:hAnsi="仿宋" w:eastAsia="仿宋" w:cs="仿宋"/>
          <w:color w:val="auto"/>
          <w:sz w:val="30"/>
          <w:szCs w:val="30"/>
          <w:lang w:eastAsia="zh-CN"/>
        </w:rPr>
        <w:t>SCYH【2025】067-公22</w:t>
      </w:r>
    </w:p>
    <w:p w14:paraId="3831A0C6">
      <w:pPr>
        <w:keepNext w:val="0"/>
        <w:keepLines w:val="0"/>
        <w:pageBreakBefore w:val="0"/>
        <w:widowControl w:val="0"/>
        <w:kinsoku/>
        <w:wordWrap/>
        <w:overflowPunct/>
        <w:topLinePunct w:val="0"/>
        <w:autoSpaceDE/>
        <w:autoSpaceDN/>
        <w:bidi w:val="0"/>
        <w:adjustRightInd/>
        <w:snapToGrid/>
        <w:spacing w:line="360" w:lineRule="auto"/>
        <w:ind w:left="2304" w:leftChars="304" w:hanging="1666" w:hangingChars="500"/>
        <w:textAlignment w:val="auto"/>
        <w:rPr>
          <w:rFonts w:hint="eastAsia" w:ascii="仿宋" w:hAnsi="仿宋" w:eastAsia="仿宋" w:cs="仿宋"/>
          <w:color w:val="auto"/>
          <w:spacing w:val="0"/>
          <w:sz w:val="30"/>
          <w:szCs w:val="30"/>
          <w:lang w:eastAsia="zh-CN"/>
        </w:rPr>
      </w:pPr>
      <w:r>
        <w:rPr>
          <w:rFonts w:hint="eastAsia" w:ascii="仿宋" w:hAnsi="仿宋" w:eastAsia="仿宋" w:cs="仿宋"/>
          <w:b/>
          <w:color w:val="auto"/>
          <w:spacing w:val="6"/>
          <w:sz w:val="32"/>
        </w:rPr>
        <w:t>项目名称：</w:t>
      </w:r>
      <w:r>
        <w:rPr>
          <w:rFonts w:hint="eastAsia" w:ascii="仿宋" w:hAnsi="仿宋" w:eastAsia="仿宋" w:cs="仿宋"/>
          <w:color w:val="auto"/>
          <w:spacing w:val="0"/>
          <w:sz w:val="30"/>
          <w:szCs w:val="30"/>
          <w:lang w:eastAsia="zh-CN"/>
        </w:rPr>
        <w:t>遂昌县人民医院职工食堂经营承包项目</w:t>
      </w:r>
    </w:p>
    <w:p w14:paraId="267CD2D5">
      <w:pPr>
        <w:pStyle w:val="7"/>
        <w:rPr>
          <w:color w:val="auto"/>
        </w:rPr>
      </w:pPr>
    </w:p>
    <w:p w14:paraId="62F1A9AA">
      <w:pPr>
        <w:pStyle w:val="31"/>
        <w:snapToGrid w:val="0"/>
        <w:spacing w:line="600" w:lineRule="auto"/>
        <w:ind w:firstLine="626" w:firstLineChars="200"/>
        <w:rPr>
          <w:rFonts w:ascii="仿宋" w:hAnsi="仿宋" w:eastAsia="仿宋" w:cs="仿宋"/>
          <w:color w:val="auto"/>
          <w:spacing w:val="6"/>
          <w:sz w:val="30"/>
          <w:szCs w:val="30"/>
        </w:rPr>
      </w:pPr>
      <w:r>
        <w:rPr>
          <w:rFonts w:hint="eastAsia" w:ascii="仿宋" w:hAnsi="仿宋" w:eastAsia="仿宋" w:cs="仿宋"/>
          <w:b/>
          <w:bCs/>
          <w:color w:val="auto"/>
          <w:spacing w:val="6"/>
          <w:sz w:val="30"/>
          <w:szCs w:val="30"/>
        </w:rPr>
        <w:t>投标文件名称：</w:t>
      </w:r>
      <w:r>
        <w:rPr>
          <w:rFonts w:hint="eastAsia" w:ascii="仿宋" w:hAnsi="仿宋" w:eastAsia="仿宋" w:cs="仿宋"/>
          <w:color w:val="auto"/>
          <w:spacing w:val="6"/>
          <w:sz w:val="30"/>
          <w:szCs w:val="30"/>
        </w:rPr>
        <w:t>资格审查文件</w:t>
      </w:r>
    </w:p>
    <w:p w14:paraId="6C06C183">
      <w:pPr>
        <w:pStyle w:val="31"/>
        <w:snapToGrid w:val="0"/>
        <w:spacing w:line="600" w:lineRule="auto"/>
        <w:ind w:firstLine="626" w:firstLineChars="200"/>
        <w:rPr>
          <w:rFonts w:ascii="仿宋" w:hAnsi="仿宋" w:eastAsia="仿宋" w:cs="仿宋"/>
          <w:b/>
          <w:bCs/>
          <w:color w:val="auto"/>
          <w:spacing w:val="6"/>
          <w:sz w:val="36"/>
        </w:rPr>
      </w:pPr>
      <w:r>
        <w:rPr>
          <w:rFonts w:hint="eastAsia" w:ascii="仿宋" w:hAnsi="仿宋" w:eastAsia="仿宋" w:cs="仿宋"/>
          <w:b/>
          <w:bCs/>
          <w:color w:val="auto"/>
          <w:spacing w:val="6"/>
          <w:sz w:val="30"/>
          <w:szCs w:val="30"/>
        </w:rPr>
        <w:t>投标人名称：（盖章）</w:t>
      </w:r>
    </w:p>
    <w:p w14:paraId="5A3AA7DD">
      <w:pPr>
        <w:pStyle w:val="31"/>
        <w:snapToGrid w:val="0"/>
        <w:spacing w:line="600" w:lineRule="auto"/>
        <w:ind w:firstLine="626" w:firstLineChars="200"/>
        <w:rPr>
          <w:rFonts w:ascii="仿宋" w:hAnsi="仿宋" w:eastAsia="仿宋" w:cs="仿宋"/>
          <w:b/>
          <w:bCs/>
          <w:color w:val="auto"/>
          <w:spacing w:val="6"/>
          <w:sz w:val="36"/>
        </w:rPr>
      </w:pPr>
      <w:r>
        <w:rPr>
          <w:rFonts w:hint="eastAsia" w:ascii="仿宋" w:hAnsi="仿宋" w:eastAsia="仿宋" w:cs="仿宋"/>
          <w:b/>
          <w:bCs/>
          <w:color w:val="auto"/>
          <w:spacing w:val="6"/>
          <w:sz w:val="30"/>
          <w:szCs w:val="30"/>
        </w:rPr>
        <w:t>投标人地址：</w:t>
      </w:r>
    </w:p>
    <w:p w14:paraId="1746AB12">
      <w:pPr>
        <w:pStyle w:val="31"/>
        <w:snapToGrid w:val="0"/>
        <w:spacing w:line="600" w:lineRule="auto"/>
        <w:ind w:firstLine="626" w:firstLineChars="200"/>
        <w:rPr>
          <w:rFonts w:ascii="仿宋" w:hAnsi="仿宋" w:eastAsia="仿宋" w:cs="仿宋"/>
          <w:b/>
          <w:bCs/>
          <w:color w:val="auto"/>
          <w:spacing w:val="6"/>
          <w:sz w:val="30"/>
          <w:szCs w:val="30"/>
        </w:rPr>
      </w:pPr>
      <w:r>
        <w:rPr>
          <w:rFonts w:hint="eastAsia" w:ascii="仿宋" w:hAnsi="仿宋" w:eastAsia="仿宋" w:cs="仿宋"/>
          <w:b/>
          <w:bCs/>
          <w:color w:val="auto"/>
          <w:spacing w:val="6"/>
          <w:sz w:val="30"/>
          <w:szCs w:val="30"/>
        </w:rPr>
        <w:t>法定代表人（或被委托人）签字或盖章：</w:t>
      </w:r>
    </w:p>
    <w:p w14:paraId="0D1D8697">
      <w:pPr>
        <w:pStyle w:val="31"/>
        <w:snapToGrid w:val="0"/>
        <w:spacing w:line="360" w:lineRule="auto"/>
        <w:ind w:firstLine="3047" w:firstLineChars="816"/>
        <w:rPr>
          <w:rFonts w:ascii="仿宋" w:hAnsi="仿宋" w:eastAsia="仿宋" w:cs="仿宋"/>
          <w:b/>
          <w:bCs/>
          <w:color w:val="auto"/>
          <w:spacing w:val="6"/>
          <w:sz w:val="36"/>
        </w:rPr>
      </w:pPr>
    </w:p>
    <w:p w14:paraId="40C11969">
      <w:pPr>
        <w:pStyle w:val="17"/>
        <w:rPr>
          <w:rFonts w:ascii="仿宋" w:hAnsi="仿宋" w:eastAsia="仿宋" w:cs="仿宋"/>
          <w:color w:val="auto"/>
        </w:rPr>
      </w:pPr>
    </w:p>
    <w:p w14:paraId="4AF8A0B8">
      <w:pPr>
        <w:rPr>
          <w:rFonts w:ascii="仿宋" w:hAnsi="仿宋" w:eastAsia="仿宋" w:cs="仿宋"/>
          <w:color w:val="auto"/>
        </w:rPr>
      </w:pPr>
    </w:p>
    <w:p w14:paraId="3F3A88F0">
      <w:pPr>
        <w:rPr>
          <w:rFonts w:ascii="仿宋" w:hAnsi="仿宋" w:eastAsia="仿宋" w:cs="仿宋"/>
          <w:color w:val="auto"/>
        </w:rPr>
      </w:pPr>
    </w:p>
    <w:p w14:paraId="43A42DB6">
      <w:pPr>
        <w:pStyle w:val="22"/>
        <w:ind w:firstLine="480"/>
        <w:rPr>
          <w:rFonts w:ascii="仿宋" w:hAnsi="仿宋" w:eastAsia="仿宋" w:cs="仿宋"/>
          <w:color w:val="auto"/>
        </w:rPr>
      </w:pPr>
    </w:p>
    <w:p w14:paraId="0C7A86BF">
      <w:pPr>
        <w:pStyle w:val="2"/>
        <w:ind w:firstLine="210"/>
        <w:rPr>
          <w:rFonts w:ascii="仿宋" w:hAnsi="仿宋" w:eastAsia="仿宋" w:cs="仿宋"/>
          <w:color w:val="auto"/>
        </w:rPr>
      </w:pPr>
    </w:p>
    <w:p w14:paraId="539008E1">
      <w:pPr>
        <w:pStyle w:val="18"/>
        <w:rPr>
          <w:rFonts w:ascii="仿宋" w:hAnsi="仿宋" w:eastAsia="仿宋" w:cs="仿宋"/>
          <w:color w:val="auto"/>
        </w:rPr>
      </w:pPr>
    </w:p>
    <w:p w14:paraId="57B1821E">
      <w:pPr>
        <w:rPr>
          <w:rFonts w:ascii="仿宋" w:hAnsi="仿宋" w:eastAsia="仿宋" w:cs="仿宋"/>
          <w:color w:val="auto"/>
        </w:rPr>
      </w:pPr>
    </w:p>
    <w:p w14:paraId="4FD9A5B2">
      <w:pPr>
        <w:pStyle w:val="20"/>
        <w:rPr>
          <w:color w:val="auto"/>
        </w:rPr>
      </w:pPr>
    </w:p>
    <w:p w14:paraId="6BB66D9C">
      <w:pPr>
        <w:pStyle w:val="20"/>
        <w:rPr>
          <w:color w:val="auto"/>
        </w:rPr>
      </w:pPr>
    </w:p>
    <w:p w14:paraId="397F3A5F">
      <w:pPr>
        <w:pStyle w:val="20"/>
        <w:rPr>
          <w:color w:val="auto"/>
        </w:rPr>
      </w:pPr>
    </w:p>
    <w:p w14:paraId="5097F29B">
      <w:pPr>
        <w:rPr>
          <w:rFonts w:ascii="仿宋" w:hAnsi="仿宋" w:eastAsia="仿宋" w:cs="仿宋"/>
          <w:color w:val="auto"/>
        </w:rPr>
      </w:pPr>
    </w:p>
    <w:p w14:paraId="704304BD">
      <w:pPr>
        <w:jc w:val="center"/>
        <w:rPr>
          <w:rFonts w:ascii="仿宋" w:hAnsi="仿宋" w:eastAsia="仿宋" w:cs="仿宋"/>
          <w:color w:val="auto"/>
          <w:sz w:val="40"/>
          <w:szCs w:val="44"/>
        </w:rPr>
      </w:pPr>
      <w:r>
        <w:rPr>
          <w:rFonts w:hint="eastAsia" w:ascii="仿宋" w:hAnsi="仿宋" w:eastAsia="仿宋" w:cs="仿宋"/>
          <w:color w:val="auto"/>
          <w:sz w:val="40"/>
          <w:szCs w:val="44"/>
        </w:rPr>
        <w:t>目 录</w:t>
      </w:r>
    </w:p>
    <w:p w14:paraId="5619BE18">
      <w:pPr>
        <w:pStyle w:val="29"/>
        <w:rPr>
          <w:color w:val="auto"/>
        </w:rPr>
      </w:pPr>
    </w:p>
    <w:p w14:paraId="349E8D3D">
      <w:pPr>
        <w:rPr>
          <w:rFonts w:ascii="仿宋" w:hAnsi="仿宋" w:eastAsia="仿宋" w:cs="仿宋"/>
          <w:color w:val="auto"/>
        </w:rPr>
      </w:pPr>
    </w:p>
    <w:p w14:paraId="419D33ED">
      <w:pPr>
        <w:numPr>
          <w:ilvl w:val="0"/>
          <w:numId w:val="22"/>
        </w:numPr>
        <w:spacing w:line="360" w:lineRule="auto"/>
        <w:rPr>
          <w:rFonts w:ascii="仿宋" w:hAnsi="仿宋" w:eastAsia="仿宋" w:cs="仿宋"/>
          <w:color w:val="auto"/>
          <w:sz w:val="24"/>
        </w:rPr>
      </w:pPr>
      <w:r>
        <w:rPr>
          <w:rFonts w:hint="eastAsia" w:ascii="仿宋" w:hAnsi="仿宋" w:eastAsia="仿宋" w:cs="仿宋"/>
          <w:color w:val="auto"/>
          <w:sz w:val="24"/>
        </w:rPr>
        <w:t>公司有效营业执照复印件；</w:t>
      </w:r>
    </w:p>
    <w:p w14:paraId="7DD5E92F">
      <w:pPr>
        <w:numPr>
          <w:ilvl w:val="0"/>
          <w:numId w:val="22"/>
        </w:numPr>
        <w:spacing w:line="360" w:lineRule="auto"/>
        <w:rPr>
          <w:rFonts w:ascii="仿宋" w:hAnsi="仿宋" w:eastAsia="仿宋" w:cs="仿宋"/>
          <w:color w:val="auto"/>
          <w:sz w:val="24"/>
        </w:rPr>
      </w:pPr>
      <w:r>
        <w:rPr>
          <w:rFonts w:hint="eastAsia" w:ascii="仿宋" w:hAnsi="仿宋" w:eastAsia="仿宋" w:cs="仿宋"/>
          <w:color w:val="auto"/>
          <w:sz w:val="24"/>
        </w:rPr>
        <w:t>有效</w:t>
      </w:r>
      <w:r>
        <w:rPr>
          <w:rFonts w:hint="eastAsia" w:ascii="仿宋" w:hAnsi="仿宋" w:eastAsia="仿宋" w:cs="仿宋"/>
          <w:color w:val="auto"/>
          <w:sz w:val="24"/>
          <w:lang w:val="en-US" w:eastAsia="zh-CN"/>
        </w:rPr>
        <w:t>食品经营许可证</w:t>
      </w:r>
      <w:r>
        <w:rPr>
          <w:rFonts w:hint="eastAsia" w:ascii="仿宋" w:hAnsi="仿宋" w:eastAsia="仿宋" w:cs="仿宋"/>
          <w:color w:val="auto"/>
          <w:sz w:val="24"/>
        </w:rPr>
        <w:t>复印件</w:t>
      </w:r>
      <w:r>
        <w:rPr>
          <w:rFonts w:hint="eastAsia" w:ascii="仿宋" w:hAnsi="仿宋" w:eastAsia="仿宋" w:cs="仿宋"/>
          <w:color w:val="auto"/>
          <w:sz w:val="24"/>
          <w:lang w:eastAsia="zh-CN"/>
        </w:rPr>
        <w:t>；</w:t>
      </w:r>
    </w:p>
    <w:p w14:paraId="46DDF1F9">
      <w:pPr>
        <w:numPr>
          <w:ilvl w:val="0"/>
          <w:numId w:val="22"/>
        </w:numPr>
        <w:spacing w:line="360" w:lineRule="auto"/>
        <w:rPr>
          <w:rFonts w:ascii="仿宋" w:hAnsi="仿宋" w:eastAsia="仿宋" w:cs="仿宋"/>
          <w:color w:val="auto"/>
          <w:sz w:val="24"/>
        </w:rPr>
      </w:pPr>
      <w:r>
        <w:rPr>
          <w:rFonts w:hint="eastAsia" w:ascii="仿宋" w:hAnsi="仿宋" w:eastAsia="仿宋" w:cs="仿宋"/>
          <w:color w:val="auto"/>
          <w:sz w:val="24"/>
        </w:rPr>
        <w:t>法定代表人资格证明书或授权委托书；</w:t>
      </w:r>
    </w:p>
    <w:p w14:paraId="4B98C65B">
      <w:pPr>
        <w:numPr>
          <w:ilvl w:val="0"/>
          <w:numId w:val="22"/>
        </w:numPr>
        <w:spacing w:line="360" w:lineRule="auto"/>
        <w:rPr>
          <w:rFonts w:ascii="仿宋" w:hAnsi="仿宋" w:eastAsia="仿宋" w:cs="仿宋"/>
          <w:color w:val="auto"/>
          <w:sz w:val="24"/>
        </w:rPr>
      </w:pPr>
      <w:r>
        <w:rPr>
          <w:rFonts w:hint="eastAsia" w:ascii="仿宋" w:hAnsi="仿宋" w:eastAsia="仿宋" w:cs="仿宋"/>
          <w:color w:val="auto"/>
          <w:sz w:val="24"/>
        </w:rPr>
        <w:t>资格证明；</w:t>
      </w:r>
    </w:p>
    <w:p w14:paraId="3EFE7649">
      <w:pPr>
        <w:numPr>
          <w:ilvl w:val="0"/>
          <w:numId w:val="22"/>
        </w:numPr>
        <w:spacing w:line="360" w:lineRule="auto"/>
        <w:rPr>
          <w:rFonts w:ascii="仿宋" w:hAnsi="仿宋" w:eastAsia="仿宋" w:cs="仿宋"/>
          <w:color w:val="auto"/>
          <w:sz w:val="24"/>
        </w:rPr>
      </w:pPr>
      <w:r>
        <w:rPr>
          <w:rFonts w:hint="eastAsia" w:ascii="仿宋" w:hAnsi="仿宋" w:eastAsia="仿宋" w:cs="仿宋"/>
          <w:color w:val="auto"/>
          <w:sz w:val="24"/>
        </w:rPr>
        <w:t>具有履行合同所必需的场地、设备和专业技术能力的承诺函；</w:t>
      </w:r>
    </w:p>
    <w:p w14:paraId="430CB792">
      <w:pPr>
        <w:numPr>
          <w:ilvl w:val="0"/>
          <w:numId w:val="22"/>
        </w:numPr>
        <w:spacing w:line="360" w:lineRule="auto"/>
        <w:rPr>
          <w:rFonts w:ascii="仿宋" w:hAnsi="仿宋" w:eastAsia="仿宋" w:cs="仿宋"/>
          <w:color w:val="auto"/>
          <w:sz w:val="24"/>
        </w:rPr>
      </w:pPr>
      <w:r>
        <w:rPr>
          <w:rFonts w:hint="eastAsia" w:ascii="仿宋" w:hAnsi="仿宋" w:eastAsia="仿宋" w:cs="仿宋"/>
          <w:color w:val="auto"/>
          <w:sz w:val="24"/>
        </w:rPr>
        <w:t>依法缴纳税收和社会保障资金的承诺函；</w:t>
      </w:r>
    </w:p>
    <w:p w14:paraId="59EB28D7">
      <w:pPr>
        <w:numPr>
          <w:ilvl w:val="0"/>
          <w:numId w:val="22"/>
        </w:numPr>
        <w:spacing w:line="360" w:lineRule="auto"/>
        <w:rPr>
          <w:rFonts w:ascii="仿宋" w:hAnsi="仿宋" w:eastAsia="仿宋" w:cs="仿宋"/>
          <w:color w:val="auto"/>
          <w:sz w:val="24"/>
        </w:rPr>
      </w:pPr>
      <w:r>
        <w:rPr>
          <w:rFonts w:hint="eastAsia" w:ascii="仿宋" w:hAnsi="仿宋" w:eastAsia="仿宋" w:cs="仿宋"/>
          <w:color w:val="auto"/>
          <w:sz w:val="24"/>
        </w:rPr>
        <w:t>无重大违法记录声明书。</w:t>
      </w:r>
    </w:p>
    <w:p w14:paraId="2D8AA0EA">
      <w:pPr>
        <w:pStyle w:val="6"/>
        <w:spacing w:before="240" w:after="240"/>
        <w:ind w:firstLine="0" w:firstLineChars="0"/>
        <w:jc w:val="center"/>
        <w:rPr>
          <w:rFonts w:ascii="仿宋" w:hAnsi="仿宋" w:eastAsia="仿宋" w:cs="仿宋"/>
          <w:color w:val="auto"/>
          <w:sz w:val="32"/>
          <w:szCs w:val="32"/>
        </w:rPr>
      </w:pPr>
      <w:bookmarkStart w:id="190" w:name="_Toc26506"/>
      <w:bookmarkStart w:id="191" w:name="_Toc12609"/>
      <w:bookmarkStart w:id="192" w:name="_Toc510162950"/>
      <w:bookmarkStart w:id="193" w:name="_Toc29610"/>
      <w:bookmarkStart w:id="194" w:name="_Toc7928"/>
      <w:bookmarkStart w:id="195" w:name="_Toc31908"/>
      <w:bookmarkStart w:id="196" w:name="_Toc493956052"/>
    </w:p>
    <w:p w14:paraId="3A4BFE8F">
      <w:pPr>
        <w:pStyle w:val="7"/>
        <w:rPr>
          <w:rFonts w:ascii="仿宋" w:hAnsi="仿宋" w:eastAsia="仿宋" w:cs="仿宋"/>
          <w:color w:val="auto"/>
        </w:rPr>
      </w:pPr>
    </w:p>
    <w:p w14:paraId="10718DB7">
      <w:pPr>
        <w:pStyle w:val="6"/>
        <w:spacing w:before="240" w:after="240"/>
        <w:ind w:firstLine="0" w:firstLineChars="0"/>
        <w:rPr>
          <w:rFonts w:ascii="仿宋" w:hAnsi="仿宋" w:eastAsia="仿宋" w:cs="仿宋"/>
          <w:color w:val="auto"/>
          <w:sz w:val="32"/>
          <w:szCs w:val="32"/>
        </w:rPr>
      </w:pPr>
    </w:p>
    <w:p w14:paraId="6F56702E">
      <w:pPr>
        <w:pStyle w:val="7"/>
        <w:rPr>
          <w:rFonts w:ascii="仿宋" w:hAnsi="仿宋" w:eastAsia="仿宋" w:cs="仿宋"/>
          <w:color w:val="auto"/>
          <w:sz w:val="32"/>
          <w:szCs w:val="32"/>
        </w:rPr>
      </w:pPr>
    </w:p>
    <w:p w14:paraId="621A9895">
      <w:pPr>
        <w:pStyle w:val="7"/>
        <w:rPr>
          <w:rFonts w:ascii="仿宋" w:hAnsi="仿宋" w:eastAsia="仿宋" w:cs="仿宋"/>
          <w:color w:val="auto"/>
          <w:sz w:val="32"/>
          <w:szCs w:val="32"/>
        </w:rPr>
      </w:pPr>
    </w:p>
    <w:p w14:paraId="315C8058">
      <w:pPr>
        <w:pStyle w:val="7"/>
        <w:rPr>
          <w:rFonts w:ascii="仿宋" w:hAnsi="仿宋" w:eastAsia="仿宋" w:cs="仿宋"/>
          <w:color w:val="auto"/>
          <w:sz w:val="32"/>
          <w:szCs w:val="32"/>
        </w:rPr>
      </w:pPr>
    </w:p>
    <w:p w14:paraId="44B47F3E">
      <w:pPr>
        <w:pStyle w:val="7"/>
        <w:rPr>
          <w:rFonts w:ascii="仿宋" w:hAnsi="仿宋" w:eastAsia="仿宋" w:cs="仿宋"/>
          <w:color w:val="auto"/>
          <w:sz w:val="32"/>
          <w:szCs w:val="32"/>
        </w:rPr>
      </w:pPr>
    </w:p>
    <w:p w14:paraId="5B824E1B">
      <w:pPr>
        <w:pStyle w:val="7"/>
        <w:rPr>
          <w:rFonts w:ascii="仿宋" w:hAnsi="仿宋" w:eastAsia="仿宋" w:cs="仿宋"/>
          <w:color w:val="auto"/>
          <w:sz w:val="32"/>
          <w:szCs w:val="32"/>
        </w:rPr>
      </w:pPr>
    </w:p>
    <w:p w14:paraId="30FB40D2">
      <w:pPr>
        <w:pStyle w:val="8"/>
        <w:ind w:firstLine="640"/>
        <w:rPr>
          <w:rFonts w:ascii="仿宋" w:hAnsi="仿宋" w:eastAsia="仿宋" w:cs="仿宋"/>
          <w:color w:val="auto"/>
          <w:sz w:val="32"/>
          <w:szCs w:val="32"/>
        </w:rPr>
      </w:pPr>
    </w:p>
    <w:p w14:paraId="31F2780E">
      <w:pPr>
        <w:pStyle w:val="7"/>
        <w:rPr>
          <w:rFonts w:ascii="仿宋" w:hAnsi="仿宋" w:eastAsia="仿宋" w:cs="仿宋"/>
          <w:color w:val="auto"/>
          <w:sz w:val="32"/>
          <w:szCs w:val="32"/>
        </w:rPr>
      </w:pPr>
    </w:p>
    <w:p w14:paraId="3DF47AAA">
      <w:pPr>
        <w:pStyle w:val="8"/>
        <w:ind w:firstLine="640"/>
        <w:rPr>
          <w:rFonts w:ascii="仿宋" w:hAnsi="仿宋" w:eastAsia="仿宋" w:cs="仿宋"/>
          <w:color w:val="auto"/>
          <w:sz w:val="32"/>
          <w:szCs w:val="32"/>
        </w:rPr>
      </w:pPr>
    </w:p>
    <w:p w14:paraId="6712B3D5">
      <w:pPr>
        <w:rPr>
          <w:rFonts w:ascii="仿宋" w:hAnsi="仿宋" w:eastAsia="仿宋" w:cs="仿宋"/>
          <w:color w:val="auto"/>
        </w:rPr>
      </w:pPr>
    </w:p>
    <w:p w14:paraId="5389D7AE">
      <w:pPr>
        <w:pStyle w:val="8"/>
        <w:rPr>
          <w:rFonts w:ascii="仿宋" w:hAnsi="仿宋" w:eastAsia="仿宋" w:cs="仿宋"/>
          <w:color w:val="auto"/>
        </w:rPr>
      </w:pPr>
    </w:p>
    <w:p w14:paraId="6A241E3A">
      <w:pPr>
        <w:pStyle w:val="7"/>
        <w:rPr>
          <w:rFonts w:ascii="仿宋" w:hAnsi="仿宋" w:eastAsia="仿宋" w:cs="仿宋"/>
          <w:color w:val="auto"/>
          <w:sz w:val="32"/>
          <w:szCs w:val="32"/>
        </w:rPr>
      </w:pPr>
    </w:p>
    <w:p w14:paraId="06A8861E">
      <w:pPr>
        <w:pStyle w:val="7"/>
        <w:rPr>
          <w:rFonts w:ascii="仿宋" w:hAnsi="仿宋" w:eastAsia="仿宋" w:cs="仿宋"/>
          <w:color w:val="auto"/>
          <w:sz w:val="32"/>
          <w:szCs w:val="32"/>
        </w:rPr>
      </w:pPr>
    </w:p>
    <w:p w14:paraId="0A2DE7B9">
      <w:pPr>
        <w:pStyle w:val="7"/>
        <w:rPr>
          <w:rFonts w:ascii="仿宋" w:hAnsi="仿宋" w:eastAsia="仿宋" w:cs="仿宋"/>
          <w:color w:val="auto"/>
          <w:sz w:val="32"/>
          <w:szCs w:val="32"/>
        </w:rPr>
      </w:pPr>
    </w:p>
    <w:p w14:paraId="1E1F47E0">
      <w:pPr>
        <w:pStyle w:val="7"/>
        <w:rPr>
          <w:rFonts w:ascii="仿宋" w:hAnsi="仿宋" w:eastAsia="仿宋" w:cs="仿宋"/>
          <w:color w:val="auto"/>
          <w:sz w:val="32"/>
          <w:szCs w:val="32"/>
        </w:rPr>
      </w:pPr>
    </w:p>
    <w:p w14:paraId="31152189">
      <w:pPr>
        <w:pStyle w:val="7"/>
        <w:rPr>
          <w:rFonts w:ascii="仿宋" w:hAnsi="仿宋" w:eastAsia="仿宋" w:cs="仿宋"/>
          <w:color w:val="auto"/>
          <w:sz w:val="32"/>
          <w:szCs w:val="32"/>
        </w:rPr>
      </w:pPr>
    </w:p>
    <w:p w14:paraId="12B45159">
      <w:pPr>
        <w:pStyle w:val="6"/>
        <w:spacing w:before="240" w:after="240"/>
        <w:ind w:firstLine="0" w:firstLineChars="0"/>
        <w:jc w:val="center"/>
        <w:rPr>
          <w:rFonts w:ascii="仿宋" w:hAnsi="仿宋" w:eastAsia="仿宋" w:cs="仿宋"/>
          <w:color w:val="auto"/>
          <w:sz w:val="32"/>
          <w:szCs w:val="32"/>
        </w:rPr>
      </w:pPr>
      <w:bookmarkStart w:id="197" w:name="_Toc15337"/>
      <w:bookmarkStart w:id="198" w:name="_Toc6668"/>
      <w:bookmarkStart w:id="199" w:name="_Toc23408"/>
      <w:bookmarkStart w:id="200" w:name="_Toc14370"/>
      <w:bookmarkStart w:id="201" w:name="_Toc11267"/>
      <w:bookmarkStart w:id="202" w:name="_Toc13720"/>
      <w:bookmarkStart w:id="203" w:name="_Toc6121"/>
      <w:bookmarkStart w:id="204" w:name="_Toc27618"/>
      <w:bookmarkStart w:id="205" w:name="_Toc5890"/>
      <w:bookmarkStart w:id="206" w:name="_Toc29120"/>
      <w:bookmarkStart w:id="207" w:name="_Toc23333"/>
      <w:bookmarkStart w:id="208" w:name="_Toc7286"/>
      <w:bookmarkStart w:id="209" w:name="_Toc26547"/>
      <w:r>
        <w:rPr>
          <w:rFonts w:hint="eastAsia" w:ascii="仿宋" w:hAnsi="仿宋" w:eastAsia="仿宋" w:cs="仿宋"/>
          <w:color w:val="auto"/>
          <w:sz w:val="32"/>
          <w:szCs w:val="32"/>
        </w:rPr>
        <w:t>▲1.公司有效营业执照复印件</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AA18F3C">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要求：</w:t>
      </w:r>
    </w:p>
    <w:p w14:paraId="1300CAB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提供有效的营业执照复印件并</w:t>
      </w:r>
      <w:r>
        <w:rPr>
          <w:rFonts w:hint="eastAsia" w:ascii="仿宋" w:hAnsi="仿宋" w:eastAsia="仿宋" w:cs="仿宋"/>
          <w:color w:val="auto"/>
          <w:sz w:val="24"/>
        </w:rPr>
        <w:t>加盖投标人公章</w:t>
      </w:r>
      <w:r>
        <w:rPr>
          <w:rFonts w:hint="eastAsia" w:ascii="仿宋" w:hAnsi="仿宋" w:eastAsia="仿宋" w:cs="仿宋"/>
          <w:color w:val="auto"/>
          <w:sz w:val="24"/>
          <w:szCs w:val="24"/>
        </w:rPr>
        <w:t>。</w:t>
      </w:r>
    </w:p>
    <w:p w14:paraId="206D80C2">
      <w:pPr>
        <w:spacing w:line="360" w:lineRule="auto"/>
        <w:rPr>
          <w:rFonts w:ascii="仿宋" w:hAnsi="仿宋" w:eastAsia="仿宋" w:cs="仿宋"/>
          <w:color w:val="auto"/>
          <w:sz w:val="24"/>
          <w:szCs w:val="24"/>
        </w:rPr>
      </w:pPr>
    </w:p>
    <w:p w14:paraId="23F167BF">
      <w:pPr>
        <w:tabs>
          <w:tab w:val="left" w:pos="540"/>
        </w:tabs>
        <w:snapToGrid w:val="0"/>
        <w:spacing w:line="360" w:lineRule="auto"/>
        <w:ind w:firstLine="480" w:firstLineChars="200"/>
        <w:rPr>
          <w:rFonts w:ascii="仿宋" w:hAnsi="仿宋" w:eastAsia="仿宋" w:cs="仿宋"/>
          <w:color w:val="auto"/>
          <w:sz w:val="24"/>
          <w:szCs w:val="24"/>
          <w:highlight w:val="yellow"/>
        </w:rPr>
      </w:pPr>
    </w:p>
    <w:p w14:paraId="7F25D8FC">
      <w:pPr>
        <w:tabs>
          <w:tab w:val="left" w:pos="540"/>
        </w:tabs>
        <w:snapToGrid w:val="0"/>
        <w:spacing w:line="360" w:lineRule="auto"/>
        <w:ind w:firstLine="480" w:firstLineChars="200"/>
        <w:rPr>
          <w:rFonts w:ascii="仿宋" w:hAnsi="仿宋" w:eastAsia="仿宋" w:cs="仿宋"/>
          <w:color w:val="auto"/>
          <w:sz w:val="24"/>
          <w:szCs w:val="24"/>
          <w:highlight w:val="yellow"/>
        </w:rPr>
      </w:pPr>
    </w:p>
    <w:p w14:paraId="6A022A24">
      <w:pPr>
        <w:pStyle w:val="32"/>
        <w:rPr>
          <w:rFonts w:ascii="仿宋" w:hAnsi="仿宋" w:eastAsia="仿宋" w:cs="仿宋"/>
          <w:b w:val="0"/>
          <w:bCs w:val="0"/>
          <w:color w:val="auto"/>
          <w:sz w:val="24"/>
          <w:szCs w:val="24"/>
          <w:highlight w:val="yellow"/>
        </w:rPr>
      </w:pPr>
    </w:p>
    <w:p w14:paraId="701784D0">
      <w:pPr>
        <w:pStyle w:val="3"/>
        <w:rPr>
          <w:rFonts w:ascii="仿宋" w:hAnsi="仿宋" w:eastAsia="仿宋" w:cs="仿宋"/>
          <w:color w:val="auto"/>
          <w:sz w:val="24"/>
          <w:szCs w:val="24"/>
          <w:highlight w:val="yellow"/>
        </w:rPr>
      </w:pPr>
    </w:p>
    <w:p w14:paraId="514F0251">
      <w:pPr>
        <w:pStyle w:val="2"/>
        <w:ind w:firstLine="240"/>
        <w:rPr>
          <w:rFonts w:ascii="仿宋" w:hAnsi="仿宋" w:eastAsia="仿宋" w:cs="仿宋"/>
          <w:color w:val="auto"/>
          <w:sz w:val="24"/>
          <w:szCs w:val="24"/>
          <w:highlight w:val="yellow"/>
        </w:rPr>
      </w:pPr>
    </w:p>
    <w:p w14:paraId="5F18C6D9">
      <w:pPr>
        <w:pStyle w:val="18"/>
        <w:rPr>
          <w:rFonts w:ascii="仿宋" w:hAnsi="仿宋" w:eastAsia="仿宋" w:cs="仿宋"/>
          <w:color w:val="auto"/>
          <w:sz w:val="24"/>
          <w:szCs w:val="24"/>
          <w:highlight w:val="yellow"/>
        </w:rPr>
      </w:pPr>
    </w:p>
    <w:p w14:paraId="54916279">
      <w:pPr>
        <w:rPr>
          <w:rFonts w:ascii="仿宋" w:hAnsi="仿宋" w:eastAsia="仿宋" w:cs="仿宋"/>
          <w:color w:val="auto"/>
          <w:sz w:val="24"/>
          <w:szCs w:val="24"/>
          <w:highlight w:val="yellow"/>
        </w:rPr>
      </w:pPr>
    </w:p>
    <w:p w14:paraId="687BAE85">
      <w:pPr>
        <w:pStyle w:val="32"/>
        <w:rPr>
          <w:rFonts w:ascii="仿宋" w:hAnsi="仿宋" w:eastAsia="仿宋" w:cs="仿宋"/>
          <w:b w:val="0"/>
          <w:bCs w:val="0"/>
          <w:color w:val="auto"/>
          <w:sz w:val="24"/>
          <w:szCs w:val="24"/>
          <w:highlight w:val="yellow"/>
        </w:rPr>
      </w:pPr>
    </w:p>
    <w:p w14:paraId="6BE31A1A">
      <w:pPr>
        <w:pStyle w:val="3"/>
        <w:rPr>
          <w:rFonts w:ascii="仿宋" w:hAnsi="仿宋" w:eastAsia="仿宋" w:cs="仿宋"/>
          <w:color w:val="auto"/>
        </w:rPr>
      </w:pPr>
    </w:p>
    <w:p w14:paraId="026D45F8">
      <w:pPr>
        <w:tabs>
          <w:tab w:val="left" w:pos="540"/>
        </w:tabs>
        <w:snapToGrid w:val="0"/>
        <w:spacing w:line="360" w:lineRule="auto"/>
        <w:ind w:firstLine="480" w:firstLineChars="200"/>
        <w:rPr>
          <w:rFonts w:ascii="仿宋" w:hAnsi="仿宋" w:eastAsia="仿宋" w:cs="仿宋"/>
          <w:color w:val="auto"/>
          <w:sz w:val="24"/>
          <w:szCs w:val="24"/>
          <w:highlight w:val="yellow"/>
        </w:rPr>
      </w:pPr>
    </w:p>
    <w:p w14:paraId="27581604">
      <w:pPr>
        <w:pStyle w:val="6"/>
        <w:spacing w:before="240" w:after="240"/>
        <w:ind w:firstLine="0" w:firstLineChars="0"/>
        <w:jc w:val="center"/>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.有效</w:t>
      </w:r>
      <w:r>
        <w:rPr>
          <w:rFonts w:hint="eastAsia" w:ascii="仿宋" w:hAnsi="仿宋" w:eastAsia="仿宋" w:cs="仿宋"/>
          <w:color w:val="auto"/>
          <w:sz w:val="32"/>
          <w:szCs w:val="32"/>
          <w:lang w:val="en-US" w:eastAsia="zh-CN"/>
        </w:rPr>
        <w:t>食品经营许可证</w:t>
      </w:r>
      <w:r>
        <w:rPr>
          <w:rFonts w:hint="eastAsia" w:ascii="仿宋" w:hAnsi="仿宋" w:eastAsia="仿宋" w:cs="仿宋"/>
          <w:color w:val="auto"/>
          <w:sz w:val="32"/>
          <w:szCs w:val="32"/>
        </w:rPr>
        <w:t>复印件</w:t>
      </w:r>
    </w:p>
    <w:p w14:paraId="6AC8C0C0">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要求：</w:t>
      </w:r>
    </w:p>
    <w:p w14:paraId="17D8F92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提供有效的食品经营许可证</w:t>
      </w:r>
      <w:r>
        <w:rPr>
          <w:rFonts w:hint="eastAsia" w:ascii="仿宋" w:hAnsi="仿宋" w:eastAsia="仿宋" w:cs="仿宋"/>
          <w:color w:val="auto"/>
          <w:sz w:val="24"/>
          <w:szCs w:val="24"/>
          <w:lang w:val="en-US" w:eastAsia="zh-CN"/>
        </w:rPr>
        <w:t>复印件</w:t>
      </w:r>
      <w:r>
        <w:rPr>
          <w:rFonts w:hint="eastAsia" w:ascii="仿宋" w:hAnsi="仿宋" w:eastAsia="仿宋" w:cs="仿宋"/>
          <w:color w:val="auto"/>
          <w:sz w:val="24"/>
          <w:szCs w:val="24"/>
        </w:rPr>
        <w:t>并</w:t>
      </w:r>
      <w:r>
        <w:rPr>
          <w:rFonts w:hint="eastAsia" w:ascii="仿宋" w:hAnsi="仿宋" w:eastAsia="仿宋" w:cs="仿宋"/>
          <w:color w:val="auto"/>
          <w:sz w:val="24"/>
        </w:rPr>
        <w:t>加盖投标人公章</w:t>
      </w:r>
      <w:r>
        <w:rPr>
          <w:rFonts w:hint="eastAsia" w:ascii="仿宋" w:hAnsi="仿宋" w:eastAsia="仿宋" w:cs="仿宋"/>
          <w:color w:val="auto"/>
          <w:sz w:val="24"/>
          <w:szCs w:val="24"/>
        </w:rPr>
        <w:t>。</w:t>
      </w:r>
    </w:p>
    <w:p w14:paraId="3508255A">
      <w:pPr>
        <w:pStyle w:val="32"/>
        <w:rPr>
          <w:rFonts w:ascii="仿宋" w:hAnsi="仿宋" w:eastAsia="仿宋" w:cs="仿宋"/>
          <w:b w:val="0"/>
          <w:bCs w:val="0"/>
          <w:color w:val="auto"/>
          <w:sz w:val="24"/>
          <w:szCs w:val="24"/>
          <w:highlight w:val="yellow"/>
        </w:rPr>
      </w:pPr>
    </w:p>
    <w:p w14:paraId="71572DE2">
      <w:pPr>
        <w:rPr>
          <w:rFonts w:ascii="仿宋" w:hAnsi="仿宋" w:eastAsia="仿宋" w:cs="仿宋"/>
          <w:color w:val="auto"/>
        </w:rPr>
      </w:pPr>
    </w:p>
    <w:p w14:paraId="388832E2">
      <w:pPr>
        <w:pStyle w:val="22"/>
        <w:ind w:firstLine="480"/>
        <w:rPr>
          <w:rFonts w:ascii="仿宋" w:hAnsi="仿宋" w:eastAsia="仿宋" w:cs="仿宋"/>
          <w:color w:val="auto"/>
        </w:rPr>
      </w:pPr>
    </w:p>
    <w:p w14:paraId="5C14E4A3">
      <w:pPr>
        <w:rPr>
          <w:rFonts w:ascii="仿宋" w:hAnsi="仿宋" w:eastAsia="仿宋" w:cs="仿宋"/>
          <w:color w:val="auto"/>
        </w:rPr>
      </w:pPr>
    </w:p>
    <w:p w14:paraId="28942792">
      <w:pPr>
        <w:pStyle w:val="22"/>
        <w:ind w:firstLine="480"/>
        <w:rPr>
          <w:rFonts w:ascii="仿宋" w:hAnsi="仿宋" w:eastAsia="仿宋" w:cs="仿宋"/>
          <w:color w:val="auto"/>
        </w:rPr>
      </w:pPr>
    </w:p>
    <w:p w14:paraId="56BEC429">
      <w:pPr>
        <w:rPr>
          <w:rFonts w:ascii="仿宋" w:hAnsi="仿宋" w:eastAsia="仿宋" w:cs="仿宋"/>
          <w:color w:val="auto"/>
        </w:rPr>
      </w:pPr>
    </w:p>
    <w:p w14:paraId="6F78349B">
      <w:pPr>
        <w:pStyle w:val="22"/>
        <w:ind w:firstLine="480"/>
        <w:rPr>
          <w:rFonts w:ascii="仿宋" w:hAnsi="仿宋" w:eastAsia="仿宋" w:cs="仿宋"/>
          <w:color w:val="auto"/>
        </w:rPr>
      </w:pPr>
    </w:p>
    <w:p w14:paraId="718704BC">
      <w:pPr>
        <w:pStyle w:val="2"/>
        <w:ind w:firstLine="240"/>
        <w:rPr>
          <w:rFonts w:ascii="仿宋" w:hAnsi="仿宋" w:eastAsia="仿宋" w:cs="仿宋"/>
          <w:color w:val="auto"/>
          <w:sz w:val="24"/>
          <w:szCs w:val="24"/>
          <w:highlight w:val="yellow"/>
        </w:rPr>
      </w:pPr>
    </w:p>
    <w:p w14:paraId="63CD85D3">
      <w:pPr>
        <w:pStyle w:val="18"/>
        <w:rPr>
          <w:rFonts w:ascii="仿宋" w:hAnsi="仿宋" w:eastAsia="仿宋" w:cs="仿宋"/>
          <w:color w:val="auto"/>
          <w:sz w:val="24"/>
          <w:szCs w:val="24"/>
          <w:highlight w:val="yellow"/>
        </w:rPr>
      </w:pPr>
    </w:p>
    <w:p w14:paraId="5E93CE49">
      <w:pPr>
        <w:rPr>
          <w:rFonts w:ascii="仿宋" w:hAnsi="仿宋" w:eastAsia="仿宋" w:cs="仿宋"/>
          <w:color w:val="auto"/>
          <w:sz w:val="24"/>
          <w:szCs w:val="24"/>
          <w:highlight w:val="yellow"/>
        </w:rPr>
      </w:pPr>
    </w:p>
    <w:p w14:paraId="675DB02B">
      <w:pPr>
        <w:pStyle w:val="2"/>
        <w:ind w:firstLine="240"/>
        <w:rPr>
          <w:rFonts w:ascii="仿宋" w:hAnsi="仿宋" w:eastAsia="仿宋" w:cs="仿宋"/>
          <w:color w:val="auto"/>
          <w:sz w:val="24"/>
          <w:szCs w:val="24"/>
          <w:highlight w:val="yellow"/>
        </w:rPr>
      </w:pPr>
    </w:p>
    <w:p w14:paraId="103C3FCF">
      <w:pPr>
        <w:pStyle w:val="18"/>
        <w:rPr>
          <w:rFonts w:ascii="仿宋" w:hAnsi="仿宋" w:eastAsia="仿宋" w:cs="仿宋"/>
          <w:color w:val="auto"/>
          <w:sz w:val="24"/>
          <w:szCs w:val="24"/>
          <w:highlight w:val="yellow"/>
        </w:rPr>
      </w:pPr>
    </w:p>
    <w:p w14:paraId="7268A809">
      <w:pPr>
        <w:rPr>
          <w:rFonts w:ascii="仿宋" w:hAnsi="仿宋" w:eastAsia="仿宋" w:cs="仿宋"/>
          <w:color w:val="auto"/>
          <w:sz w:val="24"/>
          <w:szCs w:val="24"/>
          <w:highlight w:val="yellow"/>
        </w:rPr>
      </w:pPr>
    </w:p>
    <w:p w14:paraId="3403582F">
      <w:pPr>
        <w:pStyle w:val="2"/>
        <w:ind w:firstLine="210"/>
        <w:rPr>
          <w:color w:val="auto"/>
        </w:rPr>
      </w:pPr>
    </w:p>
    <w:p w14:paraId="566F3BDC">
      <w:pPr>
        <w:pStyle w:val="26"/>
        <w:ind w:left="420"/>
        <w:rPr>
          <w:rFonts w:ascii="仿宋" w:hAnsi="仿宋" w:eastAsia="仿宋" w:cs="仿宋"/>
          <w:color w:val="auto"/>
          <w:szCs w:val="24"/>
          <w:highlight w:val="yellow"/>
        </w:rPr>
      </w:pPr>
    </w:p>
    <w:p w14:paraId="04584FAD">
      <w:pPr>
        <w:pStyle w:val="6"/>
        <w:spacing w:before="240" w:after="240"/>
        <w:ind w:firstLine="0" w:firstLineChars="0"/>
        <w:jc w:val="center"/>
        <w:rPr>
          <w:rFonts w:ascii="仿宋" w:hAnsi="仿宋" w:eastAsia="仿宋" w:cs="仿宋"/>
          <w:color w:val="auto"/>
          <w:sz w:val="32"/>
          <w:szCs w:val="32"/>
        </w:rPr>
      </w:pPr>
      <w:bookmarkStart w:id="210" w:name="_Toc18250"/>
      <w:bookmarkStart w:id="211" w:name="_Toc28912"/>
      <w:bookmarkStart w:id="212" w:name="_Toc20562"/>
      <w:bookmarkStart w:id="213" w:name="_Toc13094"/>
      <w:bookmarkStart w:id="214" w:name="_Toc23352"/>
      <w:bookmarkStart w:id="215" w:name="_Toc4315"/>
      <w:bookmarkStart w:id="216" w:name="_Toc7704"/>
      <w:bookmarkStart w:id="217" w:name="_Toc11773"/>
      <w:bookmarkStart w:id="218" w:name="_Toc19462"/>
      <w:bookmarkStart w:id="219" w:name="_Toc28058"/>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.法定代表人资格证明书或授权委托书</w:t>
      </w:r>
      <w:bookmarkEnd w:id="210"/>
      <w:bookmarkEnd w:id="211"/>
      <w:bookmarkEnd w:id="212"/>
      <w:bookmarkEnd w:id="213"/>
      <w:bookmarkEnd w:id="214"/>
      <w:bookmarkEnd w:id="215"/>
      <w:bookmarkEnd w:id="216"/>
      <w:bookmarkEnd w:id="217"/>
      <w:bookmarkEnd w:id="218"/>
      <w:bookmarkEnd w:id="219"/>
    </w:p>
    <w:p w14:paraId="4AF550C7">
      <w:pPr>
        <w:pStyle w:val="7"/>
        <w:spacing w:line="360" w:lineRule="auto"/>
        <w:ind w:firstLine="0"/>
        <w:jc w:val="center"/>
        <w:rPr>
          <w:rFonts w:ascii="仿宋" w:hAnsi="仿宋" w:eastAsia="仿宋" w:cs="仿宋"/>
          <w:b/>
          <w:color w:val="auto"/>
          <w:sz w:val="32"/>
          <w:szCs w:val="32"/>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.1 法定代表人资格证明书</w:t>
      </w:r>
    </w:p>
    <w:p w14:paraId="4028AD39">
      <w:pPr>
        <w:rPr>
          <w:rFonts w:ascii="仿宋" w:hAnsi="仿宋" w:eastAsia="仿宋" w:cs="仿宋"/>
          <w:color w:val="auto"/>
          <w:sz w:val="24"/>
          <w:szCs w:val="24"/>
        </w:rPr>
      </w:pPr>
    </w:p>
    <w:p w14:paraId="738A2FC2">
      <w:pPr>
        <w:pStyle w:val="2"/>
        <w:spacing w:line="360" w:lineRule="auto"/>
        <w:ind w:firstLine="240"/>
        <w:rPr>
          <w:rFonts w:ascii="仿宋" w:hAnsi="仿宋" w:eastAsia="仿宋" w:cs="仿宋"/>
          <w:color w:val="auto"/>
          <w:sz w:val="24"/>
          <w:szCs w:val="24"/>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14:paraId="17570D54">
      <w:pPr>
        <w:pStyle w:val="18"/>
        <w:spacing w:line="360" w:lineRule="auto"/>
        <w:rPr>
          <w:rFonts w:ascii="仿宋" w:hAnsi="仿宋" w:eastAsia="仿宋" w:cs="仿宋"/>
          <w:color w:val="auto"/>
          <w:sz w:val="24"/>
          <w:szCs w:val="24"/>
        </w:rPr>
      </w:pPr>
    </w:p>
    <w:p w14:paraId="01A72011">
      <w:pPr>
        <w:pStyle w:val="2"/>
        <w:spacing w:line="360" w:lineRule="auto"/>
        <w:ind w:firstLine="240"/>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p>
    <w:p w14:paraId="0385E9C5">
      <w:pPr>
        <w:pStyle w:val="18"/>
        <w:spacing w:line="360" w:lineRule="auto"/>
        <w:rPr>
          <w:rFonts w:ascii="仿宋" w:hAnsi="仿宋" w:eastAsia="仿宋" w:cs="仿宋"/>
          <w:color w:val="auto"/>
          <w:sz w:val="24"/>
          <w:szCs w:val="24"/>
        </w:rPr>
      </w:pPr>
    </w:p>
    <w:p w14:paraId="4365E9E2">
      <w:pPr>
        <w:pStyle w:val="2"/>
        <w:spacing w:line="360" w:lineRule="auto"/>
        <w:ind w:firstLine="240"/>
        <w:jc w:val="left"/>
        <w:rPr>
          <w:rFonts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性别：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年龄：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14:paraId="37CA54BB">
      <w:pPr>
        <w:pStyle w:val="18"/>
        <w:spacing w:line="360" w:lineRule="auto"/>
        <w:rPr>
          <w:rFonts w:ascii="仿宋" w:hAnsi="仿宋" w:eastAsia="仿宋" w:cs="仿宋"/>
          <w:color w:val="auto"/>
          <w:sz w:val="24"/>
          <w:szCs w:val="24"/>
        </w:rPr>
      </w:pPr>
    </w:p>
    <w:p w14:paraId="68216B6A">
      <w:pPr>
        <w:pStyle w:val="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的法定代表人。为参加就贵方组织的有关</w:t>
      </w:r>
      <w:r>
        <w:rPr>
          <w:rFonts w:hint="eastAsia" w:ascii="仿宋" w:hAnsi="仿宋" w:eastAsia="仿宋" w:cs="仿宋"/>
          <w:color w:val="auto"/>
          <w:sz w:val="24"/>
          <w:szCs w:val="24"/>
          <w:u w:val="single"/>
        </w:rPr>
        <w:t>（项目名称）（项目编号）</w:t>
      </w:r>
      <w:r>
        <w:rPr>
          <w:rFonts w:hint="eastAsia" w:ascii="仿宋" w:hAnsi="仿宋" w:eastAsia="仿宋" w:cs="仿宋"/>
          <w:color w:val="auto"/>
          <w:sz w:val="24"/>
          <w:szCs w:val="24"/>
        </w:rPr>
        <w:t>项目的投标活动，签署并全权办理针对上述项目的投标、开标、评标、签约等具体事务和签署相关文件。</w:t>
      </w:r>
    </w:p>
    <w:p w14:paraId="6522A769">
      <w:pPr>
        <w:pStyle w:val="2"/>
        <w:spacing w:line="360" w:lineRule="auto"/>
        <w:ind w:firstLine="240"/>
        <w:rPr>
          <w:rFonts w:ascii="仿宋" w:hAnsi="仿宋" w:eastAsia="仿宋" w:cs="仿宋"/>
          <w:color w:val="auto"/>
          <w:sz w:val="24"/>
          <w:szCs w:val="24"/>
        </w:rPr>
      </w:pPr>
      <w:r>
        <w:rPr>
          <w:rFonts w:hint="eastAsia" w:ascii="仿宋" w:hAnsi="仿宋" w:eastAsia="仿宋" w:cs="仿宋"/>
          <w:color w:val="auto"/>
          <w:sz w:val="24"/>
          <w:szCs w:val="24"/>
        </w:rPr>
        <w:t>特此证明。</w:t>
      </w:r>
    </w:p>
    <w:p w14:paraId="7D7D422E">
      <w:pPr>
        <w:pStyle w:val="33"/>
        <w:wordWrap w:val="0"/>
        <w:spacing w:line="360" w:lineRule="auto"/>
        <w:ind w:firstLine="480"/>
        <w:jc w:val="right"/>
        <w:rPr>
          <w:rFonts w:ascii="仿宋" w:hAnsi="仿宋" w:eastAsia="仿宋" w:cs="仿宋"/>
          <w:color w:val="auto"/>
          <w:sz w:val="24"/>
          <w:u w:val="single"/>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p>
    <w:p w14:paraId="4960D326">
      <w:pPr>
        <w:pStyle w:val="33"/>
        <w:wordWrap w:val="0"/>
        <w:spacing w:line="360" w:lineRule="auto"/>
        <w:ind w:firstLine="480"/>
        <w:jc w:val="right"/>
        <w:rPr>
          <w:rFonts w:ascii="仿宋" w:hAnsi="仿宋" w:eastAsia="仿宋" w:cs="仿宋"/>
          <w:color w:val="auto"/>
          <w:sz w:val="24"/>
          <w:u w:val="single"/>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p>
    <w:p w14:paraId="22913D23">
      <w:pPr>
        <w:pStyle w:val="7"/>
        <w:rPr>
          <w:rFonts w:ascii="仿宋" w:hAnsi="仿宋" w:eastAsia="仿宋" w:cs="仿宋"/>
          <w:color w:val="auto"/>
        </w:rPr>
      </w:pPr>
    </w:p>
    <w:p w14:paraId="38E32382">
      <w:pPr>
        <w:pStyle w:val="8"/>
        <w:rPr>
          <w:rFonts w:ascii="仿宋" w:hAnsi="仿宋" w:eastAsia="仿宋" w:cs="仿宋"/>
          <w:color w:val="auto"/>
        </w:rPr>
      </w:pPr>
    </w:p>
    <w:p w14:paraId="7CD60A1D">
      <w:pPr>
        <w:pStyle w:val="7"/>
        <w:rPr>
          <w:rFonts w:ascii="仿宋" w:hAnsi="仿宋" w:eastAsia="仿宋" w:cs="仿宋"/>
          <w:color w:val="auto"/>
        </w:rPr>
      </w:pPr>
    </w:p>
    <w:p w14:paraId="3A4EFD36">
      <w:pPr>
        <w:pStyle w:val="2"/>
        <w:spacing w:line="360" w:lineRule="auto"/>
        <w:ind w:firstLine="240"/>
        <w:rPr>
          <w:rFonts w:ascii="仿宋" w:hAnsi="仿宋" w:eastAsia="仿宋" w:cs="仿宋"/>
          <w:color w:val="auto"/>
          <w:sz w:val="24"/>
          <w:szCs w:val="24"/>
        </w:rPr>
      </w:pPr>
      <w:r>
        <w:rPr>
          <w:rFonts w:hint="eastAsia" w:ascii="仿宋" w:hAnsi="仿宋" w:eastAsia="仿宋" w:cs="仿宋"/>
          <w:color w:val="auto"/>
          <w:sz w:val="24"/>
          <w:szCs w:val="24"/>
        </w:rPr>
        <w:t>▲本“法定代表人资格证明书”需附法定代表人身份证件复印件，如复印件不清晰或错误的，后果由供应商承担。</w:t>
      </w:r>
      <w:r>
        <w:rPr>
          <w:rFonts w:hint="eastAsia" w:ascii="仿宋" w:hAnsi="仿宋" w:eastAsia="仿宋" w:cs="仿宋"/>
          <w:b/>
          <w:bCs/>
          <w:color w:val="auto"/>
          <w:sz w:val="24"/>
          <w:szCs w:val="24"/>
        </w:rPr>
        <w:t>负责人参加投标的，提供负责人身份证原件核对</w:t>
      </w:r>
      <w:r>
        <w:rPr>
          <w:rFonts w:hint="eastAsia" w:ascii="仿宋" w:hAnsi="仿宋" w:eastAsia="仿宋" w:cs="仿宋"/>
          <w:color w:val="auto"/>
          <w:sz w:val="24"/>
          <w:szCs w:val="24"/>
        </w:rPr>
        <w:t>。</w:t>
      </w:r>
    </w:p>
    <w:p w14:paraId="0354D211">
      <w:pPr>
        <w:pStyle w:val="2"/>
        <w:spacing w:line="360" w:lineRule="auto"/>
        <w:ind w:firstLine="241"/>
        <w:rPr>
          <w:rFonts w:ascii="仿宋" w:hAnsi="仿宋" w:eastAsia="仿宋" w:cs="仿宋"/>
          <w:color w:val="auto"/>
          <w:sz w:val="24"/>
          <w:szCs w:val="24"/>
        </w:rPr>
      </w:pPr>
      <w:r>
        <w:rPr>
          <w:rFonts w:hint="eastAsia" w:ascii="仿宋" w:hAnsi="仿宋" w:eastAsia="仿宋" w:cs="仿宋"/>
          <w:b/>
          <w:bCs/>
          <w:color w:val="auto"/>
          <w:sz w:val="24"/>
          <w:szCs w:val="24"/>
        </w:rPr>
        <w:t>法定代表人</w:t>
      </w:r>
      <w:r>
        <w:rPr>
          <w:rFonts w:hint="eastAsia" w:ascii="仿宋" w:hAnsi="仿宋" w:eastAsia="仿宋" w:cs="仿宋"/>
          <w:color w:val="auto"/>
          <w:sz w:val="24"/>
          <w:szCs w:val="24"/>
        </w:rPr>
        <w:t>身份证件</w:t>
      </w:r>
      <w:r>
        <w:rPr>
          <w:rFonts w:hint="eastAsia" w:ascii="仿宋" w:hAnsi="仿宋" w:eastAsia="仿宋" w:cs="仿宋"/>
          <w:bCs/>
          <w:color w:val="auto"/>
          <w:sz w:val="24"/>
        </w:rPr>
        <w:t>复印件</w:t>
      </w:r>
      <w:r>
        <w:rPr>
          <w:rFonts w:hint="eastAsia" w:ascii="仿宋" w:hAnsi="仿宋" w:eastAsia="仿宋" w:cs="仿宋"/>
          <w:color w:val="auto"/>
          <w:sz w:val="24"/>
          <w:szCs w:val="24"/>
        </w:rPr>
        <w:t>：</w:t>
      </w:r>
    </w:p>
    <w:p w14:paraId="680B9AA8">
      <w:pPr>
        <w:pStyle w:val="18"/>
        <w:rPr>
          <w:rFonts w:ascii="仿宋" w:hAnsi="仿宋" w:eastAsia="仿宋" w:cs="仿宋"/>
          <w:color w:val="auto"/>
        </w:rPr>
      </w:pPr>
    </w:p>
    <w:tbl>
      <w:tblPr>
        <w:tblStyle w:val="23"/>
        <w:tblW w:w="0" w:type="auto"/>
        <w:tblInd w:w="0" w:type="dxa"/>
        <w:tblLayout w:type="fixed"/>
        <w:tblCellMar>
          <w:top w:w="0" w:type="dxa"/>
          <w:left w:w="108" w:type="dxa"/>
          <w:bottom w:w="0" w:type="dxa"/>
          <w:right w:w="108" w:type="dxa"/>
        </w:tblCellMar>
      </w:tblPr>
      <w:tblGrid>
        <w:gridCol w:w="4621"/>
        <w:gridCol w:w="4621"/>
      </w:tblGrid>
      <w:tr w14:paraId="46D48A9F">
        <w:trPr>
          <w:trHeight w:val="2733" w:hRule="atLeast"/>
        </w:trPr>
        <w:tc>
          <w:tcPr>
            <w:tcW w:w="4621" w:type="dxa"/>
          </w:tcPr>
          <w:p w14:paraId="20391FFD">
            <w:pPr>
              <w:pStyle w:val="33"/>
              <w:spacing w:line="440" w:lineRule="exact"/>
              <w:rPr>
                <w:rFonts w:ascii="仿宋" w:hAnsi="仿宋" w:eastAsia="仿宋" w:cs="仿宋"/>
                <w:color w:val="auto"/>
                <w:spacing w:val="20"/>
                <w:sz w:val="24"/>
              </w:rPr>
            </w:pPr>
            <w:r>
              <w:rPr>
                <w:rFonts w:hint="eastAsia" w:ascii="仿宋" w:hAnsi="仿宋" w:eastAsia="仿宋" w:cs="仿宋"/>
                <w:color w:val="auto"/>
                <w:spacing w:val="20"/>
                <w:sz w:val="24"/>
              </w:rPr>
              <w:t>正面：</w:t>
            </w:r>
          </w:p>
          <w:p w14:paraId="4A8CE82E">
            <w:pPr>
              <w:pStyle w:val="33"/>
              <w:spacing w:line="440" w:lineRule="exact"/>
              <w:rPr>
                <w:rFonts w:ascii="仿宋" w:hAnsi="仿宋" w:eastAsia="仿宋" w:cs="仿宋"/>
                <w:color w:val="auto"/>
                <w:spacing w:val="20"/>
                <w:sz w:val="24"/>
              </w:rPr>
            </w:pPr>
          </w:p>
        </w:tc>
        <w:tc>
          <w:tcPr>
            <w:tcW w:w="4621" w:type="dxa"/>
          </w:tcPr>
          <w:p w14:paraId="1AB3FA30">
            <w:pPr>
              <w:pStyle w:val="33"/>
              <w:spacing w:line="440" w:lineRule="exact"/>
              <w:rPr>
                <w:rFonts w:ascii="仿宋" w:hAnsi="仿宋" w:eastAsia="仿宋" w:cs="仿宋"/>
                <w:color w:val="auto"/>
                <w:spacing w:val="20"/>
                <w:sz w:val="24"/>
              </w:rPr>
            </w:pPr>
            <w:r>
              <w:rPr>
                <w:rFonts w:hint="eastAsia" w:ascii="仿宋" w:hAnsi="仿宋" w:eastAsia="仿宋" w:cs="仿宋"/>
                <w:color w:val="auto"/>
                <w:spacing w:val="20"/>
                <w:sz w:val="24"/>
              </w:rPr>
              <w:t>反面：</w:t>
            </w:r>
          </w:p>
          <w:p w14:paraId="0591D63D">
            <w:pPr>
              <w:pStyle w:val="33"/>
              <w:spacing w:line="440" w:lineRule="exact"/>
              <w:rPr>
                <w:rFonts w:ascii="仿宋" w:hAnsi="仿宋" w:eastAsia="仿宋" w:cs="仿宋"/>
                <w:color w:val="auto"/>
                <w:spacing w:val="20"/>
                <w:sz w:val="24"/>
                <w:u w:val="single"/>
              </w:rPr>
            </w:pPr>
          </w:p>
        </w:tc>
      </w:tr>
    </w:tbl>
    <w:p w14:paraId="62D6D2E5">
      <w:pPr>
        <w:pStyle w:val="7"/>
        <w:spacing w:line="360" w:lineRule="auto"/>
        <w:ind w:firstLine="0"/>
        <w:jc w:val="center"/>
        <w:rPr>
          <w:rFonts w:ascii="仿宋" w:hAnsi="仿宋" w:eastAsia="仿宋" w:cs="仿宋"/>
          <w:b/>
          <w:color w:val="auto"/>
          <w:sz w:val="32"/>
          <w:szCs w:val="32"/>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.2 授权委托书</w:t>
      </w:r>
    </w:p>
    <w:p w14:paraId="666592ED">
      <w:pPr>
        <w:rPr>
          <w:color w:val="auto"/>
        </w:rPr>
      </w:pPr>
    </w:p>
    <w:p w14:paraId="61C271FA">
      <w:pPr>
        <w:pStyle w:val="33"/>
        <w:autoSpaceDE w:val="0"/>
        <w:autoSpaceDN w:val="0"/>
        <w:spacing w:line="360" w:lineRule="auto"/>
        <w:textAlignment w:val="bottom"/>
        <w:rPr>
          <w:rFonts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遂昌县人民医院</w:t>
      </w:r>
      <w:r>
        <w:rPr>
          <w:rFonts w:hint="eastAsia" w:ascii="仿宋" w:hAnsi="仿宋" w:eastAsia="仿宋" w:cs="仿宋"/>
          <w:color w:val="auto"/>
          <w:sz w:val="24"/>
          <w:szCs w:val="21"/>
          <w:u w:val="single"/>
        </w:rPr>
        <w:t>、遂昌一航采购代理有限公司：</w:t>
      </w:r>
    </w:p>
    <w:p w14:paraId="7B9B6287">
      <w:pPr>
        <w:pStyle w:val="33"/>
        <w:autoSpaceDE w:val="0"/>
        <w:autoSpaceDN w:val="0"/>
        <w:spacing w:line="440" w:lineRule="exact"/>
        <w:textAlignment w:val="bottom"/>
        <w:rPr>
          <w:rFonts w:ascii="仿宋" w:hAnsi="仿宋" w:eastAsia="仿宋" w:cs="仿宋"/>
          <w:color w:val="auto"/>
          <w:sz w:val="24"/>
          <w:szCs w:val="20"/>
        </w:rPr>
      </w:pPr>
      <w:r>
        <w:rPr>
          <w:rFonts w:hint="eastAsia" w:ascii="仿宋" w:hAnsi="仿宋" w:eastAsia="仿宋" w:cs="仿宋"/>
          <w:color w:val="auto"/>
        </w:rPr>
        <w:t xml:space="preserve">   </w:t>
      </w:r>
      <w:r>
        <w:rPr>
          <w:rFonts w:hint="eastAsia" w:ascii="仿宋" w:hAnsi="仿宋" w:eastAsia="仿宋" w:cs="仿宋"/>
          <w:color w:val="auto"/>
          <w:sz w:val="24"/>
          <w:szCs w:val="20"/>
        </w:rPr>
        <w:t xml:space="preserve">  我</w:t>
      </w:r>
      <w:r>
        <w:rPr>
          <w:rFonts w:hint="eastAsia" w:ascii="仿宋" w:hAnsi="仿宋" w:eastAsia="仿宋" w:cs="仿宋"/>
          <w:color w:val="auto"/>
          <w:sz w:val="24"/>
          <w:szCs w:val="20"/>
          <w:u w:val="single"/>
        </w:rPr>
        <w:t xml:space="preserve">              （</w:t>
      </w:r>
      <w:r>
        <w:rPr>
          <w:rFonts w:hint="eastAsia" w:ascii="仿宋" w:hAnsi="仿宋" w:eastAsia="仿宋" w:cs="仿宋"/>
          <w:color w:val="auto"/>
          <w:spacing w:val="20"/>
          <w:sz w:val="24"/>
          <w:szCs w:val="21"/>
        </w:rPr>
        <w:t>法定代表人</w:t>
      </w:r>
      <w:r>
        <w:rPr>
          <w:rFonts w:hint="eastAsia" w:ascii="仿宋" w:hAnsi="仿宋" w:eastAsia="仿宋" w:cs="仿宋"/>
          <w:color w:val="auto"/>
          <w:sz w:val="24"/>
          <w:szCs w:val="20"/>
        </w:rPr>
        <w:t>姓名）系</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（投标人全称）的</w:t>
      </w:r>
      <w:r>
        <w:rPr>
          <w:rFonts w:hint="eastAsia" w:ascii="仿宋" w:hAnsi="仿宋" w:eastAsia="仿宋" w:cs="仿宋"/>
          <w:color w:val="auto"/>
          <w:spacing w:val="20"/>
          <w:sz w:val="24"/>
          <w:szCs w:val="21"/>
        </w:rPr>
        <w:t>法定代表人</w:t>
      </w:r>
      <w:r>
        <w:rPr>
          <w:rFonts w:hint="eastAsia" w:ascii="仿宋" w:hAnsi="仿宋" w:eastAsia="仿宋" w:cs="仿宋"/>
          <w:color w:val="auto"/>
          <w:sz w:val="24"/>
          <w:szCs w:val="20"/>
        </w:rPr>
        <w:t>，现授权委托本单位在职职工</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（姓名）以我方的名义参加就贵方组织的</w:t>
      </w:r>
      <w:r>
        <w:rPr>
          <w:rFonts w:hint="eastAsia" w:ascii="仿宋" w:hAnsi="仿宋" w:eastAsia="仿宋" w:cs="仿宋"/>
          <w:color w:val="auto"/>
          <w:sz w:val="24"/>
          <w:szCs w:val="20"/>
          <w:u w:val="single"/>
        </w:rPr>
        <w:t xml:space="preserve">     （项目名称）（项目编号）  </w:t>
      </w:r>
      <w:r>
        <w:rPr>
          <w:rFonts w:hint="eastAsia" w:ascii="仿宋" w:hAnsi="仿宋" w:eastAsia="仿宋" w:cs="仿宋"/>
          <w:color w:val="auto"/>
          <w:sz w:val="24"/>
          <w:szCs w:val="20"/>
        </w:rPr>
        <w:t>的招标活动，并代表我方全权办理针对上述项目的投标、开标、评审、签约等具体事务和签署相关文件。</w:t>
      </w:r>
    </w:p>
    <w:p w14:paraId="131FC5AA">
      <w:pPr>
        <w:pStyle w:val="33"/>
        <w:autoSpaceDE w:val="0"/>
        <w:autoSpaceDN w:val="0"/>
        <w:spacing w:line="440" w:lineRule="exact"/>
        <w:textAlignment w:val="bottom"/>
        <w:rPr>
          <w:rFonts w:ascii="仿宋" w:hAnsi="仿宋" w:eastAsia="仿宋" w:cs="仿宋"/>
          <w:color w:val="auto"/>
          <w:sz w:val="24"/>
          <w:szCs w:val="20"/>
        </w:rPr>
      </w:pPr>
      <w:r>
        <w:rPr>
          <w:rFonts w:hint="eastAsia" w:ascii="仿宋" w:hAnsi="仿宋" w:eastAsia="仿宋" w:cs="仿宋"/>
          <w:color w:val="auto"/>
          <w:sz w:val="24"/>
          <w:szCs w:val="20"/>
        </w:rPr>
        <w:t xml:space="preserve">    我方对被委托人的签字或盖章事项负全部责任。</w:t>
      </w:r>
    </w:p>
    <w:p w14:paraId="44EEBE89">
      <w:pPr>
        <w:pStyle w:val="33"/>
        <w:spacing w:line="440" w:lineRule="exact"/>
        <w:ind w:firstLine="480"/>
        <w:rPr>
          <w:rFonts w:ascii="仿宋" w:hAnsi="仿宋" w:eastAsia="仿宋" w:cs="仿宋"/>
          <w:color w:val="auto"/>
          <w:sz w:val="24"/>
          <w:szCs w:val="21"/>
        </w:rPr>
      </w:pPr>
      <w:r>
        <w:rPr>
          <w:rFonts w:hint="eastAsia" w:ascii="仿宋" w:hAnsi="仿宋" w:eastAsia="仿宋" w:cs="仿宋"/>
          <w:color w:val="auto"/>
          <w:sz w:val="24"/>
          <w:szCs w:val="21"/>
        </w:rPr>
        <w:t>本授权书自签署之日起生效，在撤销授权的书面通知送达贵方以前，本授权委托书一直有效。被委托人在授权书有效期内签署的所有文件不因授权的撤销而失效。</w:t>
      </w:r>
    </w:p>
    <w:p w14:paraId="161054F4">
      <w:pPr>
        <w:pStyle w:val="33"/>
        <w:spacing w:line="440" w:lineRule="exact"/>
        <w:ind w:firstLine="480"/>
        <w:rPr>
          <w:rFonts w:ascii="仿宋" w:hAnsi="仿宋" w:eastAsia="仿宋" w:cs="仿宋"/>
          <w:color w:val="auto"/>
          <w:sz w:val="24"/>
          <w:szCs w:val="21"/>
        </w:rPr>
      </w:pPr>
      <w:r>
        <w:rPr>
          <w:rFonts w:hint="eastAsia" w:ascii="仿宋" w:hAnsi="仿宋" w:eastAsia="仿宋" w:cs="仿宋"/>
          <w:color w:val="auto"/>
          <w:sz w:val="24"/>
          <w:szCs w:val="21"/>
        </w:rPr>
        <w:t>被委托人无转委托权，特此声明。</w:t>
      </w:r>
    </w:p>
    <w:p w14:paraId="0B97DD8D">
      <w:pPr>
        <w:pStyle w:val="33"/>
        <w:spacing w:line="440" w:lineRule="exact"/>
        <w:ind w:firstLine="3751" w:firstLineChars="1563"/>
        <w:rPr>
          <w:rFonts w:ascii="仿宋" w:hAnsi="仿宋" w:eastAsia="仿宋" w:cs="仿宋"/>
          <w:color w:val="auto"/>
          <w:sz w:val="24"/>
          <w:szCs w:val="21"/>
        </w:rPr>
      </w:pPr>
    </w:p>
    <w:p w14:paraId="5C1B1395">
      <w:pPr>
        <w:pStyle w:val="33"/>
        <w:spacing w:line="440" w:lineRule="exact"/>
        <w:ind w:firstLine="3640" w:firstLineChars="1300"/>
        <w:rPr>
          <w:rFonts w:ascii="仿宋" w:hAnsi="仿宋" w:eastAsia="仿宋" w:cs="仿宋"/>
          <w:color w:val="auto"/>
          <w:spacing w:val="20"/>
          <w:sz w:val="24"/>
          <w:szCs w:val="21"/>
        </w:rPr>
      </w:pPr>
      <w:r>
        <w:rPr>
          <w:rFonts w:hint="eastAsia" w:ascii="仿宋" w:hAnsi="仿宋" w:eastAsia="仿宋" w:cs="仿宋"/>
          <w:color w:val="auto"/>
          <w:spacing w:val="20"/>
          <w:sz w:val="24"/>
          <w:szCs w:val="21"/>
        </w:rPr>
        <w:t>法定代表人签字或盖章：</w:t>
      </w:r>
      <w:r>
        <w:rPr>
          <w:rFonts w:hint="eastAsia" w:ascii="仿宋" w:hAnsi="仿宋" w:eastAsia="仿宋" w:cs="仿宋"/>
          <w:color w:val="auto"/>
          <w:spacing w:val="20"/>
          <w:sz w:val="24"/>
          <w:szCs w:val="21"/>
          <w:u w:val="single"/>
        </w:rPr>
        <w:t xml:space="preserve">            </w:t>
      </w:r>
      <w:r>
        <w:rPr>
          <w:rFonts w:hint="eastAsia" w:ascii="仿宋" w:hAnsi="仿宋" w:eastAsia="仿宋" w:cs="仿宋"/>
          <w:color w:val="auto"/>
          <w:spacing w:val="20"/>
          <w:sz w:val="24"/>
          <w:szCs w:val="21"/>
        </w:rPr>
        <w:t xml:space="preserve"> </w:t>
      </w:r>
    </w:p>
    <w:p w14:paraId="15CB1F29">
      <w:pPr>
        <w:pStyle w:val="33"/>
        <w:spacing w:line="440" w:lineRule="exact"/>
        <w:ind w:firstLine="5040" w:firstLineChars="1800"/>
        <w:rPr>
          <w:rFonts w:ascii="仿宋" w:hAnsi="仿宋" w:eastAsia="仿宋" w:cs="仿宋"/>
          <w:color w:val="auto"/>
          <w:spacing w:val="20"/>
          <w:sz w:val="24"/>
          <w:szCs w:val="21"/>
          <w:u w:val="single"/>
        </w:rPr>
      </w:pPr>
      <w:r>
        <w:rPr>
          <w:rFonts w:hint="eastAsia" w:ascii="仿宋" w:hAnsi="仿宋" w:eastAsia="仿宋" w:cs="仿宋"/>
          <w:color w:val="auto"/>
          <w:spacing w:val="20"/>
          <w:sz w:val="24"/>
          <w:szCs w:val="21"/>
        </w:rPr>
        <w:t>投标人盖章：</w:t>
      </w:r>
      <w:r>
        <w:rPr>
          <w:rFonts w:hint="eastAsia" w:ascii="仿宋" w:hAnsi="仿宋" w:eastAsia="仿宋" w:cs="仿宋"/>
          <w:color w:val="auto"/>
          <w:spacing w:val="20"/>
          <w:sz w:val="24"/>
          <w:szCs w:val="21"/>
          <w:u w:val="single"/>
        </w:rPr>
        <w:t xml:space="preserve">            </w:t>
      </w:r>
    </w:p>
    <w:p w14:paraId="2C772E2E">
      <w:pPr>
        <w:pStyle w:val="33"/>
        <w:spacing w:line="440" w:lineRule="exact"/>
        <w:ind w:firstLine="5040" w:firstLineChars="1800"/>
        <w:rPr>
          <w:rFonts w:ascii="仿宋" w:hAnsi="仿宋" w:eastAsia="仿宋" w:cs="仿宋"/>
          <w:color w:val="auto"/>
          <w:spacing w:val="20"/>
          <w:sz w:val="24"/>
          <w:szCs w:val="21"/>
          <w:u w:val="single"/>
        </w:rPr>
      </w:pPr>
      <w:r>
        <w:rPr>
          <w:rFonts w:hint="eastAsia" w:ascii="仿宋" w:hAnsi="仿宋" w:eastAsia="仿宋" w:cs="仿宋"/>
          <w:color w:val="auto"/>
          <w:spacing w:val="20"/>
          <w:sz w:val="24"/>
          <w:szCs w:val="21"/>
        </w:rPr>
        <w:t>日     期：</w:t>
      </w:r>
      <w:r>
        <w:rPr>
          <w:rFonts w:hint="eastAsia" w:ascii="仿宋" w:hAnsi="仿宋" w:eastAsia="仿宋" w:cs="仿宋"/>
          <w:color w:val="auto"/>
          <w:spacing w:val="20"/>
          <w:sz w:val="24"/>
          <w:szCs w:val="21"/>
          <w:u w:val="single"/>
        </w:rPr>
        <w:t xml:space="preserve">            </w:t>
      </w:r>
    </w:p>
    <w:p w14:paraId="73335CB8">
      <w:pPr>
        <w:pStyle w:val="33"/>
        <w:spacing w:line="440" w:lineRule="exact"/>
        <w:rPr>
          <w:rFonts w:ascii="仿宋" w:hAnsi="仿宋" w:eastAsia="仿宋" w:cs="仿宋"/>
          <w:color w:val="auto"/>
          <w:sz w:val="24"/>
          <w:szCs w:val="21"/>
        </w:rPr>
      </w:pPr>
      <w:r>
        <w:rPr>
          <w:rFonts w:hint="eastAsia" w:ascii="仿宋" w:hAnsi="仿宋" w:eastAsia="仿宋" w:cs="仿宋"/>
          <w:color w:val="auto"/>
          <w:sz w:val="24"/>
          <w:szCs w:val="21"/>
        </w:rPr>
        <w:t>_____________________________________________________________________</w:t>
      </w:r>
    </w:p>
    <w:p w14:paraId="14790006">
      <w:pPr>
        <w:pStyle w:val="33"/>
        <w:spacing w:line="440" w:lineRule="exact"/>
        <w:ind w:firstLine="480"/>
        <w:rPr>
          <w:rFonts w:ascii="仿宋" w:hAnsi="仿宋" w:eastAsia="仿宋" w:cs="仿宋"/>
          <w:color w:val="auto"/>
          <w:sz w:val="24"/>
          <w:szCs w:val="21"/>
        </w:rPr>
      </w:pPr>
      <w:r>
        <w:rPr>
          <w:rFonts w:hint="eastAsia" w:ascii="仿宋" w:hAnsi="仿宋" w:eastAsia="仿宋" w:cs="仿宋"/>
          <w:color w:val="auto"/>
          <w:sz w:val="24"/>
          <w:szCs w:val="21"/>
        </w:rPr>
        <w:t>附：1.被委托人工作单位：</w:t>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 xml:space="preserve">职务： </w:t>
      </w:r>
    </w:p>
    <w:p w14:paraId="01029F5B">
      <w:pPr>
        <w:pStyle w:val="33"/>
        <w:spacing w:line="440" w:lineRule="exact"/>
        <w:ind w:firstLine="480"/>
        <w:rPr>
          <w:rFonts w:ascii="仿宋" w:hAnsi="仿宋" w:eastAsia="仿宋" w:cs="仿宋"/>
          <w:color w:val="auto"/>
          <w:sz w:val="24"/>
          <w:szCs w:val="21"/>
        </w:rPr>
      </w:pPr>
      <w:r>
        <w:rPr>
          <w:rFonts w:hint="eastAsia" w:ascii="仿宋" w:hAnsi="仿宋" w:eastAsia="仿宋" w:cs="仿宋"/>
          <w:color w:val="auto"/>
          <w:sz w:val="24"/>
          <w:szCs w:val="21"/>
        </w:rPr>
        <w:t xml:space="preserve">      身份证号码：　　　　　　　　　　</w:t>
      </w:r>
      <w:r>
        <w:rPr>
          <w:rFonts w:hint="eastAsia" w:ascii="仿宋" w:hAnsi="仿宋" w:eastAsia="仿宋" w:cs="仿宋"/>
          <w:color w:val="auto"/>
          <w:sz w:val="24"/>
          <w:szCs w:val="21"/>
        </w:rPr>
        <w:tab/>
      </w:r>
      <w:r>
        <w:rPr>
          <w:rFonts w:hint="eastAsia" w:ascii="仿宋" w:hAnsi="仿宋" w:eastAsia="仿宋" w:cs="仿宋"/>
          <w:color w:val="auto"/>
          <w:sz w:val="24"/>
          <w:szCs w:val="21"/>
        </w:rPr>
        <w:t xml:space="preserve">性别：　    </w:t>
      </w:r>
    </w:p>
    <w:p w14:paraId="5CA809DF">
      <w:pPr>
        <w:pStyle w:val="33"/>
        <w:spacing w:line="360" w:lineRule="auto"/>
        <w:ind w:firstLine="420"/>
        <w:rPr>
          <w:rFonts w:ascii="仿宋" w:hAnsi="仿宋" w:eastAsia="仿宋" w:cs="仿宋"/>
          <w:b/>
          <w:color w:val="auto"/>
          <w:sz w:val="24"/>
          <w:szCs w:val="21"/>
        </w:rPr>
      </w:pPr>
    </w:p>
    <w:p w14:paraId="358FA979">
      <w:pPr>
        <w:pStyle w:val="33"/>
        <w:spacing w:line="360" w:lineRule="auto"/>
        <w:ind w:firstLine="482" w:firstLineChars="200"/>
        <w:rPr>
          <w:rFonts w:ascii="仿宋" w:hAnsi="仿宋" w:eastAsia="仿宋" w:cs="仿宋"/>
          <w:color w:val="auto"/>
          <w:sz w:val="24"/>
          <w:szCs w:val="21"/>
        </w:rPr>
      </w:pPr>
      <w:r>
        <w:rPr>
          <w:rFonts w:hint="eastAsia" w:ascii="仿宋" w:hAnsi="仿宋" w:eastAsia="仿宋" w:cs="仿宋"/>
          <w:b/>
          <w:color w:val="auto"/>
          <w:sz w:val="24"/>
          <w:szCs w:val="21"/>
        </w:rPr>
        <w:t>注：</w:t>
      </w:r>
      <w:r>
        <w:rPr>
          <w:rFonts w:hint="eastAsia" w:ascii="仿宋" w:hAnsi="仿宋" w:eastAsia="仿宋" w:cs="仿宋"/>
          <w:color w:val="auto"/>
          <w:sz w:val="24"/>
          <w:szCs w:val="21"/>
        </w:rPr>
        <w:t>1.委托人为上述条款中的负责人；若是负责人参会的，不需要提供此授权委托书。</w:t>
      </w:r>
    </w:p>
    <w:p w14:paraId="636556C1">
      <w:pPr>
        <w:pStyle w:val="33"/>
        <w:spacing w:line="360" w:lineRule="auto"/>
        <w:ind w:firstLine="480" w:firstLineChars="200"/>
        <w:rPr>
          <w:rFonts w:ascii="仿宋" w:hAnsi="仿宋" w:eastAsia="仿宋" w:cs="仿宋"/>
          <w:b/>
          <w:bCs/>
          <w:color w:val="auto"/>
          <w:sz w:val="24"/>
          <w:szCs w:val="21"/>
        </w:rPr>
      </w:pPr>
      <w:r>
        <w:rPr>
          <w:rFonts w:hint="eastAsia" w:ascii="仿宋" w:hAnsi="仿宋" w:eastAsia="仿宋" w:cs="仿宋"/>
          <w:color w:val="auto"/>
          <w:sz w:val="24"/>
          <w:szCs w:val="21"/>
        </w:rPr>
        <w:t>▲2.本“授权委托书”需附</w:t>
      </w:r>
      <w:r>
        <w:rPr>
          <w:rFonts w:hint="eastAsia" w:ascii="仿宋" w:hAnsi="仿宋" w:eastAsia="仿宋" w:cs="仿宋"/>
          <w:color w:val="auto"/>
          <w:spacing w:val="20"/>
          <w:sz w:val="24"/>
          <w:szCs w:val="21"/>
        </w:rPr>
        <w:t>法定代表人</w:t>
      </w:r>
      <w:r>
        <w:rPr>
          <w:rFonts w:hint="eastAsia" w:ascii="仿宋" w:hAnsi="仿宋" w:eastAsia="仿宋" w:cs="仿宋"/>
          <w:color w:val="auto"/>
          <w:sz w:val="24"/>
          <w:szCs w:val="21"/>
        </w:rPr>
        <w:t>、被委托人有效身份证件复印件，如复印件不清晰或错误的，后果由投标人承担。</w:t>
      </w:r>
      <w:r>
        <w:rPr>
          <w:rFonts w:hint="eastAsia" w:ascii="仿宋" w:hAnsi="仿宋" w:eastAsia="仿宋" w:cs="仿宋"/>
          <w:b/>
          <w:bCs/>
          <w:color w:val="auto"/>
          <w:sz w:val="24"/>
          <w:szCs w:val="21"/>
        </w:rPr>
        <w:t>委托代理人参加投标的，提供委托代理人身份证原件核对。</w:t>
      </w:r>
    </w:p>
    <w:p w14:paraId="41BE151C">
      <w:pPr>
        <w:pStyle w:val="34"/>
        <w:spacing w:line="440" w:lineRule="exact"/>
        <w:rPr>
          <w:rFonts w:ascii="仿宋" w:hAnsi="仿宋" w:eastAsia="仿宋" w:cs="仿宋"/>
          <w:bCs/>
          <w:color w:val="auto"/>
          <w:sz w:val="24"/>
        </w:rPr>
      </w:pPr>
      <w:r>
        <w:rPr>
          <w:rFonts w:hint="eastAsia" w:ascii="仿宋" w:hAnsi="仿宋" w:eastAsia="仿宋" w:cs="仿宋"/>
          <w:color w:val="auto"/>
        </w:rPr>
        <w:br w:type="page"/>
      </w:r>
      <w:r>
        <w:rPr>
          <w:rFonts w:hint="eastAsia" w:ascii="仿宋" w:hAnsi="仿宋" w:eastAsia="仿宋" w:cs="仿宋"/>
          <w:bCs/>
          <w:color w:val="auto"/>
          <w:sz w:val="24"/>
        </w:rPr>
        <w:t>法定代表人身份证件复印件：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59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3CBBB3">
            <w:pPr>
              <w:pStyle w:val="34"/>
              <w:spacing w:line="440" w:lineRule="exact"/>
              <w:rPr>
                <w:rFonts w:ascii="仿宋" w:hAnsi="仿宋" w:eastAsia="仿宋" w:cs="仿宋"/>
                <w:bCs/>
                <w:color w:val="auto"/>
                <w:sz w:val="24"/>
              </w:rPr>
            </w:pPr>
            <w:r>
              <w:rPr>
                <w:rFonts w:hint="eastAsia" w:ascii="仿宋" w:hAnsi="仿宋" w:eastAsia="仿宋" w:cs="仿宋"/>
                <w:bCs/>
                <w:color w:val="auto"/>
                <w:sz w:val="24"/>
              </w:rPr>
              <w:t>正面：                                 反面：</w:t>
            </w:r>
          </w:p>
          <w:p w14:paraId="18F9846B">
            <w:pPr>
              <w:pStyle w:val="34"/>
              <w:spacing w:line="440" w:lineRule="exact"/>
              <w:rPr>
                <w:rFonts w:ascii="仿宋" w:hAnsi="仿宋" w:eastAsia="仿宋" w:cs="仿宋"/>
                <w:bCs/>
                <w:color w:val="auto"/>
                <w:sz w:val="24"/>
              </w:rPr>
            </w:pPr>
          </w:p>
        </w:tc>
      </w:tr>
    </w:tbl>
    <w:p w14:paraId="066D5C68">
      <w:pPr>
        <w:pStyle w:val="34"/>
        <w:spacing w:line="440" w:lineRule="exact"/>
        <w:rPr>
          <w:rFonts w:ascii="仿宋" w:hAnsi="仿宋" w:eastAsia="仿宋" w:cs="仿宋"/>
          <w:bCs/>
          <w:color w:val="auto"/>
          <w:sz w:val="24"/>
        </w:rPr>
      </w:pPr>
      <w:r>
        <w:rPr>
          <w:rFonts w:hint="eastAsia" w:ascii="仿宋" w:hAnsi="仿宋" w:eastAsia="仿宋" w:cs="仿宋"/>
          <w:bCs/>
          <w:color w:val="auto"/>
          <w:sz w:val="24"/>
        </w:rPr>
        <w:t>被委托人身份证件复印件：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C4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7EA779">
            <w:pPr>
              <w:pStyle w:val="34"/>
              <w:spacing w:line="440" w:lineRule="exact"/>
              <w:rPr>
                <w:rFonts w:ascii="仿宋" w:hAnsi="仿宋" w:eastAsia="仿宋" w:cs="仿宋"/>
                <w:bCs/>
                <w:color w:val="auto"/>
                <w:sz w:val="24"/>
              </w:rPr>
            </w:pPr>
            <w:r>
              <w:rPr>
                <w:rFonts w:hint="eastAsia" w:ascii="仿宋" w:hAnsi="仿宋" w:eastAsia="仿宋" w:cs="仿宋"/>
                <w:bCs/>
                <w:color w:val="auto"/>
                <w:sz w:val="24"/>
              </w:rPr>
              <w:t>正面：                                 反面：</w:t>
            </w:r>
          </w:p>
          <w:p w14:paraId="11EB8E73">
            <w:pPr>
              <w:pStyle w:val="34"/>
              <w:spacing w:line="440" w:lineRule="exact"/>
              <w:rPr>
                <w:rFonts w:ascii="仿宋" w:hAnsi="仿宋" w:eastAsia="仿宋" w:cs="仿宋"/>
                <w:bCs/>
                <w:color w:val="auto"/>
                <w:sz w:val="24"/>
              </w:rPr>
            </w:pPr>
          </w:p>
        </w:tc>
      </w:tr>
    </w:tbl>
    <w:p w14:paraId="50CEB094">
      <w:pPr>
        <w:pStyle w:val="34"/>
        <w:spacing w:line="360" w:lineRule="auto"/>
        <w:ind w:firstLine="4480" w:firstLineChars="1600"/>
        <w:rPr>
          <w:rFonts w:ascii="仿宋" w:hAnsi="仿宋" w:eastAsia="仿宋" w:cs="仿宋"/>
          <w:color w:val="auto"/>
          <w:spacing w:val="20"/>
          <w:sz w:val="24"/>
        </w:rPr>
      </w:pPr>
    </w:p>
    <w:p w14:paraId="6ECB4951">
      <w:pPr>
        <w:pStyle w:val="6"/>
        <w:spacing w:before="240" w:after="240"/>
        <w:ind w:firstLine="0" w:firstLineChars="0"/>
        <w:jc w:val="center"/>
        <w:rPr>
          <w:rFonts w:ascii="仿宋" w:hAnsi="仿宋" w:eastAsia="仿宋" w:cs="仿宋"/>
          <w:color w:val="auto"/>
        </w:rPr>
        <w:sectPr>
          <w:headerReference r:id="rId9" w:type="default"/>
          <w:footerReference r:id="rId10" w:type="default"/>
          <w:pgSz w:w="11906" w:h="16838"/>
          <w:pgMar w:top="1440" w:right="1474" w:bottom="1440" w:left="1474" w:header="851" w:footer="851" w:gutter="0"/>
          <w:cols w:space="720" w:num="1"/>
          <w:docGrid w:linePitch="312" w:charSpace="0"/>
        </w:sectPr>
      </w:pPr>
    </w:p>
    <w:p w14:paraId="07222453">
      <w:pPr>
        <w:pStyle w:val="6"/>
        <w:spacing w:before="240" w:after="240"/>
        <w:ind w:firstLine="0" w:firstLineChars="0"/>
        <w:jc w:val="center"/>
        <w:rPr>
          <w:rFonts w:ascii="仿宋" w:hAnsi="仿宋" w:eastAsia="仿宋" w:cs="仿宋"/>
          <w:color w:val="auto"/>
          <w:sz w:val="32"/>
          <w:szCs w:val="32"/>
        </w:rPr>
      </w:pPr>
      <w:bookmarkStart w:id="220" w:name="_Toc21882"/>
      <w:bookmarkStart w:id="221" w:name="_Toc8055"/>
      <w:bookmarkStart w:id="222" w:name="_Toc12334"/>
      <w:bookmarkStart w:id="223" w:name="_Toc4553"/>
      <w:bookmarkStart w:id="224" w:name="_Toc7146"/>
      <w:bookmarkStart w:id="225" w:name="_Toc5527"/>
      <w:bookmarkStart w:id="226" w:name="_Toc510162952"/>
      <w:bookmarkStart w:id="227" w:name="_Toc19793"/>
      <w:bookmarkStart w:id="228" w:name="_Toc18646"/>
      <w:bookmarkStart w:id="229" w:name="_Toc22012"/>
      <w:bookmarkStart w:id="230" w:name="_Toc10981"/>
      <w:bookmarkStart w:id="231" w:name="_Toc13576"/>
      <w:bookmarkStart w:id="232" w:name="_Toc31624"/>
      <w:bookmarkStart w:id="233" w:name="_Toc5473"/>
      <w:bookmarkStart w:id="234" w:name="_Toc12038"/>
      <w:bookmarkStart w:id="235" w:name="_Toc26400"/>
      <w:bookmarkStart w:id="236" w:name="_Toc646"/>
      <w:bookmarkStart w:id="237" w:name="_Toc3631"/>
      <w:bookmarkStart w:id="238" w:name="_Toc8288"/>
      <w:bookmarkStart w:id="239" w:name="_Toc493956056"/>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.资格证明</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3D83F45">
      <w:pPr>
        <w:pStyle w:val="33"/>
        <w:keepNext w:val="0"/>
        <w:keepLines w:val="0"/>
        <w:pageBreakBefore w:val="0"/>
        <w:widowControl w:val="0"/>
        <w:kinsoku/>
        <w:wordWrap/>
        <w:overflowPunct/>
        <w:topLinePunct w:val="0"/>
        <w:autoSpaceDE w:val="0"/>
        <w:autoSpaceDN w:val="0"/>
        <w:bidi w:val="0"/>
        <w:adjustRightInd/>
        <w:snapToGrid/>
        <w:spacing w:line="300" w:lineRule="auto"/>
        <w:textAlignment w:val="bottom"/>
        <w:rPr>
          <w:rFonts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遂昌县人民医院</w:t>
      </w:r>
      <w:r>
        <w:rPr>
          <w:rFonts w:hint="eastAsia" w:ascii="仿宋" w:hAnsi="仿宋" w:eastAsia="仿宋" w:cs="仿宋"/>
          <w:color w:val="auto"/>
          <w:sz w:val="24"/>
          <w:szCs w:val="21"/>
          <w:u w:val="single"/>
        </w:rPr>
        <w:t>、遂昌一航采购代理有限公司：</w:t>
      </w:r>
    </w:p>
    <w:p w14:paraId="5A001FF8">
      <w:pPr>
        <w:pStyle w:val="35"/>
        <w:keepNext w:val="0"/>
        <w:keepLines w:val="0"/>
        <w:pageBreakBefore w:val="0"/>
        <w:widowControl w:val="0"/>
        <w:kinsoku/>
        <w:wordWrap/>
        <w:overflowPunct/>
        <w:topLinePunct w:val="0"/>
        <w:bidi w:val="0"/>
        <w:adjustRightInd/>
        <w:snapToGrid/>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u w:val="single"/>
        </w:rPr>
        <w:t xml:space="preserve">    (投标人全称)  </w:t>
      </w:r>
      <w:r>
        <w:rPr>
          <w:rFonts w:hint="eastAsia" w:ascii="仿宋" w:hAnsi="仿宋" w:eastAsia="仿宋" w:cs="仿宋"/>
          <w:color w:val="auto"/>
          <w:sz w:val="24"/>
          <w:szCs w:val="21"/>
        </w:rPr>
        <w:t>系中华人民共和国合法企业，经营地址</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w:t>
      </w:r>
    </w:p>
    <w:p w14:paraId="51D74822">
      <w:pPr>
        <w:pStyle w:val="7"/>
        <w:keepNext w:val="0"/>
        <w:keepLines w:val="0"/>
        <w:pageBreakBefore w:val="0"/>
        <w:widowControl w:val="0"/>
        <w:kinsoku/>
        <w:wordWrap/>
        <w:overflowPunct/>
        <w:topLinePunct w:val="0"/>
        <w:bidi w:val="0"/>
        <w:adjustRightInd/>
        <w:snapToGrid/>
        <w:spacing w:line="300" w:lineRule="auto"/>
        <w:rPr>
          <w:rFonts w:ascii="仿宋" w:hAnsi="仿宋" w:eastAsia="仿宋" w:cs="仿宋"/>
          <w:color w:val="auto"/>
          <w:sz w:val="24"/>
          <w:szCs w:val="24"/>
        </w:rPr>
      </w:pPr>
      <w:r>
        <w:rPr>
          <w:rFonts w:hint="eastAsia" w:ascii="仿宋" w:hAnsi="仿宋" w:eastAsia="仿宋" w:cs="仿宋"/>
          <w:color w:val="auto"/>
          <w:sz w:val="24"/>
          <w:szCs w:val="21"/>
        </w:rPr>
        <w:t>我</w:t>
      </w:r>
      <w:r>
        <w:rPr>
          <w:rFonts w:hint="eastAsia" w:ascii="仿宋" w:hAnsi="仿宋" w:eastAsia="仿宋" w:cs="仿宋"/>
          <w:color w:val="auto"/>
          <w:sz w:val="24"/>
          <w:szCs w:val="21"/>
          <w:u w:val="single"/>
        </w:rPr>
        <w:t>(法定代表人或负责人名字)</w:t>
      </w:r>
      <w:r>
        <w:rPr>
          <w:rFonts w:hint="eastAsia" w:ascii="仿宋" w:hAnsi="仿宋" w:eastAsia="仿宋" w:cs="仿宋"/>
          <w:color w:val="auto"/>
          <w:sz w:val="24"/>
          <w:szCs w:val="21"/>
        </w:rPr>
        <w:t>系</w:t>
      </w:r>
      <w:r>
        <w:rPr>
          <w:rFonts w:hint="eastAsia" w:ascii="仿宋" w:hAnsi="仿宋" w:eastAsia="仿宋" w:cs="仿宋"/>
          <w:color w:val="auto"/>
          <w:sz w:val="24"/>
          <w:szCs w:val="21"/>
          <w:u w:val="single"/>
        </w:rPr>
        <w:t xml:space="preserve">    (投标人名称)       </w:t>
      </w:r>
      <w:r>
        <w:rPr>
          <w:rFonts w:hint="eastAsia" w:ascii="仿宋" w:hAnsi="仿宋" w:eastAsia="仿宋" w:cs="仿宋"/>
          <w:color w:val="auto"/>
          <w:sz w:val="24"/>
          <w:szCs w:val="21"/>
        </w:rPr>
        <w:t>为负责人，我方愿意参加贵方组织的</w:t>
      </w:r>
      <w:r>
        <w:rPr>
          <w:rFonts w:hint="eastAsia" w:ascii="仿宋" w:hAnsi="仿宋" w:eastAsia="仿宋" w:cs="仿宋"/>
          <w:color w:val="auto"/>
          <w:sz w:val="24"/>
          <w:szCs w:val="21"/>
          <w:u w:val="single"/>
        </w:rPr>
        <w:t xml:space="preserve">    （项目名称） </w:t>
      </w:r>
      <w:r>
        <w:rPr>
          <w:rFonts w:hint="eastAsia" w:ascii="仿宋" w:hAnsi="仿宋" w:eastAsia="仿宋" w:cs="仿宋"/>
          <w:color w:val="auto"/>
          <w:sz w:val="24"/>
          <w:szCs w:val="21"/>
        </w:rPr>
        <w:t>的投标。为便于贵方公正、择优地确定中标人以及投标产品和服务，我方就本次投标有关事项证明如下：</w:t>
      </w:r>
    </w:p>
    <w:p w14:paraId="4AF70E6D">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（一）名称及概况：</w:t>
      </w:r>
    </w:p>
    <w:p w14:paraId="02F14FC8">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 xml:space="preserve">1．企业名称：________________________________________________ </w:t>
      </w:r>
    </w:p>
    <w:p w14:paraId="7E8E5982">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b/>
          <w:bCs/>
          <w:color w:val="auto"/>
          <w:sz w:val="24"/>
        </w:rPr>
      </w:pPr>
      <w:r>
        <w:rPr>
          <w:rFonts w:hint="eastAsia" w:ascii="仿宋" w:hAnsi="仿宋" w:eastAsia="仿宋" w:cs="仿宋"/>
          <w:color w:val="auto"/>
          <w:sz w:val="24"/>
          <w:szCs w:val="21"/>
        </w:rPr>
        <w:t>银行开户名称：________________________________________________</w:t>
      </w:r>
    </w:p>
    <w:p w14:paraId="360CD6BA">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 xml:space="preserve">    开户银行：_________________________________________________ </w:t>
      </w:r>
    </w:p>
    <w:p w14:paraId="259669C6">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 xml:space="preserve">    账    号：________________________________________________ </w:t>
      </w:r>
    </w:p>
    <w:p w14:paraId="1664A05B">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 xml:space="preserve">企业详细地址：________________________________________________ </w:t>
      </w:r>
    </w:p>
    <w:p w14:paraId="2D688B37">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 xml:space="preserve">    传    真： ________________________________________________</w:t>
      </w:r>
    </w:p>
    <w:p w14:paraId="1EB193C0">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 xml:space="preserve">    电    话： ________________________________________________</w:t>
      </w:r>
    </w:p>
    <w:p w14:paraId="1D7DED44">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 xml:space="preserve">2．负责人姓名：___________________________________________ </w:t>
      </w:r>
    </w:p>
    <w:p w14:paraId="03040C3E">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3．项目联系人：姓名__________职务：______电话______手机______</w:t>
      </w:r>
    </w:p>
    <w:p w14:paraId="4D566563">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rPr>
      </w:pPr>
      <w:r>
        <w:rPr>
          <w:rFonts w:hint="eastAsia" w:ascii="仿宋" w:hAnsi="仿宋" w:eastAsia="仿宋" w:cs="仿宋"/>
          <w:color w:val="auto"/>
          <w:sz w:val="24"/>
          <w:szCs w:val="21"/>
        </w:rPr>
        <w:t>4．注册地址：________________________________________________</w:t>
      </w:r>
    </w:p>
    <w:p w14:paraId="067C7005">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 xml:space="preserve">5．注册资金：________________________________________________ </w:t>
      </w:r>
    </w:p>
    <w:p w14:paraId="6EE22D41">
      <w:pPr>
        <w:pStyle w:val="37"/>
        <w:keepNext w:val="0"/>
        <w:keepLines w:val="0"/>
        <w:pageBreakBefore w:val="0"/>
        <w:widowControl w:val="0"/>
        <w:kinsoku/>
        <w:wordWrap/>
        <w:overflowPunct/>
        <w:topLinePunct w:val="0"/>
        <w:bidi w:val="0"/>
        <w:adjustRightInd/>
        <w:snapToGrid/>
        <w:spacing w:line="300" w:lineRule="auto"/>
        <w:ind w:firstLine="735"/>
        <w:rPr>
          <w:rFonts w:ascii="仿宋" w:hAnsi="仿宋" w:eastAsia="仿宋" w:cs="仿宋"/>
          <w:color w:val="auto"/>
          <w:sz w:val="24"/>
          <w:szCs w:val="21"/>
        </w:rPr>
      </w:pPr>
      <w:r>
        <w:rPr>
          <w:rFonts w:hint="eastAsia" w:ascii="仿宋" w:hAnsi="仿宋" w:eastAsia="仿宋" w:cs="仿宋"/>
          <w:color w:val="auto"/>
          <w:sz w:val="24"/>
          <w:szCs w:val="21"/>
        </w:rPr>
        <w:t>自有资金：______________________________________________________</w:t>
      </w:r>
    </w:p>
    <w:p w14:paraId="75EF14B7">
      <w:pPr>
        <w:pStyle w:val="37"/>
        <w:keepNext w:val="0"/>
        <w:keepLines w:val="0"/>
        <w:pageBreakBefore w:val="0"/>
        <w:widowControl w:val="0"/>
        <w:kinsoku/>
        <w:wordWrap/>
        <w:overflowPunct/>
        <w:topLinePunct w:val="0"/>
        <w:bidi w:val="0"/>
        <w:adjustRightInd/>
        <w:snapToGrid/>
        <w:spacing w:line="300" w:lineRule="auto"/>
        <w:ind w:firstLine="735"/>
        <w:rPr>
          <w:rFonts w:ascii="仿宋" w:hAnsi="仿宋" w:eastAsia="仿宋" w:cs="仿宋"/>
          <w:color w:val="auto"/>
          <w:sz w:val="24"/>
          <w:szCs w:val="21"/>
        </w:rPr>
      </w:pPr>
      <w:r>
        <w:rPr>
          <w:rFonts w:hint="eastAsia" w:ascii="仿宋" w:hAnsi="仿宋" w:eastAsia="仿宋" w:cs="仿宋"/>
          <w:color w:val="auto"/>
          <w:sz w:val="24"/>
          <w:szCs w:val="21"/>
        </w:rPr>
        <w:t>企业人数：_______</w:t>
      </w:r>
      <w:r>
        <w:rPr>
          <w:rFonts w:hint="eastAsia" w:ascii="仿宋" w:hAnsi="仿宋" w:eastAsia="仿宋" w:cs="仿宋"/>
          <w:b/>
          <w:bCs/>
          <w:color w:val="auto"/>
          <w:sz w:val="24"/>
          <w:szCs w:val="21"/>
        </w:rPr>
        <w:t>_</w:t>
      </w:r>
      <w:r>
        <w:rPr>
          <w:rFonts w:hint="eastAsia" w:ascii="仿宋" w:hAnsi="仿宋" w:eastAsia="仿宋" w:cs="仿宋"/>
          <w:color w:val="auto"/>
          <w:sz w:val="24"/>
          <w:szCs w:val="21"/>
        </w:rPr>
        <w:t>人</w:t>
      </w:r>
    </w:p>
    <w:p w14:paraId="6FFAA54B">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6．企业性质：____________</w:t>
      </w:r>
      <w:r>
        <w:rPr>
          <w:rFonts w:hint="eastAsia" w:ascii="仿宋" w:hAnsi="仿宋" w:eastAsia="仿宋" w:cs="仿宋"/>
          <w:color w:val="auto"/>
          <w:sz w:val="24"/>
        </w:rPr>
        <w:t xml:space="preserve"> </w:t>
      </w:r>
    </w:p>
    <w:p w14:paraId="7DA40EFA">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 xml:space="preserve">7．主要经营地点：________________________________________________ </w:t>
      </w:r>
    </w:p>
    <w:p w14:paraId="19DF79D8">
      <w:pPr>
        <w:pStyle w:val="37"/>
        <w:keepNext w:val="0"/>
        <w:keepLines w:val="0"/>
        <w:pageBreakBefore w:val="0"/>
        <w:widowControl w:val="0"/>
        <w:kinsoku/>
        <w:wordWrap/>
        <w:overflowPunct/>
        <w:topLinePunct w:val="0"/>
        <w:bidi w:val="0"/>
        <w:adjustRightInd/>
        <w:snapToGrid/>
        <w:spacing w:line="300" w:lineRule="auto"/>
        <w:ind w:firstLine="420"/>
        <w:rPr>
          <w:rFonts w:ascii="仿宋" w:hAnsi="仿宋" w:eastAsia="仿宋" w:cs="仿宋"/>
          <w:color w:val="auto"/>
          <w:sz w:val="24"/>
          <w:szCs w:val="21"/>
        </w:rPr>
      </w:pPr>
      <w:r>
        <w:rPr>
          <w:rFonts w:hint="eastAsia" w:ascii="仿宋" w:hAnsi="仿宋" w:eastAsia="仿宋" w:cs="仿宋"/>
          <w:color w:val="auto"/>
          <w:sz w:val="24"/>
          <w:szCs w:val="21"/>
        </w:rPr>
        <w:t>如有派出机构，请列出名称及详细通讯地址如下：</w:t>
      </w:r>
    </w:p>
    <w:p w14:paraId="2D521209">
      <w:pPr>
        <w:pStyle w:val="37"/>
        <w:keepNext w:val="0"/>
        <w:keepLines w:val="0"/>
        <w:pageBreakBefore w:val="0"/>
        <w:widowControl w:val="0"/>
        <w:kinsoku/>
        <w:wordWrap/>
        <w:overflowPunct/>
        <w:topLinePunct w:val="0"/>
        <w:bidi w:val="0"/>
        <w:adjustRightInd/>
        <w:snapToGrid/>
        <w:spacing w:line="300" w:lineRule="auto"/>
        <w:ind w:firstLine="465"/>
        <w:rPr>
          <w:rFonts w:ascii="仿宋" w:hAnsi="仿宋" w:eastAsia="仿宋" w:cs="仿宋"/>
          <w:color w:val="auto"/>
          <w:sz w:val="24"/>
          <w:szCs w:val="21"/>
        </w:rPr>
      </w:pPr>
      <w:r>
        <w:rPr>
          <w:rFonts w:hint="eastAsia" w:ascii="仿宋" w:hAnsi="仿宋" w:eastAsia="仿宋" w:cs="仿宋"/>
          <w:color w:val="auto"/>
          <w:sz w:val="24"/>
          <w:szCs w:val="21"/>
        </w:rPr>
        <w:t xml:space="preserve">________________________________________________ </w:t>
      </w:r>
    </w:p>
    <w:p w14:paraId="408AB072">
      <w:pPr>
        <w:pStyle w:val="37"/>
        <w:keepNext w:val="0"/>
        <w:keepLines w:val="0"/>
        <w:pageBreakBefore w:val="0"/>
        <w:widowControl w:val="0"/>
        <w:kinsoku/>
        <w:wordWrap/>
        <w:overflowPunct/>
        <w:topLinePunct w:val="0"/>
        <w:bidi w:val="0"/>
        <w:adjustRightInd/>
        <w:snapToGrid/>
        <w:spacing w:line="300" w:lineRule="auto"/>
        <w:ind w:firstLine="465"/>
        <w:rPr>
          <w:rFonts w:ascii="仿宋" w:hAnsi="仿宋" w:eastAsia="仿宋" w:cs="仿宋"/>
          <w:color w:val="auto"/>
          <w:sz w:val="24"/>
          <w:szCs w:val="21"/>
        </w:rPr>
      </w:pPr>
      <w:r>
        <w:rPr>
          <w:rFonts w:hint="eastAsia" w:ascii="仿宋" w:hAnsi="仿宋" w:eastAsia="仿宋" w:cs="仿宋"/>
          <w:color w:val="auto"/>
          <w:sz w:val="24"/>
          <w:szCs w:val="21"/>
        </w:rPr>
        <w:t>8.必需的设备：_______________________________________________</w:t>
      </w:r>
    </w:p>
    <w:p w14:paraId="239FE2B4">
      <w:pPr>
        <w:pStyle w:val="37"/>
        <w:keepNext w:val="0"/>
        <w:keepLines w:val="0"/>
        <w:pageBreakBefore w:val="0"/>
        <w:widowControl w:val="0"/>
        <w:kinsoku/>
        <w:wordWrap/>
        <w:overflowPunct/>
        <w:topLinePunct w:val="0"/>
        <w:bidi w:val="0"/>
        <w:adjustRightInd/>
        <w:snapToGrid/>
        <w:spacing w:line="300" w:lineRule="auto"/>
        <w:ind w:firstLine="465"/>
        <w:jc w:val="left"/>
        <w:rPr>
          <w:rFonts w:ascii="仿宋" w:hAnsi="仿宋" w:eastAsia="仿宋" w:cs="仿宋"/>
          <w:color w:val="auto"/>
          <w:sz w:val="24"/>
          <w:szCs w:val="21"/>
        </w:rPr>
      </w:pPr>
      <w:r>
        <w:rPr>
          <w:rFonts w:hint="eastAsia" w:ascii="仿宋" w:hAnsi="仿宋" w:eastAsia="仿宋" w:cs="仿宋"/>
          <w:color w:val="auto"/>
          <w:sz w:val="24"/>
          <w:szCs w:val="21"/>
        </w:rPr>
        <w:t>9.专业技术能力的证明材料：__________________________</w:t>
      </w:r>
    </w:p>
    <w:p w14:paraId="47C8CC56">
      <w:pPr>
        <w:pStyle w:val="37"/>
        <w:keepNext w:val="0"/>
        <w:keepLines w:val="0"/>
        <w:pageBreakBefore w:val="0"/>
        <w:widowControl w:val="0"/>
        <w:kinsoku/>
        <w:wordWrap/>
        <w:overflowPunct/>
        <w:topLinePunct w:val="0"/>
        <w:bidi w:val="0"/>
        <w:adjustRightInd/>
        <w:snapToGrid/>
        <w:spacing w:line="30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兹证明上述声明是真实、正确的，并提供了全部能提供的资料和数据，我们同意遵照贵方要求出示有关证明文件。</w:t>
      </w:r>
    </w:p>
    <w:p w14:paraId="7D53DAE0">
      <w:pPr>
        <w:pStyle w:val="34"/>
        <w:spacing w:line="360" w:lineRule="auto"/>
        <w:ind w:firstLine="4480" w:firstLineChars="1600"/>
        <w:rPr>
          <w:rFonts w:ascii="仿宋" w:hAnsi="仿宋" w:eastAsia="仿宋" w:cs="仿宋"/>
          <w:color w:val="auto"/>
          <w:spacing w:val="20"/>
          <w:sz w:val="24"/>
        </w:rPr>
      </w:pPr>
    </w:p>
    <w:p w14:paraId="1500C933">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5A336CE3">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01E5259F">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28DC3F9C">
      <w:pPr>
        <w:pStyle w:val="7"/>
        <w:spacing w:line="360" w:lineRule="auto"/>
        <w:ind w:firstLine="0"/>
        <w:rPr>
          <w:rFonts w:ascii="仿宋" w:hAnsi="仿宋" w:eastAsia="仿宋" w:cs="仿宋"/>
          <w:color w:val="auto"/>
          <w:sz w:val="24"/>
          <w:szCs w:val="24"/>
        </w:rPr>
      </w:pPr>
      <w:r>
        <w:rPr>
          <w:rFonts w:hint="eastAsia" w:ascii="仿宋" w:hAnsi="仿宋" w:eastAsia="仿宋" w:cs="仿宋"/>
          <w:b/>
          <w:color w:val="auto"/>
          <w:sz w:val="24"/>
          <w:szCs w:val="24"/>
        </w:rPr>
        <w:t>注：</w:t>
      </w:r>
      <w:r>
        <w:rPr>
          <w:rFonts w:hint="eastAsia" w:ascii="仿宋" w:hAnsi="仿宋" w:eastAsia="仿宋" w:cs="仿宋"/>
          <w:color w:val="auto"/>
          <w:sz w:val="24"/>
          <w:szCs w:val="24"/>
        </w:rPr>
        <w:t>1.上表8、9项内容可自行添加（格式自拟）。</w:t>
      </w:r>
    </w:p>
    <w:bookmarkEnd w:id="239"/>
    <w:p w14:paraId="248114BF">
      <w:pPr>
        <w:pStyle w:val="4"/>
        <w:tabs>
          <w:tab w:val="left" w:pos="432"/>
        </w:tabs>
        <w:snapToGrid w:val="0"/>
        <w:spacing w:before="0" w:after="0" w:line="360" w:lineRule="exact"/>
        <w:jc w:val="center"/>
        <w:rPr>
          <w:rFonts w:ascii="仿宋" w:hAnsi="仿宋" w:eastAsia="仿宋" w:cs="仿宋"/>
          <w:color w:val="auto"/>
        </w:rPr>
      </w:pPr>
      <w:bookmarkStart w:id="240" w:name="_Toc7578"/>
      <w:bookmarkStart w:id="241" w:name="_Toc80482329"/>
      <w:bookmarkStart w:id="242" w:name="_Toc12646"/>
      <w:bookmarkStart w:id="243" w:name="_Toc9884"/>
      <w:bookmarkStart w:id="244" w:name="_Toc12365"/>
      <w:bookmarkStart w:id="245" w:name="_Toc4552"/>
      <w:bookmarkStart w:id="246" w:name="_Toc9474"/>
      <w:bookmarkStart w:id="247" w:name="_Toc16485"/>
      <w:bookmarkStart w:id="248" w:name="_Toc21199"/>
      <w:bookmarkStart w:id="249" w:name="_Toc5162"/>
      <w:bookmarkStart w:id="250" w:name="_Toc11261"/>
      <w:bookmarkStart w:id="251" w:name="_Toc30393"/>
      <w:bookmarkStart w:id="252" w:name="_Toc21564"/>
      <w:bookmarkStart w:id="253" w:name="_Toc6803"/>
      <w:bookmarkStart w:id="254" w:name="_Toc31937"/>
      <w:bookmarkStart w:id="255" w:name="_Toc493956058"/>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kern w:val="2"/>
          <w:sz w:val="32"/>
          <w:szCs w:val="32"/>
        </w:rPr>
        <w:t>具有履行合同所必需的场地、设备和专业技术能力的承诺函</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705AB66">
      <w:pPr>
        <w:snapToGrid w:val="0"/>
        <w:spacing w:line="360" w:lineRule="exact"/>
        <w:rPr>
          <w:rFonts w:ascii="仿宋" w:hAnsi="仿宋" w:eastAsia="仿宋" w:cs="仿宋"/>
          <w:color w:val="auto"/>
          <w:spacing w:val="6"/>
          <w:sz w:val="24"/>
          <w:szCs w:val="24"/>
        </w:rPr>
      </w:pPr>
    </w:p>
    <w:p w14:paraId="7F8D0A85">
      <w:pPr>
        <w:snapToGrid w:val="0"/>
        <w:spacing w:line="360" w:lineRule="exact"/>
        <w:rPr>
          <w:rFonts w:ascii="仿宋" w:hAnsi="仿宋" w:eastAsia="仿宋" w:cs="仿宋"/>
          <w:color w:val="auto"/>
          <w:spacing w:val="6"/>
          <w:sz w:val="24"/>
          <w:szCs w:val="24"/>
        </w:rPr>
      </w:pPr>
    </w:p>
    <w:p w14:paraId="60D97F6F">
      <w:pPr>
        <w:pStyle w:val="33"/>
        <w:autoSpaceDE w:val="0"/>
        <w:autoSpaceDN w:val="0"/>
        <w:spacing w:line="360" w:lineRule="auto"/>
        <w:textAlignment w:val="bottom"/>
        <w:rPr>
          <w:rFonts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遂昌县人民医院</w:t>
      </w:r>
      <w:r>
        <w:rPr>
          <w:rFonts w:hint="eastAsia" w:ascii="仿宋" w:hAnsi="仿宋" w:eastAsia="仿宋" w:cs="仿宋"/>
          <w:color w:val="auto"/>
          <w:sz w:val="24"/>
          <w:szCs w:val="21"/>
          <w:u w:val="single"/>
        </w:rPr>
        <w:t>、遂昌一航采购代理有限公司：</w:t>
      </w:r>
    </w:p>
    <w:p w14:paraId="12FAAD8D">
      <w:pPr>
        <w:pStyle w:val="37"/>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我方</w:t>
      </w:r>
      <w:r>
        <w:rPr>
          <w:rFonts w:hint="eastAsia" w:ascii="仿宋" w:hAnsi="仿宋" w:eastAsia="仿宋" w:cs="仿宋"/>
          <w:color w:val="auto"/>
          <w:sz w:val="24"/>
          <w:szCs w:val="21"/>
          <w:u w:val="single"/>
        </w:rPr>
        <w:t xml:space="preserve">    （供应商名称）   </w:t>
      </w:r>
      <w:r>
        <w:rPr>
          <w:rFonts w:hint="eastAsia" w:ascii="仿宋" w:hAnsi="仿宋" w:eastAsia="仿宋" w:cs="仿宋"/>
          <w:color w:val="auto"/>
          <w:sz w:val="24"/>
          <w:szCs w:val="21"/>
        </w:rPr>
        <w:t>承诺具有履行合同所必需的场地、设备和专业技术能力。如有虚假，采购人可取消我方任何资格（投标/中标/签订合同），我方对此无任何异议。</w:t>
      </w:r>
    </w:p>
    <w:p w14:paraId="35E0C71A">
      <w:pPr>
        <w:pStyle w:val="37"/>
        <w:spacing w:line="360" w:lineRule="auto"/>
        <w:ind w:firstLine="480" w:firstLineChars="200"/>
        <w:rPr>
          <w:rFonts w:ascii="仿宋" w:hAnsi="仿宋" w:eastAsia="仿宋" w:cs="仿宋"/>
          <w:color w:val="auto"/>
          <w:sz w:val="24"/>
          <w:szCs w:val="21"/>
        </w:rPr>
      </w:pPr>
    </w:p>
    <w:p w14:paraId="0B42F1DC">
      <w:pPr>
        <w:pStyle w:val="37"/>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特此承诺！</w:t>
      </w:r>
    </w:p>
    <w:p w14:paraId="22454E5B">
      <w:pPr>
        <w:snapToGrid w:val="0"/>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w:t>
      </w:r>
    </w:p>
    <w:p w14:paraId="57DBACD5">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218254ED">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2000D101">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5A5EE316">
      <w:pPr>
        <w:snapToGrid w:val="0"/>
        <w:ind w:firstLine="4536" w:firstLineChars="1800"/>
        <w:rPr>
          <w:rFonts w:ascii="仿宋" w:hAnsi="仿宋" w:eastAsia="仿宋" w:cs="仿宋"/>
          <w:color w:val="auto"/>
          <w:spacing w:val="6"/>
          <w:sz w:val="24"/>
          <w:szCs w:val="24"/>
          <w:lang w:val="zh-CN"/>
        </w:rPr>
      </w:pPr>
    </w:p>
    <w:p w14:paraId="053AA706">
      <w:pPr>
        <w:snapToGrid w:val="0"/>
        <w:ind w:firstLine="4536" w:firstLineChars="1800"/>
        <w:rPr>
          <w:rFonts w:ascii="仿宋" w:hAnsi="仿宋" w:eastAsia="仿宋" w:cs="仿宋"/>
          <w:color w:val="auto"/>
          <w:spacing w:val="6"/>
          <w:sz w:val="24"/>
          <w:szCs w:val="24"/>
          <w:lang w:val="zh-CN"/>
        </w:rPr>
      </w:pPr>
    </w:p>
    <w:p w14:paraId="36265777">
      <w:pPr>
        <w:pStyle w:val="3"/>
        <w:rPr>
          <w:rFonts w:ascii="仿宋" w:hAnsi="仿宋" w:eastAsia="仿宋" w:cs="仿宋"/>
          <w:color w:val="auto"/>
          <w:spacing w:val="6"/>
          <w:sz w:val="24"/>
          <w:szCs w:val="24"/>
        </w:rPr>
      </w:pPr>
    </w:p>
    <w:p w14:paraId="77F6323D">
      <w:pPr>
        <w:pStyle w:val="2"/>
        <w:ind w:firstLine="252"/>
        <w:rPr>
          <w:rFonts w:ascii="仿宋" w:hAnsi="仿宋" w:eastAsia="仿宋" w:cs="仿宋"/>
          <w:color w:val="auto"/>
          <w:spacing w:val="6"/>
          <w:sz w:val="24"/>
          <w:szCs w:val="24"/>
        </w:rPr>
      </w:pPr>
    </w:p>
    <w:p w14:paraId="3AF24F56">
      <w:pPr>
        <w:pStyle w:val="2"/>
        <w:ind w:firstLine="252"/>
        <w:rPr>
          <w:rFonts w:ascii="仿宋" w:hAnsi="仿宋" w:eastAsia="仿宋" w:cs="仿宋"/>
          <w:color w:val="auto"/>
          <w:spacing w:val="6"/>
          <w:sz w:val="24"/>
          <w:szCs w:val="24"/>
        </w:rPr>
      </w:pPr>
    </w:p>
    <w:p w14:paraId="7CDA75C6">
      <w:pPr>
        <w:pStyle w:val="2"/>
        <w:ind w:firstLine="252"/>
        <w:rPr>
          <w:rFonts w:ascii="仿宋" w:hAnsi="仿宋" w:eastAsia="仿宋" w:cs="仿宋"/>
          <w:color w:val="auto"/>
          <w:spacing w:val="6"/>
          <w:sz w:val="24"/>
          <w:szCs w:val="24"/>
        </w:rPr>
      </w:pPr>
    </w:p>
    <w:p w14:paraId="63E51D78">
      <w:pPr>
        <w:pStyle w:val="2"/>
        <w:ind w:firstLine="252"/>
        <w:rPr>
          <w:rFonts w:ascii="仿宋" w:hAnsi="仿宋" w:eastAsia="仿宋" w:cs="仿宋"/>
          <w:color w:val="auto"/>
          <w:spacing w:val="6"/>
          <w:sz w:val="24"/>
          <w:szCs w:val="24"/>
        </w:rPr>
      </w:pPr>
    </w:p>
    <w:p w14:paraId="67A87E33">
      <w:pPr>
        <w:pStyle w:val="2"/>
        <w:ind w:firstLine="252"/>
        <w:rPr>
          <w:rFonts w:ascii="仿宋" w:hAnsi="仿宋" w:eastAsia="仿宋" w:cs="仿宋"/>
          <w:color w:val="auto"/>
          <w:spacing w:val="6"/>
          <w:sz w:val="24"/>
          <w:szCs w:val="24"/>
        </w:rPr>
      </w:pPr>
    </w:p>
    <w:p w14:paraId="45FE6329">
      <w:pPr>
        <w:pStyle w:val="2"/>
        <w:ind w:firstLine="252"/>
        <w:rPr>
          <w:rFonts w:ascii="仿宋" w:hAnsi="仿宋" w:eastAsia="仿宋" w:cs="仿宋"/>
          <w:color w:val="auto"/>
          <w:spacing w:val="6"/>
          <w:sz w:val="24"/>
          <w:szCs w:val="24"/>
        </w:rPr>
      </w:pPr>
    </w:p>
    <w:p w14:paraId="4B2F06AB">
      <w:pPr>
        <w:pStyle w:val="2"/>
        <w:ind w:firstLine="252"/>
        <w:rPr>
          <w:rFonts w:ascii="仿宋" w:hAnsi="仿宋" w:eastAsia="仿宋" w:cs="仿宋"/>
          <w:color w:val="auto"/>
          <w:spacing w:val="6"/>
          <w:sz w:val="24"/>
          <w:szCs w:val="24"/>
        </w:rPr>
      </w:pPr>
    </w:p>
    <w:p w14:paraId="661FA1BD">
      <w:pPr>
        <w:pStyle w:val="2"/>
        <w:ind w:firstLine="252"/>
        <w:rPr>
          <w:rFonts w:ascii="仿宋" w:hAnsi="仿宋" w:eastAsia="仿宋" w:cs="仿宋"/>
          <w:color w:val="auto"/>
          <w:spacing w:val="6"/>
          <w:sz w:val="24"/>
          <w:szCs w:val="24"/>
        </w:rPr>
      </w:pPr>
    </w:p>
    <w:p w14:paraId="668CC4C5">
      <w:pPr>
        <w:pStyle w:val="2"/>
        <w:ind w:firstLine="252"/>
        <w:rPr>
          <w:rFonts w:ascii="仿宋" w:hAnsi="仿宋" w:eastAsia="仿宋" w:cs="仿宋"/>
          <w:color w:val="auto"/>
          <w:spacing w:val="6"/>
          <w:sz w:val="24"/>
          <w:szCs w:val="24"/>
        </w:rPr>
      </w:pPr>
    </w:p>
    <w:p w14:paraId="4165B619">
      <w:pPr>
        <w:pStyle w:val="2"/>
        <w:ind w:firstLine="252"/>
        <w:rPr>
          <w:rFonts w:ascii="仿宋" w:hAnsi="仿宋" w:eastAsia="仿宋" w:cs="仿宋"/>
          <w:color w:val="auto"/>
          <w:spacing w:val="6"/>
          <w:sz w:val="24"/>
          <w:szCs w:val="24"/>
        </w:rPr>
      </w:pPr>
    </w:p>
    <w:p w14:paraId="7607B292">
      <w:pPr>
        <w:pStyle w:val="2"/>
        <w:ind w:firstLine="252"/>
        <w:rPr>
          <w:rFonts w:ascii="仿宋" w:hAnsi="仿宋" w:eastAsia="仿宋" w:cs="仿宋"/>
          <w:color w:val="auto"/>
          <w:spacing w:val="6"/>
          <w:sz w:val="24"/>
          <w:szCs w:val="24"/>
        </w:rPr>
      </w:pPr>
    </w:p>
    <w:p w14:paraId="205A94E9">
      <w:pPr>
        <w:pStyle w:val="2"/>
        <w:ind w:firstLine="252"/>
        <w:rPr>
          <w:rFonts w:ascii="仿宋" w:hAnsi="仿宋" w:eastAsia="仿宋" w:cs="仿宋"/>
          <w:color w:val="auto"/>
          <w:spacing w:val="6"/>
          <w:sz w:val="24"/>
          <w:szCs w:val="24"/>
        </w:rPr>
      </w:pPr>
    </w:p>
    <w:p w14:paraId="4E0F6A83">
      <w:pPr>
        <w:pStyle w:val="2"/>
        <w:ind w:firstLine="252"/>
        <w:rPr>
          <w:rFonts w:ascii="仿宋" w:hAnsi="仿宋" w:eastAsia="仿宋" w:cs="仿宋"/>
          <w:color w:val="auto"/>
          <w:spacing w:val="6"/>
          <w:sz w:val="24"/>
          <w:szCs w:val="24"/>
        </w:rPr>
      </w:pPr>
    </w:p>
    <w:p w14:paraId="40760273">
      <w:pPr>
        <w:pStyle w:val="2"/>
        <w:ind w:firstLine="252"/>
        <w:rPr>
          <w:rFonts w:ascii="仿宋" w:hAnsi="仿宋" w:eastAsia="仿宋" w:cs="仿宋"/>
          <w:color w:val="auto"/>
          <w:spacing w:val="6"/>
          <w:sz w:val="24"/>
          <w:szCs w:val="24"/>
        </w:rPr>
      </w:pPr>
    </w:p>
    <w:p w14:paraId="0A48CDF9">
      <w:pPr>
        <w:pStyle w:val="2"/>
        <w:ind w:firstLine="252"/>
        <w:rPr>
          <w:rFonts w:ascii="仿宋" w:hAnsi="仿宋" w:eastAsia="仿宋" w:cs="仿宋"/>
          <w:color w:val="auto"/>
          <w:spacing w:val="6"/>
          <w:sz w:val="24"/>
          <w:szCs w:val="24"/>
        </w:rPr>
      </w:pPr>
    </w:p>
    <w:p w14:paraId="261274EB">
      <w:pPr>
        <w:pStyle w:val="2"/>
        <w:ind w:firstLine="252"/>
        <w:rPr>
          <w:rFonts w:ascii="仿宋" w:hAnsi="仿宋" w:eastAsia="仿宋" w:cs="仿宋"/>
          <w:color w:val="auto"/>
          <w:spacing w:val="6"/>
          <w:sz w:val="24"/>
          <w:szCs w:val="24"/>
        </w:rPr>
      </w:pPr>
    </w:p>
    <w:p w14:paraId="2D1C1C56">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.依法缴纳税收和社会保障资金的承诺函</w:t>
      </w:r>
    </w:p>
    <w:p w14:paraId="2A77D53A">
      <w:pPr>
        <w:rPr>
          <w:color w:val="auto"/>
        </w:rPr>
      </w:pPr>
    </w:p>
    <w:p w14:paraId="523BDE92">
      <w:pPr>
        <w:rPr>
          <w:rFonts w:ascii="仿宋" w:hAnsi="仿宋" w:eastAsia="仿宋" w:cs="仿宋"/>
          <w:color w:val="auto"/>
        </w:rPr>
      </w:pPr>
    </w:p>
    <w:p w14:paraId="5DD67256">
      <w:pPr>
        <w:pStyle w:val="33"/>
        <w:autoSpaceDE w:val="0"/>
        <w:autoSpaceDN w:val="0"/>
        <w:spacing w:line="360" w:lineRule="auto"/>
        <w:textAlignment w:val="bottom"/>
        <w:rPr>
          <w:rFonts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遂昌县人民医院</w:t>
      </w:r>
      <w:r>
        <w:rPr>
          <w:rFonts w:hint="eastAsia" w:ascii="仿宋" w:hAnsi="仿宋" w:eastAsia="仿宋" w:cs="仿宋"/>
          <w:color w:val="auto"/>
          <w:sz w:val="24"/>
          <w:szCs w:val="21"/>
          <w:u w:val="single"/>
        </w:rPr>
        <w:t>、遂昌一航采购代理有限公司：</w:t>
      </w:r>
    </w:p>
    <w:p w14:paraId="06ED2B48">
      <w:pPr>
        <w:pStyle w:val="37"/>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我公司郑重声明，我公司严格依法缴纳税收和社会保障资金，本文件中所提供的相关材料均真实有效，不存在虚假、造假行为。如有违反，愿承担一切责任。</w:t>
      </w:r>
    </w:p>
    <w:p w14:paraId="53A21B0F">
      <w:pPr>
        <w:pStyle w:val="37"/>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特此承诺！</w:t>
      </w:r>
    </w:p>
    <w:p w14:paraId="0CF4E73E">
      <w:pPr>
        <w:pStyle w:val="37"/>
        <w:spacing w:line="360" w:lineRule="auto"/>
        <w:ind w:firstLine="480" w:firstLineChars="200"/>
        <w:rPr>
          <w:rFonts w:ascii="仿宋" w:hAnsi="仿宋" w:eastAsia="仿宋" w:cs="仿宋"/>
          <w:color w:val="auto"/>
          <w:sz w:val="24"/>
          <w:szCs w:val="21"/>
        </w:rPr>
      </w:pPr>
    </w:p>
    <w:p w14:paraId="2A57F25E">
      <w:pPr>
        <w:pStyle w:val="37"/>
        <w:spacing w:line="360" w:lineRule="auto"/>
        <w:ind w:firstLine="480" w:firstLineChars="200"/>
        <w:rPr>
          <w:rFonts w:ascii="仿宋" w:hAnsi="仿宋" w:eastAsia="仿宋" w:cs="仿宋"/>
          <w:color w:val="auto"/>
          <w:sz w:val="24"/>
          <w:szCs w:val="21"/>
        </w:rPr>
      </w:pPr>
    </w:p>
    <w:p w14:paraId="0AF9C682">
      <w:pPr>
        <w:pStyle w:val="37"/>
        <w:spacing w:line="360" w:lineRule="auto"/>
        <w:ind w:firstLine="480" w:firstLineChars="200"/>
        <w:rPr>
          <w:rFonts w:ascii="仿宋" w:hAnsi="仿宋" w:eastAsia="仿宋" w:cs="仿宋"/>
          <w:color w:val="auto"/>
          <w:sz w:val="24"/>
          <w:szCs w:val="21"/>
        </w:rPr>
      </w:pPr>
    </w:p>
    <w:p w14:paraId="2B413235">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7F2FF1F1">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6D61B0D2">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57C9554F">
      <w:pPr>
        <w:rPr>
          <w:rFonts w:ascii="仿宋" w:hAnsi="仿宋" w:eastAsia="仿宋" w:cs="仿宋"/>
          <w:b/>
          <w:bCs/>
          <w:color w:val="auto"/>
          <w:sz w:val="24"/>
          <w:szCs w:val="24"/>
        </w:rPr>
      </w:pPr>
    </w:p>
    <w:p w14:paraId="61DA9CA0">
      <w:pPr>
        <w:rPr>
          <w:rFonts w:ascii="仿宋" w:hAnsi="仿宋" w:eastAsia="仿宋" w:cs="仿宋"/>
          <w:b/>
          <w:bCs/>
          <w:color w:val="auto"/>
          <w:sz w:val="24"/>
          <w:szCs w:val="24"/>
        </w:rPr>
      </w:pPr>
    </w:p>
    <w:p w14:paraId="1AB799AB">
      <w:pPr>
        <w:rPr>
          <w:rFonts w:ascii="仿宋" w:hAnsi="仿宋" w:eastAsia="仿宋" w:cs="仿宋"/>
          <w:b/>
          <w:bCs/>
          <w:color w:val="auto"/>
          <w:sz w:val="24"/>
          <w:szCs w:val="24"/>
        </w:rPr>
      </w:pPr>
    </w:p>
    <w:p w14:paraId="108EEC0C">
      <w:pPr>
        <w:rPr>
          <w:rFonts w:ascii="仿宋" w:hAnsi="仿宋" w:eastAsia="仿宋" w:cs="仿宋"/>
          <w:b/>
          <w:bCs/>
          <w:color w:val="auto"/>
          <w:sz w:val="24"/>
          <w:szCs w:val="24"/>
        </w:rPr>
      </w:pPr>
    </w:p>
    <w:p w14:paraId="5602414E">
      <w:pPr>
        <w:rPr>
          <w:rFonts w:ascii="仿宋" w:hAnsi="仿宋" w:eastAsia="仿宋" w:cs="仿宋"/>
          <w:b/>
          <w:bCs/>
          <w:color w:val="auto"/>
          <w:sz w:val="24"/>
          <w:szCs w:val="24"/>
        </w:rPr>
      </w:pPr>
    </w:p>
    <w:p w14:paraId="2F9028F9">
      <w:pPr>
        <w:rPr>
          <w:rFonts w:ascii="仿宋" w:hAnsi="仿宋" w:eastAsia="仿宋" w:cs="仿宋"/>
          <w:b/>
          <w:bCs/>
          <w:color w:val="auto"/>
          <w:sz w:val="24"/>
          <w:szCs w:val="24"/>
        </w:rPr>
      </w:pPr>
    </w:p>
    <w:p w14:paraId="4880B7EA">
      <w:pPr>
        <w:rPr>
          <w:rFonts w:ascii="仿宋" w:hAnsi="仿宋" w:eastAsia="仿宋" w:cs="仿宋"/>
          <w:b/>
          <w:bCs/>
          <w:color w:val="auto"/>
          <w:sz w:val="24"/>
          <w:szCs w:val="24"/>
        </w:rPr>
      </w:pPr>
    </w:p>
    <w:p w14:paraId="0D1C7596">
      <w:pPr>
        <w:rPr>
          <w:rFonts w:ascii="仿宋" w:hAnsi="仿宋" w:eastAsia="仿宋" w:cs="仿宋"/>
          <w:b/>
          <w:bCs/>
          <w:color w:val="auto"/>
          <w:sz w:val="24"/>
          <w:szCs w:val="24"/>
        </w:rPr>
      </w:pPr>
    </w:p>
    <w:p w14:paraId="17D7AC59">
      <w:pPr>
        <w:rPr>
          <w:rFonts w:ascii="仿宋" w:hAnsi="仿宋" w:eastAsia="仿宋" w:cs="仿宋"/>
          <w:b/>
          <w:bCs/>
          <w:color w:val="auto"/>
          <w:sz w:val="24"/>
          <w:szCs w:val="24"/>
        </w:rPr>
      </w:pPr>
    </w:p>
    <w:p w14:paraId="47FB964B">
      <w:pPr>
        <w:rPr>
          <w:rFonts w:ascii="仿宋" w:hAnsi="仿宋" w:eastAsia="仿宋" w:cs="仿宋"/>
          <w:b/>
          <w:bCs/>
          <w:color w:val="auto"/>
          <w:sz w:val="24"/>
          <w:szCs w:val="24"/>
        </w:rPr>
      </w:pPr>
    </w:p>
    <w:p w14:paraId="19C18B6C">
      <w:pPr>
        <w:rPr>
          <w:rFonts w:ascii="仿宋" w:hAnsi="仿宋" w:eastAsia="仿宋" w:cs="仿宋"/>
          <w:b/>
          <w:bCs/>
          <w:color w:val="auto"/>
          <w:sz w:val="24"/>
          <w:szCs w:val="24"/>
        </w:rPr>
      </w:pPr>
    </w:p>
    <w:p w14:paraId="310E6F59">
      <w:pPr>
        <w:rPr>
          <w:rFonts w:ascii="仿宋" w:hAnsi="仿宋" w:eastAsia="仿宋" w:cs="仿宋"/>
          <w:b/>
          <w:bCs/>
          <w:color w:val="auto"/>
          <w:sz w:val="24"/>
          <w:szCs w:val="24"/>
        </w:rPr>
      </w:pPr>
    </w:p>
    <w:p w14:paraId="11D27D41">
      <w:pPr>
        <w:rPr>
          <w:rFonts w:ascii="仿宋" w:hAnsi="仿宋" w:eastAsia="仿宋" w:cs="仿宋"/>
          <w:b/>
          <w:bCs/>
          <w:color w:val="auto"/>
          <w:sz w:val="24"/>
          <w:szCs w:val="24"/>
        </w:rPr>
      </w:pPr>
    </w:p>
    <w:p w14:paraId="531BEADF">
      <w:pPr>
        <w:rPr>
          <w:rFonts w:ascii="仿宋" w:hAnsi="仿宋" w:eastAsia="仿宋" w:cs="仿宋"/>
          <w:b/>
          <w:bCs/>
          <w:color w:val="auto"/>
          <w:sz w:val="24"/>
          <w:szCs w:val="24"/>
        </w:rPr>
      </w:pPr>
    </w:p>
    <w:p w14:paraId="710E590E">
      <w:pPr>
        <w:rPr>
          <w:rFonts w:ascii="仿宋" w:hAnsi="仿宋" w:eastAsia="仿宋" w:cs="仿宋"/>
          <w:b/>
          <w:bCs/>
          <w:color w:val="auto"/>
          <w:sz w:val="24"/>
          <w:szCs w:val="24"/>
        </w:rPr>
      </w:pPr>
    </w:p>
    <w:p w14:paraId="4E7B6B71">
      <w:pPr>
        <w:rPr>
          <w:rFonts w:ascii="仿宋" w:hAnsi="仿宋" w:eastAsia="仿宋" w:cs="仿宋"/>
          <w:b/>
          <w:bCs/>
          <w:color w:val="auto"/>
          <w:sz w:val="24"/>
          <w:szCs w:val="24"/>
        </w:rPr>
      </w:pPr>
    </w:p>
    <w:p w14:paraId="6FD5A38B">
      <w:pPr>
        <w:rPr>
          <w:rFonts w:ascii="仿宋" w:hAnsi="仿宋" w:eastAsia="仿宋" w:cs="仿宋"/>
          <w:b/>
          <w:bCs/>
          <w:color w:val="auto"/>
          <w:sz w:val="24"/>
          <w:szCs w:val="24"/>
        </w:rPr>
      </w:pPr>
    </w:p>
    <w:p w14:paraId="71EFEF00">
      <w:pPr>
        <w:rPr>
          <w:rFonts w:ascii="仿宋" w:hAnsi="仿宋" w:eastAsia="仿宋" w:cs="仿宋"/>
          <w:b/>
          <w:bCs/>
          <w:color w:val="auto"/>
          <w:sz w:val="24"/>
          <w:szCs w:val="24"/>
        </w:rPr>
      </w:pPr>
    </w:p>
    <w:p w14:paraId="1CB0B53C">
      <w:pPr>
        <w:rPr>
          <w:rFonts w:ascii="仿宋" w:hAnsi="仿宋" w:eastAsia="仿宋" w:cs="仿宋"/>
          <w:b/>
          <w:bCs/>
          <w:color w:val="auto"/>
          <w:sz w:val="24"/>
          <w:szCs w:val="24"/>
        </w:rPr>
      </w:pPr>
    </w:p>
    <w:p w14:paraId="4225775E">
      <w:pPr>
        <w:rPr>
          <w:rFonts w:ascii="仿宋" w:hAnsi="仿宋" w:eastAsia="仿宋" w:cs="仿宋"/>
          <w:b/>
          <w:bCs/>
          <w:color w:val="auto"/>
          <w:sz w:val="24"/>
          <w:szCs w:val="24"/>
        </w:rPr>
      </w:pPr>
    </w:p>
    <w:p w14:paraId="3261304F">
      <w:pPr>
        <w:rPr>
          <w:rFonts w:ascii="仿宋" w:hAnsi="仿宋" w:eastAsia="仿宋" w:cs="仿宋"/>
          <w:b/>
          <w:bCs/>
          <w:color w:val="auto"/>
          <w:sz w:val="24"/>
          <w:szCs w:val="24"/>
        </w:rPr>
      </w:pPr>
    </w:p>
    <w:p w14:paraId="55871466">
      <w:pPr>
        <w:rPr>
          <w:rFonts w:ascii="仿宋" w:hAnsi="仿宋" w:eastAsia="仿宋" w:cs="仿宋"/>
          <w:b/>
          <w:bCs/>
          <w:color w:val="auto"/>
          <w:sz w:val="24"/>
          <w:szCs w:val="24"/>
        </w:rPr>
      </w:pPr>
    </w:p>
    <w:p w14:paraId="3A2674C2">
      <w:pPr>
        <w:rPr>
          <w:rFonts w:ascii="仿宋" w:hAnsi="仿宋" w:eastAsia="仿宋" w:cs="仿宋"/>
          <w:b/>
          <w:bCs/>
          <w:color w:val="auto"/>
          <w:sz w:val="24"/>
          <w:szCs w:val="24"/>
        </w:rPr>
      </w:pPr>
    </w:p>
    <w:p w14:paraId="7059F8EF">
      <w:pPr>
        <w:rPr>
          <w:rFonts w:ascii="仿宋" w:hAnsi="仿宋" w:eastAsia="仿宋" w:cs="仿宋"/>
          <w:b/>
          <w:bCs/>
          <w:color w:val="auto"/>
          <w:sz w:val="24"/>
          <w:szCs w:val="24"/>
        </w:rPr>
      </w:pPr>
    </w:p>
    <w:p w14:paraId="46AFED72">
      <w:pPr>
        <w:rPr>
          <w:rFonts w:ascii="仿宋" w:hAnsi="仿宋" w:eastAsia="仿宋" w:cs="仿宋"/>
          <w:b/>
          <w:bCs/>
          <w:color w:val="auto"/>
          <w:sz w:val="24"/>
          <w:szCs w:val="24"/>
        </w:rPr>
      </w:pPr>
    </w:p>
    <w:p w14:paraId="66351BBC">
      <w:pPr>
        <w:rPr>
          <w:rFonts w:ascii="仿宋" w:hAnsi="仿宋" w:eastAsia="仿宋" w:cs="仿宋"/>
          <w:b/>
          <w:bCs/>
          <w:color w:val="auto"/>
          <w:sz w:val="24"/>
          <w:szCs w:val="24"/>
        </w:rPr>
      </w:pPr>
    </w:p>
    <w:p w14:paraId="1E75D5AA">
      <w:pPr>
        <w:ind w:firstLine="642"/>
        <w:jc w:val="center"/>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.无重大违法记录声明书</w:t>
      </w:r>
    </w:p>
    <w:p w14:paraId="2992907C">
      <w:pPr>
        <w:rPr>
          <w:color w:val="auto"/>
        </w:rPr>
      </w:pPr>
    </w:p>
    <w:p w14:paraId="76BDA196">
      <w:pPr>
        <w:rPr>
          <w:rFonts w:ascii="仿宋" w:hAnsi="仿宋" w:eastAsia="仿宋" w:cs="仿宋"/>
          <w:color w:val="auto"/>
        </w:rPr>
      </w:pPr>
    </w:p>
    <w:p w14:paraId="63ECEEB4">
      <w:pPr>
        <w:pStyle w:val="33"/>
        <w:autoSpaceDE w:val="0"/>
        <w:autoSpaceDN w:val="0"/>
        <w:snapToGrid w:val="0"/>
        <w:spacing w:line="360" w:lineRule="auto"/>
        <w:textAlignment w:val="bottom"/>
        <w:rPr>
          <w:rFonts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遂昌县人民医院</w:t>
      </w:r>
      <w:r>
        <w:rPr>
          <w:rFonts w:hint="eastAsia" w:ascii="仿宋" w:hAnsi="仿宋" w:eastAsia="仿宋" w:cs="仿宋"/>
          <w:color w:val="auto"/>
          <w:sz w:val="24"/>
          <w:szCs w:val="21"/>
          <w:u w:val="single"/>
        </w:rPr>
        <w:t>、遂昌一航采购代理有限公司：</w:t>
      </w:r>
    </w:p>
    <w:p w14:paraId="138E48EF">
      <w:pPr>
        <w:pStyle w:val="39"/>
        <w:snapToGrid w:val="0"/>
        <w:spacing w:line="360" w:lineRule="auto"/>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 xml:space="preserve"> 我方参与的</w:t>
      </w:r>
      <w:r>
        <w:rPr>
          <w:rFonts w:hint="eastAsia" w:ascii="仿宋" w:hAnsi="仿宋" w:eastAsia="仿宋" w:cs="仿宋"/>
          <w:color w:val="auto"/>
          <w:spacing w:val="6"/>
          <w:sz w:val="24"/>
          <w:u w:val="single"/>
        </w:rPr>
        <w:t xml:space="preserve">     </w:t>
      </w:r>
      <w:r>
        <w:rPr>
          <w:rFonts w:hint="eastAsia" w:ascii="仿宋" w:hAnsi="仿宋" w:eastAsia="仿宋" w:cs="仿宋"/>
          <w:i/>
          <w:color w:val="auto"/>
          <w:sz w:val="24"/>
          <w:u w:val="single"/>
        </w:rPr>
        <w:t>（项目名称）（项目编号）</w:t>
      </w:r>
      <w:r>
        <w:rPr>
          <w:rFonts w:hint="eastAsia" w:ascii="仿宋" w:hAnsi="仿宋" w:eastAsia="仿宋" w:cs="仿宋"/>
          <w:color w:val="auto"/>
          <w:spacing w:val="6"/>
          <w:sz w:val="24"/>
          <w:u w:val="single"/>
        </w:rPr>
        <w:t xml:space="preserve">    </w:t>
      </w:r>
      <w:r>
        <w:rPr>
          <w:rFonts w:hint="eastAsia" w:ascii="仿宋" w:hAnsi="仿宋" w:eastAsia="仿宋" w:cs="仿宋"/>
          <w:color w:val="auto"/>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5490AE9F">
      <w:pPr>
        <w:pStyle w:val="39"/>
        <w:snapToGrid w:val="0"/>
        <w:spacing w:line="360" w:lineRule="auto"/>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ab/>
      </w:r>
      <w:r>
        <w:rPr>
          <w:rFonts w:hint="eastAsia" w:ascii="仿宋" w:hAnsi="仿宋" w:eastAsia="仿宋" w:cs="仿宋"/>
          <w:color w:val="auto"/>
          <w:spacing w:val="6"/>
          <w:sz w:val="24"/>
        </w:rPr>
        <w:t>特此声明。</w:t>
      </w:r>
      <w:bookmarkStart w:id="256" w:name="_Toc523398458"/>
      <w:bookmarkStart w:id="257" w:name="_Toc500333505"/>
      <w:bookmarkStart w:id="258" w:name="_Toc531359051"/>
    </w:p>
    <w:bookmarkEnd w:id="256"/>
    <w:bookmarkEnd w:id="257"/>
    <w:bookmarkEnd w:id="258"/>
    <w:p w14:paraId="4D87F3A3">
      <w:pPr>
        <w:pStyle w:val="37"/>
        <w:spacing w:line="360" w:lineRule="auto"/>
        <w:ind w:firstLine="480" w:firstLineChars="200"/>
        <w:rPr>
          <w:rFonts w:ascii="仿宋" w:hAnsi="仿宋" w:eastAsia="仿宋" w:cs="仿宋"/>
          <w:color w:val="auto"/>
          <w:sz w:val="24"/>
          <w:szCs w:val="21"/>
        </w:rPr>
      </w:pPr>
    </w:p>
    <w:p w14:paraId="739A80F0">
      <w:pPr>
        <w:pStyle w:val="37"/>
        <w:spacing w:line="360" w:lineRule="auto"/>
        <w:ind w:firstLine="480" w:firstLineChars="200"/>
        <w:rPr>
          <w:rFonts w:ascii="仿宋" w:hAnsi="仿宋" w:eastAsia="仿宋" w:cs="仿宋"/>
          <w:color w:val="auto"/>
          <w:sz w:val="24"/>
          <w:szCs w:val="21"/>
        </w:rPr>
      </w:pPr>
    </w:p>
    <w:p w14:paraId="09517765">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155E0914">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538EFE42">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2FBD1A72">
      <w:pPr>
        <w:jc w:val="center"/>
        <w:rPr>
          <w:rFonts w:ascii="仿宋" w:hAnsi="仿宋" w:eastAsia="仿宋" w:cs="仿宋"/>
          <w:b/>
          <w:bCs/>
          <w:color w:val="auto"/>
          <w:sz w:val="32"/>
          <w:szCs w:val="32"/>
        </w:rPr>
      </w:pPr>
    </w:p>
    <w:p w14:paraId="04AC538C">
      <w:pPr>
        <w:jc w:val="center"/>
        <w:rPr>
          <w:rFonts w:ascii="仿宋" w:hAnsi="仿宋" w:eastAsia="仿宋" w:cs="仿宋"/>
          <w:b/>
          <w:bCs/>
          <w:color w:val="auto"/>
          <w:sz w:val="32"/>
          <w:szCs w:val="32"/>
        </w:rPr>
      </w:pPr>
    </w:p>
    <w:p w14:paraId="620DC3F3">
      <w:pPr>
        <w:jc w:val="center"/>
        <w:rPr>
          <w:rFonts w:ascii="仿宋" w:hAnsi="仿宋" w:eastAsia="仿宋" w:cs="仿宋"/>
          <w:b/>
          <w:bCs/>
          <w:color w:val="auto"/>
          <w:sz w:val="32"/>
          <w:szCs w:val="32"/>
        </w:rPr>
      </w:pPr>
    </w:p>
    <w:p w14:paraId="452333EB">
      <w:pPr>
        <w:jc w:val="center"/>
        <w:rPr>
          <w:rFonts w:ascii="仿宋" w:hAnsi="仿宋" w:eastAsia="仿宋" w:cs="仿宋"/>
          <w:b/>
          <w:bCs/>
          <w:color w:val="auto"/>
          <w:sz w:val="32"/>
          <w:szCs w:val="32"/>
        </w:rPr>
      </w:pPr>
    </w:p>
    <w:p w14:paraId="728B94C3">
      <w:pPr>
        <w:jc w:val="center"/>
        <w:rPr>
          <w:rFonts w:ascii="仿宋" w:hAnsi="仿宋" w:eastAsia="仿宋" w:cs="仿宋"/>
          <w:b/>
          <w:bCs/>
          <w:color w:val="auto"/>
          <w:sz w:val="32"/>
          <w:szCs w:val="32"/>
        </w:rPr>
      </w:pPr>
    </w:p>
    <w:p w14:paraId="6FD6E73C">
      <w:pPr>
        <w:jc w:val="center"/>
        <w:rPr>
          <w:rFonts w:ascii="仿宋" w:hAnsi="仿宋" w:eastAsia="仿宋" w:cs="仿宋"/>
          <w:b/>
          <w:bCs/>
          <w:color w:val="auto"/>
          <w:sz w:val="32"/>
          <w:szCs w:val="32"/>
        </w:rPr>
      </w:pPr>
    </w:p>
    <w:p w14:paraId="2271E64E">
      <w:pPr>
        <w:jc w:val="center"/>
        <w:rPr>
          <w:rFonts w:ascii="仿宋" w:hAnsi="仿宋" w:eastAsia="仿宋" w:cs="仿宋"/>
          <w:b/>
          <w:bCs/>
          <w:color w:val="auto"/>
          <w:sz w:val="32"/>
          <w:szCs w:val="32"/>
        </w:rPr>
      </w:pPr>
    </w:p>
    <w:p w14:paraId="069CFB68">
      <w:pPr>
        <w:jc w:val="center"/>
        <w:rPr>
          <w:rFonts w:ascii="仿宋" w:hAnsi="仿宋" w:eastAsia="仿宋" w:cs="仿宋"/>
          <w:b/>
          <w:bCs/>
          <w:color w:val="auto"/>
          <w:sz w:val="32"/>
          <w:szCs w:val="32"/>
        </w:rPr>
      </w:pPr>
    </w:p>
    <w:p w14:paraId="4F6579AE">
      <w:pPr>
        <w:jc w:val="center"/>
        <w:rPr>
          <w:rFonts w:ascii="仿宋" w:hAnsi="仿宋" w:eastAsia="仿宋" w:cs="仿宋"/>
          <w:b/>
          <w:bCs/>
          <w:color w:val="auto"/>
          <w:sz w:val="32"/>
          <w:szCs w:val="32"/>
        </w:rPr>
      </w:pPr>
    </w:p>
    <w:p w14:paraId="02F9EB32">
      <w:pPr>
        <w:jc w:val="center"/>
        <w:rPr>
          <w:rFonts w:ascii="仿宋" w:hAnsi="仿宋" w:eastAsia="仿宋" w:cs="仿宋"/>
          <w:b/>
          <w:bCs/>
          <w:color w:val="auto"/>
          <w:sz w:val="32"/>
          <w:szCs w:val="32"/>
        </w:rPr>
      </w:pPr>
    </w:p>
    <w:p w14:paraId="48C08E9E">
      <w:pPr>
        <w:jc w:val="center"/>
        <w:rPr>
          <w:rFonts w:ascii="仿宋" w:hAnsi="仿宋" w:eastAsia="仿宋" w:cs="仿宋"/>
          <w:b/>
          <w:bCs/>
          <w:color w:val="auto"/>
          <w:sz w:val="32"/>
          <w:szCs w:val="32"/>
        </w:rPr>
      </w:pPr>
    </w:p>
    <w:p w14:paraId="1E2C18BF">
      <w:pPr>
        <w:jc w:val="center"/>
        <w:rPr>
          <w:rFonts w:ascii="仿宋" w:hAnsi="仿宋" w:eastAsia="仿宋" w:cs="仿宋"/>
          <w:b/>
          <w:bCs/>
          <w:color w:val="auto"/>
          <w:sz w:val="32"/>
          <w:szCs w:val="32"/>
        </w:rPr>
      </w:pPr>
    </w:p>
    <w:p w14:paraId="1CBE1D99">
      <w:pPr>
        <w:jc w:val="center"/>
        <w:rPr>
          <w:rFonts w:ascii="仿宋" w:hAnsi="仿宋" w:eastAsia="仿宋" w:cs="仿宋"/>
          <w:b/>
          <w:bCs/>
          <w:color w:val="auto"/>
          <w:sz w:val="32"/>
          <w:szCs w:val="32"/>
        </w:rPr>
      </w:pPr>
    </w:p>
    <w:p w14:paraId="448231A0">
      <w:pPr>
        <w:jc w:val="center"/>
        <w:rPr>
          <w:rFonts w:ascii="仿宋" w:hAnsi="仿宋" w:eastAsia="仿宋" w:cs="仿宋"/>
          <w:b/>
          <w:bCs/>
          <w:color w:val="auto"/>
          <w:sz w:val="32"/>
          <w:szCs w:val="32"/>
        </w:rPr>
      </w:pPr>
    </w:p>
    <w:p w14:paraId="51B6A60F">
      <w:pPr>
        <w:jc w:val="center"/>
        <w:rPr>
          <w:rFonts w:ascii="仿宋" w:hAnsi="仿宋" w:eastAsia="仿宋" w:cs="仿宋"/>
          <w:b/>
          <w:bCs/>
          <w:color w:val="auto"/>
          <w:sz w:val="32"/>
          <w:szCs w:val="32"/>
        </w:rPr>
      </w:pPr>
    </w:p>
    <w:p w14:paraId="670D6C9B">
      <w:pPr>
        <w:jc w:val="center"/>
        <w:rPr>
          <w:rFonts w:ascii="仿宋" w:hAnsi="仿宋" w:eastAsia="仿宋" w:cs="仿宋"/>
          <w:b/>
          <w:bCs/>
          <w:color w:val="auto"/>
          <w:sz w:val="32"/>
          <w:szCs w:val="32"/>
        </w:rPr>
      </w:pPr>
    </w:p>
    <w:p w14:paraId="090C6A60">
      <w:pPr>
        <w:tabs>
          <w:tab w:val="left" w:pos="2571"/>
          <w:tab w:val="center" w:pos="4213"/>
        </w:tabs>
        <w:rPr>
          <w:rFonts w:ascii="仿宋" w:hAnsi="仿宋" w:eastAsia="仿宋" w:cs="仿宋"/>
          <w:b/>
          <w:bCs/>
          <w:color w:val="auto"/>
          <w:sz w:val="32"/>
          <w:szCs w:val="32"/>
        </w:rPr>
      </w:pPr>
    </w:p>
    <w:p w14:paraId="3C59A637">
      <w:pPr>
        <w:pStyle w:val="6"/>
        <w:spacing w:before="240" w:after="240"/>
        <w:ind w:firstLine="0" w:firstLineChars="0"/>
        <w:jc w:val="center"/>
        <w:rPr>
          <w:rFonts w:ascii="仿宋" w:hAnsi="仿宋" w:eastAsia="仿宋" w:cs="仿宋"/>
          <w:color w:val="auto"/>
          <w:sz w:val="44"/>
          <w:szCs w:val="44"/>
        </w:rPr>
      </w:pPr>
      <w:bookmarkStart w:id="259" w:name="_Toc524"/>
      <w:r>
        <w:rPr>
          <w:rFonts w:hint="eastAsia" w:ascii="仿宋" w:hAnsi="仿宋" w:eastAsia="仿宋" w:cs="仿宋"/>
          <w:color w:val="auto"/>
          <w:sz w:val="44"/>
          <w:szCs w:val="44"/>
        </w:rPr>
        <w:t>二  资信商务及技术文件格式</w:t>
      </w:r>
      <w:bookmarkEnd w:id="254"/>
      <w:bookmarkEnd w:id="255"/>
      <w:bookmarkEnd w:id="259"/>
    </w:p>
    <w:p w14:paraId="564A4E71">
      <w:pPr>
        <w:pStyle w:val="40"/>
        <w:spacing w:line="360" w:lineRule="auto"/>
        <w:jc w:val="left"/>
        <w:rPr>
          <w:rFonts w:ascii="仿宋" w:hAnsi="仿宋" w:eastAsia="仿宋" w:cs="仿宋"/>
          <w:color w:val="auto"/>
          <w:spacing w:val="20"/>
          <w:sz w:val="24"/>
          <w:u w:val="single"/>
        </w:rPr>
      </w:pPr>
    </w:p>
    <w:p w14:paraId="7BB0234F">
      <w:pPr>
        <w:pStyle w:val="6"/>
        <w:ind w:firstLine="0" w:firstLineChars="0"/>
        <w:jc w:val="center"/>
        <w:rPr>
          <w:rFonts w:ascii="仿宋" w:hAnsi="仿宋" w:eastAsia="仿宋" w:cs="仿宋"/>
          <w:color w:val="auto"/>
          <w:spacing w:val="6"/>
        </w:rPr>
      </w:pPr>
      <w:bookmarkStart w:id="260" w:name="_Toc16244"/>
      <w:bookmarkStart w:id="261" w:name="_Toc16457"/>
      <w:bookmarkStart w:id="262" w:name="_Toc16878"/>
      <w:bookmarkStart w:id="263" w:name="_Toc12225"/>
      <w:bookmarkStart w:id="264" w:name="_Toc21534"/>
      <w:bookmarkStart w:id="265" w:name="_Toc17519"/>
      <w:bookmarkStart w:id="266" w:name="_Toc24031"/>
      <w:bookmarkStart w:id="267" w:name="_Toc5147"/>
      <w:bookmarkStart w:id="268" w:name="_Toc12903"/>
      <w:bookmarkStart w:id="269" w:name="_Toc3665"/>
      <w:bookmarkStart w:id="270" w:name="_Toc21076"/>
      <w:bookmarkStart w:id="271" w:name="_Toc20271"/>
      <w:bookmarkStart w:id="272" w:name="_Toc25015"/>
      <w:bookmarkStart w:id="273" w:name="_Toc24783"/>
      <w:bookmarkStart w:id="274" w:name="_Toc29333"/>
      <w:bookmarkStart w:id="275" w:name="_Toc510162956"/>
      <w:bookmarkStart w:id="276" w:name="_Toc32086"/>
      <w:bookmarkStart w:id="277" w:name="_Toc4089"/>
      <w:bookmarkStart w:id="278" w:name="_Toc4550"/>
      <w:r>
        <w:rPr>
          <w:rFonts w:hint="eastAsia" w:ascii="仿宋" w:hAnsi="仿宋" w:eastAsia="仿宋" w:cs="仿宋"/>
          <w:color w:val="auto"/>
          <w:spacing w:val="6"/>
        </w:rPr>
        <w:t>资信商务及技术文件外层信封封面格式</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Start w:id="279" w:name="_Toc31103"/>
      <w:bookmarkStart w:id="280" w:name="_Toc3364"/>
      <w:bookmarkStart w:id="281" w:name="_Toc17547"/>
      <w:bookmarkStart w:id="282" w:name="_Toc11621"/>
      <w:bookmarkStart w:id="283" w:name="_Toc18054"/>
      <w:bookmarkStart w:id="284" w:name="_Toc510162955"/>
      <w:bookmarkStart w:id="285" w:name="_Toc15587"/>
      <w:bookmarkStart w:id="286" w:name="_Toc26606"/>
      <w:bookmarkStart w:id="287" w:name="_Toc16068"/>
    </w:p>
    <w:bookmarkEnd w:id="279"/>
    <w:bookmarkEnd w:id="280"/>
    <w:bookmarkEnd w:id="281"/>
    <w:bookmarkEnd w:id="282"/>
    <w:bookmarkEnd w:id="283"/>
    <w:bookmarkEnd w:id="284"/>
    <w:bookmarkEnd w:id="285"/>
    <w:bookmarkEnd w:id="286"/>
    <w:bookmarkEnd w:id="287"/>
    <w:p w14:paraId="2F477ADF">
      <w:pPr>
        <w:pStyle w:val="6"/>
        <w:ind w:firstLine="0" w:firstLineChars="0"/>
        <w:jc w:val="right"/>
        <w:rPr>
          <w:rFonts w:ascii="仿宋" w:hAnsi="仿宋" w:eastAsia="仿宋" w:cs="仿宋"/>
          <w:color w:val="auto"/>
          <w:spacing w:val="6"/>
        </w:rPr>
      </w:pPr>
    </w:p>
    <w:p w14:paraId="64418983">
      <w:pPr>
        <w:spacing w:line="600" w:lineRule="auto"/>
        <w:ind w:firstLine="667" w:firstLineChars="200"/>
        <w:rPr>
          <w:rFonts w:hint="eastAsia" w:eastAsia="仿宋"/>
          <w:color w:val="auto"/>
          <w:lang w:eastAsia="zh-CN"/>
        </w:rPr>
      </w:pPr>
      <w:r>
        <w:rPr>
          <w:rFonts w:hint="eastAsia" w:ascii="仿宋" w:hAnsi="仿宋" w:eastAsia="仿宋" w:cs="仿宋"/>
          <w:b/>
          <w:color w:val="auto"/>
          <w:spacing w:val="6"/>
          <w:sz w:val="32"/>
        </w:rPr>
        <w:t>项目编号：</w:t>
      </w:r>
      <w:r>
        <w:rPr>
          <w:rFonts w:hint="eastAsia" w:ascii="仿宋" w:hAnsi="仿宋" w:eastAsia="仿宋" w:cs="仿宋"/>
          <w:color w:val="auto"/>
          <w:sz w:val="30"/>
          <w:szCs w:val="30"/>
          <w:lang w:eastAsia="zh-CN"/>
        </w:rPr>
        <w:t>SCYH【2025】067-公22</w:t>
      </w:r>
    </w:p>
    <w:p w14:paraId="4AE37DB3">
      <w:pPr>
        <w:keepNext w:val="0"/>
        <w:keepLines w:val="0"/>
        <w:pageBreakBefore w:val="0"/>
        <w:widowControl w:val="0"/>
        <w:kinsoku/>
        <w:wordWrap/>
        <w:overflowPunct/>
        <w:topLinePunct w:val="0"/>
        <w:autoSpaceDE/>
        <w:autoSpaceDN/>
        <w:bidi w:val="0"/>
        <w:adjustRightInd/>
        <w:snapToGrid/>
        <w:spacing w:line="360" w:lineRule="auto"/>
        <w:ind w:left="2304" w:leftChars="304" w:hanging="1666" w:hangingChars="500"/>
        <w:textAlignment w:val="auto"/>
        <w:rPr>
          <w:rFonts w:hint="eastAsia" w:ascii="仿宋" w:hAnsi="仿宋" w:eastAsia="仿宋" w:cs="仿宋"/>
          <w:color w:val="auto"/>
          <w:spacing w:val="-6"/>
          <w:sz w:val="30"/>
          <w:szCs w:val="30"/>
          <w:lang w:eastAsia="zh-CN"/>
        </w:rPr>
      </w:pPr>
      <w:r>
        <w:rPr>
          <w:rFonts w:hint="eastAsia" w:ascii="仿宋" w:hAnsi="仿宋" w:eastAsia="仿宋" w:cs="仿宋"/>
          <w:b/>
          <w:color w:val="auto"/>
          <w:spacing w:val="6"/>
          <w:sz w:val="32"/>
        </w:rPr>
        <w:t>项目名称：</w:t>
      </w:r>
      <w:r>
        <w:rPr>
          <w:rFonts w:hint="eastAsia" w:ascii="仿宋" w:hAnsi="仿宋" w:eastAsia="仿宋" w:cs="仿宋"/>
          <w:color w:val="auto"/>
          <w:spacing w:val="0"/>
          <w:sz w:val="30"/>
          <w:szCs w:val="30"/>
          <w:lang w:eastAsia="zh-CN"/>
        </w:rPr>
        <w:t>遂昌县人民医院职工食堂经营承包项目</w:t>
      </w:r>
    </w:p>
    <w:p w14:paraId="7C8AEB4A">
      <w:pPr>
        <w:pStyle w:val="7"/>
        <w:rPr>
          <w:color w:val="auto"/>
        </w:rPr>
      </w:pPr>
    </w:p>
    <w:p w14:paraId="1B634F81">
      <w:pPr>
        <w:pStyle w:val="31"/>
        <w:snapToGrid w:val="0"/>
        <w:spacing w:line="600" w:lineRule="auto"/>
        <w:ind w:firstLine="667" w:firstLineChars="200"/>
        <w:rPr>
          <w:rFonts w:ascii="仿宋" w:hAnsi="仿宋" w:eastAsia="仿宋" w:cs="仿宋"/>
          <w:color w:val="auto"/>
          <w:spacing w:val="6"/>
          <w:sz w:val="32"/>
          <w:szCs w:val="32"/>
        </w:rPr>
      </w:pPr>
      <w:r>
        <w:rPr>
          <w:rFonts w:hint="eastAsia" w:ascii="仿宋" w:hAnsi="仿宋" w:eastAsia="仿宋" w:cs="仿宋"/>
          <w:b/>
          <w:bCs/>
          <w:color w:val="auto"/>
          <w:spacing w:val="6"/>
          <w:sz w:val="32"/>
          <w:szCs w:val="32"/>
        </w:rPr>
        <w:t>投标文件名称：</w:t>
      </w:r>
      <w:r>
        <w:rPr>
          <w:rFonts w:hint="eastAsia" w:ascii="仿宋" w:hAnsi="仿宋" w:eastAsia="仿宋" w:cs="仿宋"/>
          <w:color w:val="auto"/>
          <w:spacing w:val="6"/>
          <w:sz w:val="32"/>
          <w:szCs w:val="32"/>
        </w:rPr>
        <w:t>资信商务及技术文件</w:t>
      </w:r>
    </w:p>
    <w:p w14:paraId="4BEDB9C4">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投标人名称：（盖章）</w:t>
      </w:r>
    </w:p>
    <w:p w14:paraId="79FC6CFD">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投标人地址：</w:t>
      </w:r>
    </w:p>
    <w:p w14:paraId="63EE2F7A">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法定代表人（或被委托人）签字或盖章：</w:t>
      </w:r>
    </w:p>
    <w:p w14:paraId="43A0480B">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时间：在     年   月   日   时   分之前不得启封</w:t>
      </w:r>
    </w:p>
    <w:p w14:paraId="76F896F9">
      <w:pPr>
        <w:jc w:val="center"/>
        <w:rPr>
          <w:rFonts w:ascii="仿宋" w:hAnsi="仿宋" w:eastAsia="仿宋" w:cs="仿宋"/>
          <w:b/>
          <w:color w:val="auto"/>
          <w:sz w:val="34"/>
        </w:rPr>
      </w:pPr>
    </w:p>
    <w:p w14:paraId="39C4CB83">
      <w:pPr>
        <w:pStyle w:val="25"/>
        <w:ind w:firstLine="683"/>
        <w:rPr>
          <w:rFonts w:ascii="仿宋" w:hAnsi="仿宋" w:eastAsia="仿宋" w:cs="仿宋"/>
          <w:b/>
          <w:color w:val="auto"/>
          <w:sz w:val="34"/>
        </w:rPr>
      </w:pPr>
    </w:p>
    <w:p w14:paraId="4DC04093">
      <w:pPr>
        <w:pStyle w:val="25"/>
        <w:ind w:firstLine="683"/>
        <w:rPr>
          <w:rFonts w:ascii="仿宋" w:hAnsi="仿宋" w:eastAsia="仿宋" w:cs="仿宋"/>
          <w:b/>
          <w:color w:val="auto"/>
          <w:sz w:val="34"/>
        </w:rPr>
      </w:pPr>
    </w:p>
    <w:p w14:paraId="637A1507">
      <w:pPr>
        <w:pStyle w:val="25"/>
        <w:ind w:firstLine="683"/>
        <w:rPr>
          <w:rFonts w:ascii="仿宋" w:hAnsi="仿宋" w:eastAsia="仿宋" w:cs="仿宋"/>
          <w:b/>
          <w:color w:val="auto"/>
          <w:sz w:val="34"/>
        </w:rPr>
      </w:pPr>
    </w:p>
    <w:p w14:paraId="5D858E46">
      <w:pPr>
        <w:rPr>
          <w:rFonts w:ascii="仿宋" w:hAnsi="仿宋" w:eastAsia="仿宋" w:cs="仿宋"/>
          <w:b/>
          <w:color w:val="auto"/>
          <w:sz w:val="34"/>
        </w:rPr>
      </w:pPr>
    </w:p>
    <w:p w14:paraId="67B00060">
      <w:pPr>
        <w:pStyle w:val="6"/>
        <w:ind w:firstLine="0" w:firstLineChars="0"/>
        <w:jc w:val="center"/>
        <w:rPr>
          <w:rFonts w:ascii="仿宋" w:hAnsi="仿宋" w:eastAsia="仿宋" w:cs="仿宋"/>
          <w:color w:val="auto"/>
          <w:spacing w:val="6"/>
        </w:rPr>
      </w:pPr>
      <w:bookmarkStart w:id="288" w:name="_Toc4125"/>
      <w:bookmarkStart w:id="289" w:name="_Toc1041"/>
      <w:bookmarkStart w:id="290" w:name="_Toc32466"/>
      <w:bookmarkStart w:id="291" w:name="_Toc29847"/>
      <w:r>
        <w:rPr>
          <w:rFonts w:hint="eastAsia" w:ascii="仿宋" w:hAnsi="仿宋" w:eastAsia="仿宋" w:cs="仿宋"/>
          <w:color w:val="auto"/>
          <w:spacing w:val="6"/>
        </w:rPr>
        <w:t>资信商务及技术文件内层投标文件封面格式</w:t>
      </w:r>
      <w:bookmarkEnd w:id="288"/>
      <w:bookmarkEnd w:id="289"/>
      <w:bookmarkEnd w:id="290"/>
      <w:bookmarkEnd w:id="291"/>
    </w:p>
    <w:p w14:paraId="660B40C2">
      <w:pPr>
        <w:pStyle w:val="7"/>
        <w:rPr>
          <w:rFonts w:ascii="仿宋" w:hAnsi="仿宋" w:eastAsia="仿宋" w:cs="仿宋"/>
          <w:color w:val="auto"/>
          <w:spacing w:val="6"/>
        </w:rPr>
      </w:pPr>
    </w:p>
    <w:p w14:paraId="58C0432B">
      <w:pPr>
        <w:rPr>
          <w:color w:val="auto"/>
        </w:rPr>
      </w:pPr>
    </w:p>
    <w:p w14:paraId="62DDA9A7">
      <w:pPr>
        <w:pStyle w:val="6"/>
        <w:ind w:firstLine="0" w:firstLineChars="0"/>
        <w:jc w:val="right"/>
        <w:rPr>
          <w:rFonts w:ascii="仿宋" w:hAnsi="仿宋" w:eastAsia="仿宋" w:cs="仿宋"/>
          <w:color w:val="auto"/>
          <w:spacing w:val="6"/>
        </w:rPr>
      </w:pPr>
      <w:bookmarkStart w:id="292" w:name="_Toc11030"/>
      <w:bookmarkStart w:id="293" w:name="_Toc10210"/>
      <w:bookmarkStart w:id="294" w:name="_Toc23980"/>
      <w:bookmarkStart w:id="295" w:name="_Toc4352"/>
      <w:r>
        <w:rPr>
          <w:rFonts w:hint="eastAsia" w:ascii="仿宋" w:hAnsi="仿宋" w:eastAsia="仿宋" w:cs="仿宋"/>
          <w:b w:val="0"/>
          <w:color w:val="auto"/>
          <w:sz w:val="32"/>
          <w:szCs w:val="32"/>
        </w:rPr>
        <w:t>正本（或副本）</w:t>
      </w:r>
      <w:bookmarkEnd w:id="292"/>
      <w:bookmarkEnd w:id="293"/>
      <w:bookmarkEnd w:id="294"/>
      <w:bookmarkEnd w:id="295"/>
    </w:p>
    <w:p w14:paraId="6CC24E1F">
      <w:pPr>
        <w:spacing w:line="600" w:lineRule="auto"/>
        <w:ind w:firstLine="667" w:firstLineChars="200"/>
        <w:rPr>
          <w:rFonts w:hint="eastAsia" w:eastAsia="仿宋"/>
          <w:color w:val="auto"/>
          <w:lang w:eastAsia="zh-CN"/>
        </w:rPr>
      </w:pPr>
      <w:r>
        <w:rPr>
          <w:rFonts w:hint="eastAsia" w:ascii="仿宋" w:hAnsi="仿宋" w:eastAsia="仿宋" w:cs="仿宋"/>
          <w:b/>
          <w:color w:val="auto"/>
          <w:spacing w:val="6"/>
          <w:sz w:val="32"/>
        </w:rPr>
        <w:t>项目编号：</w:t>
      </w:r>
      <w:r>
        <w:rPr>
          <w:rFonts w:hint="eastAsia" w:ascii="仿宋" w:hAnsi="仿宋" w:eastAsia="仿宋" w:cs="仿宋"/>
          <w:color w:val="auto"/>
          <w:sz w:val="30"/>
          <w:szCs w:val="30"/>
          <w:lang w:eastAsia="zh-CN"/>
        </w:rPr>
        <w:t>SCYH【2025】067-公22</w:t>
      </w:r>
    </w:p>
    <w:p w14:paraId="753BEF06">
      <w:pPr>
        <w:spacing w:line="600" w:lineRule="auto"/>
        <w:ind w:firstLine="667" w:firstLineChars="200"/>
        <w:rPr>
          <w:rFonts w:hint="eastAsia" w:ascii="仿宋" w:hAnsi="仿宋" w:eastAsia="仿宋" w:cs="仿宋"/>
          <w:color w:val="auto"/>
          <w:sz w:val="30"/>
          <w:szCs w:val="30"/>
          <w:lang w:eastAsia="zh-CN"/>
        </w:rPr>
      </w:pPr>
      <w:r>
        <w:rPr>
          <w:rFonts w:hint="eastAsia" w:ascii="仿宋" w:hAnsi="仿宋" w:eastAsia="仿宋" w:cs="仿宋"/>
          <w:b/>
          <w:color w:val="auto"/>
          <w:spacing w:val="6"/>
          <w:sz w:val="32"/>
        </w:rPr>
        <w:t>项目名称：</w:t>
      </w:r>
      <w:r>
        <w:rPr>
          <w:rFonts w:hint="eastAsia" w:ascii="仿宋" w:hAnsi="仿宋" w:eastAsia="仿宋" w:cs="仿宋"/>
          <w:color w:val="auto"/>
          <w:spacing w:val="-6"/>
          <w:sz w:val="30"/>
          <w:szCs w:val="30"/>
          <w:lang w:eastAsia="zh-CN"/>
        </w:rPr>
        <w:t>遂昌县人民医院职工食堂经营承包项目</w:t>
      </w:r>
    </w:p>
    <w:p w14:paraId="174DAB73">
      <w:pPr>
        <w:pStyle w:val="31"/>
        <w:snapToGrid w:val="0"/>
        <w:spacing w:line="600" w:lineRule="auto"/>
        <w:ind w:firstLine="667" w:firstLineChars="200"/>
        <w:rPr>
          <w:rFonts w:ascii="仿宋" w:hAnsi="仿宋" w:eastAsia="仿宋" w:cs="仿宋"/>
          <w:color w:val="auto"/>
          <w:spacing w:val="6"/>
          <w:sz w:val="32"/>
          <w:szCs w:val="32"/>
        </w:rPr>
      </w:pPr>
      <w:r>
        <w:rPr>
          <w:rFonts w:hint="eastAsia" w:ascii="仿宋" w:hAnsi="仿宋" w:eastAsia="仿宋" w:cs="仿宋"/>
          <w:b/>
          <w:bCs/>
          <w:color w:val="auto"/>
          <w:spacing w:val="6"/>
          <w:sz w:val="32"/>
          <w:szCs w:val="32"/>
        </w:rPr>
        <w:t>投标文件名称：</w:t>
      </w:r>
      <w:r>
        <w:rPr>
          <w:rFonts w:hint="eastAsia" w:ascii="仿宋" w:hAnsi="仿宋" w:eastAsia="仿宋" w:cs="仿宋"/>
          <w:color w:val="auto"/>
          <w:spacing w:val="6"/>
          <w:sz w:val="32"/>
          <w:szCs w:val="32"/>
        </w:rPr>
        <w:t>资信商务及技术文件</w:t>
      </w:r>
    </w:p>
    <w:p w14:paraId="19B70E68">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投标人名称：（盖章）</w:t>
      </w:r>
    </w:p>
    <w:p w14:paraId="1EB06507">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投标人地址：</w:t>
      </w:r>
    </w:p>
    <w:p w14:paraId="70208EB0">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法定代表人（或被委托人）签字或盖章：</w:t>
      </w:r>
    </w:p>
    <w:p w14:paraId="2C0EEB47">
      <w:pPr>
        <w:pStyle w:val="22"/>
        <w:ind w:firstLine="480"/>
        <w:rPr>
          <w:color w:val="auto"/>
        </w:rPr>
      </w:pPr>
    </w:p>
    <w:p w14:paraId="5364C7A7">
      <w:pPr>
        <w:pStyle w:val="3"/>
        <w:rPr>
          <w:rFonts w:ascii="仿宋" w:hAnsi="仿宋" w:eastAsia="仿宋" w:cs="仿宋"/>
          <w:b/>
          <w:color w:val="auto"/>
          <w:sz w:val="34"/>
        </w:rPr>
      </w:pPr>
    </w:p>
    <w:p w14:paraId="5C4C28BC">
      <w:pPr>
        <w:rPr>
          <w:rFonts w:ascii="仿宋" w:hAnsi="仿宋" w:eastAsia="仿宋" w:cs="仿宋"/>
          <w:b/>
          <w:color w:val="auto"/>
          <w:sz w:val="34"/>
        </w:rPr>
      </w:pPr>
    </w:p>
    <w:p w14:paraId="70C390AE">
      <w:pPr>
        <w:pStyle w:val="22"/>
        <w:ind w:firstLine="683"/>
        <w:rPr>
          <w:rFonts w:ascii="仿宋" w:hAnsi="仿宋" w:eastAsia="仿宋" w:cs="仿宋"/>
          <w:b/>
          <w:color w:val="auto"/>
          <w:sz w:val="34"/>
        </w:rPr>
      </w:pPr>
    </w:p>
    <w:p w14:paraId="199261FE">
      <w:pPr>
        <w:pStyle w:val="2"/>
        <w:ind w:firstLine="341"/>
        <w:rPr>
          <w:rFonts w:ascii="仿宋" w:hAnsi="仿宋" w:eastAsia="仿宋" w:cs="仿宋"/>
          <w:b/>
          <w:color w:val="auto"/>
          <w:sz w:val="34"/>
        </w:rPr>
      </w:pPr>
    </w:p>
    <w:p w14:paraId="1FC60DA4">
      <w:pPr>
        <w:pStyle w:val="18"/>
        <w:rPr>
          <w:rFonts w:ascii="仿宋" w:hAnsi="仿宋" w:eastAsia="仿宋" w:cs="仿宋"/>
          <w:b/>
          <w:color w:val="auto"/>
          <w:sz w:val="34"/>
        </w:rPr>
      </w:pPr>
    </w:p>
    <w:p w14:paraId="56FC6E43">
      <w:pPr>
        <w:rPr>
          <w:rFonts w:hint="eastAsia" w:eastAsia="仿宋"/>
          <w:color w:val="auto"/>
          <w:lang w:val="en-US" w:eastAsia="zh-CN"/>
        </w:rPr>
      </w:pPr>
    </w:p>
    <w:p w14:paraId="408A225C">
      <w:pPr>
        <w:rPr>
          <w:rFonts w:hint="eastAsia"/>
          <w:color w:val="auto"/>
          <w:lang w:val="en-US" w:eastAsia="zh-CN"/>
        </w:rPr>
      </w:pPr>
    </w:p>
    <w:p w14:paraId="0C06012E">
      <w:pPr>
        <w:rPr>
          <w:rFonts w:ascii="仿宋" w:hAnsi="仿宋" w:eastAsia="仿宋" w:cs="仿宋"/>
          <w:b/>
          <w:color w:val="auto"/>
          <w:sz w:val="34"/>
        </w:rPr>
      </w:pPr>
    </w:p>
    <w:p w14:paraId="5D6808D1">
      <w:pPr>
        <w:pStyle w:val="20"/>
        <w:rPr>
          <w:color w:val="auto"/>
        </w:rPr>
      </w:pPr>
    </w:p>
    <w:p w14:paraId="7B272239">
      <w:pPr>
        <w:jc w:val="center"/>
        <w:rPr>
          <w:rFonts w:ascii="仿宋" w:hAnsi="仿宋" w:eastAsia="仿宋" w:cs="仿宋"/>
          <w:color w:val="auto"/>
          <w:sz w:val="44"/>
          <w:szCs w:val="44"/>
        </w:rPr>
      </w:pPr>
      <w:r>
        <w:rPr>
          <w:rFonts w:hint="eastAsia" w:ascii="仿宋" w:hAnsi="仿宋" w:eastAsia="仿宋" w:cs="仿宋"/>
          <w:color w:val="auto"/>
          <w:sz w:val="44"/>
          <w:szCs w:val="44"/>
        </w:rPr>
        <w:t>目 录</w:t>
      </w:r>
    </w:p>
    <w:p w14:paraId="2758DEEB">
      <w:pPr>
        <w:rPr>
          <w:rFonts w:ascii="仿宋" w:hAnsi="仿宋" w:eastAsia="仿宋" w:cs="仿宋"/>
          <w:b/>
          <w:color w:val="auto"/>
          <w:sz w:val="34"/>
        </w:rPr>
      </w:pPr>
    </w:p>
    <w:p w14:paraId="565EA0D0">
      <w:pPr>
        <w:numPr>
          <w:ilvl w:val="0"/>
          <w:numId w:val="0"/>
        </w:numPr>
        <w:spacing w:line="360" w:lineRule="auto"/>
        <w:jc w:val="center"/>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（格式自行设计）</w:t>
      </w:r>
    </w:p>
    <w:p w14:paraId="6B0842B0">
      <w:pPr>
        <w:numPr>
          <w:ilvl w:val="0"/>
          <w:numId w:val="0"/>
        </w:numPr>
        <w:spacing w:line="360" w:lineRule="auto"/>
        <w:jc w:val="center"/>
        <w:rPr>
          <w:rFonts w:hint="default" w:ascii="仿宋" w:hAnsi="仿宋" w:eastAsia="仿宋" w:cs="仿宋"/>
          <w:bCs/>
          <w:color w:val="auto"/>
          <w:sz w:val="28"/>
          <w:szCs w:val="28"/>
          <w:lang w:val="en-US" w:eastAsia="zh-CN"/>
        </w:rPr>
      </w:pPr>
    </w:p>
    <w:p w14:paraId="5EB2783D">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szCs w:val="21"/>
        </w:rPr>
        <w:t>投标人可根据评分表及项目需求情况，自行添加（或删除）相关表格及资料，无参考格式的文件或投标人认为应该提供的文件和资料可自行拟定格式。</w:t>
      </w:r>
    </w:p>
    <w:p w14:paraId="01EB6079">
      <w:pPr>
        <w:spacing w:line="360" w:lineRule="auto"/>
        <w:ind w:firstLine="480" w:firstLineChars="200"/>
        <w:rPr>
          <w:rFonts w:ascii="仿宋" w:hAnsi="仿宋" w:eastAsia="仿宋" w:cs="仿宋"/>
          <w:color w:val="auto"/>
          <w:sz w:val="24"/>
        </w:rPr>
      </w:pPr>
    </w:p>
    <w:p w14:paraId="3E8A5563">
      <w:pPr>
        <w:spacing w:line="360" w:lineRule="auto"/>
        <w:ind w:firstLine="480" w:firstLineChars="200"/>
        <w:rPr>
          <w:rFonts w:ascii="仿宋" w:hAnsi="仿宋" w:eastAsia="仿宋" w:cs="仿宋"/>
          <w:color w:val="auto"/>
          <w:sz w:val="24"/>
        </w:rPr>
      </w:pPr>
    </w:p>
    <w:p w14:paraId="5BFA93CD">
      <w:pPr>
        <w:spacing w:line="360" w:lineRule="auto"/>
        <w:ind w:firstLine="480" w:firstLineChars="200"/>
        <w:rPr>
          <w:rFonts w:ascii="仿宋" w:hAnsi="仿宋" w:eastAsia="仿宋" w:cs="仿宋"/>
          <w:color w:val="auto"/>
          <w:sz w:val="24"/>
        </w:rPr>
      </w:pPr>
    </w:p>
    <w:p w14:paraId="3704FB56">
      <w:pPr>
        <w:spacing w:line="360" w:lineRule="auto"/>
        <w:ind w:firstLine="480" w:firstLineChars="200"/>
        <w:rPr>
          <w:rFonts w:ascii="仿宋" w:hAnsi="仿宋" w:eastAsia="仿宋" w:cs="仿宋"/>
          <w:color w:val="auto"/>
          <w:sz w:val="24"/>
        </w:rPr>
      </w:pPr>
    </w:p>
    <w:p w14:paraId="552AE03E">
      <w:pPr>
        <w:spacing w:line="360" w:lineRule="auto"/>
        <w:ind w:firstLine="480" w:firstLineChars="200"/>
        <w:rPr>
          <w:rFonts w:ascii="仿宋" w:hAnsi="仿宋" w:eastAsia="仿宋" w:cs="仿宋"/>
          <w:color w:val="auto"/>
          <w:sz w:val="24"/>
        </w:rPr>
      </w:pPr>
    </w:p>
    <w:p w14:paraId="68E987BB">
      <w:pPr>
        <w:spacing w:line="360" w:lineRule="auto"/>
        <w:ind w:firstLine="480" w:firstLineChars="200"/>
        <w:rPr>
          <w:rFonts w:ascii="仿宋" w:hAnsi="仿宋" w:eastAsia="仿宋" w:cs="仿宋"/>
          <w:color w:val="auto"/>
          <w:sz w:val="24"/>
        </w:rPr>
      </w:pPr>
    </w:p>
    <w:p w14:paraId="62090FA3">
      <w:pPr>
        <w:spacing w:line="360" w:lineRule="auto"/>
        <w:ind w:firstLine="480" w:firstLineChars="200"/>
        <w:rPr>
          <w:rFonts w:ascii="仿宋" w:hAnsi="仿宋" w:eastAsia="仿宋" w:cs="仿宋"/>
          <w:color w:val="auto"/>
          <w:sz w:val="24"/>
        </w:rPr>
      </w:pPr>
    </w:p>
    <w:p w14:paraId="10A9BFFA">
      <w:pPr>
        <w:spacing w:line="360" w:lineRule="auto"/>
        <w:ind w:firstLine="480" w:firstLineChars="200"/>
        <w:rPr>
          <w:rFonts w:ascii="仿宋" w:hAnsi="仿宋" w:eastAsia="仿宋" w:cs="仿宋"/>
          <w:color w:val="auto"/>
          <w:sz w:val="24"/>
        </w:rPr>
      </w:pPr>
    </w:p>
    <w:p w14:paraId="5B36928A">
      <w:pPr>
        <w:spacing w:line="360" w:lineRule="auto"/>
        <w:ind w:firstLine="480" w:firstLineChars="200"/>
        <w:rPr>
          <w:rFonts w:ascii="仿宋" w:hAnsi="仿宋" w:eastAsia="仿宋" w:cs="仿宋"/>
          <w:color w:val="auto"/>
          <w:sz w:val="24"/>
        </w:rPr>
      </w:pPr>
    </w:p>
    <w:p w14:paraId="57A0A53A">
      <w:pPr>
        <w:spacing w:line="360" w:lineRule="auto"/>
        <w:ind w:firstLine="480" w:firstLineChars="200"/>
        <w:rPr>
          <w:rFonts w:ascii="仿宋" w:hAnsi="仿宋" w:eastAsia="仿宋" w:cs="仿宋"/>
          <w:color w:val="auto"/>
          <w:sz w:val="24"/>
        </w:rPr>
      </w:pPr>
    </w:p>
    <w:p w14:paraId="48EF8DE4">
      <w:pPr>
        <w:spacing w:line="360" w:lineRule="auto"/>
        <w:ind w:firstLine="480" w:firstLineChars="200"/>
        <w:rPr>
          <w:rFonts w:ascii="仿宋" w:hAnsi="仿宋" w:eastAsia="仿宋" w:cs="仿宋"/>
          <w:color w:val="auto"/>
          <w:sz w:val="24"/>
        </w:rPr>
      </w:pPr>
    </w:p>
    <w:p w14:paraId="29234C48">
      <w:pPr>
        <w:spacing w:line="360" w:lineRule="auto"/>
        <w:ind w:firstLine="480" w:firstLineChars="200"/>
        <w:rPr>
          <w:rFonts w:ascii="仿宋" w:hAnsi="仿宋" w:eastAsia="仿宋" w:cs="仿宋"/>
          <w:color w:val="auto"/>
          <w:sz w:val="24"/>
        </w:rPr>
      </w:pPr>
    </w:p>
    <w:p w14:paraId="4A322193">
      <w:pPr>
        <w:spacing w:line="360" w:lineRule="auto"/>
        <w:ind w:firstLine="480" w:firstLineChars="200"/>
        <w:rPr>
          <w:rFonts w:ascii="仿宋" w:hAnsi="仿宋" w:eastAsia="仿宋" w:cs="仿宋"/>
          <w:color w:val="auto"/>
          <w:sz w:val="24"/>
        </w:rPr>
      </w:pPr>
    </w:p>
    <w:p w14:paraId="003EDFD2">
      <w:pPr>
        <w:spacing w:line="360" w:lineRule="auto"/>
        <w:ind w:firstLine="480" w:firstLineChars="200"/>
        <w:rPr>
          <w:rFonts w:ascii="仿宋" w:hAnsi="仿宋" w:eastAsia="仿宋" w:cs="仿宋"/>
          <w:color w:val="auto"/>
          <w:sz w:val="24"/>
        </w:rPr>
      </w:pPr>
    </w:p>
    <w:p w14:paraId="071D1F7C">
      <w:pPr>
        <w:pStyle w:val="7"/>
        <w:rPr>
          <w:rFonts w:ascii="仿宋" w:hAnsi="仿宋" w:eastAsia="仿宋" w:cs="仿宋"/>
          <w:color w:val="auto"/>
          <w:sz w:val="24"/>
        </w:rPr>
      </w:pPr>
    </w:p>
    <w:p w14:paraId="034D8143">
      <w:pPr>
        <w:pStyle w:val="8"/>
        <w:rPr>
          <w:rFonts w:ascii="仿宋" w:hAnsi="仿宋" w:eastAsia="仿宋" w:cs="仿宋"/>
          <w:color w:val="auto"/>
        </w:rPr>
      </w:pPr>
    </w:p>
    <w:p w14:paraId="4F64A572">
      <w:pPr>
        <w:pStyle w:val="7"/>
        <w:rPr>
          <w:rFonts w:ascii="仿宋" w:hAnsi="仿宋" w:eastAsia="仿宋" w:cs="仿宋"/>
          <w:color w:val="auto"/>
          <w:sz w:val="24"/>
        </w:rPr>
      </w:pPr>
    </w:p>
    <w:p w14:paraId="632BE740">
      <w:pPr>
        <w:rPr>
          <w:color w:val="auto"/>
        </w:rPr>
      </w:pPr>
    </w:p>
    <w:p w14:paraId="26536E39">
      <w:pPr>
        <w:pStyle w:val="8"/>
        <w:rPr>
          <w:rFonts w:ascii="仿宋" w:hAnsi="仿宋" w:eastAsia="仿宋" w:cs="仿宋"/>
          <w:color w:val="auto"/>
        </w:rPr>
      </w:pPr>
    </w:p>
    <w:p w14:paraId="69B850BA">
      <w:pPr>
        <w:pStyle w:val="7"/>
        <w:rPr>
          <w:rFonts w:ascii="仿宋" w:hAnsi="仿宋" w:eastAsia="仿宋" w:cs="仿宋"/>
          <w:color w:val="auto"/>
          <w:sz w:val="24"/>
        </w:rPr>
      </w:pPr>
    </w:p>
    <w:p w14:paraId="5EFDEF79">
      <w:pPr>
        <w:pStyle w:val="8"/>
        <w:rPr>
          <w:rFonts w:ascii="仿宋" w:hAnsi="仿宋" w:eastAsia="仿宋" w:cs="仿宋"/>
          <w:color w:val="auto"/>
        </w:rPr>
      </w:pPr>
    </w:p>
    <w:p w14:paraId="388DDDF3">
      <w:pPr>
        <w:pStyle w:val="22"/>
        <w:rPr>
          <w:color w:val="auto"/>
        </w:rPr>
      </w:pPr>
    </w:p>
    <w:p w14:paraId="4ED8D11E">
      <w:pPr>
        <w:pStyle w:val="6"/>
        <w:numPr>
          <w:ilvl w:val="0"/>
          <w:numId w:val="23"/>
        </w:numPr>
        <w:spacing w:before="240" w:after="240"/>
        <w:ind w:firstLineChars="0"/>
        <w:jc w:val="center"/>
        <w:rPr>
          <w:rFonts w:ascii="仿宋" w:hAnsi="仿宋" w:eastAsia="仿宋" w:cs="仿宋"/>
          <w:color w:val="auto"/>
          <w:sz w:val="28"/>
          <w:szCs w:val="28"/>
        </w:rPr>
      </w:pPr>
      <w:bookmarkStart w:id="296" w:name="_Toc852"/>
      <w:bookmarkStart w:id="297" w:name="_Toc22351"/>
      <w:bookmarkStart w:id="298" w:name="_Toc18278"/>
      <w:bookmarkStart w:id="299" w:name="_Toc13024"/>
      <w:bookmarkStart w:id="300" w:name="_Toc9310"/>
      <w:bookmarkStart w:id="301" w:name="_Toc7334"/>
      <w:bookmarkStart w:id="302" w:name="_Toc16258"/>
      <w:bookmarkStart w:id="303" w:name="_Toc15260"/>
      <w:bookmarkStart w:id="304" w:name="_Toc28946"/>
      <w:bookmarkStart w:id="305" w:name="_Toc493956059"/>
      <w:bookmarkStart w:id="306" w:name="_Toc4974"/>
      <w:bookmarkStart w:id="307" w:name="_Toc167"/>
      <w:bookmarkStart w:id="308" w:name="_Toc25553"/>
      <w:bookmarkStart w:id="309" w:name="_Toc510162959"/>
      <w:bookmarkStart w:id="310" w:name="_Toc10533"/>
      <w:bookmarkStart w:id="311" w:name="_Toc21646"/>
      <w:bookmarkStart w:id="312" w:name="_Toc21444"/>
      <w:bookmarkStart w:id="313" w:name="_Toc16910"/>
      <w:bookmarkStart w:id="314" w:name="_Toc27476"/>
      <w:r>
        <w:rPr>
          <w:rFonts w:hint="eastAsia" w:ascii="仿宋" w:hAnsi="仿宋" w:eastAsia="仿宋" w:cs="仿宋"/>
          <w:color w:val="auto"/>
          <w:sz w:val="28"/>
          <w:szCs w:val="28"/>
        </w:rPr>
        <w:t>投标声明书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EDB55C5">
      <w:pPr>
        <w:pStyle w:val="33"/>
        <w:autoSpaceDE w:val="0"/>
        <w:autoSpaceDN w:val="0"/>
        <w:spacing w:line="360" w:lineRule="auto"/>
        <w:textAlignment w:val="bottom"/>
        <w:rPr>
          <w:rFonts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遂昌县人民医院</w:t>
      </w:r>
      <w:r>
        <w:rPr>
          <w:rFonts w:hint="eastAsia" w:ascii="仿宋" w:hAnsi="仿宋" w:eastAsia="仿宋" w:cs="仿宋"/>
          <w:color w:val="auto"/>
          <w:sz w:val="24"/>
          <w:szCs w:val="21"/>
          <w:u w:val="single"/>
        </w:rPr>
        <w:t>、遂昌一航采购代理有限公司：</w:t>
      </w:r>
    </w:p>
    <w:p w14:paraId="6F7659A7">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u w:val="single"/>
        </w:rPr>
        <w:t xml:space="preserve">  (投标人全称)  </w:t>
      </w:r>
      <w:r>
        <w:rPr>
          <w:rFonts w:hint="eastAsia" w:ascii="仿宋" w:hAnsi="仿宋" w:eastAsia="仿宋" w:cs="仿宋"/>
          <w:color w:val="auto"/>
          <w:sz w:val="24"/>
          <w:szCs w:val="21"/>
        </w:rPr>
        <w:t>系中华人民共和国合法企业，经营地址</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w:t>
      </w:r>
    </w:p>
    <w:p w14:paraId="2A5A5BDF">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我</w:t>
      </w:r>
      <w:r>
        <w:rPr>
          <w:rFonts w:hint="eastAsia" w:ascii="仿宋" w:hAnsi="仿宋" w:eastAsia="仿宋" w:cs="仿宋"/>
          <w:color w:val="auto"/>
          <w:sz w:val="24"/>
          <w:szCs w:val="21"/>
          <w:u w:val="single"/>
        </w:rPr>
        <w:t>(法定代表人或负责人名字)</w:t>
      </w:r>
      <w:r>
        <w:rPr>
          <w:rFonts w:hint="eastAsia" w:ascii="仿宋" w:hAnsi="仿宋" w:eastAsia="仿宋" w:cs="仿宋"/>
          <w:color w:val="auto"/>
          <w:sz w:val="24"/>
          <w:szCs w:val="21"/>
        </w:rPr>
        <w:t>系</w:t>
      </w:r>
      <w:r>
        <w:rPr>
          <w:rFonts w:hint="eastAsia" w:ascii="仿宋" w:hAnsi="仿宋" w:eastAsia="仿宋" w:cs="仿宋"/>
          <w:color w:val="auto"/>
          <w:sz w:val="24"/>
          <w:szCs w:val="21"/>
          <w:u w:val="single"/>
        </w:rPr>
        <w:t xml:space="preserve">  (投标人名称)  </w:t>
      </w:r>
      <w:r>
        <w:rPr>
          <w:rFonts w:hint="eastAsia" w:ascii="仿宋" w:hAnsi="仿宋" w:eastAsia="仿宋" w:cs="仿宋"/>
          <w:color w:val="auto"/>
          <w:sz w:val="24"/>
          <w:szCs w:val="21"/>
        </w:rPr>
        <w:t>为负责人，我方愿意参加贵方组织的</w:t>
      </w:r>
      <w:r>
        <w:rPr>
          <w:rFonts w:hint="eastAsia" w:ascii="仿宋" w:hAnsi="仿宋" w:eastAsia="仿宋" w:cs="仿宋"/>
          <w:color w:val="auto"/>
          <w:sz w:val="24"/>
          <w:szCs w:val="21"/>
          <w:u w:val="single"/>
        </w:rPr>
        <w:t xml:space="preserve">    （项目名称） </w:t>
      </w:r>
      <w:r>
        <w:rPr>
          <w:rFonts w:hint="eastAsia" w:ascii="仿宋" w:hAnsi="仿宋" w:eastAsia="仿宋" w:cs="仿宋"/>
          <w:color w:val="auto"/>
          <w:sz w:val="24"/>
          <w:szCs w:val="21"/>
        </w:rPr>
        <w:t>的投标。为便于贵方公正、择优地确定中标人以及投标产品和服务，我方就本次投标有关事项郑重承诺如下：</w:t>
      </w:r>
    </w:p>
    <w:p w14:paraId="67834BC2">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1、我方向贵方提交的所有投标文件、资料都是准确的和真实的。</w:t>
      </w:r>
    </w:p>
    <w:p w14:paraId="32FE31D6">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2、我方承诺已经具备《中华人民共和国政府采购法》、《中华人民共和国政府采购法实施条例》中规定的参加政府采购活动的投标人应当具备的条件，并真实提供相关材料。</w:t>
      </w:r>
    </w:p>
    <w:p w14:paraId="5CCAA8D8">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3、提供投标人须知规定的全部投标文件，包括：</w:t>
      </w:r>
    </w:p>
    <w:p w14:paraId="65BC58F5">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资格审查文件正本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份，副本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w:t>
      </w:r>
    </w:p>
    <w:p w14:paraId="05AD9DD4">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资信商务及技术文件正本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份，副本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w:t>
      </w:r>
    </w:p>
    <w:p w14:paraId="708C73ED">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报价文件正本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份，副本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w:t>
      </w:r>
    </w:p>
    <w:p w14:paraId="574847DA">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投标人须知要求的投标人提交的全部文件；</w:t>
      </w:r>
    </w:p>
    <w:p w14:paraId="0AF960AC">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按招标文件要求提供和交付的货物和服务的投标报价详见报价表。</w:t>
      </w:r>
    </w:p>
    <w:p w14:paraId="1BFE5E3C">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4、如果我方中标，本投标文件至本项目合同履行完毕止均保持有效，本投标人将按“招标文件”及政府采购法律、法规的规定履行合同责任和义务。</w:t>
      </w:r>
    </w:p>
    <w:p w14:paraId="0871DCAC">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5、如果我方中标，将派出</w:t>
      </w:r>
      <w:r>
        <w:rPr>
          <w:rFonts w:hint="eastAsia" w:ascii="仿宋" w:hAnsi="仿宋" w:eastAsia="仿宋" w:cs="仿宋"/>
          <w:color w:val="auto"/>
          <w:sz w:val="24"/>
          <w:szCs w:val="21"/>
          <w:u w:val="single"/>
        </w:rPr>
        <w:t>（姓名及身份证号码），</w:t>
      </w:r>
      <w:r>
        <w:rPr>
          <w:rFonts w:hint="eastAsia" w:ascii="仿宋" w:hAnsi="仿宋" w:eastAsia="仿宋" w:cs="仿宋"/>
          <w:color w:val="auto"/>
          <w:sz w:val="24"/>
          <w:szCs w:val="21"/>
        </w:rPr>
        <w:t>作为本项目与采购人联系的项目实施负责人，联系手机号码：</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。在项目实施过程中，并承诺项目实施负责人不更换，若确需要更换的，书面征得采购人同意后才准予更换。</w:t>
      </w:r>
    </w:p>
    <w:p w14:paraId="132B60CB">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6、我方的投标有效期自在开标日起</w:t>
      </w:r>
      <w:r>
        <w:rPr>
          <w:rFonts w:hint="eastAsia" w:ascii="仿宋" w:hAnsi="仿宋" w:eastAsia="仿宋" w:cs="仿宋"/>
          <w:color w:val="auto"/>
          <w:sz w:val="24"/>
          <w:szCs w:val="21"/>
          <w:u w:val="single"/>
        </w:rPr>
        <w:t>90</w:t>
      </w:r>
      <w:r>
        <w:rPr>
          <w:rFonts w:hint="eastAsia" w:ascii="仿宋" w:hAnsi="仿宋" w:eastAsia="仿宋" w:cs="仿宋"/>
          <w:color w:val="auto"/>
          <w:sz w:val="24"/>
          <w:szCs w:val="21"/>
        </w:rPr>
        <w:t>天内有效。</w:t>
      </w:r>
    </w:p>
    <w:p w14:paraId="022D08F7">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7、我方在投标之前已经与贵方进行了充分的沟通，完全理解并接受招标文件的各项规定和要求，对招标文件的合理性、合法性不再有异议。</w:t>
      </w:r>
    </w:p>
    <w:p w14:paraId="14BDAE92">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我方愿意向贵方提供真实完整的任何与该项投标有关的数据、情况和技术资料。若贵方需要，我方愿意提供我方作出的一切承诺的证明材料。</w:t>
      </w:r>
    </w:p>
    <w:p w14:paraId="4BDECB6A">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8、我方已详细审核全部招标文件，包括招标文件的澄清或修改文件（如有的话）、参考资料及有关附件，已经了解我方对于招标文件、采购过程、采购结果有依法进行询问、质疑、投诉的权利及相关渠道和要求。</w:t>
      </w:r>
    </w:p>
    <w:p w14:paraId="3D2E9114">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9、我方不是采购人的附属机构，并未为本项目提供整体设计、规范编制或者项目管理、监理、监测等服务。</w:t>
      </w:r>
    </w:p>
    <w:p w14:paraId="3E807180">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08F0F0B">
      <w:pPr>
        <w:pStyle w:val="35"/>
        <w:spacing w:line="440" w:lineRule="exact"/>
        <w:ind w:firstLine="240" w:firstLineChars="100"/>
        <w:rPr>
          <w:rFonts w:ascii="仿宋" w:hAnsi="仿宋" w:eastAsia="仿宋" w:cs="仿宋"/>
          <w:color w:val="auto"/>
          <w:sz w:val="24"/>
          <w:szCs w:val="21"/>
        </w:rPr>
      </w:pPr>
      <w:r>
        <w:rPr>
          <w:rFonts w:hint="eastAsia" w:ascii="仿宋" w:hAnsi="仿宋" w:eastAsia="仿宋" w:cs="仿宋"/>
          <w:color w:val="auto"/>
          <w:sz w:val="24"/>
          <w:szCs w:val="21"/>
        </w:rPr>
        <w:t>（一）提供虚假材料谋取中标、中标的；</w:t>
      </w:r>
    </w:p>
    <w:p w14:paraId="6B410723">
      <w:pPr>
        <w:pStyle w:val="35"/>
        <w:spacing w:line="440" w:lineRule="exact"/>
        <w:ind w:firstLine="240" w:firstLineChars="100"/>
        <w:rPr>
          <w:rFonts w:ascii="仿宋" w:hAnsi="仿宋" w:eastAsia="仿宋" w:cs="仿宋"/>
          <w:color w:val="auto"/>
          <w:sz w:val="24"/>
          <w:szCs w:val="21"/>
        </w:rPr>
      </w:pPr>
      <w:r>
        <w:rPr>
          <w:rFonts w:hint="eastAsia" w:ascii="仿宋" w:hAnsi="仿宋" w:eastAsia="仿宋" w:cs="仿宋"/>
          <w:color w:val="auto"/>
          <w:sz w:val="24"/>
          <w:szCs w:val="21"/>
        </w:rPr>
        <w:t>（二）采取不正当手段诋毁、排挤其他投标人的；</w:t>
      </w:r>
    </w:p>
    <w:p w14:paraId="38BBCA5E">
      <w:pPr>
        <w:pStyle w:val="35"/>
        <w:spacing w:line="440" w:lineRule="exact"/>
        <w:ind w:firstLine="240" w:firstLineChars="100"/>
        <w:rPr>
          <w:rFonts w:ascii="仿宋" w:hAnsi="仿宋" w:eastAsia="仿宋" w:cs="仿宋"/>
          <w:color w:val="auto"/>
          <w:sz w:val="24"/>
          <w:szCs w:val="21"/>
        </w:rPr>
      </w:pPr>
      <w:r>
        <w:rPr>
          <w:rFonts w:hint="eastAsia" w:ascii="仿宋" w:hAnsi="仿宋" w:eastAsia="仿宋" w:cs="仿宋"/>
          <w:color w:val="auto"/>
          <w:sz w:val="24"/>
          <w:szCs w:val="21"/>
        </w:rPr>
        <w:t>（三）与采购人、其它投标人或者采购代理机构恶意串通的；</w:t>
      </w:r>
    </w:p>
    <w:p w14:paraId="174F4D58">
      <w:pPr>
        <w:pStyle w:val="35"/>
        <w:spacing w:line="440" w:lineRule="exact"/>
        <w:ind w:firstLine="240" w:firstLineChars="100"/>
        <w:rPr>
          <w:rFonts w:ascii="仿宋" w:hAnsi="仿宋" w:eastAsia="仿宋" w:cs="仿宋"/>
          <w:color w:val="auto"/>
          <w:sz w:val="24"/>
          <w:szCs w:val="21"/>
        </w:rPr>
      </w:pPr>
      <w:r>
        <w:rPr>
          <w:rFonts w:hint="eastAsia" w:ascii="仿宋" w:hAnsi="仿宋" w:eastAsia="仿宋" w:cs="仿宋"/>
          <w:color w:val="auto"/>
          <w:sz w:val="24"/>
          <w:szCs w:val="21"/>
        </w:rPr>
        <w:t>（四）向采购人、采购代理机构行贿或者提供其他不正当利益的；</w:t>
      </w:r>
    </w:p>
    <w:p w14:paraId="5856F099">
      <w:pPr>
        <w:pStyle w:val="35"/>
        <w:spacing w:line="440" w:lineRule="exact"/>
        <w:ind w:firstLine="240" w:firstLineChars="100"/>
        <w:rPr>
          <w:rFonts w:ascii="仿宋" w:hAnsi="仿宋" w:eastAsia="仿宋" w:cs="仿宋"/>
          <w:color w:val="auto"/>
          <w:sz w:val="24"/>
          <w:szCs w:val="21"/>
        </w:rPr>
      </w:pPr>
      <w:r>
        <w:rPr>
          <w:rFonts w:hint="eastAsia" w:ascii="仿宋" w:hAnsi="仿宋" w:eastAsia="仿宋" w:cs="仿宋"/>
          <w:color w:val="auto"/>
          <w:sz w:val="24"/>
          <w:szCs w:val="21"/>
        </w:rPr>
        <w:t>（五）在招标采购过程中与采购人进行协商谈判的；</w:t>
      </w:r>
    </w:p>
    <w:p w14:paraId="1A59104D">
      <w:pPr>
        <w:pStyle w:val="35"/>
        <w:spacing w:line="440" w:lineRule="exact"/>
        <w:ind w:firstLine="240" w:firstLineChars="100"/>
        <w:rPr>
          <w:rFonts w:ascii="仿宋" w:hAnsi="仿宋" w:eastAsia="仿宋" w:cs="仿宋"/>
          <w:color w:val="auto"/>
          <w:sz w:val="24"/>
          <w:szCs w:val="21"/>
        </w:rPr>
      </w:pPr>
      <w:r>
        <w:rPr>
          <w:rFonts w:hint="eastAsia" w:ascii="仿宋" w:hAnsi="仿宋" w:eastAsia="仿宋" w:cs="仿宋"/>
          <w:color w:val="auto"/>
          <w:sz w:val="24"/>
          <w:szCs w:val="21"/>
        </w:rPr>
        <w:t>（六）拒绝有关部门监督检查或提供虚假情况的。</w:t>
      </w:r>
    </w:p>
    <w:p w14:paraId="65D310F8">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11、如中标，本投标文件至本项目合同履行完毕止均保持有效，我方将按招标文件及政府采购法律、法规的规定履行合同责任和义务。</w:t>
      </w:r>
    </w:p>
    <w:p w14:paraId="6D3EE05E">
      <w:pPr>
        <w:pStyle w:val="35"/>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12、以上事项如有虚假或隐瞒，我方愿意承担一切不利后果，并不再寻求任何旨在减轻或免除法律责任。</w:t>
      </w:r>
    </w:p>
    <w:p w14:paraId="20327408">
      <w:pPr>
        <w:pStyle w:val="35"/>
        <w:spacing w:line="440" w:lineRule="exact"/>
        <w:ind w:firstLine="480"/>
        <w:rPr>
          <w:rFonts w:ascii="仿宋" w:hAnsi="仿宋" w:eastAsia="仿宋" w:cs="仿宋"/>
          <w:color w:val="auto"/>
          <w:sz w:val="24"/>
          <w:szCs w:val="21"/>
        </w:rPr>
      </w:pPr>
      <w:r>
        <w:rPr>
          <w:rFonts w:hint="eastAsia" w:ascii="仿宋" w:hAnsi="仿宋" w:eastAsia="仿宋" w:cs="仿宋"/>
          <w:color w:val="auto"/>
          <w:sz w:val="24"/>
          <w:szCs w:val="21"/>
        </w:rPr>
        <w:t>与本次投标有关的一切正式往来信函请寄：</w:t>
      </w:r>
    </w:p>
    <w:p w14:paraId="4A9A1060">
      <w:pPr>
        <w:pStyle w:val="35"/>
        <w:spacing w:line="440" w:lineRule="exact"/>
        <w:ind w:firstLine="480"/>
        <w:rPr>
          <w:rFonts w:ascii="仿宋" w:hAnsi="仿宋" w:eastAsia="仿宋" w:cs="仿宋"/>
          <w:color w:val="auto"/>
          <w:sz w:val="24"/>
          <w:szCs w:val="21"/>
        </w:rPr>
      </w:pPr>
      <w:r>
        <w:rPr>
          <w:rFonts w:hint="eastAsia" w:ascii="仿宋" w:hAnsi="仿宋" w:eastAsia="仿宋" w:cs="仿宋"/>
          <w:color w:val="auto"/>
          <w:sz w:val="24"/>
          <w:szCs w:val="21"/>
        </w:rPr>
        <w:t>地址：</w:t>
      </w:r>
      <w:r>
        <w:rPr>
          <w:rFonts w:hint="eastAsia" w:ascii="仿宋" w:hAnsi="仿宋" w:eastAsia="仿宋" w:cs="仿宋"/>
          <w:color w:val="auto"/>
          <w:spacing w:val="20"/>
          <w:sz w:val="24"/>
          <w:u w:val="single"/>
        </w:rPr>
        <w:t xml:space="preserve">             </w:t>
      </w:r>
      <w:r>
        <w:rPr>
          <w:rFonts w:hint="eastAsia" w:ascii="仿宋" w:hAnsi="仿宋" w:eastAsia="仿宋" w:cs="仿宋"/>
          <w:color w:val="auto"/>
          <w:sz w:val="24"/>
          <w:szCs w:val="21"/>
        </w:rPr>
        <w:t xml:space="preserve">     邮编：</w:t>
      </w:r>
      <w:r>
        <w:rPr>
          <w:rFonts w:hint="eastAsia" w:ascii="仿宋" w:hAnsi="仿宋" w:eastAsia="仿宋" w:cs="仿宋"/>
          <w:color w:val="auto"/>
          <w:spacing w:val="20"/>
          <w:sz w:val="24"/>
          <w:u w:val="single"/>
        </w:rPr>
        <w:t xml:space="preserve">           </w:t>
      </w:r>
      <w:r>
        <w:rPr>
          <w:rFonts w:hint="eastAsia" w:ascii="仿宋" w:hAnsi="仿宋" w:eastAsia="仿宋" w:cs="仿宋"/>
          <w:color w:val="auto"/>
          <w:sz w:val="24"/>
          <w:szCs w:val="21"/>
        </w:rPr>
        <w:t>　</w:t>
      </w:r>
    </w:p>
    <w:p w14:paraId="137318EE">
      <w:pPr>
        <w:pStyle w:val="13"/>
        <w:spacing w:line="440" w:lineRule="exact"/>
        <w:ind w:firstLine="480" w:firstLineChars="200"/>
        <w:rPr>
          <w:rFonts w:ascii="仿宋" w:hAnsi="仿宋" w:eastAsia="仿宋" w:cs="仿宋"/>
          <w:color w:val="auto"/>
          <w:sz w:val="24"/>
          <w:szCs w:val="21"/>
        </w:rPr>
      </w:pPr>
      <w:r>
        <w:rPr>
          <w:rFonts w:hint="eastAsia" w:ascii="仿宋" w:hAnsi="仿宋" w:eastAsia="仿宋" w:cs="仿宋"/>
          <w:color w:val="auto"/>
          <w:sz w:val="24"/>
          <w:szCs w:val="21"/>
        </w:rPr>
        <w:t>电话：</w:t>
      </w:r>
      <w:r>
        <w:rPr>
          <w:rFonts w:hint="eastAsia" w:ascii="仿宋" w:hAnsi="仿宋" w:eastAsia="仿宋" w:cs="仿宋"/>
          <w:color w:val="auto"/>
          <w:spacing w:val="20"/>
          <w:sz w:val="24"/>
          <w:u w:val="single"/>
        </w:rPr>
        <w:t xml:space="preserve">             </w:t>
      </w:r>
      <w:r>
        <w:rPr>
          <w:rFonts w:hint="eastAsia" w:ascii="仿宋" w:hAnsi="仿宋" w:eastAsia="仿宋" w:cs="仿宋"/>
          <w:color w:val="auto"/>
          <w:sz w:val="24"/>
          <w:szCs w:val="21"/>
        </w:rPr>
        <w:t xml:space="preserve">     传真：</w:t>
      </w:r>
      <w:r>
        <w:rPr>
          <w:rFonts w:hint="eastAsia" w:ascii="仿宋" w:hAnsi="仿宋" w:eastAsia="仿宋" w:cs="仿宋"/>
          <w:color w:val="auto"/>
          <w:spacing w:val="20"/>
          <w:sz w:val="24"/>
          <w:u w:val="single"/>
        </w:rPr>
        <w:t xml:space="preserve">           </w:t>
      </w:r>
    </w:p>
    <w:p w14:paraId="41902513">
      <w:pPr>
        <w:pStyle w:val="41"/>
        <w:spacing w:line="360" w:lineRule="auto"/>
        <w:rPr>
          <w:rFonts w:ascii="仿宋" w:hAnsi="仿宋" w:eastAsia="仿宋" w:cs="仿宋"/>
          <w:bCs/>
          <w:color w:val="auto"/>
          <w:sz w:val="24"/>
        </w:rPr>
      </w:pPr>
    </w:p>
    <w:p w14:paraId="51EB0FBC">
      <w:pPr>
        <w:spacing w:line="360" w:lineRule="auto"/>
        <w:jc w:val="left"/>
        <w:rPr>
          <w:rFonts w:ascii="仿宋" w:hAnsi="仿宋" w:eastAsia="仿宋" w:cs="仿宋"/>
          <w:color w:val="auto"/>
          <w:spacing w:val="20"/>
          <w:sz w:val="24"/>
        </w:rPr>
      </w:pPr>
    </w:p>
    <w:p w14:paraId="41C7843A">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1E287240">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10B3B82D">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59AD4F4B">
      <w:pPr>
        <w:pStyle w:val="42"/>
        <w:spacing w:line="360" w:lineRule="auto"/>
        <w:ind w:firstLine="4480" w:firstLineChars="1600"/>
        <w:rPr>
          <w:rFonts w:ascii="仿宋" w:hAnsi="仿宋" w:eastAsia="仿宋" w:cs="仿宋"/>
          <w:color w:val="auto"/>
          <w:spacing w:val="20"/>
          <w:sz w:val="24"/>
          <w:u w:val="single"/>
        </w:rPr>
      </w:pPr>
    </w:p>
    <w:p w14:paraId="68C7CBE2">
      <w:pPr>
        <w:pStyle w:val="35"/>
        <w:spacing w:line="440" w:lineRule="exact"/>
        <w:rPr>
          <w:rFonts w:ascii="仿宋" w:hAnsi="仿宋" w:eastAsia="仿宋" w:cs="仿宋"/>
          <w:color w:val="auto"/>
          <w:sz w:val="24"/>
          <w:szCs w:val="21"/>
        </w:rPr>
      </w:pPr>
    </w:p>
    <w:p w14:paraId="53E57C8F">
      <w:pPr>
        <w:pStyle w:val="35"/>
        <w:spacing w:line="440" w:lineRule="exact"/>
        <w:rPr>
          <w:rFonts w:ascii="仿宋" w:hAnsi="仿宋" w:eastAsia="仿宋" w:cs="仿宋"/>
          <w:color w:val="auto"/>
          <w:sz w:val="24"/>
          <w:szCs w:val="21"/>
        </w:rPr>
      </w:pPr>
      <w:r>
        <w:rPr>
          <w:rFonts w:hint="eastAsia" w:ascii="仿宋" w:hAnsi="仿宋" w:eastAsia="仿宋" w:cs="仿宋"/>
          <w:color w:val="auto"/>
          <w:sz w:val="24"/>
          <w:szCs w:val="21"/>
        </w:rPr>
        <w:t>注：</w:t>
      </w:r>
      <w:r>
        <w:rPr>
          <w:rFonts w:hint="eastAsia" w:ascii="仿宋" w:hAnsi="仿宋" w:eastAsia="仿宋" w:cs="仿宋"/>
          <w:b/>
          <w:bCs/>
          <w:color w:val="auto"/>
          <w:sz w:val="24"/>
        </w:rPr>
        <w:t>▲</w:t>
      </w:r>
      <w:r>
        <w:rPr>
          <w:rFonts w:hint="eastAsia" w:ascii="仿宋" w:hAnsi="仿宋" w:eastAsia="仿宋" w:cs="仿宋"/>
          <w:color w:val="auto"/>
          <w:sz w:val="24"/>
          <w:szCs w:val="21"/>
        </w:rPr>
        <w:t>按照本声明书要求填报。</w:t>
      </w:r>
    </w:p>
    <w:p w14:paraId="25E86386">
      <w:pPr>
        <w:pStyle w:val="35"/>
        <w:spacing w:line="440" w:lineRule="exact"/>
        <w:rPr>
          <w:rFonts w:ascii="仿宋" w:hAnsi="仿宋" w:eastAsia="仿宋" w:cs="仿宋"/>
          <w:color w:val="auto"/>
          <w:sz w:val="24"/>
          <w:szCs w:val="21"/>
        </w:rPr>
      </w:pPr>
    </w:p>
    <w:p w14:paraId="5559E798">
      <w:pPr>
        <w:pStyle w:val="6"/>
        <w:spacing w:before="240" w:after="240"/>
        <w:ind w:firstLine="0" w:firstLineChars="0"/>
        <w:jc w:val="center"/>
        <w:rPr>
          <w:rFonts w:ascii="仿宋" w:hAnsi="仿宋" w:eastAsia="仿宋" w:cs="仿宋"/>
          <w:color w:val="auto"/>
          <w:sz w:val="32"/>
          <w:szCs w:val="32"/>
        </w:rPr>
        <w:sectPr>
          <w:pgSz w:w="11906" w:h="16838"/>
          <w:pgMar w:top="1440" w:right="1531" w:bottom="1440" w:left="1531" w:header="851" w:footer="851" w:gutter="0"/>
          <w:cols w:space="720" w:num="1"/>
          <w:docGrid w:linePitch="312" w:charSpace="0"/>
        </w:sectPr>
      </w:pPr>
      <w:bookmarkStart w:id="315" w:name="_Toc493956060"/>
    </w:p>
    <w:bookmarkEnd w:id="315"/>
    <w:p w14:paraId="0A935585">
      <w:pPr>
        <w:pStyle w:val="6"/>
        <w:numPr>
          <w:ilvl w:val="0"/>
          <w:numId w:val="23"/>
        </w:numPr>
        <w:spacing w:before="240" w:after="240"/>
        <w:ind w:firstLineChars="0"/>
        <w:jc w:val="center"/>
        <w:rPr>
          <w:rFonts w:ascii="仿宋" w:hAnsi="仿宋" w:eastAsia="仿宋" w:cs="仿宋"/>
          <w:color w:val="auto"/>
          <w:sz w:val="28"/>
          <w:szCs w:val="28"/>
        </w:rPr>
      </w:pPr>
      <w:bookmarkStart w:id="316" w:name="_Toc2394"/>
      <w:bookmarkStart w:id="317" w:name="_Toc31504"/>
      <w:bookmarkStart w:id="318" w:name="_Toc4946"/>
      <w:bookmarkStart w:id="319" w:name="_Toc10095"/>
      <w:bookmarkStart w:id="320" w:name="_Toc8419"/>
      <w:bookmarkStart w:id="321" w:name="_Toc21291"/>
      <w:bookmarkStart w:id="322" w:name="_Toc4828"/>
      <w:bookmarkStart w:id="323" w:name="_Toc26405"/>
      <w:bookmarkStart w:id="324" w:name="_Toc9036"/>
      <w:bookmarkStart w:id="325" w:name="_Toc22218"/>
      <w:bookmarkStart w:id="326" w:name="_Toc3953"/>
      <w:r>
        <w:rPr>
          <w:rFonts w:hint="eastAsia" w:ascii="仿宋" w:hAnsi="仿宋" w:eastAsia="仿宋" w:cs="仿宋"/>
          <w:color w:val="auto"/>
          <w:sz w:val="28"/>
          <w:szCs w:val="28"/>
        </w:rPr>
        <w:t>投标人参标申请表</w:t>
      </w:r>
      <w:bookmarkEnd w:id="316"/>
      <w:bookmarkEnd w:id="317"/>
      <w:bookmarkEnd w:id="318"/>
      <w:bookmarkEnd w:id="319"/>
      <w:bookmarkEnd w:id="320"/>
      <w:bookmarkEnd w:id="321"/>
      <w:bookmarkEnd w:id="322"/>
      <w:bookmarkEnd w:id="323"/>
      <w:bookmarkEnd w:id="324"/>
      <w:bookmarkEnd w:id="325"/>
      <w:bookmarkEnd w:id="326"/>
    </w:p>
    <w:tbl>
      <w:tblPr>
        <w:tblStyle w:val="23"/>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79B63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vAlign w:val="center"/>
          </w:tcPr>
          <w:p w14:paraId="51447920">
            <w:pPr>
              <w:pStyle w:val="44"/>
              <w:rPr>
                <w:rFonts w:ascii="仿宋" w:hAnsi="仿宋" w:eastAsia="仿宋" w:cs="仿宋"/>
                <w:color w:val="auto"/>
                <w:sz w:val="24"/>
              </w:rPr>
            </w:pPr>
            <w:r>
              <w:rPr>
                <w:rFonts w:hint="eastAsia" w:ascii="仿宋" w:hAnsi="仿宋" w:eastAsia="仿宋" w:cs="仿宋"/>
                <w:color w:val="auto"/>
                <w:sz w:val="24"/>
              </w:rPr>
              <w:t>统一社会信用代码</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AE7A81A">
            <w:pPr>
              <w:pStyle w:val="44"/>
              <w:ind w:firstLine="480"/>
              <w:jc w:val="center"/>
              <w:rPr>
                <w:rFonts w:ascii="仿宋" w:hAnsi="仿宋" w:eastAsia="仿宋" w:cs="仿宋"/>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428C15E">
            <w:pPr>
              <w:pStyle w:val="44"/>
              <w:rPr>
                <w:rFonts w:ascii="仿宋" w:hAnsi="仿宋" w:eastAsia="仿宋" w:cs="仿宋"/>
                <w:color w:val="auto"/>
                <w:sz w:val="24"/>
              </w:rPr>
            </w:pPr>
            <w:r>
              <w:rPr>
                <w:rFonts w:hint="eastAsia" w:ascii="仿宋" w:hAnsi="仿宋" w:eastAsia="仿宋" w:cs="仿宋"/>
                <w:color w:val="auto"/>
                <w:sz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1A8EF769">
            <w:pPr>
              <w:pStyle w:val="44"/>
              <w:ind w:firstLine="360"/>
              <w:jc w:val="center"/>
              <w:rPr>
                <w:rFonts w:ascii="仿宋" w:hAnsi="仿宋" w:eastAsia="仿宋" w:cs="仿宋"/>
                <w:color w:val="auto"/>
                <w:sz w:val="18"/>
              </w:rPr>
            </w:pPr>
          </w:p>
        </w:tc>
      </w:tr>
      <w:tr w14:paraId="65BE0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vAlign w:val="center"/>
          </w:tcPr>
          <w:p w14:paraId="5F486801">
            <w:pPr>
              <w:pStyle w:val="44"/>
              <w:rPr>
                <w:rFonts w:ascii="仿宋" w:hAnsi="仿宋" w:eastAsia="仿宋" w:cs="仿宋"/>
                <w:color w:val="auto"/>
                <w:sz w:val="24"/>
              </w:rPr>
            </w:pP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77CAEA37">
            <w:pPr>
              <w:pStyle w:val="44"/>
              <w:ind w:firstLine="480"/>
              <w:jc w:val="center"/>
              <w:rPr>
                <w:rFonts w:ascii="仿宋" w:hAnsi="仿宋" w:eastAsia="仿宋" w:cs="仿宋"/>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E8849D9">
            <w:pPr>
              <w:pStyle w:val="44"/>
              <w:rPr>
                <w:rFonts w:ascii="仿宋" w:hAnsi="仿宋" w:eastAsia="仿宋" w:cs="仿宋"/>
                <w:color w:val="auto"/>
                <w:sz w:val="24"/>
              </w:rPr>
            </w:pPr>
            <w:r>
              <w:rPr>
                <w:rFonts w:hint="eastAsia" w:ascii="仿宋" w:hAnsi="仿宋" w:eastAsia="仿宋" w:cs="仿宋"/>
                <w:color w:val="auto"/>
                <w:sz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0D85EC11">
            <w:pPr>
              <w:pStyle w:val="44"/>
              <w:ind w:firstLine="480"/>
              <w:jc w:val="center"/>
              <w:rPr>
                <w:rFonts w:ascii="仿宋" w:hAnsi="仿宋" w:eastAsia="仿宋" w:cs="仿宋"/>
                <w:color w:val="auto"/>
                <w:sz w:val="24"/>
              </w:rPr>
            </w:pPr>
          </w:p>
        </w:tc>
      </w:tr>
      <w:tr w14:paraId="78521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452C9EAD">
            <w:pPr>
              <w:pStyle w:val="44"/>
              <w:rPr>
                <w:rFonts w:ascii="仿宋" w:hAnsi="仿宋" w:eastAsia="仿宋" w:cs="仿宋"/>
                <w:color w:val="auto"/>
                <w:sz w:val="24"/>
              </w:rPr>
            </w:pPr>
            <w:r>
              <w:rPr>
                <w:rFonts w:hint="eastAsia" w:ascii="仿宋" w:hAnsi="仿宋" w:eastAsia="仿宋" w:cs="仿宋"/>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5BD024AB">
            <w:pPr>
              <w:pStyle w:val="44"/>
              <w:ind w:firstLine="480"/>
              <w:jc w:val="center"/>
              <w:rPr>
                <w:rFonts w:ascii="仿宋" w:hAnsi="仿宋" w:eastAsia="仿宋" w:cs="仿宋"/>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B1B9B72">
            <w:pPr>
              <w:pStyle w:val="44"/>
              <w:rPr>
                <w:rFonts w:ascii="仿宋" w:hAnsi="仿宋" w:eastAsia="仿宋" w:cs="仿宋"/>
                <w:color w:val="auto"/>
                <w:sz w:val="24"/>
              </w:rPr>
            </w:pPr>
            <w:r>
              <w:rPr>
                <w:rFonts w:hint="eastAsia" w:ascii="仿宋" w:hAnsi="仿宋" w:eastAsia="仿宋" w:cs="仿宋"/>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4D2750C3">
            <w:pPr>
              <w:pStyle w:val="44"/>
              <w:ind w:firstLine="480"/>
              <w:jc w:val="center"/>
              <w:rPr>
                <w:rFonts w:ascii="仿宋" w:hAnsi="仿宋" w:eastAsia="仿宋" w:cs="仿宋"/>
                <w:color w:val="auto"/>
                <w:sz w:val="24"/>
              </w:rPr>
            </w:pPr>
          </w:p>
        </w:tc>
      </w:tr>
      <w:tr w14:paraId="7E133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00995E8">
            <w:pPr>
              <w:pStyle w:val="44"/>
              <w:rPr>
                <w:rFonts w:ascii="仿宋" w:hAnsi="仿宋" w:eastAsia="仿宋" w:cs="仿宋"/>
                <w:color w:val="auto"/>
                <w:sz w:val="24"/>
              </w:rPr>
            </w:pPr>
            <w:r>
              <w:rPr>
                <w:rFonts w:hint="eastAsia" w:ascii="仿宋" w:hAnsi="仿宋" w:eastAsia="仿宋" w:cs="仿宋"/>
                <w:color w:val="auto"/>
                <w:sz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0AC89CF5">
            <w:pPr>
              <w:pStyle w:val="44"/>
              <w:ind w:firstLine="480"/>
              <w:jc w:val="center"/>
              <w:rPr>
                <w:rFonts w:ascii="仿宋" w:hAnsi="仿宋" w:eastAsia="仿宋" w:cs="仿宋"/>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D3A14E8">
            <w:pPr>
              <w:pStyle w:val="44"/>
              <w:rPr>
                <w:rFonts w:ascii="仿宋" w:hAnsi="仿宋" w:eastAsia="仿宋" w:cs="仿宋"/>
                <w:color w:val="auto"/>
                <w:sz w:val="24"/>
              </w:rPr>
            </w:pPr>
            <w:r>
              <w:rPr>
                <w:rFonts w:hint="eastAsia" w:ascii="仿宋" w:hAnsi="仿宋" w:eastAsia="仿宋" w:cs="仿宋"/>
                <w:color w:val="auto"/>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4840EEBA">
            <w:pPr>
              <w:pStyle w:val="44"/>
              <w:ind w:firstLine="480"/>
              <w:jc w:val="center"/>
              <w:rPr>
                <w:rFonts w:ascii="仿宋" w:hAnsi="仿宋" w:eastAsia="仿宋" w:cs="仿宋"/>
                <w:color w:val="auto"/>
                <w:sz w:val="24"/>
              </w:rPr>
            </w:pPr>
          </w:p>
        </w:tc>
      </w:tr>
      <w:tr w14:paraId="324CC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19E5A5A">
            <w:pPr>
              <w:pStyle w:val="44"/>
              <w:rPr>
                <w:rFonts w:ascii="仿宋" w:hAnsi="仿宋" w:eastAsia="仿宋" w:cs="仿宋"/>
                <w:color w:val="auto"/>
                <w:sz w:val="24"/>
              </w:rPr>
            </w:pPr>
            <w:r>
              <w:rPr>
                <w:rFonts w:hint="eastAsia" w:ascii="仿宋" w:hAnsi="仿宋" w:eastAsia="仿宋" w:cs="仿宋"/>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72FCF9D8">
            <w:pPr>
              <w:pStyle w:val="44"/>
              <w:ind w:firstLine="480"/>
              <w:jc w:val="center"/>
              <w:rPr>
                <w:rFonts w:ascii="仿宋" w:hAnsi="仿宋" w:eastAsia="仿宋" w:cs="仿宋"/>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6E09DAC9">
            <w:pPr>
              <w:pStyle w:val="44"/>
              <w:ind w:firstLine="480"/>
              <w:rPr>
                <w:rFonts w:ascii="仿宋" w:hAnsi="仿宋" w:eastAsia="仿宋" w:cs="仿宋"/>
                <w:color w:val="auto"/>
                <w:sz w:val="24"/>
              </w:rPr>
            </w:pPr>
            <w:r>
              <w:rPr>
                <w:rFonts w:hint="eastAsia" w:ascii="仿宋" w:hAnsi="仿宋" w:eastAsia="仿宋" w:cs="仿宋"/>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B1B5306">
            <w:pPr>
              <w:pStyle w:val="44"/>
              <w:ind w:firstLine="480"/>
              <w:rPr>
                <w:rFonts w:ascii="仿宋" w:hAnsi="仿宋" w:eastAsia="仿宋" w:cs="仿宋"/>
                <w:color w:val="auto"/>
                <w:sz w:val="24"/>
              </w:rPr>
            </w:pPr>
            <w:r>
              <w:rPr>
                <w:rFonts w:hint="eastAsia" w:ascii="仿宋" w:hAnsi="仿宋" w:eastAsia="仿宋" w:cs="仿宋"/>
                <w:color w:val="auto"/>
                <w:sz w:val="24"/>
              </w:rPr>
              <w:t>手机：</w:t>
            </w:r>
          </w:p>
        </w:tc>
      </w:tr>
      <w:tr w14:paraId="64718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66234E0">
            <w:pPr>
              <w:pStyle w:val="44"/>
              <w:rPr>
                <w:rFonts w:ascii="仿宋" w:hAnsi="仿宋" w:eastAsia="仿宋" w:cs="仿宋"/>
                <w:color w:val="auto"/>
                <w:sz w:val="24"/>
              </w:rPr>
            </w:pPr>
            <w:r>
              <w:rPr>
                <w:rFonts w:hint="eastAsia" w:ascii="仿宋" w:hAnsi="仿宋" w:eastAsia="仿宋" w:cs="仿宋"/>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40934879">
            <w:pPr>
              <w:pStyle w:val="44"/>
              <w:ind w:firstLine="480"/>
              <w:jc w:val="center"/>
              <w:rPr>
                <w:rFonts w:ascii="仿宋" w:hAnsi="仿宋" w:eastAsia="仿宋" w:cs="仿宋"/>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6D500E4A">
            <w:pPr>
              <w:pStyle w:val="44"/>
              <w:ind w:firstLine="480"/>
              <w:rPr>
                <w:rFonts w:ascii="仿宋" w:hAnsi="仿宋" w:eastAsia="仿宋" w:cs="仿宋"/>
                <w:color w:val="auto"/>
                <w:sz w:val="24"/>
              </w:rPr>
            </w:pPr>
            <w:r>
              <w:rPr>
                <w:rFonts w:hint="eastAsia" w:ascii="仿宋" w:hAnsi="仿宋" w:eastAsia="仿宋" w:cs="仿宋"/>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33411FE6">
            <w:pPr>
              <w:pStyle w:val="44"/>
              <w:ind w:firstLine="480"/>
              <w:rPr>
                <w:rFonts w:ascii="仿宋" w:hAnsi="仿宋" w:eastAsia="仿宋" w:cs="仿宋"/>
                <w:color w:val="auto"/>
                <w:sz w:val="24"/>
              </w:rPr>
            </w:pPr>
            <w:r>
              <w:rPr>
                <w:rFonts w:hint="eastAsia" w:ascii="仿宋" w:hAnsi="仿宋" w:eastAsia="仿宋" w:cs="仿宋"/>
                <w:color w:val="auto"/>
                <w:sz w:val="24"/>
              </w:rPr>
              <w:t>手机：</w:t>
            </w:r>
          </w:p>
        </w:tc>
      </w:tr>
      <w:tr w14:paraId="64263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734E4442">
            <w:pPr>
              <w:pStyle w:val="44"/>
              <w:ind w:left="-109" w:leftChars="-52" w:right="-113" w:rightChars="-54"/>
              <w:rPr>
                <w:rFonts w:ascii="仿宋" w:hAnsi="仿宋" w:eastAsia="仿宋" w:cs="仿宋"/>
                <w:color w:val="auto"/>
                <w:sz w:val="24"/>
              </w:rPr>
            </w:pPr>
            <w:r>
              <w:rPr>
                <w:rFonts w:hint="eastAsia" w:ascii="仿宋" w:hAnsi="仿宋" w:eastAsia="仿宋" w:cs="仿宋"/>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1C9D933C">
            <w:pPr>
              <w:pStyle w:val="44"/>
              <w:ind w:firstLine="480"/>
              <w:jc w:val="center"/>
              <w:rPr>
                <w:rFonts w:ascii="仿宋" w:hAnsi="仿宋" w:eastAsia="仿宋" w:cs="仿宋"/>
                <w:color w:val="auto"/>
                <w:sz w:val="24"/>
              </w:rPr>
            </w:pPr>
          </w:p>
        </w:tc>
      </w:tr>
      <w:tr w14:paraId="1FCCD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29189214">
            <w:pPr>
              <w:pStyle w:val="44"/>
              <w:ind w:left="-109" w:leftChars="-52" w:right="-113" w:rightChars="-54"/>
              <w:rPr>
                <w:rFonts w:ascii="仿宋" w:hAnsi="仿宋" w:eastAsia="仿宋" w:cs="仿宋"/>
                <w:color w:val="auto"/>
                <w:sz w:val="24"/>
              </w:rPr>
            </w:pPr>
            <w:r>
              <w:rPr>
                <w:rFonts w:hint="eastAsia" w:ascii="仿宋" w:hAnsi="仿宋" w:eastAsia="仿宋" w:cs="仿宋"/>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2EA8E102">
            <w:pPr>
              <w:pStyle w:val="44"/>
              <w:ind w:firstLine="480"/>
              <w:jc w:val="center"/>
              <w:rPr>
                <w:rFonts w:ascii="仿宋" w:hAnsi="仿宋" w:eastAsia="仿宋" w:cs="仿宋"/>
                <w:color w:val="auto"/>
                <w:sz w:val="24"/>
              </w:rPr>
            </w:pPr>
          </w:p>
        </w:tc>
      </w:tr>
      <w:tr w14:paraId="47CEF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108B3723">
            <w:pPr>
              <w:pStyle w:val="44"/>
              <w:rPr>
                <w:rFonts w:ascii="仿宋" w:hAnsi="仿宋" w:eastAsia="仿宋" w:cs="仿宋"/>
                <w:color w:val="auto"/>
                <w:sz w:val="24"/>
              </w:rPr>
            </w:pPr>
            <w:r>
              <w:rPr>
                <w:rFonts w:hint="eastAsia" w:ascii="仿宋" w:hAnsi="仿宋" w:eastAsia="仿宋" w:cs="仿宋"/>
                <w:color w:val="auto"/>
                <w:sz w:val="24"/>
              </w:rPr>
              <w:t>本单位申请参加下列采购项目的投标：</w:t>
            </w:r>
          </w:p>
        </w:tc>
      </w:tr>
      <w:tr w14:paraId="31A71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6ADE0668">
            <w:pPr>
              <w:pStyle w:val="44"/>
              <w:ind w:firstLine="480"/>
              <w:jc w:val="center"/>
              <w:rPr>
                <w:rFonts w:ascii="仿宋" w:hAnsi="仿宋" w:eastAsia="仿宋" w:cs="仿宋"/>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2A8B79E">
            <w:pPr>
              <w:pStyle w:val="44"/>
              <w:jc w:val="center"/>
              <w:rPr>
                <w:rFonts w:ascii="仿宋" w:hAnsi="仿宋" w:eastAsia="仿宋" w:cs="仿宋"/>
                <w:color w:val="auto"/>
                <w:sz w:val="24"/>
              </w:rPr>
            </w:pPr>
            <w:r>
              <w:rPr>
                <w:rFonts w:hint="eastAsia" w:ascii="仿宋" w:hAnsi="仿宋" w:eastAsia="仿宋" w:cs="仿宋"/>
                <w:color w:val="auto"/>
                <w:sz w:val="24"/>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D9921B4">
            <w:pPr>
              <w:pStyle w:val="44"/>
              <w:jc w:val="center"/>
              <w:rPr>
                <w:rFonts w:ascii="仿宋" w:hAnsi="仿宋" w:eastAsia="仿宋" w:cs="仿宋"/>
                <w:color w:val="auto"/>
                <w:sz w:val="24"/>
              </w:rPr>
            </w:pPr>
            <w:r>
              <w:rPr>
                <w:rFonts w:hint="eastAsia" w:ascii="仿宋" w:hAnsi="仿宋" w:eastAsia="仿宋" w:cs="仿宋"/>
                <w:color w:val="auto"/>
                <w:sz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76AEF983">
            <w:pPr>
              <w:pStyle w:val="44"/>
              <w:jc w:val="center"/>
              <w:rPr>
                <w:rFonts w:ascii="仿宋" w:hAnsi="仿宋" w:eastAsia="仿宋" w:cs="仿宋"/>
                <w:color w:val="auto"/>
                <w:sz w:val="24"/>
              </w:rPr>
            </w:pPr>
            <w:r>
              <w:rPr>
                <w:rFonts w:hint="eastAsia" w:ascii="仿宋" w:hAnsi="仿宋" w:eastAsia="仿宋" w:cs="仿宋"/>
                <w:color w:val="auto"/>
                <w:sz w:val="24"/>
              </w:rPr>
              <w:t>投标品牌（如招标文件有品牌可选）</w:t>
            </w:r>
          </w:p>
        </w:tc>
      </w:tr>
      <w:tr w14:paraId="5C601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16A43C4">
            <w:pPr>
              <w:pStyle w:val="44"/>
              <w:jc w:val="center"/>
              <w:rPr>
                <w:rFonts w:ascii="仿宋" w:hAnsi="仿宋" w:eastAsia="仿宋" w:cs="仿宋"/>
                <w:color w:val="auto"/>
                <w:sz w:val="24"/>
              </w:rPr>
            </w:pPr>
            <w:r>
              <w:rPr>
                <w:rFonts w:hint="eastAsia" w:ascii="仿宋" w:hAnsi="仿宋" w:eastAsia="仿宋" w:cs="仿宋"/>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4B6B822">
            <w:pPr>
              <w:jc w:val="center"/>
              <w:rPr>
                <w:rFonts w:ascii="仿宋" w:hAnsi="仿宋" w:eastAsia="仿宋" w:cs="仿宋"/>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0C2A2A1">
            <w:pPr>
              <w:jc w:val="center"/>
              <w:rPr>
                <w:rFonts w:ascii="仿宋" w:hAnsi="仿宋" w:eastAsia="仿宋" w:cs="仿宋"/>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5E5CFC3">
            <w:pPr>
              <w:jc w:val="center"/>
              <w:rPr>
                <w:rFonts w:ascii="仿宋" w:hAnsi="仿宋" w:eastAsia="仿宋" w:cs="仿宋"/>
                <w:color w:val="auto"/>
                <w:sz w:val="24"/>
              </w:rPr>
            </w:pPr>
          </w:p>
        </w:tc>
      </w:tr>
      <w:tr w14:paraId="55C1A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CEF0B7E">
            <w:pPr>
              <w:pStyle w:val="44"/>
              <w:jc w:val="center"/>
              <w:rPr>
                <w:rFonts w:ascii="仿宋" w:hAnsi="仿宋" w:eastAsia="仿宋" w:cs="仿宋"/>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998E4E0">
            <w:pPr>
              <w:pStyle w:val="44"/>
              <w:ind w:firstLine="480"/>
              <w:jc w:val="center"/>
              <w:rPr>
                <w:rFonts w:ascii="仿宋" w:hAnsi="仿宋" w:eastAsia="仿宋" w:cs="仿宋"/>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99121D7">
            <w:pPr>
              <w:pStyle w:val="44"/>
              <w:ind w:firstLine="480"/>
              <w:jc w:val="center"/>
              <w:rPr>
                <w:rFonts w:ascii="仿宋" w:hAnsi="仿宋" w:eastAsia="仿宋" w:cs="仿宋"/>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FCC2558">
            <w:pPr>
              <w:pStyle w:val="44"/>
              <w:ind w:firstLine="480"/>
              <w:jc w:val="center"/>
              <w:rPr>
                <w:rFonts w:ascii="仿宋" w:hAnsi="仿宋" w:eastAsia="仿宋" w:cs="仿宋"/>
                <w:color w:val="auto"/>
                <w:sz w:val="24"/>
              </w:rPr>
            </w:pPr>
          </w:p>
        </w:tc>
      </w:tr>
      <w:tr w14:paraId="58342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0E0A045">
            <w:pPr>
              <w:pStyle w:val="44"/>
              <w:jc w:val="center"/>
              <w:rPr>
                <w:rFonts w:ascii="仿宋" w:hAnsi="仿宋" w:eastAsia="仿宋" w:cs="仿宋"/>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47122D3">
            <w:pPr>
              <w:pStyle w:val="44"/>
              <w:ind w:firstLine="480"/>
              <w:jc w:val="center"/>
              <w:rPr>
                <w:rFonts w:ascii="仿宋" w:hAnsi="仿宋" w:eastAsia="仿宋" w:cs="仿宋"/>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351D57D">
            <w:pPr>
              <w:pStyle w:val="44"/>
              <w:ind w:firstLine="480"/>
              <w:jc w:val="center"/>
              <w:rPr>
                <w:rFonts w:ascii="仿宋" w:hAnsi="仿宋" w:eastAsia="仿宋" w:cs="仿宋"/>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57803BD">
            <w:pPr>
              <w:pStyle w:val="44"/>
              <w:ind w:firstLine="480"/>
              <w:jc w:val="center"/>
              <w:rPr>
                <w:rFonts w:ascii="仿宋" w:hAnsi="仿宋" w:eastAsia="仿宋" w:cs="仿宋"/>
                <w:color w:val="auto"/>
                <w:sz w:val="24"/>
              </w:rPr>
            </w:pPr>
          </w:p>
        </w:tc>
      </w:tr>
      <w:tr w14:paraId="56753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5149971">
            <w:pPr>
              <w:pStyle w:val="44"/>
              <w:jc w:val="center"/>
              <w:rPr>
                <w:rFonts w:ascii="仿宋" w:hAnsi="仿宋" w:eastAsia="仿宋" w:cs="仿宋"/>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24F6F59">
            <w:pPr>
              <w:pStyle w:val="44"/>
              <w:ind w:firstLine="480"/>
              <w:jc w:val="center"/>
              <w:rPr>
                <w:rFonts w:ascii="仿宋" w:hAnsi="仿宋" w:eastAsia="仿宋" w:cs="仿宋"/>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C6F875F">
            <w:pPr>
              <w:pStyle w:val="44"/>
              <w:ind w:firstLine="480"/>
              <w:jc w:val="center"/>
              <w:rPr>
                <w:rFonts w:ascii="仿宋" w:hAnsi="仿宋" w:eastAsia="仿宋" w:cs="仿宋"/>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DA8F969">
            <w:pPr>
              <w:pStyle w:val="44"/>
              <w:ind w:firstLine="480"/>
              <w:jc w:val="center"/>
              <w:rPr>
                <w:rFonts w:ascii="仿宋" w:hAnsi="仿宋" w:eastAsia="仿宋" w:cs="仿宋"/>
                <w:color w:val="auto"/>
                <w:sz w:val="24"/>
              </w:rPr>
            </w:pPr>
          </w:p>
        </w:tc>
      </w:tr>
    </w:tbl>
    <w:p w14:paraId="68CAB6E3">
      <w:pPr>
        <w:pStyle w:val="6"/>
        <w:spacing w:before="240" w:after="240"/>
        <w:ind w:firstLine="0" w:firstLineChars="0"/>
        <w:jc w:val="center"/>
        <w:rPr>
          <w:rFonts w:ascii="仿宋" w:hAnsi="仿宋" w:eastAsia="仿宋" w:cs="仿宋"/>
          <w:color w:val="auto"/>
          <w:sz w:val="32"/>
          <w:szCs w:val="32"/>
        </w:rPr>
      </w:pPr>
    </w:p>
    <w:p w14:paraId="43D71627">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2D79C164">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32FCF065">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2C9F2F14">
      <w:pPr>
        <w:pStyle w:val="7"/>
        <w:rPr>
          <w:rFonts w:ascii="仿宋" w:hAnsi="仿宋" w:eastAsia="仿宋" w:cs="仿宋"/>
          <w:color w:val="auto"/>
        </w:rPr>
      </w:pPr>
    </w:p>
    <w:p w14:paraId="71DDEAAE">
      <w:pPr>
        <w:pStyle w:val="8"/>
        <w:rPr>
          <w:color w:val="auto"/>
        </w:rPr>
      </w:pPr>
    </w:p>
    <w:p w14:paraId="6980FBEF">
      <w:pPr>
        <w:rPr>
          <w:rFonts w:ascii="仿宋" w:hAnsi="仿宋" w:eastAsia="仿宋" w:cs="仿宋"/>
          <w:color w:val="auto"/>
        </w:rPr>
      </w:pPr>
    </w:p>
    <w:p w14:paraId="144E013A">
      <w:pPr>
        <w:pStyle w:val="7"/>
        <w:rPr>
          <w:rFonts w:ascii="仿宋" w:hAnsi="仿宋" w:eastAsia="仿宋" w:cs="仿宋"/>
          <w:color w:val="auto"/>
          <w:sz w:val="32"/>
          <w:szCs w:val="32"/>
        </w:rPr>
      </w:pPr>
    </w:p>
    <w:p w14:paraId="69B75B9E">
      <w:pPr>
        <w:pStyle w:val="7"/>
        <w:rPr>
          <w:color w:val="auto"/>
        </w:rPr>
      </w:pPr>
    </w:p>
    <w:p w14:paraId="3A42B6FB">
      <w:pPr>
        <w:pStyle w:val="6"/>
        <w:numPr>
          <w:ilvl w:val="0"/>
          <w:numId w:val="23"/>
        </w:numPr>
        <w:spacing w:before="240" w:after="240"/>
        <w:ind w:firstLineChars="0"/>
        <w:jc w:val="center"/>
        <w:rPr>
          <w:rFonts w:ascii="仿宋" w:hAnsi="仿宋" w:eastAsia="仿宋" w:cs="仿宋"/>
          <w:color w:val="auto"/>
          <w:sz w:val="28"/>
          <w:szCs w:val="28"/>
        </w:rPr>
      </w:pPr>
      <w:bookmarkStart w:id="327" w:name="_Toc28183"/>
      <w:bookmarkStart w:id="328" w:name="_Toc26151"/>
      <w:bookmarkStart w:id="329" w:name="_Toc23917"/>
      <w:bookmarkStart w:id="330" w:name="_Toc5632"/>
      <w:bookmarkStart w:id="331" w:name="_Toc6317"/>
      <w:bookmarkStart w:id="332" w:name="_Toc26817"/>
      <w:bookmarkStart w:id="333" w:name="_Toc3289"/>
      <w:bookmarkStart w:id="334" w:name="_Toc10926"/>
      <w:bookmarkStart w:id="335" w:name="_Toc8446"/>
      <w:bookmarkStart w:id="336" w:name="_Toc9336"/>
      <w:bookmarkStart w:id="337" w:name="_Toc11500"/>
      <w:bookmarkStart w:id="338" w:name="_Toc14606"/>
      <w:bookmarkStart w:id="339" w:name="_Toc26977"/>
      <w:bookmarkStart w:id="340" w:name="_Toc23000"/>
      <w:bookmarkStart w:id="341" w:name="_Toc510162962"/>
      <w:bookmarkStart w:id="342" w:name="_Toc7502"/>
      <w:bookmarkStart w:id="343" w:name="_Toc17209"/>
      <w:bookmarkStart w:id="344" w:name="_Toc29118"/>
      <w:bookmarkStart w:id="345" w:name="_Toc5402"/>
      <w:bookmarkStart w:id="346" w:name="_Toc8973"/>
      <w:bookmarkStart w:id="347" w:name="_Toc3015"/>
      <w:bookmarkStart w:id="348" w:name="_Toc493956062"/>
      <w:bookmarkStart w:id="349" w:name="_Toc510162961"/>
      <w:bookmarkStart w:id="350" w:name="_Toc11869"/>
      <w:bookmarkStart w:id="351" w:name="_Toc19129"/>
      <w:bookmarkStart w:id="352" w:name="_Toc16139"/>
      <w:r>
        <w:rPr>
          <w:rFonts w:hint="eastAsia" w:ascii="仿宋" w:hAnsi="仿宋" w:eastAsia="仿宋" w:cs="仿宋"/>
          <w:color w:val="auto"/>
          <w:sz w:val="28"/>
          <w:szCs w:val="28"/>
        </w:rPr>
        <w:t>商务响应表</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2C729B51">
      <w:pPr>
        <w:spacing w:line="360" w:lineRule="auto"/>
        <w:jc w:val="left"/>
        <w:rPr>
          <w:rFonts w:ascii="仿宋" w:hAnsi="仿宋" w:eastAsia="仿宋" w:cs="仿宋"/>
          <w:color w:val="auto"/>
          <w:sz w:val="24"/>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p>
    <w:p w14:paraId="43BD4DFD">
      <w:pPr>
        <w:spacing w:line="360" w:lineRule="auto"/>
        <w:jc w:val="left"/>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83"/>
        <w:gridCol w:w="2233"/>
        <w:gridCol w:w="2451"/>
        <w:gridCol w:w="1275"/>
      </w:tblGrid>
      <w:tr w14:paraId="7577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065BB66">
            <w:pPr>
              <w:pStyle w:val="45"/>
              <w:jc w:val="center"/>
              <w:rPr>
                <w:rFonts w:ascii="仿宋" w:hAnsi="仿宋" w:eastAsia="仿宋" w:cs="仿宋"/>
                <w:color w:val="auto"/>
                <w:sz w:val="24"/>
              </w:rPr>
            </w:pPr>
            <w:r>
              <w:rPr>
                <w:rFonts w:hint="eastAsia" w:ascii="仿宋" w:hAnsi="仿宋" w:eastAsia="仿宋" w:cs="仿宋"/>
                <w:color w:val="auto"/>
                <w:sz w:val="24"/>
              </w:rPr>
              <w:t>序号</w:t>
            </w:r>
          </w:p>
        </w:tc>
        <w:tc>
          <w:tcPr>
            <w:tcW w:w="2483" w:type="dxa"/>
            <w:vAlign w:val="center"/>
          </w:tcPr>
          <w:p w14:paraId="69D325BF">
            <w:pPr>
              <w:pStyle w:val="45"/>
              <w:jc w:val="center"/>
              <w:rPr>
                <w:rFonts w:ascii="仿宋" w:hAnsi="仿宋" w:eastAsia="仿宋" w:cs="仿宋"/>
                <w:color w:val="auto"/>
                <w:sz w:val="24"/>
              </w:rPr>
            </w:pPr>
            <w:r>
              <w:rPr>
                <w:rFonts w:hint="eastAsia" w:ascii="仿宋" w:hAnsi="仿宋" w:eastAsia="仿宋" w:cs="仿宋"/>
                <w:color w:val="auto"/>
                <w:sz w:val="24"/>
              </w:rPr>
              <w:t>类别</w:t>
            </w:r>
          </w:p>
        </w:tc>
        <w:tc>
          <w:tcPr>
            <w:tcW w:w="2233" w:type="dxa"/>
            <w:vAlign w:val="center"/>
          </w:tcPr>
          <w:p w14:paraId="645C0D97">
            <w:pPr>
              <w:pStyle w:val="45"/>
              <w:jc w:val="center"/>
              <w:rPr>
                <w:rFonts w:ascii="仿宋" w:hAnsi="仿宋" w:eastAsia="仿宋" w:cs="仿宋"/>
                <w:color w:val="auto"/>
                <w:sz w:val="24"/>
              </w:rPr>
            </w:pPr>
            <w:r>
              <w:rPr>
                <w:rFonts w:hint="eastAsia" w:ascii="仿宋" w:hAnsi="仿宋" w:eastAsia="仿宋" w:cs="仿宋"/>
                <w:color w:val="auto"/>
                <w:sz w:val="24"/>
              </w:rPr>
              <w:t>招标文件要求</w:t>
            </w:r>
          </w:p>
        </w:tc>
        <w:tc>
          <w:tcPr>
            <w:tcW w:w="2451" w:type="dxa"/>
            <w:vAlign w:val="center"/>
          </w:tcPr>
          <w:p w14:paraId="3A8247B3">
            <w:pPr>
              <w:pStyle w:val="45"/>
              <w:jc w:val="center"/>
              <w:rPr>
                <w:rFonts w:ascii="仿宋" w:hAnsi="仿宋" w:eastAsia="仿宋" w:cs="仿宋"/>
                <w:color w:val="auto"/>
                <w:sz w:val="24"/>
              </w:rPr>
            </w:pPr>
            <w:r>
              <w:rPr>
                <w:rFonts w:hint="eastAsia" w:ascii="仿宋" w:hAnsi="仿宋" w:eastAsia="仿宋" w:cs="仿宋"/>
                <w:color w:val="auto"/>
                <w:sz w:val="24"/>
              </w:rPr>
              <w:t>投标人承诺</w:t>
            </w:r>
          </w:p>
        </w:tc>
        <w:tc>
          <w:tcPr>
            <w:tcW w:w="1275" w:type="dxa"/>
            <w:vAlign w:val="center"/>
          </w:tcPr>
          <w:p w14:paraId="330582CF">
            <w:pPr>
              <w:pStyle w:val="45"/>
              <w:jc w:val="center"/>
              <w:rPr>
                <w:rFonts w:ascii="仿宋" w:hAnsi="仿宋" w:eastAsia="仿宋" w:cs="仿宋"/>
                <w:color w:val="auto"/>
                <w:sz w:val="24"/>
              </w:rPr>
            </w:pPr>
            <w:r>
              <w:rPr>
                <w:rFonts w:hint="eastAsia" w:ascii="仿宋" w:hAnsi="仿宋" w:eastAsia="仿宋" w:cs="仿宋"/>
                <w:color w:val="auto"/>
                <w:sz w:val="24"/>
              </w:rPr>
              <w:t>备注</w:t>
            </w:r>
          </w:p>
        </w:tc>
      </w:tr>
      <w:tr w14:paraId="0BF4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768F438">
            <w:pPr>
              <w:pStyle w:val="45"/>
              <w:jc w:val="center"/>
              <w:rPr>
                <w:rFonts w:ascii="仿宋" w:hAnsi="仿宋" w:eastAsia="仿宋" w:cs="仿宋"/>
                <w:color w:val="auto"/>
                <w:sz w:val="24"/>
              </w:rPr>
            </w:pPr>
            <w:r>
              <w:rPr>
                <w:rFonts w:hint="eastAsia" w:ascii="仿宋" w:hAnsi="仿宋" w:eastAsia="仿宋" w:cs="仿宋"/>
                <w:color w:val="auto"/>
                <w:sz w:val="24"/>
              </w:rPr>
              <w:t>1</w:t>
            </w:r>
          </w:p>
        </w:tc>
        <w:tc>
          <w:tcPr>
            <w:tcW w:w="2483" w:type="dxa"/>
            <w:vAlign w:val="center"/>
          </w:tcPr>
          <w:p w14:paraId="306DC09E">
            <w:pPr>
              <w:pStyle w:val="45"/>
              <w:jc w:val="center"/>
              <w:rPr>
                <w:rFonts w:ascii="仿宋" w:hAnsi="仿宋" w:eastAsia="仿宋" w:cs="仿宋"/>
                <w:color w:val="auto"/>
                <w:sz w:val="24"/>
              </w:rPr>
            </w:pPr>
          </w:p>
        </w:tc>
        <w:tc>
          <w:tcPr>
            <w:tcW w:w="2233" w:type="dxa"/>
            <w:vAlign w:val="center"/>
          </w:tcPr>
          <w:p w14:paraId="7D8330AE">
            <w:pPr>
              <w:pStyle w:val="45"/>
              <w:jc w:val="center"/>
              <w:rPr>
                <w:rFonts w:ascii="仿宋" w:hAnsi="仿宋" w:eastAsia="仿宋" w:cs="仿宋"/>
                <w:color w:val="auto"/>
                <w:sz w:val="24"/>
              </w:rPr>
            </w:pPr>
          </w:p>
        </w:tc>
        <w:tc>
          <w:tcPr>
            <w:tcW w:w="2451" w:type="dxa"/>
            <w:vAlign w:val="center"/>
          </w:tcPr>
          <w:p w14:paraId="2CEF87C3">
            <w:pPr>
              <w:pStyle w:val="45"/>
              <w:jc w:val="center"/>
              <w:rPr>
                <w:rFonts w:ascii="仿宋" w:hAnsi="仿宋" w:eastAsia="仿宋" w:cs="仿宋"/>
                <w:color w:val="auto"/>
                <w:sz w:val="24"/>
              </w:rPr>
            </w:pPr>
          </w:p>
        </w:tc>
        <w:tc>
          <w:tcPr>
            <w:tcW w:w="1275" w:type="dxa"/>
            <w:vAlign w:val="center"/>
          </w:tcPr>
          <w:p w14:paraId="7C3803C0">
            <w:pPr>
              <w:pStyle w:val="45"/>
              <w:jc w:val="center"/>
              <w:rPr>
                <w:rFonts w:ascii="仿宋" w:hAnsi="仿宋" w:eastAsia="仿宋" w:cs="仿宋"/>
                <w:color w:val="auto"/>
                <w:sz w:val="24"/>
              </w:rPr>
            </w:pPr>
          </w:p>
        </w:tc>
      </w:tr>
      <w:tr w14:paraId="1D83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4B743252">
            <w:pPr>
              <w:pStyle w:val="45"/>
              <w:jc w:val="center"/>
              <w:rPr>
                <w:rFonts w:ascii="仿宋" w:hAnsi="仿宋" w:eastAsia="仿宋" w:cs="仿宋"/>
                <w:color w:val="auto"/>
                <w:sz w:val="24"/>
              </w:rPr>
            </w:pPr>
            <w:r>
              <w:rPr>
                <w:rFonts w:hint="eastAsia" w:ascii="仿宋" w:hAnsi="仿宋" w:eastAsia="仿宋" w:cs="仿宋"/>
                <w:color w:val="auto"/>
                <w:sz w:val="24"/>
              </w:rPr>
              <w:t>2</w:t>
            </w:r>
          </w:p>
        </w:tc>
        <w:tc>
          <w:tcPr>
            <w:tcW w:w="2483" w:type="dxa"/>
            <w:shd w:val="clear" w:color="auto" w:fill="auto"/>
            <w:vAlign w:val="center"/>
          </w:tcPr>
          <w:p w14:paraId="43BB59D7">
            <w:pPr>
              <w:pStyle w:val="45"/>
              <w:jc w:val="center"/>
              <w:rPr>
                <w:rFonts w:ascii="仿宋" w:hAnsi="仿宋" w:eastAsia="仿宋" w:cs="仿宋"/>
                <w:color w:val="auto"/>
                <w:sz w:val="24"/>
              </w:rPr>
            </w:pPr>
          </w:p>
        </w:tc>
        <w:tc>
          <w:tcPr>
            <w:tcW w:w="2233" w:type="dxa"/>
            <w:vAlign w:val="center"/>
          </w:tcPr>
          <w:p w14:paraId="05727615">
            <w:pPr>
              <w:pStyle w:val="13"/>
              <w:spacing w:line="360" w:lineRule="auto"/>
              <w:jc w:val="center"/>
              <w:rPr>
                <w:rFonts w:ascii="仿宋" w:hAnsi="仿宋" w:eastAsia="仿宋" w:cs="仿宋"/>
                <w:color w:val="auto"/>
                <w:sz w:val="24"/>
              </w:rPr>
            </w:pPr>
          </w:p>
        </w:tc>
        <w:tc>
          <w:tcPr>
            <w:tcW w:w="2451" w:type="dxa"/>
            <w:vAlign w:val="center"/>
          </w:tcPr>
          <w:p w14:paraId="1328C977">
            <w:pPr>
              <w:pStyle w:val="45"/>
              <w:jc w:val="center"/>
              <w:rPr>
                <w:rFonts w:ascii="仿宋" w:hAnsi="仿宋" w:eastAsia="仿宋" w:cs="仿宋"/>
                <w:color w:val="auto"/>
                <w:sz w:val="24"/>
              </w:rPr>
            </w:pPr>
          </w:p>
        </w:tc>
        <w:tc>
          <w:tcPr>
            <w:tcW w:w="1275" w:type="dxa"/>
            <w:vAlign w:val="center"/>
          </w:tcPr>
          <w:p w14:paraId="1EC598CC">
            <w:pPr>
              <w:pStyle w:val="45"/>
              <w:jc w:val="center"/>
              <w:rPr>
                <w:rFonts w:ascii="仿宋" w:hAnsi="仿宋" w:eastAsia="仿宋" w:cs="仿宋"/>
                <w:color w:val="auto"/>
                <w:sz w:val="24"/>
              </w:rPr>
            </w:pPr>
          </w:p>
        </w:tc>
      </w:tr>
      <w:tr w14:paraId="01B6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C4FA8CE">
            <w:pPr>
              <w:pStyle w:val="45"/>
              <w:jc w:val="center"/>
              <w:rPr>
                <w:rFonts w:ascii="仿宋" w:hAnsi="仿宋" w:eastAsia="仿宋" w:cs="仿宋"/>
                <w:color w:val="auto"/>
                <w:sz w:val="24"/>
              </w:rPr>
            </w:pPr>
            <w:r>
              <w:rPr>
                <w:rFonts w:hint="eastAsia" w:ascii="仿宋" w:hAnsi="仿宋" w:eastAsia="仿宋" w:cs="仿宋"/>
                <w:color w:val="auto"/>
                <w:sz w:val="24"/>
              </w:rPr>
              <w:t>3</w:t>
            </w:r>
          </w:p>
        </w:tc>
        <w:tc>
          <w:tcPr>
            <w:tcW w:w="2483" w:type="dxa"/>
            <w:shd w:val="clear" w:color="auto" w:fill="auto"/>
            <w:vAlign w:val="center"/>
          </w:tcPr>
          <w:p w14:paraId="770BC624">
            <w:pPr>
              <w:pStyle w:val="45"/>
              <w:jc w:val="center"/>
              <w:rPr>
                <w:rFonts w:ascii="仿宋" w:hAnsi="仿宋" w:eastAsia="仿宋" w:cs="仿宋"/>
                <w:color w:val="auto"/>
                <w:sz w:val="24"/>
              </w:rPr>
            </w:pPr>
          </w:p>
        </w:tc>
        <w:tc>
          <w:tcPr>
            <w:tcW w:w="2233" w:type="dxa"/>
            <w:vAlign w:val="center"/>
          </w:tcPr>
          <w:p w14:paraId="19BD5515">
            <w:pPr>
              <w:pStyle w:val="13"/>
              <w:spacing w:line="360" w:lineRule="auto"/>
              <w:jc w:val="center"/>
              <w:rPr>
                <w:rFonts w:ascii="仿宋" w:hAnsi="仿宋" w:eastAsia="仿宋" w:cs="仿宋"/>
                <w:color w:val="auto"/>
                <w:sz w:val="24"/>
              </w:rPr>
            </w:pPr>
          </w:p>
        </w:tc>
        <w:tc>
          <w:tcPr>
            <w:tcW w:w="2451" w:type="dxa"/>
            <w:vAlign w:val="center"/>
          </w:tcPr>
          <w:p w14:paraId="0F75BFCD">
            <w:pPr>
              <w:pStyle w:val="45"/>
              <w:jc w:val="center"/>
              <w:rPr>
                <w:rFonts w:ascii="仿宋" w:hAnsi="仿宋" w:eastAsia="仿宋" w:cs="仿宋"/>
                <w:color w:val="auto"/>
                <w:sz w:val="24"/>
              </w:rPr>
            </w:pPr>
          </w:p>
        </w:tc>
        <w:tc>
          <w:tcPr>
            <w:tcW w:w="1275" w:type="dxa"/>
            <w:vAlign w:val="center"/>
          </w:tcPr>
          <w:p w14:paraId="334BE5A7">
            <w:pPr>
              <w:pStyle w:val="45"/>
              <w:jc w:val="center"/>
              <w:rPr>
                <w:rFonts w:ascii="仿宋" w:hAnsi="仿宋" w:eastAsia="仿宋" w:cs="仿宋"/>
                <w:color w:val="auto"/>
                <w:sz w:val="24"/>
              </w:rPr>
            </w:pPr>
          </w:p>
        </w:tc>
      </w:tr>
      <w:tr w14:paraId="12E0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FC7C58A">
            <w:pPr>
              <w:pStyle w:val="45"/>
              <w:jc w:val="center"/>
              <w:rPr>
                <w:rFonts w:ascii="仿宋" w:hAnsi="仿宋" w:eastAsia="仿宋" w:cs="仿宋"/>
                <w:color w:val="auto"/>
                <w:sz w:val="24"/>
              </w:rPr>
            </w:pPr>
            <w:r>
              <w:rPr>
                <w:rFonts w:hint="eastAsia" w:ascii="仿宋" w:hAnsi="仿宋" w:eastAsia="仿宋" w:cs="仿宋"/>
                <w:color w:val="auto"/>
                <w:sz w:val="24"/>
              </w:rPr>
              <w:t>4</w:t>
            </w:r>
          </w:p>
        </w:tc>
        <w:tc>
          <w:tcPr>
            <w:tcW w:w="2483" w:type="dxa"/>
            <w:shd w:val="clear" w:color="auto" w:fill="auto"/>
            <w:vAlign w:val="center"/>
          </w:tcPr>
          <w:p w14:paraId="6DF20BC9">
            <w:pPr>
              <w:pStyle w:val="45"/>
              <w:jc w:val="center"/>
              <w:rPr>
                <w:rFonts w:ascii="仿宋" w:hAnsi="仿宋" w:eastAsia="仿宋" w:cs="仿宋"/>
                <w:color w:val="auto"/>
                <w:sz w:val="24"/>
              </w:rPr>
            </w:pPr>
          </w:p>
        </w:tc>
        <w:tc>
          <w:tcPr>
            <w:tcW w:w="2233" w:type="dxa"/>
            <w:vAlign w:val="center"/>
          </w:tcPr>
          <w:p w14:paraId="79BB07E4">
            <w:pPr>
              <w:pStyle w:val="45"/>
              <w:jc w:val="center"/>
              <w:rPr>
                <w:rFonts w:ascii="仿宋" w:hAnsi="仿宋" w:eastAsia="仿宋" w:cs="仿宋"/>
                <w:color w:val="auto"/>
                <w:sz w:val="24"/>
              </w:rPr>
            </w:pPr>
          </w:p>
        </w:tc>
        <w:tc>
          <w:tcPr>
            <w:tcW w:w="2451" w:type="dxa"/>
            <w:vAlign w:val="center"/>
          </w:tcPr>
          <w:p w14:paraId="172AA8FF">
            <w:pPr>
              <w:pStyle w:val="45"/>
              <w:jc w:val="center"/>
              <w:rPr>
                <w:rFonts w:ascii="仿宋" w:hAnsi="仿宋" w:eastAsia="仿宋" w:cs="仿宋"/>
                <w:color w:val="auto"/>
                <w:sz w:val="24"/>
              </w:rPr>
            </w:pPr>
          </w:p>
        </w:tc>
        <w:tc>
          <w:tcPr>
            <w:tcW w:w="1275" w:type="dxa"/>
            <w:vAlign w:val="center"/>
          </w:tcPr>
          <w:p w14:paraId="5AA1F928">
            <w:pPr>
              <w:pStyle w:val="45"/>
              <w:jc w:val="center"/>
              <w:rPr>
                <w:rFonts w:ascii="仿宋" w:hAnsi="仿宋" w:eastAsia="仿宋" w:cs="仿宋"/>
                <w:color w:val="auto"/>
                <w:sz w:val="24"/>
              </w:rPr>
            </w:pPr>
          </w:p>
        </w:tc>
      </w:tr>
      <w:tr w14:paraId="0631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4138F05E">
            <w:pPr>
              <w:pStyle w:val="45"/>
              <w:jc w:val="center"/>
              <w:rPr>
                <w:rFonts w:ascii="仿宋" w:hAnsi="仿宋" w:eastAsia="仿宋" w:cs="仿宋"/>
                <w:color w:val="auto"/>
                <w:sz w:val="24"/>
              </w:rPr>
            </w:pPr>
            <w:r>
              <w:rPr>
                <w:rFonts w:hint="eastAsia" w:ascii="仿宋" w:hAnsi="仿宋" w:eastAsia="仿宋" w:cs="仿宋"/>
                <w:color w:val="auto"/>
                <w:sz w:val="24"/>
              </w:rPr>
              <w:t>5</w:t>
            </w:r>
          </w:p>
        </w:tc>
        <w:tc>
          <w:tcPr>
            <w:tcW w:w="2483" w:type="dxa"/>
            <w:shd w:val="clear" w:color="auto" w:fill="auto"/>
            <w:vAlign w:val="center"/>
          </w:tcPr>
          <w:p w14:paraId="406A113A">
            <w:pPr>
              <w:pStyle w:val="45"/>
              <w:jc w:val="center"/>
              <w:rPr>
                <w:rFonts w:ascii="仿宋" w:hAnsi="仿宋" w:eastAsia="仿宋" w:cs="仿宋"/>
                <w:color w:val="auto"/>
                <w:sz w:val="24"/>
              </w:rPr>
            </w:pPr>
          </w:p>
        </w:tc>
        <w:tc>
          <w:tcPr>
            <w:tcW w:w="2233" w:type="dxa"/>
            <w:vAlign w:val="center"/>
          </w:tcPr>
          <w:p w14:paraId="4023B80F">
            <w:pPr>
              <w:pStyle w:val="45"/>
              <w:jc w:val="center"/>
              <w:rPr>
                <w:rFonts w:ascii="仿宋" w:hAnsi="仿宋" w:eastAsia="仿宋" w:cs="仿宋"/>
                <w:color w:val="auto"/>
                <w:sz w:val="24"/>
              </w:rPr>
            </w:pPr>
          </w:p>
        </w:tc>
        <w:tc>
          <w:tcPr>
            <w:tcW w:w="2451" w:type="dxa"/>
            <w:vAlign w:val="center"/>
          </w:tcPr>
          <w:p w14:paraId="3558F70F">
            <w:pPr>
              <w:pStyle w:val="45"/>
              <w:jc w:val="center"/>
              <w:rPr>
                <w:rFonts w:ascii="仿宋" w:hAnsi="仿宋" w:eastAsia="仿宋" w:cs="仿宋"/>
                <w:color w:val="auto"/>
                <w:sz w:val="24"/>
              </w:rPr>
            </w:pPr>
          </w:p>
        </w:tc>
        <w:tc>
          <w:tcPr>
            <w:tcW w:w="1275" w:type="dxa"/>
            <w:vAlign w:val="center"/>
          </w:tcPr>
          <w:p w14:paraId="310ACB99">
            <w:pPr>
              <w:pStyle w:val="45"/>
              <w:jc w:val="center"/>
              <w:rPr>
                <w:rFonts w:ascii="仿宋" w:hAnsi="仿宋" w:eastAsia="仿宋" w:cs="仿宋"/>
                <w:color w:val="auto"/>
                <w:sz w:val="24"/>
              </w:rPr>
            </w:pPr>
          </w:p>
        </w:tc>
      </w:tr>
      <w:tr w14:paraId="333C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35DE1A9">
            <w:pPr>
              <w:pStyle w:val="45"/>
              <w:jc w:val="center"/>
              <w:rPr>
                <w:rFonts w:ascii="仿宋" w:hAnsi="仿宋" w:eastAsia="仿宋" w:cs="仿宋"/>
                <w:color w:val="auto"/>
                <w:sz w:val="24"/>
              </w:rPr>
            </w:pPr>
            <w:r>
              <w:rPr>
                <w:rFonts w:hint="eastAsia" w:ascii="仿宋" w:hAnsi="仿宋" w:eastAsia="仿宋" w:cs="仿宋"/>
                <w:color w:val="auto"/>
                <w:sz w:val="24"/>
              </w:rPr>
              <w:t>……</w:t>
            </w:r>
          </w:p>
        </w:tc>
        <w:tc>
          <w:tcPr>
            <w:tcW w:w="2483" w:type="dxa"/>
            <w:vAlign w:val="center"/>
          </w:tcPr>
          <w:p w14:paraId="33A6D987">
            <w:pPr>
              <w:pStyle w:val="45"/>
              <w:jc w:val="center"/>
              <w:rPr>
                <w:rFonts w:ascii="仿宋" w:hAnsi="仿宋" w:eastAsia="仿宋" w:cs="仿宋"/>
                <w:color w:val="auto"/>
                <w:sz w:val="24"/>
              </w:rPr>
            </w:pPr>
            <w:r>
              <w:rPr>
                <w:rFonts w:hint="eastAsia" w:ascii="仿宋" w:hAnsi="仿宋" w:eastAsia="仿宋" w:cs="仿宋"/>
                <w:color w:val="auto"/>
                <w:sz w:val="24"/>
              </w:rPr>
              <w:t>……</w:t>
            </w:r>
          </w:p>
        </w:tc>
        <w:tc>
          <w:tcPr>
            <w:tcW w:w="2233" w:type="dxa"/>
            <w:vAlign w:val="center"/>
          </w:tcPr>
          <w:p w14:paraId="22F3CE4F">
            <w:pPr>
              <w:pStyle w:val="45"/>
              <w:jc w:val="center"/>
              <w:rPr>
                <w:rFonts w:ascii="仿宋" w:hAnsi="仿宋" w:eastAsia="仿宋" w:cs="仿宋"/>
                <w:color w:val="auto"/>
                <w:sz w:val="24"/>
              </w:rPr>
            </w:pPr>
          </w:p>
        </w:tc>
        <w:tc>
          <w:tcPr>
            <w:tcW w:w="2451" w:type="dxa"/>
            <w:vAlign w:val="center"/>
          </w:tcPr>
          <w:p w14:paraId="7E3E845D">
            <w:pPr>
              <w:pStyle w:val="45"/>
              <w:jc w:val="center"/>
              <w:rPr>
                <w:rFonts w:ascii="仿宋" w:hAnsi="仿宋" w:eastAsia="仿宋" w:cs="仿宋"/>
                <w:color w:val="auto"/>
                <w:sz w:val="24"/>
              </w:rPr>
            </w:pPr>
          </w:p>
        </w:tc>
        <w:tc>
          <w:tcPr>
            <w:tcW w:w="1275" w:type="dxa"/>
            <w:vAlign w:val="center"/>
          </w:tcPr>
          <w:p w14:paraId="3F68D18E">
            <w:pPr>
              <w:pStyle w:val="45"/>
              <w:jc w:val="center"/>
              <w:rPr>
                <w:rFonts w:ascii="仿宋" w:hAnsi="仿宋" w:eastAsia="仿宋" w:cs="仿宋"/>
                <w:color w:val="auto"/>
                <w:sz w:val="24"/>
              </w:rPr>
            </w:pPr>
          </w:p>
        </w:tc>
      </w:tr>
    </w:tbl>
    <w:p w14:paraId="229D764A">
      <w:pPr>
        <w:spacing w:line="360" w:lineRule="auto"/>
        <w:rPr>
          <w:rFonts w:ascii="仿宋" w:hAnsi="仿宋" w:eastAsia="仿宋" w:cs="仿宋"/>
          <w:color w:val="auto"/>
          <w:sz w:val="24"/>
        </w:rPr>
      </w:pPr>
      <w:r>
        <w:rPr>
          <w:rFonts w:hint="eastAsia" w:ascii="仿宋" w:hAnsi="仿宋" w:eastAsia="仿宋" w:cs="仿宋"/>
          <w:color w:val="auto"/>
          <w:sz w:val="24"/>
        </w:rPr>
        <w:t>注：</w:t>
      </w:r>
    </w:p>
    <w:p w14:paraId="0DCFAF8E">
      <w:pPr>
        <w:numPr>
          <w:ilvl w:val="0"/>
          <w:numId w:val="24"/>
        </w:num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投标人根据招标文件第二章内容填写并作出相应承诺。如未填写或漏项，视为响应招标文件要求。此表可在不改变格式的情况下可自行制作。</w:t>
      </w:r>
    </w:p>
    <w:p w14:paraId="738E96AD">
      <w:pPr>
        <w:numPr>
          <w:ilvl w:val="0"/>
          <w:numId w:val="24"/>
        </w:num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备注栏填正偏离、负偏离或无偏离。</w:t>
      </w:r>
    </w:p>
    <w:p w14:paraId="40375E9D">
      <w:pPr>
        <w:spacing w:line="360" w:lineRule="auto"/>
        <w:jc w:val="left"/>
        <w:rPr>
          <w:rFonts w:ascii="仿宋" w:hAnsi="仿宋" w:eastAsia="仿宋" w:cs="仿宋"/>
          <w:color w:val="auto"/>
          <w:spacing w:val="20"/>
          <w:sz w:val="24"/>
        </w:rPr>
      </w:pPr>
    </w:p>
    <w:p w14:paraId="273578F0">
      <w:pPr>
        <w:rPr>
          <w:rFonts w:ascii="仿宋" w:hAnsi="仿宋" w:eastAsia="仿宋" w:cs="仿宋"/>
          <w:color w:val="auto"/>
        </w:rPr>
      </w:pPr>
    </w:p>
    <w:p w14:paraId="496D691A">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0565E317">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30C59843">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276F10F1">
      <w:pPr>
        <w:pStyle w:val="37"/>
        <w:spacing w:line="360" w:lineRule="auto"/>
        <w:ind w:firstLine="5040" w:firstLineChars="1800"/>
        <w:rPr>
          <w:rFonts w:ascii="仿宋" w:hAnsi="仿宋" w:eastAsia="仿宋" w:cs="仿宋"/>
          <w:color w:val="auto"/>
          <w:spacing w:val="20"/>
          <w:sz w:val="24"/>
          <w:u w:val="single"/>
        </w:rPr>
      </w:pPr>
    </w:p>
    <w:p w14:paraId="6AE9B5C8">
      <w:pPr>
        <w:pStyle w:val="37"/>
        <w:spacing w:line="360" w:lineRule="auto"/>
        <w:ind w:firstLine="5040" w:firstLineChars="1800"/>
        <w:rPr>
          <w:rFonts w:ascii="仿宋" w:hAnsi="仿宋" w:eastAsia="仿宋" w:cs="仿宋"/>
          <w:color w:val="auto"/>
          <w:spacing w:val="20"/>
          <w:sz w:val="24"/>
          <w:u w:val="single"/>
        </w:rPr>
      </w:pPr>
    </w:p>
    <w:p w14:paraId="22EF9765">
      <w:pPr>
        <w:pStyle w:val="37"/>
        <w:spacing w:line="360" w:lineRule="auto"/>
        <w:ind w:firstLine="5040" w:firstLineChars="1800"/>
        <w:rPr>
          <w:rFonts w:ascii="仿宋" w:hAnsi="仿宋" w:eastAsia="仿宋" w:cs="仿宋"/>
          <w:color w:val="auto"/>
          <w:spacing w:val="20"/>
          <w:sz w:val="24"/>
          <w:u w:val="single"/>
        </w:rPr>
      </w:pPr>
    </w:p>
    <w:p w14:paraId="5C8FBA28">
      <w:pPr>
        <w:pStyle w:val="37"/>
        <w:spacing w:line="360" w:lineRule="auto"/>
        <w:ind w:firstLine="5040" w:firstLineChars="1800"/>
        <w:rPr>
          <w:rFonts w:ascii="仿宋" w:hAnsi="仿宋" w:eastAsia="仿宋" w:cs="仿宋"/>
          <w:color w:val="auto"/>
          <w:spacing w:val="20"/>
          <w:sz w:val="24"/>
          <w:u w:val="single"/>
        </w:rPr>
      </w:pPr>
    </w:p>
    <w:p w14:paraId="10E580C7">
      <w:pPr>
        <w:pStyle w:val="37"/>
        <w:spacing w:line="360" w:lineRule="auto"/>
        <w:ind w:firstLine="5040" w:firstLineChars="1800"/>
        <w:rPr>
          <w:rFonts w:ascii="仿宋" w:hAnsi="仿宋" w:eastAsia="仿宋" w:cs="仿宋"/>
          <w:color w:val="auto"/>
          <w:spacing w:val="20"/>
          <w:sz w:val="24"/>
          <w:u w:val="single"/>
        </w:rPr>
      </w:pPr>
    </w:p>
    <w:bookmarkEnd w:id="340"/>
    <w:bookmarkEnd w:id="341"/>
    <w:bookmarkEnd w:id="342"/>
    <w:bookmarkEnd w:id="343"/>
    <w:bookmarkEnd w:id="344"/>
    <w:bookmarkEnd w:id="345"/>
    <w:bookmarkEnd w:id="346"/>
    <w:bookmarkEnd w:id="347"/>
    <w:bookmarkEnd w:id="348"/>
    <w:bookmarkEnd w:id="349"/>
    <w:bookmarkEnd w:id="350"/>
    <w:bookmarkEnd w:id="351"/>
    <w:bookmarkEnd w:id="352"/>
    <w:p w14:paraId="4F8A0984">
      <w:pPr>
        <w:pStyle w:val="37"/>
        <w:spacing w:line="360" w:lineRule="auto"/>
        <w:ind w:firstLine="5040" w:firstLineChars="1800"/>
        <w:rPr>
          <w:rFonts w:ascii="仿宋" w:hAnsi="仿宋" w:eastAsia="仿宋" w:cs="仿宋"/>
          <w:color w:val="auto"/>
          <w:spacing w:val="20"/>
          <w:sz w:val="24"/>
          <w:u w:val="single"/>
        </w:rPr>
      </w:pPr>
    </w:p>
    <w:p w14:paraId="7D9BE1C5">
      <w:pPr>
        <w:pStyle w:val="37"/>
        <w:spacing w:line="360" w:lineRule="auto"/>
        <w:ind w:firstLine="5040" w:firstLineChars="1800"/>
        <w:rPr>
          <w:rFonts w:ascii="仿宋" w:hAnsi="仿宋" w:eastAsia="仿宋" w:cs="仿宋"/>
          <w:color w:val="auto"/>
          <w:spacing w:val="20"/>
          <w:sz w:val="24"/>
          <w:u w:val="single"/>
        </w:rPr>
      </w:pPr>
    </w:p>
    <w:p w14:paraId="60313415">
      <w:pPr>
        <w:rPr>
          <w:color w:val="auto"/>
        </w:rPr>
      </w:pPr>
    </w:p>
    <w:p w14:paraId="76E237D9">
      <w:pPr>
        <w:pStyle w:val="6"/>
        <w:numPr>
          <w:ilvl w:val="0"/>
          <w:numId w:val="23"/>
        </w:numPr>
        <w:spacing w:before="240" w:after="240"/>
        <w:ind w:firstLineChars="0"/>
        <w:jc w:val="left"/>
        <w:rPr>
          <w:rFonts w:ascii="仿宋" w:hAnsi="仿宋" w:eastAsia="仿宋" w:cs="仿宋"/>
          <w:color w:val="auto"/>
          <w:sz w:val="28"/>
          <w:szCs w:val="28"/>
        </w:rPr>
      </w:pPr>
      <w:bookmarkStart w:id="353" w:name="_Toc26644"/>
      <w:bookmarkStart w:id="354" w:name="_Toc23918"/>
      <w:r>
        <w:rPr>
          <w:rFonts w:hint="eastAsia" w:ascii="仿宋" w:hAnsi="仿宋" w:eastAsia="仿宋" w:cs="仿宋"/>
          <w:color w:val="auto"/>
          <w:sz w:val="28"/>
          <w:szCs w:val="28"/>
          <w:lang w:val="en-US" w:eastAsia="zh-CN"/>
        </w:rPr>
        <w:t>项目业绩</w:t>
      </w:r>
    </w:p>
    <w:p w14:paraId="5F857398">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供应商项目实施情况一览表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126"/>
        <w:gridCol w:w="1843"/>
        <w:gridCol w:w="1858"/>
        <w:gridCol w:w="1544"/>
      </w:tblGrid>
      <w:tr w14:paraId="26D1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DB0807D">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1843" w:type="dxa"/>
            <w:vAlign w:val="center"/>
          </w:tcPr>
          <w:p w14:paraId="173DEEF7">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采购人名称</w:t>
            </w:r>
          </w:p>
        </w:tc>
        <w:tc>
          <w:tcPr>
            <w:tcW w:w="2126" w:type="dxa"/>
            <w:vAlign w:val="center"/>
          </w:tcPr>
          <w:p w14:paraId="3E052C02">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项目名称</w:t>
            </w:r>
          </w:p>
        </w:tc>
        <w:tc>
          <w:tcPr>
            <w:tcW w:w="1843" w:type="dxa"/>
            <w:vAlign w:val="center"/>
          </w:tcPr>
          <w:p w14:paraId="67761DFE">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合同金额</w:t>
            </w:r>
          </w:p>
        </w:tc>
        <w:tc>
          <w:tcPr>
            <w:tcW w:w="1858" w:type="dxa"/>
            <w:vAlign w:val="center"/>
          </w:tcPr>
          <w:p w14:paraId="39698E3D">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合同起止时间</w:t>
            </w:r>
          </w:p>
        </w:tc>
        <w:tc>
          <w:tcPr>
            <w:tcW w:w="1544" w:type="dxa"/>
            <w:vAlign w:val="center"/>
          </w:tcPr>
          <w:p w14:paraId="21828265">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采购联系人及联系电话</w:t>
            </w:r>
          </w:p>
        </w:tc>
      </w:tr>
      <w:tr w14:paraId="3309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3DFB8C92">
            <w:pPr>
              <w:snapToGrid w:val="0"/>
              <w:spacing w:line="360" w:lineRule="auto"/>
              <w:jc w:val="center"/>
              <w:rPr>
                <w:rFonts w:ascii="仿宋" w:hAnsi="仿宋" w:eastAsia="仿宋" w:cs="仿宋"/>
                <w:color w:val="auto"/>
                <w:sz w:val="24"/>
              </w:rPr>
            </w:pPr>
          </w:p>
        </w:tc>
        <w:tc>
          <w:tcPr>
            <w:tcW w:w="1843" w:type="dxa"/>
          </w:tcPr>
          <w:p w14:paraId="764C7FF2">
            <w:pPr>
              <w:snapToGrid w:val="0"/>
              <w:spacing w:line="360" w:lineRule="auto"/>
              <w:jc w:val="center"/>
              <w:rPr>
                <w:rFonts w:ascii="仿宋" w:hAnsi="仿宋" w:eastAsia="仿宋" w:cs="仿宋"/>
                <w:color w:val="auto"/>
                <w:sz w:val="24"/>
              </w:rPr>
            </w:pPr>
          </w:p>
        </w:tc>
        <w:tc>
          <w:tcPr>
            <w:tcW w:w="2126" w:type="dxa"/>
          </w:tcPr>
          <w:p w14:paraId="6FD56EFB">
            <w:pPr>
              <w:snapToGrid w:val="0"/>
              <w:spacing w:line="360" w:lineRule="auto"/>
              <w:jc w:val="center"/>
              <w:rPr>
                <w:rFonts w:ascii="仿宋" w:hAnsi="仿宋" w:eastAsia="仿宋" w:cs="仿宋"/>
                <w:color w:val="auto"/>
                <w:sz w:val="24"/>
              </w:rPr>
            </w:pPr>
          </w:p>
        </w:tc>
        <w:tc>
          <w:tcPr>
            <w:tcW w:w="1843" w:type="dxa"/>
          </w:tcPr>
          <w:p w14:paraId="6A0F8DFD">
            <w:pPr>
              <w:snapToGrid w:val="0"/>
              <w:spacing w:line="360" w:lineRule="auto"/>
              <w:jc w:val="center"/>
              <w:rPr>
                <w:rFonts w:ascii="仿宋" w:hAnsi="仿宋" w:eastAsia="仿宋" w:cs="仿宋"/>
                <w:color w:val="auto"/>
                <w:sz w:val="24"/>
              </w:rPr>
            </w:pPr>
          </w:p>
        </w:tc>
        <w:tc>
          <w:tcPr>
            <w:tcW w:w="1858" w:type="dxa"/>
          </w:tcPr>
          <w:p w14:paraId="71C71805">
            <w:pPr>
              <w:snapToGrid w:val="0"/>
              <w:spacing w:line="360" w:lineRule="auto"/>
              <w:jc w:val="center"/>
              <w:rPr>
                <w:rFonts w:ascii="仿宋" w:hAnsi="仿宋" w:eastAsia="仿宋" w:cs="仿宋"/>
                <w:color w:val="auto"/>
                <w:sz w:val="24"/>
              </w:rPr>
            </w:pPr>
          </w:p>
        </w:tc>
        <w:tc>
          <w:tcPr>
            <w:tcW w:w="1544" w:type="dxa"/>
          </w:tcPr>
          <w:p w14:paraId="7DF17458">
            <w:pPr>
              <w:snapToGrid w:val="0"/>
              <w:spacing w:line="360" w:lineRule="auto"/>
              <w:jc w:val="center"/>
              <w:rPr>
                <w:rFonts w:ascii="仿宋" w:hAnsi="仿宋" w:eastAsia="仿宋" w:cs="仿宋"/>
                <w:color w:val="auto"/>
                <w:sz w:val="24"/>
              </w:rPr>
            </w:pPr>
          </w:p>
        </w:tc>
      </w:tr>
      <w:tr w14:paraId="1C54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074DF4FA">
            <w:pPr>
              <w:snapToGrid w:val="0"/>
              <w:spacing w:line="360" w:lineRule="auto"/>
              <w:jc w:val="center"/>
              <w:rPr>
                <w:rFonts w:ascii="仿宋" w:hAnsi="仿宋" w:eastAsia="仿宋" w:cs="仿宋"/>
                <w:color w:val="auto"/>
                <w:sz w:val="24"/>
              </w:rPr>
            </w:pPr>
          </w:p>
        </w:tc>
        <w:tc>
          <w:tcPr>
            <w:tcW w:w="1843" w:type="dxa"/>
          </w:tcPr>
          <w:p w14:paraId="54BBD56A">
            <w:pPr>
              <w:snapToGrid w:val="0"/>
              <w:spacing w:line="360" w:lineRule="auto"/>
              <w:jc w:val="center"/>
              <w:rPr>
                <w:rFonts w:ascii="仿宋" w:hAnsi="仿宋" w:eastAsia="仿宋" w:cs="仿宋"/>
                <w:color w:val="auto"/>
                <w:sz w:val="24"/>
              </w:rPr>
            </w:pPr>
          </w:p>
        </w:tc>
        <w:tc>
          <w:tcPr>
            <w:tcW w:w="2126" w:type="dxa"/>
          </w:tcPr>
          <w:p w14:paraId="44F71EFF">
            <w:pPr>
              <w:snapToGrid w:val="0"/>
              <w:spacing w:line="360" w:lineRule="auto"/>
              <w:jc w:val="center"/>
              <w:rPr>
                <w:rFonts w:ascii="仿宋" w:hAnsi="仿宋" w:eastAsia="仿宋" w:cs="仿宋"/>
                <w:color w:val="auto"/>
                <w:sz w:val="24"/>
              </w:rPr>
            </w:pPr>
          </w:p>
        </w:tc>
        <w:tc>
          <w:tcPr>
            <w:tcW w:w="1843" w:type="dxa"/>
          </w:tcPr>
          <w:p w14:paraId="576CEE28">
            <w:pPr>
              <w:snapToGrid w:val="0"/>
              <w:spacing w:line="360" w:lineRule="auto"/>
              <w:jc w:val="center"/>
              <w:rPr>
                <w:rFonts w:ascii="仿宋" w:hAnsi="仿宋" w:eastAsia="仿宋" w:cs="仿宋"/>
                <w:color w:val="auto"/>
                <w:sz w:val="24"/>
              </w:rPr>
            </w:pPr>
          </w:p>
        </w:tc>
        <w:tc>
          <w:tcPr>
            <w:tcW w:w="1858" w:type="dxa"/>
          </w:tcPr>
          <w:p w14:paraId="08F9665A">
            <w:pPr>
              <w:snapToGrid w:val="0"/>
              <w:spacing w:line="360" w:lineRule="auto"/>
              <w:jc w:val="center"/>
              <w:rPr>
                <w:rFonts w:ascii="仿宋" w:hAnsi="仿宋" w:eastAsia="仿宋" w:cs="仿宋"/>
                <w:color w:val="auto"/>
                <w:sz w:val="24"/>
              </w:rPr>
            </w:pPr>
          </w:p>
        </w:tc>
        <w:tc>
          <w:tcPr>
            <w:tcW w:w="1544" w:type="dxa"/>
          </w:tcPr>
          <w:p w14:paraId="62D83ACC">
            <w:pPr>
              <w:snapToGrid w:val="0"/>
              <w:spacing w:line="360" w:lineRule="auto"/>
              <w:jc w:val="center"/>
              <w:rPr>
                <w:rFonts w:ascii="仿宋" w:hAnsi="仿宋" w:eastAsia="仿宋" w:cs="仿宋"/>
                <w:color w:val="auto"/>
                <w:sz w:val="24"/>
              </w:rPr>
            </w:pPr>
          </w:p>
        </w:tc>
      </w:tr>
      <w:tr w14:paraId="3F63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73F73C57">
            <w:pPr>
              <w:snapToGrid w:val="0"/>
              <w:spacing w:line="360" w:lineRule="auto"/>
              <w:jc w:val="center"/>
              <w:rPr>
                <w:rFonts w:ascii="仿宋" w:hAnsi="仿宋" w:eastAsia="仿宋" w:cs="仿宋"/>
                <w:color w:val="auto"/>
                <w:sz w:val="24"/>
              </w:rPr>
            </w:pPr>
          </w:p>
        </w:tc>
        <w:tc>
          <w:tcPr>
            <w:tcW w:w="1843" w:type="dxa"/>
          </w:tcPr>
          <w:p w14:paraId="6ED2B955">
            <w:pPr>
              <w:snapToGrid w:val="0"/>
              <w:spacing w:line="360" w:lineRule="auto"/>
              <w:jc w:val="center"/>
              <w:rPr>
                <w:rFonts w:ascii="仿宋" w:hAnsi="仿宋" w:eastAsia="仿宋" w:cs="仿宋"/>
                <w:color w:val="auto"/>
                <w:sz w:val="24"/>
              </w:rPr>
            </w:pPr>
          </w:p>
        </w:tc>
        <w:tc>
          <w:tcPr>
            <w:tcW w:w="2126" w:type="dxa"/>
          </w:tcPr>
          <w:p w14:paraId="251CE917">
            <w:pPr>
              <w:snapToGrid w:val="0"/>
              <w:spacing w:line="360" w:lineRule="auto"/>
              <w:jc w:val="center"/>
              <w:rPr>
                <w:rFonts w:ascii="仿宋" w:hAnsi="仿宋" w:eastAsia="仿宋" w:cs="仿宋"/>
                <w:color w:val="auto"/>
                <w:sz w:val="24"/>
              </w:rPr>
            </w:pPr>
          </w:p>
        </w:tc>
        <w:tc>
          <w:tcPr>
            <w:tcW w:w="1843" w:type="dxa"/>
          </w:tcPr>
          <w:p w14:paraId="6126F0E5">
            <w:pPr>
              <w:snapToGrid w:val="0"/>
              <w:spacing w:line="360" w:lineRule="auto"/>
              <w:jc w:val="center"/>
              <w:rPr>
                <w:rFonts w:ascii="仿宋" w:hAnsi="仿宋" w:eastAsia="仿宋" w:cs="仿宋"/>
                <w:color w:val="auto"/>
                <w:sz w:val="24"/>
              </w:rPr>
            </w:pPr>
          </w:p>
        </w:tc>
        <w:tc>
          <w:tcPr>
            <w:tcW w:w="1858" w:type="dxa"/>
          </w:tcPr>
          <w:p w14:paraId="2DF45D5B">
            <w:pPr>
              <w:snapToGrid w:val="0"/>
              <w:spacing w:line="360" w:lineRule="auto"/>
              <w:jc w:val="center"/>
              <w:rPr>
                <w:rFonts w:ascii="仿宋" w:hAnsi="仿宋" w:eastAsia="仿宋" w:cs="仿宋"/>
                <w:color w:val="auto"/>
                <w:sz w:val="24"/>
              </w:rPr>
            </w:pPr>
          </w:p>
        </w:tc>
        <w:tc>
          <w:tcPr>
            <w:tcW w:w="1544" w:type="dxa"/>
          </w:tcPr>
          <w:p w14:paraId="12AE2F92">
            <w:pPr>
              <w:snapToGrid w:val="0"/>
              <w:spacing w:line="360" w:lineRule="auto"/>
              <w:jc w:val="center"/>
              <w:rPr>
                <w:rFonts w:ascii="仿宋" w:hAnsi="仿宋" w:eastAsia="仿宋" w:cs="仿宋"/>
                <w:color w:val="auto"/>
                <w:sz w:val="24"/>
              </w:rPr>
            </w:pPr>
          </w:p>
        </w:tc>
      </w:tr>
      <w:tr w14:paraId="10B2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70E6F90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843" w:type="dxa"/>
          </w:tcPr>
          <w:p w14:paraId="67ECECA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2126" w:type="dxa"/>
          </w:tcPr>
          <w:p w14:paraId="074035A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843" w:type="dxa"/>
          </w:tcPr>
          <w:p w14:paraId="4557708E">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858" w:type="dxa"/>
          </w:tcPr>
          <w:p w14:paraId="4685E176">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544" w:type="dxa"/>
          </w:tcPr>
          <w:p w14:paraId="19273899">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r>
    </w:tbl>
    <w:p w14:paraId="3D09861F">
      <w:pPr>
        <w:spacing w:line="360" w:lineRule="auto"/>
        <w:ind w:left="480" w:hanging="480" w:hangingChars="200"/>
        <w:rPr>
          <w:rFonts w:ascii="仿宋" w:hAnsi="仿宋" w:eastAsia="仿宋" w:cs="仿宋"/>
          <w:bCs/>
          <w:color w:val="auto"/>
          <w:kern w:val="28"/>
          <w:sz w:val="24"/>
        </w:rPr>
      </w:pPr>
      <w:r>
        <w:rPr>
          <w:rFonts w:hint="eastAsia" w:ascii="仿宋" w:hAnsi="仿宋" w:eastAsia="仿宋" w:cs="仿宋"/>
          <w:bCs/>
          <w:color w:val="auto"/>
          <w:kern w:val="28"/>
          <w:sz w:val="24"/>
        </w:rPr>
        <w:t>注：</w:t>
      </w:r>
      <w:r>
        <w:rPr>
          <w:rFonts w:hint="eastAsia" w:ascii="仿宋" w:hAnsi="仿宋" w:eastAsia="仿宋" w:cs="仿宋"/>
          <w:color w:val="auto"/>
          <w:spacing w:val="20"/>
          <w:sz w:val="24"/>
        </w:rPr>
        <w:t>请按第六章内容要求</w:t>
      </w:r>
      <w:r>
        <w:rPr>
          <w:rFonts w:hint="eastAsia" w:ascii="仿宋" w:hAnsi="仿宋" w:eastAsia="仿宋" w:cs="仿宋"/>
          <w:bCs/>
          <w:color w:val="auto"/>
          <w:kern w:val="28"/>
          <w:sz w:val="24"/>
        </w:rPr>
        <w:t>提供合同扫描件并加盖公章。</w:t>
      </w:r>
    </w:p>
    <w:p w14:paraId="316B2CA7">
      <w:pPr>
        <w:spacing w:line="360" w:lineRule="auto"/>
        <w:ind w:left="480" w:hanging="480" w:hangingChars="200"/>
        <w:rPr>
          <w:rFonts w:ascii="仿宋" w:hAnsi="仿宋" w:eastAsia="仿宋" w:cs="仿宋"/>
          <w:bCs/>
          <w:color w:val="auto"/>
          <w:kern w:val="28"/>
          <w:sz w:val="24"/>
        </w:rPr>
      </w:pPr>
    </w:p>
    <w:p w14:paraId="779CD0E4">
      <w:pPr>
        <w:spacing w:line="360" w:lineRule="auto"/>
        <w:ind w:left="480" w:hanging="480" w:hangingChars="200"/>
        <w:rPr>
          <w:rFonts w:ascii="仿宋" w:hAnsi="仿宋" w:eastAsia="仿宋" w:cs="仿宋"/>
          <w:bCs/>
          <w:color w:val="auto"/>
          <w:kern w:val="28"/>
          <w:sz w:val="24"/>
        </w:rPr>
      </w:pPr>
    </w:p>
    <w:p w14:paraId="5606ACF1">
      <w:pPr>
        <w:rPr>
          <w:color w:val="auto"/>
        </w:rPr>
      </w:pPr>
    </w:p>
    <w:p w14:paraId="307B0169">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49EAD6DE">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077D3227">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50135D8B">
      <w:pPr>
        <w:spacing w:line="360" w:lineRule="auto"/>
        <w:ind w:left="480" w:hanging="480" w:hangingChars="200"/>
        <w:rPr>
          <w:rFonts w:ascii="仿宋" w:hAnsi="仿宋" w:eastAsia="仿宋" w:cs="仿宋"/>
          <w:bCs/>
          <w:color w:val="auto"/>
          <w:kern w:val="28"/>
          <w:sz w:val="24"/>
        </w:rPr>
      </w:pPr>
    </w:p>
    <w:bookmarkEnd w:id="353"/>
    <w:bookmarkEnd w:id="354"/>
    <w:p w14:paraId="478DCB4C">
      <w:pPr>
        <w:pStyle w:val="2"/>
        <w:ind w:firstLine="210"/>
        <w:rPr>
          <w:color w:val="auto"/>
        </w:rPr>
      </w:pPr>
    </w:p>
    <w:p w14:paraId="69B0406A">
      <w:pPr>
        <w:pStyle w:val="18"/>
        <w:rPr>
          <w:color w:val="auto"/>
        </w:rPr>
      </w:pPr>
    </w:p>
    <w:p w14:paraId="389C606E">
      <w:pPr>
        <w:rPr>
          <w:color w:val="auto"/>
        </w:rPr>
      </w:pPr>
    </w:p>
    <w:p w14:paraId="327F9818">
      <w:pPr>
        <w:pStyle w:val="4"/>
        <w:rPr>
          <w:color w:val="auto"/>
        </w:rPr>
      </w:pPr>
    </w:p>
    <w:p w14:paraId="630B6A25">
      <w:pPr>
        <w:rPr>
          <w:color w:val="auto"/>
        </w:rPr>
      </w:pPr>
    </w:p>
    <w:p w14:paraId="7C367008">
      <w:pPr>
        <w:pStyle w:val="4"/>
        <w:rPr>
          <w:color w:val="auto"/>
        </w:rPr>
      </w:pPr>
    </w:p>
    <w:p w14:paraId="274BE3CC">
      <w:pPr>
        <w:rPr>
          <w:color w:val="auto"/>
        </w:rPr>
      </w:pPr>
    </w:p>
    <w:p w14:paraId="10D8D8DE">
      <w:pPr>
        <w:pStyle w:val="25"/>
        <w:rPr>
          <w:color w:val="auto"/>
        </w:rPr>
      </w:pPr>
    </w:p>
    <w:p w14:paraId="0A711D52">
      <w:pPr>
        <w:rPr>
          <w:color w:val="auto"/>
        </w:rPr>
      </w:pPr>
    </w:p>
    <w:p w14:paraId="25BD0511">
      <w:pPr>
        <w:pStyle w:val="6"/>
        <w:numPr>
          <w:ilvl w:val="0"/>
          <w:numId w:val="23"/>
        </w:numPr>
        <w:spacing w:before="0" w:after="0"/>
        <w:ind w:firstLineChars="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人员配置方案</w:t>
      </w:r>
    </w:p>
    <w:p w14:paraId="5F782A93">
      <w:pPr>
        <w:jc w:val="center"/>
        <w:rPr>
          <w:rFonts w:ascii="仿宋" w:hAnsi="仿宋" w:eastAsia="仿宋" w:cs="仿宋"/>
          <w:b/>
          <w:color w:val="auto"/>
          <w:sz w:val="28"/>
          <w:szCs w:val="28"/>
        </w:rPr>
      </w:pPr>
      <w:r>
        <w:rPr>
          <w:rFonts w:hint="eastAsia" w:ascii="仿宋" w:hAnsi="仿宋" w:eastAsia="仿宋" w:cs="仿宋"/>
          <w:b/>
          <w:color w:val="auto"/>
          <w:sz w:val="28"/>
          <w:szCs w:val="28"/>
        </w:rPr>
        <w:t>项目负责人简历表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75AE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A29092B">
            <w:pPr>
              <w:jc w:val="center"/>
              <w:rPr>
                <w:rFonts w:ascii="仿宋" w:hAnsi="仿宋" w:eastAsia="仿宋" w:cs="仿宋"/>
                <w:color w:val="auto"/>
                <w:sz w:val="24"/>
              </w:rPr>
            </w:pPr>
            <w:r>
              <w:rPr>
                <w:rFonts w:hint="eastAsia" w:ascii="仿宋" w:hAnsi="仿宋" w:eastAsia="仿宋" w:cs="仿宋"/>
                <w:color w:val="auto"/>
                <w:sz w:val="24"/>
              </w:rPr>
              <w:t>姓  名</w:t>
            </w:r>
          </w:p>
        </w:tc>
        <w:tc>
          <w:tcPr>
            <w:tcW w:w="1165" w:type="dxa"/>
            <w:gridSpan w:val="2"/>
            <w:vAlign w:val="center"/>
          </w:tcPr>
          <w:p w14:paraId="03516D06">
            <w:pPr>
              <w:jc w:val="center"/>
              <w:rPr>
                <w:rFonts w:ascii="仿宋" w:hAnsi="仿宋" w:eastAsia="仿宋" w:cs="仿宋"/>
                <w:color w:val="auto"/>
                <w:sz w:val="24"/>
              </w:rPr>
            </w:pPr>
          </w:p>
        </w:tc>
        <w:tc>
          <w:tcPr>
            <w:tcW w:w="1155" w:type="dxa"/>
            <w:vAlign w:val="center"/>
          </w:tcPr>
          <w:p w14:paraId="65D02DB5">
            <w:pPr>
              <w:jc w:val="center"/>
              <w:rPr>
                <w:rFonts w:ascii="仿宋" w:hAnsi="仿宋" w:eastAsia="仿宋" w:cs="仿宋"/>
                <w:color w:val="auto"/>
                <w:sz w:val="24"/>
              </w:rPr>
            </w:pPr>
            <w:r>
              <w:rPr>
                <w:rFonts w:hint="eastAsia" w:ascii="仿宋" w:hAnsi="仿宋" w:eastAsia="仿宋" w:cs="仿宋"/>
                <w:color w:val="auto"/>
                <w:sz w:val="24"/>
              </w:rPr>
              <w:t>年  龄</w:t>
            </w:r>
          </w:p>
        </w:tc>
        <w:tc>
          <w:tcPr>
            <w:tcW w:w="1155" w:type="dxa"/>
            <w:gridSpan w:val="2"/>
            <w:vAlign w:val="center"/>
          </w:tcPr>
          <w:p w14:paraId="7E76713D">
            <w:pPr>
              <w:jc w:val="center"/>
              <w:rPr>
                <w:rFonts w:ascii="仿宋" w:hAnsi="仿宋" w:eastAsia="仿宋" w:cs="仿宋"/>
                <w:color w:val="auto"/>
                <w:sz w:val="24"/>
              </w:rPr>
            </w:pPr>
          </w:p>
        </w:tc>
        <w:tc>
          <w:tcPr>
            <w:tcW w:w="2745" w:type="dxa"/>
            <w:gridSpan w:val="2"/>
            <w:vAlign w:val="center"/>
          </w:tcPr>
          <w:p w14:paraId="20E32500">
            <w:pPr>
              <w:rPr>
                <w:rFonts w:ascii="仿宋" w:hAnsi="仿宋" w:eastAsia="仿宋" w:cs="仿宋"/>
                <w:color w:val="auto"/>
                <w:sz w:val="24"/>
              </w:rPr>
            </w:pPr>
            <w:r>
              <w:rPr>
                <w:rFonts w:hint="eastAsia" w:ascii="仿宋" w:hAnsi="仿宋" w:eastAsia="仿宋" w:cs="仿宋"/>
                <w:color w:val="auto"/>
                <w:sz w:val="24"/>
              </w:rPr>
              <w:t>学历</w:t>
            </w:r>
          </w:p>
        </w:tc>
        <w:tc>
          <w:tcPr>
            <w:tcW w:w="1800" w:type="dxa"/>
            <w:vAlign w:val="center"/>
          </w:tcPr>
          <w:p w14:paraId="450F43F2">
            <w:pPr>
              <w:jc w:val="center"/>
              <w:rPr>
                <w:rFonts w:ascii="仿宋" w:hAnsi="仿宋" w:eastAsia="仿宋" w:cs="仿宋"/>
                <w:color w:val="auto"/>
                <w:sz w:val="24"/>
              </w:rPr>
            </w:pPr>
          </w:p>
        </w:tc>
      </w:tr>
      <w:tr w14:paraId="5890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4131FCBE">
            <w:pPr>
              <w:jc w:val="center"/>
              <w:rPr>
                <w:rFonts w:ascii="仿宋" w:hAnsi="仿宋" w:eastAsia="仿宋" w:cs="仿宋"/>
                <w:color w:val="auto"/>
                <w:sz w:val="24"/>
              </w:rPr>
            </w:pPr>
            <w:r>
              <w:rPr>
                <w:rFonts w:hint="eastAsia" w:ascii="仿宋" w:hAnsi="仿宋" w:eastAsia="仿宋" w:cs="仿宋"/>
                <w:color w:val="auto"/>
                <w:sz w:val="24"/>
              </w:rPr>
              <w:t>职  称</w:t>
            </w:r>
          </w:p>
        </w:tc>
        <w:tc>
          <w:tcPr>
            <w:tcW w:w="1165" w:type="dxa"/>
            <w:gridSpan w:val="2"/>
            <w:vAlign w:val="center"/>
          </w:tcPr>
          <w:p w14:paraId="35B9D739">
            <w:pPr>
              <w:jc w:val="center"/>
              <w:rPr>
                <w:rFonts w:ascii="仿宋" w:hAnsi="仿宋" w:eastAsia="仿宋" w:cs="仿宋"/>
                <w:color w:val="auto"/>
                <w:sz w:val="24"/>
              </w:rPr>
            </w:pPr>
          </w:p>
        </w:tc>
        <w:tc>
          <w:tcPr>
            <w:tcW w:w="1155" w:type="dxa"/>
            <w:vAlign w:val="center"/>
          </w:tcPr>
          <w:p w14:paraId="35826326">
            <w:pPr>
              <w:jc w:val="center"/>
              <w:rPr>
                <w:rFonts w:ascii="仿宋" w:hAnsi="仿宋" w:eastAsia="仿宋" w:cs="仿宋"/>
                <w:color w:val="auto"/>
                <w:sz w:val="24"/>
              </w:rPr>
            </w:pPr>
            <w:r>
              <w:rPr>
                <w:rFonts w:hint="eastAsia" w:ascii="仿宋" w:hAnsi="仿宋" w:eastAsia="仿宋" w:cs="仿宋"/>
                <w:color w:val="auto"/>
                <w:sz w:val="24"/>
              </w:rPr>
              <w:t>职  务</w:t>
            </w:r>
          </w:p>
        </w:tc>
        <w:tc>
          <w:tcPr>
            <w:tcW w:w="1155" w:type="dxa"/>
            <w:gridSpan w:val="2"/>
            <w:vAlign w:val="center"/>
          </w:tcPr>
          <w:p w14:paraId="6622808B">
            <w:pPr>
              <w:jc w:val="center"/>
              <w:rPr>
                <w:rFonts w:ascii="仿宋" w:hAnsi="仿宋" w:eastAsia="仿宋" w:cs="仿宋"/>
                <w:color w:val="auto"/>
                <w:sz w:val="24"/>
              </w:rPr>
            </w:pPr>
          </w:p>
        </w:tc>
        <w:tc>
          <w:tcPr>
            <w:tcW w:w="2745" w:type="dxa"/>
            <w:gridSpan w:val="2"/>
            <w:vAlign w:val="center"/>
          </w:tcPr>
          <w:p w14:paraId="54AA493C">
            <w:pPr>
              <w:rPr>
                <w:rFonts w:ascii="仿宋" w:hAnsi="仿宋" w:eastAsia="仿宋" w:cs="仿宋"/>
                <w:color w:val="auto"/>
                <w:sz w:val="24"/>
              </w:rPr>
            </w:pPr>
            <w:r>
              <w:rPr>
                <w:rFonts w:hint="eastAsia" w:ascii="仿宋" w:hAnsi="仿宋" w:eastAsia="仿宋" w:cs="仿宋"/>
                <w:color w:val="auto"/>
                <w:sz w:val="24"/>
              </w:rPr>
              <w:t>拟在本项目任职</w:t>
            </w:r>
          </w:p>
        </w:tc>
        <w:tc>
          <w:tcPr>
            <w:tcW w:w="1800" w:type="dxa"/>
            <w:vAlign w:val="center"/>
          </w:tcPr>
          <w:p w14:paraId="23C85C7D">
            <w:pPr>
              <w:jc w:val="center"/>
              <w:rPr>
                <w:rFonts w:ascii="仿宋" w:hAnsi="仿宋" w:eastAsia="仿宋" w:cs="仿宋"/>
                <w:color w:val="auto"/>
                <w:sz w:val="24"/>
              </w:rPr>
            </w:pPr>
          </w:p>
        </w:tc>
      </w:tr>
      <w:tr w14:paraId="14CB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4A99CC13">
            <w:pPr>
              <w:jc w:val="center"/>
              <w:rPr>
                <w:rFonts w:ascii="仿宋" w:hAnsi="仿宋" w:eastAsia="仿宋" w:cs="仿宋"/>
                <w:color w:val="auto"/>
                <w:sz w:val="24"/>
              </w:rPr>
            </w:pPr>
            <w:r>
              <w:rPr>
                <w:rFonts w:hint="eastAsia" w:ascii="仿宋" w:hAnsi="仿宋" w:eastAsia="仿宋" w:cs="仿宋"/>
                <w:color w:val="auto"/>
                <w:sz w:val="24"/>
              </w:rPr>
              <w:t>毕业院校</w:t>
            </w:r>
          </w:p>
        </w:tc>
        <w:tc>
          <w:tcPr>
            <w:tcW w:w="8020" w:type="dxa"/>
            <w:gridSpan w:val="8"/>
            <w:vAlign w:val="center"/>
          </w:tcPr>
          <w:p w14:paraId="0936C262">
            <w:pPr>
              <w:ind w:firstLine="480" w:firstLineChars="200"/>
              <w:rPr>
                <w:rFonts w:ascii="仿宋" w:hAnsi="仿宋" w:eastAsia="仿宋" w:cs="仿宋"/>
                <w:color w:val="auto"/>
                <w:sz w:val="24"/>
              </w:rPr>
            </w:pPr>
            <w:r>
              <w:rPr>
                <w:rFonts w:hint="eastAsia" w:ascii="仿宋" w:hAnsi="仿宋" w:eastAsia="仿宋" w:cs="仿宋"/>
                <w:color w:val="auto"/>
                <w:sz w:val="24"/>
              </w:rPr>
              <w:t>年毕业于      学校    专业</w:t>
            </w:r>
          </w:p>
        </w:tc>
      </w:tr>
      <w:tr w14:paraId="042E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6ADEE618">
            <w:pPr>
              <w:jc w:val="center"/>
              <w:rPr>
                <w:rFonts w:ascii="仿宋" w:hAnsi="仿宋" w:eastAsia="仿宋" w:cs="仿宋"/>
                <w:color w:val="auto"/>
                <w:sz w:val="24"/>
              </w:rPr>
            </w:pPr>
            <w:r>
              <w:rPr>
                <w:rFonts w:hint="eastAsia" w:ascii="仿宋" w:hAnsi="仿宋" w:eastAsia="仿宋" w:cs="仿宋"/>
                <w:color w:val="auto"/>
                <w:sz w:val="24"/>
              </w:rPr>
              <w:t>主要工作履历</w:t>
            </w:r>
          </w:p>
        </w:tc>
      </w:tr>
      <w:tr w14:paraId="094E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7456BA01">
            <w:pPr>
              <w:jc w:val="center"/>
              <w:rPr>
                <w:rFonts w:ascii="仿宋" w:hAnsi="仿宋" w:eastAsia="仿宋" w:cs="仿宋"/>
                <w:color w:val="auto"/>
                <w:sz w:val="24"/>
              </w:rPr>
            </w:pPr>
            <w:r>
              <w:rPr>
                <w:rFonts w:hint="eastAsia" w:ascii="仿宋" w:hAnsi="仿宋" w:eastAsia="仿宋" w:cs="仿宋"/>
                <w:color w:val="auto"/>
                <w:sz w:val="24"/>
              </w:rPr>
              <w:t>时间</w:t>
            </w:r>
          </w:p>
        </w:tc>
        <w:tc>
          <w:tcPr>
            <w:tcW w:w="2297" w:type="dxa"/>
            <w:gridSpan w:val="3"/>
            <w:vAlign w:val="center"/>
          </w:tcPr>
          <w:p w14:paraId="3E2AA336">
            <w:pPr>
              <w:jc w:val="center"/>
              <w:rPr>
                <w:rFonts w:ascii="仿宋" w:hAnsi="仿宋" w:eastAsia="仿宋" w:cs="仿宋"/>
                <w:color w:val="auto"/>
                <w:sz w:val="24"/>
              </w:rPr>
            </w:pPr>
            <w:r>
              <w:rPr>
                <w:rFonts w:hint="eastAsia" w:ascii="仿宋" w:hAnsi="仿宋" w:eastAsia="仿宋" w:cs="仿宋"/>
                <w:color w:val="auto"/>
                <w:sz w:val="24"/>
              </w:rPr>
              <w:t>参加过类似项目</w:t>
            </w:r>
          </w:p>
        </w:tc>
        <w:tc>
          <w:tcPr>
            <w:tcW w:w="1701" w:type="dxa"/>
            <w:gridSpan w:val="2"/>
            <w:vAlign w:val="center"/>
          </w:tcPr>
          <w:p w14:paraId="04C4295C">
            <w:pPr>
              <w:jc w:val="center"/>
              <w:rPr>
                <w:rFonts w:ascii="仿宋" w:hAnsi="仿宋" w:eastAsia="仿宋" w:cs="仿宋"/>
                <w:color w:val="auto"/>
                <w:sz w:val="24"/>
              </w:rPr>
            </w:pPr>
            <w:r>
              <w:rPr>
                <w:rFonts w:hint="eastAsia" w:ascii="仿宋" w:hAnsi="仿宋" w:eastAsia="仿宋" w:cs="仿宋"/>
                <w:color w:val="auto"/>
                <w:sz w:val="24"/>
              </w:rPr>
              <w:t>担任职务</w:t>
            </w:r>
          </w:p>
        </w:tc>
        <w:tc>
          <w:tcPr>
            <w:tcW w:w="3313" w:type="dxa"/>
            <w:gridSpan w:val="2"/>
            <w:vAlign w:val="center"/>
          </w:tcPr>
          <w:p w14:paraId="7473609F">
            <w:pPr>
              <w:jc w:val="center"/>
              <w:rPr>
                <w:rFonts w:ascii="仿宋" w:hAnsi="仿宋" w:eastAsia="仿宋" w:cs="仿宋"/>
                <w:color w:val="auto"/>
                <w:sz w:val="24"/>
              </w:rPr>
            </w:pPr>
            <w:r>
              <w:rPr>
                <w:rFonts w:hint="eastAsia" w:ascii="仿宋" w:hAnsi="仿宋" w:eastAsia="仿宋" w:cs="仿宋"/>
                <w:color w:val="auto"/>
                <w:sz w:val="24"/>
              </w:rPr>
              <w:t>业主及联系电话</w:t>
            </w:r>
          </w:p>
        </w:tc>
      </w:tr>
      <w:tr w14:paraId="4960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29A03065">
            <w:pPr>
              <w:jc w:val="center"/>
              <w:rPr>
                <w:rFonts w:ascii="仿宋" w:hAnsi="仿宋" w:eastAsia="仿宋" w:cs="仿宋"/>
                <w:color w:val="auto"/>
                <w:sz w:val="24"/>
              </w:rPr>
            </w:pPr>
          </w:p>
        </w:tc>
        <w:tc>
          <w:tcPr>
            <w:tcW w:w="2297" w:type="dxa"/>
            <w:gridSpan w:val="3"/>
            <w:vAlign w:val="center"/>
          </w:tcPr>
          <w:p w14:paraId="016D6185">
            <w:pPr>
              <w:jc w:val="center"/>
              <w:rPr>
                <w:rFonts w:ascii="仿宋" w:hAnsi="仿宋" w:eastAsia="仿宋" w:cs="仿宋"/>
                <w:color w:val="auto"/>
                <w:sz w:val="24"/>
              </w:rPr>
            </w:pPr>
          </w:p>
        </w:tc>
        <w:tc>
          <w:tcPr>
            <w:tcW w:w="1701" w:type="dxa"/>
            <w:gridSpan w:val="2"/>
            <w:vAlign w:val="center"/>
          </w:tcPr>
          <w:p w14:paraId="5C42E216">
            <w:pPr>
              <w:jc w:val="center"/>
              <w:rPr>
                <w:rFonts w:ascii="仿宋" w:hAnsi="仿宋" w:eastAsia="仿宋" w:cs="仿宋"/>
                <w:color w:val="auto"/>
                <w:sz w:val="24"/>
              </w:rPr>
            </w:pPr>
          </w:p>
        </w:tc>
        <w:tc>
          <w:tcPr>
            <w:tcW w:w="3313" w:type="dxa"/>
            <w:gridSpan w:val="2"/>
            <w:vAlign w:val="center"/>
          </w:tcPr>
          <w:p w14:paraId="0CE85DBB">
            <w:pPr>
              <w:jc w:val="center"/>
              <w:rPr>
                <w:rFonts w:ascii="仿宋" w:hAnsi="仿宋" w:eastAsia="仿宋" w:cs="仿宋"/>
                <w:color w:val="auto"/>
                <w:sz w:val="24"/>
              </w:rPr>
            </w:pPr>
          </w:p>
        </w:tc>
      </w:tr>
      <w:tr w14:paraId="227C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19B0C2B4">
            <w:pPr>
              <w:jc w:val="center"/>
              <w:rPr>
                <w:rFonts w:ascii="仿宋" w:hAnsi="仿宋" w:eastAsia="仿宋" w:cs="仿宋"/>
                <w:color w:val="auto"/>
                <w:sz w:val="24"/>
              </w:rPr>
            </w:pPr>
          </w:p>
        </w:tc>
        <w:tc>
          <w:tcPr>
            <w:tcW w:w="2297" w:type="dxa"/>
            <w:gridSpan w:val="3"/>
            <w:vAlign w:val="center"/>
          </w:tcPr>
          <w:p w14:paraId="2D2A2CF0">
            <w:pPr>
              <w:jc w:val="center"/>
              <w:rPr>
                <w:rFonts w:ascii="仿宋" w:hAnsi="仿宋" w:eastAsia="仿宋" w:cs="仿宋"/>
                <w:color w:val="auto"/>
                <w:sz w:val="24"/>
              </w:rPr>
            </w:pPr>
          </w:p>
        </w:tc>
        <w:tc>
          <w:tcPr>
            <w:tcW w:w="1701" w:type="dxa"/>
            <w:gridSpan w:val="2"/>
            <w:vAlign w:val="center"/>
          </w:tcPr>
          <w:p w14:paraId="460AB9D8">
            <w:pPr>
              <w:jc w:val="center"/>
              <w:rPr>
                <w:rFonts w:ascii="仿宋" w:hAnsi="仿宋" w:eastAsia="仿宋" w:cs="仿宋"/>
                <w:color w:val="auto"/>
                <w:sz w:val="24"/>
              </w:rPr>
            </w:pPr>
          </w:p>
        </w:tc>
        <w:tc>
          <w:tcPr>
            <w:tcW w:w="3313" w:type="dxa"/>
            <w:gridSpan w:val="2"/>
            <w:vAlign w:val="center"/>
          </w:tcPr>
          <w:p w14:paraId="24887853">
            <w:pPr>
              <w:jc w:val="center"/>
              <w:rPr>
                <w:rFonts w:ascii="仿宋" w:hAnsi="仿宋" w:eastAsia="仿宋" w:cs="仿宋"/>
                <w:color w:val="auto"/>
                <w:sz w:val="24"/>
              </w:rPr>
            </w:pPr>
          </w:p>
        </w:tc>
      </w:tr>
    </w:tbl>
    <w:p w14:paraId="290580D5">
      <w:pPr>
        <w:spacing w:line="400" w:lineRule="exact"/>
        <w:rPr>
          <w:rFonts w:ascii="仿宋" w:hAnsi="仿宋" w:eastAsia="仿宋" w:cs="仿宋"/>
          <w:color w:val="auto"/>
          <w:sz w:val="24"/>
        </w:rPr>
      </w:pPr>
      <w:r>
        <w:rPr>
          <w:rFonts w:hint="eastAsia" w:ascii="仿宋" w:hAnsi="仿宋" w:eastAsia="仿宋" w:cs="仿宋"/>
          <w:color w:val="auto"/>
          <w:sz w:val="24"/>
        </w:rPr>
        <w:t>附：</w:t>
      </w:r>
    </w:p>
    <w:p w14:paraId="532C23F3">
      <w:pPr>
        <w:spacing w:line="400" w:lineRule="exact"/>
        <w:rPr>
          <w:rFonts w:ascii="仿宋" w:hAnsi="仿宋" w:eastAsia="仿宋" w:cs="仿宋"/>
          <w:color w:val="auto"/>
          <w:sz w:val="24"/>
        </w:rPr>
      </w:pPr>
      <w:r>
        <w:rPr>
          <w:rFonts w:hint="eastAsia" w:ascii="仿宋" w:hAnsi="仿宋" w:eastAsia="仿宋" w:cs="仿宋"/>
          <w:color w:val="auto"/>
          <w:sz w:val="24"/>
        </w:rPr>
        <w:t xml:space="preserve">    1.可附项目负责人身份证、学历证书、职称证书等相关证明材料电子文档。</w:t>
      </w:r>
    </w:p>
    <w:p w14:paraId="5F6C006F">
      <w:pPr>
        <w:spacing w:line="400" w:lineRule="exact"/>
        <w:ind w:firstLine="480"/>
        <w:rPr>
          <w:rFonts w:ascii="仿宋" w:hAnsi="仿宋" w:eastAsia="仿宋" w:cs="仿宋"/>
          <w:color w:val="auto"/>
          <w:sz w:val="24"/>
        </w:rPr>
      </w:pPr>
      <w:r>
        <w:rPr>
          <w:rFonts w:hint="eastAsia" w:ascii="仿宋" w:hAnsi="仿宋" w:eastAsia="仿宋" w:cs="仿宋"/>
          <w:color w:val="auto"/>
          <w:sz w:val="24"/>
        </w:rPr>
        <w:t>2.项目负责人不得更换，擅自更换或不到位均属违约行为。</w:t>
      </w:r>
    </w:p>
    <w:p w14:paraId="00EB3BAB">
      <w:pPr>
        <w:jc w:val="center"/>
        <w:rPr>
          <w:rFonts w:ascii="仿宋" w:hAnsi="仿宋" w:eastAsia="仿宋" w:cs="仿宋"/>
          <w:b/>
          <w:color w:val="auto"/>
          <w:sz w:val="28"/>
          <w:szCs w:val="28"/>
        </w:rPr>
      </w:pPr>
      <w:r>
        <w:rPr>
          <w:rFonts w:hint="eastAsia" w:ascii="仿宋" w:hAnsi="仿宋" w:eastAsia="仿宋" w:cs="仿宋"/>
          <w:b/>
          <w:color w:val="auto"/>
          <w:sz w:val="28"/>
          <w:szCs w:val="28"/>
        </w:rPr>
        <w:t>项目人员一览表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19D2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12E11F65">
            <w:pPr>
              <w:jc w:val="center"/>
              <w:rPr>
                <w:rFonts w:ascii="仿宋" w:hAnsi="仿宋" w:eastAsia="仿宋" w:cs="仿宋"/>
                <w:color w:val="auto"/>
                <w:sz w:val="24"/>
              </w:rPr>
            </w:pPr>
            <w:r>
              <w:rPr>
                <w:rFonts w:hint="eastAsia" w:ascii="仿宋" w:hAnsi="仿宋" w:eastAsia="仿宋" w:cs="仿宋"/>
                <w:color w:val="auto"/>
                <w:sz w:val="24"/>
              </w:rPr>
              <w:t>姓名</w:t>
            </w:r>
          </w:p>
        </w:tc>
        <w:tc>
          <w:tcPr>
            <w:tcW w:w="1418" w:type="dxa"/>
            <w:vAlign w:val="center"/>
          </w:tcPr>
          <w:p w14:paraId="617E1199">
            <w:pPr>
              <w:jc w:val="center"/>
              <w:rPr>
                <w:rFonts w:ascii="仿宋" w:hAnsi="仿宋" w:eastAsia="仿宋" w:cs="仿宋"/>
                <w:color w:val="auto"/>
                <w:sz w:val="24"/>
              </w:rPr>
            </w:pPr>
            <w:r>
              <w:rPr>
                <w:rFonts w:hint="eastAsia" w:ascii="仿宋" w:hAnsi="仿宋" w:eastAsia="仿宋" w:cs="仿宋"/>
                <w:color w:val="auto"/>
                <w:sz w:val="24"/>
              </w:rPr>
              <w:t>职务</w:t>
            </w:r>
          </w:p>
        </w:tc>
        <w:tc>
          <w:tcPr>
            <w:tcW w:w="1984" w:type="dxa"/>
            <w:vAlign w:val="center"/>
          </w:tcPr>
          <w:p w14:paraId="3C76055B">
            <w:pPr>
              <w:jc w:val="center"/>
              <w:rPr>
                <w:rFonts w:ascii="仿宋" w:hAnsi="仿宋" w:eastAsia="仿宋" w:cs="仿宋"/>
                <w:color w:val="auto"/>
                <w:sz w:val="24"/>
              </w:rPr>
            </w:pPr>
            <w:r>
              <w:rPr>
                <w:rFonts w:hint="eastAsia" w:ascii="仿宋" w:hAnsi="仿宋" w:eastAsia="仿宋" w:cs="仿宋"/>
                <w:color w:val="auto"/>
                <w:sz w:val="24"/>
              </w:rPr>
              <w:t>专业技术资格</w:t>
            </w:r>
          </w:p>
        </w:tc>
        <w:tc>
          <w:tcPr>
            <w:tcW w:w="1843" w:type="dxa"/>
            <w:vAlign w:val="center"/>
          </w:tcPr>
          <w:p w14:paraId="16B847AE">
            <w:pPr>
              <w:jc w:val="center"/>
              <w:rPr>
                <w:rFonts w:ascii="仿宋" w:hAnsi="仿宋" w:eastAsia="仿宋" w:cs="仿宋"/>
                <w:color w:val="auto"/>
                <w:sz w:val="24"/>
              </w:rPr>
            </w:pPr>
            <w:r>
              <w:rPr>
                <w:rFonts w:hint="eastAsia" w:ascii="仿宋" w:hAnsi="仿宋" w:eastAsia="仿宋" w:cs="仿宋"/>
                <w:color w:val="auto"/>
                <w:sz w:val="24"/>
              </w:rPr>
              <w:t>证书编号</w:t>
            </w:r>
          </w:p>
        </w:tc>
        <w:tc>
          <w:tcPr>
            <w:tcW w:w="2755" w:type="dxa"/>
            <w:vAlign w:val="center"/>
          </w:tcPr>
          <w:p w14:paraId="36A2ACF6">
            <w:pPr>
              <w:jc w:val="center"/>
              <w:rPr>
                <w:rFonts w:ascii="仿宋" w:hAnsi="仿宋" w:eastAsia="仿宋" w:cs="仿宋"/>
                <w:color w:val="auto"/>
                <w:sz w:val="24"/>
              </w:rPr>
            </w:pPr>
            <w:r>
              <w:rPr>
                <w:rFonts w:hint="eastAsia" w:ascii="仿宋" w:hAnsi="仿宋" w:eastAsia="仿宋" w:cs="仿宋"/>
                <w:color w:val="auto"/>
                <w:sz w:val="24"/>
              </w:rPr>
              <w:t>项目分工</w:t>
            </w:r>
          </w:p>
        </w:tc>
      </w:tr>
      <w:tr w14:paraId="30CB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F767044">
            <w:pPr>
              <w:jc w:val="center"/>
              <w:rPr>
                <w:rFonts w:ascii="仿宋" w:hAnsi="仿宋" w:eastAsia="仿宋" w:cs="仿宋"/>
                <w:color w:val="auto"/>
                <w:sz w:val="24"/>
              </w:rPr>
            </w:pPr>
          </w:p>
        </w:tc>
        <w:tc>
          <w:tcPr>
            <w:tcW w:w="1418" w:type="dxa"/>
            <w:vAlign w:val="center"/>
          </w:tcPr>
          <w:p w14:paraId="6DBD9DD8">
            <w:pPr>
              <w:jc w:val="center"/>
              <w:rPr>
                <w:rFonts w:ascii="仿宋" w:hAnsi="仿宋" w:eastAsia="仿宋" w:cs="仿宋"/>
                <w:color w:val="auto"/>
                <w:sz w:val="24"/>
              </w:rPr>
            </w:pPr>
          </w:p>
        </w:tc>
        <w:tc>
          <w:tcPr>
            <w:tcW w:w="1984" w:type="dxa"/>
            <w:vAlign w:val="center"/>
          </w:tcPr>
          <w:p w14:paraId="1E5D49B4">
            <w:pPr>
              <w:jc w:val="center"/>
              <w:rPr>
                <w:rFonts w:ascii="仿宋" w:hAnsi="仿宋" w:eastAsia="仿宋" w:cs="仿宋"/>
                <w:color w:val="auto"/>
                <w:sz w:val="24"/>
              </w:rPr>
            </w:pPr>
          </w:p>
        </w:tc>
        <w:tc>
          <w:tcPr>
            <w:tcW w:w="1843" w:type="dxa"/>
            <w:vAlign w:val="center"/>
          </w:tcPr>
          <w:p w14:paraId="7BE136F5">
            <w:pPr>
              <w:jc w:val="center"/>
              <w:rPr>
                <w:rFonts w:ascii="仿宋" w:hAnsi="仿宋" w:eastAsia="仿宋" w:cs="仿宋"/>
                <w:color w:val="auto"/>
                <w:sz w:val="24"/>
              </w:rPr>
            </w:pPr>
          </w:p>
        </w:tc>
        <w:tc>
          <w:tcPr>
            <w:tcW w:w="2755" w:type="dxa"/>
            <w:vAlign w:val="center"/>
          </w:tcPr>
          <w:p w14:paraId="0A065A88">
            <w:pPr>
              <w:jc w:val="center"/>
              <w:rPr>
                <w:rFonts w:ascii="仿宋" w:hAnsi="仿宋" w:eastAsia="仿宋" w:cs="仿宋"/>
                <w:color w:val="auto"/>
                <w:sz w:val="24"/>
              </w:rPr>
            </w:pPr>
          </w:p>
        </w:tc>
      </w:tr>
      <w:tr w14:paraId="7FC5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12CDB278">
            <w:pPr>
              <w:jc w:val="center"/>
              <w:rPr>
                <w:rFonts w:ascii="仿宋" w:hAnsi="仿宋" w:eastAsia="仿宋" w:cs="仿宋"/>
                <w:color w:val="auto"/>
                <w:sz w:val="24"/>
              </w:rPr>
            </w:pPr>
          </w:p>
        </w:tc>
        <w:tc>
          <w:tcPr>
            <w:tcW w:w="1418" w:type="dxa"/>
            <w:vAlign w:val="center"/>
          </w:tcPr>
          <w:p w14:paraId="78445FCF">
            <w:pPr>
              <w:jc w:val="center"/>
              <w:rPr>
                <w:rFonts w:ascii="仿宋" w:hAnsi="仿宋" w:eastAsia="仿宋" w:cs="仿宋"/>
                <w:color w:val="auto"/>
                <w:sz w:val="24"/>
              </w:rPr>
            </w:pPr>
          </w:p>
        </w:tc>
        <w:tc>
          <w:tcPr>
            <w:tcW w:w="1984" w:type="dxa"/>
            <w:vAlign w:val="center"/>
          </w:tcPr>
          <w:p w14:paraId="721C8D92">
            <w:pPr>
              <w:jc w:val="center"/>
              <w:rPr>
                <w:rFonts w:ascii="仿宋" w:hAnsi="仿宋" w:eastAsia="仿宋" w:cs="仿宋"/>
                <w:color w:val="auto"/>
                <w:sz w:val="24"/>
              </w:rPr>
            </w:pPr>
          </w:p>
        </w:tc>
        <w:tc>
          <w:tcPr>
            <w:tcW w:w="1843" w:type="dxa"/>
            <w:vAlign w:val="center"/>
          </w:tcPr>
          <w:p w14:paraId="4C70002A">
            <w:pPr>
              <w:jc w:val="center"/>
              <w:rPr>
                <w:rFonts w:ascii="仿宋" w:hAnsi="仿宋" w:eastAsia="仿宋" w:cs="仿宋"/>
                <w:color w:val="auto"/>
                <w:sz w:val="24"/>
              </w:rPr>
            </w:pPr>
          </w:p>
        </w:tc>
        <w:tc>
          <w:tcPr>
            <w:tcW w:w="2755" w:type="dxa"/>
            <w:vAlign w:val="center"/>
          </w:tcPr>
          <w:p w14:paraId="7FC33B46">
            <w:pPr>
              <w:jc w:val="center"/>
              <w:rPr>
                <w:rFonts w:ascii="仿宋" w:hAnsi="仿宋" w:eastAsia="仿宋" w:cs="仿宋"/>
                <w:color w:val="auto"/>
                <w:sz w:val="24"/>
              </w:rPr>
            </w:pPr>
          </w:p>
        </w:tc>
      </w:tr>
    </w:tbl>
    <w:p w14:paraId="64819249">
      <w:pPr>
        <w:spacing w:line="400" w:lineRule="exact"/>
        <w:rPr>
          <w:rFonts w:ascii="仿宋" w:hAnsi="仿宋" w:eastAsia="仿宋" w:cs="仿宋"/>
          <w:color w:val="auto"/>
          <w:sz w:val="24"/>
        </w:rPr>
      </w:pPr>
      <w:r>
        <w:rPr>
          <w:rFonts w:hint="eastAsia" w:ascii="仿宋" w:hAnsi="仿宋" w:eastAsia="仿宋" w:cs="仿宋"/>
          <w:color w:val="auto"/>
          <w:sz w:val="24"/>
        </w:rPr>
        <w:t>附：</w:t>
      </w:r>
    </w:p>
    <w:p w14:paraId="59D5F8EC">
      <w:pPr>
        <w:spacing w:line="400" w:lineRule="exact"/>
        <w:rPr>
          <w:rFonts w:ascii="仿宋" w:hAnsi="仿宋" w:eastAsia="仿宋" w:cs="仿宋"/>
          <w:color w:val="auto"/>
          <w:sz w:val="24"/>
        </w:rPr>
      </w:pPr>
      <w:r>
        <w:rPr>
          <w:rFonts w:hint="eastAsia" w:ascii="仿宋" w:hAnsi="仿宋" w:eastAsia="仿宋" w:cs="仿宋"/>
          <w:color w:val="auto"/>
          <w:sz w:val="24"/>
        </w:rPr>
        <w:t xml:space="preserve">    1.可附相关人员身份证、学历证书、职称证书等相关证明材料电子文档。</w:t>
      </w:r>
    </w:p>
    <w:p w14:paraId="00BB5FFD">
      <w:pPr>
        <w:spacing w:line="400" w:lineRule="exact"/>
        <w:ind w:firstLine="470" w:firstLineChars="196"/>
        <w:rPr>
          <w:rFonts w:ascii="仿宋" w:hAnsi="仿宋" w:eastAsia="仿宋" w:cs="仿宋"/>
          <w:color w:val="auto"/>
          <w:sz w:val="24"/>
        </w:rPr>
      </w:pPr>
      <w:r>
        <w:rPr>
          <w:rFonts w:hint="eastAsia" w:ascii="仿宋" w:hAnsi="仿宋" w:eastAsia="仿宋" w:cs="仿宋"/>
          <w:color w:val="auto"/>
          <w:sz w:val="24"/>
        </w:rPr>
        <w:t>2.列入本表人员的更换须经采购人单位同意，擅自更换或不到位均属违约行为。</w:t>
      </w:r>
    </w:p>
    <w:p w14:paraId="2F5E0FC1">
      <w:pPr>
        <w:rPr>
          <w:color w:val="auto"/>
        </w:rPr>
      </w:pPr>
    </w:p>
    <w:p w14:paraId="5E4B1E95">
      <w:pPr>
        <w:rPr>
          <w:color w:val="auto"/>
        </w:rPr>
      </w:pPr>
    </w:p>
    <w:p w14:paraId="7C724960">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4775E4B5">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10D3BEE9">
      <w:pPr>
        <w:pStyle w:val="37"/>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637350C9">
      <w:pPr>
        <w:bidi w:val="0"/>
        <w:rPr>
          <w:rFonts w:hint="eastAsia"/>
          <w:color w:val="auto"/>
        </w:rPr>
      </w:pPr>
    </w:p>
    <w:p w14:paraId="67AB497C">
      <w:pPr>
        <w:pStyle w:val="25"/>
        <w:rPr>
          <w:rFonts w:hint="eastAsia"/>
          <w:color w:val="auto"/>
        </w:rPr>
      </w:pPr>
    </w:p>
    <w:p w14:paraId="29A15D94">
      <w:pPr>
        <w:pStyle w:val="25"/>
        <w:rPr>
          <w:rFonts w:hint="eastAsia"/>
          <w:color w:val="auto"/>
        </w:rPr>
      </w:pPr>
    </w:p>
    <w:p w14:paraId="748DF71B">
      <w:pPr>
        <w:pStyle w:val="25"/>
        <w:rPr>
          <w:rFonts w:hint="eastAsia"/>
          <w:color w:val="auto"/>
        </w:rPr>
      </w:pPr>
    </w:p>
    <w:p w14:paraId="3FA24AD5">
      <w:pPr>
        <w:pStyle w:val="25"/>
        <w:rPr>
          <w:rFonts w:hint="eastAsia"/>
          <w:color w:val="auto"/>
        </w:rPr>
      </w:pPr>
    </w:p>
    <w:p w14:paraId="7C27A720">
      <w:pPr>
        <w:pStyle w:val="25"/>
        <w:rPr>
          <w:rFonts w:hint="eastAsia"/>
          <w:color w:val="auto"/>
        </w:rPr>
      </w:pPr>
    </w:p>
    <w:p w14:paraId="6568128A">
      <w:pPr>
        <w:pStyle w:val="25"/>
        <w:rPr>
          <w:rFonts w:hint="eastAsia"/>
          <w:color w:val="auto"/>
        </w:rPr>
      </w:pPr>
    </w:p>
    <w:p w14:paraId="5848D9BA">
      <w:pPr>
        <w:pStyle w:val="25"/>
        <w:rPr>
          <w:rFonts w:hint="eastAsia"/>
          <w:color w:val="auto"/>
        </w:rPr>
      </w:pPr>
    </w:p>
    <w:p w14:paraId="6E930E84">
      <w:pPr>
        <w:pStyle w:val="25"/>
        <w:rPr>
          <w:rFonts w:hint="eastAsia"/>
          <w:color w:val="auto"/>
        </w:rPr>
      </w:pPr>
    </w:p>
    <w:p w14:paraId="5F8B2A7C">
      <w:pPr>
        <w:pStyle w:val="6"/>
        <w:numPr>
          <w:ilvl w:val="0"/>
          <w:numId w:val="23"/>
        </w:numPr>
        <w:spacing w:before="240" w:after="240"/>
        <w:ind w:firstLineChar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资信商务及技术文件相关材料</w:t>
      </w:r>
    </w:p>
    <w:p w14:paraId="43B316EF">
      <w:pPr>
        <w:spacing w:line="360" w:lineRule="auto"/>
        <w:rPr>
          <w:rFonts w:hint="eastAsia" w:ascii="仿宋" w:hAnsi="仿宋" w:eastAsia="仿宋" w:cs="仿宋"/>
          <w:color w:val="auto"/>
          <w:spacing w:val="20"/>
          <w:sz w:val="24"/>
          <w:szCs w:val="20"/>
          <w:highlight w:val="none"/>
          <w:lang w:val="en-US" w:eastAsia="zh-CN"/>
        </w:rPr>
      </w:pPr>
      <w:r>
        <w:rPr>
          <w:rFonts w:hint="eastAsia" w:ascii="仿宋" w:hAnsi="仿宋" w:eastAsia="仿宋" w:cs="仿宋"/>
          <w:color w:val="auto"/>
          <w:spacing w:val="20"/>
          <w:sz w:val="24"/>
          <w:szCs w:val="20"/>
          <w:highlight w:val="none"/>
          <w:lang w:val="en-US" w:eastAsia="zh-CN"/>
        </w:rPr>
        <w:t>要求：</w:t>
      </w:r>
    </w:p>
    <w:p w14:paraId="46D8D396">
      <w:pPr>
        <w:spacing w:line="360" w:lineRule="auto"/>
        <w:ind w:firstLine="560" w:firstLineChars="200"/>
        <w:rPr>
          <w:rFonts w:hint="eastAsia" w:ascii="仿宋" w:hAnsi="仿宋" w:eastAsia="仿宋" w:cs="仿宋"/>
          <w:color w:val="auto"/>
          <w:spacing w:val="20"/>
          <w:sz w:val="24"/>
          <w:szCs w:val="20"/>
          <w:highlight w:val="none"/>
          <w:lang w:val="en-US" w:eastAsia="zh-CN"/>
        </w:rPr>
      </w:pPr>
      <w:r>
        <w:rPr>
          <w:rFonts w:hint="eastAsia" w:ascii="仿宋" w:hAnsi="仿宋" w:eastAsia="仿宋" w:cs="仿宋"/>
          <w:color w:val="auto"/>
          <w:spacing w:val="20"/>
          <w:sz w:val="24"/>
          <w:szCs w:val="20"/>
          <w:highlight w:val="none"/>
        </w:rPr>
        <w:t>1.</w:t>
      </w:r>
      <w:r>
        <w:rPr>
          <w:rFonts w:hint="eastAsia" w:ascii="仿宋" w:hAnsi="仿宋" w:eastAsia="仿宋" w:cs="仿宋"/>
          <w:color w:val="auto"/>
          <w:spacing w:val="20"/>
          <w:sz w:val="24"/>
          <w:szCs w:val="20"/>
          <w:highlight w:val="none"/>
          <w:lang w:val="en-US" w:eastAsia="zh-CN"/>
        </w:rPr>
        <w:t>招标文件中要求提供的、评分办法要求提供的及投标人认为需要提供的资料（不得出现报价）；</w:t>
      </w:r>
    </w:p>
    <w:p w14:paraId="6A25EB86">
      <w:pPr>
        <w:spacing w:line="360" w:lineRule="auto"/>
        <w:ind w:firstLine="560" w:firstLineChars="200"/>
        <w:rPr>
          <w:rFonts w:hint="eastAsia" w:ascii="仿宋" w:hAnsi="仿宋" w:eastAsia="仿宋" w:cs="仿宋"/>
          <w:color w:val="auto"/>
          <w:spacing w:val="20"/>
          <w:sz w:val="24"/>
          <w:szCs w:val="20"/>
          <w:highlight w:val="none"/>
          <w:lang w:eastAsia="zh-CN"/>
        </w:rPr>
      </w:pPr>
      <w:r>
        <w:rPr>
          <w:rFonts w:hint="eastAsia" w:ascii="仿宋" w:hAnsi="仿宋" w:eastAsia="仿宋" w:cs="仿宋"/>
          <w:color w:val="auto"/>
          <w:spacing w:val="20"/>
          <w:sz w:val="24"/>
          <w:szCs w:val="20"/>
          <w:highlight w:val="none"/>
          <w:lang w:val="en-US" w:eastAsia="zh-CN"/>
        </w:rPr>
        <w:t>2.</w:t>
      </w:r>
      <w:r>
        <w:rPr>
          <w:rFonts w:hint="eastAsia" w:ascii="仿宋" w:hAnsi="仿宋" w:eastAsia="仿宋" w:cs="仿宋"/>
          <w:color w:val="auto"/>
          <w:spacing w:val="20"/>
          <w:sz w:val="24"/>
          <w:szCs w:val="20"/>
          <w:highlight w:val="none"/>
        </w:rPr>
        <w:t>投标人应结合“第二章</w:t>
      </w:r>
      <w:r>
        <w:rPr>
          <w:rFonts w:hint="eastAsia" w:ascii="仿宋" w:hAnsi="仿宋" w:eastAsia="仿宋" w:cs="仿宋"/>
          <w:color w:val="auto"/>
          <w:spacing w:val="20"/>
          <w:sz w:val="24"/>
          <w:szCs w:val="20"/>
          <w:highlight w:val="none"/>
          <w:lang w:val="en-US" w:eastAsia="zh-CN"/>
        </w:rPr>
        <w:t>采购</w:t>
      </w:r>
      <w:r>
        <w:rPr>
          <w:rFonts w:hint="eastAsia" w:ascii="仿宋" w:hAnsi="仿宋" w:eastAsia="仿宋" w:cs="仿宋"/>
          <w:color w:val="auto"/>
          <w:spacing w:val="20"/>
          <w:sz w:val="24"/>
          <w:szCs w:val="20"/>
          <w:highlight w:val="none"/>
        </w:rPr>
        <w:t>需求”和“第六章评标办法和细则”进行编制</w:t>
      </w:r>
      <w:r>
        <w:rPr>
          <w:rFonts w:hint="eastAsia" w:ascii="仿宋" w:hAnsi="仿宋" w:eastAsia="仿宋" w:cs="仿宋"/>
          <w:color w:val="auto"/>
          <w:spacing w:val="20"/>
          <w:sz w:val="24"/>
          <w:szCs w:val="20"/>
          <w:highlight w:val="none"/>
          <w:lang w:eastAsia="zh-CN"/>
        </w:rPr>
        <w:t>，</w:t>
      </w:r>
      <w:r>
        <w:rPr>
          <w:rFonts w:hint="eastAsia" w:ascii="仿宋" w:hAnsi="仿宋" w:eastAsia="仿宋" w:cs="仿宋"/>
          <w:color w:val="auto"/>
          <w:spacing w:val="20"/>
          <w:sz w:val="24"/>
          <w:szCs w:val="20"/>
          <w:highlight w:val="none"/>
        </w:rPr>
        <w:t>格式自拟</w:t>
      </w:r>
      <w:r>
        <w:rPr>
          <w:rFonts w:hint="eastAsia" w:ascii="仿宋" w:hAnsi="仿宋" w:eastAsia="仿宋" w:cs="仿宋"/>
          <w:color w:val="auto"/>
          <w:spacing w:val="20"/>
          <w:sz w:val="24"/>
          <w:szCs w:val="20"/>
          <w:highlight w:val="none"/>
          <w:lang w:eastAsia="zh-CN"/>
        </w:rPr>
        <w:t>。</w:t>
      </w:r>
    </w:p>
    <w:p w14:paraId="0564B35B">
      <w:pPr>
        <w:rPr>
          <w:rFonts w:hint="eastAsia"/>
          <w:color w:val="auto"/>
          <w:lang w:val="en-US"/>
        </w:rPr>
      </w:pPr>
    </w:p>
    <w:p w14:paraId="36F78AFD">
      <w:pPr>
        <w:pStyle w:val="37"/>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5720644E">
      <w:pPr>
        <w:pStyle w:val="37"/>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616A8A2D">
      <w:pPr>
        <w:pStyle w:val="37"/>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6854BAE5">
      <w:pPr>
        <w:pStyle w:val="25"/>
        <w:rPr>
          <w:rFonts w:hint="eastAsia"/>
          <w:color w:val="auto"/>
        </w:rPr>
      </w:pPr>
    </w:p>
    <w:p w14:paraId="154C444F">
      <w:pPr>
        <w:pStyle w:val="25"/>
        <w:rPr>
          <w:rFonts w:hint="eastAsia"/>
          <w:color w:val="auto"/>
        </w:rPr>
      </w:pPr>
    </w:p>
    <w:p w14:paraId="59691EA5">
      <w:pPr>
        <w:rPr>
          <w:color w:val="auto"/>
        </w:rPr>
      </w:pPr>
    </w:p>
    <w:p w14:paraId="79A5B135">
      <w:pPr>
        <w:pStyle w:val="25"/>
        <w:rPr>
          <w:color w:val="auto"/>
        </w:rPr>
      </w:pPr>
    </w:p>
    <w:p w14:paraId="14DF1A56">
      <w:pPr>
        <w:pStyle w:val="25"/>
        <w:rPr>
          <w:color w:val="auto"/>
        </w:rPr>
      </w:pPr>
    </w:p>
    <w:p w14:paraId="271562D3">
      <w:pPr>
        <w:pStyle w:val="25"/>
        <w:rPr>
          <w:color w:val="auto"/>
        </w:rPr>
      </w:pPr>
    </w:p>
    <w:p w14:paraId="618C5687">
      <w:pPr>
        <w:pStyle w:val="25"/>
        <w:rPr>
          <w:color w:val="auto"/>
        </w:rPr>
      </w:pPr>
    </w:p>
    <w:p w14:paraId="66054562">
      <w:pPr>
        <w:pStyle w:val="25"/>
        <w:rPr>
          <w:color w:val="auto"/>
        </w:rPr>
      </w:pPr>
    </w:p>
    <w:p w14:paraId="7406F78A">
      <w:pPr>
        <w:pStyle w:val="25"/>
        <w:rPr>
          <w:color w:val="auto"/>
        </w:rPr>
      </w:pPr>
    </w:p>
    <w:p w14:paraId="31A4A14F">
      <w:pPr>
        <w:pStyle w:val="25"/>
        <w:rPr>
          <w:color w:val="auto"/>
        </w:rPr>
      </w:pPr>
    </w:p>
    <w:p w14:paraId="3D3C8E39">
      <w:pPr>
        <w:pStyle w:val="25"/>
        <w:rPr>
          <w:color w:val="auto"/>
        </w:rPr>
      </w:pPr>
    </w:p>
    <w:p w14:paraId="2D12CE84">
      <w:pPr>
        <w:pStyle w:val="25"/>
        <w:rPr>
          <w:color w:val="auto"/>
        </w:rPr>
      </w:pPr>
    </w:p>
    <w:p w14:paraId="3636BBC7">
      <w:pPr>
        <w:pStyle w:val="25"/>
        <w:rPr>
          <w:color w:val="auto"/>
        </w:rPr>
      </w:pPr>
    </w:p>
    <w:p w14:paraId="515A169B">
      <w:pPr>
        <w:pStyle w:val="25"/>
        <w:rPr>
          <w:color w:val="auto"/>
        </w:rPr>
      </w:pPr>
    </w:p>
    <w:p w14:paraId="1AA39096">
      <w:pPr>
        <w:pStyle w:val="25"/>
        <w:rPr>
          <w:color w:val="auto"/>
        </w:rPr>
      </w:pPr>
    </w:p>
    <w:p w14:paraId="042D8A49">
      <w:pPr>
        <w:pStyle w:val="25"/>
        <w:rPr>
          <w:color w:val="auto"/>
        </w:rPr>
      </w:pPr>
    </w:p>
    <w:p w14:paraId="4ABDB368">
      <w:pPr>
        <w:pStyle w:val="25"/>
        <w:rPr>
          <w:color w:val="auto"/>
        </w:rPr>
      </w:pPr>
    </w:p>
    <w:p w14:paraId="58D7DA56">
      <w:pPr>
        <w:pStyle w:val="25"/>
        <w:rPr>
          <w:color w:val="auto"/>
        </w:rPr>
      </w:pPr>
    </w:p>
    <w:p w14:paraId="77B1E942">
      <w:pPr>
        <w:pStyle w:val="25"/>
        <w:rPr>
          <w:color w:val="auto"/>
        </w:rPr>
      </w:pPr>
    </w:p>
    <w:p w14:paraId="7A954AE8">
      <w:pPr>
        <w:pStyle w:val="25"/>
        <w:rPr>
          <w:color w:val="auto"/>
        </w:rPr>
      </w:pPr>
    </w:p>
    <w:p w14:paraId="38D4BC9E">
      <w:pPr>
        <w:pStyle w:val="25"/>
        <w:rPr>
          <w:color w:val="auto"/>
        </w:rPr>
      </w:pPr>
    </w:p>
    <w:p w14:paraId="7FD99703">
      <w:pPr>
        <w:pStyle w:val="25"/>
        <w:rPr>
          <w:color w:val="auto"/>
        </w:rPr>
      </w:pPr>
    </w:p>
    <w:p w14:paraId="03344784">
      <w:pPr>
        <w:pStyle w:val="25"/>
        <w:rPr>
          <w:color w:val="auto"/>
        </w:rPr>
      </w:pPr>
    </w:p>
    <w:p w14:paraId="51AD31C1">
      <w:pPr>
        <w:pStyle w:val="25"/>
        <w:rPr>
          <w:color w:val="auto"/>
        </w:rPr>
      </w:pPr>
    </w:p>
    <w:p w14:paraId="7CC31746">
      <w:pPr>
        <w:pStyle w:val="25"/>
        <w:rPr>
          <w:color w:val="auto"/>
        </w:rPr>
      </w:pPr>
    </w:p>
    <w:p w14:paraId="7E1A05CB">
      <w:pPr>
        <w:pStyle w:val="25"/>
        <w:rPr>
          <w:color w:val="auto"/>
        </w:rPr>
      </w:pPr>
    </w:p>
    <w:p w14:paraId="30C997D4">
      <w:pPr>
        <w:pStyle w:val="6"/>
        <w:spacing w:before="240" w:after="240"/>
        <w:ind w:firstLine="0" w:firstLineChars="0"/>
        <w:jc w:val="center"/>
        <w:rPr>
          <w:rFonts w:ascii="仿宋" w:hAnsi="仿宋" w:eastAsia="仿宋" w:cs="仿宋"/>
          <w:color w:val="auto"/>
          <w:sz w:val="44"/>
          <w:szCs w:val="44"/>
        </w:rPr>
      </w:pPr>
      <w:bookmarkStart w:id="355" w:name="_Toc29823"/>
      <w:bookmarkStart w:id="356" w:name="_Toc16927"/>
      <w:r>
        <w:rPr>
          <w:rFonts w:hint="eastAsia" w:ascii="仿宋" w:hAnsi="仿宋" w:eastAsia="仿宋" w:cs="仿宋"/>
          <w:color w:val="auto"/>
          <w:sz w:val="44"/>
          <w:szCs w:val="44"/>
        </w:rPr>
        <w:t>三  报价文件格式</w:t>
      </w:r>
      <w:bookmarkEnd w:id="355"/>
      <w:bookmarkEnd w:id="356"/>
    </w:p>
    <w:p w14:paraId="40D26B78">
      <w:pPr>
        <w:rPr>
          <w:rFonts w:ascii="仿宋" w:hAnsi="仿宋" w:eastAsia="仿宋" w:cs="仿宋"/>
          <w:color w:val="auto"/>
        </w:rPr>
      </w:pPr>
    </w:p>
    <w:p w14:paraId="6371B10F">
      <w:pPr>
        <w:pStyle w:val="6"/>
        <w:ind w:firstLine="626"/>
        <w:jc w:val="center"/>
        <w:rPr>
          <w:rFonts w:ascii="仿宋" w:hAnsi="仿宋" w:eastAsia="仿宋" w:cs="仿宋"/>
          <w:color w:val="auto"/>
          <w:spacing w:val="6"/>
        </w:rPr>
      </w:pPr>
      <w:bookmarkStart w:id="357" w:name="_Toc15228"/>
      <w:bookmarkStart w:id="358" w:name="_Toc18471"/>
      <w:bookmarkStart w:id="359" w:name="_Toc4855"/>
      <w:bookmarkStart w:id="360" w:name="_Toc18401"/>
      <w:bookmarkStart w:id="361" w:name="_Toc25266"/>
      <w:bookmarkStart w:id="362" w:name="_Toc497142718"/>
      <w:bookmarkStart w:id="363" w:name="_Toc510162971"/>
      <w:bookmarkStart w:id="364" w:name="_Toc450893980"/>
      <w:bookmarkStart w:id="365" w:name="_Toc499814955"/>
      <w:bookmarkStart w:id="366" w:name="_Toc28930"/>
      <w:bookmarkStart w:id="367" w:name="_Toc27276"/>
      <w:bookmarkStart w:id="368" w:name="_Toc4954"/>
      <w:bookmarkStart w:id="369" w:name="_Toc29019"/>
      <w:bookmarkStart w:id="370" w:name="_Toc453940294"/>
      <w:bookmarkStart w:id="371" w:name="_Toc23551"/>
      <w:bookmarkStart w:id="372" w:name="_Toc17501"/>
      <w:bookmarkStart w:id="373" w:name="_Toc10191"/>
      <w:bookmarkStart w:id="374" w:name="_Toc13816"/>
      <w:bookmarkStart w:id="375" w:name="_Toc21042"/>
      <w:bookmarkStart w:id="376" w:name="_Toc499804902"/>
      <w:bookmarkStart w:id="377" w:name="_Toc18740"/>
      <w:bookmarkStart w:id="378" w:name="_Toc26162"/>
      <w:bookmarkStart w:id="379" w:name="_Toc2725"/>
      <w:bookmarkStart w:id="380" w:name="_Toc452968824"/>
      <w:bookmarkStart w:id="381" w:name="_Toc3464"/>
      <w:bookmarkStart w:id="382" w:name="_Toc45506740"/>
      <w:bookmarkStart w:id="383" w:name="_Toc47756041"/>
      <w:bookmarkStart w:id="384" w:name="_Toc15813259"/>
      <w:r>
        <w:rPr>
          <w:rFonts w:hint="eastAsia" w:ascii="仿宋" w:hAnsi="仿宋" w:eastAsia="仿宋" w:cs="仿宋"/>
          <w:color w:val="auto"/>
          <w:spacing w:val="6"/>
          <w:szCs w:val="30"/>
        </w:rPr>
        <w:t>报价文件</w:t>
      </w:r>
      <w:r>
        <w:rPr>
          <w:rFonts w:hint="eastAsia" w:ascii="仿宋" w:hAnsi="仿宋" w:eastAsia="仿宋" w:cs="仿宋"/>
          <w:color w:val="auto"/>
          <w:spacing w:val="6"/>
        </w:rPr>
        <w:t>外层信封封面格式</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BA27DD1">
      <w:pPr>
        <w:pStyle w:val="6"/>
        <w:ind w:firstLine="0" w:firstLineChars="0"/>
        <w:jc w:val="right"/>
        <w:rPr>
          <w:rFonts w:ascii="仿宋" w:hAnsi="仿宋" w:eastAsia="仿宋" w:cs="仿宋"/>
          <w:b w:val="0"/>
          <w:bCs w:val="0"/>
          <w:color w:val="auto"/>
        </w:rPr>
      </w:pPr>
    </w:p>
    <w:p w14:paraId="43C18DF2">
      <w:pPr>
        <w:spacing w:line="600" w:lineRule="auto"/>
        <w:rPr>
          <w:rFonts w:hint="eastAsia" w:eastAsia="仿宋"/>
          <w:color w:val="auto"/>
          <w:lang w:eastAsia="zh-CN"/>
        </w:rPr>
      </w:pPr>
      <w:r>
        <w:rPr>
          <w:rFonts w:hint="eastAsia" w:ascii="仿宋" w:hAnsi="仿宋" w:eastAsia="仿宋" w:cs="仿宋"/>
          <w:b/>
          <w:color w:val="auto"/>
          <w:spacing w:val="6"/>
          <w:sz w:val="32"/>
        </w:rPr>
        <w:t>项目编号：</w:t>
      </w:r>
      <w:r>
        <w:rPr>
          <w:rFonts w:hint="eastAsia" w:ascii="仿宋" w:hAnsi="仿宋" w:eastAsia="仿宋" w:cs="仿宋"/>
          <w:color w:val="auto"/>
          <w:sz w:val="30"/>
          <w:szCs w:val="30"/>
          <w:lang w:eastAsia="zh-CN"/>
        </w:rPr>
        <w:t>SCYH【2025】067-公22</w:t>
      </w:r>
    </w:p>
    <w:p w14:paraId="736F60A4">
      <w:pPr>
        <w:spacing w:line="600" w:lineRule="auto"/>
        <w:rPr>
          <w:rFonts w:hint="eastAsia" w:ascii="仿宋" w:hAnsi="仿宋" w:eastAsia="仿宋" w:cs="仿宋"/>
          <w:color w:val="auto"/>
          <w:sz w:val="30"/>
          <w:szCs w:val="30"/>
          <w:lang w:eastAsia="zh-CN"/>
        </w:rPr>
      </w:pPr>
      <w:r>
        <w:rPr>
          <w:rFonts w:hint="eastAsia" w:ascii="仿宋" w:hAnsi="仿宋" w:eastAsia="仿宋" w:cs="仿宋"/>
          <w:b/>
          <w:color w:val="auto"/>
          <w:spacing w:val="6"/>
          <w:sz w:val="32"/>
        </w:rPr>
        <w:t>项目名称：</w:t>
      </w:r>
      <w:r>
        <w:rPr>
          <w:rFonts w:hint="eastAsia" w:ascii="仿宋" w:hAnsi="仿宋" w:eastAsia="仿宋" w:cs="仿宋"/>
          <w:color w:val="auto"/>
          <w:sz w:val="30"/>
          <w:szCs w:val="30"/>
          <w:lang w:eastAsia="zh-CN"/>
        </w:rPr>
        <w:t>遂昌县人民医院职工食堂经营承包项目</w:t>
      </w:r>
    </w:p>
    <w:p w14:paraId="12DB6AB8">
      <w:pPr>
        <w:pStyle w:val="31"/>
        <w:snapToGrid w:val="0"/>
        <w:spacing w:line="600" w:lineRule="auto"/>
        <w:ind w:firstLine="0"/>
        <w:rPr>
          <w:rFonts w:ascii="仿宋" w:hAnsi="仿宋" w:eastAsia="仿宋" w:cs="仿宋"/>
          <w:color w:val="auto"/>
          <w:spacing w:val="6"/>
          <w:sz w:val="32"/>
          <w:szCs w:val="32"/>
        </w:rPr>
      </w:pPr>
      <w:r>
        <w:rPr>
          <w:rFonts w:hint="eastAsia" w:ascii="仿宋" w:hAnsi="仿宋" w:eastAsia="仿宋" w:cs="仿宋"/>
          <w:b/>
          <w:bCs/>
          <w:color w:val="auto"/>
          <w:spacing w:val="6"/>
          <w:sz w:val="32"/>
          <w:szCs w:val="32"/>
        </w:rPr>
        <w:t>投标文件名称：</w:t>
      </w:r>
      <w:r>
        <w:rPr>
          <w:rFonts w:hint="eastAsia" w:ascii="仿宋" w:hAnsi="仿宋" w:eastAsia="仿宋" w:cs="仿宋"/>
          <w:color w:val="auto"/>
          <w:spacing w:val="6"/>
          <w:sz w:val="32"/>
          <w:szCs w:val="32"/>
        </w:rPr>
        <w:t>报价文件</w:t>
      </w:r>
    </w:p>
    <w:p w14:paraId="0699C121">
      <w:pPr>
        <w:pStyle w:val="31"/>
        <w:snapToGrid w:val="0"/>
        <w:spacing w:line="600" w:lineRule="auto"/>
        <w:ind w:firstLine="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投标人名称：（盖章）</w:t>
      </w:r>
    </w:p>
    <w:p w14:paraId="5392CFE0">
      <w:pPr>
        <w:pStyle w:val="31"/>
        <w:snapToGrid w:val="0"/>
        <w:spacing w:line="600" w:lineRule="auto"/>
        <w:ind w:firstLine="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投标人地址：</w:t>
      </w:r>
    </w:p>
    <w:p w14:paraId="423DA9C1">
      <w:pPr>
        <w:pStyle w:val="31"/>
        <w:snapToGrid w:val="0"/>
        <w:spacing w:line="600" w:lineRule="auto"/>
        <w:ind w:firstLine="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法定代表人（或被委托人）签字或盖章：</w:t>
      </w:r>
    </w:p>
    <w:p w14:paraId="52A621BC">
      <w:pPr>
        <w:pStyle w:val="31"/>
        <w:snapToGrid w:val="0"/>
        <w:spacing w:line="600" w:lineRule="auto"/>
        <w:ind w:firstLine="0"/>
        <w:rPr>
          <w:rFonts w:ascii="仿宋" w:hAnsi="仿宋" w:eastAsia="仿宋" w:cs="仿宋"/>
          <w:color w:val="auto"/>
          <w:spacing w:val="20"/>
          <w:sz w:val="32"/>
          <w:szCs w:val="32"/>
        </w:rPr>
      </w:pPr>
      <w:r>
        <w:rPr>
          <w:rFonts w:hint="eastAsia" w:ascii="仿宋" w:hAnsi="仿宋" w:eastAsia="仿宋" w:cs="仿宋"/>
          <w:b/>
          <w:bCs/>
          <w:color w:val="auto"/>
          <w:spacing w:val="6"/>
          <w:sz w:val="32"/>
          <w:szCs w:val="32"/>
        </w:rPr>
        <w:t>时间：在     年   月   日   时   分之前不得启封</w:t>
      </w:r>
    </w:p>
    <w:p w14:paraId="4A691438">
      <w:pPr>
        <w:spacing w:line="360" w:lineRule="auto"/>
        <w:jc w:val="center"/>
        <w:rPr>
          <w:rFonts w:ascii="仿宋" w:hAnsi="仿宋" w:eastAsia="仿宋" w:cs="仿宋"/>
          <w:color w:val="auto"/>
          <w:spacing w:val="20"/>
          <w:sz w:val="44"/>
        </w:rPr>
      </w:pPr>
    </w:p>
    <w:p w14:paraId="3C3989E7">
      <w:pPr>
        <w:pStyle w:val="6"/>
        <w:ind w:firstLine="626"/>
        <w:jc w:val="center"/>
        <w:rPr>
          <w:rFonts w:ascii="仿宋" w:hAnsi="仿宋" w:eastAsia="仿宋" w:cs="仿宋"/>
          <w:color w:val="auto"/>
          <w:spacing w:val="6"/>
        </w:rPr>
      </w:pPr>
      <w:bookmarkStart w:id="385" w:name="_Toc31590"/>
      <w:bookmarkStart w:id="386" w:name="_Toc21269"/>
      <w:bookmarkStart w:id="387" w:name="_Toc15042"/>
      <w:bookmarkStart w:id="388" w:name="_Toc11462"/>
      <w:r>
        <w:rPr>
          <w:rFonts w:hint="eastAsia" w:ascii="仿宋" w:hAnsi="仿宋" w:eastAsia="仿宋" w:cs="仿宋"/>
          <w:color w:val="auto"/>
          <w:spacing w:val="6"/>
          <w:szCs w:val="30"/>
        </w:rPr>
        <w:t>报价文件</w:t>
      </w:r>
      <w:r>
        <w:rPr>
          <w:rFonts w:hint="eastAsia" w:ascii="仿宋" w:hAnsi="仿宋" w:eastAsia="仿宋" w:cs="仿宋"/>
          <w:color w:val="auto"/>
          <w:spacing w:val="6"/>
        </w:rPr>
        <w:t>内层投标文件封面格式</w:t>
      </w:r>
      <w:bookmarkEnd w:id="385"/>
      <w:bookmarkEnd w:id="386"/>
      <w:bookmarkEnd w:id="387"/>
      <w:bookmarkEnd w:id="388"/>
    </w:p>
    <w:p w14:paraId="066C296E">
      <w:pPr>
        <w:pStyle w:val="6"/>
        <w:ind w:firstLine="0" w:firstLineChars="0"/>
        <w:jc w:val="right"/>
        <w:rPr>
          <w:rFonts w:ascii="仿宋" w:hAnsi="仿宋" w:eastAsia="仿宋" w:cs="仿宋"/>
          <w:b w:val="0"/>
          <w:color w:val="auto"/>
          <w:sz w:val="32"/>
          <w:szCs w:val="32"/>
        </w:rPr>
      </w:pPr>
    </w:p>
    <w:p w14:paraId="7E7E1183">
      <w:pPr>
        <w:pStyle w:val="6"/>
        <w:ind w:firstLine="0" w:firstLineChars="0"/>
        <w:jc w:val="right"/>
        <w:rPr>
          <w:rFonts w:ascii="仿宋" w:hAnsi="仿宋" w:eastAsia="仿宋" w:cs="仿宋"/>
          <w:b w:val="0"/>
          <w:bCs w:val="0"/>
          <w:color w:val="auto"/>
        </w:rPr>
      </w:pPr>
      <w:bookmarkStart w:id="389" w:name="_Toc22776"/>
      <w:bookmarkStart w:id="390" w:name="_Toc12681"/>
      <w:bookmarkStart w:id="391" w:name="_Toc3771"/>
      <w:bookmarkStart w:id="392" w:name="_Toc11138"/>
      <w:r>
        <w:rPr>
          <w:rFonts w:hint="eastAsia" w:ascii="仿宋" w:hAnsi="仿宋" w:eastAsia="仿宋" w:cs="仿宋"/>
          <w:b w:val="0"/>
          <w:color w:val="auto"/>
          <w:sz w:val="32"/>
          <w:szCs w:val="32"/>
        </w:rPr>
        <w:t>正本（或副本）</w:t>
      </w:r>
      <w:bookmarkEnd w:id="389"/>
      <w:bookmarkEnd w:id="390"/>
      <w:bookmarkEnd w:id="391"/>
      <w:bookmarkEnd w:id="392"/>
    </w:p>
    <w:p w14:paraId="4572C367">
      <w:pPr>
        <w:spacing w:line="600" w:lineRule="auto"/>
        <w:ind w:firstLine="667" w:firstLineChars="200"/>
        <w:rPr>
          <w:rFonts w:hint="eastAsia" w:eastAsia="仿宋"/>
          <w:color w:val="auto"/>
          <w:lang w:eastAsia="zh-CN"/>
        </w:rPr>
      </w:pPr>
      <w:r>
        <w:rPr>
          <w:rFonts w:hint="eastAsia" w:ascii="仿宋" w:hAnsi="仿宋" w:eastAsia="仿宋" w:cs="仿宋"/>
          <w:b/>
          <w:color w:val="auto"/>
          <w:spacing w:val="6"/>
          <w:sz w:val="32"/>
        </w:rPr>
        <w:t>项目编号：</w:t>
      </w:r>
      <w:r>
        <w:rPr>
          <w:rFonts w:hint="eastAsia" w:ascii="仿宋" w:hAnsi="仿宋" w:eastAsia="仿宋" w:cs="仿宋"/>
          <w:color w:val="auto"/>
          <w:sz w:val="30"/>
          <w:szCs w:val="30"/>
          <w:lang w:eastAsia="zh-CN"/>
        </w:rPr>
        <w:t>SCYH【2025】067-公22</w:t>
      </w:r>
    </w:p>
    <w:p w14:paraId="5EBF2726">
      <w:pPr>
        <w:spacing w:line="600" w:lineRule="auto"/>
        <w:ind w:firstLine="667" w:firstLineChars="200"/>
        <w:rPr>
          <w:rFonts w:hint="eastAsia" w:ascii="仿宋" w:hAnsi="仿宋" w:eastAsia="仿宋" w:cs="仿宋"/>
          <w:color w:val="auto"/>
          <w:sz w:val="30"/>
          <w:szCs w:val="30"/>
          <w:lang w:eastAsia="zh-CN"/>
        </w:rPr>
      </w:pPr>
      <w:r>
        <w:rPr>
          <w:rFonts w:hint="eastAsia" w:ascii="仿宋" w:hAnsi="仿宋" w:eastAsia="仿宋" w:cs="仿宋"/>
          <w:b/>
          <w:color w:val="auto"/>
          <w:spacing w:val="6"/>
          <w:sz w:val="32"/>
        </w:rPr>
        <w:t>项目名称：</w:t>
      </w:r>
      <w:r>
        <w:rPr>
          <w:rFonts w:hint="eastAsia" w:ascii="仿宋" w:hAnsi="仿宋" w:eastAsia="仿宋" w:cs="仿宋"/>
          <w:color w:val="auto"/>
          <w:spacing w:val="-6"/>
          <w:sz w:val="30"/>
          <w:szCs w:val="30"/>
          <w:lang w:eastAsia="zh-CN"/>
        </w:rPr>
        <w:t>遂昌县人民医院职工食堂经营承包项目</w:t>
      </w:r>
    </w:p>
    <w:p w14:paraId="664DC9C0">
      <w:pPr>
        <w:pStyle w:val="31"/>
        <w:snapToGrid w:val="0"/>
        <w:spacing w:line="600" w:lineRule="auto"/>
        <w:ind w:firstLine="667" w:firstLineChars="200"/>
        <w:rPr>
          <w:rFonts w:ascii="仿宋" w:hAnsi="仿宋" w:eastAsia="仿宋" w:cs="仿宋"/>
          <w:color w:val="auto"/>
          <w:spacing w:val="6"/>
          <w:sz w:val="32"/>
          <w:szCs w:val="32"/>
        </w:rPr>
      </w:pPr>
      <w:r>
        <w:rPr>
          <w:rFonts w:hint="eastAsia" w:ascii="仿宋" w:hAnsi="仿宋" w:eastAsia="仿宋" w:cs="仿宋"/>
          <w:b/>
          <w:bCs/>
          <w:color w:val="auto"/>
          <w:spacing w:val="6"/>
          <w:sz w:val="32"/>
          <w:szCs w:val="32"/>
        </w:rPr>
        <w:t>投标文件名称：</w:t>
      </w:r>
      <w:r>
        <w:rPr>
          <w:rFonts w:hint="eastAsia" w:ascii="仿宋" w:hAnsi="仿宋" w:eastAsia="仿宋" w:cs="仿宋"/>
          <w:color w:val="auto"/>
          <w:spacing w:val="6"/>
          <w:sz w:val="32"/>
          <w:szCs w:val="32"/>
        </w:rPr>
        <w:t>报价文件</w:t>
      </w:r>
    </w:p>
    <w:p w14:paraId="5141A8A2">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投标人名称：（盖章）</w:t>
      </w:r>
    </w:p>
    <w:p w14:paraId="5EEF3F8B">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投标人地址：</w:t>
      </w:r>
    </w:p>
    <w:p w14:paraId="1B659888">
      <w:pPr>
        <w:pStyle w:val="31"/>
        <w:snapToGrid w:val="0"/>
        <w:spacing w:line="600" w:lineRule="auto"/>
        <w:ind w:firstLine="667" w:firstLineChars="200"/>
        <w:rPr>
          <w:rFonts w:ascii="仿宋" w:hAnsi="仿宋" w:eastAsia="仿宋" w:cs="仿宋"/>
          <w:b/>
          <w:bCs/>
          <w:color w:val="auto"/>
          <w:spacing w:val="6"/>
          <w:sz w:val="32"/>
          <w:szCs w:val="32"/>
        </w:rPr>
      </w:pPr>
      <w:r>
        <w:rPr>
          <w:rFonts w:hint="eastAsia" w:ascii="仿宋" w:hAnsi="仿宋" w:eastAsia="仿宋" w:cs="仿宋"/>
          <w:b/>
          <w:bCs/>
          <w:color w:val="auto"/>
          <w:spacing w:val="6"/>
          <w:sz w:val="32"/>
          <w:szCs w:val="32"/>
        </w:rPr>
        <w:t>法定代表人（或被委托人）签字或盖章：</w:t>
      </w:r>
    </w:p>
    <w:p w14:paraId="23995580">
      <w:pPr>
        <w:pStyle w:val="31"/>
        <w:snapToGrid w:val="0"/>
        <w:spacing w:line="360" w:lineRule="auto"/>
        <w:ind w:firstLine="2719" w:firstLineChars="816"/>
        <w:rPr>
          <w:rFonts w:ascii="仿宋" w:hAnsi="仿宋" w:eastAsia="仿宋" w:cs="仿宋"/>
          <w:b/>
          <w:bCs/>
          <w:color w:val="auto"/>
          <w:spacing w:val="6"/>
          <w:sz w:val="32"/>
          <w:szCs w:val="32"/>
        </w:rPr>
      </w:pPr>
    </w:p>
    <w:p w14:paraId="4C71DCE7">
      <w:pPr>
        <w:pStyle w:val="3"/>
        <w:rPr>
          <w:rFonts w:ascii="仿宋" w:hAnsi="仿宋" w:eastAsia="仿宋" w:cs="仿宋"/>
          <w:color w:val="auto"/>
          <w:spacing w:val="20"/>
          <w:sz w:val="44"/>
        </w:rPr>
      </w:pPr>
    </w:p>
    <w:p w14:paraId="473455BF">
      <w:pPr>
        <w:rPr>
          <w:rFonts w:ascii="仿宋" w:hAnsi="仿宋" w:eastAsia="仿宋" w:cs="仿宋"/>
          <w:color w:val="auto"/>
          <w:spacing w:val="20"/>
          <w:sz w:val="44"/>
        </w:rPr>
      </w:pPr>
    </w:p>
    <w:p w14:paraId="3DCA5355">
      <w:pPr>
        <w:pStyle w:val="20"/>
        <w:rPr>
          <w:rFonts w:ascii="仿宋" w:hAnsi="仿宋" w:eastAsia="仿宋" w:cs="仿宋"/>
          <w:color w:val="auto"/>
          <w:spacing w:val="20"/>
          <w:sz w:val="44"/>
        </w:rPr>
      </w:pPr>
    </w:p>
    <w:p w14:paraId="15EBC0A5">
      <w:pPr>
        <w:pStyle w:val="20"/>
        <w:rPr>
          <w:rFonts w:ascii="仿宋" w:hAnsi="仿宋" w:eastAsia="仿宋" w:cs="仿宋"/>
          <w:color w:val="auto"/>
          <w:spacing w:val="20"/>
          <w:sz w:val="44"/>
        </w:rPr>
      </w:pPr>
    </w:p>
    <w:p w14:paraId="104A287A">
      <w:pPr>
        <w:pStyle w:val="20"/>
        <w:rPr>
          <w:rFonts w:ascii="仿宋" w:hAnsi="仿宋" w:eastAsia="仿宋" w:cs="仿宋"/>
          <w:color w:val="auto"/>
          <w:spacing w:val="20"/>
          <w:sz w:val="44"/>
        </w:rPr>
      </w:pPr>
    </w:p>
    <w:p w14:paraId="0C56C491">
      <w:pPr>
        <w:pStyle w:val="20"/>
        <w:rPr>
          <w:rFonts w:ascii="仿宋" w:hAnsi="仿宋" w:eastAsia="仿宋" w:cs="仿宋"/>
          <w:color w:val="auto"/>
          <w:spacing w:val="20"/>
          <w:sz w:val="44"/>
        </w:rPr>
      </w:pPr>
    </w:p>
    <w:p w14:paraId="5475680A">
      <w:pPr>
        <w:pStyle w:val="20"/>
        <w:rPr>
          <w:rFonts w:ascii="仿宋" w:hAnsi="仿宋" w:eastAsia="仿宋" w:cs="仿宋"/>
          <w:color w:val="auto"/>
          <w:spacing w:val="20"/>
          <w:sz w:val="44"/>
        </w:rPr>
      </w:pPr>
    </w:p>
    <w:p w14:paraId="07FF7C15">
      <w:pPr>
        <w:pStyle w:val="18"/>
        <w:rPr>
          <w:color w:val="auto"/>
        </w:rPr>
      </w:pPr>
    </w:p>
    <w:p w14:paraId="6F47E819">
      <w:pPr>
        <w:rPr>
          <w:rFonts w:ascii="仿宋" w:hAnsi="仿宋" w:eastAsia="仿宋" w:cs="仿宋"/>
          <w:color w:val="auto"/>
        </w:rPr>
      </w:pPr>
    </w:p>
    <w:p w14:paraId="754BAB6E">
      <w:pPr>
        <w:jc w:val="center"/>
        <w:rPr>
          <w:rFonts w:ascii="仿宋" w:hAnsi="仿宋" w:eastAsia="仿宋" w:cs="仿宋"/>
          <w:b/>
          <w:bCs/>
          <w:color w:val="auto"/>
          <w:sz w:val="30"/>
          <w:szCs w:val="20"/>
        </w:rPr>
      </w:pPr>
      <w:r>
        <w:rPr>
          <w:rFonts w:hint="eastAsia" w:ascii="仿宋" w:hAnsi="仿宋" w:eastAsia="仿宋" w:cs="仿宋"/>
          <w:b/>
          <w:bCs/>
          <w:color w:val="auto"/>
          <w:sz w:val="30"/>
          <w:szCs w:val="20"/>
        </w:rPr>
        <w:t>1.开标一览表</w:t>
      </w:r>
    </w:p>
    <w:p w14:paraId="72FC959E">
      <w:pPr>
        <w:spacing w:line="360" w:lineRule="auto"/>
        <w:jc w:val="left"/>
        <w:rPr>
          <w:rFonts w:ascii="仿宋" w:hAnsi="仿宋" w:eastAsia="仿宋" w:cs="仿宋"/>
          <w:color w:val="auto"/>
          <w:sz w:val="24"/>
          <w:szCs w:val="24"/>
        </w:rPr>
      </w:pPr>
    </w:p>
    <w:p w14:paraId="5F04B593">
      <w:pPr>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p>
    <w:p w14:paraId="52B6A6E3">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单位： 人民币元</w:t>
      </w:r>
    </w:p>
    <w:tbl>
      <w:tblPr>
        <w:tblStyle w:val="23"/>
        <w:tblW w:w="88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4079"/>
        <w:gridCol w:w="3915"/>
      </w:tblGrid>
      <w:tr w14:paraId="24B7C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819" w:type="dxa"/>
            <w:tcBorders>
              <w:bottom w:val="single" w:color="000000" w:sz="6" w:space="0"/>
              <w:right w:val="single" w:color="auto" w:sz="4" w:space="0"/>
            </w:tcBorders>
            <w:vAlign w:val="center"/>
          </w:tcPr>
          <w:p w14:paraId="442D2E2D">
            <w:pPr>
              <w:pStyle w:val="41"/>
              <w:tabs>
                <w:tab w:val="left" w:pos="420"/>
                <w:tab w:val="center" w:pos="4153"/>
                <w:tab w:val="right" w:pos="8306"/>
              </w:tabs>
              <w:adjustRightInd w:val="0"/>
              <w:jc w:val="center"/>
              <w:rPr>
                <w:rFonts w:ascii="仿宋" w:hAnsi="仿宋" w:eastAsia="仿宋" w:cs="仿宋"/>
                <w:caps/>
                <w:color w:val="auto"/>
                <w:spacing w:val="20"/>
                <w:kern w:val="0"/>
                <w:sz w:val="24"/>
                <w:szCs w:val="20"/>
              </w:rPr>
            </w:pPr>
            <w:r>
              <w:rPr>
                <w:rFonts w:hint="eastAsia" w:ascii="仿宋" w:hAnsi="仿宋" w:eastAsia="仿宋" w:cs="仿宋"/>
                <w:caps/>
                <w:color w:val="auto"/>
                <w:spacing w:val="20"/>
                <w:kern w:val="0"/>
                <w:sz w:val="24"/>
                <w:szCs w:val="20"/>
              </w:rPr>
              <w:t>序号</w:t>
            </w:r>
          </w:p>
        </w:tc>
        <w:tc>
          <w:tcPr>
            <w:tcW w:w="4079" w:type="dxa"/>
            <w:tcBorders>
              <w:left w:val="single" w:color="auto" w:sz="4" w:space="0"/>
              <w:bottom w:val="single" w:color="000000" w:sz="6" w:space="0"/>
              <w:right w:val="single" w:color="000000" w:sz="6" w:space="0"/>
            </w:tcBorders>
            <w:vAlign w:val="center"/>
          </w:tcPr>
          <w:p w14:paraId="14515AC7">
            <w:pPr>
              <w:pStyle w:val="41"/>
              <w:tabs>
                <w:tab w:val="left" w:pos="420"/>
                <w:tab w:val="center" w:pos="4153"/>
                <w:tab w:val="right" w:pos="8306"/>
              </w:tabs>
              <w:adjustRightInd w:val="0"/>
              <w:jc w:val="center"/>
              <w:rPr>
                <w:rFonts w:hint="default" w:ascii="仿宋" w:hAnsi="仿宋" w:eastAsia="仿宋" w:cs="仿宋"/>
                <w:caps/>
                <w:color w:val="auto"/>
                <w:spacing w:val="20"/>
                <w:kern w:val="0"/>
                <w:sz w:val="24"/>
                <w:szCs w:val="20"/>
                <w:lang w:val="en-US" w:eastAsia="zh-CN"/>
              </w:rPr>
            </w:pPr>
            <w:r>
              <w:rPr>
                <w:rFonts w:hint="eastAsia" w:ascii="仿宋" w:hAnsi="仿宋" w:eastAsia="仿宋" w:cs="仿宋"/>
                <w:caps/>
                <w:color w:val="auto"/>
                <w:spacing w:val="20"/>
                <w:kern w:val="0"/>
                <w:sz w:val="24"/>
                <w:szCs w:val="20"/>
                <w:lang w:val="en-US" w:eastAsia="zh-CN"/>
              </w:rPr>
              <w:t>采购内容</w:t>
            </w:r>
          </w:p>
        </w:tc>
        <w:tc>
          <w:tcPr>
            <w:tcW w:w="3915" w:type="dxa"/>
            <w:tcBorders>
              <w:left w:val="single" w:color="auto" w:sz="4" w:space="0"/>
              <w:bottom w:val="single" w:color="000000" w:sz="6" w:space="0"/>
            </w:tcBorders>
            <w:vAlign w:val="center"/>
          </w:tcPr>
          <w:p w14:paraId="1C7DE49B">
            <w:pPr>
              <w:pStyle w:val="41"/>
              <w:jc w:val="center"/>
              <w:rPr>
                <w:rFonts w:ascii="仿宋" w:hAnsi="仿宋" w:eastAsia="仿宋" w:cs="仿宋"/>
                <w:caps/>
                <w:color w:val="auto"/>
                <w:spacing w:val="20"/>
                <w:sz w:val="24"/>
              </w:rPr>
            </w:pPr>
            <w:r>
              <w:rPr>
                <w:rFonts w:hint="eastAsia" w:ascii="仿宋" w:hAnsi="仿宋" w:eastAsia="仿宋" w:cs="仿宋"/>
                <w:caps/>
                <w:color w:val="auto"/>
                <w:spacing w:val="20"/>
                <w:sz w:val="24"/>
              </w:rPr>
              <w:t>每年承包金额报价</w:t>
            </w:r>
          </w:p>
        </w:tc>
      </w:tr>
      <w:tr w14:paraId="51ED0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4" w:hRule="atLeast"/>
          <w:jc w:val="center"/>
        </w:trPr>
        <w:tc>
          <w:tcPr>
            <w:tcW w:w="819" w:type="dxa"/>
            <w:tcBorders>
              <w:top w:val="single" w:color="000000" w:sz="6" w:space="0"/>
              <w:right w:val="single" w:color="auto" w:sz="4" w:space="0"/>
            </w:tcBorders>
            <w:vAlign w:val="center"/>
          </w:tcPr>
          <w:p w14:paraId="39C87FBA">
            <w:pPr>
              <w:pStyle w:val="41"/>
              <w:jc w:val="center"/>
              <w:rPr>
                <w:rFonts w:ascii="仿宋" w:hAnsi="仿宋" w:eastAsia="仿宋" w:cs="仿宋"/>
                <w:color w:val="auto"/>
                <w:spacing w:val="20"/>
                <w:sz w:val="24"/>
              </w:rPr>
            </w:pPr>
            <w:r>
              <w:rPr>
                <w:rFonts w:hint="eastAsia" w:ascii="仿宋" w:hAnsi="仿宋" w:eastAsia="仿宋" w:cs="仿宋"/>
                <w:color w:val="auto"/>
                <w:spacing w:val="20"/>
                <w:sz w:val="24"/>
              </w:rPr>
              <w:t>1</w:t>
            </w:r>
          </w:p>
        </w:tc>
        <w:tc>
          <w:tcPr>
            <w:tcW w:w="4079" w:type="dxa"/>
            <w:tcBorders>
              <w:top w:val="single" w:color="000000" w:sz="6" w:space="0"/>
              <w:left w:val="single" w:color="auto" w:sz="4" w:space="0"/>
              <w:right w:val="single" w:color="000000" w:sz="6" w:space="0"/>
            </w:tcBorders>
            <w:vAlign w:val="center"/>
          </w:tcPr>
          <w:p w14:paraId="5BD8C4E1">
            <w:pPr>
              <w:pStyle w:val="41"/>
              <w:jc w:val="center"/>
              <w:rPr>
                <w:rFonts w:hint="eastAsia" w:ascii="仿宋" w:hAnsi="仿宋" w:eastAsia="仿宋" w:cs="仿宋"/>
                <w:color w:val="auto"/>
                <w:spacing w:val="20"/>
                <w:sz w:val="24"/>
                <w:lang w:eastAsia="zh-CN"/>
              </w:rPr>
            </w:pPr>
            <w:r>
              <w:rPr>
                <w:rFonts w:hint="eastAsia" w:ascii="仿宋" w:hAnsi="仿宋" w:eastAsia="仿宋" w:cs="仿宋"/>
                <w:color w:val="auto"/>
                <w:spacing w:val="20"/>
                <w:sz w:val="24"/>
                <w:lang w:eastAsia="zh-CN"/>
              </w:rPr>
              <w:t>遂昌县人民医院食堂经营承包</w:t>
            </w:r>
          </w:p>
        </w:tc>
        <w:tc>
          <w:tcPr>
            <w:tcW w:w="3915" w:type="dxa"/>
            <w:tcBorders>
              <w:top w:val="single" w:color="000000" w:sz="6" w:space="0"/>
              <w:left w:val="single" w:color="auto" w:sz="4" w:space="0"/>
            </w:tcBorders>
            <w:vAlign w:val="center"/>
          </w:tcPr>
          <w:p w14:paraId="188C31FC">
            <w:pPr>
              <w:pStyle w:val="41"/>
              <w:jc w:val="left"/>
              <w:rPr>
                <w:rFonts w:ascii="仿宋" w:hAnsi="仿宋" w:eastAsia="仿宋" w:cs="仿宋"/>
                <w:color w:val="auto"/>
                <w:spacing w:val="20"/>
                <w:sz w:val="24"/>
                <w:szCs w:val="24"/>
              </w:rPr>
            </w:pPr>
            <w:r>
              <w:rPr>
                <w:rFonts w:hint="eastAsia" w:ascii="仿宋" w:hAnsi="仿宋" w:eastAsia="仿宋" w:cs="仿宋"/>
                <w:color w:val="auto"/>
                <w:spacing w:val="20"/>
                <w:sz w:val="24"/>
              </w:rPr>
              <w:t>大</w:t>
            </w:r>
            <w:r>
              <w:rPr>
                <w:rFonts w:hint="eastAsia" w:ascii="仿宋" w:hAnsi="仿宋" w:eastAsia="仿宋" w:cs="仿宋"/>
                <w:color w:val="auto"/>
                <w:spacing w:val="20"/>
                <w:sz w:val="24"/>
                <w:szCs w:val="24"/>
              </w:rPr>
              <w:t>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元/年</w:t>
            </w:r>
          </w:p>
          <w:p w14:paraId="5566558E">
            <w:pPr>
              <w:pStyle w:val="41"/>
              <w:jc w:val="left"/>
              <w:rPr>
                <w:rFonts w:hint="eastAsia" w:ascii="仿宋" w:hAnsi="仿宋" w:eastAsia="仿宋" w:cs="仿宋"/>
                <w:color w:val="auto"/>
                <w:spacing w:val="20"/>
                <w:sz w:val="24"/>
                <w:lang w:val="en-US" w:eastAsia="zh-CN"/>
              </w:rPr>
            </w:pPr>
            <w:r>
              <w:rPr>
                <w:rFonts w:hint="eastAsia" w:ascii="仿宋" w:hAnsi="仿宋" w:eastAsia="仿宋" w:cs="仿宋"/>
                <w:color w:val="auto"/>
                <w:spacing w:val="20"/>
                <w:sz w:val="24"/>
                <w:szCs w:val="24"/>
              </w:rPr>
              <w:t>小写：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元/年</w:t>
            </w:r>
          </w:p>
        </w:tc>
      </w:tr>
    </w:tbl>
    <w:p w14:paraId="0E2F2E01">
      <w:pPr>
        <w:spacing w:line="360" w:lineRule="auto"/>
        <w:rPr>
          <w:rFonts w:ascii="仿宋" w:hAnsi="仿宋" w:eastAsia="仿宋" w:cs="仿宋"/>
          <w:color w:val="auto"/>
          <w:sz w:val="24"/>
          <w:szCs w:val="32"/>
        </w:rPr>
      </w:pPr>
      <w:r>
        <w:rPr>
          <w:rFonts w:hint="eastAsia" w:ascii="仿宋" w:hAnsi="仿宋" w:eastAsia="仿宋" w:cs="仿宋"/>
          <w:color w:val="auto"/>
          <w:sz w:val="24"/>
          <w:szCs w:val="32"/>
        </w:rPr>
        <w:t xml:space="preserve">注:  </w:t>
      </w:r>
    </w:p>
    <w:p w14:paraId="20F51DF2">
      <w:pPr>
        <w:pStyle w:val="41"/>
        <w:numPr>
          <w:ilvl w:val="0"/>
          <w:numId w:val="25"/>
        </w:numPr>
        <w:spacing w:line="360" w:lineRule="auto"/>
        <w:ind w:firstLine="480" w:firstLineChars="200"/>
        <w:jc w:val="left"/>
        <w:rPr>
          <w:rFonts w:ascii="仿宋" w:hAnsi="仿宋" w:eastAsia="仿宋" w:cs="仿宋"/>
          <w:iCs/>
          <w:color w:val="auto"/>
          <w:sz w:val="24"/>
        </w:rPr>
      </w:pPr>
      <w:r>
        <w:rPr>
          <w:rFonts w:hint="eastAsia" w:ascii="仿宋" w:hAnsi="仿宋" w:eastAsia="仿宋" w:cs="仿宋"/>
          <w:iCs/>
          <w:color w:val="auto"/>
          <w:sz w:val="24"/>
        </w:rPr>
        <w:t>总报价一经涂改，应在涂改处加盖单位公章或投标人代表签字（或盖章），否则其投标作无效标处理。</w:t>
      </w:r>
    </w:p>
    <w:p w14:paraId="768A7EAA">
      <w:pPr>
        <w:pStyle w:val="41"/>
        <w:numPr>
          <w:ilvl w:val="0"/>
          <w:numId w:val="25"/>
        </w:numPr>
        <w:spacing w:line="360" w:lineRule="auto"/>
        <w:ind w:firstLine="480" w:firstLineChars="200"/>
        <w:jc w:val="left"/>
        <w:rPr>
          <w:rFonts w:ascii="仿宋" w:hAnsi="仿宋" w:eastAsia="仿宋" w:cs="仿宋"/>
          <w:bCs/>
          <w:color w:val="auto"/>
          <w:sz w:val="24"/>
        </w:rPr>
      </w:pPr>
      <w:r>
        <w:rPr>
          <w:rFonts w:hint="eastAsia" w:ascii="仿宋_GB2312" w:eastAsia="仿宋_GB2312"/>
          <w:bCs/>
          <w:color w:val="auto"/>
          <w:sz w:val="24"/>
        </w:rPr>
        <w:t>总报价应包含项目人员费用(工资、各类社会保险、福利、津贴、奖金等)、服务费、税金等实施本项目所产生的一切费用，采购人不另行支付其他任何费用。</w:t>
      </w:r>
    </w:p>
    <w:p w14:paraId="23E9B810">
      <w:pPr>
        <w:pStyle w:val="41"/>
        <w:spacing w:line="360" w:lineRule="auto"/>
        <w:ind w:firstLine="240" w:firstLineChars="100"/>
        <w:rPr>
          <w:rFonts w:ascii="仿宋" w:hAnsi="仿宋" w:eastAsia="仿宋"/>
          <w:bCs/>
          <w:color w:val="auto"/>
          <w:sz w:val="24"/>
        </w:rPr>
      </w:pPr>
      <w:r>
        <w:rPr>
          <w:rFonts w:hint="eastAsia" w:ascii="仿宋" w:hAnsi="仿宋" w:eastAsia="仿宋" w:cs="仿宋"/>
          <w:bCs/>
          <w:color w:val="auto"/>
          <w:sz w:val="24"/>
          <w:szCs w:val="21"/>
        </w:rPr>
        <w:t>▲</w:t>
      </w:r>
      <w:r>
        <w:rPr>
          <w:rFonts w:hint="eastAsia" w:ascii="仿宋" w:hAnsi="仿宋" w:eastAsia="仿宋" w:cs="仿宋"/>
          <w:bCs/>
          <w:color w:val="auto"/>
          <w:sz w:val="24"/>
          <w:szCs w:val="21"/>
          <w:lang w:val="en-US" w:eastAsia="zh-CN"/>
        </w:rPr>
        <w:t>3</w:t>
      </w:r>
      <w:r>
        <w:rPr>
          <w:rFonts w:hint="eastAsia" w:ascii="仿宋" w:hAnsi="仿宋" w:eastAsia="仿宋" w:cs="仿宋"/>
          <w:bCs/>
          <w:color w:val="auto"/>
          <w:sz w:val="24"/>
          <w:szCs w:val="21"/>
        </w:rPr>
        <w:t>.投标报价低于贰拾捌万元/年（280000元/年）视为无效报价。</w:t>
      </w:r>
    </w:p>
    <w:p w14:paraId="7FA5ABFA">
      <w:pPr>
        <w:spacing w:line="440" w:lineRule="exact"/>
        <w:ind w:firstLine="2520" w:firstLineChars="900"/>
        <w:rPr>
          <w:rFonts w:ascii="仿宋" w:hAnsi="仿宋" w:eastAsia="仿宋" w:cs="仿宋"/>
          <w:color w:val="auto"/>
          <w:spacing w:val="20"/>
          <w:sz w:val="24"/>
          <w:szCs w:val="20"/>
        </w:rPr>
      </w:pPr>
    </w:p>
    <w:p w14:paraId="11C388C3">
      <w:pPr>
        <w:spacing w:line="440" w:lineRule="exact"/>
        <w:ind w:firstLine="2520" w:firstLineChars="900"/>
        <w:rPr>
          <w:rFonts w:ascii="仿宋" w:hAnsi="仿宋" w:eastAsia="仿宋" w:cs="仿宋"/>
          <w:color w:val="auto"/>
          <w:spacing w:val="20"/>
          <w:sz w:val="24"/>
          <w:szCs w:val="20"/>
        </w:rPr>
      </w:pPr>
      <w:r>
        <w:rPr>
          <w:rFonts w:hint="eastAsia" w:ascii="仿宋" w:hAnsi="仿宋" w:eastAsia="仿宋" w:cs="仿宋"/>
          <w:color w:val="auto"/>
          <w:spacing w:val="20"/>
          <w:sz w:val="24"/>
          <w:szCs w:val="20"/>
        </w:rPr>
        <w:t xml:space="preserve">  </w:t>
      </w:r>
    </w:p>
    <w:p w14:paraId="15626CE5">
      <w:pPr>
        <w:wordWrap w:val="0"/>
        <w:spacing w:line="360" w:lineRule="auto"/>
        <w:ind w:firstLine="480"/>
        <w:jc w:val="right"/>
        <w:rPr>
          <w:rFonts w:ascii="仿宋" w:hAnsi="仿宋" w:eastAsia="仿宋" w:cs="仿宋"/>
          <w:color w:val="auto"/>
          <w:sz w:val="24"/>
          <w:szCs w:val="21"/>
        </w:rPr>
      </w:pPr>
    </w:p>
    <w:p w14:paraId="7BF84EAD">
      <w:pPr>
        <w:pStyle w:val="37"/>
        <w:spacing w:line="360" w:lineRule="auto"/>
        <w:ind w:firstLine="2880" w:firstLineChars="1200"/>
        <w:rPr>
          <w:rFonts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7FEF399B">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1781EBC4">
      <w:pPr>
        <w:pStyle w:val="37"/>
        <w:spacing w:line="360" w:lineRule="auto"/>
        <w:ind w:firstLine="5040" w:firstLineChars="1800"/>
        <w:rPr>
          <w:rFonts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6E3E8CCD">
      <w:pPr>
        <w:pStyle w:val="22"/>
        <w:ind w:firstLine="480"/>
        <w:rPr>
          <w:rFonts w:ascii="仿宋" w:hAnsi="仿宋" w:eastAsia="仿宋" w:cs="仿宋"/>
          <w:color w:val="auto"/>
        </w:rPr>
      </w:pPr>
    </w:p>
    <w:p w14:paraId="70AC8310">
      <w:pPr>
        <w:spacing w:line="360" w:lineRule="auto"/>
        <w:rPr>
          <w:rFonts w:ascii="仿宋" w:hAnsi="仿宋" w:eastAsia="仿宋" w:cs="仿宋"/>
          <w:color w:val="auto"/>
          <w:spacing w:val="20"/>
          <w:sz w:val="24"/>
          <w:szCs w:val="20"/>
          <w:u w:val="single"/>
        </w:rPr>
      </w:pPr>
    </w:p>
    <w:p w14:paraId="252D00EA">
      <w:pPr>
        <w:pStyle w:val="46"/>
        <w:ind w:firstLine="560"/>
        <w:rPr>
          <w:rFonts w:ascii="仿宋" w:hAnsi="仿宋" w:eastAsia="仿宋" w:cs="仿宋"/>
          <w:color w:val="auto"/>
          <w:spacing w:val="20"/>
          <w:szCs w:val="20"/>
          <w:u w:val="single"/>
        </w:rPr>
      </w:pPr>
    </w:p>
    <w:p w14:paraId="4A88CD7A">
      <w:pPr>
        <w:rPr>
          <w:rFonts w:ascii="仿宋" w:hAnsi="仿宋" w:eastAsia="仿宋" w:cs="仿宋"/>
          <w:color w:val="auto"/>
          <w:spacing w:val="20"/>
          <w:szCs w:val="20"/>
          <w:u w:val="single"/>
        </w:rPr>
      </w:pPr>
    </w:p>
    <w:p w14:paraId="7D3F8B32">
      <w:pPr>
        <w:pStyle w:val="26"/>
        <w:ind w:left="420"/>
        <w:rPr>
          <w:rFonts w:ascii="仿宋" w:hAnsi="仿宋" w:eastAsia="仿宋" w:cs="仿宋"/>
          <w:color w:val="auto"/>
          <w:spacing w:val="20"/>
          <w:szCs w:val="20"/>
          <w:u w:val="single"/>
        </w:rPr>
      </w:pPr>
    </w:p>
    <w:p w14:paraId="09CC011E">
      <w:pPr>
        <w:pStyle w:val="26"/>
        <w:ind w:left="420"/>
        <w:rPr>
          <w:rFonts w:ascii="仿宋" w:hAnsi="仿宋" w:eastAsia="仿宋" w:cs="仿宋"/>
          <w:color w:val="auto"/>
          <w:spacing w:val="20"/>
          <w:szCs w:val="20"/>
          <w:u w:val="single"/>
        </w:rPr>
      </w:pPr>
    </w:p>
    <w:p w14:paraId="72538A6D">
      <w:pPr>
        <w:pStyle w:val="26"/>
        <w:ind w:left="420"/>
        <w:rPr>
          <w:rFonts w:ascii="仿宋" w:hAnsi="仿宋" w:eastAsia="仿宋" w:cs="仿宋"/>
          <w:color w:val="auto"/>
          <w:spacing w:val="20"/>
          <w:szCs w:val="20"/>
          <w:u w:val="single"/>
        </w:rPr>
      </w:pPr>
    </w:p>
    <w:bookmarkEnd w:id="141"/>
    <w:bookmarkEnd w:id="382"/>
    <w:bookmarkEnd w:id="383"/>
    <w:bookmarkEnd w:id="384"/>
    <w:p w14:paraId="5EE2BB96">
      <w:pPr>
        <w:pStyle w:val="5"/>
        <w:pageBreakBefore/>
        <w:rPr>
          <w:rFonts w:ascii="仿宋" w:hAnsi="仿宋" w:eastAsia="仿宋" w:cs="仿宋"/>
          <w:color w:val="auto"/>
        </w:rPr>
      </w:pPr>
      <w:bookmarkStart w:id="393" w:name="_Toc1464"/>
      <w:bookmarkStart w:id="394" w:name="_Toc335664294"/>
      <w:bookmarkStart w:id="395" w:name="_Toc20478"/>
      <w:bookmarkStart w:id="396" w:name="_Toc493956074"/>
      <w:r>
        <w:rPr>
          <w:rFonts w:hint="eastAsia" w:ascii="仿宋" w:hAnsi="仿宋" w:eastAsia="仿宋" w:cs="仿宋"/>
          <w:color w:val="auto"/>
        </w:rPr>
        <w:t>第六章  评审办法和细则</w:t>
      </w:r>
      <w:bookmarkEnd w:id="393"/>
      <w:bookmarkEnd w:id="394"/>
      <w:bookmarkEnd w:id="395"/>
      <w:bookmarkEnd w:id="396"/>
    </w:p>
    <w:p w14:paraId="3B43486D">
      <w:pPr>
        <w:pStyle w:val="14"/>
        <w:snapToGrid/>
        <w:spacing w:line="360" w:lineRule="auto"/>
        <w:ind w:firstLineChars="200"/>
        <w:rPr>
          <w:rFonts w:ascii="仿宋" w:hAnsi="仿宋" w:eastAsia="仿宋" w:cs="仿宋"/>
          <w:color w:val="auto"/>
        </w:rPr>
      </w:pPr>
      <w:r>
        <w:rPr>
          <w:rFonts w:hint="eastAsia" w:ascii="仿宋" w:hAnsi="仿宋" w:eastAsia="仿宋" w:cs="仿宋"/>
          <w:color w:val="auto"/>
        </w:rPr>
        <w:t>参照《中华人民共和国政府采购法》等有关法律法规的规定，并结合本项目的实际，按照公正、公平、科学、择优的原则选择中标人，特制定本办法。</w:t>
      </w:r>
    </w:p>
    <w:p w14:paraId="1F3E5CC2">
      <w:pPr>
        <w:pStyle w:val="6"/>
        <w:spacing w:before="240" w:after="240"/>
        <w:ind w:firstLine="0" w:firstLineChars="0"/>
        <w:rPr>
          <w:rFonts w:ascii="仿宋" w:hAnsi="仿宋" w:eastAsia="仿宋" w:cs="仿宋"/>
          <w:bCs w:val="0"/>
          <w:color w:val="auto"/>
        </w:rPr>
      </w:pPr>
      <w:bookmarkStart w:id="397" w:name="_Toc22832"/>
      <w:bookmarkStart w:id="398" w:name="_Toc493956075"/>
      <w:bookmarkStart w:id="399" w:name="_Toc20685"/>
      <w:bookmarkStart w:id="400" w:name="_Toc335664295"/>
      <w:r>
        <w:rPr>
          <w:rFonts w:hint="eastAsia" w:ascii="仿宋" w:hAnsi="仿宋" w:eastAsia="仿宋" w:cs="仿宋"/>
          <w:bCs w:val="0"/>
          <w:color w:val="auto"/>
        </w:rPr>
        <w:t>一  总则</w:t>
      </w:r>
      <w:bookmarkEnd w:id="397"/>
      <w:bookmarkEnd w:id="398"/>
      <w:bookmarkEnd w:id="399"/>
      <w:bookmarkEnd w:id="400"/>
    </w:p>
    <w:p w14:paraId="36794C2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 为最大限度地保护各当事人的权益，评标委员会应严格按照招标文件的技术、资信及商务、报价要求，对</w:t>
      </w:r>
      <w:r>
        <w:rPr>
          <w:rFonts w:hint="eastAsia" w:ascii="仿宋" w:hAnsi="仿宋" w:eastAsia="仿宋" w:cs="仿宋"/>
          <w:color w:val="auto"/>
          <w:kern w:val="0"/>
          <w:sz w:val="24"/>
        </w:rPr>
        <w:t>投标文件</w:t>
      </w:r>
      <w:r>
        <w:rPr>
          <w:rFonts w:hint="eastAsia" w:ascii="仿宋" w:hAnsi="仿宋" w:eastAsia="仿宋" w:cs="仿宋"/>
          <w:color w:val="auto"/>
          <w:sz w:val="24"/>
        </w:rPr>
        <w:t>进行综合分析评价并编制评标报告。评审专家必须严格遵守保密规定，不得泄露评标有关的情况，不得索贿受贿，不得参加影响评标的任何活动。</w:t>
      </w:r>
    </w:p>
    <w:p w14:paraId="666C420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 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评标委员会根据具体情况，按得分从高到低推荐中标候选人，由采购人确定本项目中标人。</w:t>
      </w:r>
    </w:p>
    <w:p w14:paraId="622EAF2F">
      <w:pPr>
        <w:pStyle w:val="6"/>
        <w:spacing w:before="240" w:after="240"/>
        <w:ind w:firstLine="0" w:firstLineChars="0"/>
        <w:rPr>
          <w:rFonts w:ascii="仿宋" w:hAnsi="仿宋" w:eastAsia="仿宋" w:cs="仿宋"/>
          <w:bCs w:val="0"/>
          <w:color w:val="auto"/>
        </w:rPr>
      </w:pPr>
      <w:bookmarkStart w:id="401" w:name="_Toc335664296"/>
      <w:bookmarkStart w:id="402" w:name="_Toc710"/>
      <w:bookmarkStart w:id="403" w:name="_Toc493956076"/>
      <w:bookmarkStart w:id="404" w:name="_Toc23132"/>
      <w:r>
        <w:rPr>
          <w:rFonts w:hint="eastAsia" w:ascii="仿宋" w:hAnsi="仿宋" w:eastAsia="仿宋" w:cs="仿宋"/>
          <w:bCs w:val="0"/>
          <w:color w:val="auto"/>
        </w:rPr>
        <w:t>二</w:t>
      </w:r>
      <w:bookmarkEnd w:id="401"/>
      <w:r>
        <w:rPr>
          <w:rFonts w:hint="eastAsia" w:ascii="仿宋" w:hAnsi="仿宋" w:eastAsia="仿宋" w:cs="仿宋"/>
          <w:bCs w:val="0"/>
          <w:color w:val="auto"/>
        </w:rPr>
        <w:t xml:space="preserve">  评标委员会</w:t>
      </w:r>
      <w:bookmarkEnd w:id="402"/>
      <w:bookmarkEnd w:id="403"/>
      <w:bookmarkEnd w:id="404"/>
    </w:p>
    <w:p w14:paraId="34037C5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 评标委员会</w:t>
      </w:r>
    </w:p>
    <w:p w14:paraId="04C5B60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2.1.1 成员：由采购人代表和评审专家组成五人及以上单数，其中评审专家不得少于评审委员会总人数的三分之二。除国务院财政部门规定的情形外，评审专家由采购代理机构在政府采购专家库中随机抽取。</w:t>
      </w:r>
    </w:p>
    <w:p w14:paraId="2FE5DD2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 职责：严格按政府采购法律法规的有关规定执行，评审专家应按招标文件规定的评审要求、评审程序、评审内容、评审方法和评审标准进行评审，对评审意见承担个人责任。</w:t>
      </w:r>
    </w:p>
    <w:p w14:paraId="2061DF23">
      <w:pPr>
        <w:spacing w:line="360" w:lineRule="auto"/>
        <w:ind w:firstLine="480"/>
        <w:rPr>
          <w:rFonts w:ascii="仿宋" w:hAnsi="仿宋" w:eastAsia="仿宋" w:cs="仿宋"/>
          <w:color w:val="auto"/>
          <w:sz w:val="20"/>
        </w:rPr>
      </w:pPr>
      <w:r>
        <w:rPr>
          <w:rFonts w:hint="eastAsia" w:ascii="仿宋" w:hAnsi="仿宋" w:eastAsia="仿宋" w:cs="仿宋"/>
          <w:color w:val="auto"/>
          <w:sz w:val="24"/>
        </w:rPr>
        <w:t>2.2 评审专家的评审情况和评审意见受监督人员和采购代理机构审查，如发现评审专家的评审意见带有明显倾向性，或不按规定程序和标准评审、计分的，可要求评审专家进行书面澄清和说明。</w:t>
      </w:r>
    </w:p>
    <w:p w14:paraId="65B9FD81">
      <w:pPr>
        <w:pStyle w:val="6"/>
        <w:spacing w:before="240" w:after="240"/>
        <w:ind w:firstLine="0" w:firstLineChars="0"/>
        <w:rPr>
          <w:rFonts w:ascii="仿宋" w:hAnsi="仿宋" w:eastAsia="仿宋" w:cs="仿宋"/>
          <w:bCs w:val="0"/>
          <w:color w:val="auto"/>
        </w:rPr>
      </w:pPr>
      <w:bookmarkStart w:id="405" w:name="_Toc11615"/>
      <w:bookmarkStart w:id="406" w:name="_Toc24902"/>
      <w:bookmarkStart w:id="407" w:name="_Toc493956078"/>
      <w:bookmarkStart w:id="408" w:name="_Toc335664298"/>
      <w:r>
        <w:rPr>
          <w:rFonts w:hint="eastAsia" w:ascii="仿宋" w:hAnsi="仿宋" w:eastAsia="仿宋" w:cs="仿宋"/>
          <w:bCs w:val="0"/>
          <w:color w:val="auto"/>
        </w:rPr>
        <w:t>三  评标程序</w:t>
      </w:r>
      <w:bookmarkEnd w:id="405"/>
      <w:bookmarkEnd w:id="406"/>
      <w:bookmarkEnd w:id="407"/>
      <w:bookmarkEnd w:id="408"/>
    </w:p>
    <w:p w14:paraId="2B3F3C1E">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3.1 符合性审查</w:t>
      </w:r>
    </w:p>
    <w:p w14:paraId="33F2273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D71410">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3.2 资信商务及技术文件评审</w:t>
      </w:r>
    </w:p>
    <w:p w14:paraId="352994A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3.2.1评标委员会依据招标文件的规定，对各</w:t>
      </w:r>
      <w:r>
        <w:rPr>
          <w:rFonts w:hint="eastAsia" w:ascii="仿宋" w:hAnsi="仿宋" w:eastAsia="仿宋" w:cs="仿宋"/>
          <w:color w:val="auto"/>
          <w:kern w:val="0"/>
          <w:sz w:val="24"/>
        </w:rPr>
        <w:t>投标人的</w:t>
      </w:r>
      <w:r>
        <w:rPr>
          <w:rFonts w:hint="eastAsia" w:ascii="仿宋" w:hAnsi="仿宋" w:eastAsia="仿宋" w:cs="仿宋"/>
          <w:color w:val="auto"/>
          <w:sz w:val="24"/>
        </w:rPr>
        <w:t>资信商务及技术文件进行独立评审。对各</w:t>
      </w:r>
      <w:r>
        <w:rPr>
          <w:rFonts w:hint="eastAsia" w:ascii="仿宋" w:hAnsi="仿宋" w:eastAsia="仿宋" w:cs="仿宋"/>
          <w:color w:val="auto"/>
          <w:kern w:val="0"/>
          <w:sz w:val="24"/>
        </w:rPr>
        <w:t>投标文件</w:t>
      </w:r>
      <w:r>
        <w:rPr>
          <w:rFonts w:hint="eastAsia" w:ascii="仿宋" w:hAnsi="仿宋" w:eastAsia="仿宋" w:cs="仿宋"/>
          <w:color w:val="auto"/>
          <w:sz w:val="24"/>
        </w:rPr>
        <w:t>进行比较和必要的澄清。</w:t>
      </w:r>
    </w:p>
    <w:p w14:paraId="1738F22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 各投标人的资信商务及技术文件得分，为各评审专家对该投标人的技术得分结果汇总后的算术平均数。</w:t>
      </w:r>
    </w:p>
    <w:p w14:paraId="7EADDAE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3.4 报价文件评审</w:t>
      </w:r>
    </w:p>
    <w:p w14:paraId="6EB437A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 评标委员会依据招标文件的规定，对各投标人的报价的合理性进行审查，必要时可要求投标人对其报价作出澄清、说明。</w:t>
      </w:r>
    </w:p>
    <w:p w14:paraId="12C894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 报价修正；</w:t>
      </w:r>
    </w:p>
    <w:p w14:paraId="33ED5D0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3.4.3 评审委员会根据投标人的报价和评审标准，计算各投标人的报价得分。</w:t>
      </w:r>
    </w:p>
    <w:p w14:paraId="3417C631">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3.5 评标结果</w:t>
      </w:r>
    </w:p>
    <w:p w14:paraId="0F1B130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3.5.1 评审结果汇总，同品牌投标人的确定，投标人结果排序；</w:t>
      </w:r>
    </w:p>
    <w:p w14:paraId="1CB6BDF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3.5.2 起草评标报告，确定中标候选人；</w:t>
      </w:r>
    </w:p>
    <w:p w14:paraId="29A2FB0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3.5.2.1 评标报告应包括以下内容：</w:t>
      </w:r>
    </w:p>
    <w:p w14:paraId="6C8457B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（1）招标公告刊登的媒体名称、开标日期和地点；</w:t>
      </w:r>
    </w:p>
    <w:p w14:paraId="2C26C99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（2）投标人名单和评标委员会成员名单；</w:t>
      </w:r>
    </w:p>
    <w:p w14:paraId="6710C7A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（3）评审方法和标准；</w:t>
      </w:r>
    </w:p>
    <w:p w14:paraId="09C7253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（4）开标记录和评审情况及说明，包括无效投标人名单及原因；</w:t>
      </w:r>
    </w:p>
    <w:p w14:paraId="37EA50A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（5）评审结果，确定的中标候选人名单；</w:t>
      </w:r>
    </w:p>
    <w:p w14:paraId="33258CB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（6）其他需要说明的情况，包括评审过程中投标人根据评标委员会要求进行的澄清、说明或者补正，评标委员会成员的更换等。</w:t>
      </w:r>
    </w:p>
    <w:p w14:paraId="4294CF4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3.5.3 评标报告由全体评标委员会成员确认后提交。</w:t>
      </w:r>
    </w:p>
    <w:p w14:paraId="61DFCAF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3.6 评审结束后，采购代理机构当日在开标大厅宣布评审结果，并在采购人确定中标人后2个工作日内，发出中标通知书，并在相关媒体上公告中标结果。</w:t>
      </w:r>
    </w:p>
    <w:p w14:paraId="617AB4E8">
      <w:pPr>
        <w:pStyle w:val="6"/>
        <w:spacing w:before="240" w:after="240"/>
        <w:ind w:firstLine="0" w:firstLineChars="0"/>
        <w:rPr>
          <w:rFonts w:ascii="仿宋" w:hAnsi="仿宋" w:eastAsia="仿宋" w:cs="仿宋"/>
          <w:bCs w:val="0"/>
          <w:color w:val="auto"/>
        </w:rPr>
      </w:pPr>
      <w:bookmarkStart w:id="409" w:name="_Toc19242"/>
      <w:bookmarkStart w:id="410" w:name="_Toc493956080"/>
      <w:bookmarkStart w:id="411" w:name="_Toc15733"/>
      <w:r>
        <w:rPr>
          <w:rFonts w:hint="eastAsia" w:ascii="仿宋" w:hAnsi="仿宋" w:eastAsia="仿宋" w:cs="仿宋"/>
          <w:bCs w:val="0"/>
          <w:color w:val="auto"/>
        </w:rPr>
        <w:t>四  评审一般规定</w:t>
      </w:r>
      <w:bookmarkEnd w:id="409"/>
      <w:bookmarkEnd w:id="410"/>
      <w:bookmarkEnd w:id="411"/>
    </w:p>
    <w:p w14:paraId="3B7B0B3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4.本评审办法采用综合评分法，总分100分。</w:t>
      </w:r>
    </w:p>
    <w:p w14:paraId="7A69014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4.1资信商务及技术文件权重为</w:t>
      </w:r>
      <w:r>
        <w:rPr>
          <w:rFonts w:hint="eastAsia" w:ascii="仿宋" w:hAnsi="仿宋" w:eastAsia="仿宋" w:cs="仿宋"/>
          <w:color w:val="auto"/>
          <w:sz w:val="24"/>
          <w:lang w:val="en-US" w:eastAsia="zh-CN"/>
        </w:rPr>
        <w:t>80</w:t>
      </w:r>
      <w:r>
        <w:rPr>
          <w:rFonts w:hint="eastAsia" w:ascii="仿宋" w:hAnsi="仿宋" w:eastAsia="仿宋" w:cs="仿宋"/>
          <w:color w:val="auto"/>
          <w:sz w:val="24"/>
        </w:rPr>
        <w:t>%，分值为</w:t>
      </w:r>
      <w:r>
        <w:rPr>
          <w:rFonts w:hint="eastAsia" w:ascii="仿宋" w:hAnsi="仿宋" w:eastAsia="仿宋" w:cs="仿宋"/>
          <w:color w:val="auto"/>
          <w:sz w:val="24"/>
          <w:lang w:val="en-US" w:eastAsia="zh-CN"/>
        </w:rPr>
        <w:t>80</w:t>
      </w:r>
      <w:r>
        <w:rPr>
          <w:rFonts w:hint="eastAsia" w:ascii="仿宋" w:hAnsi="仿宋" w:eastAsia="仿宋" w:cs="仿宋"/>
          <w:color w:val="auto"/>
          <w:sz w:val="24"/>
        </w:rPr>
        <w:t>分，评审专家对各</w:t>
      </w:r>
      <w:r>
        <w:rPr>
          <w:rFonts w:hint="eastAsia" w:ascii="仿宋" w:hAnsi="仿宋" w:eastAsia="仿宋" w:cs="仿宋"/>
          <w:color w:val="auto"/>
          <w:kern w:val="0"/>
          <w:sz w:val="24"/>
        </w:rPr>
        <w:t>投标文件</w:t>
      </w:r>
      <w:r>
        <w:rPr>
          <w:rFonts w:hint="eastAsia" w:ascii="仿宋" w:hAnsi="仿宋" w:eastAsia="仿宋" w:cs="仿宋"/>
          <w:color w:val="auto"/>
          <w:sz w:val="24"/>
        </w:rPr>
        <w:t>的资信商务及技术文件经充分审核、讨论后，其中客观部分（即资信商务部分）应统一意见后统一给分，其他部分（即技术部分）由评审专家独立评定打分。如果某个单项的打分超过所规定的分值范围，则该张打分表无效。投标人的资信商务及技术得分为各评审专家对该投标人的评审得分结果汇总后的算术平均值。</w:t>
      </w:r>
    </w:p>
    <w:p w14:paraId="296326F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 报价权重为</w:t>
      </w:r>
      <w:r>
        <w:rPr>
          <w:rFonts w:hint="eastAsia" w:ascii="仿宋" w:hAnsi="仿宋" w:eastAsia="仿宋" w:cs="仿宋"/>
          <w:color w:val="auto"/>
          <w:sz w:val="24"/>
          <w:lang w:val="en-US" w:eastAsia="zh-CN"/>
        </w:rPr>
        <w:t>20</w:t>
      </w:r>
      <w:r>
        <w:rPr>
          <w:rFonts w:hint="eastAsia" w:ascii="仿宋" w:hAnsi="仿宋" w:eastAsia="仿宋" w:cs="仿宋"/>
          <w:color w:val="auto"/>
          <w:sz w:val="24"/>
        </w:rPr>
        <w:t>%，评审分值为</w:t>
      </w:r>
      <w:r>
        <w:rPr>
          <w:rFonts w:hint="eastAsia" w:ascii="仿宋" w:hAnsi="仿宋" w:eastAsia="仿宋" w:cs="仿宋"/>
          <w:color w:val="auto"/>
          <w:sz w:val="24"/>
          <w:lang w:val="en-US" w:eastAsia="zh-CN"/>
        </w:rPr>
        <w:t>20</w:t>
      </w:r>
      <w:r>
        <w:rPr>
          <w:rFonts w:hint="eastAsia" w:ascii="仿宋" w:hAnsi="仿宋" w:eastAsia="仿宋" w:cs="仿宋"/>
          <w:color w:val="auto"/>
          <w:sz w:val="24"/>
        </w:rPr>
        <w:t>分，由评标委员会按各投标人的报价统一计算。</w:t>
      </w:r>
    </w:p>
    <w:p w14:paraId="5BDB66E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4.3投标人总得分=资信商务及技术得分+报价得分。</w:t>
      </w:r>
    </w:p>
    <w:p w14:paraId="0B070E6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4.4评审专家在规定的分值范围内独立打分，评分保留</w:t>
      </w:r>
      <w:r>
        <w:rPr>
          <w:rFonts w:hint="eastAsia" w:ascii="仿宋" w:hAnsi="仿宋" w:eastAsia="仿宋" w:cs="仿宋"/>
          <w:color w:val="auto"/>
          <w:sz w:val="24"/>
          <w:lang w:val="en-US" w:eastAsia="zh-CN"/>
        </w:rPr>
        <w:t>一</w:t>
      </w:r>
      <w:r>
        <w:rPr>
          <w:rFonts w:hint="eastAsia" w:ascii="仿宋" w:hAnsi="仿宋" w:eastAsia="仿宋" w:cs="仿宋"/>
          <w:color w:val="auto"/>
          <w:sz w:val="24"/>
        </w:rPr>
        <w:t>位小数。</w:t>
      </w:r>
    </w:p>
    <w:p w14:paraId="28C0232B">
      <w:pPr>
        <w:pStyle w:val="6"/>
        <w:spacing w:before="240" w:after="240"/>
        <w:ind w:firstLine="0" w:firstLineChars="0"/>
        <w:rPr>
          <w:rFonts w:ascii="仿宋" w:hAnsi="仿宋" w:eastAsia="仿宋" w:cs="仿宋"/>
          <w:bCs w:val="0"/>
          <w:color w:val="auto"/>
        </w:rPr>
      </w:pPr>
      <w:bookmarkStart w:id="412" w:name="_Toc493956081"/>
      <w:bookmarkStart w:id="413" w:name="_Toc30661"/>
      <w:bookmarkStart w:id="414" w:name="_Toc10564"/>
      <w:r>
        <w:rPr>
          <w:rFonts w:hint="eastAsia" w:ascii="仿宋" w:hAnsi="仿宋" w:eastAsia="仿宋" w:cs="仿宋"/>
          <w:bCs w:val="0"/>
          <w:color w:val="auto"/>
        </w:rPr>
        <w:t>五  评审内容及标准</w:t>
      </w:r>
      <w:bookmarkEnd w:id="412"/>
      <w:bookmarkEnd w:id="413"/>
      <w:bookmarkEnd w:id="414"/>
    </w:p>
    <w:p w14:paraId="6E11E05E">
      <w:pPr>
        <w:snapToGrid w:val="0"/>
        <w:spacing w:line="360" w:lineRule="auto"/>
        <w:ind w:firstLine="420"/>
        <w:jc w:val="left"/>
        <w:rPr>
          <w:rFonts w:ascii="仿宋" w:hAnsi="仿宋" w:eastAsia="仿宋" w:cs="仿宋"/>
          <w:b/>
          <w:color w:val="auto"/>
          <w:sz w:val="24"/>
          <w:szCs w:val="24"/>
        </w:rPr>
      </w:pPr>
      <w:r>
        <w:rPr>
          <w:rFonts w:hint="eastAsia" w:ascii="仿宋" w:hAnsi="仿宋" w:eastAsia="仿宋" w:cs="仿宋"/>
          <w:b/>
          <w:color w:val="auto"/>
          <w:sz w:val="24"/>
          <w:szCs w:val="24"/>
        </w:rPr>
        <w:t>5.1资信商务及技术文件分值共</w:t>
      </w:r>
      <w:r>
        <w:rPr>
          <w:rFonts w:hint="eastAsia" w:ascii="仿宋" w:hAnsi="仿宋" w:eastAsia="仿宋" w:cs="仿宋"/>
          <w:b/>
          <w:color w:val="auto"/>
          <w:sz w:val="24"/>
          <w:szCs w:val="24"/>
          <w:lang w:val="en-US" w:eastAsia="zh-CN"/>
        </w:rPr>
        <w:t>80</w:t>
      </w:r>
      <w:r>
        <w:rPr>
          <w:rFonts w:hint="eastAsia" w:ascii="仿宋" w:hAnsi="仿宋" w:eastAsia="仿宋" w:cs="仿宋"/>
          <w:b/>
          <w:color w:val="auto"/>
          <w:sz w:val="24"/>
          <w:szCs w:val="24"/>
        </w:rPr>
        <w:t>分，权重为</w:t>
      </w:r>
      <w:r>
        <w:rPr>
          <w:rFonts w:hint="eastAsia" w:ascii="仿宋" w:hAnsi="仿宋" w:eastAsia="仿宋" w:cs="仿宋"/>
          <w:b/>
          <w:color w:val="auto"/>
          <w:sz w:val="24"/>
          <w:szCs w:val="24"/>
          <w:lang w:val="en-US" w:eastAsia="zh-CN"/>
        </w:rPr>
        <w:t>80</w:t>
      </w:r>
      <w:r>
        <w:rPr>
          <w:rFonts w:hint="eastAsia" w:ascii="仿宋" w:hAnsi="仿宋" w:eastAsia="仿宋" w:cs="仿宋"/>
          <w:b/>
          <w:color w:val="auto"/>
          <w:sz w:val="24"/>
          <w:szCs w:val="24"/>
        </w:rPr>
        <w:t>%，由评审小组成员独立打分。</w:t>
      </w:r>
    </w:p>
    <w:tbl>
      <w:tblPr>
        <w:tblStyle w:val="2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50"/>
        <w:gridCol w:w="6520"/>
        <w:gridCol w:w="819"/>
      </w:tblGrid>
      <w:tr w14:paraId="376F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jc w:val="center"/>
        </w:trPr>
        <w:tc>
          <w:tcPr>
            <w:tcW w:w="668" w:type="dxa"/>
            <w:noWrap w:val="0"/>
            <w:vAlign w:val="center"/>
          </w:tcPr>
          <w:p w14:paraId="473C7CCB">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250" w:type="dxa"/>
            <w:noWrap w:val="0"/>
            <w:vAlign w:val="center"/>
          </w:tcPr>
          <w:p w14:paraId="5E884A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评分类型</w:t>
            </w:r>
          </w:p>
        </w:tc>
        <w:tc>
          <w:tcPr>
            <w:tcW w:w="6520" w:type="dxa"/>
            <w:noWrap w:val="0"/>
            <w:vAlign w:val="center"/>
          </w:tcPr>
          <w:p w14:paraId="53FCE52B">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评审内容（缺项为0）</w:t>
            </w:r>
          </w:p>
        </w:tc>
        <w:tc>
          <w:tcPr>
            <w:tcW w:w="819" w:type="dxa"/>
            <w:noWrap w:val="0"/>
            <w:vAlign w:val="center"/>
          </w:tcPr>
          <w:p w14:paraId="401ED4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分值</w:t>
            </w:r>
          </w:p>
        </w:tc>
      </w:tr>
      <w:tr w14:paraId="4B05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68" w:type="dxa"/>
            <w:noWrap w:val="0"/>
            <w:vAlign w:val="center"/>
          </w:tcPr>
          <w:p w14:paraId="57667E1A">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w:t>
            </w:r>
          </w:p>
        </w:tc>
        <w:tc>
          <w:tcPr>
            <w:tcW w:w="1250" w:type="dxa"/>
            <w:noWrap w:val="0"/>
            <w:vAlign w:val="center"/>
          </w:tcPr>
          <w:p w14:paraId="7551EE4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项目业绩</w:t>
            </w:r>
          </w:p>
        </w:tc>
        <w:tc>
          <w:tcPr>
            <w:tcW w:w="6520" w:type="dxa"/>
            <w:noWrap w:val="0"/>
            <w:vAlign w:val="center"/>
          </w:tcPr>
          <w:p w14:paraId="3A4CA57E">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投标人自2022年1月1日至今（以合同签订时间为准），承包过类似项目业绩的，每提供一个业绩得1分，最高得2分。</w:t>
            </w:r>
          </w:p>
          <w:p w14:paraId="7E589E15">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b/>
                <w:color w:val="auto"/>
                <w:kern w:val="0"/>
                <w:sz w:val="24"/>
                <w:szCs w:val="24"/>
                <w:highlight w:val="none"/>
                <w:lang w:eastAsia="zh-CN"/>
              </w:rPr>
            </w:pPr>
            <w:r>
              <w:rPr>
                <w:rFonts w:hint="eastAsia" w:ascii="仿宋" w:hAnsi="仿宋" w:eastAsia="仿宋" w:cs="仿宋"/>
                <w:b/>
                <w:bCs w:val="0"/>
                <w:color w:val="auto"/>
                <w:sz w:val="24"/>
                <w:szCs w:val="24"/>
                <w:highlight w:val="none"/>
                <w:lang w:val="en-US" w:eastAsia="zh-CN"/>
              </w:rPr>
              <w:t>注：1.</w:t>
            </w:r>
            <w:r>
              <w:rPr>
                <w:rFonts w:hint="eastAsia" w:ascii="仿宋" w:hAnsi="仿宋" w:eastAsia="仿宋" w:cs="仿宋"/>
                <w:b/>
                <w:bCs w:val="0"/>
                <w:color w:val="auto"/>
                <w:sz w:val="24"/>
                <w:szCs w:val="24"/>
                <w:highlight w:val="none"/>
              </w:rPr>
              <w:t>提供</w:t>
            </w:r>
            <w:r>
              <w:rPr>
                <w:rFonts w:hint="eastAsia" w:ascii="仿宋" w:hAnsi="仿宋" w:eastAsia="仿宋" w:cs="仿宋"/>
                <w:b/>
                <w:bCs w:val="0"/>
                <w:color w:val="auto"/>
                <w:sz w:val="24"/>
                <w:szCs w:val="24"/>
                <w:highlight w:val="none"/>
                <w:lang w:val="en-US" w:eastAsia="zh-CN"/>
              </w:rPr>
              <w:t>合同</w:t>
            </w:r>
            <w:r>
              <w:rPr>
                <w:rFonts w:hint="eastAsia" w:ascii="仿宋" w:hAnsi="仿宋" w:eastAsia="仿宋" w:cs="仿宋"/>
                <w:b/>
                <w:bCs w:val="0"/>
                <w:color w:val="auto"/>
                <w:sz w:val="24"/>
                <w:szCs w:val="24"/>
                <w:highlight w:val="none"/>
              </w:rPr>
              <w:t>复印件</w:t>
            </w:r>
            <w:r>
              <w:rPr>
                <w:rFonts w:hint="eastAsia" w:ascii="仿宋" w:hAnsi="仿宋" w:eastAsia="仿宋" w:cs="仿宋"/>
                <w:b/>
                <w:bCs w:val="0"/>
                <w:color w:val="auto"/>
                <w:kern w:val="0"/>
                <w:sz w:val="24"/>
                <w:szCs w:val="24"/>
                <w:highlight w:val="none"/>
              </w:rPr>
              <w:t>并加盖投标人公章</w:t>
            </w:r>
            <w:r>
              <w:rPr>
                <w:rFonts w:hint="eastAsia" w:ascii="仿宋" w:hAnsi="仿宋" w:eastAsia="仿宋" w:cs="仿宋"/>
                <w:b/>
                <w:bCs w:val="0"/>
                <w:color w:val="auto"/>
                <w:sz w:val="24"/>
                <w:szCs w:val="24"/>
                <w:highlight w:val="none"/>
              </w:rPr>
              <w:t>，否则不得分</w:t>
            </w:r>
            <w:r>
              <w:rPr>
                <w:rFonts w:hint="eastAsia" w:ascii="仿宋" w:hAnsi="仿宋" w:eastAsia="仿宋" w:cs="仿宋"/>
                <w:b/>
                <w:bCs w:val="0"/>
                <w:color w:val="auto"/>
                <w:sz w:val="24"/>
                <w:szCs w:val="24"/>
                <w:highlight w:val="none"/>
                <w:lang w:eastAsia="zh-CN"/>
              </w:rPr>
              <w:t>；2.是否属于类似业绩由评审委员会根据合同的内容、特点以及与本项目的类似程度等进行认定。</w:t>
            </w:r>
          </w:p>
        </w:tc>
        <w:tc>
          <w:tcPr>
            <w:tcW w:w="819" w:type="dxa"/>
            <w:noWrap w:val="0"/>
            <w:vAlign w:val="center"/>
          </w:tcPr>
          <w:p w14:paraId="52A62A9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2分</w:t>
            </w:r>
          </w:p>
        </w:tc>
      </w:tr>
      <w:tr w14:paraId="30C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668" w:type="dxa"/>
            <w:vMerge w:val="restart"/>
            <w:noWrap w:val="0"/>
            <w:vAlign w:val="center"/>
          </w:tcPr>
          <w:p w14:paraId="49371107">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w:t>
            </w:r>
          </w:p>
        </w:tc>
        <w:tc>
          <w:tcPr>
            <w:tcW w:w="1250" w:type="dxa"/>
            <w:vMerge w:val="restart"/>
            <w:noWrap w:val="0"/>
            <w:vAlign w:val="center"/>
          </w:tcPr>
          <w:p w14:paraId="2A9E4F73">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人员配置方案</w:t>
            </w:r>
          </w:p>
        </w:tc>
        <w:tc>
          <w:tcPr>
            <w:tcW w:w="6520" w:type="dxa"/>
            <w:noWrap w:val="0"/>
            <w:vAlign w:val="center"/>
          </w:tcPr>
          <w:p w14:paraId="686A077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投标人派驻食堂厨师长具有中式烹调师证书初级等级证书的得1分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中式烹调师证书</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等级证书的得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最高得2分。</w:t>
            </w:r>
          </w:p>
          <w:p w14:paraId="2D96894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投标人派驻食堂面点</w:t>
            </w:r>
            <w:r>
              <w:rPr>
                <w:rFonts w:hint="eastAsia" w:ascii="仿宋" w:hAnsi="仿宋" w:eastAsia="仿宋" w:cs="仿宋"/>
                <w:bCs/>
                <w:color w:val="auto"/>
                <w:sz w:val="24"/>
                <w:szCs w:val="24"/>
                <w:highlight w:val="none"/>
              </w:rPr>
              <w:t>师（不包括厨师长）</w:t>
            </w:r>
            <w:r>
              <w:rPr>
                <w:rFonts w:hint="eastAsia" w:ascii="仿宋" w:hAnsi="仿宋" w:eastAsia="仿宋" w:cs="仿宋"/>
                <w:color w:val="auto"/>
                <w:sz w:val="24"/>
                <w:szCs w:val="24"/>
                <w:highlight w:val="none"/>
              </w:rPr>
              <w:t>具有中式烹调师或中式面点师初级等级证书的得1分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具有中式烹调师或中式面点师中级及以上等级证书的得2分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最高得2分。</w:t>
            </w:r>
          </w:p>
          <w:p w14:paraId="27E79D1C">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lang w:val="en-US" w:eastAsia="zh-CN"/>
              </w:rPr>
              <w:t>注：须提供上述人员相关证明材料复印件并加盖投标人公章，否则不得分。</w:t>
            </w:r>
          </w:p>
        </w:tc>
        <w:tc>
          <w:tcPr>
            <w:tcW w:w="819" w:type="dxa"/>
            <w:noWrap w:val="0"/>
            <w:vAlign w:val="center"/>
          </w:tcPr>
          <w:p w14:paraId="5886B7A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4分</w:t>
            </w:r>
          </w:p>
        </w:tc>
      </w:tr>
      <w:tr w14:paraId="0D43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668" w:type="dxa"/>
            <w:vMerge w:val="continue"/>
            <w:noWrap w:val="0"/>
            <w:vAlign w:val="center"/>
          </w:tcPr>
          <w:p w14:paraId="2183EAD9">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eastAsia" w:ascii="仿宋" w:hAnsi="仿宋" w:eastAsia="仿宋" w:cs="仿宋"/>
                <w:b/>
                <w:bCs w:val="0"/>
                <w:color w:val="auto"/>
                <w:sz w:val="24"/>
                <w:szCs w:val="24"/>
                <w:highlight w:val="none"/>
                <w:lang w:val="en-US" w:eastAsia="zh-CN"/>
              </w:rPr>
            </w:pPr>
          </w:p>
        </w:tc>
        <w:tc>
          <w:tcPr>
            <w:tcW w:w="1250" w:type="dxa"/>
            <w:vMerge w:val="continue"/>
            <w:noWrap w:val="0"/>
            <w:vAlign w:val="center"/>
          </w:tcPr>
          <w:p w14:paraId="16C9DC17">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p>
        </w:tc>
        <w:tc>
          <w:tcPr>
            <w:tcW w:w="6520" w:type="dxa"/>
            <w:noWrap w:val="0"/>
            <w:vAlign w:val="center"/>
          </w:tcPr>
          <w:p w14:paraId="15E8D708">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评委根据投标人拟派项目负责人和其他人员是否具有类似政府机关、企事业单位等食堂的实践经验，项目负责人是否具有调动供应商各项资源的能力，以及参与项目的专业人员素质、技术能力、专业分布、经验等情况进行综合评审。</w:t>
            </w:r>
            <w:r>
              <w:rPr>
                <w:rFonts w:hint="eastAsia" w:ascii="仿宋" w:hAnsi="仿宋" w:eastAsia="仿宋" w:cs="仿宋"/>
                <w:b w:val="0"/>
                <w:bCs w:val="0"/>
                <w:color w:val="auto"/>
                <w:sz w:val="24"/>
                <w:szCs w:val="24"/>
                <w:lang w:val="en-US" w:eastAsia="zh-CN"/>
              </w:rPr>
              <w:t>（打分范围：5,4,3,2,1,0分）</w:t>
            </w:r>
          </w:p>
        </w:tc>
        <w:tc>
          <w:tcPr>
            <w:tcW w:w="819" w:type="dxa"/>
            <w:noWrap w:val="0"/>
            <w:vAlign w:val="center"/>
          </w:tcPr>
          <w:p w14:paraId="302DA4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5分</w:t>
            </w:r>
          </w:p>
        </w:tc>
      </w:tr>
      <w:tr w14:paraId="0C5C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68" w:type="dxa"/>
            <w:vMerge w:val="continue"/>
            <w:noWrap w:val="0"/>
            <w:vAlign w:val="center"/>
          </w:tcPr>
          <w:p w14:paraId="53BB703C">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eastAsia" w:ascii="仿宋" w:hAnsi="仿宋" w:eastAsia="仿宋" w:cs="仿宋"/>
                <w:b/>
                <w:bCs w:val="0"/>
                <w:color w:val="auto"/>
                <w:sz w:val="24"/>
                <w:szCs w:val="24"/>
                <w:highlight w:val="none"/>
                <w:lang w:val="en-US" w:eastAsia="zh-CN"/>
              </w:rPr>
            </w:pPr>
          </w:p>
        </w:tc>
        <w:tc>
          <w:tcPr>
            <w:tcW w:w="1250" w:type="dxa"/>
            <w:vMerge w:val="continue"/>
            <w:noWrap w:val="0"/>
            <w:vAlign w:val="center"/>
          </w:tcPr>
          <w:p w14:paraId="02C8A21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p>
        </w:tc>
        <w:tc>
          <w:tcPr>
            <w:tcW w:w="6520" w:type="dxa"/>
            <w:noWrap w:val="0"/>
            <w:vAlign w:val="center"/>
          </w:tcPr>
          <w:p w14:paraId="267AE50F">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评委根据投标人拟派人员配置计划及各岗位薪资计划、工作职责、工作奖惩制度、人员培训计划的科学性、合理性等方面内容进行综合评审。</w:t>
            </w:r>
            <w:r>
              <w:rPr>
                <w:rFonts w:hint="eastAsia" w:ascii="仿宋" w:hAnsi="仿宋" w:eastAsia="仿宋" w:cs="仿宋"/>
                <w:b w:val="0"/>
                <w:bCs w:val="0"/>
                <w:color w:val="auto"/>
                <w:sz w:val="24"/>
                <w:szCs w:val="24"/>
                <w:lang w:val="en-US" w:eastAsia="zh-CN"/>
              </w:rPr>
              <w:t>（打分范围：5,4,3,2,1,0分）</w:t>
            </w:r>
          </w:p>
        </w:tc>
        <w:tc>
          <w:tcPr>
            <w:tcW w:w="819" w:type="dxa"/>
            <w:noWrap w:val="0"/>
            <w:vAlign w:val="center"/>
          </w:tcPr>
          <w:p w14:paraId="01F79D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5分</w:t>
            </w:r>
          </w:p>
        </w:tc>
      </w:tr>
      <w:tr w14:paraId="36D2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68" w:type="dxa"/>
            <w:shd w:val="clear" w:color="auto" w:fill="auto"/>
            <w:noWrap w:val="0"/>
            <w:vAlign w:val="center"/>
          </w:tcPr>
          <w:p w14:paraId="08D67ADF">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w:t>
            </w:r>
          </w:p>
        </w:tc>
        <w:tc>
          <w:tcPr>
            <w:tcW w:w="1250" w:type="dxa"/>
            <w:noWrap w:val="0"/>
            <w:vAlign w:val="center"/>
          </w:tcPr>
          <w:p w14:paraId="6C5B0F3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食堂承包管理服务理念</w:t>
            </w:r>
          </w:p>
        </w:tc>
        <w:tc>
          <w:tcPr>
            <w:tcW w:w="6520" w:type="dxa"/>
            <w:noWrap w:val="0"/>
            <w:vAlign w:val="center"/>
          </w:tcPr>
          <w:p w14:paraId="482B5334">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提出食堂承包管理服务理念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服务定位、目标</w:t>
            </w:r>
            <w:r>
              <w:rPr>
                <w:rFonts w:hint="eastAsia" w:ascii="仿宋" w:hAnsi="仿宋" w:eastAsia="仿宋" w:cs="仿宋"/>
                <w:color w:val="auto"/>
                <w:sz w:val="24"/>
                <w:szCs w:val="24"/>
                <w:lang w:val="en-US" w:eastAsia="zh-CN"/>
              </w:rPr>
              <w:t>以及</w:t>
            </w:r>
            <w:r>
              <w:rPr>
                <w:rFonts w:hint="eastAsia" w:ascii="仿宋" w:hAnsi="仿宋" w:eastAsia="仿宋" w:cs="仿宋"/>
                <w:color w:val="auto"/>
                <w:sz w:val="24"/>
                <w:szCs w:val="24"/>
              </w:rPr>
              <w:t>管理模式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评委</w:t>
            </w:r>
            <w:r>
              <w:rPr>
                <w:rFonts w:hint="eastAsia" w:ascii="仿宋" w:hAnsi="仿宋" w:eastAsia="仿宋" w:cs="仿宋"/>
                <w:color w:val="auto"/>
                <w:sz w:val="24"/>
                <w:szCs w:val="24"/>
                <w:lang w:val="en-US" w:eastAsia="zh-CN"/>
              </w:rPr>
              <w:t>根据</w:t>
            </w:r>
            <w:r>
              <w:rPr>
                <w:rFonts w:hint="eastAsia" w:ascii="仿宋" w:hAnsi="仿宋" w:eastAsia="仿宋" w:cs="仿宋"/>
                <w:color w:val="auto"/>
                <w:sz w:val="24"/>
                <w:szCs w:val="24"/>
              </w:rPr>
              <w:t>响应</w:t>
            </w:r>
            <w:r>
              <w:rPr>
                <w:rFonts w:hint="eastAsia" w:ascii="仿宋" w:hAnsi="仿宋" w:eastAsia="仿宋" w:cs="仿宋"/>
                <w:color w:val="auto"/>
                <w:sz w:val="24"/>
                <w:szCs w:val="24"/>
                <w:lang w:val="en-US" w:eastAsia="zh-CN"/>
              </w:rPr>
              <w:t>内容是否</w:t>
            </w:r>
            <w:r>
              <w:rPr>
                <w:rFonts w:hint="eastAsia" w:ascii="仿宋" w:hAnsi="仿宋" w:eastAsia="仿宋" w:cs="仿宋"/>
                <w:color w:val="auto"/>
                <w:sz w:val="24"/>
                <w:szCs w:val="24"/>
              </w:rPr>
              <w:t>能够切合实际，</w:t>
            </w:r>
            <w:r>
              <w:rPr>
                <w:rFonts w:hint="eastAsia" w:ascii="仿宋" w:hAnsi="仿宋" w:eastAsia="仿宋" w:cs="仿宋"/>
                <w:color w:val="auto"/>
                <w:sz w:val="24"/>
                <w:szCs w:val="24"/>
                <w:lang w:val="en-US" w:eastAsia="zh-CN"/>
              </w:rPr>
              <w:t>是否</w:t>
            </w:r>
            <w:r>
              <w:rPr>
                <w:rFonts w:hint="eastAsia" w:ascii="仿宋" w:hAnsi="仿宋" w:eastAsia="仿宋" w:cs="仿宋"/>
                <w:color w:val="auto"/>
                <w:sz w:val="24"/>
                <w:szCs w:val="24"/>
              </w:rPr>
              <w:t>充分考虑医院的日常用途和需求</w:t>
            </w:r>
            <w:r>
              <w:rPr>
                <w:rFonts w:hint="eastAsia" w:ascii="仿宋" w:hAnsi="仿宋" w:eastAsia="仿宋" w:cs="仿宋"/>
                <w:color w:val="auto"/>
                <w:sz w:val="24"/>
                <w:szCs w:val="24"/>
                <w:lang w:val="en-US" w:eastAsia="zh-CN"/>
              </w:rPr>
              <w:t>进行综合评审。（打分范围：6,5,4,3,2,1,0分）</w:t>
            </w:r>
          </w:p>
        </w:tc>
        <w:tc>
          <w:tcPr>
            <w:tcW w:w="819" w:type="dxa"/>
            <w:noWrap w:val="0"/>
            <w:vAlign w:val="center"/>
          </w:tcPr>
          <w:p w14:paraId="55775F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6分</w:t>
            </w:r>
          </w:p>
        </w:tc>
      </w:tr>
      <w:tr w14:paraId="2B8D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68" w:type="dxa"/>
            <w:shd w:val="clear" w:color="auto" w:fill="auto"/>
            <w:noWrap w:val="0"/>
            <w:vAlign w:val="center"/>
          </w:tcPr>
          <w:p w14:paraId="5310FB14">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4</w:t>
            </w:r>
          </w:p>
        </w:tc>
        <w:tc>
          <w:tcPr>
            <w:tcW w:w="1250" w:type="dxa"/>
            <w:noWrap w:val="0"/>
            <w:vAlign w:val="center"/>
          </w:tcPr>
          <w:p w14:paraId="581B8B4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组织架构及管理制度</w:t>
            </w:r>
          </w:p>
        </w:tc>
        <w:tc>
          <w:tcPr>
            <w:tcW w:w="6520" w:type="dxa"/>
            <w:noWrap w:val="0"/>
            <w:vAlign w:val="center"/>
          </w:tcPr>
          <w:p w14:paraId="55E63589">
            <w:pPr>
              <w:pStyle w:val="20"/>
              <w:pageBreakBefore w:val="0"/>
              <w:kinsoku/>
              <w:wordWrap/>
              <w:overflowPunct/>
              <w:topLinePunct w:val="0"/>
              <w:autoSpaceDE/>
              <w:autoSpaceDN/>
              <w:bidi w:val="0"/>
              <w:snapToGrid/>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投标人提出</w:t>
            </w:r>
            <w:r>
              <w:rPr>
                <w:rFonts w:hint="eastAsia" w:ascii="仿宋" w:hAnsi="仿宋" w:eastAsia="仿宋" w:cs="仿宋"/>
                <w:color w:val="auto"/>
                <w:sz w:val="24"/>
                <w:szCs w:val="24"/>
              </w:rPr>
              <w:t>食堂承包管理制度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运作</w:t>
            </w:r>
            <w:r>
              <w:rPr>
                <w:rFonts w:hint="eastAsia" w:ascii="仿宋" w:hAnsi="仿宋" w:eastAsia="仿宋" w:cs="仿宋"/>
                <w:color w:val="auto"/>
                <w:sz w:val="24"/>
                <w:szCs w:val="24"/>
              </w:rPr>
              <w:t>流程，并建立和完善档案管理制度、</w:t>
            </w:r>
            <w:r>
              <w:rPr>
                <w:rFonts w:hint="eastAsia" w:ascii="仿宋" w:hAnsi="仿宋" w:eastAsia="仿宋" w:cs="仿宋"/>
                <w:color w:val="auto"/>
                <w:sz w:val="24"/>
                <w:szCs w:val="24"/>
                <w:lang w:eastAsia="zh-CN"/>
              </w:rPr>
              <w:t>工作</w:t>
            </w:r>
            <w:r>
              <w:rPr>
                <w:rFonts w:hint="eastAsia" w:ascii="仿宋" w:hAnsi="仿宋" w:eastAsia="仿宋" w:cs="仿宋"/>
                <w:color w:val="auto"/>
                <w:sz w:val="24"/>
                <w:szCs w:val="24"/>
              </w:rPr>
              <w:t>制度，评委</w:t>
            </w:r>
            <w:r>
              <w:rPr>
                <w:rFonts w:hint="eastAsia" w:ascii="仿宋" w:hAnsi="仿宋" w:eastAsia="仿宋" w:cs="仿宋"/>
                <w:color w:val="auto"/>
                <w:sz w:val="24"/>
                <w:szCs w:val="24"/>
                <w:lang w:val="en-US" w:eastAsia="zh-CN"/>
              </w:rPr>
              <w:t>根据</w:t>
            </w:r>
            <w:r>
              <w:rPr>
                <w:rFonts w:hint="eastAsia" w:ascii="仿宋" w:hAnsi="仿宋" w:eastAsia="仿宋" w:cs="仿宋"/>
                <w:color w:val="auto"/>
                <w:sz w:val="24"/>
                <w:szCs w:val="24"/>
              </w:rPr>
              <w:t>响应</w:t>
            </w:r>
            <w:r>
              <w:rPr>
                <w:rFonts w:hint="eastAsia" w:ascii="仿宋" w:hAnsi="仿宋" w:eastAsia="仿宋" w:cs="仿宋"/>
                <w:color w:val="auto"/>
                <w:sz w:val="24"/>
                <w:szCs w:val="24"/>
                <w:lang w:val="en-US" w:eastAsia="zh-CN"/>
              </w:rPr>
              <w:t>内容是否</w:t>
            </w:r>
            <w:r>
              <w:rPr>
                <w:rFonts w:hint="eastAsia" w:ascii="仿宋" w:hAnsi="仿宋" w:eastAsia="仿宋" w:cs="仿宋"/>
                <w:color w:val="auto"/>
                <w:sz w:val="24"/>
                <w:szCs w:val="24"/>
              </w:rPr>
              <w:t>能够切合实际，</w:t>
            </w:r>
            <w:r>
              <w:rPr>
                <w:rFonts w:hint="eastAsia" w:ascii="仿宋" w:hAnsi="仿宋" w:eastAsia="仿宋" w:cs="仿宋"/>
                <w:color w:val="auto"/>
                <w:sz w:val="24"/>
                <w:szCs w:val="24"/>
                <w:lang w:val="en-US" w:eastAsia="zh-CN"/>
              </w:rPr>
              <w:t>是否</w:t>
            </w:r>
            <w:r>
              <w:rPr>
                <w:rFonts w:hint="eastAsia" w:ascii="仿宋" w:hAnsi="仿宋" w:eastAsia="仿宋" w:cs="仿宋"/>
                <w:color w:val="auto"/>
                <w:sz w:val="24"/>
                <w:szCs w:val="24"/>
              </w:rPr>
              <w:t>充分考虑医院的日常用途和需求</w:t>
            </w:r>
            <w:r>
              <w:rPr>
                <w:rFonts w:hint="eastAsia" w:ascii="仿宋" w:hAnsi="仿宋" w:eastAsia="仿宋" w:cs="仿宋"/>
                <w:color w:val="auto"/>
                <w:sz w:val="24"/>
                <w:szCs w:val="24"/>
                <w:lang w:val="en-US" w:eastAsia="zh-CN"/>
              </w:rPr>
              <w:t>进行综合评审。（打分范围：5,4,3,2,1,0分）</w:t>
            </w:r>
          </w:p>
        </w:tc>
        <w:tc>
          <w:tcPr>
            <w:tcW w:w="819" w:type="dxa"/>
            <w:noWrap w:val="0"/>
            <w:vAlign w:val="center"/>
          </w:tcPr>
          <w:p w14:paraId="10B649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5分</w:t>
            </w:r>
          </w:p>
        </w:tc>
      </w:tr>
      <w:tr w14:paraId="774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68" w:type="dxa"/>
            <w:noWrap w:val="0"/>
            <w:vAlign w:val="center"/>
          </w:tcPr>
          <w:p w14:paraId="6E99ACC9">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w:t>
            </w:r>
          </w:p>
        </w:tc>
        <w:tc>
          <w:tcPr>
            <w:tcW w:w="1250" w:type="dxa"/>
            <w:noWrap w:val="0"/>
            <w:vAlign w:val="center"/>
          </w:tcPr>
          <w:p w14:paraId="06DC1870">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经营管理与组织实施方案</w:t>
            </w:r>
          </w:p>
        </w:tc>
        <w:tc>
          <w:tcPr>
            <w:tcW w:w="6520" w:type="dxa"/>
            <w:noWrap w:val="0"/>
            <w:vAlign w:val="center"/>
          </w:tcPr>
          <w:p w14:paraId="4F65C666">
            <w:pPr>
              <w:pStyle w:val="20"/>
              <w:pageBreakBefore w:val="0"/>
              <w:kinsoku/>
              <w:wordWrap/>
              <w:overflowPunct/>
              <w:topLinePunct w:val="0"/>
              <w:autoSpaceDE/>
              <w:autoSpaceDN/>
              <w:bidi w:val="0"/>
              <w:snapToGrid/>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投标人提出经营管理方案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接管组织实施方案，评委</w:t>
            </w:r>
            <w:r>
              <w:rPr>
                <w:rFonts w:hint="eastAsia" w:ascii="仿宋" w:hAnsi="仿宋" w:eastAsia="仿宋" w:cs="仿宋"/>
                <w:color w:val="auto"/>
                <w:sz w:val="24"/>
                <w:szCs w:val="24"/>
                <w:lang w:val="en-US" w:eastAsia="zh-CN"/>
              </w:rPr>
              <w:t>根据</w:t>
            </w:r>
            <w:r>
              <w:rPr>
                <w:rFonts w:hint="eastAsia" w:ascii="仿宋" w:hAnsi="仿宋" w:eastAsia="仿宋" w:cs="仿宋"/>
                <w:color w:val="auto"/>
                <w:sz w:val="24"/>
                <w:szCs w:val="24"/>
              </w:rPr>
              <w:t>响应</w:t>
            </w:r>
            <w:r>
              <w:rPr>
                <w:rFonts w:hint="eastAsia" w:ascii="仿宋" w:hAnsi="仿宋" w:eastAsia="仿宋" w:cs="仿宋"/>
                <w:color w:val="auto"/>
                <w:sz w:val="24"/>
                <w:szCs w:val="24"/>
                <w:lang w:val="en-US" w:eastAsia="zh-CN"/>
              </w:rPr>
              <w:t>内容是否</w:t>
            </w:r>
            <w:r>
              <w:rPr>
                <w:rFonts w:hint="eastAsia" w:ascii="仿宋" w:hAnsi="仿宋" w:eastAsia="仿宋" w:cs="仿宋"/>
                <w:color w:val="auto"/>
                <w:sz w:val="24"/>
                <w:szCs w:val="24"/>
              </w:rPr>
              <w:t>能够切合实际，</w:t>
            </w:r>
            <w:r>
              <w:rPr>
                <w:rFonts w:hint="eastAsia" w:ascii="仿宋" w:hAnsi="仿宋" w:eastAsia="仿宋" w:cs="仿宋"/>
                <w:color w:val="auto"/>
                <w:sz w:val="24"/>
                <w:szCs w:val="24"/>
                <w:lang w:val="en-US" w:eastAsia="zh-CN"/>
              </w:rPr>
              <w:t>是否</w:t>
            </w:r>
            <w:r>
              <w:rPr>
                <w:rFonts w:hint="eastAsia" w:ascii="仿宋" w:hAnsi="仿宋" w:eastAsia="仿宋" w:cs="仿宋"/>
                <w:color w:val="auto"/>
                <w:sz w:val="24"/>
                <w:szCs w:val="24"/>
              </w:rPr>
              <w:t>充分考虑医院的日常用途和需求</w:t>
            </w:r>
            <w:r>
              <w:rPr>
                <w:rFonts w:hint="eastAsia" w:ascii="仿宋" w:hAnsi="仿宋" w:eastAsia="仿宋" w:cs="仿宋"/>
                <w:color w:val="auto"/>
                <w:sz w:val="24"/>
                <w:szCs w:val="24"/>
                <w:lang w:val="en-US" w:eastAsia="zh-CN"/>
              </w:rPr>
              <w:t>进行综合评审。（打分范围：6,5,4,3,2,1,0分）</w:t>
            </w:r>
          </w:p>
        </w:tc>
        <w:tc>
          <w:tcPr>
            <w:tcW w:w="819" w:type="dxa"/>
            <w:noWrap w:val="0"/>
            <w:vAlign w:val="center"/>
          </w:tcPr>
          <w:p w14:paraId="2654BB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6分</w:t>
            </w:r>
          </w:p>
        </w:tc>
      </w:tr>
      <w:tr w14:paraId="3524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68" w:type="dxa"/>
            <w:vMerge w:val="restart"/>
            <w:noWrap w:val="0"/>
            <w:vAlign w:val="center"/>
          </w:tcPr>
          <w:p w14:paraId="0CE9341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w:t>
            </w:r>
          </w:p>
        </w:tc>
        <w:tc>
          <w:tcPr>
            <w:tcW w:w="1250" w:type="dxa"/>
            <w:vMerge w:val="restart"/>
            <w:noWrap w:val="0"/>
            <w:vAlign w:val="center"/>
          </w:tcPr>
          <w:p w14:paraId="296CDD6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供餐服务方案</w:t>
            </w:r>
          </w:p>
        </w:tc>
        <w:tc>
          <w:tcPr>
            <w:tcW w:w="6520" w:type="dxa"/>
            <w:noWrap w:val="0"/>
            <w:vAlign w:val="center"/>
          </w:tcPr>
          <w:p w14:paraId="600031F1">
            <w:pPr>
              <w:pStyle w:val="20"/>
              <w:pageBreakBefore w:val="0"/>
              <w:kinsoku/>
              <w:wordWrap/>
              <w:overflowPunct/>
              <w:topLinePunct w:val="0"/>
              <w:autoSpaceDE/>
              <w:autoSpaceDN/>
              <w:bidi w:val="0"/>
              <w:snapToGrid/>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评委根据投标人对早餐的品类及搭配、午餐及晚餐定位</w:t>
            </w:r>
            <w:r>
              <w:rPr>
                <w:rFonts w:hint="eastAsia" w:ascii="仿宋" w:hAnsi="仿宋" w:eastAsia="仿宋" w:cs="仿宋"/>
                <w:color w:val="auto"/>
                <w:sz w:val="24"/>
                <w:szCs w:val="24"/>
                <w:highlight w:val="none"/>
                <w:lang w:val="en-US" w:eastAsia="zh-CN"/>
              </w:rPr>
              <w:t>是否安全、经济、营养等</w:t>
            </w:r>
            <w:r>
              <w:rPr>
                <w:rFonts w:hint="eastAsia" w:ascii="仿宋" w:hAnsi="仿宋" w:eastAsia="仿宋" w:cs="仿宋"/>
                <w:color w:val="auto"/>
                <w:sz w:val="24"/>
                <w:szCs w:val="24"/>
                <w:lang w:val="en-US" w:eastAsia="zh-CN"/>
              </w:rPr>
              <w:t>进行综合评审。（打分范围：8,7,6,5,4,3,2,1,0分）</w:t>
            </w:r>
          </w:p>
        </w:tc>
        <w:tc>
          <w:tcPr>
            <w:tcW w:w="819" w:type="dxa"/>
            <w:noWrap w:val="0"/>
            <w:vAlign w:val="center"/>
          </w:tcPr>
          <w:p w14:paraId="3CD7A5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8分</w:t>
            </w:r>
          </w:p>
        </w:tc>
      </w:tr>
      <w:tr w14:paraId="1730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68" w:type="dxa"/>
            <w:vMerge w:val="continue"/>
            <w:noWrap w:val="0"/>
            <w:vAlign w:val="center"/>
          </w:tcPr>
          <w:p w14:paraId="46EFD697">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p>
        </w:tc>
        <w:tc>
          <w:tcPr>
            <w:tcW w:w="1250" w:type="dxa"/>
            <w:vMerge w:val="continue"/>
            <w:noWrap w:val="0"/>
            <w:vAlign w:val="center"/>
          </w:tcPr>
          <w:p w14:paraId="1487069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p>
        </w:tc>
        <w:tc>
          <w:tcPr>
            <w:tcW w:w="6520" w:type="dxa"/>
            <w:noWrap w:val="0"/>
            <w:vAlign w:val="center"/>
          </w:tcPr>
          <w:p w14:paraId="1052793F">
            <w:pPr>
              <w:pStyle w:val="20"/>
              <w:pageBreakBefore w:val="0"/>
              <w:kinsoku/>
              <w:wordWrap/>
              <w:overflowPunct/>
              <w:topLinePunct w:val="0"/>
              <w:autoSpaceDE/>
              <w:autoSpaceDN/>
              <w:bidi w:val="0"/>
              <w:snapToGrid/>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评委根据投标人对日常公务接待或紧急用餐的组织、协调方案是否</w:t>
            </w:r>
            <w:r>
              <w:rPr>
                <w:rFonts w:hint="eastAsia" w:ascii="仿宋" w:hAnsi="仿宋" w:eastAsia="仿宋" w:cs="仿宋"/>
                <w:color w:val="auto"/>
                <w:sz w:val="24"/>
                <w:szCs w:val="24"/>
              </w:rPr>
              <w:t>能够切合实际，</w:t>
            </w:r>
            <w:r>
              <w:rPr>
                <w:rFonts w:hint="eastAsia" w:ascii="仿宋" w:hAnsi="仿宋" w:eastAsia="仿宋" w:cs="仿宋"/>
                <w:color w:val="auto"/>
                <w:sz w:val="24"/>
                <w:szCs w:val="24"/>
                <w:lang w:val="en-US" w:eastAsia="zh-CN"/>
              </w:rPr>
              <w:t>是否</w:t>
            </w:r>
            <w:r>
              <w:rPr>
                <w:rFonts w:hint="eastAsia" w:ascii="仿宋" w:hAnsi="仿宋" w:eastAsia="仿宋" w:cs="仿宋"/>
                <w:color w:val="auto"/>
                <w:sz w:val="24"/>
                <w:szCs w:val="24"/>
              </w:rPr>
              <w:t>充分考虑医院的日常用途和需求</w:t>
            </w:r>
            <w:r>
              <w:rPr>
                <w:rFonts w:hint="eastAsia" w:ascii="仿宋" w:hAnsi="仿宋" w:eastAsia="仿宋" w:cs="仿宋"/>
                <w:color w:val="auto"/>
                <w:sz w:val="24"/>
                <w:szCs w:val="24"/>
                <w:lang w:val="en-US" w:eastAsia="zh-CN"/>
              </w:rPr>
              <w:t>进行综合评审。（打分范围：8,7,6,5,4,3,2,1,0分）</w:t>
            </w:r>
          </w:p>
        </w:tc>
        <w:tc>
          <w:tcPr>
            <w:tcW w:w="819" w:type="dxa"/>
            <w:noWrap w:val="0"/>
            <w:vAlign w:val="center"/>
          </w:tcPr>
          <w:p w14:paraId="09D5FB8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8分</w:t>
            </w:r>
          </w:p>
        </w:tc>
      </w:tr>
      <w:tr w14:paraId="7DFA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68" w:type="dxa"/>
            <w:vMerge w:val="continue"/>
            <w:noWrap w:val="0"/>
            <w:vAlign w:val="center"/>
          </w:tcPr>
          <w:p w14:paraId="7B670A6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p>
        </w:tc>
        <w:tc>
          <w:tcPr>
            <w:tcW w:w="1250" w:type="dxa"/>
            <w:vMerge w:val="continue"/>
            <w:noWrap w:val="0"/>
            <w:vAlign w:val="center"/>
          </w:tcPr>
          <w:p w14:paraId="67509D03">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p>
        </w:tc>
        <w:tc>
          <w:tcPr>
            <w:tcW w:w="6520" w:type="dxa"/>
            <w:noWrap w:val="0"/>
            <w:vAlign w:val="center"/>
          </w:tcPr>
          <w:p w14:paraId="369DAD79">
            <w:pPr>
              <w:pStyle w:val="20"/>
              <w:pageBreakBefore w:val="0"/>
              <w:kinsoku/>
              <w:wordWrap/>
              <w:overflowPunct/>
              <w:topLinePunct w:val="0"/>
              <w:autoSpaceDE/>
              <w:autoSpaceDN/>
              <w:bidi w:val="0"/>
              <w:snapToGrid/>
              <w:spacing w:line="24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评委根据投标人提供的特色菜，以及针对本项目在服务过程中，对菜品的更新和创新等方案落实及操作的可行性进行综合评审。（打分范围：8,7,6,5,4,3,2,1,0分）</w:t>
            </w:r>
          </w:p>
        </w:tc>
        <w:tc>
          <w:tcPr>
            <w:tcW w:w="819" w:type="dxa"/>
            <w:noWrap w:val="0"/>
            <w:vAlign w:val="center"/>
          </w:tcPr>
          <w:p w14:paraId="01AEE1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8分</w:t>
            </w:r>
          </w:p>
        </w:tc>
      </w:tr>
      <w:tr w14:paraId="5030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668" w:type="dxa"/>
            <w:shd w:val="clear" w:color="auto" w:fill="auto"/>
            <w:noWrap w:val="0"/>
            <w:vAlign w:val="center"/>
          </w:tcPr>
          <w:p w14:paraId="72B0FCE2">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7</w:t>
            </w:r>
          </w:p>
        </w:tc>
        <w:tc>
          <w:tcPr>
            <w:tcW w:w="1250" w:type="dxa"/>
            <w:noWrap w:val="0"/>
            <w:vAlign w:val="center"/>
          </w:tcPr>
          <w:p w14:paraId="2BDD2B0E">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食品安全管理方案</w:t>
            </w:r>
          </w:p>
        </w:tc>
        <w:tc>
          <w:tcPr>
            <w:tcW w:w="6520" w:type="dxa"/>
            <w:noWrap w:val="0"/>
            <w:vAlign w:val="center"/>
          </w:tcPr>
          <w:p w14:paraId="1D18B35C">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color w:val="auto"/>
                <w:sz w:val="24"/>
                <w:szCs w:val="24"/>
              </w:rPr>
              <w:t>评委</w:t>
            </w:r>
            <w:r>
              <w:rPr>
                <w:rFonts w:hint="eastAsia" w:ascii="仿宋" w:hAnsi="仿宋" w:eastAsia="仿宋" w:cs="仿宋"/>
                <w:color w:val="auto"/>
                <w:sz w:val="24"/>
                <w:szCs w:val="24"/>
                <w:lang w:val="en-US" w:eastAsia="zh-CN"/>
              </w:rPr>
              <w:t>根据</w:t>
            </w:r>
            <w:r>
              <w:rPr>
                <w:rFonts w:hint="eastAsia" w:ascii="仿宋" w:hAnsi="仿宋" w:eastAsia="仿宋" w:cs="仿宋"/>
                <w:color w:val="auto"/>
                <w:sz w:val="24"/>
                <w:szCs w:val="24"/>
                <w:highlight w:val="none"/>
                <w:lang w:val="en-US" w:eastAsia="zh-CN"/>
              </w:rPr>
              <w:t>投标人提出的食品安全、生产安全风险分析及可行控制方案，包括食品安全细化、食堂风险的分析、对食品安全的保障措施、安全方案的内控机制及能力</w:t>
            </w:r>
            <w:r>
              <w:rPr>
                <w:rFonts w:hint="eastAsia" w:ascii="仿宋" w:hAnsi="仿宋" w:eastAsia="仿宋" w:cs="仿宋"/>
                <w:color w:val="auto"/>
                <w:sz w:val="24"/>
                <w:szCs w:val="24"/>
                <w:lang w:val="en-US" w:eastAsia="zh-CN"/>
              </w:rPr>
              <w:t>是否</w:t>
            </w:r>
            <w:r>
              <w:rPr>
                <w:rFonts w:hint="eastAsia" w:ascii="仿宋" w:hAnsi="仿宋" w:eastAsia="仿宋" w:cs="仿宋"/>
                <w:color w:val="auto"/>
                <w:sz w:val="24"/>
                <w:szCs w:val="24"/>
              </w:rPr>
              <w:t>能够切合实际，</w:t>
            </w:r>
            <w:r>
              <w:rPr>
                <w:rFonts w:hint="eastAsia" w:ascii="仿宋" w:hAnsi="仿宋" w:eastAsia="仿宋" w:cs="仿宋"/>
                <w:color w:val="auto"/>
                <w:sz w:val="24"/>
                <w:szCs w:val="24"/>
                <w:lang w:val="en-US" w:eastAsia="zh-CN"/>
              </w:rPr>
              <w:t>是否</w:t>
            </w:r>
            <w:r>
              <w:rPr>
                <w:rFonts w:hint="eastAsia" w:ascii="仿宋" w:hAnsi="仿宋" w:eastAsia="仿宋" w:cs="仿宋"/>
                <w:color w:val="auto"/>
                <w:sz w:val="24"/>
                <w:szCs w:val="24"/>
              </w:rPr>
              <w:t>充分考虑医院的日常用途和需求</w:t>
            </w:r>
            <w:r>
              <w:rPr>
                <w:rFonts w:hint="eastAsia" w:ascii="仿宋" w:hAnsi="仿宋" w:eastAsia="仿宋" w:cs="仿宋"/>
                <w:color w:val="auto"/>
                <w:sz w:val="24"/>
                <w:szCs w:val="24"/>
                <w:lang w:val="en-US" w:eastAsia="zh-CN"/>
              </w:rPr>
              <w:t>进行综合评审。（打分范围：5,4,3,2,1,0分）</w:t>
            </w:r>
          </w:p>
        </w:tc>
        <w:tc>
          <w:tcPr>
            <w:tcW w:w="819" w:type="dxa"/>
            <w:noWrap w:val="0"/>
            <w:vAlign w:val="center"/>
          </w:tcPr>
          <w:p w14:paraId="646FDB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5分</w:t>
            </w:r>
          </w:p>
        </w:tc>
      </w:tr>
      <w:tr w14:paraId="4935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68" w:type="dxa"/>
            <w:shd w:val="clear" w:color="auto" w:fill="auto"/>
            <w:noWrap w:val="0"/>
            <w:vAlign w:val="center"/>
          </w:tcPr>
          <w:p w14:paraId="4C2F8909">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8</w:t>
            </w:r>
          </w:p>
        </w:tc>
        <w:tc>
          <w:tcPr>
            <w:tcW w:w="1250" w:type="dxa"/>
            <w:noWrap w:val="0"/>
            <w:vAlign w:val="center"/>
          </w:tcPr>
          <w:p w14:paraId="7E844BF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应急预案</w:t>
            </w:r>
          </w:p>
        </w:tc>
        <w:tc>
          <w:tcPr>
            <w:tcW w:w="6520" w:type="dxa"/>
            <w:noWrap w:val="0"/>
            <w:vAlign w:val="center"/>
          </w:tcPr>
          <w:p w14:paraId="6B8F2C15">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评委投标人提出的应急预案</w:t>
            </w:r>
            <w:r>
              <w:rPr>
                <w:rFonts w:hint="eastAsia" w:ascii="仿宋" w:hAnsi="仿宋" w:eastAsia="仿宋" w:cs="仿宋"/>
                <w:color w:val="auto"/>
                <w:sz w:val="24"/>
                <w:szCs w:val="24"/>
                <w:highlight w:val="none"/>
              </w:rPr>
              <w:t>是否具有针对性、完整合理、切实可行</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rPr>
              <w:t>食品安全、环境安全、消防安全</w:t>
            </w:r>
            <w:r>
              <w:rPr>
                <w:rFonts w:hint="eastAsia" w:ascii="仿宋" w:hAnsi="仿宋" w:eastAsia="仿宋" w:cs="仿宋"/>
                <w:color w:val="auto"/>
                <w:sz w:val="24"/>
                <w:szCs w:val="24"/>
                <w:highlight w:val="none"/>
                <w:lang w:val="en-US" w:eastAsia="zh-CN"/>
              </w:rPr>
              <w:t>、停电、停水、停气、突击检查、防控等突发事件的应急预案和措施等</w:t>
            </w:r>
            <w:r>
              <w:rPr>
                <w:rFonts w:hint="eastAsia" w:ascii="仿宋" w:hAnsi="仿宋" w:eastAsia="仿宋" w:cs="仿宋"/>
                <w:color w:val="auto"/>
                <w:sz w:val="24"/>
                <w:szCs w:val="24"/>
                <w:lang w:val="en-US" w:eastAsia="zh-CN"/>
              </w:rPr>
              <w:t>进行综合评审。（打分范围：6,5,4,3,2,1,0分）</w:t>
            </w:r>
          </w:p>
        </w:tc>
        <w:tc>
          <w:tcPr>
            <w:tcW w:w="819" w:type="dxa"/>
            <w:noWrap w:val="0"/>
            <w:vAlign w:val="center"/>
          </w:tcPr>
          <w:p w14:paraId="5EE51F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6分</w:t>
            </w:r>
          </w:p>
        </w:tc>
      </w:tr>
      <w:tr w14:paraId="571D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68" w:type="dxa"/>
            <w:noWrap w:val="0"/>
            <w:vAlign w:val="center"/>
          </w:tcPr>
          <w:p w14:paraId="72BF131C">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9</w:t>
            </w:r>
          </w:p>
        </w:tc>
        <w:tc>
          <w:tcPr>
            <w:tcW w:w="1250" w:type="dxa"/>
            <w:noWrap w:val="0"/>
            <w:vAlign w:val="center"/>
          </w:tcPr>
          <w:p w14:paraId="6C53B48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个性化服务方案及优惠承诺</w:t>
            </w:r>
          </w:p>
        </w:tc>
        <w:tc>
          <w:tcPr>
            <w:tcW w:w="6520" w:type="dxa"/>
            <w:shd w:val="clear" w:color="auto" w:fill="auto"/>
            <w:noWrap w:val="0"/>
            <w:vAlign w:val="center"/>
          </w:tcPr>
          <w:p w14:paraId="21A8ED52">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lang w:val="en-US" w:eastAsia="zh-CN"/>
              </w:rPr>
              <w:t>投标人针对本项目特点提出个性化服务方案及优惠承诺，包括</w:t>
            </w:r>
            <w:r>
              <w:rPr>
                <w:rFonts w:hint="eastAsia" w:ascii="仿宋" w:hAnsi="仿宋" w:eastAsia="仿宋" w:cs="仿宋"/>
                <w:b w:val="0"/>
                <w:bCs w:val="0"/>
                <w:color w:val="auto"/>
                <w:sz w:val="24"/>
              </w:rPr>
              <w:t>医师节、护士节、三八妇女节</w:t>
            </w:r>
            <w:r>
              <w:rPr>
                <w:rFonts w:hint="eastAsia" w:ascii="仿宋" w:hAnsi="仿宋" w:eastAsia="仿宋" w:cs="仿宋"/>
                <w:b w:val="0"/>
                <w:bCs w:val="0"/>
                <w:color w:val="auto"/>
                <w:sz w:val="24"/>
                <w:lang w:val="en-US" w:eastAsia="zh-CN"/>
              </w:rPr>
              <w:t>活动措施等</w:t>
            </w:r>
            <w:r>
              <w:rPr>
                <w:rFonts w:hint="eastAsia" w:ascii="仿宋" w:hAnsi="仿宋" w:eastAsia="仿宋" w:cs="仿宋"/>
                <w:b w:val="0"/>
                <w:bCs w:val="0"/>
                <w:color w:val="auto"/>
                <w:sz w:val="24"/>
                <w:szCs w:val="24"/>
                <w:lang w:val="en-US" w:eastAsia="zh-CN"/>
              </w:rPr>
              <w:t>，评委根据响应内容是否</w:t>
            </w:r>
            <w:r>
              <w:rPr>
                <w:rFonts w:hint="eastAsia" w:ascii="仿宋" w:hAnsi="仿宋" w:eastAsia="仿宋" w:cs="仿宋"/>
                <w:b w:val="0"/>
                <w:bCs w:val="0"/>
                <w:color w:val="auto"/>
                <w:sz w:val="24"/>
                <w:szCs w:val="24"/>
              </w:rPr>
              <w:t>能够切合实际，</w:t>
            </w:r>
            <w:r>
              <w:rPr>
                <w:rFonts w:hint="eastAsia" w:ascii="仿宋" w:hAnsi="仿宋" w:eastAsia="仿宋" w:cs="仿宋"/>
                <w:b w:val="0"/>
                <w:bCs w:val="0"/>
                <w:color w:val="auto"/>
                <w:sz w:val="24"/>
                <w:szCs w:val="24"/>
                <w:lang w:val="en-US" w:eastAsia="zh-CN"/>
              </w:rPr>
              <w:t>是否</w:t>
            </w:r>
            <w:r>
              <w:rPr>
                <w:rFonts w:hint="eastAsia" w:ascii="仿宋" w:hAnsi="仿宋" w:eastAsia="仿宋" w:cs="仿宋"/>
                <w:b w:val="0"/>
                <w:bCs w:val="0"/>
                <w:color w:val="auto"/>
                <w:sz w:val="24"/>
                <w:szCs w:val="24"/>
              </w:rPr>
              <w:t>充分考虑医院的日常用途和需求</w:t>
            </w:r>
            <w:r>
              <w:rPr>
                <w:rFonts w:hint="eastAsia" w:ascii="仿宋" w:hAnsi="仿宋" w:eastAsia="仿宋" w:cs="仿宋"/>
                <w:b w:val="0"/>
                <w:bCs w:val="0"/>
                <w:color w:val="auto"/>
                <w:sz w:val="24"/>
                <w:szCs w:val="24"/>
                <w:lang w:val="en-US" w:eastAsia="zh-CN"/>
              </w:rPr>
              <w:t>进行综合评审。（打分范围：6,5,4,3,2,1,0分）</w:t>
            </w:r>
          </w:p>
        </w:tc>
        <w:tc>
          <w:tcPr>
            <w:tcW w:w="819" w:type="dxa"/>
            <w:shd w:val="clear" w:color="auto" w:fill="auto"/>
            <w:noWrap w:val="0"/>
            <w:vAlign w:val="center"/>
          </w:tcPr>
          <w:p w14:paraId="3CB5749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6分</w:t>
            </w:r>
          </w:p>
        </w:tc>
      </w:tr>
      <w:tr w14:paraId="0895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8" w:type="dxa"/>
            <w:noWrap w:val="0"/>
            <w:vAlign w:val="center"/>
          </w:tcPr>
          <w:p w14:paraId="275410CD">
            <w:pPr>
              <w:keepNext w:val="0"/>
              <w:keepLines w:val="0"/>
              <w:pageBreakBefore w:val="0"/>
              <w:kinsoku/>
              <w:wordWrap/>
              <w:overflowPunct/>
              <w:topLinePunct w:val="0"/>
              <w:autoSpaceDE/>
              <w:autoSpaceDN/>
              <w:bidi w:val="0"/>
              <w:adjustRightInd/>
              <w:snapToGrid/>
              <w:spacing w:line="240" w:lineRule="auto"/>
              <w:ind w:left="-111" w:leftChars="-53" w:right="-101" w:rightChars="-48"/>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10</w:t>
            </w:r>
          </w:p>
        </w:tc>
        <w:tc>
          <w:tcPr>
            <w:tcW w:w="1250" w:type="dxa"/>
            <w:noWrap w:val="0"/>
            <w:vAlign w:val="center"/>
          </w:tcPr>
          <w:p w14:paraId="62DCDA0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其他服务承诺</w:t>
            </w:r>
          </w:p>
        </w:tc>
        <w:tc>
          <w:tcPr>
            <w:tcW w:w="6520" w:type="dxa"/>
            <w:noWrap w:val="0"/>
            <w:vAlign w:val="center"/>
          </w:tcPr>
          <w:p w14:paraId="278C1E87">
            <w:pPr>
              <w:keepNext w:val="0"/>
              <w:keepLines w:val="0"/>
              <w:pageBreakBefore w:val="0"/>
              <w:kinsoku/>
              <w:wordWrap/>
              <w:overflowPunct/>
              <w:topLinePunct w:val="0"/>
              <w:autoSpaceDE/>
              <w:autoSpaceDN/>
              <w:bidi w:val="0"/>
              <w:snapToGrid/>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根据投标人提供的其他服务</w:t>
            </w:r>
            <w:r>
              <w:rPr>
                <w:rFonts w:hint="eastAsia" w:ascii="仿宋" w:hAnsi="仿宋" w:eastAsia="仿宋" w:cs="仿宋"/>
                <w:color w:val="auto"/>
                <w:sz w:val="24"/>
                <w:szCs w:val="24"/>
              </w:rPr>
              <w:t>承诺</w:t>
            </w:r>
            <w:r>
              <w:rPr>
                <w:rFonts w:hint="eastAsia" w:ascii="仿宋" w:hAnsi="仿宋" w:eastAsia="仿宋" w:cs="仿宋"/>
                <w:color w:val="auto"/>
                <w:sz w:val="24"/>
                <w:szCs w:val="24"/>
                <w:lang w:val="en-US" w:eastAsia="zh-CN"/>
              </w:rPr>
              <w:t>进行打分</w:t>
            </w:r>
            <w:r>
              <w:rPr>
                <w:rFonts w:hint="eastAsia" w:ascii="仿宋" w:hAnsi="仿宋" w:eastAsia="仿宋" w:cs="仿宋"/>
                <w:color w:val="auto"/>
                <w:sz w:val="24"/>
                <w:szCs w:val="24"/>
              </w:rPr>
              <w:t>：</w:t>
            </w:r>
          </w:p>
          <w:p w14:paraId="19D5A371">
            <w:pPr>
              <w:keepNext w:val="0"/>
              <w:keepLines w:val="0"/>
              <w:pageBreakBefore w:val="0"/>
              <w:numPr>
                <w:ilvl w:val="0"/>
                <w:numId w:val="26"/>
              </w:numPr>
              <w:kinsoku/>
              <w:wordWrap/>
              <w:overflowPunct/>
              <w:topLinePunct w:val="0"/>
              <w:autoSpaceDE/>
              <w:autoSpaceDN/>
              <w:bidi w:val="0"/>
              <w:snapToGrid/>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按双方签订的合同要求规范经营管理，保质保量、全年无休</w:t>
            </w:r>
            <w:r>
              <w:rPr>
                <w:rFonts w:hint="eastAsia" w:ascii="仿宋" w:hAnsi="仿宋" w:eastAsia="仿宋" w:cs="仿宋"/>
                <w:color w:val="auto"/>
                <w:sz w:val="24"/>
                <w:szCs w:val="24"/>
                <w:lang w:eastAsia="zh-CN"/>
              </w:rPr>
              <w:t>地</w:t>
            </w:r>
            <w:r>
              <w:rPr>
                <w:rFonts w:hint="eastAsia" w:ascii="仿宋" w:hAnsi="仿宋" w:eastAsia="仿宋" w:cs="仿宋"/>
                <w:color w:val="auto"/>
                <w:sz w:val="24"/>
                <w:szCs w:val="24"/>
              </w:rPr>
              <w:t>做好食堂早餐、中餐、晚餐的供应以及</w:t>
            </w:r>
            <w:r>
              <w:rPr>
                <w:rFonts w:hint="eastAsia" w:ascii="仿宋" w:hAnsi="仿宋" w:eastAsia="仿宋" w:cs="仿宋"/>
                <w:color w:val="auto"/>
                <w:sz w:val="24"/>
                <w:szCs w:val="24"/>
                <w:lang w:val="en-US" w:eastAsia="zh-CN"/>
              </w:rPr>
              <w:t>遂昌县</w:t>
            </w:r>
            <w:r>
              <w:rPr>
                <w:rFonts w:hint="eastAsia" w:ascii="仿宋" w:hAnsi="仿宋" w:eastAsia="仿宋" w:cs="仿宋"/>
                <w:color w:val="auto"/>
                <w:sz w:val="24"/>
                <w:szCs w:val="24"/>
                <w:lang w:eastAsia="zh-CN"/>
              </w:rPr>
              <w:t>人民医院</w:t>
            </w:r>
            <w:r>
              <w:rPr>
                <w:rFonts w:hint="eastAsia" w:ascii="仿宋" w:hAnsi="仿宋" w:eastAsia="仿宋" w:cs="仿宋"/>
                <w:color w:val="auto"/>
                <w:sz w:val="24"/>
                <w:szCs w:val="24"/>
              </w:rPr>
              <w:t>临时所需的餐饮服务工作；</w:t>
            </w:r>
          </w:p>
          <w:p w14:paraId="76AE6192">
            <w:pPr>
              <w:keepNext w:val="0"/>
              <w:keepLines w:val="0"/>
              <w:pageBreakBefore w:val="0"/>
              <w:numPr>
                <w:ilvl w:val="0"/>
                <w:numId w:val="26"/>
              </w:numPr>
              <w:kinsoku/>
              <w:wordWrap/>
              <w:overflowPunct/>
              <w:topLinePunct w:val="0"/>
              <w:autoSpaceDE/>
              <w:autoSpaceDN/>
              <w:bidi w:val="0"/>
              <w:snapToGrid/>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按劳动法要求对食堂员工进行体检和缴纳社会保险，同时独立解决今后与食堂员工有关的劳资纠纷；</w:t>
            </w:r>
          </w:p>
          <w:p w14:paraId="0B371A89">
            <w:pPr>
              <w:keepNext w:val="0"/>
              <w:keepLines w:val="0"/>
              <w:pageBreakBefore w:val="0"/>
              <w:numPr>
                <w:ilvl w:val="0"/>
                <w:numId w:val="26"/>
              </w:numPr>
              <w:kinsoku/>
              <w:wordWrap/>
              <w:overflowPunct/>
              <w:topLinePunct w:val="0"/>
              <w:autoSpaceDE/>
              <w:autoSpaceDN/>
              <w:bidi w:val="0"/>
              <w:snapToGrid/>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对派驻员工安全操作承担全部责任。</w:t>
            </w:r>
          </w:p>
          <w:p w14:paraId="39697261">
            <w:pPr>
              <w:keepNext w:val="0"/>
              <w:keepLines w:val="0"/>
              <w:pageBreakBefore w:val="0"/>
              <w:numPr>
                <w:ilvl w:val="0"/>
                <w:numId w:val="0"/>
              </w:numPr>
              <w:kinsoku/>
              <w:wordWrap/>
              <w:overflowPunct/>
              <w:topLinePunct w:val="0"/>
              <w:autoSpaceDE/>
              <w:autoSpaceDN/>
              <w:bidi w:val="0"/>
              <w:snapToGrid/>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每提供上述一项承诺的得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p w14:paraId="24088678">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4"/>
                <w:lang w:val="en-US" w:eastAsia="zh-CN"/>
              </w:rPr>
              <w:t>须</w:t>
            </w:r>
            <w:r>
              <w:rPr>
                <w:rFonts w:hint="eastAsia" w:ascii="仿宋" w:hAnsi="仿宋" w:eastAsia="仿宋" w:cs="仿宋"/>
                <w:b/>
                <w:bCs/>
                <w:color w:val="auto"/>
                <w:sz w:val="24"/>
                <w:szCs w:val="24"/>
              </w:rPr>
              <w:t>提供相关承诺函（格式自拟）并加盖投标人公章，否则不得分。</w:t>
            </w:r>
          </w:p>
        </w:tc>
        <w:tc>
          <w:tcPr>
            <w:tcW w:w="819" w:type="dxa"/>
            <w:noWrap w:val="0"/>
            <w:vAlign w:val="center"/>
          </w:tcPr>
          <w:p w14:paraId="0306BD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6分</w:t>
            </w:r>
          </w:p>
        </w:tc>
      </w:tr>
    </w:tbl>
    <w:p w14:paraId="0BF61E8C">
      <w:pPr>
        <w:keepNext w:val="0"/>
        <w:keepLines w:val="0"/>
        <w:pageBreakBefore w:val="0"/>
        <w:widowControl w:val="0"/>
        <w:kinsoku/>
        <w:wordWrap/>
        <w:overflowPunct/>
        <w:topLinePunct w:val="0"/>
        <w:autoSpaceDE/>
        <w:autoSpaceDN/>
        <w:bidi w:val="0"/>
        <w:adjustRightInd/>
        <w:snapToGrid w:val="0"/>
        <w:textAlignment w:val="auto"/>
        <w:rPr>
          <w:rFonts w:hint="eastAsia"/>
          <w:color w:val="auto"/>
        </w:rPr>
      </w:pPr>
    </w:p>
    <w:p w14:paraId="22780910">
      <w:pPr>
        <w:pageBreakBefore w:val="0"/>
        <w:widowControl w:val="0"/>
        <w:kinsoku/>
        <w:wordWrap/>
        <w:overflowPunct/>
        <w:topLinePunct w:val="0"/>
        <w:autoSpaceDE/>
        <w:autoSpaceDN/>
        <w:bidi w:val="0"/>
        <w:adjustRightInd/>
        <w:snapToGrid/>
        <w:spacing w:line="360" w:lineRule="auto"/>
        <w:ind w:firstLine="420"/>
        <w:jc w:val="left"/>
        <w:textAlignment w:val="auto"/>
        <w:rPr>
          <w:rFonts w:ascii="仿宋" w:hAnsi="仿宋" w:eastAsia="仿宋" w:cs="仿宋"/>
          <w:b/>
          <w:bCs/>
          <w:color w:val="auto"/>
          <w:sz w:val="24"/>
        </w:rPr>
      </w:pPr>
      <w:r>
        <w:rPr>
          <w:rFonts w:hint="eastAsia" w:ascii="仿宋" w:hAnsi="仿宋" w:eastAsia="仿宋" w:cs="仿宋"/>
          <w:b/>
          <w:bCs/>
          <w:color w:val="auto"/>
          <w:sz w:val="24"/>
        </w:rPr>
        <w:t>5.2 投标人报价满分为</w:t>
      </w:r>
      <w:r>
        <w:rPr>
          <w:rFonts w:hint="eastAsia" w:ascii="仿宋" w:hAnsi="仿宋" w:eastAsia="仿宋" w:cs="仿宋"/>
          <w:b/>
          <w:bCs/>
          <w:color w:val="auto"/>
          <w:sz w:val="24"/>
          <w:lang w:val="en-US" w:eastAsia="zh-CN"/>
        </w:rPr>
        <w:t>20</w:t>
      </w:r>
      <w:r>
        <w:rPr>
          <w:rFonts w:hint="eastAsia" w:ascii="仿宋" w:hAnsi="仿宋" w:eastAsia="仿宋" w:cs="仿宋"/>
          <w:b/>
          <w:bCs/>
          <w:color w:val="auto"/>
          <w:sz w:val="24"/>
        </w:rPr>
        <w:t>分，报价权重</w:t>
      </w:r>
      <w:r>
        <w:rPr>
          <w:rFonts w:hint="eastAsia" w:ascii="仿宋" w:hAnsi="仿宋" w:eastAsia="仿宋" w:cs="仿宋"/>
          <w:b/>
          <w:bCs/>
          <w:color w:val="auto"/>
          <w:sz w:val="24"/>
          <w:lang w:val="en-US" w:eastAsia="zh-CN"/>
        </w:rPr>
        <w:t>20</w:t>
      </w:r>
      <w:r>
        <w:rPr>
          <w:rFonts w:hint="eastAsia" w:ascii="仿宋" w:hAnsi="仿宋" w:eastAsia="仿宋" w:cs="仿宋"/>
          <w:b/>
          <w:bCs/>
          <w:color w:val="auto"/>
          <w:sz w:val="24"/>
        </w:rPr>
        <w:t>%，由评标委员会根据以下内容统一计算打分：</w:t>
      </w:r>
    </w:p>
    <w:p w14:paraId="720066C1">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472DFF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5.2.2 最终报价不得低于贰拾</w:t>
      </w:r>
      <w:r>
        <w:rPr>
          <w:rFonts w:hint="eastAsia" w:ascii="仿宋" w:hAnsi="仿宋" w:eastAsia="仿宋" w:cs="仿宋"/>
          <w:color w:val="auto"/>
          <w:sz w:val="24"/>
          <w:lang w:val="en-US" w:eastAsia="zh-CN"/>
        </w:rPr>
        <w:t>捌</w:t>
      </w:r>
      <w:r>
        <w:rPr>
          <w:rFonts w:hint="eastAsia" w:ascii="仿宋" w:hAnsi="仿宋" w:eastAsia="仿宋" w:cs="仿宋"/>
          <w:color w:val="auto"/>
          <w:sz w:val="24"/>
        </w:rPr>
        <w:t>万元</w:t>
      </w:r>
      <w:r>
        <w:rPr>
          <w:rFonts w:hint="eastAsia" w:ascii="仿宋" w:hAnsi="仿宋" w:eastAsia="仿宋" w:cs="仿宋"/>
          <w:color w:val="auto"/>
          <w:sz w:val="24"/>
          <w:lang w:val="en-US" w:eastAsia="zh-CN"/>
        </w:rPr>
        <w:t>/年</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280000元/年</w:t>
      </w:r>
      <w:r>
        <w:rPr>
          <w:rFonts w:hint="eastAsia" w:ascii="仿宋" w:hAnsi="仿宋" w:eastAsia="仿宋" w:cs="仿宋"/>
          <w:color w:val="auto"/>
          <w:sz w:val="24"/>
          <w:lang w:eastAsia="zh-CN"/>
        </w:rPr>
        <w:t>）</w:t>
      </w:r>
      <w:r>
        <w:rPr>
          <w:rFonts w:hint="eastAsia" w:ascii="仿宋" w:hAnsi="仿宋" w:eastAsia="仿宋" w:cs="仿宋"/>
          <w:color w:val="auto"/>
          <w:sz w:val="24"/>
        </w:rPr>
        <w:t>，报价低于贰拾</w:t>
      </w:r>
      <w:r>
        <w:rPr>
          <w:rFonts w:hint="eastAsia" w:ascii="仿宋" w:hAnsi="仿宋" w:eastAsia="仿宋" w:cs="仿宋"/>
          <w:color w:val="auto"/>
          <w:sz w:val="24"/>
          <w:lang w:val="en-US" w:eastAsia="zh-CN"/>
        </w:rPr>
        <w:t>捌</w:t>
      </w:r>
      <w:r>
        <w:rPr>
          <w:rFonts w:hint="eastAsia" w:ascii="仿宋" w:hAnsi="仿宋" w:eastAsia="仿宋" w:cs="仿宋"/>
          <w:color w:val="auto"/>
          <w:sz w:val="24"/>
        </w:rPr>
        <w:t>万元/年</w:t>
      </w:r>
      <w:r>
        <w:rPr>
          <w:rFonts w:hint="eastAsia" w:ascii="仿宋" w:hAnsi="仿宋" w:eastAsia="仿宋" w:cs="仿宋"/>
          <w:color w:val="auto"/>
          <w:sz w:val="24"/>
          <w:lang w:eastAsia="zh-CN"/>
        </w:rPr>
        <w:t>（280000元/年）</w:t>
      </w:r>
      <w:r>
        <w:rPr>
          <w:rFonts w:hint="eastAsia" w:ascii="仿宋" w:hAnsi="仿宋" w:eastAsia="仿宋" w:cs="仿宋"/>
          <w:color w:val="auto"/>
          <w:sz w:val="24"/>
        </w:rPr>
        <w:t>视为无效报价。</w:t>
      </w:r>
    </w:p>
    <w:p w14:paraId="121689B4">
      <w:pPr>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5.2.</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 xml:space="preserve"> 报价得分按以下方式计算：</w:t>
      </w:r>
    </w:p>
    <w:p w14:paraId="05AD703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lang w:eastAsia="zh-CN"/>
        </w:rPr>
      </w:pPr>
      <w:r>
        <w:rPr>
          <w:rFonts w:hint="eastAsia" w:ascii="仿宋" w:hAnsi="仿宋" w:eastAsia="仿宋" w:cs="仿宋"/>
          <w:b/>
          <w:bCs w:val="0"/>
          <w:color w:val="auto"/>
          <w:sz w:val="24"/>
        </w:rPr>
        <w:t>⑴</w:t>
      </w:r>
      <w:r>
        <w:rPr>
          <w:rFonts w:hint="eastAsia" w:ascii="仿宋" w:hAnsi="仿宋" w:eastAsia="仿宋" w:cs="仿宋"/>
          <w:b/>
          <w:bCs w:val="0"/>
          <w:color w:val="auto"/>
          <w:sz w:val="24"/>
          <w:szCs w:val="24"/>
          <w:highlight w:val="none"/>
        </w:rPr>
        <w:t>以</w:t>
      </w:r>
      <w:r>
        <w:rPr>
          <w:rFonts w:hint="eastAsia" w:ascii="仿宋" w:hAnsi="仿宋" w:eastAsia="仿宋" w:cs="仿宋"/>
          <w:b/>
          <w:bCs w:val="0"/>
          <w:color w:val="auto"/>
          <w:sz w:val="24"/>
          <w:szCs w:val="24"/>
          <w:highlight w:val="none"/>
          <w:lang w:val="en-US" w:eastAsia="zh-CN"/>
        </w:rPr>
        <w:t>承包</w:t>
      </w:r>
      <w:r>
        <w:rPr>
          <w:rFonts w:hint="eastAsia" w:ascii="仿宋" w:hAnsi="仿宋" w:eastAsia="仿宋" w:cs="仿宋"/>
          <w:b/>
          <w:bCs w:val="0"/>
          <w:color w:val="auto"/>
          <w:sz w:val="24"/>
          <w:szCs w:val="24"/>
          <w:highlight w:val="none"/>
        </w:rPr>
        <w:t>费</w:t>
      </w:r>
      <w:r>
        <w:rPr>
          <w:rFonts w:hint="eastAsia" w:ascii="仿宋" w:hAnsi="仿宋" w:eastAsia="仿宋" w:cs="仿宋"/>
          <w:b/>
          <w:bCs w:val="0"/>
          <w:color w:val="auto"/>
          <w:sz w:val="24"/>
          <w:szCs w:val="24"/>
          <w:highlight w:val="none"/>
          <w:lang w:val="en-US" w:eastAsia="zh-CN"/>
        </w:rPr>
        <w:t>280000元/年</w:t>
      </w:r>
      <w:r>
        <w:rPr>
          <w:rFonts w:hint="eastAsia" w:ascii="仿宋" w:hAnsi="仿宋" w:eastAsia="仿宋" w:cs="仿宋"/>
          <w:b/>
          <w:bCs w:val="0"/>
          <w:color w:val="auto"/>
          <w:sz w:val="24"/>
          <w:szCs w:val="24"/>
          <w:highlight w:val="none"/>
        </w:rPr>
        <w:t>为基准，得</w:t>
      </w:r>
      <w:r>
        <w:rPr>
          <w:rFonts w:hint="eastAsia" w:ascii="仿宋" w:hAnsi="仿宋" w:eastAsia="仿宋" w:cs="仿宋"/>
          <w:b/>
          <w:bCs w:val="0"/>
          <w:color w:val="auto"/>
          <w:sz w:val="24"/>
          <w:szCs w:val="24"/>
          <w:highlight w:val="none"/>
          <w:lang w:val="en-US" w:eastAsia="zh-CN"/>
        </w:rPr>
        <w:t>10</w:t>
      </w:r>
      <w:r>
        <w:rPr>
          <w:rFonts w:hint="eastAsia" w:ascii="仿宋" w:hAnsi="仿宋" w:eastAsia="仿宋" w:cs="仿宋"/>
          <w:b/>
          <w:bCs w:val="0"/>
          <w:color w:val="auto"/>
          <w:sz w:val="24"/>
          <w:szCs w:val="24"/>
          <w:highlight w:val="none"/>
        </w:rPr>
        <w:t>分；</w:t>
      </w:r>
      <w:r>
        <w:rPr>
          <w:rFonts w:hint="eastAsia" w:ascii="仿宋" w:hAnsi="仿宋" w:eastAsia="仿宋" w:cs="仿宋"/>
          <w:b/>
          <w:bCs w:val="0"/>
          <w:color w:val="auto"/>
          <w:sz w:val="24"/>
          <w:szCs w:val="24"/>
          <w:highlight w:val="none"/>
          <w:lang w:val="en-US" w:eastAsia="zh-CN"/>
        </w:rPr>
        <w:t>承包</w:t>
      </w:r>
      <w:r>
        <w:rPr>
          <w:rFonts w:hint="eastAsia" w:ascii="仿宋" w:hAnsi="仿宋" w:eastAsia="仿宋" w:cs="仿宋"/>
          <w:b/>
          <w:bCs w:val="0"/>
          <w:color w:val="auto"/>
          <w:sz w:val="24"/>
          <w:szCs w:val="24"/>
          <w:highlight w:val="none"/>
        </w:rPr>
        <w:t>费每提高</w:t>
      </w:r>
      <w:r>
        <w:rPr>
          <w:rFonts w:hint="eastAsia" w:ascii="仿宋" w:hAnsi="仿宋" w:eastAsia="仿宋" w:cs="仿宋"/>
          <w:b/>
          <w:bCs w:val="0"/>
          <w:color w:val="auto"/>
          <w:sz w:val="24"/>
          <w:szCs w:val="24"/>
          <w:highlight w:val="none"/>
          <w:lang w:val="en-US" w:eastAsia="zh-CN"/>
        </w:rPr>
        <w:t>1000元/年</w:t>
      </w:r>
      <w:r>
        <w:rPr>
          <w:rFonts w:hint="eastAsia" w:ascii="仿宋" w:hAnsi="仿宋" w:eastAsia="仿宋" w:cs="仿宋"/>
          <w:b/>
          <w:bCs w:val="0"/>
          <w:color w:val="auto"/>
          <w:sz w:val="24"/>
          <w:szCs w:val="24"/>
          <w:highlight w:val="none"/>
        </w:rPr>
        <w:t>加</w:t>
      </w: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分</w:t>
      </w:r>
      <w:r>
        <w:rPr>
          <w:rFonts w:hint="eastAsia" w:ascii="仿宋" w:hAnsi="仿宋" w:eastAsia="仿宋" w:cs="仿宋"/>
          <w:b/>
          <w:bCs w:val="0"/>
          <w:color w:val="auto"/>
          <w:sz w:val="24"/>
          <w:szCs w:val="24"/>
          <w:highlight w:val="none"/>
          <w:lang w:eastAsia="zh-CN"/>
        </w:rPr>
        <w:t>（不足</w:t>
      </w:r>
      <w:r>
        <w:rPr>
          <w:rFonts w:hint="eastAsia" w:ascii="仿宋" w:hAnsi="仿宋" w:eastAsia="仿宋" w:cs="仿宋"/>
          <w:b/>
          <w:bCs w:val="0"/>
          <w:color w:val="auto"/>
          <w:sz w:val="24"/>
          <w:szCs w:val="24"/>
          <w:highlight w:val="none"/>
          <w:lang w:val="en-US" w:eastAsia="zh-CN"/>
        </w:rPr>
        <w:t>1000元计0分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最高加</w:t>
      </w:r>
      <w:r>
        <w:rPr>
          <w:rFonts w:hint="eastAsia" w:ascii="仿宋" w:hAnsi="仿宋" w:eastAsia="仿宋" w:cs="仿宋"/>
          <w:b/>
          <w:bCs w:val="0"/>
          <w:color w:val="auto"/>
          <w:sz w:val="24"/>
          <w:szCs w:val="24"/>
          <w:highlight w:val="none"/>
          <w:lang w:val="en-US" w:eastAsia="zh-CN"/>
        </w:rPr>
        <w:t>10</w:t>
      </w:r>
      <w:r>
        <w:rPr>
          <w:rFonts w:hint="eastAsia" w:ascii="仿宋" w:hAnsi="仿宋" w:eastAsia="仿宋" w:cs="仿宋"/>
          <w:b/>
          <w:bCs w:val="0"/>
          <w:color w:val="auto"/>
          <w:sz w:val="24"/>
          <w:szCs w:val="24"/>
          <w:highlight w:val="none"/>
        </w:rPr>
        <w:t>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如承包费为 281500元/年，报价得分为11分。</w:t>
      </w:r>
    </w:p>
    <w:p w14:paraId="28A8C096">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⑵</w:t>
      </w:r>
      <w:r>
        <w:rPr>
          <w:rFonts w:hint="eastAsia" w:ascii="仿宋" w:hAnsi="仿宋" w:eastAsia="仿宋" w:cs="仿宋"/>
          <w:color w:val="auto"/>
          <w:sz w:val="24"/>
        </w:rPr>
        <w:t>投标报价得分=基准</w:t>
      </w:r>
      <w:r>
        <w:rPr>
          <w:rFonts w:hint="eastAsia" w:ascii="仿宋" w:hAnsi="仿宋" w:eastAsia="仿宋" w:cs="仿宋"/>
          <w:color w:val="auto"/>
          <w:sz w:val="24"/>
          <w:lang w:val="en-US" w:eastAsia="zh-CN"/>
        </w:rPr>
        <w:t>得分+承包费加分</w:t>
      </w:r>
      <w:r>
        <w:rPr>
          <w:rFonts w:hint="eastAsia" w:ascii="仿宋" w:hAnsi="仿宋" w:eastAsia="仿宋" w:cs="仿宋"/>
          <w:color w:val="auto"/>
          <w:sz w:val="24"/>
        </w:rPr>
        <w:t>。</w:t>
      </w:r>
    </w:p>
    <w:p w14:paraId="6CF10079">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5.3 本项目最终得分=资信商务及技术得分＋报价得分；</w:t>
      </w:r>
    </w:p>
    <w:p w14:paraId="74AC14D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rPr>
      </w:pPr>
      <w:r>
        <w:rPr>
          <w:rFonts w:hint="eastAsia" w:ascii="仿宋" w:hAnsi="仿宋" w:eastAsia="仿宋" w:cs="仿宋"/>
          <w:color w:val="auto"/>
          <w:sz w:val="24"/>
        </w:rPr>
        <w:t>5.4 评分时保留小数</w:t>
      </w:r>
      <w:r>
        <w:rPr>
          <w:rFonts w:hint="eastAsia" w:ascii="仿宋" w:hAnsi="仿宋" w:eastAsia="仿宋" w:cs="仿宋"/>
          <w:color w:val="auto"/>
          <w:sz w:val="24"/>
          <w:lang w:val="en-US" w:eastAsia="zh-CN"/>
        </w:rPr>
        <w:t>1</w:t>
      </w:r>
      <w:r>
        <w:rPr>
          <w:rFonts w:hint="eastAsia" w:ascii="仿宋" w:hAnsi="仿宋" w:eastAsia="仿宋" w:cs="仿宋"/>
          <w:color w:val="auto"/>
          <w:sz w:val="24"/>
        </w:rPr>
        <w:t>位，计算评分值时保留小数2位，小数点采用四舍五入方法。</w:t>
      </w:r>
    </w:p>
    <w:p w14:paraId="08A7A7AA">
      <w:pPr>
        <w:pStyle w:val="6"/>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ascii="仿宋" w:hAnsi="仿宋" w:eastAsia="仿宋" w:cs="仿宋"/>
          <w:bCs w:val="0"/>
          <w:color w:val="auto"/>
        </w:rPr>
      </w:pPr>
      <w:bookmarkStart w:id="415" w:name="_Toc335664301"/>
      <w:bookmarkStart w:id="416" w:name="_Toc493956082"/>
      <w:bookmarkStart w:id="417" w:name="_Toc28304"/>
      <w:bookmarkStart w:id="418" w:name="_Toc16534"/>
      <w:r>
        <w:rPr>
          <w:rFonts w:hint="eastAsia" w:ascii="仿宋" w:hAnsi="仿宋" w:eastAsia="仿宋" w:cs="仿宋"/>
          <w:bCs w:val="0"/>
          <w:color w:val="auto"/>
        </w:rPr>
        <w:t>六  评审纪律和要求</w:t>
      </w:r>
      <w:bookmarkEnd w:id="415"/>
      <w:bookmarkEnd w:id="416"/>
      <w:bookmarkEnd w:id="417"/>
      <w:bookmarkEnd w:id="418"/>
    </w:p>
    <w:p w14:paraId="22D7E37A">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 评审专家必须公平、公正评审，遵纪守法，客观、廉洁地履行职责。</w:t>
      </w:r>
    </w:p>
    <w:p w14:paraId="4F3E741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6.2 评审专家在评审开始前，应关闭并上交随身携带的各种通信工具。</w:t>
      </w:r>
    </w:p>
    <w:p w14:paraId="29F7AB96">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6.3 评审专家在评审过程中，未经许可不得中途离开评审现场，不得迟到早退。</w:t>
      </w:r>
    </w:p>
    <w:p w14:paraId="1D7E5330">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6.4 评审专家和工作人员不得透露评审过程中的讨论情况和评审结果。</w:t>
      </w:r>
    </w:p>
    <w:p w14:paraId="124A2D09">
      <w:pPr>
        <w:pageBreakBefore w:val="0"/>
        <w:widowControl w:val="0"/>
        <w:kinsoku/>
        <w:wordWrap/>
        <w:overflowPunct/>
        <w:topLinePunct w:val="0"/>
        <w:autoSpaceDE/>
        <w:autoSpaceDN/>
        <w:bidi w:val="0"/>
        <w:adjustRightInd/>
        <w:snapToGrid/>
        <w:spacing w:line="360" w:lineRule="auto"/>
        <w:ind w:firstLine="480"/>
        <w:textAlignment w:val="auto"/>
        <w:rPr>
          <w:rFonts w:ascii="仿宋" w:hAnsi="仿宋" w:eastAsia="仿宋" w:cs="仿宋"/>
          <w:color w:val="auto"/>
          <w:sz w:val="24"/>
        </w:rPr>
      </w:pPr>
      <w:r>
        <w:rPr>
          <w:rFonts w:hint="eastAsia" w:ascii="仿宋" w:hAnsi="仿宋" w:eastAsia="仿宋" w:cs="仿宋"/>
          <w:color w:val="auto"/>
          <w:sz w:val="24"/>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2AE6885">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6.6 采购人、采购代理机构不得向评标委员会的评审专家作倾向性、误导性的解释或者说明。</w:t>
      </w:r>
    </w:p>
    <w:p w14:paraId="37EC7D46">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68EC0CC">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szCs w:val="21"/>
        </w:rPr>
        <w:t>6.8 评审专家在评审过程中不得将自己的观点强加给其他评审专家，评审专家应自主发表见解，对评审意见承担个人责任。</w:t>
      </w:r>
    </w:p>
    <w:p w14:paraId="2D8707D6">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0445949">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6.10 评审专家应当独立、客观、公正地提出评审意见，不得带有倾向性，不得影响其他评审专家评审，并在评审报告上签字；如对评审报告有异议的，可在报告上签署不同意见，并说明理由，否则将视为同意。</w:t>
      </w:r>
    </w:p>
    <w:p w14:paraId="4922165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6.11 评审专家应当遵守评审工作纪律，不得泄露评审文件、评审情况和评审中获悉的商业秘密。</w:t>
      </w:r>
    </w:p>
    <w:p w14:paraId="3BC0ED9D">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评标委员会在评审过程中发现投标人有行贿、提供虚假材料或者串通等违法行为的，应当及时向财政部门报告。</w:t>
      </w:r>
    </w:p>
    <w:p w14:paraId="7368753A">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6.12 招标文件内容违反国家有关强制性规定的，评标委员会应当停止评审并向采购代理机构说明情况。</w:t>
      </w:r>
    </w:p>
    <w:p w14:paraId="0966201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6.13 评审专家应当配合采购代理机构答复投标人提出的质疑。</w:t>
      </w:r>
    </w:p>
    <w:p w14:paraId="2DE8F887">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6.14 评审专家应当配合财政部门的投诉处理工作。</w:t>
      </w:r>
    </w:p>
    <w:p w14:paraId="5D933067">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6.15评审专家有如下行为之一的，责令改正，给予警告，可以并处一千元以下的罚款：</w:t>
      </w:r>
    </w:p>
    <w:p w14:paraId="72B4C5B1">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6.15.1 明知应当回避而未主动回避的；</w:t>
      </w:r>
    </w:p>
    <w:p w14:paraId="1C11152F">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6.15.2 在知道自己为评审专家身份后至评审结束前的时段内私下接触投标人的；</w:t>
      </w:r>
    </w:p>
    <w:p w14:paraId="5666658B">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6.15.3 在评审过程中擅离职守，影响评审程序正常进行的；</w:t>
      </w:r>
    </w:p>
    <w:p w14:paraId="31526B8D">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6.15.4 在评审过程有明显不合理或者不正当倾向性的；</w:t>
      </w:r>
    </w:p>
    <w:p w14:paraId="41F4C2D6">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6.15.5 未按招标文件规定的评审方法和标准进行评审的。</w:t>
      </w:r>
    </w:p>
    <w:p w14:paraId="65E35193">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6.15.6 上述6.15.1至6.15.5行为影响中标结果的，中标结果无效。</w:t>
      </w:r>
    </w:p>
    <w:p w14:paraId="5CBD5954">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6.16 采购代理机构可对各评审专家的专业技术水平和职业道德素质等情况进行评价，并可将评价意见在评审结束后2个工作日内反馈给财政部门，财政部门以此作为对评审专家的考核管理依据。</w:t>
      </w:r>
    </w:p>
    <w:p w14:paraId="6718DF0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031F95F">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政府采购评审专家与投标人存在利害关系未回避的，处2万元以上5万元以下的罚款，禁止其参加政府采购评审活动。</w:t>
      </w:r>
    </w:p>
    <w:p w14:paraId="583890D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1425017D">
      <w:pPr>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仿宋" w:hAnsi="仿宋" w:eastAsia="仿宋" w:cs="仿宋"/>
          <w:color w:val="auto"/>
          <w:sz w:val="24"/>
        </w:rPr>
        <w:t>政府采购评审专家有上述违法行为的，其评审意见无效，不得获取评审费；有违法所得的，没收违法所得；给他人造成损失的，依法承担民事责任。</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仿宋">
    <w:altName w:val="仿宋"/>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7FFBD">
    <w:pPr>
      <w:widowControl/>
      <w:pBdr>
        <w:top w:val="thickThinSmallGap" w:color="auto" w:sz="24" w:space="0"/>
      </w:pBdr>
      <w:tabs>
        <w:tab w:val="center" w:pos="4153"/>
        <w:tab w:val="right" w:pos="8306"/>
      </w:tabs>
      <w:snapToGrid w:val="0"/>
      <w:spacing w:line="300" w:lineRule="exact"/>
      <w:jc w:val="left"/>
    </w:pPr>
    <w:r>
      <w:rPr>
        <w:rFonts w:hint="eastAsia" w:ascii="宋体" w:hAnsi="宋体"/>
        <w:sz w:val="18"/>
        <w:szCs w:val="18"/>
      </w:rPr>
      <w:t xml:space="preserve">采购代理机构：遂昌一航采购代理有限公司　　      </w:t>
    </w:r>
    <w:r>
      <w:rPr>
        <w:rFonts w:ascii="宋体" w:hAnsi="宋体"/>
        <w:sz w:val="18"/>
        <w:szCs w:val="18"/>
      </w:rPr>
      <w:t xml:space="preserve">   </w:t>
    </w:r>
    <w:r>
      <w:rPr>
        <w:rFonts w:hint="eastAsia" w:ascii="宋体" w:hAnsi="宋体"/>
        <w:sz w:val="18"/>
        <w:szCs w:val="18"/>
      </w:rPr>
      <w:t xml:space="preserve"> 电 话：13754268787</w:t>
    </w:r>
    <w:r>
      <w:rPr>
        <w:rFonts w:ascii="宋体" w:hAnsi="宋体"/>
        <w:sz w:val="18"/>
        <w:szCs w:val="18"/>
      </w:rPr>
      <w:t xml:space="preserve">            传真</w:t>
    </w:r>
    <w:r>
      <w:rPr>
        <w:rFonts w:hint="eastAsia" w:ascii="宋体" w:hAnsi="宋体"/>
        <w:sz w:val="18"/>
        <w:szCs w:val="18"/>
      </w:rPr>
      <w:t>：0</w:t>
    </w:r>
    <w:r>
      <w:rPr>
        <w:rFonts w:ascii="宋体" w:hAnsi="宋体"/>
        <w:sz w:val="18"/>
        <w:szCs w:val="18"/>
      </w:rPr>
      <w:t>578-812696</w:t>
    </w:r>
    <w:r>
      <w:rPr>
        <w:rFonts w:hint="eastAsia" w:ascii="宋体" w:hAnsi="宋体"/>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1D9EC">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 xml:space="preserve">采购代理机构：遂昌一航采购代理有限公司　　        </w:t>
    </w:r>
    <w:r>
      <w:rPr>
        <w:rFonts w:ascii="宋体"/>
        <w:sz w:val="18"/>
        <w:szCs w:val="18"/>
      </w:rPr>
      <w:t xml:space="preserve"> </w:t>
    </w:r>
    <w:r>
      <w:rPr>
        <w:rFonts w:hint="eastAsia" w:ascii="宋体"/>
        <w:sz w:val="18"/>
        <w:szCs w:val="18"/>
      </w:rPr>
      <w:t xml:space="preserve"> 电话：13754268787</w:t>
    </w:r>
    <w:r>
      <w:rPr>
        <w:rFonts w:ascii="宋体"/>
        <w:sz w:val="18"/>
        <w:szCs w:val="18"/>
      </w:rPr>
      <w:t xml:space="preserve">        </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ascii="宋体"/>
        <w:sz w:val="18"/>
        <w:szCs w:val="18"/>
      </w:rPr>
      <w:t xml:space="preserve"> 传真</w:t>
    </w:r>
    <w:r>
      <w:rPr>
        <w:rFonts w:hint="eastAsia" w:ascii="宋体"/>
        <w:sz w:val="18"/>
        <w:szCs w:val="18"/>
      </w:rPr>
      <w:t>：0</w:t>
    </w:r>
    <w:r>
      <w:rPr>
        <w:rFonts w:ascii="宋体"/>
        <w:sz w:val="18"/>
        <w:szCs w:val="18"/>
      </w:rPr>
      <w:t>578-8126963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244C">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 xml:space="preserve">采购代理机构：遂昌一航采购代理有限公司　　        </w:t>
    </w:r>
    <w:r>
      <w:rPr>
        <w:rFonts w:ascii="宋体"/>
        <w:sz w:val="18"/>
        <w:szCs w:val="18"/>
      </w:rPr>
      <w:t xml:space="preserve"> </w:t>
    </w:r>
    <w:r>
      <w:rPr>
        <w:rFonts w:hint="eastAsia" w:ascii="宋体"/>
        <w:sz w:val="18"/>
        <w:szCs w:val="18"/>
      </w:rPr>
      <w:t xml:space="preserve"> 电话：13754268787</w:t>
    </w:r>
    <w:r>
      <w:rPr>
        <w:rFonts w:ascii="宋体"/>
        <w:sz w:val="18"/>
        <w:szCs w:val="18"/>
      </w:rPr>
      <w:t xml:space="preserve">        </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ascii="宋体"/>
        <w:sz w:val="18"/>
        <w:szCs w:val="18"/>
      </w:rPr>
      <w:t xml:space="preserve"> 传真</w:t>
    </w:r>
    <w:r>
      <w:rPr>
        <w:rFonts w:hint="eastAsia" w:ascii="宋体"/>
        <w:sz w:val="18"/>
        <w:szCs w:val="18"/>
      </w:rPr>
      <w:t>：0</w:t>
    </w:r>
    <w:r>
      <w:rPr>
        <w:rFonts w:ascii="宋体"/>
        <w:sz w:val="18"/>
        <w:szCs w:val="18"/>
      </w:rPr>
      <w:t>578-8126963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A6C6">
    <w:pPr>
      <w:widowControl/>
      <w:pBdr>
        <w:top w:val="thickThinSmallGap" w:color="auto" w:sz="24" w:space="0"/>
      </w:pBdr>
      <w:tabs>
        <w:tab w:val="center" w:pos="4153"/>
        <w:tab w:val="right" w:pos="8306"/>
      </w:tabs>
      <w:snapToGrid w:val="0"/>
      <w:spacing w:line="300" w:lineRule="exact"/>
      <w:jc w:val="left"/>
    </w:pPr>
    <w:r>
      <w:rPr>
        <w:rFonts w:hint="eastAsia" w:ascii="宋体" w:hAnsi="宋体"/>
        <w:sz w:val="18"/>
        <w:szCs w:val="18"/>
      </w:rPr>
      <w:t>采购代理机构：遂昌一航采购代理有限公司</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电话：13754268787</w:t>
    </w:r>
    <w:r>
      <w:rPr>
        <w:rFonts w:ascii="宋体"/>
        <w:sz w:val="18"/>
        <w:szCs w:val="18"/>
      </w:rPr>
      <w:t xml:space="preserve">        </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ascii="宋体"/>
        <w:sz w:val="18"/>
        <w:szCs w:val="18"/>
      </w:rPr>
      <w:t xml:space="preserve"> 传真</w:t>
    </w:r>
    <w:r>
      <w:rPr>
        <w:rFonts w:hint="eastAsia" w:ascii="宋体"/>
        <w:sz w:val="18"/>
        <w:szCs w:val="18"/>
      </w:rPr>
      <w:t>：0</w:t>
    </w:r>
    <w:r>
      <w:rPr>
        <w:rFonts w:ascii="宋体"/>
        <w:sz w:val="18"/>
        <w:szCs w:val="18"/>
      </w:rPr>
      <w:t>578-8126963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C5B9">
    <w:pPr>
      <w:pBdr>
        <w:bottom w:val="thickThinSmallGap" w:color="auto" w:sz="24" w:space="1"/>
      </w:pBdr>
      <w:tabs>
        <w:tab w:val="center" w:pos="4153"/>
        <w:tab w:val="left" w:pos="7680"/>
      </w:tabs>
      <w:adjustRightInd w:val="0"/>
      <w:spacing w:line="240" w:lineRule="atLeast"/>
      <w:jc w:val="left"/>
      <w:rPr>
        <w:rFonts w:hint="eastAsia" w:eastAsia="宋体"/>
        <w:lang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4616450</wp:posOffset>
              </wp:positionH>
              <wp:positionV relativeFrom="paragraph">
                <wp:posOffset>0</wp:posOffset>
              </wp:positionV>
              <wp:extent cx="1030605" cy="1644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0605" cy="164465"/>
                      </a:xfrm>
                      <a:prstGeom prst="rect">
                        <a:avLst/>
                      </a:prstGeom>
                      <a:noFill/>
                      <a:ln>
                        <a:noFill/>
                      </a:ln>
                    </wps:spPr>
                    <wps:txbx>
                      <w:txbxContent>
                        <w:p w14:paraId="6463B9A6">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96</w:t>
                          </w:r>
                          <w:r>
                            <w:rPr>
                              <w:rFonts w:hint="eastAsia"/>
                            </w:rPr>
                            <w:fldChar w:fldCharType="end"/>
                          </w:r>
                          <w:r>
                            <w:rPr>
                              <w:rFonts w:hint="eastAsia"/>
                            </w:rPr>
                            <w:t xml:space="preserve"> 页</w:t>
                          </w:r>
                        </w:p>
                      </w:txbxContent>
                    </wps:txbx>
                    <wps:bodyPr lIns="0" tIns="0" rIns="0" bIns="0"/>
                  </wps:wsp>
                </a:graphicData>
              </a:graphic>
            </wp:anchor>
          </w:drawing>
        </mc:Choice>
        <mc:Fallback>
          <w:pict>
            <v:shape id="_x0000_s1026" o:spid="_x0000_s1026" o:spt="202" type="#_x0000_t202" style="position:absolute;left:0pt;margin-left:363.5pt;margin-top:0pt;height:12.95pt;width:81.15pt;mso-position-horizontal-relative:margin;z-index:251659264;mso-width-relative:page;mso-height-relative:page;" filled="f" stroked="f" coordsize="21600,21600" o:gfxdata="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jQxITYAAAABwEAAA8AAAAAAAAAAQAgAAAAIgAAAGRycy9kb3ducmV2LnhtbFBLAQIUABQAAAAI&#10;AIdO4kDFhDsttAEAAGYDAAAOAAAAAAAAAAEAIAAAACcBAABkcnMvZTJvRG9jLnhtbFBLBQYAAAAA&#10;BgAGAFkBAABNBQAAAAA=&#10;">
              <v:fill on="f" focussize="0,0"/>
              <v:stroke on="f"/>
              <v:imagedata o:title=""/>
              <o:lock v:ext="edit" aspectratio="f"/>
              <v:textbox inset="0mm,0mm,0mm,0mm">
                <w:txbxContent>
                  <w:p w14:paraId="6463B9A6">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96</w:t>
                    </w:r>
                    <w:r>
                      <w:rPr>
                        <w:rFonts w:hint="eastAsia"/>
                      </w:rPr>
                      <w:fldChar w:fldCharType="end"/>
                    </w:r>
                    <w:r>
                      <w:rPr>
                        <w:rFonts w:hint="eastAsia"/>
                      </w:rPr>
                      <w:t xml:space="preserve"> 页</w:t>
                    </w:r>
                  </w:p>
                </w:txbxContent>
              </v:textbox>
            </v:shape>
          </w:pict>
        </mc:Fallback>
      </mc:AlternateContent>
    </w:r>
    <w:r>
      <w:rPr>
        <w:rFonts w:hint="eastAsia"/>
        <w:sz w:val="18"/>
        <w:szCs w:val="18"/>
        <w:lang w:eastAsia="zh-CN"/>
      </w:rPr>
      <w:t>遂昌县人民医院职工食堂经营承包项目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F1A6A">
    <w:pPr>
      <w:pBdr>
        <w:bottom w:val="thickThinSmallGap" w:color="auto" w:sz="24" w:space="1"/>
      </w:pBdr>
      <w:tabs>
        <w:tab w:val="center" w:pos="4153"/>
        <w:tab w:val="left" w:pos="7680"/>
      </w:tabs>
      <w:adjustRightInd w:val="0"/>
      <w:spacing w:line="240" w:lineRule="atLeast"/>
      <w:jc w:val="left"/>
      <w:rPr>
        <w:rFonts w:hint="eastAsia" w:ascii="宋体" w:hAnsi="宋体" w:eastAsia="宋体" w:cs="宋体"/>
        <w:kern w:val="0"/>
        <w:sz w:val="18"/>
        <w:szCs w:val="18"/>
        <w:lang w:eastAsia="zh-CN"/>
      </w:rPr>
    </w:pPr>
    <w:r>
      <w:rPr>
        <w:sz w:val="18"/>
        <w:szCs w:val="18"/>
      </w:rPr>
      <mc:AlternateContent>
        <mc:Choice Requires="wps">
          <w:drawing>
            <wp:anchor distT="0" distB="0" distL="114300" distR="114300" simplePos="0" relativeHeight="251661312" behindDoc="0" locked="0" layoutInCell="1" allowOverlap="1">
              <wp:simplePos x="0" y="0"/>
              <wp:positionH relativeFrom="margin">
                <wp:posOffset>4609465</wp:posOffset>
              </wp:positionH>
              <wp:positionV relativeFrom="paragraph">
                <wp:posOffset>-28575</wp:posOffset>
              </wp:positionV>
              <wp:extent cx="988060" cy="2451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88060" cy="245110"/>
                      </a:xfrm>
                      <a:prstGeom prst="rect">
                        <a:avLst/>
                      </a:prstGeom>
                      <a:noFill/>
                      <a:ln>
                        <a:noFill/>
                      </a:ln>
                    </wps:spPr>
                    <wps:txbx>
                      <w:txbxContent>
                        <w:p w14:paraId="5D2C903E">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96</w:t>
                          </w:r>
                          <w:r>
                            <w:rPr>
                              <w:rFonts w:hint="eastAsia"/>
                            </w:rPr>
                            <w:fldChar w:fldCharType="end"/>
                          </w:r>
                          <w:r>
                            <w:rPr>
                              <w:rFonts w:hint="eastAsia"/>
                            </w:rPr>
                            <w:t xml:space="preserve"> 页</w:t>
                          </w:r>
                        </w:p>
                      </w:txbxContent>
                    </wps:txbx>
                    <wps:bodyPr lIns="0" tIns="0" rIns="0" bIns="0"/>
                  </wps:wsp>
                </a:graphicData>
              </a:graphic>
            </wp:anchor>
          </w:drawing>
        </mc:Choice>
        <mc:Fallback>
          <w:pict>
            <v:shape id="_x0000_s1026" o:spid="_x0000_s1026" o:spt="202" type="#_x0000_t202" style="position:absolute;left:0pt;margin-left:362.95pt;margin-top:-2.25pt;height:19.3pt;width:77.8pt;mso-position-horizontal-relative:margin;z-index:251661312;mso-width-relative:page;mso-height-relative:page;" filled="f" stroked="f" coordsize="21600,21600" o:gfxdata="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Kl5OfZAAAACQEAAA8AAAAAAAAAAQAgAAAAIgAAAGRycy9kb3ducmV2LnhtbFBLAQIUABQAAAAI&#10;AIdO4kApHkbXswEAAGcDAAAOAAAAAAAAAAEAIAAAACgBAABkcnMvZTJvRG9jLnhtbFBLBQYAAAAA&#10;BgAGAFkBAABNBQAAAAA=&#10;">
              <v:fill on="f" focussize="0,0"/>
              <v:stroke on="f"/>
              <v:imagedata o:title=""/>
              <o:lock v:ext="edit" aspectratio="f"/>
              <v:textbox inset="0mm,0mm,0mm,0mm">
                <w:txbxContent>
                  <w:p w14:paraId="5D2C903E">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96</w:t>
                    </w:r>
                    <w:r>
                      <w:rPr>
                        <w:rFonts w:hint="eastAsia"/>
                      </w:rPr>
                      <w:fldChar w:fldCharType="end"/>
                    </w:r>
                    <w:r>
                      <w:rPr>
                        <w:rFonts w:hint="eastAsia"/>
                      </w:rPr>
                      <w:t xml:space="preserve"> 页</w:t>
                    </w:r>
                  </w:p>
                </w:txbxContent>
              </v:textbox>
            </v:shape>
          </w:pict>
        </mc:Fallback>
      </mc:AlternateContent>
    </w:r>
    <w:r>
      <w:rPr>
        <w:rFonts w:hint="eastAsia"/>
        <w:sz w:val="18"/>
        <w:szCs w:val="18"/>
        <w:lang w:eastAsia="zh-CN"/>
      </w:rPr>
      <w:t>遂昌县人民医院职工食堂经营承包项目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13E8">
    <w:pPr>
      <w:pBdr>
        <w:bottom w:val="thickThinSmallGap" w:color="auto" w:sz="24" w:space="1"/>
      </w:pBdr>
      <w:tabs>
        <w:tab w:val="center" w:pos="4153"/>
        <w:tab w:val="left" w:pos="7680"/>
      </w:tabs>
      <w:adjustRightInd w:val="0"/>
      <w:spacing w:line="240" w:lineRule="atLeast"/>
      <w:jc w:val="left"/>
      <w:rPr>
        <w:rFonts w:hint="eastAsia" w:ascii="宋体" w:hAnsi="宋体" w:eastAsia="宋体" w:cs="宋体"/>
        <w:kern w:val="0"/>
        <w:sz w:val="18"/>
        <w:szCs w:val="18"/>
        <w:lang w:eastAsia="zh-CN"/>
      </w:rPr>
    </w:pPr>
    <w:r>
      <w:rPr>
        <w:rFonts w:hint="eastAsia" w:ascii="宋体" w:hAnsi="宋体" w:eastAsia="宋体" w:cs="宋体"/>
        <w:sz w:val="18"/>
        <w:szCs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A2324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96</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0FA2324C">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96</w:t>
                    </w:r>
                    <w:r>
                      <w:rPr>
                        <w:rFonts w:hint="eastAsia"/>
                      </w:rPr>
                      <w:fldChar w:fldCharType="end"/>
                    </w:r>
                    <w:r>
                      <w:rPr>
                        <w:rFonts w:hint="eastAsia"/>
                      </w:rPr>
                      <w:t xml:space="preserve"> 页</w:t>
                    </w:r>
                  </w:p>
                </w:txbxContent>
              </v:textbox>
            </v:shape>
          </w:pict>
        </mc:Fallback>
      </mc:AlternateContent>
    </w:r>
    <w:r>
      <w:rPr>
        <w:rFonts w:hint="eastAsia" w:ascii="宋体" w:hAnsi="宋体" w:eastAsia="宋体" w:cs="宋体"/>
        <w:sz w:val="18"/>
        <w:szCs w:val="18"/>
        <w:lang w:eastAsia="zh-CN"/>
      </w:rPr>
      <w:t>遂昌县人民医院职工食堂经营承包项目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E741">
    <w:pPr>
      <w:pBdr>
        <w:bottom w:val="thickThinSmallGap" w:color="auto" w:sz="24" w:space="1"/>
      </w:pBdr>
      <w:tabs>
        <w:tab w:val="center" w:pos="4153"/>
        <w:tab w:val="left" w:pos="7680"/>
      </w:tabs>
      <w:adjustRightInd w:val="0"/>
      <w:spacing w:line="240" w:lineRule="atLeast"/>
      <w:jc w:val="lef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4516755</wp:posOffset>
              </wp:positionH>
              <wp:positionV relativeFrom="paragraph">
                <wp:posOffset>-9525</wp:posOffset>
              </wp:positionV>
              <wp:extent cx="110426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265" cy="1828800"/>
                      </a:xfrm>
                      <a:prstGeom prst="rect">
                        <a:avLst/>
                      </a:prstGeom>
                      <a:noFill/>
                      <a:ln w="15875">
                        <a:noFill/>
                      </a:ln>
                    </wps:spPr>
                    <wps:txbx>
                      <w:txbxContent>
                        <w:p w14:paraId="3E20738A">
                          <w:pPr>
                            <w:pStyle w:val="16"/>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lIns="0" tIns="0" rIns="0" bIns="0">
                      <a:spAutoFit/>
                    </wps:bodyPr>
                  </wps:wsp>
                </a:graphicData>
              </a:graphic>
            </wp:anchor>
          </w:drawing>
        </mc:Choice>
        <mc:Fallback>
          <w:pict>
            <v:shape id="_x0000_s1026" o:spid="_x0000_s1026" o:spt="202" type="#_x0000_t202" style="position:absolute;left:0pt;margin-left:355.65pt;margin-top:-0.75pt;height:144pt;width:86.95pt;mso-position-horizontal-relative:margin;z-index:251660288;mso-width-relative:page;mso-height-relative:page;" filled="f" stroked="f" coordsize="21600,21600" o:gfxdata="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&#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qUCTaAAAACgEAAA8AAAAAAAAAAQAgAAAAIgAAAGRy&#10;cy9kb3ducmV2LnhtbFBLAQIUABQAAAAIAIdO4kB6arN0ygEAAIsDAAAOAAAAAAAAAAEAIAAAACkB&#10;AABkcnMvZTJvRG9jLnhtbFBLBQYAAAAABgAGAFkBAABlBQAAAAA=&#10;">
              <v:fill on="f" focussize="0,0"/>
              <v:stroke on="f" weight="1.25pt"/>
              <v:imagedata o:title=""/>
              <o:lock v:ext="edit" aspectratio="f"/>
              <v:textbox inset="0mm,0mm,0mm,0mm" style="mso-fit-shape-to-text:t;">
                <w:txbxContent>
                  <w:p w14:paraId="3E20738A">
                    <w:pPr>
                      <w:pStyle w:val="16"/>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r>
      <w:rPr>
        <w:rFonts w:hint="eastAsia"/>
        <w:sz w:val="18"/>
        <w:szCs w:val="18"/>
        <w:lang w:eastAsia="zh-CN"/>
      </w:rPr>
      <w:t>遂昌县人民医院职工食堂经营承包项目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03CCE"/>
    <w:multiLevelType w:val="singleLevel"/>
    <w:tmpl w:val="80603CCE"/>
    <w:lvl w:ilvl="0" w:tentative="0">
      <w:start w:val="1"/>
      <w:numFmt w:val="decimal"/>
      <w:suff w:val="nothing"/>
      <w:lvlText w:val="%1．"/>
      <w:lvlJc w:val="left"/>
      <w:pPr>
        <w:ind w:left="0" w:firstLine="400"/>
      </w:pPr>
      <w:rPr>
        <w:rFonts w:hint="default"/>
        <w:b/>
        <w:bCs/>
      </w:rPr>
    </w:lvl>
  </w:abstractNum>
  <w:abstractNum w:abstractNumId="1">
    <w:nsid w:val="900B6A5F"/>
    <w:multiLevelType w:val="singleLevel"/>
    <w:tmpl w:val="900B6A5F"/>
    <w:lvl w:ilvl="0" w:tentative="0">
      <w:start w:val="1"/>
      <w:numFmt w:val="decimal"/>
      <w:suff w:val="nothing"/>
      <w:lvlText w:val="%1．"/>
      <w:lvlJc w:val="left"/>
      <w:pPr>
        <w:ind w:left="0" w:firstLine="400"/>
      </w:pPr>
      <w:rPr>
        <w:rFonts w:hint="default"/>
        <w:b/>
        <w:bCs/>
      </w:rPr>
    </w:lvl>
  </w:abstractNum>
  <w:abstractNum w:abstractNumId="2">
    <w:nsid w:val="95E2F161"/>
    <w:multiLevelType w:val="singleLevel"/>
    <w:tmpl w:val="95E2F161"/>
    <w:lvl w:ilvl="0" w:tentative="0">
      <w:start w:val="34"/>
      <w:numFmt w:val="decimal"/>
      <w:suff w:val="space"/>
      <w:lvlText w:val="%1."/>
      <w:lvlJc w:val="left"/>
    </w:lvl>
  </w:abstractNum>
  <w:abstractNum w:abstractNumId="3">
    <w:nsid w:val="9AF4ED5A"/>
    <w:multiLevelType w:val="singleLevel"/>
    <w:tmpl w:val="9AF4ED5A"/>
    <w:lvl w:ilvl="0" w:tentative="0">
      <w:start w:val="1"/>
      <w:numFmt w:val="decimal"/>
      <w:suff w:val="nothing"/>
      <w:lvlText w:val="%1．"/>
      <w:lvlJc w:val="left"/>
      <w:pPr>
        <w:ind w:left="0" w:firstLine="400"/>
      </w:pPr>
      <w:rPr>
        <w:rFonts w:hint="default" w:ascii="仿宋" w:hAnsi="仿宋" w:eastAsia="仿宋" w:cs="仿宋"/>
        <w:sz w:val="24"/>
        <w:szCs w:val="24"/>
      </w:rPr>
    </w:lvl>
  </w:abstractNum>
  <w:abstractNum w:abstractNumId="4">
    <w:nsid w:val="AF7E792F"/>
    <w:multiLevelType w:val="singleLevel"/>
    <w:tmpl w:val="AF7E792F"/>
    <w:lvl w:ilvl="0" w:tentative="0">
      <w:start w:val="7"/>
      <w:numFmt w:val="chineseCounting"/>
      <w:suff w:val="space"/>
      <w:lvlText w:val="第%1条"/>
      <w:lvlJc w:val="left"/>
      <w:rPr>
        <w:rFonts w:hint="eastAsia"/>
      </w:rPr>
    </w:lvl>
  </w:abstractNum>
  <w:abstractNum w:abstractNumId="5">
    <w:nsid w:val="C2FF0A3E"/>
    <w:multiLevelType w:val="singleLevel"/>
    <w:tmpl w:val="C2FF0A3E"/>
    <w:lvl w:ilvl="0" w:tentative="0">
      <w:start w:val="1"/>
      <w:numFmt w:val="decimal"/>
      <w:suff w:val="space"/>
      <w:lvlText w:val="%1."/>
      <w:lvlJc w:val="left"/>
      <w:pPr>
        <w:ind w:left="425" w:hanging="425"/>
      </w:pPr>
      <w:rPr>
        <w:rFonts w:hint="default"/>
      </w:rPr>
    </w:lvl>
  </w:abstractNum>
  <w:abstractNum w:abstractNumId="6">
    <w:nsid w:val="CF22DFC1"/>
    <w:multiLevelType w:val="singleLevel"/>
    <w:tmpl w:val="CF22DFC1"/>
    <w:lvl w:ilvl="0" w:tentative="0">
      <w:start w:val="1"/>
      <w:numFmt w:val="decimal"/>
      <w:suff w:val="nothing"/>
      <w:lvlText w:val="%1．"/>
      <w:lvlJc w:val="left"/>
      <w:pPr>
        <w:ind w:left="0" w:firstLine="400"/>
      </w:pPr>
      <w:rPr>
        <w:rFonts w:hint="default"/>
      </w:rPr>
    </w:lvl>
  </w:abstractNum>
  <w:abstractNum w:abstractNumId="7">
    <w:nsid w:val="D651E492"/>
    <w:multiLevelType w:val="singleLevel"/>
    <w:tmpl w:val="D651E492"/>
    <w:lvl w:ilvl="0" w:tentative="0">
      <w:start w:val="1"/>
      <w:numFmt w:val="decimal"/>
      <w:suff w:val="space"/>
      <w:lvlText w:val="%1."/>
      <w:lvlJc w:val="left"/>
    </w:lvl>
  </w:abstractNum>
  <w:abstractNum w:abstractNumId="8">
    <w:nsid w:val="D783A2FE"/>
    <w:multiLevelType w:val="multilevel"/>
    <w:tmpl w:val="D783A2FE"/>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ascii="仿宋" w:hAnsi="仿宋" w:eastAsia="仿宋" w:cs="仿宋"/>
      </w:rPr>
    </w:lvl>
    <w:lvl w:ilvl="2" w:tentative="0">
      <w:start w:val="1"/>
      <w:numFmt w:val="decimal"/>
      <w:isLgl/>
      <w:suff w:val="nothing"/>
      <w:lvlText w:val="%2.%3"/>
      <w:lvlJc w:val="left"/>
      <w:pPr>
        <w:ind w:left="0" w:firstLine="402"/>
      </w:pPr>
      <w:rPr>
        <w:rFonts w:hint="eastAsia" w:ascii="宋体" w:hAnsi="宋体" w:eastAsia="宋体" w:cs="宋体"/>
      </w:rPr>
    </w:lvl>
    <w:lvl w:ilvl="3" w:tentative="0">
      <w:start w:val="1"/>
      <w:numFmt w:val="none"/>
      <w:isLgl/>
      <w:suff w:val="nothing"/>
      <w:lvlText w:val="%2.%3.%4"/>
      <w:lvlJc w:val="left"/>
      <w:pPr>
        <w:tabs>
          <w:tab w:val="left" w:pos="0"/>
        </w:tabs>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DFB31C88"/>
    <w:multiLevelType w:val="singleLevel"/>
    <w:tmpl w:val="DFB31C88"/>
    <w:lvl w:ilvl="0" w:tentative="0">
      <w:start w:val="1"/>
      <w:numFmt w:val="decimal"/>
      <w:suff w:val="nothing"/>
      <w:lvlText w:val="%1．"/>
      <w:lvlJc w:val="left"/>
      <w:pPr>
        <w:ind w:left="0" w:firstLine="400"/>
      </w:pPr>
      <w:rPr>
        <w:rFonts w:hint="default"/>
      </w:rPr>
    </w:lvl>
  </w:abstractNum>
  <w:abstractNum w:abstractNumId="10">
    <w:nsid w:val="F1A0506A"/>
    <w:multiLevelType w:val="singleLevel"/>
    <w:tmpl w:val="F1A0506A"/>
    <w:lvl w:ilvl="0" w:tentative="0">
      <w:start w:val="1"/>
      <w:numFmt w:val="chineseCounting"/>
      <w:suff w:val="nothing"/>
      <w:lvlText w:val="%1、"/>
      <w:lvlJc w:val="left"/>
      <w:pPr>
        <w:ind w:left="0" w:firstLine="397"/>
      </w:pPr>
      <w:rPr>
        <w:rFonts w:hint="eastAsia"/>
        <w:b/>
        <w:bCs/>
      </w:rPr>
    </w:lvl>
  </w:abstractNum>
  <w:abstractNum w:abstractNumId="11">
    <w:nsid w:val="04328F04"/>
    <w:multiLevelType w:val="singleLevel"/>
    <w:tmpl w:val="04328F04"/>
    <w:lvl w:ilvl="0" w:tentative="0">
      <w:start w:val="1"/>
      <w:numFmt w:val="decimal"/>
      <w:suff w:val="nothing"/>
      <w:lvlText w:val="%1．"/>
      <w:lvlJc w:val="left"/>
      <w:pPr>
        <w:ind w:left="0" w:firstLine="400"/>
      </w:pPr>
      <w:rPr>
        <w:rFonts w:hint="default"/>
      </w:rPr>
    </w:lvl>
  </w:abstractNum>
  <w:abstractNum w:abstractNumId="12">
    <w:nsid w:val="0FB96AC1"/>
    <w:multiLevelType w:val="singleLevel"/>
    <w:tmpl w:val="0FB96AC1"/>
    <w:lvl w:ilvl="0" w:tentative="0">
      <w:start w:val="34"/>
      <w:numFmt w:val="decimal"/>
      <w:suff w:val="space"/>
      <w:lvlText w:val="%1."/>
      <w:lvlJc w:val="left"/>
    </w:lvl>
  </w:abstractNum>
  <w:abstractNum w:abstractNumId="13">
    <w:nsid w:val="16E02311"/>
    <w:multiLevelType w:val="singleLevel"/>
    <w:tmpl w:val="16E02311"/>
    <w:lvl w:ilvl="0" w:tentative="0">
      <w:start w:val="1"/>
      <w:numFmt w:val="decimal"/>
      <w:suff w:val="nothing"/>
      <w:lvlText w:val="%1．"/>
      <w:lvlJc w:val="left"/>
      <w:pPr>
        <w:ind w:left="0" w:firstLine="400"/>
      </w:pPr>
      <w:rPr>
        <w:rFonts w:hint="default"/>
      </w:rPr>
    </w:lvl>
  </w:abstractNum>
  <w:abstractNum w:abstractNumId="14">
    <w:nsid w:val="24D25D6A"/>
    <w:multiLevelType w:val="singleLevel"/>
    <w:tmpl w:val="24D25D6A"/>
    <w:lvl w:ilvl="0" w:tentative="0">
      <w:start w:val="2"/>
      <w:numFmt w:val="chineseCounting"/>
      <w:suff w:val="space"/>
      <w:lvlText w:val="第%1章"/>
      <w:lvlJc w:val="left"/>
      <w:rPr>
        <w:rFonts w:hint="eastAsia"/>
      </w:rPr>
    </w:lvl>
  </w:abstractNum>
  <w:abstractNum w:abstractNumId="15">
    <w:nsid w:val="35EF0C24"/>
    <w:multiLevelType w:val="singleLevel"/>
    <w:tmpl w:val="35EF0C24"/>
    <w:lvl w:ilvl="0" w:tentative="0">
      <w:start w:val="1"/>
      <w:numFmt w:val="decimal"/>
      <w:lvlText w:val="%1."/>
      <w:lvlJc w:val="left"/>
      <w:pPr>
        <w:tabs>
          <w:tab w:val="left" w:pos="312"/>
        </w:tabs>
      </w:pPr>
    </w:lvl>
  </w:abstractNum>
  <w:abstractNum w:abstractNumId="16">
    <w:nsid w:val="387C488D"/>
    <w:multiLevelType w:val="singleLevel"/>
    <w:tmpl w:val="387C488D"/>
    <w:lvl w:ilvl="0" w:tentative="0">
      <w:start w:val="12"/>
      <w:numFmt w:val="chineseCounting"/>
      <w:suff w:val="space"/>
      <w:lvlText w:val="第%1条"/>
      <w:lvlJc w:val="left"/>
      <w:rPr>
        <w:rFonts w:hint="eastAsia"/>
      </w:rPr>
    </w:lvl>
  </w:abstractNum>
  <w:abstractNum w:abstractNumId="17">
    <w:nsid w:val="3DEF9013"/>
    <w:multiLevelType w:val="singleLevel"/>
    <w:tmpl w:val="3DEF9013"/>
    <w:lvl w:ilvl="0" w:tentative="0">
      <w:start w:val="1"/>
      <w:numFmt w:val="chineseCounting"/>
      <w:suff w:val="space"/>
      <w:lvlText w:val="第%1章"/>
      <w:lvlJc w:val="left"/>
      <w:rPr>
        <w:rFonts w:hint="eastAsia"/>
      </w:rPr>
    </w:lvl>
  </w:abstractNum>
  <w:abstractNum w:abstractNumId="18">
    <w:nsid w:val="3F5B7B9D"/>
    <w:multiLevelType w:val="multilevel"/>
    <w:tmpl w:val="3F5B7B9D"/>
    <w:lvl w:ilvl="0" w:tentative="0">
      <w:start w:val="4"/>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none"/>
      <w:pStyle w:val="9"/>
      <w:lvlText w:val="%1.%2.%3."/>
      <w:lvlJc w:val="left"/>
      <w:pPr>
        <w:ind w:left="142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9">
    <w:nsid w:val="43933302"/>
    <w:multiLevelType w:val="multilevel"/>
    <w:tmpl w:val="4393330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7A52ED8"/>
    <w:multiLevelType w:val="singleLevel"/>
    <w:tmpl w:val="57A52ED8"/>
    <w:lvl w:ilvl="0" w:tentative="0">
      <w:start w:val="1"/>
      <w:numFmt w:val="decimal"/>
      <w:suff w:val="nothing"/>
      <w:lvlText w:val="%1．"/>
      <w:lvlJc w:val="left"/>
      <w:pPr>
        <w:ind w:left="0" w:firstLine="400"/>
      </w:pPr>
      <w:rPr>
        <w:rFonts w:hint="default"/>
      </w:rPr>
    </w:lvl>
  </w:abstractNum>
  <w:abstractNum w:abstractNumId="21">
    <w:nsid w:val="5ABCACF3"/>
    <w:multiLevelType w:val="singleLevel"/>
    <w:tmpl w:val="5ABCACF3"/>
    <w:lvl w:ilvl="0" w:tentative="0">
      <w:start w:val="1"/>
      <w:numFmt w:val="decimal"/>
      <w:suff w:val="nothing"/>
      <w:lvlText w:val="%1．"/>
      <w:lvlJc w:val="left"/>
      <w:pPr>
        <w:ind w:left="0" w:firstLine="400"/>
      </w:pPr>
      <w:rPr>
        <w:rFonts w:hint="default"/>
        <w:b w:val="0"/>
        <w:bCs w:val="0"/>
      </w:rPr>
    </w:lvl>
  </w:abstractNum>
  <w:abstractNum w:abstractNumId="22">
    <w:nsid w:val="63C4E927"/>
    <w:multiLevelType w:val="singleLevel"/>
    <w:tmpl w:val="63C4E927"/>
    <w:lvl w:ilvl="0" w:tentative="0">
      <w:start w:val="1"/>
      <w:numFmt w:val="decimal"/>
      <w:lvlText w:val="%1."/>
      <w:lvlJc w:val="left"/>
      <w:pPr>
        <w:tabs>
          <w:tab w:val="left" w:pos="420"/>
        </w:tabs>
        <w:ind w:left="845" w:hanging="425"/>
      </w:pPr>
      <w:rPr>
        <w:rFonts w:hint="default"/>
      </w:rPr>
    </w:lvl>
  </w:abstractNum>
  <w:abstractNum w:abstractNumId="23">
    <w:nsid w:val="640DCAF4"/>
    <w:multiLevelType w:val="singleLevel"/>
    <w:tmpl w:val="640DCAF4"/>
    <w:lvl w:ilvl="0" w:tentative="0">
      <w:start w:val="1"/>
      <w:numFmt w:val="decimal"/>
      <w:suff w:val="nothing"/>
      <w:lvlText w:val="%1．"/>
      <w:lvlJc w:val="left"/>
      <w:pPr>
        <w:ind w:left="0" w:firstLine="400"/>
      </w:pPr>
      <w:rPr>
        <w:rFonts w:hint="default"/>
      </w:rPr>
    </w:lvl>
  </w:abstractNum>
  <w:abstractNum w:abstractNumId="24">
    <w:nsid w:val="71890C38"/>
    <w:multiLevelType w:val="singleLevel"/>
    <w:tmpl w:val="71890C38"/>
    <w:lvl w:ilvl="0" w:tentative="0">
      <w:start w:val="1"/>
      <w:numFmt w:val="decimal"/>
      <w:suff w:val="nothing"/>
      <w:lvlText w:val="%1．"/>
      <w:lvlJc w:val="left"/>
      <w:pPr>
        <w:ind w:left="0" w:firstLine="400"/>
      </w:pPr>
      <w:rPr>
        <w:rFonts w:hint="default"/>
      </w:rPr>
    </w:lvl>
  </w:abstractNum>
  <w:abstractNum w:abstractNumId="25">
    <w:nsid w:val="7422720E"/>
    <w:multiLevelType w:val="singleLevel"/>
    <w:tmpl w:val="7422720E"/>
    <w:lvl w:ilvl="0" w:tentative="0">
      <w:start w:val="1"/>
      <w:numFmt w:val="decimal"/>
      <w:suff w:val="nothing"/>
      <w:lvlText w:val="%1．"/>
      <w:lvlJc w:val="left"/>
      <w:pPr>
        <w:ind w:left="0" w:firstLine="400"/>
      </w:pPr>
      <w:rPr>
        <w:rFonts w:hint="default"/>
      </w:rPr>
    </w:lvl>
  </w:abstractNum>
  <w:num w:numId="1">
    <w:abstractNumId w:val="18"/>
  </w:num>
  <w:num w:numId="2">
    <w:abstractNumId w:val="17"/>
  </w:num>
  <w:num w:numId="3">
    <w:abstractNumId w:val="10"/>
  </w:num>
  <w:num w:numId="4">
    <w:abstractNumId w:val="20"/>
  </w:num>
  <w:num w:numId="5">
    <w:abstractNumId w:val="6"/>
  </w:num>
  <w:num w:numId="6">
    <w:abstractNumId w:val="3"/>
  </w:num>
  <w:num w:numId="7">
    <w:abstractNumId w:val="14"/>
  </w:num>
  <w:num w:numId="8">
    <w:abstractNumId w:val="8"/>
  </w:num>
  <w:num w:numId="9">
    <w:abstractNumId w:val="1"/>
  </w:num>
  <w:num w:numId="10">
    <w:abstractNumId w:val="25"/>
  </w:num>
  <w:num w:numId="11">
    <w:abstractNumId w:val="0"/>
  </w:num>
  <w:num w:numId="12">
    <w:abstractNumId w:val="9"/>
  </w:num>
  <w:num w:numId="13">
    <w:abstractNumId w:val="24"/>
  </w:num>
  <w:num w:numId="14">
    <w:abstractNumId w:val="21"/>
  </w:num>
  <w:num w:numId="15">
    <w:abstractNumId w:val="23"/>
  </w:num>
  <w:num w:numId="16">
    <w:abstractNumId w:val="19"/>
  </w:num>
  <w:num w:numId="17">
    <w:abstractNumId w:val="7"/>
  </w:num>
  <w:num w:numId="18">
    <w:abstractNumId w:val="2"/>
  </w:num>
  <w:num w:numId="19">
    <w:abstractNumId w:val="12"/>
  </w:num>
  <w:num w:numId="20">
    <w:abstractNumId w:val="4"/>
  </w:num>
  <w:num w:numId="21">
    <w:abstractNumId w:val="16"/>
  </w:num>
  <w:num w:numId="22">
    <w:abstractNumId w:val="22"/>
  </w:num>
  <w:num w:numId="23">
    <w:abstractNumId w:val="5"/>
  </w:num>
  <w:num w:numId="24">
    <w:abstractNumId w:val="11"/>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031F"/>
    <w:rsid w:val="00E645F8"/>
    <w:rsid w:val="00F72CA9"/>
    <w:rsid w:val="014632E9"/>
    <w:rsid w:val="01730582"/>
    <w:rsid w:val="04912ACD"/>
    <w:rsid w:val="04DF00B1"/>
    <w:rsid w:val="06974875"/>
    <w:rsid w:val="077C5CB6"/>
    <w:rsid w:val="07BA4EE6"/>
    <w:rsid w:val="07D653C6"/>
    <w:rsid w:val="08716E9D"/>
    <w:rsid w:val="09EF1275"/>
    <w:rsid w:val="0A466107"/>
    <w:rsid w:val="0A9D666F"/>
    <w:rsid w:val="0AFD2C6A"/>
    <w:rsid w:val="0C762CD4"/>
    <w:rsid w:val="0D2B7F62"/>
    <w:rsid w:val="0E1B64AA"/>
    <w:rsid w:val="0EE35438"/>
    <w:rsid w:val="0F340C24"/>
    <w:rsid w:val="0F5F0397"/>
    <w:rsid w:val="11C75D80"/>
    <w:rsid w:val="11CF6902"/>
    <w:rsid w:val="12834A31"/>
    <w:rsid w:val="13410046"/>
    <w:rsid w:val="13F06229"/>
    <w:rsid w:val="157D50D3"/>
    <w:rsid w:val="17F92A0B"/>
    <w:rsid w:val="1A27385F"/>
    <w:rsid w:val="1B002E15"/>
    <w:rsid w:val="1BC11A92"/>
    <w:rsid w:val="1D725739"/>
    <w:rsid w:val="1E7828DC"/>
    <w:rsid w:val="1F9E45C4"/>
    <w:rsid w:val="204131A1"/>
    <w:rsid w:val="211F34E2"/>
    <w:rsid w:val="219E4D4F"/>
    <w:rsid w:val="21FC7CC7"/>
    <w:rsid w:val="24350F2B"/>
    <w:rsid w:val="24466FD8"/>
    <w:rsid w:val="27A6670B"/>
    <w:rsid w:val="27D50D9F"/>
    <w:rsid w:val="27EE00B2"/>
    <w:rsid w:val="27FC27CF"/>
    <w:rsid w:val="280232A9"/>
    <w:rsid w:val="28A01BA3"/>
    <w:rsid w:val="2A3F4BF5"/>
    <w:rsid w:val="2B255B99"/>
    <w:rsid w:val="2B90475C"/>
    <w:rsid w:val="2C417D39"/>
    <w:rsid w:val="2C4E2ECE"/>
    <w:rsid w:val="2E080A74"/>
    <w:rsid w:val="30FF0C3A"/>
    <w:rsid w:val="313C59EB"/>
    <w:rsid w:val="315216B2"/>
    <w:rsid w:val="32D213DE"/>
    <w:rsid w:val="33541711"/>
    <w:rsid w:val="3608233F"/>
    <w:rsid w:val="375A306E"/>
    <w:rsid w:val="38241748"/>
    <w:rsid w:val="3DA908AC"/>
    <w:rsid w:val="3E1B5C0C"/>
    <w:rsid w:val="3E4E3201"/>
    <w:rsid w:val="3E94330A"/>
    <w:rsid w:val="3F516B05"/>
    <w:rsid w:val="3F542A99"/>
    <w:rsid w:val="3F6C6BF6"/>
    <w:rsid w:val="43367CDF"/>
    <w:rsid w:val="433B01F8"/>
    <w:rsid w:val="43560B8E"/>
    <w:rsid w:val="43BF2BD7"/>
    <w:rsid w:val="44705C7F"/>
    <w:rsid w:val="451E1B7F"/>
    <w:rsid w:val="45442C68"/>
    <w:rsid w:val="45F34DBA"/>
    <w:rsid w:val="467D1FAB"/>
    <w:rsid w:val="46B75DE7"/>
    <w:rsid w:val="46CE1383"/>
    <w:rsid w:val="47F40975"/>
    <w:rsid w:val="489932CB"/>
    <w:rsid w:val="496658A3"/>
    <w:rsid w:val="4B071F90"/>
    <w:rsid w:val="4CB16E35"/>
    <w:rsid w:val="4CE4545C"/>
    <w:rsid w:val="4D3D1D40"/>
    <w:rsid w:val="4D8E361A"/>
    <w:rsid w:val="4D9209BD"/>
    <w:rsid w:val="4DE84AD8"/>
    <w:rsid w:val="4E3B5550"/>
    <w:rsid w:val="4EB773D9"/>
    <w:rsid w:val="4F93316A"/>
    <w:rsid w:val="509B0528"/>
    <w:rsid w:val="50CC6933"/>
    <w:rsid w:val="51FE40BE"/>
    <w:rsid w:val="52D63A99"/>
    <w:rsid w:val="54F75F49"/>
    <w:rsid w:val="54F975CB"/>
    <w:rsid w:val="550A5F67"/>
    <w:rsid w:val="55482D02"/>
    <w:rsid w:val="561D19DF"/>
    <w:rsid w:val="56733E11"/>
    <w:rsid w:val="569357FD"/>
    <w:rsid w:val="59EC76FE"/>
    <w:rsid w:val="59FE5684"/>
    <w:rsid w:val="5C4F21C6"/>
    <w:rsid w:val="5C602626"/>
    <w:rsid w:val="5FD2383A"/>
    <w:rsid w:val="6025396A"/>
    <w:rsid w:val="60D31618"/>
    <w:rsid w:val="619A3EE4"/>
    <w:rsid w:val="626A5FAC"/>
    <w:rsid w:val="62DD052C"/>
    <w:rsid w:val="633C4575"/>
    <w:rsid w:val="63F707DF"/>
    <w:rsid w:val="6516599A"/>
    <w:rsid w:val="654A79CF"/>
    <w:rsid w:val="65BB60F6"/>
    <w:rsid w:val="65BE0431"/>
    <w:rsid w:val="65CC6636"/>
    <w:rsid w:val="67780823"/>
    <w:rsid w:val="684E58C1"/>
    <w:rsid w:val="6888718C"/>
    <w:rsid w:val="68953657"/>
    <w:rsid w:val="6A7B755E"/>
    <w:rsid w:val="6AB778B5"/>
    <w:rsid w:val="6B2018FE"/>
    <w:rsid w:val="6B7D6609"/>
    <w:rsid w:val="6C9276CD"/>
    <w:rsid w:val="6CFE5C6F"/>
    <w:rsid w:val="6E7A30D3"/>
    <w:rsid w:val="705362D1"/>
    <w:rsid w:val="73B61051"/>
    <w:rsid w:val="743738F4"/>
    <w:rsid w:val="7447614D"/>
    <w:rsid w:val="74844CAB"/>
    <w:rsid w:val="750758DC"/>
    <w:rsid w:val="7507768A"/>
    <w:rsid w:val="753375B9"/>
    <w:rsid w:val="757310EA"/>
    <w:rsid w:val="75797349"/>
    <w:rsid w:val="75AD3D8E"/>
    <w:rsid w:val="76A52BBD"/>
    <w:rsid w:val="77905715"/>
    <w:rsid w:val="779732F5"/>
    <w:rsid w:val="77D221D2"/>
    <w:rsid w:val="78E167EE"/>
    <w:rsid w:val="79607369"/>
    <w:rsid w:val="7B5B603A"/>
    <w:rsid w:val="7C122B9D"/>
    <w:rsid w:val="7CC3658D"/>
    <w:rsid w:val="7DEB5D9B"/>
    <w:rsid w:val="7EEA1BAF"/>
    <w:rsid w:val="7F516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宋体"/>
      <w:b/>
      <w:kern w:val="0"/>
      <w:sz w:val="36"/>
      <w:szCs w:val="20"/>
    </w:rPr>
  </w:style>
  <w:style w:type="paragraph" w:styleId="6">
    <w:name w:val="heading 3"/>
    <w:basedOn w:val="1"/>
    <w:next w:val="7"/>
    <w:qFormat/>
    <w:uiPriority w:val="0"/>
    <w:pPr>
      <w:keepNext/>
      <w:keepLines/>
      <w:spacing w:before="260" w:after="260" w:line="360" w:lineRule="auto"/>
      <w:ind w:firstLine="602" w:firstLineChars="200"/>
      <w:outlineLvl w:val="2"/>
    </w:pPr>
    <w:rPr>
      <w:rFonts w:ascii="宋体"/>
      <w:b/>
      <w:bCs/>
      <w:sz w:val="30"/>
      <w:szCs w:val="20"/>
    </w:rPr>
  </w:style>
  <w:style w:type="paragraph" w:styleId="9">
    <w:name w:val="heading 4"/>
    <w:basedOn w:val="1"/>
    <w:next w:val="1"/>
    <w:qFormat/>
    <w:uiPriority w:val="0"/>
    <w:pPr>
      <w:keepNext/>
      <w:keepLines/>
      <w:numPr>
        <w:ilvl w:val="3"/>
        <w:numId w:val="1"/>
      </w:numPr>
      <w:spacing w:before="280" w:after="290" w:line="376" w:lineRule="auto"/>
      <w:ind w:left="864"/>
      <w:outlineLvl w:val="3"/>
    </w:pPr>
    <w:rPr>
      <w:rFonts w:ascii="Times New Roman" w:hAnsi="Times New Roman" w:eastAsia="Times New Roman"/>
      <w:b/>
      <w:bCs/>
      <w:kern w:val="44"/>
      <w:sz w:val="44"/>
      <w:szCs w:val="44"/>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tabs>
        <w:tab w:val="left" w:pos="208"/>
      </w:tabs>
      <w:spacing w:after="120" w:line="240" w:lineRule="auto"/>
      <w:ind w:firstLine="420" w:firstLineChars="100"/>
    </w:pPr>
    <w:rPr>
      <w:rFonts w:ascii="Times New Roman"/>
      <w:sz w:val="21"/>
    </w:rPr>
  </w:style>
  <w:style w:type="paragraph" w:styleId="3">
    <w:name w:val="Body Text"/>
    <w:basedOn w:val="1"/>
    <w:next w:val="2"/>
    <w:qFormat/>
    <w:uiPriority w:val="0"/>
    <w:pPr>
      <w:tabs>
        <w:tab w:val="left" w:pos="208"/>
      </w:tabs>
      <w:spacing w:line="432" w:lineRule="auto"/>
    </w:pPr>
    <w:rPr>
      <w:rFonts w:ascii="宋体"/>
      <w:sz w:val="28"/>
    </w:rPr>
  </w:style>
  <w:style w:type="paragraph" w:styleId="7">
    <w:name w:val="Normal Indent"/>
    <w:basedOn w:val="1"/>
    <w:next w:val="8"/>
    <w:qFormat/>
    <w:uiPriority w:val="0"/>
    <w:pPr>
      <w:ind w:firstLine="420"/>
    </w:pPr>
    <w:rPr>
      <w:rFonts w:ascii="Times New Roman" w:hAnsi="Times New Roman"/>
      <w:szCs w:val="20"/>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10">
    <w:name w:val="Body Text 3"/>
    <w:basedOn w:val="1"/>
    <w:qFormat/>
    <w:uiPriority w:val="99"/>
    <w:rPr>
      <w:rFonts w:ascii="宋体" w:hAnsi="Courier New" w:cs="宋体"/>
    </w:rPr>
  </w:style>
  <w:style w:type="paragraph" w:styleId="11">
    <w:name w:val="List 2"/>
    <w:basedOn w:val="1"/>
    <w:qFormat/>
    <w:uiPriority w:val="0"/>
    <w:pPr>
      <w:spacing w:line="360" w:lineRule="auto"/>
      <w:ind w:left="100" w:leftChars="200" w:hanging="200" w:hangingChars="200"/>
    </w:pPr>
    <w:rPr>
      <w:rFonts w:eastAsia="微软雅黑"/>
    </w:rPr>
  </w:style>
  <w:style w:type="paragraph" w:styleId="12">
    <w:name w:val="toc 3"/>
    <w:basedOn w:val="1"/>
    <w:next w:val="1"/>
    <w:qFormat/>
    <w:uiPriority w:val="0"/>
    <w:pPr>
      <w:tabs>
        <w:tab w:val="right" w:leader="dot" w:pos="9060"/>
      </w:tabs>
      <w:ind w:left="1"/>
    </w:pPr>
    <w:rPr>
      <w:rFonts w:ascii="宋体"/>
      <w:sz w:val="24"/>
      <w:szCs w:val="36"/>
    </w:rPr>
  </w:style>
  <w:style w:type="paragraph" w:styleId="13">
    <w:name w:val="Plain Text"/>
    <w:basedOn w:val="1"/>
    <w:qFormat/>
    <w:uiPriority w:val="99"/>
    <w:rPr>
      <w:rFonts w:ascii="宋体" w:hAnsi="Courier New"/>
      <w:szCs w:val="20"/>
    </w:rPr>
  </w:style>
  <w:style w:type="paragraph" w:styleId="14">
    <w:name w:val="Body Text Indent 2"/>
    <w:basedOn w:val="1"/>
    <w:qFormat/>
    <w:uiPriority w:val="0"/>
    <w:pPr>
      <w:snapToGrid w:val="0"/>
      <w:spacing w:line="400" w:lineRule="exact"/>
      <w:ind w:firstLine="480"/>
    </w:pPr>
    <w:rPr>
      <w:sz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7">
    <w:name w:val="toc 1"/>
    <w:basedOn w:val="1"/>
    <w:next w:val="1"/>
    <w:qFormat/>
    <w:uiPriority w:val="0"/>
  </w:style>
  <w:style w:type="paragraph" w:styleId="18">
    <w:name w:val="toc 6"/>
    <w:basedOn w:val="1"/>
    <w:next w:val="1"/>
    <w:unhideWhenUsed/>
    <w:qFormat/>
    <w:uiPriority w:val="39"/>
    <w:pPr>
      <w:ind w:left="1050"/>
      <w:jc w:val="left"/>
    </w:pPr>
    <w:rPr>
      <w:sz w:val="18"/>
      <w:szCs w:val="18"/>
    </w:rPr>
  </w:style>
  <w:style w:type="paragraph" w:styleId="19">
    <w:name w:val="toc 2"/>
    <w:basedOn w:val="1"/>
    <w:next w:val="1"/>
    <w:qFormat/>
    <w:uiPriority w:val="0"/>
    <w:pPr>
      <w:ind w:left="420" w:leftChars="200"/>
    </w:pPr>
  </w:style>
  <w:style w:type="paragraph" w:styleId="20">
    <w:name w:val="Body Text 2"/>
    <w:basedOn w:val="1"/>
    <w:qFormat/>
    <w:uiPriority w:val="0"/>
    <w:pPr>
      <w:spacing w:line="560" w:lineRule="exact"/>
    </w:pPr>
    <w:rPr>
      <w:rFonts w:ascii="仿宋_GB2312" w:eastAsia="仿宋_GB2312"/>
      <w:sz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Body Text First Indent 2"/>
    <w:basedOn w:val="8"/>
    <w:next w:val="3"/>
    <w:qFormat/>
    <w:uiPriority w:val="0"/>
    <w:pPr>
      <w:ind w:firstLine="420"/>
    </w:pPr>
  </w:style>
  <w:style w:type="paragraph" w:customStyle="1" w:styleId="25">
    <w:name w:val="_Style 1"/>
    <w:basedOn w:val="1"/>
    <w:qFormat/>
    <w:uiPriority w:val="0"/>
    <w:pPr>
      <w:ind w:firstLine="420" w:firstLineChars="200"/>
    </w:pPr>
  </w:style>
  <w:style w:type="paragraph" w:customStyle="1" w:styleId="26">
    <w:name w:val="Body Text First Indent 21"/>
    <w:basedOn w:val="27"/>
    <w:qFormat/>
    <w:uiPriority w:val="0"/>
    <w:pPr>
      <w:autoSpaceDE w:val="0"/>
      <w:autoSpaceDN w:val="0"/>
      <w:adjustRightInd w:val="0"/>
      <w:spacing w:after="120"/>
      <w:ind w:left="200" w:leftChars="200" w:firstLine="420"/>
    </w:pPr>
    <w:rPr>
      <w:rFonts w:cs="宋体"/>
      <w:sz w:val="24"/>
      <w:szCs w:val="21"/>
    </w:rPr>
  </w:style>
  <w:style w:type="paragraph" w:customStyle="1" w:styleId="27">
    <w:name w:val="Body Text Indent1"/>
    <w:basedOn w:val="1"/>
    <w:qFormat/>
    <w:uiPriority w:val="0"/>
    <w:pPr>
      <w:spacing w:line="200" w:lineRule="exact"/>
      <w:ind w:firstLine="301"/>
    </w:pPr>
    <w:rPr>
      <w:rFonts w:ascii="宋体" w:hAnsi="Courier New"/>
      <w:spacing w:val="-4"/>
      <w:sz w:val="18"/>
    </w:rPr>
  </w:style>
  <w:style w:type="paragraph" w:customStyle="1" w:styleId="28">
    <w:name w:val="正文1"/>
    <w:basedOn w:val="12"/>
    <w:next w:val="1"/>
    <w:qFormat/>
    <w:uiPriority w:val="0"/>
    <w:rPr>
      <w:rFonts w:ascii="Times New Roman" w:hAnsi="Times New Roman" w:eastAsia="Times New Roman"/>
      <w:szCs w:val="24"/>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文档正文"/>
    <w:basedOn w:val="21"/>
    <w:qFormat/>
    <w:uiPriority w:val="0"/>
    <w:pPr>
      <w:shd w:val="clear" w:color="auto" w:fill="FFFFFF"/>
      <w:spacing w:before="156" w:beforeLines="50"/>
      <w:ind w:firstLine="560"/>
    </w:pPr>
    <w:rPr>
      <w:rFonts w:eastAsia="仿宋"/>
      <w:szCs w:val="32"/>
    </w:rPr>
  </w:style>
  <w:style w:type="paragraph" w:customStyle="1" w:styleId="31">
    <w:name w:val="正文（首行缩进两字）"/>
    <w:basedOn w:val="1"/>
    <w:next w:val="1"/>
    <w:qFormat/>
    <w:uiPriority w:val="0"/>
    <w:pPr>
      <w:widowControl/>
      <w:ind w:firstLine="420"/>
    </w:pPr>
    <w:rPr>
      <w:rFonts w:ascii="宋体"/>
      <w:color w:val="000000"/>
      <w:szCs w:val="20"/>
    </w:rPr>
  </w:style>
  <w:style w:type="paragraph" w:customStyle="1" w:styleId="32">
    <w:name w:val="一级标题"/>
    <w:basedOn w:val="1"/>
    <w:next w:val="3"/>
    <w:qFormat/>
    <w:uiPriority w:val="0"/>
    <w:pPr>
      <w:outlineLvl w:val="0"/>
    </w:pPr>
    <w:rPr>
      <w:b/>
      <w:bCs/>
      <w:sz w:val="32"/>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0_0"/>
    <w:basedOn w:val="33"/>
    <w:qFormat/>
    <w:uiPriority w:val="0"/>
    <w:rPr>
      <w:rFonts w:ascii="宋体" w:hAnsi="Courier New"/>
      <w:szCs w:val="21"/>
    </w:rPr>
  </w:style>
  <w:style w:type="paragraph" w:customStyle="1" w:styleId="35">
    <w:name w:val="纯文本_0"/>
    <w:basedOn w:val="36"/>
    <w:unhideWhenUsed/>
    <w:qFormat/>
    <w:uiPriority w:val="0"/>
    <w:rPr>
      <w:rFonts w:ascii="宋体" w:hAnsi="Courier New"/>
      <w:kern w:val="0"/>
      <w:sz w:val="20"/>
      <w:szCs w:val="20"/>
    </w:rPr>
  </w:style>
  <w:style w:type="paragraph" w:customStyle="1" w:styleId="3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纯文本_1"/>
    <w:basedOn w:val="38"/>
    <w:qFormat/>
    <w:uiPriority w:val="0"/>
    <w:rPr>
      <w:rFonts w:ascii="宋体" w:hAnsi="Courier New"/>
      <w:szCs w:val="20"/>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纯文本_4_0"/>
    <w:basedOn w:val="43"/>
    <w:qFormat/>
    <w:uiPriority w:val="0"/>
    <w:rPr>
      <w:rFonts w:ascii="宋体" w:hAnsi="Courier New"/>
      <w:szCs w:val="20"/>
    </w:rPr>
  </w:style>
  <w:style w:type="paragraph" w:customStyle="1" w:styleId="43">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首行缩进 21"/>
    <w:basedOn w:val="8"/>
    <w:next w:val="1"/>
    <w:qFormat/>
    <w:uiPriority w:val="0"/>
    <w:pPr>
      <w:ind w:firstLine="420"/>
    </w:pPr>
    <w:rPr>
      <w:rFonts w:ascii="Times New Roman" w:hAnsi="Times New Roman" w:cs="宋体"/>
    </w:rPr>
  </w:style>
  <w:style w:type="paragraph" w:customStyle="1" w:styleId="47">
    <w:name w:val="正文文本缩进 21"/>
    <w:basedOn w:val="1"/>
    <w:qFormat/>
    <w:uiPriority w:val="0"/>
    <w:pPr>
      <w:snapToGrid w:val="0"/>
      <w:spacing w:line="400" w:lineRule="exact"/>
    </w:pPr>
    <w:rPr>
      <w:rFonts w:eastAsia="仿宋_GB2312;仿宋"/>
      <w:sz w:val="24"/>
    </w:rPr>
  </w:style>
  <w:style w:type="paragraph" w:styleId="48">
    <w:name w:val="List Paragraph"/>
    <w:basedOn w:val="1"/>
    <w:qFormat/>
    <w:uiPriority w:val="99"/>
    <w:pPr>
      <w:widowControl w:val="0"/>
      <w:spacing w:line="240" w:lineRule="auto"/>
      <w:ind w:firstLine="42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21804</Words>
  <Characters>23488</Characters>
  <Lines>0</Lines>
  <Paragraphs>0</Paragraphs>
  <TotalTime>19</TotalTime>
  <ScaleCrop>false</ScaleCrop>
  <LinksUpToDate>false</LinksUpToDate>
  <CharactersWithSpaces>24145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2025-04-27T03:16:00Z</dcterms:created>
  <dc:creator>Administrator</dc:creator>
  <cp:lastModifiedBy>华莉瑛</cp:lastModifiedBy>
  <dcterms:modified xsi:type="dcterms:W3CDTF">2025-06-20T06:46:19Z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eyJoZGlkIjoiZmMzZTMzZmU0ODYxYzQ1ZDUwNzJmZDVhOGE2NDViMDEiLCJ1c2VySWQiOiI0MzUyMzQxNDgifQ==</vt:lpwstr>
  </property>
  <property fmtid="{D5CDD505-2E9C-101B-9397-08002B2CF9AE}" pid="4" name="ICV">
    <vt:lpwstr>0CF29B3201F8444D99EECF3CE47A2FA8_12</vt:lpwstr>
  </property>
</Properties>
</file>