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EEBDA">
      <w:pPr>
        <w:widowControl w:val="0"/>
        <w:spacing w:line="520" w:lineRule="exact"/>
        <w:jc w:val="center"/>
        <w:rPr>
          <w:rFonts w:ascii="Arial" w:hAnsi="Arial" w:eastAsia="宋体" w:cs="Arial"/>
          <w:color w:val="auto"/>
        </w:rPr>
      </w:pPr>
      <w:bookmarkStart w:id="0" w:name="_Toc17551495"/>
      <w:r>
        <w:rPr>
          <w:rFonts w:ascii="Arial" w:hAnsi="Arial" w:eastAsia="宋体" w:cs="Arial"/>
          <w:color w:val="auto"/>
          <w:sz w:val="44"/>
        </w:rPr>
        <w:t xml:space="preserve">第三章  </w:t>
      </w:r>
      <w:bookmarkEnd w:id="0"/>
      <w:bookmarkStart w:id="1" w:name="_Toc531283870"/>
      <w:r>
        <w:rPr>
          <w:rFonts w:ascii="Arial" w:hAnsi="Arial" w:eastAsia="宋体" w:cs="Arial"/>
          <w:color w:val="auto"/>
          <w:sz w:val="44"/>
        </w:rPr>
        <w:t>评</w:t>
      </w:r>
      <w:bookmarkStart w:id="27" w:name="_GoBack"/>
      <w:bookmarkEnd w:id="27"/>
      <w:r>
        <w:rPr>
          <w:rFonts w:ascii="Arial" w:hAnsi="Arial" w:eastAsia="宋体" w:cs="Arial"/>
          <w:color w:val="auto"/>
          <w:sz w:val="44"/>
        </w:rPr>
        <w:t>标办法（综合评估法）</w:t>
      </w:r>
    </w:p>
    <w:p w14:paraId="3474F4EA">
      <w:pPr>
        <w:pStyle w:val="3"/>
        <w:spacing w:after="0" w:line="360" w:lineRule="auto"/>
        <w:ind w:left="-6" w:right="0" w:hanging="11"/>
        <w:rPr>
          <w:rFonts w:ascii="Arial" w:hAnsi="Arial" w:cs="Arial"/>
          <w:b/>
          <w:color w:val="auto"/>
          <w:sz w:val="28"/>
          <w:szCs w:val="28"/>
        </w:rPr>
      </w:pPr>
      <w:bookmarkStart w:id="2" w:name="_Toc17551496"/>
      <w:r>
        <w:rPr>
          <w:rFonts w:ascii="Arial" w:hAnsi="Arial" w:cs="Arial"/>
          <w:color w:val="auto"/>
          <w:sz w:val="28"/>
          <w:szCs w:val="28"/>
        </w:rPr>
        <w:t>评标办法前附表</w:t>
      </w:r>
      <w:bookmarkEnd w:id="2"/>
      <w:r>
        <w:rPr>
          <w:rFonts w:ascii="Arial" w:hAnsi="Arial" w:cs="Arial"/>
          <w:b/>
          <w:color w:val="auto"/>
          <w:sz w:val="28"/>
          <w:szCs w:val="28"/>
        </w:rPr>
        <w:t xml:space="preserve"> </w:t>
      </w:r>
    </w:p>
    <w:tbl>
      <w:tblPr>
        <w:tblStyle w:val="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35" w:type="dxa"/>
          <w:left w:w="108" w:type="dxa"/>
          <w:bottom w:w="48" w:type="dxa"/>
          <w:right w:w="89" w:type="dxa"/>
        </w:tblCellMar>
      </w:tblPr>
      <w:tblGrid>
        <w:gridCol w:w="731"/>
        <w:gridCol w:w="1188"/>
        <w:gridCol w:w="1765"/>
        <w:gridCol w:w="6199"/>
      </w:tblGrid>
      <w:tr w14:paraId="6A7EC7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5" w:type="dxa"/>
            <w:left w:w="108" w:type="dxa"/>
            <w:bottom w:w="48" w:type="dxa"/>
            <w:right w:w="89" w:type="dxa"/>
          </w:tblCellMar>
        </w:tblPrEx>
        <w:trPr>
          <w:trHeight w:val="454" w:hRule="atLeast"/>
          <w:tblHeader/>
          <w:jc w:val="center"/>
        </w:trPr>
        <w:tc>
          <w:tcPr>
            <w:tcW w:w="1919" w:type="dxa"/>
            <w:gridSpan w:val="2"/>
            <w:noWrap w:val="0"/>
            <w:vAlign w:val="center"/>
          </w:tcPr>
          <w:p w14:paraId="27337ACE">
            <w:pPr>
              <w:spacing w:after="0" w:line="400" w:lineRule="exact"/>
              <w:ind w:right="22"/>
              <w:jc w:val="center"/>
              <w:rPr>
                <w:rFonts w:ascii="Arial" w:hAnsi="Arial" w:eastAsia="宋体" w:cs="Arial"/>
                <w:b/>
                <w:bCs/>
                <w:color w:val="auto"/>
                <w:sz w:val="21"/>
                <w:szCs w:val="21"/>
              </w:rPr>
            </w:pPr>
            <w:r>
              <w:rPr>
                <w:rFonts w:ascii="Arial" w:hAnsi="Arial" w:eastAsia="宋体" w:cs="Arial"/>
                <w:b/>
                <w:bCs/>
                <w:color w:val="auto"/>
                <w:sz w:val="21"/>
                <w:szCs w:val="21"/>
              </w:rPr>
              <w:t>条款号</w:t>
            </w:r>
          </w:p>
        </w:tc>
        <w:tc>
          <w:tcPr>
            <w:tcW w:w="1765" w:type="dxa"/>
            <w:noWrap w:val="0"/>
            <w:vAlign w:val="center"/>
          </w:tcPr>
          <w:p w14:paraId="2F14D466">
            <w:pPr>
              <w:spacing w:after="0" w:line="400" w:lineRule="exact"/>
              <w:ind w:right="19"/>
              <w:jc w:val="center"/>
              <w:rPr>
                <w:rFonts w:ascii="Arial" w:hAnsi="Arial" w:eastAsia="宋体" w:cs="Arial"/>
                <w:b/>
                <w:bCs/>
                <w:color w:val="auto"/>
                <w:sz w:val="21"/>
                <w:szCs w:val="21"/>
              </w:rPr>
            </w:pPr>
            <w:r>
              <w:rPr>
                <w:rFonts w:ascii="Arial" w:hAnsi="Arial" w:eastAsia="宋体" w:cs="Arial"/>
                <w:b/>
                <w:bCs/>
                <w:color w:val="auto"/>
                <w:sz w:val="21"/>
                <w:szCs w:val="21"/>
              </w:rPr>
              <w:t>评审因素</w:t>
            </w:r>
          </w:p>
        </w:tc>
        <w:tc>
          <w:tcPr>
            <w:tcW w:w="6199" w:type="dxa"/>
            <w:noWrap w:val="0"/>
            <w:vAlign w:val="center"/>
          </w:tcPr>
          <w:p w14:paraId="73496604">
            <w:pPr>
              <w:spacing w:after="0" w:line="400" w:lineRule="exact"/>
              <w:ind w:right="19"/>
              <w:jc w:val="center"/>
              <w:rPr>
                <w:rFonts w:ascii="Arial" w:hAnsi="Arial" w:eastAsia="宋体" w:cs="Arial"/>
                <w:b/>
                <w:bCs/>
                <w:color w:val="auto"/>
                <w:sz w:val="21"/>
                <w:szCs w:val="21"/>
              </w:rPr>
            </w:pPr>
            <w:r>
              <w:rPr>
                <w:rFonts w:ascii="Arial" w:hAnsi="Arial" w:eastAsia="宋体" w:cs="Arial"/>
                <w:b/>
                <w:bCs/>
                <w:color w:val="auto"/>
                <w:sz w:val="21"/>
                <w:szCs w:val="21"/>
              </w:rPr>
              <w:t>评审标准</w:t>
            </w:r>
          </w:p>
        </w:tc>
      </w:tr>
      <w:tr w14:paraId="617DF3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5" w:type="dxa"/>
            <w:left w:w="108" w:type="dxa"/>
            <w:bottom w:w="48" w:type="dxa"/>
            <w:right w:w="89" w:type="dxa"/>
          </w:tblCellMar>
        </w:tblPrEx>
        <w:trPr>
          <w:trHeight w:val="454" w:hRule="atLeast"/>
          <w:jc w:val="center"/>
        </w:trPr>
        <w:tc>
          <w:tcPr>
            <w:tcW w:w="731" w:type="dxa"/>
            <w:vMerge w:val="restart"/>
            <w:noWrap w:val="0"/>
            <w:vAlign w:val="center"/>
          </w:tcPr>
          <w:p w14:paraId="2A1E7171">
            <w:pPr>
              <w:spacing w:after="0" w:line="400" w:lineRule="exact"/>
              <w:ind w:right="17"/>
              <w:jc w:val="center"/>
              <w:rPr>
                <w:rFonts w:ascii="Arial" w:hAnsi="Arial" w:eastAsia="宋体" w:cs="Arial"/>
                <w:color w:val="auto"/>
                <w:sz w:val="21"/>
                <w:szCs w:val="21"/>
              </w:rPr>
            </w:pPr>
            <w:r>
              <w:rPr>
                <w:rFonts w:ascii="Arial" w:hAnsi="Arial" w:eastAsia="宋体" w:cs="Arial"/>
                <w:color w:val="auto"/>
                <w:sz w:val="21"/>
                <w:szCs w:val="21"/>
              </w:rPr>
              <w:t>2.1.1</w:t>
            </w:r>
          </w:p>
        </w:tc>
        <w:tc>
          <w:tcPr>
            <w:tcW w:w="1188" w:type="dxa"/>
            <w:vMerge w:val="restart"/>
            <w:noWrap w:val="0"/>
            <w:vAlign w:val="center"/>
          </w:tcPr>
          <w:p w14:paraId="281DF701">
            <w:pPr>
              <w:spacing w:after="0" w:line="400" w:lineRule="exact"/>
              <w:jc w:val="center"/>
              <w:rPr>
                <w:rFonts w:ascii="Arial" w:hAnsi="Arial" w:eastAsia="宋体" w:cs="Arial"/>
                <w:color w:val="auto"/>
                <w:sz w:val="21"/>
                <w:szCs w:val="21"/>
              </w:rPr>
            </w:pPr>
            <w:r>
              <w:rPr>
                <w:rFonts w:ascii="Arial" w:hAnsi="Arial" w:eastAsia="宋体" w:cs="Arial"/>
                <w:color w:val="auto"/>
                <w:sz w:val="21"/>
                <w:szCs w:val="21"/>
              </w:rPr>
              <w:t>形式评审标准</w:t>
            </w:r>
          </w:p>
        </w:tc>
        <w:tc>
          <w:tcPr>
            <w:tcW w:w="1765" w:type="dxa"/>
            <w:noWrap w:val="0"/>
            <w:vAlign w:val="center"/>
          </w:tcPr>
          <w:p w14:paraId="7433A19A">
            <w:pPr>
              <w:spacing w:after="0" w:line="400" w:lineRule="exact"/>
              <w:ind w:right="16"/>
              <w:jc w:val="center"/>
              <w:rPr>
                <w:rFonts w:ascii="Arial" w:hAnsi="Arial" w:eastAsia="宋体" w:cs="Arial"/>
                <w:color w:val="auto"/>
                <w:sz w:val="21"/>
                <w:szCs w:val="21"/>
              </w:rPr>
            </w:pPr>
            <w:r>
              <w:rPr>
                <w:rFonts w:ascii="Arial" w:hAnsi="Arial" w:eastAsia="宋体" w:cs="Arial"/>
                <w:color w:val="auto"/>
                <w:sz w:val="21"/>
                <w:szCs w:val="21"/>
              </w:rPr>
              <w:t>投标人名称</w:t>
            </w:r>
          </w:p>
        </w:tc>
        <w:tc>
          <w:tcPr>
            <w:tcW w:w="6199" w:type="dxa"/>
            <w:noWrap w:val="0"/>
            <w:vAlign w:val="center"/>
          </w:tcPr>
          <w:p w14:paraId="7834F61D">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与营业执照、资质证书（如有）一致</w:t>
            </w:r>
          </w:p>
        </w:tc>
      </w:tr>
      <w:tr w14:paraId="7AB8C7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5" w:type="dxa"/>
            <w:left w:w="108" w:type="dxa"/>
            <w:bottom w:w="48" w:type="dxa"/>
            <w:right w:w="89" w:type="dxa"/>
          </w:tblCellMar>
        </w:tblPrEx>
        <w:trPr>
          <w:trHeight w:val="454" w:hRule="atLeast"/>
          <w:jc w:val="center"/>
        </w:trPr>
        <w:tc>
          <w:tcPr>
            <w:tcW w:w="731" w:type="dxa"/>
            <w:vMerge w:val="continue"/>
            <w:noWrap w:val="0"/>
            <w:vAlign w:val="center"/>
          </w:tcPr>
          <w:p w14:paraId="13D7799C">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70BB4359">
            <w:pPr>
              <w:spacing w:after="0" w:line="400" w:lineRule="exact"/>
              <w:jc w:val="center"/>
              <w:rPr>
                <w:rFonts w:ascii="Arial" w:hAnsi="Arial" w:eastAsia="宋体" w:cs="Arial"/>
                <w:color w:val="auto"/>
                <w:sz w:val="21"/>
                <w:szCs w:val="21"/>
              </w:rPr>
            </w:pPr>
          </w:p>
        </w:tc>
        <w:tc>
          <w:tcPr>
            <w:tcW w:w="1765" w:type="dxa"/>
            <w:noWrap w:val="0"/>
            <w:vAlign w:val="center"/>
          </w:tcPr>
          <w:p w14:paraId="297A2BFC">
            <w:pPr>
              <w:spacing w:after="0" w:line="400" w:lineRule="exact"/>
              <w:ind w:right="18"/>
              <w:jc w:val="center"/>
              <w:rPr>
                <w:rFonts w:ascii="Arial" w:hAnsi="Arial" w:eastAsia="宋体" w:cs="Arial"/>
                <w:color w:val="auto"/>
                <w:sz w:val="21"/>
                <w:szCs w:val="21"/>
              </w:rPr>
            </w:pPr>
            <w:r>
              <w:rPr>
                <w:rFonts w:ascii="Arial" w:hAnsi="Arial" w:eastAsia="宋体" w:cs="Arial"/>
                <w:color w:val="auto"/>
                <w:sz w:val="21"/>
                <w:szCs w:val="21"/>
              </w:rPr>
              <w:t>投标函签字盖章</w:t>
            </w:r>
          </w:p>
        </w:tc>
        <w:tc>
          <w:tcPr>
            <w:tcW w:w="6199" w:type="dxa"/>
            <w:noWrap w:val="0"/>
            <w:vAlign w:val="center"/>
          </w:tcPr>
          <w:p w14:paraId="2FFCE837">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有法定代表人（单位负责人）或其委托代理人签字或加盖单位章。由法定代表人（单位负责人）签字的，应附法定代表人（单位负责人）身份证明，由代理人签字的，应附授权委托书，身份证明或授权委托书应符合第六章“投标文件格式”的规定</w:t>
            </w:r>
          </w:p>
        </w:tc>
      </w:tr>
      <w:tr w14:paraId="090153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5" w:type="dxa"/>
            <w:left w:w="108" w:type="dxa"/>
            <w:bottom w:w="48" w:type="dxa"/>
            <w:right w:w="89" w:type="dxa"/>
          </w:tblCellMar>
        </w:tblPrEx>
        <w:trPr>
          <w:trHeight w:val="454" w:hRule="atLeast"/>
          <w:jc w:val="center"/>
        </w:trPr>
        <w:tc>
          <w:tcPr>
            <w:tcW w:w="731" w:type="dxa"/>
            <w:vMerge w:val="continue"/>
            <w:noWrap w:val="0"/>
            <w:vAlign w:val="center"/>
          </w:tcPr>
          <w:p w14:paraId="5A5A17F9">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2ABFD5B2">
            <w:pPr>
              <w:spacing w:after="0" w:line="400" w:lineRule="exact"/>
              <w:jc w:val="center"/>
              <w:rPr>
                <w:rFonts w:ascii="Arial" w:hAnsi="Arial" w:eastAsia="宋体" w:cs="Arial"/>
                <w:color w:val="auto"/>
                <w:sz w:val="21"/>
                <w:szCs w:val="21"/>
              </w:rPr>
            </w:pPr>
          </w:p>
        </w:tc>
        <w:tc>
          <w:tcPr>
            <w:tcW w:w="1765" w:type="dxa"/>
            <w:noWrap w:val="0"/>
            <w:vAlign w:val="center"/>
          </w:tcPr>
          <w:p w14:paraId="568AE354">
            <w:pPr>
              <w:spacing w:after="0" w:line="400" w:lineRule="exact"/>
              <w:ind w:right="18"/>
              <w:jc w:val="center"/>
              <w:rPr>
                <w:rFonts w:ascii="Arial" w:hAnsi="Arial" w:eastAsia="宋体" w:cs="Arial"/>
                <w:color w:val="auto"/>
                <w:sz w:val="21"/>
                <w:szCs w:val="21"/>
              </w:rPr>
            </w:pPr>
            <w:r>
              <w:rPr>
                <w:rFonts w:ascii="Arial" w:hAnsi="Arial" w:eastAsia="宋体" w:cs="Arial"/>
                <w:color w:val="auto"/>
                <w:sz w:val="21"/>
                <w:szCs w:val="21"/>
              </w:rPr>
              <w:t>投标文件格式</w:t>
            </w:r>
          </w:p>
        </w:tc>
        <w:tc>
          <w:tcPr>
            <w:tcW w:w="6199" w:type="dxa"/>
            <w:noWrap w:val="0"/>
            <w:vAlign w:val="center"/>
          </w:tcPr>
          <w:p w14:paraId="22AA5507">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要求投标函符合第六章“投标文件格式”的规定</w:t>
            </w:r>
          </w:p>
        </w:tc>
      </w:tr>
      <w:tr w14:paraId="003C60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5" w:type="dxa"/>
            <w:left w:w="108" w:type="dxa"/>
            <w:bottom w:w="48" w:type="dxa"/>
            <w:right w:w="89" w:type="dxa"/>
          </w:tblCellMar>
        </w:tblPrEx>
        <w:trPr>
          <w:trHeight w:val="454" w:hRule="atLeast"/>
          <w:jc w:val="center"/>
        </w:trPr>
        <w:tc>
          <w:tcPr>
            <w:tcW w:w="731" w:type="dxa"/>
            <w:vMerge w:val="continue"/>
            <w:noWrap w:val="0"/>
            <w:vAlign w:val="center"/>
          </w:tcPr>
          <w:p w14:paraId="37BE644E">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0E5FAD7F">
            <w:pPr>
              <w:spacing w:after="0" w:line="400" w:lineRule="exact"/>
              <w:jc w:val="center"/>
              <w:rPr>
                <w:rFonts w:ascii="Arial" w:hAnsi="Arial" w:eastAsia="宋体" w:cs="Arial"/>
                <w:color w:val="auto"/>
                <w:sz w:val="21"/>
                <w:szCs w:val="21"/>
              </w:rPr>
            </w:pPr>
          </w:p>
        </w:tc>
        <w:tc>
          <w:tcPr>
            <w:tcW w:w="1765" w:type="dxa"/>
            <w:noWrap w:val="0"/>
            <w:vAlign w:val="center"/>
          </w:tcPr>
          <w:p w14:paraId="498CB584">
            <w:pPr>
              <w:spacing w:after="0" w:line="400" w:lineRule="exact"/>
              <w:ind w:right="18"/>
              <w:jc w:val="center"/>
              <w:rPr>
                <w:rFonts w:ascii="Arial" w:hAnsi="Arial" w:eastAsia="宋体" w:cs="Arial"/>
                <w:color w:val="auto"/>
                <w:sz w:val="21"/>
                <w:szCs w:val="21"/>
              </w:rPr>
            </w:pPr>
            <w:r>
              <w:rPr>
                <w:rFonts w:ascii="Arial" w:hAnsi="Arial" w:eastAsia="宋体" w:cs="Arial"/>
                <w:color w:val="auto"/>
                <w:sz w:val="21"/>
                <w:szCs w:val="21"/>
              </w:rPr>
              <w:t>联合体投标人</w:t>
            </w:r>
          </w:p>
        </w:tc>
        <w:tc>
          <w:tcPr>
            <w:tcW w:w="6199" w:type="dxa"/>
            <w:noWrap w:val="0"/>
            <w:vAlign w:val="center"/>
          </w:tcPr>
          <w:p w14:paraId="21A12001">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如联合体投标的，必须提交符合招标文件要求的联合体协议书，明确各方承担连带责任，</w:t>
            </w:r>
            <w:r>
              <w:rPr>
                <w:rFonts w:hint="eastAsia" w:ascii="Arial" w:hAnsi="Arial" w:cs="Arial"/>
                <w:kern w:val="2"/>
                <w:sz w:val="21"/>
                <w:szCs w:val="21"/>
              </w:rPr>
              <w:t>并明确联合体牵头人为电梯设备制造商。</w:t>
            </w:r>
          </w:p>
        </w:tc>
      </w:tr>
      <w:tr w14:paraId="7B7B32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5" w:type="dxa"/>
            <w:left w:w="108" w:type="dxa"/>
            <w:bottom w:w="48" w:type="dxa"/>
            <w:right w:w="89" w:type="dxa"/>
          </w:tblCellMar>
        </w:tblPrEx>
        <w:trPr>
          <w:trHeight w:val="454" w:hRule="atLeast"/>
          <w:jc w:val="center"/>
        </w:trPr>
        <w:tc>
          <w:tcPr>
            <w:tcW w:w="731" w:type="dxa"/>
            <w:vMerge w:val="continue"/>
            <w:noWrap w:val="0"/>
            <w:vAlign w:val="center"/>
          </w:tcPr>
          <w:p w14:paraId="05060720">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1DBE4A80">
            <w:pPr>
              <w:spacing w:after="0" w:line="400" w:lineRule="exact"/>
              <w:jc w:val="center"/>
              <w:rPr>
                <w:rFonts w:ascii="Arial" w:hAnsi="Arial" w:eastAsia="宋体" w:cs="Arial"/>
                <w:color w:val="auto"/>
                <w:sz w:val="21"/>
                <w:szCs w:val="21"/>
              </w:rPr>
            </w:pPr>
          </w:p>
        </w:tc>
        <w:tc>
          <w:tcPr>
            <w:tcW w:w="1765" w:type="dxa"/>
            <w:noWrap w:val="0"/>
            <w:vAlign w:val="center"/>
          </w:tcPr>
          <w:p w14:paraId="1E0B48C4">
            <w:pPr>
              <w:spacing w:after="0" w:line="400" w:lineRule="exact"/>
              <w:ind w:right="18"/>
              <w:jc w:val="center"/>
              <w:rPr>
                <w:rFonts w:ascii="Arial" w:hAnsi="Arial" w:eastAsia="宋体" w:cs="Arial"/>
                <w:color w:val="auto"/>
                <w:sz w:val="21"/>
                <w:szCs w:val="21"/>
              </w:rPr>
            </w:pPr>
            <w:r>
              <w:rPr>
                <w:rFonts w:ascii="Arial" w:hAnsi="Arial" w:eastAsia="宋体" w:cs="Arial"/>
                <w:color w:val="auto"/>
                <w:sz w:val="21"/>
                <w:szCs w:val="21"/>
              </w:rPr>
              <w:t>备选投标方案</w:t>
            </w:r>
          </w:p>
        </w:tc>
        <w:tc>
          <w:tcPr>
            <w:tcW w:w="6199" w:type="dxa"/>
            <w:noWrap w:val="0"/>
            <w:vAlign w:val="center"/>
          </w:tcPr>
          <w:p w14:paraId="192DEAE5">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除招标文件明确允许提交备选投标方案外，投标人不得提交备选投标方案</w:t>
            </w:r>
          </w:p>
        </w:tc>
      </w:tr>
      <w:tr w14:paraId="7BAB1D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5" w:type="dxa"/>
            <w:left w:w="108" w:type="dxa"/>
            <w:bottom w:w="48" w:type="dxa"/>
            <w:right w:w="89" w:type="dxa"/>
          </w:tblCellMar>
        </w:tblPrEx>
        <w:trPr>
          <w:trHeight w:val="454" w:hRule="atLeast"/>
          <w:jc w:val="center"/>
        </w:trPr>
        <w:tc>
          <w:tcPr>
            <w:tcW w:w="731" w:type="dxa"/>
            <w:vMerge w:val="continue"/>
            <w:noWrap w:val="0"/>
            <w:vAlign w:val="center"/>
          </w:tcPr>
          <w:p w14:paraId="09E05241">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0A284598">
            <w:pPr>
              <w:spacing w:after="0" w:line="400" w:lineRule="exact"/>
              <w:jc w:val="center"/>
              <w:rPr>
                <w:rFonts w:ascii="Arial" w:hAnsi="Arial" w:eastAsia="宋体" w:cs="Arial"/>
                <w:color w:val="auto"/>
                <w:sz w:val="21"/>
                <w:szCs w:val="21"/>
              </w:rPr>
            </w:pPr>
          </w:p>
        </w:tc>
        <w:tc>
          <w:tcPr>
            <w:tcW w:w="1765" w:type="dxa"/>
            <w:noWrap w:val="0"/>
            <w:vAlign w:val="center"/>
          </w:tcPr>
          <w:p w14:paraId="737988D8">
            <w:pPr>
              <w:spacing w:after="0" w:line="400" w:lineRule="exact"/>
              <w:ind w:right="18"/>
              <w:jc w:val="center"/>
              <w:rPr>
                <w:rFonts w:ascii="Arial" w:hAnsi="Arial" w:eastAsia="宋体" w:cs="Arial"/>
                <w:color w:val="auto"/>
                <w:sz w:val="21"/>
                <w:szCs w:val="21"/>
              </w:rPr>
            </w:pPr>
            <w:r>
              <w:rPr>
                <w:rFonts w:ascii="Arial" w:hAnsi="Arial" w:eastAsia="宋体" w:cs="Arial"/>
                <w:color w:val="auto"/>
                <w:sz w:val="21"/>
                <w:szCs w:val="21"/>
              </w:rPr>
              <w:t>报价唯一</w:t>
            </w:r>
          </w:p>
        </w:tc>
        <w:tc>
          <w:tcPr>
            <w:tcW w:w="6199" w:type="dxa"/>
            <w:noWrap w:val="0"/>
            <w:vAlign w:val="center"/>
          </w:tcPr>
          <w:p w14:paraId="3A6DE7AE">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只能有一个有效报价，出现下列情形之一，作否决投标处理：</w:t>
            </w:r>
          </w:p>
          <w:p w14:paraId="520390D4">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（1）投标人递交两份或多份内容不同的投标文件；</w:t>
            </w:r>
          </w:p>
          <w:p w14:paraId="4969B35E">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（2）在一份投标文件中对同一招标项目报价有两个或多个报价，且未声明哪一个有效（大小写、正副本不一致除外）；</w:t>
            </w:r>
          </w:p>
          <w:p w14:paraId="54D1802D">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（3）投标文件中投标函上的报价与分项报价表上的投标总报价不一致；</w:t>
            </w:r>
          </w:p>
          <w:p w14:paraId="1F1ED04B">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（4）商务标中未提供投标函或提供的投标函无有效投标总报价。</w:t>
            </w:r>
          </w:p>
        </w:tc>
      </w:tr>
      <w:tr w14:paraId="0BC29B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5" w:type="dxa"/>
            <w:left w:w="108" w:type="dxa"/>
            <w:bottom w:w="48" w:type="dxa"/>
            <w:right w:w="89" w:type="dxa"/>
          </w:tblCellMar>
        </w:tblPrEx>
        <w:trPr>
          <w:trHeight w:val="454" w:hRule="atLeast"/>
          <w:jc w:val="center"/>
        </w:trPr>
        <w:tc>
          <w:tcPr>
            <w:tcW w:w="731" w:type="dxa"/>
            <w:vMerge w:val="continue"/>
            <w:noWrap w:val="0"/>
            <w:vAlign w:val="center"/>
          </w:tcPr>
          <w:p w14:paraId="2306C49E">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36005F84">
            <w:pPr>
              <w:spacing w:after="0" w:line="400" w:lineRule="exact"/>
              <w:jc w:val="center"/>
              <w:rPr>
                <w:rFonts w:ascii="Arial" w:hAnsi="Arial" w:eastAsia="宋体" w:cs="Arial"/>
                <w:color w:val="auto"/>
                <w:sz w:val="21"/>
                <w:szCs w:val="21"/>
              </w:rPr>
            </w:pPr>
          </w:p>
        </w:tc>
        <w:tc>
          <w:tcPr>
            <w:tcW w:w="1765" w:type="dxa"/>
            <w:noWrap w:val="0"/>
            <w:vAlign w:val="center"/>
          </w:tcPr>
          <w:p w14:paraId="6AFF6702">
            <w:pPr>
              <w:spacing w:after="0" w:line="400" w:lineRule="exact"/>
              <w:ind w:right="18"/>
              <w:jc w:val="center"/>
              <w:rPr>
                <w:rFonts w:ascii="Arial" w:hAnsi="Arial" w:eastAsia="宋体" w:cs="Arial"/>
                <w:color w:val="auto"/>
                <w:sz w:val="21"/>
                <w:szCs w:val="21"/>
              </w:rPr>
            </w:pPr>
            <w:r>
              <w:rPr>
                <w:rFonts w:ascii="Arial" w:hAnsi="Arial" w:eastAsia="宋体" w:cs="Arial"/>
                <w:color w:val="auto"/>
                <w:sz w:val="21"/>
                <w:szCs w:val="21"/>
              </w:rPr>
              <w:t>其它</w:t>
            </w:r>
          </w:p>
        </w:tc>
        <w:tc>
          <w:tcPr>
            <w:tcW w:w="6199" w:type="dxa"/>
            <w:noWrap w:val="0"/>
            <w:vAlign w:val="center"/>
          </w:tcPr>
          <w:p w14:paraId="5F01D3FF">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投标文件出现下列情形的，相关投标均作否决投标处理：</w:t>
            </w:r>
          </w:p>
          <w:p w14:paraId="3C36125A">
            <w:pPr>
              <w:pStyle w:val="5"/>
              <w:topLinePunct/>
              <w:spacing w:after="0" w:line="400" w:lineRule="exact"/>
              <w:ind w:firstLine="315" w:firstLineChars="150"/>
              <w:rPr>
                <w:rFonts w:hint="eastAsia" w:ascii="Arial" w:hAnsi="Arial" w:cs="Arial"/>
                <w:kern w:val="2"/>
                <w:sz w:val="21"/>
                <w:szCs w:val="21"/>
              </w:rPr>
            </w:pPr>
            <w:r>
              <w:rPr>
                <w:rFonts w:hint="eastAsia" w:ascii="Arial" w:hAnsi="Arial" w:cs="Arial"/>
                <w:kern w:val="2"/>
                <w:sz w:val="21"/>
                <w:szCs w:val="21"/>
              </w:rPr>
              <w:t>（1）</w:t>
            </w:r>
            <w:r>
              <w:rPr>
                <w:rFonts w:ascii="Arial" w:hAnsi="Arial" w:cs="Arial"/>
                <w:kern w:val="2"/>
                <w:sz w:val="21"/>
                <w:szCs w:val="21"/>
              </w:rPr>
              <w:t>不同投标人委托同一单位或者个人办理投标事宜；</w:t>
            </w:r>
          </w:p>
          <w:p w14:paraId="428BFB91">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（2）不同投标人的投标文件载明的项目管理成员为同一人；</w:t>
            </w:r>
          </w:p>
          <w:p w14:paraId="5D37B5FB">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（3）不同投标人的投标文件异常一致或者投标报价呈规律性差异（投标文件雷同）；</w:t>
            </w:r>
          </w:p>
          <w:p w14:paraId="5214F3AD">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（4）不同投标人的投标文件相互混装；</w:t>
            </w:r>
          </w:p>
          <w:p w14:paraId="4CA3D02F">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（5）不同投标人的投标保证金从同一单位或者个人的账户转出。</w:t>
            </w:r>
          </w:p>
        </w:tc>
      </w:tr>
      <w:tr w14:paraId="7A3FE2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5" w:type="dxa"/>
            <w:left w:w="108" w:type="dxa"/>
            <w:bottom w:w="48" w:type="dxa"/>
            <w:right w:w="89" w:type="dxa"/>
          </w:tblCellMar>
        </w:tblPrEx>
        <w:trPr>
          <w:trHeight w:val="454" w:hRule="atLeast"/>
          <w:jc w:val="center"/>
        </w:trPr>
        <w:tc>
          <w:tcPr>
            <w:tcW w:w="731" w:type="dxa"/>
            <w:vMerge w:val="restart"/>
            <w:noWrap w:val="0"/>
            <w:vAlign w:val="center"/>
          </w:tcPr>
          <w:p w14:paraId="2BBF411B">
            <w:pPr>
              <w:spacing w:after="0" w:line="400" w:lineRule="exact"/>
              <w:ind w:right="17"/>
              <w:jc w:val="center"/>
              <w:rPr>
                <w:rFonts w:ascii="Arial" w:hAnsi="Arial" w:eastAsia="宋体" w:cs="Arial"/>
                <w:color w:val="auto"/>
                <w:sz w:val="21"/>
                <w:szCs w:val="21"/>
              </w:rPr>
            </w:pPr>
            <w:r>
              <w:rPr>
                <w:rFonts w:ascii="Arial" w:hAnsi="Arial" w:eastAsia="宋体" w:cs="Arial"/>
                <w:color w:val="auto"/>
                <w:sz w:val="21"/>
                <w:szCs w:val="21"/>
              </w:rPr>
              <w:t>2.1.2</w:t>
            </w:r>
          </w:p>
        </w:tc>
        <w:tc>
          <w:tcPr>
            <w:tcW w:w="1188" w:type="dxa"/>
            <w:vMerge w:val="restart"/>
            <w:noWrap w:val="0"/>
            <w:vAlign w:val="center"/>
          </w:tcPr>
          <w:p w14:paraId="1ABAD8DE">
            <w:pPr>
              <w:spacing w:after="0" w:line="400" w:lineRule="exact"/>
              <w:jc w:val="center"/>
              <w:rPr>
                <w:rFonts w:ascii="Arial" w:hAnsi="Arial" w:eastAsia="宋体" w:cs="Arial"/>
                <w:color w:val="auto"/>
                <w:sz w:val="21"/>
                <w:szCs w:val="21"/>
              </w:rPr>
            </w:pPr>
            <w:r>
              <w:rPr>
                <w:rFonts w:ascii="Arial" w:hAnsi="Arial" w:eastAsia="宋体" w:cs="Arial"/>
                <w:color w:val="auto"/>
                <w:sz w:val="21"/>
                <w:szCs w:val="21"/>
              </w:rPr>
              <w:t>资格评审标准</w:t>
            </w:r>
          </w:p>
        </w:tc>
        <w:tc>
          <w:tcPr>
            <w:tcW w:w="1765" w:type="dxa"/>
            <w:noWrap w:val="0"/>
            <w:vAlign w:val="center"/>
          </w:tcPr>
          <w:p w14:paraId="1B75168B">
            <w:pPr>
              <w:spacing w:after="0" w:line="400" w:lineRule="exact"/>
              <w:jc w:val="center"/>
              <w:rPr>
                <w:rFonts w:ascii="Arial" w:hAnsi="Arial" w:eastAsia="宋体" w:cs="Arial"/>
                <w:color w:val="auto"/>
                <w:sz w:val="21"/>
                <w:szCs w:val="21"/>
              </w:rPr>
            </w:pPr>
            <w:r>
              <w:rPr>
                <w:rFonts w:ascii="Arial" w:hAnsi="Arial" w:eastAsia="宋体" w:cs="Arial"/>
                <w:color w:val="auto"/>
                <w:sz w:val="21"/>
                <w:szCs w:val="21"/>
              </w:rPr>
              <w:t>营业执照</w:t>
            </w:r>
          </w:p>
        </w:tc>
        <w:tc>
          <w:tcPr>
            <w:tcW w:w="6199" w:type="dxa"/>
            <w:noWrap w:val="0"/>
            <w:vAlign w:val="center"/>
          </w:tcPr>
          <w:p w14:paraId="2E03895F">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3.5.1 项规定，具备有效的营业执照或事业单位法人证书</w:t>
            </w:r>
          </w:p>
        </w:tc>
      </w:tr>
      <w:tr w14:paraId="4B98B2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5" w:type="dxa"/>
            <w:left w:w="108" w:type="dxa"/>
            <w:bottom w:w="48" w:type="dxa"/>
            <w:right w:w="89" w:type="dxa"/>
          </w:tblCellMar>
        </w:tblPrEx>
        <w:trPr>
          <w:trHeight w:val="454" w:hRule="atLeast"/>
          <w:jc w:val="center"/>
        </w:trPr>
        <w:tc>
          <w:tcPr>
            <w:tcW w:w="731" w:type="dxa"/>
            <w:vMerge w:val="continue"/>
            <w:noWrap w:val="0"/>
            <w:vAlign w:val="center"/>
          </w:tcPr>
          <w:p w14:paraId="46B3DAE1">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13A18211">
            <w:pPr>
              <w:spacing w:after="0" w:line="400" w:lineRule="exact"/>
              <w:jc w:val="center"/>
              <w:rPr>
                <w:rFonts w:ascii="Arial" w:hAnsi="Arial" w:eastAsia="宋体" w:cs="Arial"/>
                <w:color w:val="auto"/>
                <w:sz w:val="21"/>
                <w:szCs w:val="21"/>
              </w:rPr>
            </w:pPr>
          </w:p>
        </w:tc>
        <w:tc>
          <w:tcPr>
            <w:tcW w:w="1765" w:type="dxa"/>
            <w:noWrap w:val="0"/>
            <w:vAlign w:val="center"/>
          </w:tcPr>
          <w:p w14:paraId="15A4B005">
            <w:pPr>
              <w:spacing w:after="0" w:line="400" w:lineRule="exact"/>
              <w:ind w:right="16"/>
              <w:jc w:val="center"/>
              <w:rPr>
                <w:rFonts w:ascii="Arial" w:hAnsi="Arial" w:eastAsia="宋体" w:cs="Arial"/>
                <w:color w:val="auto"/>
                <w:sz w:val="21"/>
                <w:szCs w:val="21"/>
              </w:rPr>
            </w:pPr>
            <w:r>
              <w:rPr>
                <w:rFonts w:ascii="Arial" w:hAnsi="Arial" w:eastAsia="宋体" w:cs="Arial"/>
                <w:color w:val="auto"/>
                <w:sz w:val="21"/>
                <w:szCs w:val="21"/>
              </w:rPr>
              <w:t>资质要求</w:t>
            </w:r>
          </w:p>
        </w:tc>
        <w:tc>
          <w:tcPr>
            <w:tcW w:w="6199" w:type="dxa"/>
            <w:noWrap w:val="0"/>
            <w:vAlign w:val="center"/>
          </w:tcPr>
          <w:p w14:paraId="0A588BF5">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1.4.1 项规定</w:t>
            </w:r>
          </w:p>
        </w:tc>
      </w:tr>
      <w:tr w14:paraId="3F2055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5" w:type="dxa"/>
            <w:left w:w="108" w:type="dxa"/>
            <w:bottom w:w="48" w:type="dxa"/>
            <w:right w:w="89" w:type="dxa"/>
          </w:tblCellMar>
        </w:tblPrEx>
        <w:trPr>
          <w:trHeight w:val="454" w:hRule="atLeast"/>
          <w:jc w:val="center"/>
        </w:trPr>
        <w:tc>
          <w:tcPr>
            <w:tcW w:w="731" w:type="dxa"/>
            <w:vMerge w:val="continue"/>
            <w:noWrap w:val="0"/>
            <w:vAlign w:val="center"/>
          </w:tcPr>
          <w:p w14:paraId="6635C05E">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30BB38C6">
            <w:pPr>
              <w:spacing w:after="0" w:line="400" w:lineRule="exact"/>
              <w:jc w:val="center"/>
              <w:rPr>
                <w:rFonts w:ascii="Arial" w:hAnsi="Arial" w:eastAsia="宋体" w:cs="Arial"/>
                <w:color w:val="auto"/>
                <w:sz w:val="21"/>
                <w:szCs w:val="21"/>
              </w:rPr>
            </w:pPr>
          </w:p>
        </w:tc>
        <w:tc>
          <w:tcPr>
            <w:tcW w:w="1765" w:type="dxa"/>
            <w:noWrap w:val="0"/>
            <w:vAlign w:val="center"/>
          </w:tcPr>
          <w:p w14:paraId="678E7518">
            <w:pPr>
              <w:spacing w:after="0" w:line="400" w:lineRule="exact"/>
              <w:ind w:right="16"/>
              <w:jc w:val="center"/>
              <w:rPr>
                <w:rFonts w:ascii="Arial" w:hAnsi="Arial" w:eastAsia="宋体" w:cs="Arial"/>
                <w:color w:val="auto"/>
                <w:sz w:val="21"/>
                <w:szCs w:val="21"/>
              </w:rPr>
            </w:pPr>
            <w:r>
              <w:rPr>
                <w:rFonts w:ascii="Arial" w:hAnsi="Arial" w:eastAsia="宋体" w:cs="Arial"/>
                <w:color w:val="auto"/>
                <w:sz w:val="21"/>
                <w:szCs w:val="21"/>
              </w:rPr>
              <w:t>财务要求</w:t>
            </w:r>
          </w:p>
        </w:tc>
        <w:tc>
          <w:tcPr>
            <w:tcW w:w="6199" w:type="dxa"/>
            <w:noWrap w:val="0"/>
            <w:vAlign w:val="center"/>
          </w:tcPr>
          <w:p w14:paraId="6B4D71EA">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1.4.1 项规定</w:t>
            </w:r>
          </w:p>
        </w:tc>
      </w:tr>
      <w:tr w14:paraId="4776E8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5" w:type="dxa"/>
            <w:left w:w="108" w:type="dxa"/>
            <w:bottom w:w="48" w:type="dxa"/>
            <w:right w:w="89" w:type="dxa"/>
          </w:tblCellMar>
        </w:tblPrEx>
        <w:trPr>
          <w:trHeight w:val="454" w:hRule="atLeast"/>
          <w:jc w:val="center"/>
        </w:trPr>
        <w:tc>
          <w:tcPr>
            <w:tcW w:w="731" w:type="dxa"/>
            <w:vMerge w:val="continue"/>
            <w:noWrap w:val="0"/>
            <w:vAlign w:val="center"/>
          </w:tcPr>
          <w:p w14:paraId="4E420FB2">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5459FCD0">
            <w:pPr>
              <w:spacing w:after="0" w:line="400" w:lineRule="exact"/>
              <w:jc w:val="center"/>
              <w:rPr>
                <w:rFonts w:ascii="Arial" w:hAnsi="Arial" w:eastAsia="宋体" w:cs="Arial"/>
                <w:color w:val="auto"/>
                <w:sz w:val="21"/>
                <w:szCs w:val="21"/>
              </w:rPr>
            </w:pPr>
          </w:p>
        </w:tc>
        <w:tc>
          <w:tcPr>
            <w:tcW w:w="1765" w:type="dxa"/>
            <w:noWrap w:val="0"/>
            <w:vAlign w:val="center"/>
          </w:tcPr>
          <w:p w14:paraId="51643BFC">
            <w:pPr>
              <w:spacing w:after="0" w:line="400" w:lineRule="exact"/>
              <w:ind w:right="16"/>
              <w:jc w:val="center"/>
              <w:rPr>
                <w:rFonts w:ascii="Arial" w:hAnsi="Arial" w:eastAsia="宋体" w:cs="Arial"/>
                <w:color w:val="auto"/>
                <w:sz w:val="21"/>
                <w:szCs w:val="21"/>
              </w:rPr>
            </w:pPr>
            <w:r>
              <w:rPr>
                <w:rFonts w:ascii="Arial" w:hAnsi="Arial" w:eastAsia="宋体" w:cs="Arial"/>
                <w:color w:val="auto"/>
                <w:sz w:val="21"/>
                <w:szCs w:val="21"/>
              </w:rPr>
              <w:t>业绩要求</w:t>
            </w:r>
          </w:p>
        </w:tc>
        <w:tc>
          <w:tcPr>
            <w:tcW w:w="6199" w:type="dxa"/>
            <w:noWrap w:val="0"/>
            <w:vAlign w:val="center"/>
          </w:tcPr>
          <w:p w14:paraId="6D98DDC0">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1.4.1 项规定</w:t>
            </w:r>
          </w:p>
        </w:tc>
      </w:tr>
      <w:tr w14:paraId="5F71B4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5" w:type="dxa"/>
            <w:left w:w="108" w:type="dxa"/>
            <w:bottom w:w="48" w:type="dxa"/>
            <w:right w:w="89" w:type="dxa"/>
          </w:tblCellMar>
        </w:tblPrEx>
        <w:trPr>
          <w:trHeight w:val="454" w:hRule="atLeast"/>
          <w:jc w:val="center"/>
        </w:trPr>
        <w:tc>
          <w:tcPr>
            <w:tcW w:w="731" w:type="dxa"/>
            <w:vMerge w:val="continue"/>
            <w:noWrap w:val="0"/>
            <w:vAlign w:val="center"/>
          </w:tcPr>
          <w:p w14:paraId="51086951">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7B0CCE59">
            <w:pPr>
              <w:spacing w:after="0" w:line="400" w:lineRule="exact"/>
              <w:jc w:val="center"/>
              <w:rPr>
                <w:rFonts w:ascii="Arial" w:hAnsi="Arial" w:eastAsia="宋体" w:cs="Arial"/>
                <w:color w:val="auto"/>
                <w:sz w:val="21"/>
                <w:szCs w:val="21"/>
              </w:rPr>
            </w:pPr>
          </w:p>
        </w:tc>
        <w:tc>
          <w:tcPr>
            <w:tcW w:w="1765" w:type="dxa"/>
            <w:noWrap w:val="0"/>
            <w:vAlign w:val="center"/>
          </w:tcPr>
          <w:p w14:paraId="54D3E6E2">
            <w:pPr>
              <w:spacing w:after="0" w:line="400" w:lineRule="exact"/>
              <w:ind w:right="16"/>
              <w:jc w:val="center"/>
              <w:rPr>
                <w:rFonts w:ascii="Arial" w:hAnsi="Arial" w:eastAsia="宋体" w:cs="Arial"/>
                <w:color w:val="auto"/>
                <w:sz w:val="21"/>
                <w:szCs w:val="21"/>
              </w:rPr>
            </w:pPr>
            <w:r>
              <w:rPr>
                <w:rFonts w:ascii="Arial" w:hAnsi="Arial" w:eastAsia="宋体" w:cs="Arial"/>
                <w:color w:val="auto"/>
                <w:sz w:val="21"/>
                <w:szCs w:val="21"/>
              </w:rPr>
              <w:t>信誉要求</w:t>
            </w:r>
          </w:p>
        </w:tc>
        <w:tc>
          <w:tcPr>
            <w:tcW w:w="6199" w:type="dxa"/>
            <w:noWrap w:val="0"/>
            <w:vAlign w:val="center"/>
          </w:tcPr>
          <w:p w14:paraId="557A563D">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1.4.1 项规定</w:t>
            </w:r>
          </w:p>
        </w:tc>
      </w:tr>
      <w:tr w14:paraId="6B8D0D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5" w:type="dxa"/>
            <w:left w:w="108" w:type="dxa"/>
            <w:bottom w:w="48" w:type="dxa"/>
            <w:right w:w="89" w:type="dxa"/>
          </w:tblCellMar>
        </w:tblPrEx>
        <w:trPr>
          <w:trHeight w:val="454" w:hRule="atLeast"/>
          <w:jc w:val="center"/>
        </w:trPr>
        <w:tc>
          <w:tcPr>
            <w:tcW w:w="731" w:type="dxa"/>
            <w:vMerge w:val="continue"/>
            <w:noWrap w:val="0"/>
            <w:vAlign w:val="center"/>
          </w:tcPr>
          <w:p w14:paraId="1B1FEF47">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7A50AE13">
            <w:pPr>
              <w:spacing w:after="0" w:line="400" w:lineRule="exact"/>
              <w:jc w:val="center"/>
              <w:rPr>
                <w:rFonts w:ascii="Arial" w:hAnsi="Arial" w:eastAsia="宋体" w:cs="Arial"/>
                <w:color w:val="auto"/>
                <w:sz w:val="21"/>
                <w:szCs w:val="21"/>
              </w:rPr>
            </w:pPr>
          </w:p>
        </w:tc>
        <w:tc>
          <w:tcPr>
            <w:tcW w:w="1765" w:type="dxa"/>
            <w:noWrap w:val="0"/>
            <w:vAlign w:val="center"/>
          </w:tcPr>
          <w:p w14:paraId="6D619D01">
            <w:pPr>
              <w:spacing w:after="0" w:line="400" w:lineRule="exact"/>
              <w:ind w:right="16"/>
              <w:jc w:val="center"/>
              <w:rPr>
                <w:rFonts w:ascii="Arial" w:hAnsi="Arial" w:eastAsia="宋体" w:cs="Arial"/>
                <w:color w:val="auto"/>
                <w:sz w:val="21"/>
                <w:szCs w:val="21"/>
              </w:rPr>
            </w:pPr>
            <w:r>
              <w:rPr>
                <w:rFonts w:ascii="Arial" w:hAnsi="Arial" w:eastAsia="宋体" w:cs="Arial"/>
                <w:color w:val="auto"/>
                <w:sz w:val="21"/>
                <w:szCs w:val="21"/>
              </w:rPr>
              <w:t>其他要求</w:t>
            </w:r>
          </w:p>
        </w:tc>
        <w:tc>
          <w:tcPr>
            <w:tcW w:w="6199" w:type="dxa"/>
            <w:noWrap w:val="0"/>
            <w:vAlign w:val="center"/>
          </w:tcPr>
          <w:p w14:paraId="21CB532B">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1.4.1 项规定</w:t>
            </w:r>
          </w:p>
        </w:tc>
      </w:tr>
      <w:tr w14:paraId="518AB4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vMerge w:val="continue"/>
            <w:noWrap w:val="0"/>
            <w:vAlign w:val="center"/>
          </w:tcPr>
          <w:p w14:paraId="39B7012A">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5136BC6B">
            <w:pPr>
              <w:spacing w:after="0" w:line="400" w:lineRule="exact"/>
              <w:jc w:val="center"/>
              <w:rPr>
                <w:rFonts w:ascii="Arial" w:hAnsi="Arial" w:eastAsia="宋体" w:cs="Arial"/>
                <w:color w:val="auto"/>
                <w:sz w:val="21"/>
                <w:szCs w:val="21"/>
              </w:rPr>
            </w:pPr>
          </w:p>
        </w:tc>
        <w:tc>
          <w:tcPr>
            <w:tcW w:w="1765" w:type="dxa"/>
            <w:noWrap w:val="0"/>
            <w:vAlign w:val="center"/>
          </w:tcPr>
          <w:p w14:paraId="5BF13DA2">
            <w:pPr>
              <w:spacing w:after="0" w:line="400" w:lineRule="exact"/>
              <w:ind w:right="2"/>
              <w:jc w:val="center"/>
              <w:rPr>
                <w:rFonts w:ascii="Arial" w:hAnsi="Arial" w:eastAsia="宋体" w:cs="Arial"/>
                <w:color w:val="auto"/>
                <w:sz w:val="21"/>
                <w:szCs w:val="21"/>
              </w:rPr>
            </w:pPr>
            <w:r>
              <w:rPr>
                <w:rFonts w:ascii="Arial" w:hAnsi="Arial" w:eastAsia="宋体" w:cs="Arial"/>
                <w:color w:val="auto"/>
                <w:sz w:val="21"/>
                <w:szCs w:val="21"/>
              </w:rPr>
              <w:t>联合体投标人</w:t>
            </w:r>
          </w:p>
        </w:tc>
        <w:tc>
          <w:tcPr>
            <w:tcW w:w="6199" w:type="dxa"/>
            <w:noWrap w:val="0"/>
            <w:vAlign w:val="center"/>
          </w:tcPr>
          <w:p w14:paraId="3FE4F8ED">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1.4.2 项规定</w:t>
            </w:r>
          </w:p>
        </w:tc>
      </w:tr>
      <w:tr w14:paraId="33129C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vMerge w:val="continue"/>
            <w:noWrap w:val="0"/>
            <w:vAlign w:val="center"/>
          </w:tcPr>
          <w:p w14:paraId="41ADBF40">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2ABA2961">
            <w:pPr>
              <w:spacing w:after="0" w:line="400" w:lineRule="exact"/>
              <w:jc w:val="center"/>
              <w:rPr>
                <w:rFonts w:ascii="Arial" w:hAnsi="Arial" w:eastAsia="宋体" w:cs="Arial"/>
                <w:color w:val="auto"/>
                <w:sz w:val="21"/>
                <w:szCs w:val="21"/>
              </w:rPr>
            </w:pPr>
          </w:p>
        </w:tc>
        <w:tc>
          <w:tcPr>
            <w:tcW w:w="1765" w:type="dxa"/>
            <w:noWrap w:val="0"/>
            <w:vAlign w:val="center"/>
          </w:tcPr>
          <w:p w14:paraId="1723F9F6">
            <w:pPr>
              <w:spacing w:after="0" w:line="400" w:lineRule="exact"/>
              <w:ind w:left="79"/>
              <w:jc w:val="center"/>
              <w:rPr>
                <w:rFonts w:ascii="Arial" w:hAnsi="Arial" w:eastAsia="宋体" w:cs="Arial"/>
                <w:color w:val="auto"/>
                <w:sz w:val="21"/>
                <w:szCs w:val="21"/>
              </w:rPr>
            </w:pPr>
            <w:r>
              <w:rPr>
                <w:rFonts w:ascii="Arial" w:hAnsi="Arial" w:eastAsia="宋体" w:cs="Arial"/>
                <w:color w:val="auto"/>
                <w:sz w:val="21"/>
                <w:szCs w:val="21"/>
              </w:rPr>
              <w:t>不存在禁止投标的情形</w:t>
            </w:r>
          </w:p>
        </w:tc>
        <w:tc>
          <w:tcPr>
            <w:tcW w:w="6199" w:type="dxa"/>
            <w:noWrap w:val="0"/>
            <w:vAlign w:val="center"/>
          </w:tcPr>
          <w:p w14:paraId="18B3993C">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不存在第二章“投标人须知”第 1.4.3项规定的任何一种情形</w:t>
            </w:r>
          </w:p>
        </w:tc>
      </w:tr>
      <w:tr w14:paraId="624854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vMerge w:val="restart"/>
            <w:noWrap w:val="0"/>
            <w:vAlign w:val="center"/>
          </w:tcPr>
          <w:p w14:paraId="359E7915">
            <w:pPr>
              <w:spacing w:after="0" w:line="400" w:lineRule="exact"/>
              <w:jc w:val="center"/>
              <w:rPr>
                <w:rFonts w:ascii="Arial" w:hAnsi="Arial" w:eastAsia="宋体" w:cs="Arial"/>
                <w:color w:val="auto"/>
                <w:sz w:val="21"/>
                <w:szCs w:val="21"/>
              </w:rPr>
            </w:pPr>
            <w:r>
              <w:rPr>
                <w:rFonts w:ascii="Arial" w:hAnsi="Arial" w:eastAsia="宋体" w:cs="Arial"/>
                <w:color w:val="auto"/>
                <w:sz w:val="21"/>
                <w:szCs w:val="21"/>
              </w:rPr>
              <w:t>2.1.3</w:t>
            </w:r>
          </w:p>
        </w:tc>
        <w:tc>
          <w:tcPr>
            <w:tcW w:w="1188" w:type="dxa"/>
            <w:vMerge w:val="restart"/>
            <w:noWrap w:val="0"/>
            <w:vAlign w:val="center"/>
          </w:tcPr>
          <w:p w14:paraId="41259123">
            <w:pPr>
              <w:spacing w:after="0" w:line="400" w:lineRule="exact"/>
              <w:jc w:val="center"/>
              <w:rPr>
                <w:rFonts w:ascii="Arial" w:hAnsi="Arial" w:eastAsia="宋体" w:cs="Arial"/>
                <w:color w:val="auto"/>
                <w:sz w:val="21"/>
                <w:szCs w:val="21"/>
              </w:rPr>
            </w:pPr>
            <w:r>
              <w:rPr>
                <w:rFonts w:ascii="Arial" w:hAnsi="Arial" w:eastAsia="宋体" w:cs="Arial"/>
                <w:color w:val="auto"/>
                <w:sz w:val="21"/>
                <w:szCs w:val="21"/>
              </w:rPr>
              <w:t>响应性评审标准</w:t>
            </w:r>
          </w:p>
        </w:tc>
        <w:tc>
          <w:tcPr>
            <w:tcW w:w="1765" w:type="dxa"/>
            <w:noWrap w:val="0"/>
            <w:vAlign w:val="center"/>
          </w:tcPr>
          <w:p w14:paraId="7B895EFC">
            <w:pPr>
              <w:spacing w:after="0" w:line="400" w:lineRule="exact"/>
              <w:ind w:left="1"/>
              <w:jc w:val="center"/>
              <w:rPr>
                <w:rFonts w:ascii="Arial" w:hAnsi="Arial" w:eastAsia="宋体" w:cs="Arial"/>
                <w:color w:val="auto"/>
                <w:sz w:val="21"/>
                <w:szCs w:val="21"/>
              </w:rPr>
            </w:pPr>
            <w:r>
              <w:rPr>
                <w:rFonts w:ascii="Arial" w:hAnsi="Arial" w:eastAsia="宋体" w:cs="Arial"/>
                <w:color w:val="auto"/>
                <w:sz w:val="21"/>
                <w:szCs w:val="21"/>
              </w:rPr>
              <w:t>投标报价</w:t>
            </w:r>
          </w:p>
        </w:tc>
        <w:tc>
          <w:tcPr>
            <w:tcW w:w="6199" w:type="dxa"/>
            <w:noWrap w:val="0"/>
            <w:vAlign w:val="center"/>
          </w:tcPr>
          <w:p w14:paraId="2FE732B2">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3.2 款规定</w:t>
            </w:r>
          </w:p>
        </w:tc>
      </w:tr>
      <w:tr w14:paraId="228498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vMerge w:val="continue"/>
            <w:noWrap w:val="0"/>
            <w:vAlign w:val="center"/>
          </w:tcPr>
          <w:p w14:paraId="3CECAB92">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4673762B">
            <w:pPr>
              <w:spacing w:after="0" w:line="400" w:lineRule="exact"/>
              <w:jc w:val="center"/>
              <w:rPr>
                <w:rFonts w:ascii="Arial" w:hAnsi="Arial" w:eastAsia="宋体" w:cs="Arial"/>
                <w:color w:val="auto"/>
                <w:sz w:val="21"/>
                <w:szCs w:val="21"/>
              </w:rPr>
            </w:pPr>
          </w:p>
        </w:tc>
        <w:tc>
          <w:tcPr>
            <w:tcW w:w="1765" w:type="dxa"/>
            <w:noWrap w:val="0"/>
            <w:vAlign w:val="center"/>
          </w:tcPr>
          <w:p w14:paraId="1E195DC3">
            <w:pPr>
              <w:spacing w:after="0" w:line="400" w:lineRule="exact"/>
              <w:ind w:left="1"/>
              <w:jc w:val="center"/>
              <w:rPr>
                <w:rFonts w:ascii="Arial" w:hAnsi="Arial" w:eastAsia="宋体" w:cs="Arial"/>
                <w:color w:val="auto"/>
                <w:sz w:val="21"/>
                <w:szCs w:val="21"/>
              </w:rPr>
            </w:pPr>
            <w:r>
              <w:rPr>
                <w:rFonts w:ascii="Arial" w:hAnsi="Arial" w:eastAsia="宋体" w:cs="Arial"/>
                <w:color w:val="auto"/>
                <w:sz w:val="21"/>
                <w:szCs w:val="21"/>
              </w:rPr>
              <w:t>投标内容</w:t>
            </w:r>
          </w:p>
        </w:tc>
        <w:tc>
          <w:tcPr>
            <w:tcW w:w="6199" w:type="dxa"/>
            <w:noWrap w:val="0"/>
            <w:vAlign w:val="center"/>
          </w:tcPr>
          <w:p w14:paraId="7AE46C7F">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1.3.1 项规定</w:t>
            </w:r>
          </w:p>
        </w:tc>
      </w:tr>
      <w:tr w14:paraId="17F7C6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vMerge w:val="continue"/>
            <w:noWrap w:val="0"/>
            <w:vAlign w:val="center"/>
          </w:tcPr>
          <w:p w14:paraId="20225D23">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781546F7">
            <w:pPr>
              <w:spacing w:after="0" w:line="400" w:lineRule="exact"/>
              <w:jc w:val="center"/>
              <w:rPr>
                <w:rFonts w:ascii="Arial" w:hAnsi="Arial" w:eastAsia="宋体" w:cs="Arial"/>
                <w:color w:val="auto"/>
                <w:sz w:val="21"/>
                <w:szCs w:val="21"/>
              </w:rPr>
            </w:pPr>
          </w:p>
        </w:tc>
        <w:tc>
          <w:tcPr>
            <w:tcW w:w="1765" w:type="dxa"/>
            <w:noWrap w:val="0"/>
            <w:vAlign w:val="center"/>
          </w:tcPr>
          <w:p w14:paraId="54C68CF7">
            <w:pPr>
              <w:spacing w:after="0" w:line="400" w:lineRule="exact"/>
              <w:ind w:right="2"/>
              <w:jc w:val="center"/>
              <w:rPr>
                <w:rFonts w:ascii="Arial" w:hAnsi="Arial" w:eastAsia="宋体" w:cs="Arial"/>
                <w:color w:val="auto"/>
                <w:sz w:val="21"/>
                <w:szCs w:val="21"/>
              </w:rPr>
            </w:pPr>
            <w:r>
              <w:rPr>
                <w:rFonts w:ascii="Arial" w:hAnsi="Arial" w:eastAsia="宋体" w:cs="Arial"/>
                <w:color w:val="auto"/>
                <w:sz w:val="21"/>
                <w:szCs w:val="21"/>
              </w:rPr>
              <w:t>总工期</w:t>
            </w:r>
          </w:p>
        </w:tc>
        <w:tc>
          <w:tcPr>
            <w:tcW w:w="6199" w:type="dxa"/>
            <w:noWrap w:val="0"/>
            <w:vAlign w:val="center"/>
          </w:tcPr>
          <w:p w14:paraId="6508756E">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1.3.2 项规定</w:t>
            </w:r>
          </w:p>
        </w:tc>
      </w:tr>
      <w:tr w14:paraId="6B14E2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vMerge w:val="continue"/>
            <w:noWrap w:val="0"/>
            <w:vAlign w:val="center"/>
          </w:tcPr>
          <w:p w14:paraId="33CCC59C">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0FECD93D">
            <w:pPr>
              <w:spacing w:after="0" w:line="400" w:lineRule="exact"/>
              <w:jc w:val="center"/>
              <w:rPr>
                <w:rFonts w:ascii="Arial" w:hAnsi="Arial" w:eastAsia="宋体" w:cs="Arial"/>
                <w:color w:val="auto"/>
                <w:sz w:val="21"/>
                <w:szCs w:val="21"/>
              </w:rPr>
            </w:pPr>
          </w:p>
        </w:tc>
        <w:tc>
          <w:tcPr>
            <w:tcW w:w="1765" w:type="dxa"/>
            <w:noWrap w:val="0"/>
            <w:vAlign w:val="center"/>
          </w:tcPr>
          <w:p w14:paraId="3819067B">
            <w:pPr>
              <w:spacing w:after="0" w:line="400" w:lineRule="exact"/>
              <w:ind w:left="1"/>
              <w:jc w:val="center"/>
              <w:rPr>
                <w:rFonts w:ascii="Arial" w:hAnsi="Arial" w:eastAsia="宋体" w:cs="Arial"/>
                <w:color w:val="auto"/>
                <w:sz w:val="21"/>
                <w:szCs w:val="21"/>
              </w:rPr>
            </w:pPr>
            <w:r>
              <w:rPr>
                <w:rFonts w:ascii="Arial" w:hAnsi="Arial" w:eastAsia="宋体" w:cs="Arial"/>
                <w:color w:val="auto"/>
                <w:sz w:val="21"/>
                <w:szCs w:val="21"/>
              </w:rPr>
              <w:t>交货地点</w:t>
            </w:r>
          </w:p>
        </w:tc>
        <w:tc>
          <w:tcPr>
            <w:tcW w:w="6199" w:type="dxa"/>
            <w:noWrap w:val="0"/>
            <w:vAlign w:val="center"/>
          </w:tcPr>
          <w:p w14:paraId="64893750">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1.3.3 项规定</w:t>
            </w:r>
          </w:p>
        </w:tc>
      </w:tr>
      <w:tr w14:paraId="0F80E8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vMerge w:val="continue"/>
            <w:noWrap w:val="0"/>
            <w:vAlign w:val="center"/>
          </w:tcPr>
          <w:p w14:paraId="1AF109F9">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4B7EA9AE">
            <w:pPr>
              <w:spacing w:after="0" w:line="400" w:lineRule="exact"/>
              <w:jc w:val="center"/>
              <w:rPr>
                <w:rFonts w:ascii="Arial" w:hAnsi="Arial" w:eastAsia="宋体" w:cs="Arial"/>
                <w:color w:val="auto"/>
                <w:sz w:val="21"/>
                <w:szCs w:val="21"/>
              </w:rPr>
            </w:pPr>
          </w:p>
        </w:tc>
        <w:tc>
          <w:tcPr>
            <w:tcW w:w="1765" w:type="dxa"/>
            <w:noWrap w:val="0"/>
            <w:vAlign w:val="center"/>
          </w:tcPr>
          <w:p w14:paraId="769B3F72">
            <w:pPr>
              <w:spacing w:after="0" w:line="400" w:lineRule="exact"/>
              <w:ind w:right="2"/>
              <w:jc w:val="center"/>
              <w:rPr>
                <w:rFonts w:ascii="Arial" w:hAnsi="Arial" w:eastAsia="宋体" w:cs="Arial"/>
                <w:color w:val="auto"/>
                <w:sz w:val="21"/>
                <w:szCs w:val="21"/>
              </w:rPr>
            </w:pPr>
            <w:r>
              <w:rPr>
                <w:rFonts w:ascii="Arial" w:hAnsi="Arial" w:eastAsia="宋体" w:cs="Arial"/>
                <w:color w:val="auto"/>
                <w:sz w:val="21"/>
                <w:szCs w:val="21"/>
              </w:rPr>
              <w:t>技术性能指标</w:t>
            </w:r>
          </w:p>
        </w:tc>
        <w:tc>
          <w:tcPr>
            <w:tcW w:w="6199" w:type="dxa"/>
            <w:noWrap w:val="0"/>
            <w:vAlign w:val="center"/>
          </w:tcPr>
          <w:p w14:paraId="1F8AE096">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1.3.4 项规定</w:t>
            </w:r>
          </w:p>
        </w:tc>
      </w:tr>
      <w:tr w14:paraId="32DAD3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vMerge w:val="continue"/>
            <w:noWrap w:val="0"/>
            <w:vAlign w:val="center"/>
          </w:tcPr>
          <w:p w14:paraId="679F1BDF">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4920F9C1">
            <w:pPr>
              <w:spacing w:after="0" w:line="400" w:lineRule="exact"/>
              <w:jc w:val="center"/>
              <w:rPr>
                <w:rFonts w:ascii="Arial" w:hAnsi="Arial" w:eastAsia="宋体" w:cs="Arial"/>
                <w:color w:val="auto"/>
                <w:sz w:val="21"/>
                <w:szCs w:val="21"/>
              </w:rPr>
            </w:pPr>
          </w:p>
        </w:tc>
        <w:tc>
          <w:tcPr>
            <w:tcW w:w="1765" w:type="dxa"/>
            <w:noWrap w:val="0"/>
            <w:vAlign w:val="center"/>
          </w:tcPr>
          <w:p w14:paraId="6902BC78">
            <w:pPr>
              <w:spacing w:after="0" w:line="400" w:lineRule="exact"/>
              <w:ind w:left="1"/>
              <w:jc w:val="center"/>
              <w:rPr>
                <w:rFonts w:ascii="Arial" w:hAnsi="Arial" w:eastAsia="宋体" w:cs="Arial"/>
                <w:color w:val="auto"/>
                <w:sz w:val="21"/>
                <w:szCs w:val="21"/>
              </w:rPr>
            </w:pPr>
            <w:r>
              <w:rPr>
                <w:rFonts w:ascii="Arial" w:hAnsi="Arial" w:eastAsia="宋体" w:cs="Arial"/>
                <w:color w:val="auto"/>
                <w:sz w:val="21"/>
                <w:szCs w:val="21"/>
              </w:rPr>
              <w:t>投标有效期</w:t>
            </w:r>
          </w:p>
        </w:tc>
        <w:tc>
          <w:tcPr>
            <w:tcW w:w="6199" w:type="dxa"/>
            <w:noWrap w:val="0"/>
            <w:vAlign w:val="center"/>
          </w:tcPr>
          <w:p w14:paraId="203DFC01">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3.3.1 项规定</w:t>
            </w:r>
          </w:p>
        </w:tc>
      </w:tr>
      <w:tr w14:paraId="6E33CE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vMerge w:val="continue"/>
            <w:noWrap w:val="0"/>
            <w:vAlign w:val="center"/>
          </w:tcPr>
          <w:p w14:paraId="6F5714F5">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10FC4448">
            <w:pPr>
              <w:spacing w:after="0" w:line="400" w:lineRule="exact"/>
              <w:jc w:val="center"/>
              <w:rPr>
                <w:rFonts w:ascii="Arial" w:hAnsi="Arial" w:eastAsia="宋体" w:cs="Arial"/>
                <w:color w:val="auto"/>
                <w:sz w:val="21"/>
                <w:szCs w:val="21"/>
              </w:rPr>
            </w:pPr>
          </w:p>
        </w:tc>
        <w:tc>
          <w:tcPr>
            <w:tcW w:w="1765" w:type="dxa"/>
            <w:noWrap w:val="0"/>
            <w:vAlign w:val="center"/>
          </w:tcPr>
          <w:p w14:paraId="75287035">
            <w:pPr>
              <w:spacing w:after="0" w:line="400" w:lineRule="exact"/>
              <w:ind w:left="1"/>
              <w:jc w:val="center"/>
              <w:rPr>
                <w:rFonts w:ascii="Arial" w:hAnsi="Arial" w:eastAsia="宋体" w:cs="Arial"/>
                <w:color w:val="auto"/>
                <w:sz w:val="21"/>
                <w:szCs w:val="21"/>
              </w:rPr>
            </w:pPr>
            <w:r>
              <w:rPr>
                <w:rFonts w:ascii="Arial" w:hAnsi="Arial" w:eastAsia="宋体" w:cs="Arial"/>
                <w:color w:val="auto"/>
                <w:sz w:val="21"/>
                <w:szCs w:val="21"/>
              </w:rPr>
              <w:t>投标保证金</w:t>
            </w:r>
          </w:p>
        </w:tc>
        <w:tc>
          <w:tcPr>
            <w:tcW w:w="6199" w:type="dxa"/>
            <w:noWrap w:val="0"/>
            <w:vAlign w:val="center"/>
          </w:tcPr>
          <w:p w14:paraId="672E55A6">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3.4.1 项规定</w:t>
            </w:r>
          </w:p>
        </w:tc>
      </w:tr>
      <w:tr w14:paraId="379692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vMerge w:val="continue"/>
            <w:noWrap w:val="0"/>
            <w:vAlign w:val="center"/>
          </w:tcPr>
          <w:p w14:paraId="6F3F2824">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0748ADD3">
            <w:pPr>
              <w:spacing w:after="0" w:line="400" w:lineRule="exact"/>
              <w:jc w:val="center"/>
              <w:rPr>
                <w:rFonts w:ascii="Arial" w:hAnsi="Arial" w:eastAsia="宋体" w:cs="Arial"/>
                <w:color w:val="auto"/>
                <w:sz w:val="21"/>
                <w:szCs w:val="21"/>
              </w:rPr>
            </w:pPr>
          </w:p>
        </w:tc>
        <w:tc>
          <w:tcPr>
            <w:tcW w:w="1765" w:type="dxa"/>
            <w:noWrap w:val="0"/>
            <w:vAlign w:val="center"/>
          </w:tcPr>
          <w:p w14:paraId="47C366C7">
            <w:pPr>
              <w:spacing w:after="0" w:line="400" w:lineRule="exact"/>
              <w:ind w:left="1"/>
              <w:jc w:val="center"/>
              <w:rPr>
                <w:rFonts w:ascii="Arial" w:hAnsi="Arial" w:eastAsia="宋体" w:cs="Arial"/>
                <w:color w:val="auto"/>
                <w:sz w:val="21"/>
                <w:szCs w:val="21"/>
              </w:rPr>
            </w:pPr>
            <w:r>
              <w:rPr>
                <w:rFonts w:ascii="Arial" w:hAnsi="Arial" w:eastAsia="宋体" w:cs="Arial"/>
                <w:color w:val="auto"/>
                <w:sz w:val="21"/>
                <w:szCs w:val="21"/>
              </w:rPr>
              <w:t>权利义务</w:t>
            </w:r>
          </w:p>
        </w:tc>
        <w:tc>
          <w:tcPr>
            <w:tcW w:w="6199" w:type="dxa"/>
            <w:noWrap w:val="0"/>
            <w:vAlign w:val="center"/>
          </w:tcPr>
          <w:p w14:paraId="332547D7">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1.11.1 项规定和第四章</w:t>
            </w:r>
            <w:r>
              <w:rPr>
                <w:rFonts w:hint="eastAsia" w:ascii="Arial" w:hAnsi="Arial" w:cs="Arial"/>
                <w:kern w:val="2"/>
                <w:sz w:val="21"/>
                <w:szCs w:val="21"/>
              </w:rPr>
              <w:t>“</w:t>
            </w:r>
            <w:r>
              <w:rPr>
                <w:rFonts w:ascii="Arial" w:hAnsi="Arial" w:cs="Arial"/>
                <w:kern w:val="2"/>
                <w:sz w:val="21"/>
                <w:szCs w:val="21"/>
              </w:rPr>
              <w:t>合同条款及格式</w:t>
            </w:r>
            <w:r>
              <w:rPr>
                <w:rFonts w:hint="eastAsia" w:ascii="Arial" w:hAnsi="Arial" w:cs="Arial"/>
                <w:kern w:val="2"/>
                <w:sz w:val="21"/>
                <w:szCs w:val="21"/>
              </w:rPr>
              <w:t>”</w:t>
            </w:r>
            <w:r>
              <w:rPr>
                <w:rFonts w:ascii="Arial" w:hAnsi="Arial" w:cs="Arial"/>
                <w:kern w:val="2"/>
                <w:sz w:val="21"/>
                <w:szCs w:val="21"/>
              </w:rPr>
              <w:t>中的实质性要求和条件，所有加</w:t>
            </w:r>
            <w:r>
              <w:rPr>
                <w:rFonts w:hint="eastAsia" w:ascii="宋体" w:hAnsi="宋体" w:cs="宋体"/>
                <w:kern w:val="2"/>
                <w:sz w:val="21"/>
                <w:szCs w:val="21"/>
              </w:rPr>
              <w:t>★</w:t>
            </w:r>
            <w:r>
              <w:rPr>
                <w:rFonts w:ascii="Arial" w:hAnsi="Arial" w:cs="Arial"/>
                <w:kern w:val="2"/>
                <w:sz w:val="21"/>
                <w:szCs w:val="21"/>
              </w:rPr>
              <w:t>的条款均为实质性要求和条件，没有加</w:t>
            </w:r>
            <w:r>
              <w:rPr>
                <w:rFonts w:hint="eastAsia" w:ascii="宋体" w:hAnsi="宋体" w:cs="宋体"/>
                <w:kern w:val="2"/>
                <w:sz w:val="21"/>
                <w:szCs w:val="21"/>
              </w:rPr>
              <w:t>★</w:t>
            </w:r>
            <w:r>
              <w:rPr>
                <w:rFonts w:ascii="Arial" w:hAnsi="Arial" w:cs="Arial"/>
                <w:kern w:val="2"/>
                <w:sz w:val="21"/>
                <w:szCs w:val="21"/>
              </w:rPr>
              <w:t>的条款在评标时不能认定为实质性要求和条件。</w:t>
            </w:r>
          </w:p>
        </w:tc>
      </w:tr>
      <w:tr w14:paraId="05BDDA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vMerge w:val="continue"/>
            <w:noWrap w:val="0"/>
            <w:vAlign w:val="center"/>
          </w:tcPr>
          <w:p w14:paraId="417E6AED">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7D16F691">
            <w:pPr>
              <w:spacing w:after="0" w:line="400" w:lineRule="exact"/>
              <w:jc w:val="center"/>
              <w:rPr>
                <w:rFonts w:ascii="Arial" w:hAnsi="Arial" w:eastAsia="宋体" w:cs="Arial"/>
                <w:color w:val="auto"/>
                <w:sz w:val="21"/>
                <w:szCs w:val="21"/>
              </w:rPr>
            </w:pPr>
          </w:p>
        </w:tc>
        <w:tc>
          <w:tcPr>
            <w:tcW w:w="1765" w:type="dxa"/>
            <w:noWrap w:val="0"/>
            <w:vAlign w:val="center"/>
          </w:tcPr>
          <w:p w14:paraId="2FD493F8">
            <w:pPr>
              <w:spacing w:after="0" w:line="400" w:lineRule="exact"/>
              <w:jc w:val="center"/>
              <w:rPr>
                <w:rFonts w:ascii="Arial" w:hAnsi="Arial" w:eastAsia="宋体" w:cs="Arial"/>
                <w:color w:val="auto"/>
                <w:sz w:val="21"/>
                <w:szCs w:val="21"/>
              </w:rPr>
            </w:pPr>
            <w:r>
              <w:rPr>
                <w:rFonts w:ascii="Arial" w:hAnsi="Arial" w:eastAsia="宋体" w:cs="Arial"/>
                <w:color w:val="auto"/>
                <w:sz w:val="21"/>
                <w:szCs w:val="21"/>
              </w:rPr>
              <w:t>投标设备及技术服务和质保期服务</w:t>
            </w:r>
          </w:p>
        </w:tc>
        <w:tc>
          <w:tcPr>
            <w:tcW w:w="6199" w:type="dxa"/>
            <w:noWrap w:val="0"/>
            <w:vAlign w:val="center"/>
          </w:tcPr>
          <w:p w14:paraId="7B216314">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符合第五章</w:t>
            </w:r>
            <w:r>
              <w:rPr>
                <w:rFonts w:hint="eastAsia" w:ascii="Arial" w:hAnsi="Arial" w:cs="Arial"/>
                <w:kern w:val="2"/>
                <w:sz w:val="21"/>
                <w:szCs w:val="21"/>
              </w:rPr>
              <w:t>“</w:t>
            </w:r>
            <w:r>
              <w:rPr>
                <w:rFonts w:ascii="Arial" w:hAnsi="Arial" w:cs="Arial"/>
                <w:kern w:val="2"/>
                <w:sz w:val="21"/>
                <w:szCs w:val="21"/>
              </w:rPr>
              <w:t>供货要求</w:t>
            </w:r>
            <w:r>
              <w:rPr>
                <w:rFonts w:hint="eastAsia" w:ascii="Arial" w:hAnsi="Arial" w:cs="Arial"/>
                <w:kern w:val="2"/>
                <w:sz w:val="21"/>
                <w:szCs w:val="21"/>
              </w:rPr>
              <w:t>”</w:t>
            </w:r>
            <w:r>
              <w:rPr>
                <w:rFonts w:ascii="Arial" w:hAnsi="Arial" w:cs="Arial"/>
                <w:kern w:val="2"/>
                <w:sz w:val="21"/>
                <w:szCs w:val="21"/>
              </w:rPr>
              <w:t>中的实质性要求和条件，所有加</w:t>
            </w:r>
            <w:r>
              <w:rPr>
                <w:rFonts w:hint="eastAsia" w:ascii="宋体" w:hAnsi="宋体" w:cs="宋体"/>
                <w:kern w:val="2"/>
                <w:sz w:val="21"/>
                <w:szCs w:val="21"/>
              </w:rPr>
              <w:t>★</w:t>
            </w:r>
            <w:r>
              <w:rPr>
                <w:rFonts w:ascii="Arial" w:hAnsi="Arial" w:cs="Arial"/>
                <w:kern w:val="2"/>
                <w:sz w:val="21"/>
                <w:szCs w:val="21"/>
              </w:rPr>
              <w:t>的条款均为实质性要求和条件，没有加</w:t>
            </w:r>
            <w:r>
              <w:rPr>
                <w:rFonts w:hint="eastAsia" w:ascii="宋体" w:hAnsi="宋体" w:cs="宋体"/>
                <w:kern w:val="2"/>
                <w:sz w:val="21"/>
                <w:szCs w:val="21"/>
              </w:rPr>
              <w:t>★</w:t>
            </w:r>
            <w:r>
              <w:rPr>
                <w:rFonts w:ascii="Arial" w:hAnsi="Arial" w:cs="Arial"/>
                <w:kern w:val="2"/>
                <w:sz w:val="21"/>
                <w:szCs w:val="21"/>
              </w:rPr>
              <w:t>的条款在评标时不能认定为实质性要求和条件。</w:t>
            </w:r>
          </w:p>
        </w:tc>
      </w:tr>
      <w:tr w14:paraId="205868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vMerge w:val="continue"/>
            <w:noWrap w:val="0"/>
            <w:vAlign w:val="center"/>
          </w:tcPr>
          <w:p w14:paraId="5F71FE92">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2ACE46BD">
            <w:pPr>
              <w:spacing w:after="0" w:line="400" w:lineRule="exact"/>
              <w:jc w:val="center"/>
              <w:rPr>
                <w:rFonts w:ascii="Arial" w:hAnsi="Arial" w:eastAsia="宋体" w:cs="Arial"/>
                <w:color w:val="auto"/>
                <w:sz w:val="21"/>
                <w:szCs w:val="21"/>
              </w:rPr>
            </w:pPr>
          </w:p>
        </w:tc>
        <w:tc>
          <w:tcPr>
            <w:tcW w:w="1765" w:type="dxa"/>
            <w:noWrap w:val="0"/>
            <w:vAlign w:val="center"/>
          </w:tcPr>
          <w:p w14:paraId="6676F322">
            <w:pPr>
              <w:spacing w:after="0" w:line="400" w:lineRule="exact"/>
              <w:jc w:val="center"/>
              <w:rPr>
                <w:rFonts w:ascii="Arial" w:hAnsi="Arial" w:eastAsia="宋体" w:cs="Arial"/>
                <w:color w:val="auto"/>
                <w:sz w:val="21"/>
                <w:szCs w:val="21"/>
              </w:rPr>
            </w:pPr>
            <w:r>
              <w:rPr>
                <w:rFonts w:ascii="Arial" w:hAnsi="Arial" w:eastAsia="宋体" w:cs="Arial"/>
                <w:color w:val="auto"/>
                <w:sz w:val="21"/>
                <w:szCs w:val="21"/>
              </w:rPr>
              <w:t>技术支持资料</w:t>
            </w:r>
          </w:p>
        </w:tc>
        <w:tc>
          <w:tcPr>
            <w:tcW w:w="6199" w:type="dxa"/>
            <w:noWrap w:val="0"/>
            <w:vAlign w:val="center"/>
          </w:tcPr>
          <w:p w14:paraId="490BF03F">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符合第二章“投标人须知”第 1.11.3 项规定</w:t>
            </w:r>
          </w:p>
        </w:tc>
      </w:tr>
      <w:tr w14:paraId="7296A8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1919" w:type="dxa"/>
            <w:gridSpan w:val="2"/>
            <w:noWrap w:val="0"/>
            <w:vAlign w:val="center"/>
          </w:tcPr>
          <w:p w14:paraId="35BCC8E9">
            <w:pPr>
              <w:spacing w:after="0" w:line="400" w:lineRule="exact"/>
              <w:jc w:val="center"/>
              <w:rPr>
                <w:rFonts w:ascii="Arial" w:hAnsi="Arial" w:eastAsia="宋体" w:cs="Arial"/>
                <w:color w:val="auto"/>
                <w:sz w:val="21"/>
                <w:szCs w:val="21"/>
              </w:rPr>
            </w:pPr>
            <w:r>
              <w:rPr>
                <w:rFonts w:ascii="Arial" w:hAnsi="Arial" w:eastAsia="宋体" w:cs="Arial"/>
                <w:color w:val="auto"/>
                <w:sz w:val="21"/>
                <w:szCs w:val="21"/>
              </w:rPr>
              <w:t>2.2.1</w:t>
            </w:r>
          </w:p>
        </w:tc>
        <w:tc>
          <w:tcPr>
            <w:tcW w:w="1765" w:type="dxa"/>
            <w:noWrap w:val="0"/>
            <w:vAlign w:val="center"/>
          </w:tcPr>
          <w:p w14:paraId="145B4517">
            <w:pPr>
              <w:spacing w:after="0" w:line="400" w:lineRule="exact"/>
              <w:jc w:val="center"/>
              <w:rPr>
                <w:rFonts w:ascii="Arial" w:hAnsi="Arial" w:eastAsia="宋体" w:cs="Arial"/>
                <w:color w:val="auto"/>
                <w:sz w:val="21"/>
                <w:szCs w:val="21"/>
              </w:rPr>
            </w:pPr>
            <w:r>
              <w:rPr>
                <w:rFonts w:ascii="Arial" w:hAnsi="Arial" w:eastAsia="宋体" w:cs="Arial"/>
                <w:color w:val="auto"/>
                <w:sz w:val="21"/>
                <w:szCs w:val="21"/>
              </w:rPr>
              <w:t>分值构成</w:t>
            </w:r>
          </w:p>
          <w:p w14:paraId="01668BB7">
            <w:pPr>
              <w:spacing w:after="0" w:line="400" w:lineRule="exact"/>
              <w:jc w:val="center"/>
              <w:rPr>
                <w:rFonts w:ascii="Arial" w:hAnsi="Arial" w:eastAsia="宋体" w:cs="Arial"/>
                <w:color w:val="auto"/>
                <w:sz w:val="21"/>
                <w:szCs w:val="21"/>
              </w:rPr>
            </w:pPr>
            <w:r>
              <w:rPr>
                <w:rFonts w:ascii="Arial" w:hAnsi="Arial" w:eastAsia="宋体" w:cs="Arial"/>
                <w:color w:val="auto"/>
                <w:sz w:val="21"/>
                <w:szCs w:val="21"/>
              </w:rPr>
              <w:t>(总分 100 分)</w:t>
            </w:r>
          </w:p>
        </w:tc>
        <w:tc>
          <w:tcPr>
            <w:tcW w:w="6199" w:type="dxa"/>
            <w:noWrap w:val="0"/>
            <w:vAlign w:val="center"/>
          </w:tcPr>
          <w:p w14:paraId="5766CE51">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技术资信标分值：</w:t>
            </w:r>
            <w:r>
              <w:rPr>
                <w:rFonts w:ascii="Arial" w:hAnsi="Arial" w:cs="Arial"/>
                <w:i/>
                <w:kern w:val="2"/>
                <w:sz w:val="21"/>
                <w:szCs w:val="21"/>
                <w:u w:val="single" w:color="000000"/>
              </w:rPr>
              <w:t xml:space="preserve">   </w:t>
            </w:r>
            <w:r>
              <w:rPr>
                <w:rFonts w:hint="eastAsia" w:ascii="Arial" w:hAnsi="Arial" w:cs="Arial"/>
                <w:i/>
                <w:kern w:val="2"/>
                <w:sz w:val="21"/>
                <w:szCs w:val="21"/>
                <w:u w:val="single" w:color="000000"/>
              </w:rPr>
              <w:t>70</w:t>
            </w:r>
            <w:r>
              <w:rPr>
                <w:rFonts w:ascii="Arial" w:hAnsi="Arial" w:cs="Arial"/>
                <w:i/>
                <w:kern w:val="2"/>
                <w:sz w:val="21"/>
                <w:szCs w:val="21"/>
                <w:u w:val="single" w:color="000000"/>
              </w:rPr>
              <w:t xml:space="preserve">   </w:t>
            </w:r>
            <w:r>
              <w:rPr>
                <w:rFonts w:ascii="Arial" w:hAnsi="Arial" w:cs="Arial"/>
                <w:kern w:val="2"/>
                <w:sz w:val="21"/>
                <w:szCs w:val="21"/>
              </w:rPr>
              <w:t>分；</w:t>
            </w:r>
          </w:p>
          <w:p w14:paraId="0980AB19">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商务标分值：</w:t>
            </w:r>
            <w:r>
              <w:rPr>
                <w:rFonts w:ascii="Arial" w:hAnsi="Arial" w:cs="Arial"/>
                <w:i/>
                <w:kern w:val="2"/>
                <w:sz w:val="21"/>
                <w:szCs w:val="21"/>
                <w:u w:val="single" w:color="000000"/>
              </w:rPr>
              <w:t xml:space="preserve">   </w:t>
            </w:r>
            <w:r>
              <w:rPr>
                <w:rFonts w:hint="eastAsia" w:ascii="Arial" w:hAnsi="Arial" w:cs="Arial"/>
                <w:i/>
                <w:kern w:val="2"/>
                <w:sz w:val="21"/>
                <w:szCs w:val="21"/>
                <w:u w:val="single" w:color="000000"/>
              </w:rPr>
              <w:t>30</w:t>
            </w:r>
            <w:r>
              <w:rPr>
                <w:rFonts w:ascii="Arial" w:hAnsi="Arial" w:cs="Arial"/>
                <w:i/>
                <w:kern w:val="2"/>
                <w:sz w:val="21"/>
                <w:szCs w:val="21"/>
                <w:u w:val="single" w:color="000000"/>
              </w:rPr>
              <w:t xml:space="preserve">   </w:t>
            </w:r>
            <w:r>
              <w:rPr>
                <w:rFonts w:ascii="Arial" w:hAnsi="Arial" w:cs="Arial"/>
                <w:kern w:val="2"/>
                <w:sz w:val="21"/>
                <w:szCs w:val="21"/>
              </w:rPr>
              <w:t>分；</w:t>
            </w:r>
          </w:p>
          <w:p w14:paraId="4309F012">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其他评分因素分值：</w:t>
            </w:r>
            <w:r>
              <w:rPr>
                <w:rFonts w:hint="eastAsia" w:ascii="Arial" w:hAnsi="Arial" w:cs="Arial"/>
                <w:i/>
                <w:kern w:val="2"/>
                <w:sz w:val="21"/>
                <w:szCs w:val="21"/>
                <w:u w:val="single" w:color="000000"/>
              </w:rPr>
              <w:t>0</w:t>
            </w:r>
            <w:r>
              <w:rPr>
                <w:rFonts w:ascii="Arial" w:hAnsi="Arial" w:cs="Arial"/>
                <w:kern w:val="2"/>
                <w:sz w:val="21"/>
                <w:szCs w:val="21"/>
              </w:rPr>
              <w:t>分</w:t>
            </w:r>
            <w:r>
              <w:rPr>
                <w:rFonts w:ascii="Arial" w:hAnsi="Arial" w:cs="Arial"/>
                <w:i/>
                <w:kern w:val="2"/>
                <w:sz w:val="21"/>
                <w:szCs w:val="21"/>
              </w:rPr>
              <w:t>（如有）</w:t>
            </w:r>
            <w:r>
              <w:rPr>
                <w:rFonts w:ascii="Arial" w:hAnsi="Arial" w:cs="Arial"/>
                <w:kern w:val="2"/>
                <w:sz w:val="21"/>
                <w:szCs w:val="21"/>
              </w:rPr>
              <w:t>。</w:t>
            </w:r>
          </w:p>
        </w:tc>
      </w:tr>
      <w:tr w14:paraId="41F2B7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noWrap w:val="0"/>
            <w:vAlign w:val="center"/>
          </w:tcPr>
          <w:p w14:paraId="4343D1BC">
            <w:pPr>
              <w:spacing w:after="0" w:line="400" w:lineRule="exact"/>
              <w:ind w:left="3"/>
              <w:jc w:val="center"/>
              <w:rPr>
                <w:rFonts w:ascii="Arial" w:hAnsi="Arial" w:eastAsia="宋体" w:cs="Arial"/>
                <w:color w:val="auto"/>
                <w:sz w:val="21"/>
                <w:szCs w:val="21"/>
              </w:rPr>
            </w:pPr>
            <w:bookmarkStart w:id="3" w:name="_Hlk200488242"/>
            <w:bookmarkStart w:id="4" w:name="OLE_LINK7" w:colFirst="2" w:colLast="67"/>
            <w:r>
              <w:rPr>
                <w:rFonts w:ascii="Arial" w:hAnsi="Arial" w:eastAsia="宋体" w:cs="Arial"/>
                <w:color w:val="auto"/>
                <w:sz w:val="21"/>
                <w:szCs w:val="21"/>
              </w:rPr>
              <w:t>2.2.2</w:t>
            </w:r>
          </w:p>
        </w:tc>
        <w:tc>
          <w:tcPr>
            <w:tcW w:w="1188" w:type="dxa"/>
            <w:noWrap w:val="0"/>
            <w:vAlign w:val="center"/>
          </w:tcPr>
          <w:p w14:paraId="747E556D">
            <w:pPr>
              <w:spacing w:after="0" w:line="400" w:lineRule="exact"/>
              <w:jc w:val="center"/>
              <w:rPr>
                <w:rFonts w:ascii="Arial" w:hAnsi="Arial" w:eastAsia="宋体" w:cs="Arial"/>
                <w:color w:val="auto"/>
                <w:sz w:val="21"/>
                <w:szCs w:val="21"/>
              </w:rPr>
            </w:pPr>
            <w:r>
              <w:rPr>
                <w:rFonts w:ascii="Arial" w:hAnsi="Arial" w:eastAsia="宋体" w:cs="Arial"/>
                <w:color w:val="auto"/>
                <w:sz w:val="21"/>
                <w:szCs w:val="21"/>
              </w:rPr>
              <w:t>技术资信评分标准</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3F77FE38">
            <w:pPr>
              <w:spacing w:after="0" w:line="400" w:lineRule="exact"/>
              <w:ind w:left="1"/>
              <w:jc w:val="center"/>
              <w:rPr>
                <w:rFonts w:ascii="宋体" w:hAnsi="宋体" w:eastAsia="宋体" w:cs="等线"/>
                <w:color w:val="auto"/>
                <w:szCs w:val="21"/>
              </w:rPr>
            </w:pPr>
            <w:r>
              <w:rPr>
                <w:rFonts w:hint="eastAsia" w:ascii="Arial" w:hAnsi="Arial" w:eastAsia="宋体" w:cs="Arial"/>
                <w:color w:val="auto"/>
                <w:sz w:val="21"/>
                <w:szCs w:val="21"/>
              </w:rPr>
              <w:t>技术资信评分细则</w:t>
            </w:r>
          </w:p>
        </w:tc>
        <w:tc>
          <w:tcPr>
            <w:tcW w:w="6199" w:type="dxa"/>
            <w:tcBorders>
              <w:top w:val="single" w:color="auto" w:sz="4" w:space="0"/>
              <w:left w:val="single" w:color="auto" w:sz="4" w:space="0"/>
              <w:bottom w:val="single" w:color="auto" w:sz="4" w:space="0"/>
              <w:right w:val="single" w:color="auto" w:sz="4" w:space="0"/>
            </w:tcBorders>
            <w:noWrap w:val="0"/>
            <w:vAlign w:val="center"/>
          </w:tcPr>
          <w:p w14:paraId="39A0B83E">
            <w:pPr>
              <w:spacing w:after="0" w:line="320" w:lineRule="exact"/>
              <w:rPr>
                <w:rFonts w:ascii="宋体" w:hAnsi="宋体" w:eastAsia="宋体" w:cs="等线"/>
                <w:color w:val="auto"/>
                <w:sz w:val="21"/>
                <w:szCs w:val="21"/>
              </w:rPr>
            </w:pPr>
            <w:r>
              <w:rPr>
                <w:rFonts w:hint="eastAsia" w:ascii="宋体" w:hAnsi="宋体" w:eastAsia="宋体" w:cs="等线"/>
                <w:color w:val="auto"/>
                <w:sz w:val="21"/>
                <w:szCs w:val="21"/>
              </w:rPr>
              <w:t>1</w:t>
            </w:r>
            <w:r>
              <w:rPr>
                <w:rFonts w:hint="eastAsia" w:ascii="宋体" w:hAnsi="宋体" w:eastAsia="宋体" w:cs="等线"/>
                <w:color w:val="auto"/>
                <w:kern w:val="0"/>
                <w:sz w:val="21"/>
                <w:szCs w:val="21"/>
              </w:rPr>
              <w:t>、技术</w:t>
            </w:r>
            <w:r>
              <w:rPr>
                <w:rFonts w:hint="eastAsia" w:ascii="Arial" w:hAnsi="Arial" w:eastAsia="宋体" w:cs="Arial"/>
                <w:color w:val="auto"/>
                <w:sz w:val="21"/>
                <w:szCs w:val="21"/>
              </w:rPr>
              <w:t>资信</w:t>
            </w:r>
            <w:r>
              <w:rPr>
                <w:rFonts w:hint="eastAsia" w:ascii="宋体" w:hAnsi="宋体" w:eastAsia="宋体" w:cs="等线"/>
                <w:color w:val="auto"/>
                <w:kern w:val="0"/>
                <w:sz w:val="21"/>
                <w:szCs w:val="21"/>
              </w:rPr>
              <w:t>标评分计算规则：评标委员会按评标办法前附表规定评分细则对各投标人的技术资信标进行独立评审打分，对评标委员会成员各项打分汇总的分数里去掉一个最高分和一个最低分后的算术平均值为最终得分（计算最终得分值时保留二位小数，第三位四舍五入），评标委员会成员应对自己的打分结果签名认可，评标委员会成员的评分有明显错误的，需重新评分。</w:t>
            </w:r>
          </w:p>
          <w:p w14:paraId="51BF1BF5">
            <w:pPr>
              <w:pStyle w:val="5"/>
              <w:topLinePunct/>
              <w:spacing w:after="0" w:line="400" w:lineRule="exact"/>
              <w:rPr>
                <w:rFonts w:ascii="宋体" w:hAnsi="宋体" w:cs="等线"/>
                <w:szCs w:val="21"/>
              </w:rPr>
            </w:pPr>
            <w:r>
              <w:rPr>
                <w:rFonts w:hint="eastAsia" w:ascii="宋体" w:hAnsi="宋体" w:cs="等线"/>
                <w:sz w:val="21"/>
                <w:szCs w:val="21"/>
              </w:rPr>
              <w:t>2、技术</w:t>
            </w:r>
            <w:r>
              <w:rPr>
                <w:rFonts w:hint="eastAsia" w:ascii="Arial" w:hAnsi="Arial" w:eastAsia="宋体" w:cs="Arial"/>
                <w:color w:val="auto"/>
                <w:sz w:val="21"/>
                <w:szCs w:val="21"/>
              </w:rPr>
              <w:t>资信</w:t>
            </w:r>
            <w:r>
              <w:rPr>
                <w:rFonts w:hint="eastAsia" w:ascii="宋体" w:hAnsi="宋体" w:cs="等线"/>
                <w:sz w:val="21"/>
                <w:szCs w:val="21"/>
              </w:rPr>
              <w:t>标评分细则详见“评标办法附录：技术</w:t>
            </w:r>
            <w:r>
              <w:rPr>
                <w:rFonts w:hint="eastAsia" w:ascii="Arial" w:hAnsi="Arial" w:eastAsia="宋体" w:cs="Arial"/>
                <w:color w:val="auto"/>
                <w:sz w:val="21"/>
                <w:szCs w:val="21"/>
              </w:rPr>
              <w:t>资信</w:t>
            </w:r>
            <w:r>
              <w:rPr>
                <w:rFonts w:hint="eastAsia" w:ascii="宋体" w:hAnsi="宋体" w:cs="等线"/>
                <w:sz w:val="21"/>
                <w:szCs w:val="21"/>
              </w:rPr>
              <w:t>标评分细则”。</w:t>
            </w:r>
          </w:p>
        </w:tc>
      </w:tr>
      <w:bookmarkEnd w:id="3"/>
      <w:bookmarkEnd w:id="4"/>
      <w:tr w14:paraId="7E5A58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vMerge w:val="restart"/>
            <w:noWrap w:val="0"/>
            <w:vAlign w:val="center"/>
          </w:tcPr>
          <w:p w14:paraId="2642B2E8">
            <w:pPr>
              <w:spacing w:after="0" w:line="400" w:lineRule="exact"/>
              <w:ind w:left="3"/>
              <w:jc w:val="center"/>
              <w:rPr>
                <w:rFonts w:ascii="Arial" w:hAnsi="Arial" w:eastAsia="宋体" w:cs="Arial"/>
                <w:color w:val="auto"/>
                <w:sz w:val="21"/>
                <w:szCs w:val="21"/>
              </w:rPr>
            </w:pPr>
            <w:r>
              <w:rPr>
                <w:rFonts w:ascii="Arial" w:hAnsi="Arial" w:eastAsia="宋体" w:cs="Arial"/>
                <w:color w:val="auto"/>
                <w:sz w:val="21"/>
                <w:szCs w:val="21"/>
              </w:rPr>
              <w:t>2.2.3</w:t>
            </w:r>
          </w:p>
        </w:tc>
        <w:tc>
          <w:tcPr>
            <w:tcW w:w="1188" w:type="dxa"/>
            <w:vMerge w:val="restart"/>
            <w:noWrap w:val="0"/>
            <w:vAlign w:val="center"/>
          </w:tcPr>
          <w:p w14:paraId="608C11F7">
            <w:pPr>
              <w:spacing w:after="0" w:line="400" w:lineRule="exact"/>
              <w:jc w:val="center"/>
              <w:rPr>
                <w:rFonts w:ascii="Arial" w:hAnsi="Arial" w:eastAsia="宋体" w:cs="Arial"/>
                <w:color w:val="auto"/>
                <w:sz w:val="21"/>
                <w:szCs w:val="21"/>
              </w:rPr>
            </w:pPr>
            <w:r>
              <w:rPr>
                <w:rFonts w:ascii="Arial" w:hAnsi="Arial" w:eastAsia="宋体" w:cs="Arial"/>
                <w:color w:val="auto"/>
                <w:sz w:val="21"/>
                <w:szCs w:val="21"/>
              </w:rPr>
              <w:t>商务评分标准</w:t>
            </w:r>
          </w:p>
        </w:tc>
        <w:tc>
          <w:tcPr>
            <w:tcW w:w="1765" w:type="dxa"/>
            <w:noWrap w:val="0"/>
            <w:vAlign w:val="center"/>
          </w:tcPr>
          <w:p w14:paraId="73B844B0">
            <w:pPr>
              <w:spacing w:after="0" w:line="400" w:lineRule="exact"/>
              <w:jc w:val="center"/>
              <w:rPr>
                <w:rFonts w:ascii="Arial" w:hAnsi="Arial" w:eastAsia="宋体" w:cs="Arial"/>
                <w:color w:val="auto"/>
                <w:sz w:val="21"/>
                <w:szCs w:val="21"/>
              </w:rPr>
            </w:pPr>
            <w:r>
              <w:rPr>
                <w:rFonts w:ascii="Arial" w:hAnsi="Arial" w:eastAsia="宋体" w:cs="Arial"/>
                <w:color w:val="auto"/>
                <w:sz w:val="21"/>
                <w:szCs w:val="21"/>
              </w:rPr>
              <w:t>最高投标限价或其计算方式</w:t>
            </w:r>
          </w:p>
        </w:tc>
        <w:tc>
          <w:tcPr>
            <w:tcW w:w="6199" w:type="dxa"/>
            <w:noWrap w:val="0"/>
            <w:vAlign w:val="center"/>
          </w:tcPr>
          <w:p w14:paraId="49ADDC08">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见投标人须知前附表第3.2.4条</w:t>
            </w:r>
          </w:p>
        </w:tc>
      </w:tr>
      <w:tr w14:paraId="5422ED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vMerge w:val="continue"/>
            <w:noWrap w:val="0"/>
            <w:vAlign w:val="center"/>
          </w:tcPr>
          <w:p w14:paraId="66914BE6">
            <w:pPr>
              <w:spacing w:after="0" w:line="400" w:lineRule="exact"/>
              <w:ind w:left="3"/>
              <w:jc w:val="center"/>
              <w:rPr>
                <w:rFonts w:ascii="Arial" w:hAnsi="Arial" w:eastAsia="宋体" w:cs="Arial"/>
                <w:color w:val="auto"/>
                <w:sz w:val="21"/>
                <w:szCs w:val="21"/>
              </w:rPr>
            </w:pPr>
          </w:p>
        </w:tc>
        <w:tc>
          <w:tcPr>
            <w:tcW w:w="1188" w:type="dxa"/>
            <w:vMerge w:val="continue"/>
            <w:noWrap w:val="0"/>
            <w:vAlign w:val="center"/>
          </w:tcPr>
          <w:p w14:paraId="22A563D6">
            <w:pPr>
              <w:spacing w:after="0" w:line="400" w:lineRule="exact"/>
              <w:jc w:val="center"/>
              <w:rPr>
                <w:rFonts w:ascii="Arial" w:hAnsi="Arial" w:eastAsia="宋体" w:cs="Arial"/>
                <w:color w:val="auto"/>
                <w:sz w:val="21"/>
                <w:szCs w:val="21"/>
              </w:rPr>
            </w:pPr>
          </w:p>
        </w:tc>
        <w:tc>
          <w:tcPr>
            <w:tcW w:w="1765" w:type="dxa"/>
            <w:noWrap w:val="0"/>
            <w:vAlign w:val="center"/>
          </w:tcPr>
          <w:p w14:paraId="0866DDE1">
            <w:pPr>
              <w:spacing w:after="0" w:line="400" w:lineRule="exact"/>
              <w:jc w:val="center"/>
              <w:rPr>
                <w:rFonts w:ascii="Arial" w:hAnsi="Arial" w:eastAsia="宋体" w:cs="Arial"/>
                <w:color w:val="auto"/>
                <w:sz w:val="21"/>
                <w:szCs w:val="21"/>
              </w:rPr>
            </w:pPr>
            <w:r>
              <w:rPr>
                <w:rFonts w:ascii="Arial" w:hAnsi="Arial" w:eastAsia="宋体" w:cs="Arial"/>
                <w:color w:val="auto"/>
                <w:sz w:val="21"/>
                <w:szCs w:val="21"/>
              </w:rPr>
              <w:t>评标基准价计算方法</w:t>
            </w:r>
          </w:p>
        </w:tc>
        <w:tc>
          <w:tcPr>
            <w:tcW w:w="6199" w:type="dxa"/>
            <w:noWrap w:val="0"/>
            <w:vAlign w:val="center"/>
          </w:tcPr>
          <w:p w14:paraId="69EBF30C">
            <w:pPr>
              <w:pStyle w:val="5"/>
              <w:topLinePunct/>
              <w:spacing w:after="0" w:line="400" w:lineRule="exact"/>
              <w:ind w:firstLine="315" w:firstLineChars="150"/>
              <w:rPr>
                <w:rFonts w:ascii="Arial" w:hAnsi="Arial" w:cs="Arial"/>
                <w:kern w:val="2"/>
                <w:sz w:val="21"/>
                <w:szCs w:val="21"/>
              </w:rPr>
            </w:pPr>
            <w:r>
              <w:rPr>
                <w:rFonts w:ascii="Arial" w:hAnsi="Arial" w:cs="Arial"/>
                <w:kern w:val="2"/>
                <w:sz w:val="21"/>
                <w:szCs w:val="21"/>
              </w:rPr>
              <w:t>评标基准价由评标委员会依据下述方法计算，除计算差错外，确认后的评标基准价在本次招标期间保持不变。计算差错，仅限于以下两种情况：（1）纯算术性四则运算差错；（2）未按约定的计算方法，多计或者少计投标人报价的。由于评标差错，导致否决投标错误，重新评标纠正等其他情况，不属于计算差错。</w:t>
            </w:r>
          </w:p>
          <w:p w14:paraId="6DC60459">
            <w:pPr>
              <w:pStyle w:val="5"/>
              <w:topLinePunct/>
              <w:spacing w:after="0" w:line="400" w:lineRule="exact"/>
              <w:rPr>
                <w:rFonts w:ascii="Arial" w:hAnsi="Arial" w:cs="Arial"/>
                <w:kern w:val="2"/>
                <w:sz w:val="21"/>
                <w:szCs w:val="21"/>
              </w:rPr>
            </w:pPr>
            <w:r>
              <w:rPr>
                <w:rFonts w:ascii="宋体" w:hAnsi="宋体" w:cs="宋体"/>
                <w:kern w:val="2"/>
                <w:sz w:val="21"/>
                <w:szCs w:val="21"/>
              </w:rPr>
              <w:sym w:font="Wingdings" w:char="00FE"/>
            </w:r>
            <w:r>
              <w:rPr>
                <w:rFonts w:hint="eastAsia" w:ascii="Arial" w:hAnsi="Arial" w:cs="Arial"/>
                <w:kern w:val="2"/>
                <w:sz w:val="21"/>
                <w:szCs w:val="21"/>
              </w:rPr>
              <w:t>基准值合成法</w:t>
            </w:r>
          </w:p>
          <w:p w14:paraId="5E0A628A">
            <w:pPr>
              <w:pStyle w:val="5"/>
              <w:topLinePunct/>
              <w:spacing w:after="0" w:line="400" w:lineRule="exact"/>
              <w:ind w:firstLine="315" w:firstLineChars="150"/>
              <w:rPr>
                <w:rFonts w:ascii="Arial" w:hAnsi="Arial" w:cs="Arial"/>
                <w:kern w:val="2"/>
                <w:sz w:val="21"/>
                <w:szCs w:val="21"/>
              </w:rPr>
            </w:pPr>
            <w:r>
              <w:rPr>
                <w:rFonts w:hint="eastAsia" w:ascii="Arial" w:hAnsi="Arial" w:cs="Arial"/>
                <w:kern w:val="2"/>
                <w:sz w:val="21"/>
                <w:szCs w:val="21"/>
              </w:rPr>
              <w:t>评标基准价=最高投标限价×（1-1%×X-0.1%×Y）；评标基准价保留至元，元后四舍五入。</w:t>
            </w:r>
          </w:p>
          <w:p w14:paraId="6E4C8195">
            <w:pPr>
              <w:pStyle w:val="5"/>
              <w:topLinePunct/>
              <w:spacing w:after="0" w:line="400" w:lineRule="exact"/>
              <w:ind w:firstLine="315" w:firstLineChars="150"/>
              <w:rPr>
                <w:rFonts w:hint="eastAsia" w:ascii="Arial" w:hAnsi="Arial" w:cs="Arial"/>
                <w:kern w:val="2"/>
                <w:sz w:val="21"/>
                <w:szCs w:val="21"/>
              </w:rPr>
            </w:pPr>
            <w:r>
              <w:rPr>
                <w:rFonts w:hint="eastAsia" w:ascii="Arial" w:hAnsi="Arial" w:cs="Arial"/>
                <w:kern w:val="2"/>
                <w:sz w:val="21"/>
                <w:szCs w:val="21"/>
              </w:rPr>
              <w:t>X、Y 为调整系数；X 值在商务标开标会议上从</w:t>
            </w:r>
            <w:r>
              <w:rPr>
                <w:rFonts w:ascii="Arial" w:hAnsi="Arial" w:cs="Arial"/>
                <w:kern w:val="2"/>
                <w:sz w:val="21"/>
                <w:szCs w:val="21"/>
              </w:rPr>
              <w:t>1</w:t>
            </w:r>
            <w:r>
              <w:rPr>
                <w:rFonts w:hint="eastAsia" w:ascii="Arial" w:hAnsi="Arial" w:cs="Arial"/>
                <w:kern w:val="2"/>
                <w:sz w:val="21"/>
                <w:szCs w:val="21"/>
              </w:rPr>
              <w:t>、</w:t>
            </w:r>
            <w:r>
              <w:rPr>
                <w:rFonts w:ascii="Arial" w:hAnsi="Arial" w:cs="Arial"/>
                <w:kern w:val="2"/>
                <w:sz w:val="21"/>
                <w:szCs w:val="21"/>
              </w:rPr>
              <w:t>2</w:t>
            </w:r>
            <w:r>
              <w:rPr>
                <w:rFonts w:hint="eastAsia" w:ascii="Arial" w:hAnsi="Arial" w:cs="Arial"/>
                <w:kern w:val="2"/>
                <w:sz w:val="21"/>
                <w:szCs w:val="21"/>
              </w:rPr>
              <w:t>、</w:t>
            </w:r>
            <w:r>
              <w:rPr>
                <w:rFonts w:ascii="Arial" w:hAnsi="Arial" w:cs="Arial"/>
                <w:kern w:val="2"/>
                <w:sz w:val="21"/>
                <w:szCs w:val="21"/>
              </w:rPr>
              <w:t>3</w:t>
            </w:r>
            <w:r>
              <w:rPr>
                <w:rFonts w:hint="eastAsia" w:ascii="Arial" w:hAnsi="Arial" w:cs="Arial"/>
                <w:kern w:val="2"/>
                <w:sz w:val="21"/>
                <w:szCs w:val="21"/>
              </w:rPr>
              <w:t>、</w:t>
            </w:r>
            <w:r>
              <w:rPr>
                <w:rFonts w:ascii="Arial" w:hAnsi="Arial" w:cs="Arial"/>
                <w:kern w:val="2"/>
                <w:sz w:val="21"/>
                <w:szCs w:val="21"/>
              </w:rPr>
              <w:t>4</w:t>
            </w:r>
            <w:r>
              <w:rPr>
                <w:rFonts w:hint="eastAsia" w:ascii="Arial" w:hAnsi="Arial" w:cs="Arial"/>
                <w:kern w:val="2"/>
                <w:sz w:val="21"/>
                <w:szCs w:val="21"/>
              </w:rPr>
              <w:t>、</w:t>
            </w:r>
            <w:r>
              <w:rPr>
                <w:rFonts w:ascii="Arial" w:hAnsi="Arial" w:cs="Arial"/>
                <w:kern w:val="2"/>
                <w:sz w:val="21"/>
                <w:szCs w:val="21"/>
              </w:rPr>
              <w:t>5</w:t>
            </w:r>
            <w:r>
              <w:rPr>
                <w:rFonts w:hint="eastAsia" w:ascii="Arial" w:hAnsi="Arial" w:cs="Arial"/>
                <w:kern w:val="2"/>
                <w:sz w:val="21"/>
                <w:szCs w:val="21"/>
              </w:rPr>
              <w:t>（五）个数中随机抽取，以抽中值为准；Y 值在商务标开标会议上从 0～9 （整数）十个数数字中抽取，以抽取值为准。</w:t>
            </w:r>
          </w:p>
        </w:tc>
      </w:tr>
      <w:tr w14:paraId="26AED2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vMerge w:val="continue"/>
            <w:noWrap w:val="0"/>
            <w:vAlign w:val="center"/>
          </w:tcPr>
          <w:p w14:paraId="5784670F">
            <w:pPr>
              <w:spacing w:after="0" w:line="400" w:lineRule="exact"/>
              <w:jc w:val="center"/>
              <w:rPr>
                <w:rFonts w:ascii="Arial" w:hAnsi="Arial" w:eastAsia="宋体" w:cs="Arial"/>
                <w:color w:val="auto"/>
                <w:sz w:val="21"/>
                <w:szCs w:val="21"/>
              </w:rPr>
            </w:pPr>
          </w:p>
        </w:tc>
        <w:tc>
          <w:tcPr>
            <w:tcW w:w="1188" w:type="dxa"/>
            <w:vMerge w:val="continue"/>
            <w:noWrap w:val="0"/>
            <w:vAlign w:val="center"/>
          </w:tcPr>
          <w:p w14:paraId="3297DE5C">
            <w:pPr>
              <w:spacing w:after="0" w:line="400" w:lineRule="exact"/>
              <w:jc w:val="center"/>
              <w:rPr>
                <w:rFonts w:ascii="Arial" w:hAnsi="Arial" w:eastAsia="宋体" w:cs="Arial"/>
                <w:color w:val="auto"/>
                <w:sz w:val="21"/>
                <w:szCs w:val="21"/>
              </w:rPr>
            </w:pPr>
          </w:p>
        </w:tc>
        <w:tc>
          <w:tcPr>
            <w:tcW w:w="1765" w:type="dxa"/>
            <w:noWrap w:val="0"/>
            <w:vAlign w:val="center"/>
          </w:tcPr>
          <w:p w14:paraId="7E8398D9">
            <w:pPr>
              <w:spacing w:after="0" w:line="400" w:lineRule="exact"/>
              <w:ind w:left="1"/>
              <w:jc w:val="center"/>
              <w:rPr>
                <w:rFonts w:ascii="Arial" w:hAnsi="Arial" w:eastAsia="宋体" w:cs="Arial"/>
                <w:color w:val="auto"/>
                <w:sz w:val="21"/>
                <w:szCs w:val="21"/>
              </w:rPr>
            </w:pPr>
            <w:r>
              <w:rPr>
                <w:rFonts w:ascii="Arial" w:hAnsi="Arial" w:eastAsia="宋体" w:cs="Arial"/>
                <w:color w:val="auto"/>
                <w:sz w:val="21"/>
                <w:szCs w:val="21"/>
              </w:rPr>
              <w:t>商务标得分计算</w:t>
            </w:r>
          </w:p>
        </w:tc>
        <w:tc>
          <w:tcPr>
            <w:tcW w:w="6199" w:type="dxa"/>
            <w:noWrap w:val="0"/>
            <w:vAlign w:val="center"/>
          </w:tcPr>
          <w:p w14:paraId="4A4436A6">
            <w:pPr>
              <w:pStyle w:val="5"/>
              <w:spacing w:after="0" w:line="400" w:lineRule="exact"/>
              <w:ind w:firstLine="361" w:firstLineChars="172"/>
              <w:rPr>
                <w:rFonts w:hint="eastAsia" w:ascii="Arial" w:hAnsi="Arial" w:cs="Arial"/>
                <w:kern w:val="2"/>
                <w:sz w:val="21"/>
                <w:szCs w:val="21"/>
              </w:rPr>
            </w:pPr>
            <w:r>
              <w:rPr>
                <w:rFonts w:hint="eastAsia" w:ascii="Arial" w:hAnsi="Arial" w:cs="Arial"/>
                <w:kern w:val="2"/>
                <w:sz w:val="21"/>
                <w:szCs w:val="21"/>
              </w:rPr>
              <w:t>根据投标文件的投标报价与评标基准价对比，计算投标人的商务报价的得分值。即：</w:t>
            </w:r>
          </w:p>
          <w:p w14:paraId="7F32C076">
            <w:pPr>
              <w:pStyle w:val="5"/>
              <w:spacing w:after="0" w:line="400" w:lineRule="exact"/>
              <w:ind w:firstLine="361" w:firstLineChars="172"/>
              <w:rPr>
                <w:rFonts w:hint="eastAsia" w:ascii="Arial" w:hAnsi="Arial" w:cs="Arial"/>
                <w:kern w:val="2"/>
                <w:sz w:val="21"/>
                <w:szCs w:val="21"/>
              </w:rPr>
            </w:pPr>
            <w:r>
              <w:rPr>
                <w:rFonts w:hint="eastAsia" w:ascii="Arial" w:hAnsi="Arial" w:cs="Arial"/>
                <w:kern w:val="2"/>
                <w:sz w:val="21"/>
                <w:szCs w:val="21"/>
              </w:rPr>
              <w:t>a.投标报价等于评标基准价时，得满分（30分）；</w:t>
            </w:r>
          </w:p>
          <w:p w14:paraId="3535083F">
            <w:pPr>
              <w:pStyle w:val="5"/>
              <w:spacing w:after="0" w:line="400" w:lineRule="exact"/>
              <w:ind w:firstLine="361" w:firstLineChars="172"/>
              <w:rPr>
                <w:rFonts w:hint="eastAsia" w:ascii="Arial" w:hAnsi="Arial" w:cs="Arial"/>
                <w:kern w:val="2"/>
                <w:sz w:val="21"/>
                <w:szCs w:val="21"/>
              </w:rPr>
            </w:pPr>
            <w:r>
              <w:rPr>
                <w:rFonts w:hint="eastAsia" w:ascii="Arial" w:hAnsi="Arial" w:cs="Arial"/>
                <w:kern w:val="2"/>
                <w:sz w:val="21"/>
                <w:szCs w:val="21"/>
              </w:rPr>
              <w:t>b.投标报价每高于评标基准价1个百分点，扣</w:t>
            </w:r>
            <w:r>
              <w:rPr>
                <w:rFonts w:ascii="Arial" w:hAnsi="Arial" w:cs="Arial"/>
                <w:kern w:val="2"/>
                <w:sz w:val="21"/>
                <w:szCs w:val="21"/>
              </w:rPr>
              <w:t>0.5</w:t>
            </w:r>
            <w:r>
              <w:rPr>
                <w:rFonts w:hint="eastAsia" w:ascii="Arial" w:hAnsi="Arial" w:cs="Arial"/>
                <w:kern w:val="2"/>
                <w:sz w:val="21"/>
                <w:szCs w:val="21"/>
              </w:rPr>
              <w:t>分。</w:t>
            </w:r>
          </w:p>
          <w:p w14:paraId="15B14EC0">
            <w:pPr>
              <w:pStyle w:val="5"/>
              <w:spacing w:after="0" w:line="400" w:lineRule="exact"/>
              <w:ind w:firstLine="361" w:firstLineChars="172"/>
              <w:rPr>
                <w:rFonts w:hint="eastAsia" w:ascii="Arial" w:hAnsi="Arial" w:cs="Arial"/>
                <w:kern w:val="2"/>
                <w:sz w:val="21"/>
                <w:szCs w:val="21"/>
              </w:rPr>
            </w:pPr>
            <w:r>
              <w:rPr>
                <w:rFonts w:hint="eastAsia" w:ascii="Arial" w:hAnsi="Arial" w:cs="Arial"/>
                <w:kern w:val="2"/>
                <w:sz w:val="21"/>
                <w:szCs w:val="21"/>
              </w:rPr>
              <w:t>c.投标报价每低于评标基准价1个百分点，扣0.</w:t>
            </w:r>
            <w:r>
              <w:rPr>
                <w:rFonts w:ascii="Arial" w:hAnsi="Arial" w:cs="Arial"/>
                <w:kern w:val="2"/>
                <w:sz w:val="21"/>
                <w:szCs w:val="21"/>
              </w:rPr>
              <w:t>3</w:t>
            </w:r>
            <w:r>
              <w:rPr>
                <w:rFonts w:hint="eastAsia" w:ascii="Arial" w:hAnsi="Arial" w:cs="Arial"/>
                <w:kern w:val="2"/>
                <w:sz w:val="21"/>
                <w:szCs w:val="21"/>
              </w:rPr>
              <w:t>分；</w:t>
            </w:r>
          </w:p>
          <w:p w14:paraId="3CE8B3BC">
            <w:pPr>
              <w:pStyle w:val="5"/>
              <w:spacing w:after="0" w:line="400" w:lineRule="exact"/>
              <w:ind w:firstLine="361" w:firstLineChars="172"/>
              <w:rPr>
                <w:rFonts w:ascii="Arial" w:hAnsi="Arial" w:cs="Arial"/>
                <w:kern w:val="2"/>
                <w:sz w:val="21"/>
                <w:szCs w:val="21"/>
              </w:rPr>
            </w:pPr>
            <w:r>
              <w:rPr>
                <w:rFonts w:hint="eastAsia" w:ascii="Arial" w:hAnsi="Arial" w:cs="Arial"/>
                <w:kern w:val="2"/>
                <w:sz w:val="21"/>
                <w:szCs w:val="21"/>
              </w:rPr>
              <w:t>以上报价得分不足一个百分点时，使用直线插入法计算，按四舍五入法保留二位小数。</w:t>
            </w:r>
          </w:p>
        </w:tc>
      </w:tr>
      <w:tr w14:paraId="767935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noWrap w:val="0"/>
            <w:vAlign w:val="center"/>
          </w:tcPr>
          <w:p w14:paraId="5D7EF94D">
            <w:pPr>
              <w:spacing w:after="0" w:line="400" w:lineRule="exact"/>
              <w:ind w:left="3"/>
              <w:jc w:val="center"/>
              <w:rPr>
                <w:rFonts w:ascii="Arial" w:hAnsi="Arial" w:eastAsia="宋体" w:cs="Arial"/>
                <w:color w:val="auto"/>
                <w:sz w:val="21"/>
                <w:szCs w:val="21"/>
              </w:rPr>
            </w:pPr>
            <w:r>
              <w:rPr>
                <w:rFonts w:ascii="Arial" w:hAnsi="Arial" w:eastAsia="宋体" w:cs="Arial"/>
                <w:color w:val="auto"/>
                <w:sz w:val="21"/>
                <w:szCs w:val="21"/>
              </w:rPr>
              <w:t>2.2.4</w:t>
            </w:r>
          </w:p>
        </w:tc>
        <w:tc>
          <w:tcPr>
            <w:tcW w:w="1188" w:type="dxa"/>
            <w:noWrap w:val="0"/>
            <w:vAlign w:val="center"/>
          </w:tcPr>
          <w:p w14:paraId="12E16505">
            <w:pPr>
              <w:spacing w:after="0" w:line="400" w:lineRule="exact"/>
              <w:jc w:val="center"/>
              <w:rPr>
                <w:rFonts w:ascii="Arial" w:hAnsi="Arial" w:eastAsia="宋体" w:cs="Arial"/>
                <w:color w:val="auto"/>
                <w:sz w:val="21"/>
                <w:szCs w:val="21"/>
              </w:rPr>
            </w:pPr>
            <w:r>
              <w:rPr>
                <w:rFonts w:ascii="Arial" w:hAnsi="Arial" w:eastAsia="宋体" w:cs="Arial"/>
                <w:color w:val="auto"/>
                <w:sz w:val="21"/>
                <w:szCs w:val="21"/>
              </w:rPr>
              <w:t>其他因素评分标准</w:t>
            </w:r>
          </w:p>
        </w:tc>
        <w:tc>
          <w:tcPr>
            <w:tcW w:w="1765" w:type="dxa"/>
            <w:noWrap w:val="0"/>
            <w:vAlign w:val="center"/>
          </w:tcPr>
          <w:p w14:paraId="41F16D24">
            <w:pPr>
              <w:spacing w:after="0" w:line="400" w:lineRule="exact"/>
              <w:jc w:val="center"/>
              <w:rPr>
                <w:rFonts w:ascii="Arial" w:hAnsi="Arial" w:eastAsia="宋体" w:cs="Arial"/>
                <w:color w:val="auto"/>
                <w:sz w:val="21"/>
                <w:szCs w:val="21"/>
              </w:rPr>
            </w:pPr>
            <w:r>
              <w:rPr>
                <w:rFonts w:hint="eastAsia" w:ascii="宋体" w:hAnsi="宋体" w:eastAsia="宋体" w:cs="宋体"/>
                <w:color w:val="auto"/>
                <w:sz w:val="21"/>
                <w:szCs w:val="21"/>
              </w:rPr>
              <w:t>/</w:t>
            </w:r>
          </w:p>
        </w:tc>
        <w:tc>
          <w:tcPr>
            <w:tcW w:w="6199" w:type="dxa"/>
            <w:noWrap w:val="0"/>
            <w:vAlign w:val="center"/>
          </w:tcPr>
          <w:p w14:paraId="57F8BC02">
            <w:pPr>
              <w:spacing w:after="0" w:line="400" w:lineRule="exact"/>
              <w:rPr>
                <w:rFonts w:ascii="Arial" w:hAnsi="Arial" w:eastAsia="宋体" w:cs="Arial"/>
                <w:color w:val="auto"/>
                <w:sz w:val="21"/>
                <w:szCs w:val="21"/>
              </w:rPr>
            </w:pPr>
            <w:r>
              <w:rPr>
                <w:rFonts w:hint="eastAsia" w:ascii="宋体" w:hAnsi="宋体" w:eastAsia="宋体" w:cs="宋体"/>
                <w:color w:val="auto"/>
                <w:sz w:val="21"/>
                <w:szCs w:val="21"/>
              </w:rPr>
              <w:t>/</w:t>
            </w:r>
          </w:p>
        </w:tc>
      </w:tr>
      <w:tr w14:paraId="5F0EBF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82" w:type="dxa"/>
            <w:bottom w:w="34" w:type="dxa"/>
            <w:right w:w="82" w:type="dxa"/>
          </w:tblCellMar>
        </w:tblPrEx>
        <w:trPr>
          <w:trHeight w:val="454" w:hRule="atLeast"/>
          <w:jc w:val="center"/>
        </w:trPr>
        <w:tc>
          <w:tcPr>
            <w:tcW w:w="731" w:type="dxa"/>
            <w:noWrap w:val="0"/>
            <w:vAlign w:val="center"/>
          </w:tcPr>
          <w:p w14:paraId="146D92B7">
            <w:pPr>
              <w:spacing w:after="0" w:line="400" w:lineRule="exact"/>
              <w:ind w:left="3"/>
              <w:jc w:val="center"/>
              <w:rPr>
                <w:rFonts w:ascii="Arial" w:hAnsi="Arial" w:eastAsia="宋体" w:cs="Arial"/>
                <w:color w:val="auto"/>
                <w:sz w:val="21"/>
                <w:szCs w:val="21"/>
              </w:rPr>
            </w:pPr>
            <w:r>
              <w:rPr>
                <w:rFonts w:hint="eastAsia" w:ascii="Arial" w:hAnsi="Arial" w:eastAsia="宋体" w:cs="Arial"/>
                <w:color w:val="auto"/>
                <w:sz w:val="21"/>
                <w:szCs w:val="21"/>
              </w:rPr>
              <w:t>3</w:t>
            </w:r>
          </w:p>
        </w:tc>
        <w:tc>
          <w:tcPr>
            <w:tcW w:w="1188" w:type="dxa"/>
            <w:noWrap w:val="0"/>
            <w:vAlign w:val="center"/>
          </w:tcPr>
          <w:p w14:paraId="780BFB99">
            <w:pPr>
              <w:spacing w:after="0" w:line="400" w:lineRule="exact"/>
              <w:jc w:val="center"/>
              <w:rPr>
                <w:rFonts w:ascii="Arial" w:hAnsi="Arial" w:eastAsia="宋体" w:cs="Arial"/>
                <w:color w:val="auto"/>
                <w:sz w:val="21"/>
                <w:szCs w:val="21"/>
              </w:rPr>
            </w:pPr>
            <w:r>
              <w:rPr>
                <w:rFonts w:hint="eastAsia" w:ascii="Arial" w:hAnsi="Arial" w:eastAsia="宋体" w:cs="Arial"/>
                <w:color w:val="auto"/>
                <w:sz w:val="21"/>
                <w:szCs w:val="21"/>
              </w:rPr>
              <w:t>评标程序</w:t>
            </w:r>
          </w:p>
        </w:tc>
        <w:tc>
          <w:tcPr>
            <w:tcW w:w="7964" w:type="dxa"/>
            <w:gridSpan w:val="2"/>
            <w:noWrap w:val="0"/>
            <w:vAlign w:val="center"/>
          </w:tcPr>
          <w:p w14:paraId="2C3B504E">
            <w:pPr>
              <w:pStyle w:val="5"/>
              <w:topLinePunct/>
              <w:spacing w:after="0" w:line="400" w:lineRule="exact"/>
              <w:ind w:firstLine="315" w:firstLineChars="150"/>
              <w:rPr>
                <w:rFonts w:hint="eastAsia" w:ascii="Arial" w:hAnsi="Arial" w:cs="Arial"/>
                <w:iCs/>
                <w:kern w:val="2"/>
                <w:sz w:val="21"/>
                <w:szCs w:val="21"/>
              </w:rPr>
            </w:pPr>
            <w:r>
              <w:rPr>
                <w:rFonts w:hint="eastAsia" w:ascii="Arial" w:hAnsi="Arial" w:cs="Arial"/>
                <w:iCs/>
                <w:kern w:val="2"/>
                <w:sz w:val="21"/>
                <w:szCs w:val="21"/>
              </w:rPr>
              <w:t>第一步：资格审查。</w:t>
            </w:r>
          </w:p>
          <w:p w14:paraId="2FFEE0DE">
            <w:pPr>
              <w:pStyle w:val="5"/>
              <w:topLinePunct/>
              <w:spacing w:after="0" w:line="400" w:lineRule="exact"/>
              <w:ind w:firstLine="315" w:firstLineChars="150"/>
              <w:rPr>
                <w:rFonts w:ascii="Arial" w:hAnsi="Arial" w:cs="Arial"/>
                <w:iCs/>
                <w:kern w:val="2"/>
                <w:sz w:val="21"/>
                <w:szCs w:val="21"/>
              </w:rPr>
            </w:pPr>
            <w:r>
              <w:rPr>
                <w:rFonts w:hint="eastAsia" w:ascii="Arial" w:hAnsi="Arial" w:cs="Arial"/>
                <w:iCs/>
                <w:kern w:val="2"/>
                <w:sz w:val="21"/>
                <w:szCs w:val="21"/>
              </w:rPr>
              <w:t>第二步：技术资信标评审（首先进行技术资信标的初步评审，再进行详细评审并根据评分标准评分）。</w:t>
            </w:r>
          </w:p>
          <w:p w14:paraId="57D3E86A">
            <w:pPr>
              <w:pStyle w:val="5"/>
              <w:topLinePunct/>
              <w:spacing w:after="0" w:line="400" w:lineRule="exact"/>
              <w:ind w:firstLine="315" w:firstLineChars="150"/>
              <w:rPr>
                <w:rFonts w:hint="eastAsia" w:ascii="Arial" w:hAnsi="Arial" w:cs="Arial"/>
                <w:iCs/>
                <w:kern w:val="2"/>
                <w:sz w:val="21"/>
                <w:szCs w:val="21"/>
              </w:rPr>
            </w:pPr>
            <w:r>
              <w:rPr>
                <w:rFonts w:hint="eastAsia" w:ascii="Arial" w:hAnsi="Arial" w:cs="Arial"/>
                <w:iCs/>
                <w:kern w:val="2"/>
                <w:sz w:val="21"/>
                <w:szCs w:val="21"/>
              </w:rPr>
              <w:t>第三步：商务标评审（首先进行商务标的初步评审，再进行详细评审并根据评分标准评分）</w:t>
            </w:r>
          </w:p>
          <w:p w14:paraId="01E18C19">
            <w:pPr>
              <w:pStyle w:val="5"/>
              <w:topLinePunct/>
              <w:spacing w:after="0" w:line="400" w:lineRule="exact"/>
              <w:ind w:firstLine="315" w:firstLineChars="150"/>
              <w:rPr>
                <w:rFonts w:ascii="Arial" w:hAnsi="Arial" w:cs="Arial"/>
                <w:kern w:val="2"/>
                <w:sz w:val="21"/>
                <w:szCs w:val="21"/>
              </w:rPr>
            </w:pPr>
            <w:r>
              <w:rPr>
                <w:rFonts w:hint="eastAsia" w:ascii="Arial" w:hAnsi="Arial" w:cs="Arial"/>
                <w:iCs/>
                <w:kern w:val="2"/>
                <w:sz w:val="21"/>
                <w:szCs w:val="21"/>
              </w:rPr>
              <w:t>第四步：计算各投标人的得分</w:t>
            </w:r>
            <w:r>
              <w:rPr>
                <w:rFonts w:ascii="Arial" w:hAnsi="Arial" w:cs="Arial"/>
                <w:iCs/>
                <w:kern w:val="2"/>
                <w:sz w:val="21"/>
                <w:szCs w:val="21"/>
              </w:rPr>
              <w:t>=A+B</w:t>
            </w:r>
          </w:p>
        </w:tc>
      </w:tr>
    </w:tbl>
    <w:p w14:paraId="427A86FD">
      <w:pPr>
        <w:spacing w:after="118" w:line="265" w:lineRule="auto"/>
        <w:ind w:left="430" w:right="590" w:hanging="10"/>
        <w:rPr>
          <w:rFonts w:ascii="Arial" w:hAnsi="Arial" w:cs="Arial"/>
          <w:color w:val="auto"/>
          <w:szCs w:val="21"/>
        </w:rPr>
      </w:pPr>
    </w:p>
    <w:p w14:paraId="080480EC">
      <w:pPr>
        <w:spacing w:after="0" w:line="240" w:lineRule="auto"/>
        <w:rPr>
          <w:rFonts w:ascii="Arial" w:hAnsi="Arial" w:cs="Arial"/>
          <w:color w:val="auto"/>
          <w:szCs w:val="21"/>
        </w:rPr>
      </w:pPr>
      <w:r>
        <w:rPr>
          <w:rFonts w:ascii="Arial" w:hAnsi="Arial" w:cs="Arial"/>
          <w:color w:val="auto"/>
          <w:szCs w:val="21"/>
        </w:rPr>
        <w:br w:type="page"/>
      </w:r>
    </w:p>
    <w:p w14:paraId="2800B9B5">
      <w:pPr>
        <w:widowControl w:val="0"/>
        <w:numPr>
          <w:ilvl w:val="0"/>
          <w:numId w:val="1"/>
        </w:numPr>
        <w:kinsoku w:val="0"/>
        <w:autoSpaceDE w:val="0"/>
        <w:autoSpaceDN w:val="0"/>
        <w:adjustRightInd w:val="0"/>
        <w:snapToGrid w:val="0"/>
        <w:spacing w:after="0" w:line="460" w:lineRule="exact"/>
        <w:ind w:firstLine="541" w:firstLineChars="245"/>
        <w:jc w:val="both"/>
        <w:textAlignment w:val="baseline"/>
        <w:outlineLvl w:val="1"/>
        <w:rPr>
          <w:rFonts w:ascii="宋体" w:hAnsi="宋体" w:eastAsia="Arial" w:cs="宋体"/>
          <w:b/>
          <w:snapToGrid w:val="0"/>
          <w:color w:val="auto"/>
          <w:kern w:val="0"/>
          <w:lang w:eastAsia="en-US"/>
        </w:rPr>
      </w:pPr>
      <w:bookmarkStart w:id="5" w:name="_Toc11450"/>
      <w:bookmarkStart w:id="6" w:name="_Toc13052"/>
      <w:bookmarkStart w:id="7" w:name="_Toc1535"/>
      <w:bookmarkStart w:id="8" w:name="OLE_LINK2"/>
      <w:bookmarkStart w:id="9" w:name="OLE_LINK1"/>
      <w:r>
        <w:rPr>
          <w:rFonts w:hint="eastAsia" w:ascii="宋体" w:hAnsi="宋体" w:eastAsia="宋体" w:cs="宋体"/>
          <w:b/>
          <w:snapToGrid w:val="0"/>
          <w:color w:val="auto"/>
          <w:kern w:val="0"/>
          <w:lang w:eastAsia="en-US"/>
        </w:rPr>
        <w:t>评分细则</w:t>
      </w:r>
      <w:bookmarkEnd w:id="5"/>
      <w:bookmarkEnd w:id="6"/>
      <w:bookmarkEnd w:id="7"/>
    </w:p>
    <w:p w14:paraId="44E46854">
      <w:pPr>
        <w:kinsoku w:val="0"/>
        <w:autoSpaceDE w:val="0"/>
        <w:autoSpaceDN w:val="0"/>
        <w:adjustRightInd w:val="0"/>
        <w:snapToGrid w:val="0"/>
        <w:spacing w:after="0" w:line="460" w:lineRule="exact"/>
        <w:ind w:firstLine="539" w:firstLineChars="245"/>
        <w:textAlignment w:val="baseline"/>
        <w:rPr>
          <w:rFonts w:ascii="宋体" w:hAnsi="宋体" w:eastAsia="Arial" w:cs="宋体"/>
          <w:b/>
          <w:snapToGrid w:val="0"/>
          <w:color w:val="auto"/>
          <w:kern w:val="0"/>
        </w:rPr>
      </w:pPr>
      <w:r>
        <w:rPr>
          <w:rFonts w:hint="eastAsia" w:ascii="宋体" w:hAnsi="宋体" w:eastAsia="Arial" w:cs="宋体"/>
          <w:b/>
          <w:snapToGrid w:val="0"/>
          <w:color w:val="auto"/>
          <w:kern w:val="0"/>
        </w:rPr>
        <w:t>1</w:t>
      </w:r>
      <w:r>
        <w:rPr>
          <w:rFonts w:hint="eastAsia" w:ascii="宋体" w:hAnsi="宋体" w:eastAsia="宋体" w:cs="宋体"/>
          <w:b/>
          <w:snapToGrid w:val="0"/>
          <w:color w:val="auto"/>
          <w:kern w:val="0"/>
        </w:rPr>
        <w:t>、技术资信</w:t>
      </w:r>
      <w:r>
        <w:rPr>
          <w:rFonts w:hint="eastAsia" w:ascii="宋体" w:hAnsi="宋体" w:eastAsia="宋体" w:cs="宋体"/>
          <w:b/>
          <w:snapToGrid w:val="0"/>
          <w:color w:val="auto"/>
          <w:kern w:val="0"/>
        </w:rPr>
        <w:t>分的评定：技术标70</w:t>
      </w:r>
      <w:r>
        <w:rPr>
          <w:rFonts w:hint="eastAsia" w:ascii="宋体" w:hAnsi="宋体" w:eastAsia="宋体" w:cs="宋体"/>
          <w:b/>
          <w:snapToGrid w:val="0"/>
          <w:color w:val="auto"/>
          <w:kern w:val="0"/>
        </w:rPr>
        <w:t>分（权值</w:t>
      </w:r>
      <w:r>
        <w:rPr>
          <w:rFonts w:hint="eastAsia" w:ascii="宋体" w:hAnsi="宋体" w:eastAsia="Arial" w:cs="宋体"/>
          <w:b/>
          <w:snapToGrid w:val="0"/>
          <w:color w:val="auto"/>
          <w:kern w:val="0"/>
        </w:rPr>
        <w:t>70%</w:t>
      </w:r>
      <w:r>
        <w:rPr>
          <w:rFonts w:hint="eastAsia" w:ascii="宋体" w:hAnsi="宋体" w:eastAsia="宋体" w:cs="宋体"/>
          <w:b/>
          <w:snapToGrid w:val="0"/>
          <w:color w:val="auto"/>
          <w:kern w:val="0"/>
        </w:rPr>
        <w:t>）</w:t>
      </w:r>
    </w:p>
    <w:p w14:paraId="335F003D">
      <w:pPr>
        <w:kinsoku w:val="0"/>
        <w:autoSpaceDE w:val="0"/>
        <w:autoSpaceDN w:val="0"/>
        <w:adjustRightInd w:val="0"/>
        <w:snapToGrid w:val="0"/>
        <w:spacing w:after="0" w:line="460" w:lineRule="exact"/>
        <w:ind w:firstLine="539" w:firstLineChars="245"/>
        <w:textAlignment w:val="baseline"/>
        <w:rPr>
          <w:rFonts w:hint="eastAsia" w:ascii="宋体" w:hAnsi="宋体" w:eastAsia="Arial" w:cs="宋体"/>
          <w:snapToGrid w:val="0"/>
          <w:color w:val="auto"/>
          <w:kern w:val="0"/>
        </w:rPr>
      </w:pPr>
      <w:r>
        <w:rPr>
          <w:rFonts w:hint="eastAsia" w:ascii="宋体" w:hAnsi="宋体" w:eastAsia="宋体" w:cs="宋体"/>
          <w:snapToGrid w:val="0"/>
          <w:color w:val="auto"/>
          <w:kern w:val="0"/>
        </w:rPr>
        <w:t>评标委员会按评标办法前附表规定评分细则对各投标人的技术资信标进行独立评审打分，对评标委员会成员各项打分汇总的分数里去掉一个最高分和一个最低分后的算术平均值为最终得分（计算最终得分值时保留二位小数，第三位四舍五入），评标委员会成员应对自己的打分结果签名认可，评标委员会成员的评分有明显错误的，需重新评分。。</w:t>
      </w:r>
    </w:p>
    <w:tbl>
      <w:tblPr>
        <w:tblStyle w:val="7"/>
        <w:tblpPr w:leftFromText="180" w:rightFromText="180" w:vertAnchor="text" w:horzAnchor="page" w:tblpXSpec="center" w:tblpY="288"/>
        <w:tblOverlap w:val="never"/>
        <w:tblW w:w="9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333"/>
        <w:gridCol w:w="6472"/>
        <w:gridCol w:w="968"/>
      </w:tblGrid>
      <w:tr w14:paraId="4AD0D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2" w:type="dxa"/>
            <w:noWrap w:val="0"/>
            <w:vAlign w:val="center"/>
          </w:tcPr>
          <w:p w14:paraId="600EEE95">
            <w:pPr>
              <w:widowControl w:val="0"/>
              <w:adjustRightInd w:val="0"/>
              <w:snapToGrid w:val="0"/>
              <w:spacing w:after="0" w:line="360" w:lineRule="auto"/>
              <w:jc w:val="center"/>
              <w:rPr>
                <w:rFonts w:hint="eastAsia" w:ascii="宋体" w:hAnsi="宋体" w:eastAsia="宋体" w:cs="宋体"/>
                <w:b/>
                <w:snapToGrid w:val="0"/>
                <w:color w:val="auto"/>
                <w:kern w:val="0"/>
                <w:sz w:val="24"/>
                <w:szCs w:val="24"/>
                <w:lang w:eastAsia="en-US"/>
              </w:rPr>
            </w:pPr>
            <w:r>
              <w:rPr>
                <w:rFonts w:hint="eastAsia" w:ascii="宋体" w:hAnsi="宋体" w:eastAsia="宋体" w:cs="宋体"/>
                <w:b/>
                <w:snapToGrid w:val="0"/>
                <w:color w:val="auto"/>
                <w:kern w:val="0"/>
                <w:sz w:val="24"/>
                <w:szCs w:val="24"/>
                <w:lang w:eastAsia="en-US"/>
              </w:rPr>
              <w:t>序号</w:t>
            </w:r>
          </w:p>
        </w:tc>
        <w:tc>
          <w:tcPr>
            <w:tcW w:w="7805" w:type="dxa"/>
            <w:gridSpan w:val="2"/>
            <w:noWrap w:val="0"/>
            <w:vAlign w:val="center"/>
          </w:tcPr>
          <w:p w14:paraId="47B3E05E">
            <w:pPr>
              <w:widowControl w:val="0"/>
              <w:adjustRightInd w:val="0"/>
              <w:snapToGrid w:val="0"/>
              <w:spacing w:after="0" w:line="360" w:lineRule="auto"/>
              <w:jc w:val="center"/>
              <w:rPr>
                <w:rFonts w:hint="eastAsia" w:ascii="宋体" w:hAnsi="宋体" w:eastAsia="宋体" w:cs="宋体"/>
                <w:b/>
                <w:snapToGrid w:val="0"/>
                <w:color w:val="auto"/>
                <w:kern w:val="0"/>
                <w:sz w:val="24"/>
                <w:szCs w:val="24"/>
                <w:lang w:eastAsia="en-US"/>
              </w:rPr>
            </w:pPr>
            <w:r>
              <w:rPr>
                <w:rFonts w:hint="eastAsia" w:ascii="宋体" w:hAnsi="宋体" w:eastAsia="宋体" w:cs="宋体"/>
                <w:b/>
                <w:snapToGrid w:val="0"/>
                <w:color w:val="auto"/>
                <w:kern w:val="0"/>
                <w:sz w:val="24"/>
                <w:szCs w:val="24"/>
                <w:lang w:eastAsia="en-US"/>
              </w:rPr>
              <w:t>评审内容</w:t>
            </w:r>
          </w:p>
        </w:tc>
        <w:tc>
          <w:tcPr>
            <w:tcW w:w="968" w:type="dxa"/>
            <w:noWrap w:val="0"/>
            <w:vAlign w:val="center"/>
          </w:tcPr>
          <w:p w14:paraId="1CFED52F">
            <w:pPr>
              <w:widowControl w:val="0"/>
              <w:adjustRightInd w:val="0"/>
              <w:snapToGrid w:val="0"/>
              <w:spacing w:after="0" w:line="360" w:lineRule="auto"/>
              <w:jc w:val="center"/>
              <w:rPr>
                <w:rFonts w:hint="eastAsia" w:ascii="宋体" w:hAnsi="宋体" w:eastAsia="宋体" w:cs="宋体"/>
                <w:b/>
                <w:snapToGrid w:val="0"/>
                <w:color w:val="auto"/>
                <w:kern w:val="0"/>
                <w:sz w:val="24"/>
                <w:szCs w:val="24"/>
                <w:lang w:eastAsia="en-US"/>
              </w:rPr>
            </w:pPr>
            <w:r>
              <w:rPr>
                <w:rFonts w:hint="eastAsia" w:ascii="宋体" w:hAnsi="宋体" w:eastAsia="宋体" w:cs="宋体"/>
                <w:b/>
                <w:snapToGrid w:val="0"/>
                <w:color w:val="auto"/>
                <w:kern w:val="0"/>
                <w:sz w:val="24"/>
                <w:szCs w:val="24"/>
                <w:lang w:eastAsia="en-US"/>
              </w:rPr>
              <w:t>分值（分）</w:t>
            </w:r>
          </w:p>
        </w:tc>
      </w:tr>
      <w:tr w14:paraId="2F88C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72" w:type="dxa"/>
            <w:noWrap w:val="0"/>
            <w:vAlign w:val="center"/>
          </w:tcPr>
          <w:p w14:paraId="330ED3F7">
            <w:pPr>
              <w:kinsoku w:val="0"/>
              <w:autoSpaceDE w:val="0"/>
              <w:autoSpaceDN w:val="0"/>
              <w:adjustRightInd w:val="0"/>
              <w:snapToGrid w:val="0"/>
              <w:spacing w:after="0" w:line="360" w:lineRule="auto"/>
              <w:jc w:val="center"/>
              <w:textAlignment w:val="baseline"/>
              <w:rPr>
                <w:rFonts w:hint="eastAsia"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1</w:t>
            </w:r>
          </w:p>
        </w:tc>
        <w:tc>
          <w:tcPr>
            <w:tcW w:w="1333" w:type="dxa"/>
            <w:noWrap w:val="0"/>
            <w:vAlign w:val="center"/>
          </w:tcPr>
          <w:p w14:paraId="54808D26">
            <w:pPr>
              <w:kinsoku w:val="0"/>
              <w:autoSpaceDE w:val="0"/>
              <w:autoSpaceDN w:val="0"/>
              <w:adjustRightInd w:val="0"/>
              <w:snapToGrid w:val="0"/>
              <w:spacing w:after="0" w:line="240" w:lineRule="auto"/>
              <w:jc w:val="center"/>
              <w:textAlignment w:val="baseline"/>
              <w:rPr>
                <w:rFonts w:hint="eastAsia" w:ascii="宋体" w:hAnsi="宋体" w:eastAsia="宋体" w:cs="宋体"/>
                <w:bCs/>
                <w:snapToGrid w:val="0"/>
                <w:color w:val="auto"/>
                <w:kern w:val="0"/>
                <w:sz w:val="24"/>
                <w:szCs w:val="24"/>
              </w:rPr>
            </w:pPr>
            <w:r>
              <w:rPr>
                <w:rFonts w:hint="eastAsia" w:ascii="宋体" w:hAnsi="宋体" w:eastAsia="宋体" w:cs="宋体"/>
                <w:snapToGrid w:val="0"/>
                <w:spacing w:val="6"/>
                <w:kern w:val="0"/>
                <w:sz w:val="24"/>
                <w:szCs w:val="24"/>
                <w:lang w:eastAsia="en-US"/>
              </w:rPr>
              <w:t>业主意向</w:t>
            </w:r>
          </w:p>
        </w:tc>
        <w:tc>
          <w:tcPr>
            <w:tcW w:w="6472" w:type="dxa"/>
            <w:noWrap w:val="0"/>
            <w:vAlign w:val="center"/>
          </w:tcPr>
          <w:p w14:paraId="6BEBE7C9">
            <w:pPr>
              <w:keepNext/>
              <w:keepLines/>
              <w:kinsoku w:val="0"/>
              <w:autoSpaceDE w:val="0"/>
              <w:autoSpaceDN w:val="0"/>
              <w:adjustRightInd w:val="0"/>
              <w:snapToGrid w:val="0"/>
              <w:spacing w:after="0" w:line="240" w:lineRule="auto"/>
              <w:jc w:val="both"/>
              <w:textAlignment w:val="baseline"/>
              <w:outlineLvl w:val="0"/>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根据小区业主的意向：排名第一的品牌得7分；排名第二的品牌得4分；排名第三的得1分(由本小区业委会盖章确认，其余不得分)。</w:t>
            </w:r>
          </w:p>
        </w:tc>
        <w:tc>
          <w:tcPr>
            <w:tcW w:w="968" w:type="dxa"/>
            <w:noWrap w:val="0"/>
            <w:vAlign w:val="center"/>
          </w:tcPr>
          <w:p w14:paraId="1D723004">
            <w:pPr>
              <w:kinsoku w:val="0"/>
              <w:autoSpaceDE w:val="0"/>
              <w:autoSpaceDN w:val="0"/>
              <w:adjustRightInd w:val="0"/>
              <w:snapToGrid w:val="0"/>
              <w:spacing w:after="0" w:line="360" w:lineRule="auto"/>
              <w:jc w:val="center"/>
              <w:textAlignment w:val="baseline"/>
              <w:rPr>
                <w:rFonts w:hint="eastAsia"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0-7</w:t>
            </w:r>
          </w:p>
        </w:tc>
      </w:tr>
      <w:tr w14:paraId="1A823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72" w:type="dxa"/>
            <w:noWrap w:val="0"/>
            <w:vAlign w:val="center"/>
          </w:tcPr>
          <w:p w14:paraId="0C7FA952">
            <w:pPr>
              <w:kinsoku w:val="0"/>
              <w:autoSpaceDE w:val="0"/>
              <w:autoSpaceDN w:val="0"/>
              <w:adjustRightInd w:val="0"/>
              <w:snapToGrid w:val="0"/>
              <w:spacing w:after="0" w:line="360" w:lineRule="auto"/>
              <w:jc w:val="center"/>
              <w:textAlignment w:val="baseline"/>
              <w:rPr>
                <w:rFonts w:hint="eastAsia"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2</w:t>
            </w:r>
          </w:p>
        </w:tc>
        <w:tc>
          <w:tcPr>
            <w:tcW w:w="1333" w:type="dxa"/>
            <w:noWrap w:val="0"/>
            <w:vAlign w:val="center"/>
          </w:tcPr>
          <w:p w14:paraId="03F0287F">
            <w:pPr>
              <w:kinsoku w:val="0"/>
              <w:autoSpaceDE w:val="0"/>
              <w:autoSpaceDN w:val="0"/>
              <w:adjustRightInd w:val="0"/>
              <w:snapToGrid w:val="0"/>
              <w:spacing w:after="0" w:line="240" w:lineRule="auto"/>
              <w:jc w:val="center"/>
              <w:textAlignment w:val="baseline"/>
              <w:rPr>
                <w:rFonts w:hint="eastAsia" w:ascii="宋体" w:hAnsi="宋体" w:eastAsia="宋体" w:cs="宋体"/>
                <w:snapToGrid w:val="0"/>
                <w:spacing w:val="6"/>
                <w:kern w:val="0"/>
                <w:sz w:val="24"/>
                <w:szCs w:val="24"/>
              </w:rPr>
            </w:pPr>
            <w:r>
              <w:rPr>
                <w:rFonts w:hint="eastAsia" w:ascii="宋体" w:hAnsi="宋体" w:eastAsia="宋体" w:cs="宋体"/>
                <w:snapToGrid w:val="0"/>
                <w:spacing w:val="6"/>
                <w:kern w:val="0"/>
                <w:sz w:val="24"/>
                <w:szCs w:val="24"/>
              </w:rPr>
              <w:t>品牌制造商电梯许可制造能力</w:t>
            </w:r>
          </w:p>
        </w:tc>
        <w:tc>
          <w:tcPr>
            <w:tcW w:w="6472" w:type="dxa"/>
            <w:noWrap w:val="0"/>
            <w:vAlign w:val="center"/>
          </w:tcPr>
          <w:p w14:paraId="640DC3FA">
            <w:pPr>
              <w:keepNext/>
              <w:keepLines/>
              <w:kinsoku w:val="0"/>
              <w:autoSpaceDE w:val="0"/>
              <w:autoSpaceDN w:val="0"/>
              <w:adjustRightInd w:val="0"/>
              <w:snapToGrid w:val="0"/>
              <w:spacing w:after="0" w:line="240" w:lineRule="auto"/>
              <w:jc w:val="both"/>
              <w:textAlignment w:val="baseline"/>
              <w:outlineLvl w:val="0"/>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所投品牌电梯制造商的“特种设备制造许可证”或者投标品牌型式试验报告上曳引式乘客电梯的最大许可速度最高可达10.0m/s的得5分，最高可达8.0m/s的得3分，其余得1分。</w:t>
            </w:r>
          </w:p>
        </w:tc>
        <w:tc>
          <w:tcPr>
            <w:tcW w:w="968" w:type="dxa"/>
            <w:noWrap w:val="0"/>
            <w:vAlign w:val="center"/>
          </w:tcPr>
          <w:p w14:paraId="1E4517BD">
            <w:pPr>
              <w:kinsoku w:val="0"/>
              <w:autoSpaceDE w:val="0"/>
              <w:autoSpaceDN w:val="0"/>
              <w:adjustRightInd w:val="0"/>
              <w:snapToGrid w:val="0"/>
              <w:spacing w:after="0" w:line="360" w:lineRule="auto"/>
              <w:jc w:val="center"/>
              <w:textAlignment w:val="baseline"/>
              <w:rPr>
                <w:rFonts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0-5</w:t>
            </w:r>
          </w:p>
        </w:tc>
      </w:tr>
      <w:tr w14:paraId="16D3A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572" w:type="dxa"/>
            <w:noWrap w:val="0"/>
            <w:vAlign w:val="center"/>
          </w:tcPr>
          <w:p w14:paraId="627B2DF1">
            <w:pPr>
              <w:kinsoku w:val="0"/>
              <w:autoSpaceDE w:val="0"/>
              <w:autoSpaceDN w:val="0"/>
              <w:adjustRightInd w:val="0"/>
              <w:snapToGrid w:val="0"/>
              <w:spacing w:after="0" w:line="240" w:lineRule="auto"/>
              <w:jc w:val="center"/>
              <w:textAlignment w:val="baseline"/>
              <w:rPr>
                <w:rFonts w:hint="eastAsia"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3</w:t>
            </w:r>
          </w:p>
        </w:tc>
        <w:tc>
          <w:tcPr>
            <w:tcW w:w="1333" w:type="dxa"/>
            <w:noWrap w:val="0"/>
            <w:vAlign w:val="center"/>
          </w:tcPr>
          <w:p w14:paraId="5F22C016">
            <w:pPr>
              <w:kinsoku w:val="0"/>
              <w:autoSpaceDE w:val="0"/>
              <w:autoSpaceDN w:val="0"/>
              <w:adjustRightInd w:val="0"/>
              <w:snapToGrid w:val="0"/>
              <w:spacing w:after="0" w:line="240" w:lineRule="auto"/>
              <w:jc w:val="center"/>
              <w:textAlignment w:val="baseline"/>
              <w:rPr>
                <w:rFonts w:hint="eastAsia" w:ascii="宋体" w:hAnsi="宋体" w:eastAsia="宋体" w:cs="宋体"/>
                <w:snapToGrid w:val="0"/>
                <w:spacing w:val="6"/>
                <w:kern w:val="0"/>
                <w:sz w:val="24"/>
                <w:szCs w:val="24"/>
              </w:rPr>
            </w:pPr>
            <w:r>
              <w:rPr>
                <w:rFonts w:hint="eastAsia" w:ascii="宋体" w:hAnsi="宋体" w:eastAsia="宋体" w:cs="宋体"/>
                <w:snapToGrid w:val="0"/>
                <w:spacing w:val="6"/>
                <w:kern w:val="0"/>
                <w:sz w:val="24"/>
                <w:szCs w:val="24"/>
              </w:rPr>
              <w:t>投标品牌制造商规模和生产能力</w:t>
            </w:r>
          </w:p>
        </w:tc>
        <w:tc>
          <w:tcPr>
            <w:tcW w:w="6472" w:type="dxa"/>
            <w:noWrap w:val="0"/>
            <w:vAlign w:val="center"/>
          </w:tcPr>
          <w:p w14:paraId="5443D494">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投标品牌生产历史，市场占有率(2024年财务报表)横向对比评分；</w:t>
            </w:r>
          </w:p>
          <w:p w14:paraId="6925F729">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A档：3分；B档：2分；C档：1分。</w:t>
            </w:r>
          </w:p>
        </w:tc>
        <w:tc>
          <w:tcPr>
            <w:tcW w:w="968" w:type="dxa"/>
            <w:noWrap w:val="0"/>
            <w:vAlign w:val="center"/>
          </w:tcPr>
          <w:p w14:paraId="5C7C4F46">
            <w:pPr>
              <w:kinsoku w:val="0"/>
              <w:autoSpaceDE w:val="0"/>
              <w:autoSpaceDN w:val="0"/>
              <w:adjustRightInd w:val="0"/>
              <w:snapToGrid w:val="0"/>
              <w:spacing w:after="0" w:line="240" w:lineRule="auto"/>
              <w:jc w:val="center"/>
              <w:textAlignment w:val="baseline"/>
              <w:rPr>
                <w:rFonts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0-3</w:t>
            </w:r>
          </w:p>
        </w:tc>
      </w:tr>
      <w:tr w14:paraId="50041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572" w:type="dxa"/>
            <w:vMerge w:val="restart"/>
            <w:noWrap w:val="0"/>
            <w:vAlign w:val="center"/>
          </w:tcPr>
          <w:p w14:paraId="54A8186E">
            <w:pPr>
              <w:kinsoku w:val="0"/>
              <w:autoSpaceDE w:val="0"/>
              <w:autoSpaceDN w:val="0"/>
              <w:adjustRightInd w:val="0"/>
              <w:snapToGrid w:val="0"/>
              <w:spacing w:after="0" w:line="240" w:lineRule="auto"/>
              <w:jc w:val="center"/>
              <w:textAlignment w:val="baseline"/>
              <w:rPr>
                <w:rFonts w:hint="eastAsia"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4</w:t>
            </w:r>
          </w:p>
        </w:tc>
        <w:tc>
          <w:tcPr>
            <w:tcW w:w="1333" w:type="dxa"/>
            <w:vMerge w:val="restart"/>
            <w:noWrap w:val="0"/>
            <w:vAlign w:val="center"/>
          </w:tcPr>
          <w:p w14:paraId="4F8B9CE4">
            <w:pPr>
              <w:kinsoku w:val="0"/>
              <w:autoSpaceDE w:val="0"/>
              <w:autoSpaceDN w:val="0"/>
              <w:adjustRightInd w:val="0"/>
              <w:snapToGrid w:val="0"/>
              <w:spacing w:after="0" w:line="240" w:lineRule="auto"/>
              <w:jc w:val="center"/>
              <w:textAlignment w:val="baseline"/>
              <w:rPr>
                <w:rFonts w:hint="eastAsia" w:ascii="宋体" w:hAnsi="宋体" w:eastAsia="宋体" w:cs="宋体"/>
                <w:snapToGrid w:val="0"/>
                <w:spacing w:val="6"/>
                <w:kern w:val="0"/>
                <w:sz w:val="24"/>
                <w:szCs w:val="24"/>
              </w:rPr>
            </w:pPr>
            <w:r>
              <w:rPr>
                <w:rFonts w:hint="eastAsia" w:ascii="宋体" w:hAnsi="宋体" w:eastAsia="宋体" w:cs="宋体"/>
                <w:snapToGrid w:val="0"/>
                <w:spacing w:val="6"/>
                <w:kern w:val="0"/>
                <w:sz w:val="24"/>
                <w:szCs w:val="24"/>
              </w:rPr>
              <w:t>曳引机</w:t>
            </w:r>
          </w:p>
        </w:tc>
        <w:tc>
          <w:tcPr>
            <w:tcW w:w="6472" w:type="dxa"/>
            <w:noWrap w:val="0"/>
            <w:vAlign w:val="center"/>
          </w:tcPr>
          <w:p w14:paraId="0B73369C">
            <w:pPr>
              <w:numPr>
                <w:ilvl w:val="0"/>
                <w:numId w:val="2"/>
              </w:num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客梯曳引机整机为合资品牌原厂生产的得6分；</w:t>
            </w:r>
          </w:p>
          <w:p w14:paraId="5C14579D">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②客梯曳引机整机为原品牌的得2分；</w:t>
            </w:r>
          </w:p>
          <w:p w14:paraId="5C50A9A7">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③其余的得0.5分。</w:t>
            </w:r>
          </w:p>
        </w:tc>
        <w:tc>
          <w:tcPr>
            <w:tcW w:w="968" w:type="dxa"/>
            <w:noWrap w:val="0"/>
            <w:vAlign w:val="center"/>
          </w:tcPr>
          <w:p w14:paraId="452FAAD5">
            <w:pPr>
              <w:kinsoku w:val="0"/>
              <w:autoSpaceDE w:val="0"/>
              <w:autoSpaceDN w:val="0"/>
              <w:adjustRightInd w:val="0"/>
              <w:snapToGrid w:val="0"/>
              <w:spacing w:after="0" w:line="240" w:lineRule="auto"/>
              <w:jc w:val="center"/>
              <w:textAlignment w:val="baseline"/>
              <w:rPr>
                <w:rFonts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0-6</w:t>
            </w:r>
          </w:p>
        </w:tc>
      </w:tr>
      <w:tr w14:paraId="4BA78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572" w:type="dxa"/>
            <w:vMerge w:val="continue"/>
            <w:noWrap w:val="0"/>
            <w:vAlign w:val="center"/>
          </w:tcPr>
          <w:p w14:paraId="23E473AE">
            <w:pPr>
              <w:kinsoku w:val="0"/>
              <w:autoSpaceDE w:val="0"/>
              <w:autoSpaceDN w:val="0"/>
              <w:adjustRightInd w:val="0"/>
              <w:snapToGrid w:val="0"/>
              <w:spacing w:after="0" w:line="240" w:lineRule="auto"/>
              <w:jc w:val="center"/>
              <w:textAlignment w:val="baseline"/>
              <w:rPr>
                <w:rFonts w:hint="eastAsia" w:ascii="宋体" w:hAnsi="宋体" w:eastAsia="宋体" w:cs="宋体"/>
                <w:bCs/>
                <w:snapToGrid w:val="0"/>
                <w:color w:val="auto"/>
                <w:kern w:val="0"/>
                <w:sz w:val="24"/>
                <w:szCs w:val="24"/>
              </w:rPr>
            </w:pPr>
          </w:p>
        </w:tc>
        <w:tc>
          <w:tcPr>
            <w:tcW w:w="1333" w:type="dxa"/>
            <w:vMerge w:val="continue"/>
            <w:noWrap w:val="0"/>
            <w:vAlign w:val="center"/>
          </w:tcPr>
          <w:p w14:paraId="012529C9">
            <w:pPr>
              <w:kinsoku w:val="0"/>
              <w:autoSpaceDE w:val="0"/>
              <w:autoSpaceDN w:val="0"/>
              <w:adjustRightInd w:val="0"/>
              <w:snapToGrid w:val="0"/>
              <w:spacing w:after="0" w:line="240" w:lineRule="auto"/>
              <w:jc w:val="center"/>
              <w:textAlignment w:val="baseline"/>
              <w:rPr>
                <w:rFonts w:hint="eastAsia" w:ascii="宋体" w:hAnsi="宋体" w:eastAsia="宋体" w:cs="宋体"/>
                <w:snapToGrid w:val="0"/>
                <w:spacing w:val="6"/>
                <w:kern w:val="0"/>
                <w:sz w:val="24"/>
                <w:szCs w:val="24"/>
              </w:rPr>
            </w:pPr>
          </w:p>
        </w:tc>
        <w:tc>
          <w:tcPr>
            <w:tcW w:w="6472" w:type="dxa"/>
            <w:noWrap w:val="0"/>
            <w:vAlign w:val="center"/>
          </w:tcPr>
          <w:p w14:paraId="1B8BDBA9">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曳引机抱闸制动器使用寿命≥1900万次加4分；1900万次&gt;使用寿命≥900万次加2分；使用900万次&gt;使用寿命≥300万次加0.5分；其余不加分。</w:t>
            </w:r>
          </w:p>
          <w:p w14:paraId="7B666C05">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注：以提供国家电梯检测中心的检验报告或省级及以上特种设备检测研究院权威结构检测报告为准，复印件加盖公章。</w:t>
            </w:r>
          </w:p>
        </w:tc>
        <w:tc>
          <w:tcPr>
            <w:tcW w:w="968" w:type="dxa"/>
            <w:noWrap w:val="0"/>
            <w:vAlign w:val="center"/>
          </w:tcPr>
          <w:p w14:paraId="37C23CCE">
            <w:pPr>
              <w:kinsoku w:val="0"/>
              <w:autoSpaceDE w:val="0"/>
              <w:autoSpaceDN w:val="0"/>
              <w:adjustRightInd w:val="0"/>
              <w:snapToGrid w:val="0"/>
              <w:spacing w:after="0" w:line="240" w:lineRule="auto"/>
              <w:jc w:val="center"/>
              <w:textAlignment w:val="baseline"/>
              <w:rPr>
                <w:rFonts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0-4</w:t>
            </w:r>
          </w:p>
        </w:tc>
      </w:tr>
      <w:tr w14:paraId="4437BA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572" w:type="dxa"/>
            <w:vMerge w:val="continue"/>
            <w:noWrap w:val="0"/>
            <w:vAlign w:val="center"/>
          </w:tcPr>
          <w:p w14:paraId="359776F9">
            <w:pPr>
              <w:kinsoku w:val="0"/>
              <w:autoSpaceDE w:val="0"/>
              <w:autoSpaceDN w:val="0"/>
              <w:adjustRightInd w:val="0"/>
              <w:snapToGrid w:val="0"/>
              <w:spacing w:after="0" w:line="240" w:lineRule="auto"/>
              <w:jc w:val="center"/>
              <w:textAlignment w:val="baseline"/>
              <w:rPr>
                <w:rFonts w:hint="eastAsia" w:ascii="宋体" w:hAnsi="宋体" w:eastAsia="宋体" w:cs="宋体"/>
                <w:bCs/>
                <w:snapToGrid w:val="0"/>
                <w:color w:val="auto"/>
                <w:kern w:val="0"/>
                <w:sz w:val="24"/>
                <w:szCs w:val="24"/>
              </w:rPr>
            </w:pPr>
          </w:p>
        </w:tc>
        <w:tc>
          <w:tcPr>
            <w:tcW w:w="1333" w:type="dxa"/>
            <w:vMerge w:val="continue"/>
            <w:noWrap w:val="0"/>
            <w:vAlign w:val="center"/>
          </w:tcPr>
          <w:p w14:paraId="25FD5280">
            <w:pPr>
              <w:kinsoku w:val="0"/>
              <w:autoSpaceDE w:val="0"/>
              <w:autoSpaceDN w:val="0"/>
              <w:adjustRightInd w:val="0"/>
              <w:snapToGrid w:val="0"/>
              <w:spacing w:after="0" w:line="240" w:lineRule="auto"/>
              <w:jc w:val="center"/>
              <w:textAlignment w:val="baseline"/>
              <w:rPr>
                <w:rFonts w:hint="eastAsia" w:ascii="宋体" w:hAnsi="宋体" w:eastAsia="宋体" w:cs="宋体"/>
                <w:snapToGrid w:val="0"/>
                <w:spacing w:val="6"/>
                <w:kern w:val="0"/>
                <w:sz w:val="24"/>
                <w:szCs w:val="24"/>
              </w:rPr>
            </w:pPr>
          </w:p>
        </w:tc>
        <w:tc>
          <w:tcPr>
            <w:tcW w:w="6472" w:type="dxa"/>
            <w:noWrap w:val="0"/>
            <w:vAlign w:val="center"/>
          </w:tcPr>
          <w:p w14:paraId="4FA868CC">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根据投标产品曳引机的防护等级进行打分；IP防护等级达到IP41及以上的得5分；IP防护等级达到IP31的得2分；其余不得分。</w:t>
            </w:r>
          </w:p>
          <w:p w14:paraId="1CAA3A26">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注：提供产品的型式检验报告复印件加盖公章，未提供不得分。</w:t>
            </w:r>
          </w:p>
        </w:tc>
        <w:tc>
          <w:tcPr>
            <w:tcW w:w="968" w:type="dxa"/>
            <w:noWrap w:val="0"/>
            <w:vAlign w:val="center"/>
          </w:tcPr>
          <w:p w14:paraId="4FEE93E9">
            <w:pPr>
              <w:kinsoku w:val="0"/>
              <w:autoSpaceDE w:val="0"/>
              <w:autoSpaceDN w:val="0"/>
              <w:adjustRightInd w:val="0"/>
              <w:snapToGrid w:val="0"/>
              <w:spacing w:after="0" w:line="240" w:lineRule="auto"/>
              <w:jc w:val="center"/>
              <w:textAlignment w:val="baseline"/>
              <w:rPr>
                <w:rFonts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0-5</w:t>
            </w:r>
          </w:p>
        </w:tc>
      </w:tr>
      <w:tr w14:paraId="47977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572" w:type="dxa"/>
            <w:noWrap w:val="0"/>
            <w:vAlign w:val="center"/>
          </w:tcPr>
          <w:p w14:paraId="7CBF4634">
            <w:pPr>
              <w:kinsoku w:val="0"/>
              <w:autoSpaceDE w:val="0"/>
              <w:autoSpaceDN w:val="0"/>
              <w:adjustRightInd w:val="0"/>
              <w:snapToGrid w:val="0"/>
              <w:spacing w:after="0" w:line="360" w:lineRule="auto"/>
              <w:jc w:val="center"/>
              <w:textAlignment w:val="baseline"/>
              <w:rPr>
                <w:rFonts w:hint="eastAsia"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5</w:t>
            </w:r>
          </w:p>
        </w:tc>
        <w:tc>
          <w:tcPr>
            <w:tcW w:w="1333" w:type="dxa"/>
            <w:noWrap w:val="0"/>
            <w:vAlign w:val="center"/>
          </w:tcPr>
          <w:p w14:paraId="7AB08233">
            <w:pPr>
              <w:kinsoku w:val="0"/>
              <w:autoSpaceDE w:val="0"/>
              <w:autoSpaceDN w:val="0"/>
              <w:adjustRightInd w:val="0"/>
              <w:snapToGrid w:val="0"/>
              <w:spacing w:after="0" w:line="240" w:lineRule="auto"/>
              <w:jc w:val="center"/>
              <w:textAlignment w:val="baseline"/>
              <w:rPr>
                <w:rFonts w:hint="eastAsia" w:ascii="宋体" w:hAnsi="宋体" w:eastAsia="宋体" w:cs="宋体"/>
                <w:snapToGrid w:val="0"/>
                <w:spacing w:val="6"/>
                <w:kern w:val="0"/>
                <w:sz w:val="24"/>
                <w:szCs w:val="24"/>
              </w:rPr>
            </w:pPr>
            <w:r>
              <w:rPr>
                <w:rFonts w:hint="eastAsia" w:ascii="宋体" w:hAnsi="宋体" w:eastAsia="宋体" w:cs="宋体"/>
                <w:snapToGrid w:val="0"/>
                <w:spacing w:val="6"/>
                <w:kern w:val="0"/>
                <w:sz w:val="24"/>
                <w:szCs w:val="24"/>
              </w:rPr>
              <w:t>控制柜</w:t>
            </w:r>
          </w:p>
        </w:tc>
        <w:tc>
          <w:tcPr>
            <w:tcW w:w="6472" w:type="dxa"/>
            <w:noWrap w:val="0"/>
            <w:vAlign w:val="center"/>
          </w:tcPr>
          <w:p w14:paraId="79F16E0D">
            <w:pPr>
              <w:numPr>
                <w:ilvl w:val="0"/>
                <w:numId w:val="3"/>
              </w:num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电梯控制柜为合资品牌原厂生产的得6分；</w:t>
            </w:r>
          </w:p>
          <w:p w14:paraId="04765688">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②电梯控制柜为原品牌的得2分；</w:t>
            </w:r>
          </w:p>
          <w:p w14:paraId="1098240C">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③其余的得0.5分。</w:t>
            </w:r>
          </w:p>
        </w:tc>
        <w:tc>
          <w:tcPr>
            <w:tcW w:w="968" w:type="dxa"/>
            <w:noWrap w:val="0"/>
            <w:vAlign w:val="center"/>
          </w:tcPr>
          <w:p w14:paraId="54F19267">
            <w:pPr>
              <w:kinsoku w:val="0"/>
              <w:autoSpaceDE w:val="0"/>
              <w:autoSpaceDN w:val="0"/>
              <w:adjustRightInd w:val="0"/>
              <w:snapToGrid w:val="0"/>
              <w:spacing w:after="0" w:line="360" w:lineRule="auto"/>
              <w:jc w:val="center"/>
              <w:textAlignment w:val="baseline"/>
              <w:rPr>
                <w:rFonts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0-6</w:t>
            </w:r>
          </w:p>
        </w:tc>
      </w:tr>
      <w:tr w14:paraId="106BE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572" w:type="dxa"/>
            <w:vMerge w:val="restart"/>
            <w:noWrap w:val="0"/>
            <w:vAlign w:val="center"/>
          </w:tcPr>
          <w:p w14:paraId="6E23CFE5">
            <w:pPr>
              <w:widowControl w:val="0"/>
              <w:adjustRightInd w:val="0"/>
              <w:snapToGrid w:val="0"/>
              <w:spacing w:after="0" w:line="360" w:lineRule="auto"/>
              <w:jc w:val="center"/>
              <w:rPr>
                <w:rFonts w:hint="eastAsia"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6</w:t>
            </w:r>
          </w:p>
        </w:tc>
        <w:tc>
          <w:tcPr>
            <w:tcW w:w="1333" w:type="dxa"/>
            <w:vMerge w:val="restart"/>
            <w:noWrap w:val="0"/>
            <w:vAlign w:val="center"/>
          </w:tcPr>
          <w:p w14:paraId="54A96038">
            <w:pPr>
              <w:kinsoku w:val="0"/>
              <w:autoSpaceDE w:val="0"/>
              <w:autoSpaceDN w:val="0"/>
              <w:adjustRightInd w:val="0"/>
              <w:snapToGrid w:val="0"/>
              <w:spacing w:after="0" w:line="240" w:lineRule="auto"/>
              <w:jc w:val="center"/>
              <w:textAlignment w:val="baseline"/>
              <w:rPr>
                <w:rFonts w:hint="eastAsia" w:ascii="宋体" w:hAnsi="宋体" w:eastAsia="宋体" w:cs="宋体"/>
                <w:snapToGrid w:val="0"/>
                <w:spacing w:val="6"/>
                <w:kern w:val="0"/>
                <w:sz w:val="24"/>
                <w:szCs w:val="24"/>
                <w:lang w:eastAsia="en-US"/>
              </w:rPr>
            </w:pPr>
            <w:r>
              <w:rPr>
                <w:rFonts w:hint="eastAsia" w:ascii="宋体" w:hAnsi="宋体" w:eastAsia="宋体" w:cs="宋体"/>
                <w:snapToGrid w:val="0"/>
                <w:spacing w:val="6"/>
                <w:kern w:val="0"/>
                <w:sz w:val="24"/>
                <w:szCs w:val="24"/>
                <w:lang w:eastAsia="en-US"/>
              </w:rPr>
              <w:t>门机</w:t>
            </w:r>
          </w:p>
        </w:tc>
        <w:tc>
          <w:tcPr>
            <w:tcW w:w="6472" w:type="dxa"/>
            <w:noWrap w:val="0"/>
            <w:vAlign w:val="center"/>
          </w:tcPr>
          <w:p w14:paraId="7C4EBDEE">
            <w:pPr>
              <w:numPr>
                <w:ilvl w:val="0"/>
                <w:numId w:val="4"/>
              </w:num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电梯门机整机为原品牌国原产地进口的</w:t>
            </w:r>
            <w:r>
              <w:rPr>
                <w:rFonts w:ascii="宋体" w:hAnsi="宋体" w:eastAsia="宋体" w:cs="宋体"/>
                <w:bCs/>
                <w:snapToGrid w:val="0"/>
                <w:color w:val="auto"/>
                <w:kern w:val="44"/>
                <w:sz w:val="24"/>
                <w:szCs w:val="24"/>
              </w:rPr>
              <w:t>(</w:t>
            </w:r>
            <w:r>
              <w:rPr>
                <w:rFonts w:hint="eastAsia" w:ascii="宋体" w:hAnsi="宋体" w:eastAsia="宋体" w:cs="宋体"/>
                <w:bCs/>
                <w:snapToGrid w:val="0"/>
                <w:color w:val="auto"/>
                <w:kern w:val="44"/>
                <w:sz w:val="24"/>
                <w:szCs w:val="24"/>
              </w:rPr>
              <w:t>电梯品牌发源地)得5分；</w:t>
            </w:r>
          </w:p>
          <w:p w14:paraId="2466F7D4">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②电梯门机整机为原品牌的得2分；</w:t>
            </w:r>
          </w:p>
          <w:p w14:paraId="2556AB5C">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③其余的得0.5分。</w:t>
            </w:r>
          </w:p>
        </w:tc>
        <w:tc>
          <w:tcPr>
            <w:tcW w:w="968" w:type="dxa"/>
            <w:vMerge w:val="restart"/>
            <w:noWrap w:val="0"/>
            <w:vAlign w:val="center"/>
          </w:tcPr>
          <w:p w14:paraId="5854D19B">
            <w:pPr>
              <w:kinsoku w:val="0"/>
              <w:autoSpaceDE w:val="0"/>
              <w:autoSpaceDN w:val="0"/>
              <w:adjustRightInd w:val="0"/>
              <w:snapToGrid w:val="0"/>
              <w:spacing w:after="0" w:line="360" w:lineRule="auto"/>
              <w:jc w:val="center"/>
              <w:textAlignment w:val="baseline"/>
              <w:rPr>
                <w:rFonts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0-10</w:t>
            </w:r>
          </w:p>
        </w:tc>
      </w:tr>
      <w:tr w14:paraId="6EC80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572" w:type="dxa"/>
            <w:vMerge w:val="continue"/>
            <w:noWrap w:val="0"/>
            <w:vAlign w:val="center"/>
          </w:tcPr>
          <w:p w14:paraId="699C3101">
            <w:pPr>
              <w:widowControl w:val="0"/>
              <w:adjustRightInd w:val="0"/>
              <w:snapToGrid w:val="0"/>
              <w:spacing w:after="0" w:line="360" w:lineRule="auto"/>
              <w:jc w:val="center"/>
              <w:rPr>
                <w:rFonts w:hint="eastAsia" w:ascii="宋体" w:hAnsi="宋体" w:eastAsia="宋体" w:cs="宋体"/>
                <w:bCs/>
                <w:snapToGrid w:val="0"/>
                <w:color w:val="auto"/>
                <w:kern w:val="0"/>
                <w:sz w:val="24"/>
                <w:szCs w:val="24"/>
              </w:rPr>
            </w:pPr>
          </w:p>
        </w:tc>
        <w:tc>
          <w:tcPr>
            <w:tcW w:w="1333" w:type="dxa"/>
            <w:vMerge w:val="continue"/>
            <w:noWrap w:val="0"/>
            <w:vAlign w:val="center"/>
          </w:tcPr>
          <w:p w14:paraId="50304F9C">
            <w:pPr>
              <w:kinsoku w:val="0"/>
              <w:autoSpaceDE w:val="0"/>
              <w:autoSpaceDN w:val="0"/>
              <w:adjustRightInd w:val="0"/>
              <w:snapToGrid w:val="0"/>
              <w:spacing w:after="0" w:line="240" w:lineRule="auto"/>
              <w:jc w:val="center"/>
              <w:textAlignment w:val="baseline"/>
              <w:rPr>
                <w:rFonts w:hint="eastAsia" w:ascii="宋体" w:hAnsi="宋体" w:eastAsia="宋体" w:cs="宋体"/>
                <w:snapToGrid w:val="0"/>
                <w:spacing w:val="6"/>
                <w:kern w:val="0"/>
                <w:sz w:val="24"/>
                <w:szCs w:val="24"/>
                <w:lang w:eastAsia="en-US"/>
              </w:rPr>
            </w:pPr>
          </w:p>
        </w:tc>
        <w:tc>
          <w:tcPr>
            <w:tcW w:w="6472" w:type="dxa"/>
            <w:noWrap w:val="0"/>
            <w:vAlign w:val="center"/>
          </w:tcPr>
          <w:p w14:paraId="6AB65876">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投标产品门系统型号的动作寿命都达到1300万次或以上,得5分；</w:t>
            </w:r>
          </w:p>
          <w:p w14:paraId="004A6E70">
            <w:pPr>
              <w:kinsoku w:val="0"/>
              <w:autoSpaceDE w:val="0"/>
              <w:autoSpaceDN w:val="0"/>
              <w:adjustRightInd w:val="0"/>
              <w:snapToGrid w:val="0"/>
              <w:spacing w:after="0" w:line="240" w:lineRule="auto"/>
              <w:textAlignment w:val="baseline"/>
              <w:rPr>
                <w:rFonts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投标产品门系统型号的动作寿命都达到600万次得2分。</w:t>
            </w:r>
          </w:p>
          <w:p w14:paraId="13AE80C7">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注：以提供国家电梯检测中心的检验报告或省级及以上特种设备检测研究院权威结构检测报告为准，复印件加盖公章。</w:t>
            </w:r>
          </w:p>
        </w:tc>
        <w:tc>
          <w:tcPr>
            <w:tcW w:w="968" w:type="dxa"/>
            <w:vMerge w:val="continue"/>
            <w:noWrap w:val="0"/>
            <w:vAlign w:val="center"/>
          </w:tcPr>
          <w:p w14:paraId="293FE987">
            <w:pPr>
              <w:kinsoku w:val="0"/>
              <w:autoSpaceDE w:val="0"/>
              <w:autoSpaceDN w:val="0"/>
              <w:adjustRightInd w:val="0"/>
              <w:snapToGrid w:val="0"/>
              <w:spacing w:after="0" w:line="360" w:lineRule="auto"/>
              <w:jc w:val="center"/>
              <w:textAlignment w:val="baseline"/>
              <w:rPr>
                <w:rFonts w:hint="eastAsia" w:ascii="宋体" w:hAnsi="宋体" w:eastAsia="宋体" w:cs="宋体"/>
                <w:bCs/>
                <w:snapToGrid w:val="0"/>
                <w:color w:val="auto"/>
                <w:kern w:val="0"/>
                <w:sz w:val="24"/>
                <w:szCs w:val="24"/>
              </w:rPr>
            </w:pPr>
          </w:p>
        </w:tc>
      </w:tr>
      <w:tr w14:paraId="73237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572" w:type="dxa"/>
            <w:noWrap w:val="0"/>
            <w:vAlign w:val="center"/>
          </w:tcPr>
          <w:p w14:paraId="2A16F738">
            <w:pPr>
              <w:widowControl w:val="0"/>
              <w:adjustRightInd w:val="0"/>
              <w:snapToGrid w:val="0"/>
              <w:spacing w:after="0" w:line="360" w:lineRule="auto"/>
              <w:jc w:val="center"/>
              <w:rPr>
                <w:rFonts w:hint="eastAsia"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7</w:t>
            </w:r>
          </w:p>
        </w:tc>
        <w:tc>
          <w:tcPr>
            <w:tcW w:w="1333" w:type="dxa"/>
            <w:noWrap w:val="0"/>
            <w:vAlign w:val="center"/>
          </w:tcPr>
          <w:p w14:paraId="334708F6">
            <w:pPr>
              <w:kinsoku w:val="0"/>
              <w:autoSpaceDE w:val="0"/>
              <w:autoSpaceDN w:val="0"/>
              <w:adjustRightInd w:val="0"/>
              <w:snapToGrid w:val="0"/>
              <w:spacing w:after="0" w:line="240" w:lineRule="auto"/>
              <w:jc w:val="center"/>
              <w:textAlignment w:val="baseline"/>
              <w:rPr>
                <w:rFonts w:hint="eastAsia" w:ascii="宋体" w:hAnsi="宋体" w:eastAsia="宋体" w:cs="宋体"/>
                <w:snapToGrid w:val="0"/>
                <w:spacing w:val="6"/>
                <w:kern w:val="0"/>
                <w:sz w:val="24"/>
                <w:szCs w:val="24"/>
                <w:lang w:eastAsia="en-US"/>
              </w:rPr>
            </w:pPr>
            <w:r>
              <w:rPr>
                <w:rFonts w:hint="eastAsia" w:ascii="宋体" w:hAnsi="宋体" w:eastAsia="宋体" w:cs="宋体"/>
                <w:snapToGrid w:val="0"/>
                <w:spacing w:val="6"/>
                <w:kern w:val="0"/>
                <w:sz w:val="24"/>
                <w:szCs w:val="24"/>
              </w:rPr>
              <w:t>电压适用范围</w:t>
            </w:r>
          </w:p>
        </w:tc>
        <w:tc>
          <w:tcPr>
            <w:tcW w:w="6472" w:type="dxa"/>
            <w:noWrap w:val="0"/>
            <w:vAlign w:val="center"/>
          </w:tcPr>
          <w:p w14:paraId="5863B6CB">
            <w:pPr>
              <w:kinsoku w:val="0"/>
              <w:autoSpaceDE w:val="0"/>
              <w:autoSpaceDN w:val="0"/>
              <w:adjustRightInd w:val="0"/>
              <w:snapToGrid w:val="0"/>
              <w:spacing w:after="0" w:line="240" w:lineRule="auto"/>
              <w:textAlignment w:val="baseline"/>
              <w:rPr>
                <w:rFonts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根据供应商所投电梯的宽电压范围进行评分；电压波动要求允许在380±12%（380±45.6）之间的得2分，电压波动要求允许在380±15%（380±57）以内的得5分；其余不加分。</w:t>
            </w:r>
          </w:p>
          <w:p w14:paraId="6916A601">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注：以提供国家电梯检测中心的检验报告或省级及以上特种设备检测研究院权威结构检测报告为准，复印件加盖公章。</w:t>
            </w:r>
          </w:p>
        </w:tc>
        <w:tc>
          <w:tcPr>
            <w:tcW w:w="968" w:type="dxa"/>
            <w:noWrap w:val="0"/>
            <w:vAlign w:val="center"/>
          </w:tcPr>
          <w:p w14:paraId="1F3799AA">
            <w:pPr>
              <w:kinsoku w:val="0"/>
              <w:autoSpaceDE w:val="0"/>
              <w:autoSpaceDN w:val="0"/>
              <w:adjustRightInd w:val="0"/>
              <w:snapToGrid w:val="0"/>
              <w:spacing w:after="0" w:line="360" w:lineRule="auto"/>
              <w:jc w:val="center"/>
              <w:textAlignment w:val="baseline"/>
              <w:rPr>
                <w:rFonts w:hint="eastAsia"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0-5</w:t>
            </w:r>
          </w:p>
        </w:tc>
      </w:tr>
      <w:tr w14:paraId="77DF0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72" w:type="dxa"/>
            <w:vMerge w:val="restart"/>
            <w:noWrap w:val="0"/>
            <w:vAlign w:val="center"/>
          </w:tcPr>
          <w:p w14:paraId="600B13FE">
            <w:pPr>
              <w:widowControl w:val="0"/>
              <w:adjustRightInd w:val="0"/>
              <w:snapToGrid w:val="0"/>
              <w:spacing w:after="0" w:line="360" w:lineRule="auto"/>
              <w:jc w:val="center"/>
              <w:rPr>
                <w:rFonts w:hint="eastAsia"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8</w:t>
            </w:r>
          </w:p>
        </w:tc>
        <w:tc>
          <w:tcPr>
            <w:tcW w:w="1333" w:type="dxa"/>
            <w:vMerge w:val="restart"/>
            <w:noWrap w:val="0"/>
            <w:vAlign w:val="center"/>
          </w:tcPr>
          <w:p w14:paraId="5D1C43F9">
            <w:pPr>
              <w:kinsoku w:val="0"/>
              <w:autoSpaceDE w:val="0"/>
              <w:autoSpaceDN w:val="0"/>
              <w:adjustRightInd w:val="0"/>
              <w:snapToGrid w:val="0"/>
              <w:spacing w:after="0" w:line="240" w:lineRule="auto"/>
              <w:jc w:val="center"/>
              <w:textAlignment w:val="baseline"/>
              <w:rPr>
                <w:rFonts w:hint="eastAsia" w:ascii="宋体" w:hAnsi="宋体" w:eastAsia="宋体" w:cs="宋体"/>
                <w:snapToGrid w:val="0"/>
                <w:spacing w:val="6"/>
                <w:kern w:val="0"/>
                <w:sz w:val="24"/>
                <w:szCs w:val="24"/>
              </w:rPr>
            </w:pPr>
            <w:r>
              <w:rPr>
                <w:rFonts w:hint="eastAsia" w:ascii="宋体" w:hAnsi="宋体" w:eastAsia="宋体" w:cs="宋体"/>
                <w:snapToGrid w:val="0"/>
                <w:spacing w:val="6"/>
                <w:kern w:val="0"/>
                <w:sz w:val="24"/>
                <w:szCs w:val="24"/>
              </w:rPr>
              <w:t>配置技术性能比较</w:t>
            </w:r>
          </w:p>
        </w:tc>
        <w:tc>
          <w:tcPr>
            <w:tcW w:w="6472" w:type="dxa"/>
            <w:noWrap w:val="0"/>
            <w:vAlign w:val="center"/>
          </w:tcPr>
          <w:p w14:paraId="71432E3B">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安全钳、限速器每件原品牌原厂制造的得1分，</w:t>
            </w:r>
            <w:r>
              <w:rPr>
                <w:rFonts w:hint="eastAsia" w:ascii="宋体" w:hAnsi="宋体" w:eastAsia="宋体" w:cs="宋体"/>
                <w:b/>
                <w:snapToGrid w:val="0"/>
                <w:color w:val="auto"/>
                <w:kern w:val="44"/>
                <w:sz w:val="24"/>
                <w:szCs w:val="24"/>
              </w:rPr>
              <w:t>并提供产品的型式检验报告复印件加盖公章，未提供不得分。</w:t>
            </w:r>
          </w:p>
        </w:tc>
        <w:tc>
          <w:tcPr>
            <w:tcW w:w="968" w:type="dxa"/>
            <w:noWrap w:val="0"/>
            <w:vAlign w:val="center"/>
          </w:tcPr>
          <w:p w14:paraId="6FD684A3">
            <w:pPr>
              <w:kinsoku w:val="0"/>
              <w:autoSpaceDE w:val="0"/>
              <w:autoSpaceDN w:val="0"/>
              <w:adjustRightInd w:val="0"/>
              <w:snapToGrid w:val="0"/>
              <w:spacing w:after="0" w:line="360" w:lineRule="auto"/>
              <w:jc w:val="center"/>
              <w:textAlignment w:val="baseline"/>
              <w:rPr>
                <w:rFonts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0-2</w:t>
            </w:r>
          </w:p>
        </w:tc>
      </w:tr>
      <w:tr w14:paraId="7C9D2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572" w:type="dxa"/>
            <w:vMerge w:val="continue"/>
            <w:noWrap w:val="0"/>
            <w:vAlign w:val="center"/>
          </w:tcPr>
          <w:p w14:paraId="3C89D2A0">
            <w:pPr>
              <w:widowControl w:val="0"/>
              <w:adjustRightInd w:val="0"/>
              <w:snapToGrid w:val="0"/>
              <w:spacing w:after="0" w:line="360" w:lineRule="auto"/>
              <w:jc w:val="center"/>
              <w:rPr>
                <w:rFonts w:hint="eastAsia" w:ascii="宋体" w:hAnsi="宋体" w:eastAsia="宋体" w:cs="宋体"/>
                <w:bCs/>
                <w:snapToGrid w:val="0"/>
                <w:color w:val="auto"/>
                <w:kern w:val="0"/>
                <w:sz w:val="24"/>
                <w:szCs w:val="24"/>
              </w:rPr>
            </w:pPr>
          </w:p>
        </w:tc>
        <w:tc>
          <w:tcPr>
            <w:tcW w:w="1333" w:type="dxa"/>
            <w:vMerge w:val="continue"/>
            <w:noWrap w:val="0"/>
            <w:vAlign w:val="center"/>
          </w:tcPr>
          <w:p w14:paraId="4C367207">
            <w:pPr>
              <w:kinsoku w:val="0"/>
              <w:autoSpaceDE w:val="0"/>
              <w:autoSpaceDN w:val="0"/>
              <w:adjustRightInd w:val="0"/>
              <w:snapToGrid w:val="0"/>
              <w:spacing w:after="0" w:line="240" w:lineRule="auto"/>
              <w:jc w:val="center"/>
              <w:textAlignment w:val="baseline"/>
              <w:rPr>
                <w:rFonts w:hint="eastAsia" w:ascii="宋体" w:hAnsi="宋体" w:eastAsia="宋体" w:cs="宋体"/>
                <w:snapToGrid w:val="0"/>
                <w:spacing w:val="6"/>
                <w:kern w:val="0"/>
                <w:sz w:val="24"/>
                <w:szCs w:val="24"/>
              </w:rPr>
            </w:pPr>
          </w:p>
        </w:tc>
        <w:tc>
          <w:tcPr>
            <w:tcW w:w="6472" w:type="dxa"/>
            <w:noWrap w:val="0"/>
            <w:vAlign w:val="center"/>
          </w:tcPr>
          <w:p w14:paraId="6AE76A60">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光幕</w:t>
            </w:r>
          </w:p>
          <w:p w14:paraId="24B9F576">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①采用原品牌(跟电梯同品牌)且外壳防护等级IP65以上得5分</w:t>
            </w:r>
          </w:p>
          <w:p w14:paraId="650F1923">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②采用原品牌(跟电梯同品牌)且光束≥190束的得5分</w:t>
            </w:r>
          </w:p>
          <w:p w14:paraId="1529526D">
            <w:pPr>
              <w:kinsoku w:val="0"/>
              <w:autoSpaceDE w:val="0"/>
              <w:autoSpaceDN w:val="0"/>
              <w:adjustRightInd w:val="0"/>
              <w:snapToGrid w:val="0"/>
              <w:spacing w:after="0" w:line="240" w:lineRule="auto"/>
              <w:textAlignment w:val="baseline"/>
              <w:rPr>
                <w:rFonts w:hint="eastAsia" w:ascii="宋体" w:hAnsi="宋体" w:eastAsia="宋体" w:cs="宋体"/>
                <w:bCs/>
                <w:snapToGrid w:val="0"/>
                <w:color w:val="auto"/>
                <w:kern w:val="44"/>
                <w:sz w:val="24"/>
                <w:szCs w:val="24"/>
              </w:rPr>
            </w:pPr>
            <w:r>
              <w:rPr>
                <w:rFonts w:hint="eastAsia" w:ascii="宋体" w:hAnsi="宋体" w:eastAsia="宋体" w:cs="宋体"/>
                <w:b/>
                <w:snapToGrid w:val="0"/>
                <w:color w:val="auto"/>
                <w:kern w:val="44"/>
                <w:sz w:val="24"/>
                <w:szCs w:val="24"/>
              </w:rPr>
              <w:t>注：提供产品的型式检验报告复印件或者第三方证明文件复印件加盖公章，未提供不得分。</w:t>
            </w:r>
          </w:p>
        </w:tc>
        <w:tc>
          <w:tcPr>
            <w:tcW w:w="968" w:type="dxa"/>
            <w:noWrap w:val="0"/>
            <w:vAlign w:val="center"/>
          </w:tcPr>
          <w:p w14:paraId="03ACFBA1">
            <w:pPr>
              <w:kinsoku w:val="0"/>
              <w:autoSpaceDE w:val="0"/>
              <w:autoSpaceDN w:val="0"/>
              <w:adjustRightInd w:val="0"/>
              <w:snapToGrid w:val="0"/>
              <w:spacing w:after="0" w:line="360" w:lineRule="auto"/>
              <w:jc w:val="center"/>
              <w:textAlignment w:val="baseline"/>
              <w:rPr>
                <w:rFonts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0-10</w:t>
            </w:r>
          </w:p>
        </w:tc>
      </w:tr>
      <w:tr w14:paraId="2E39F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72" w:type="dxa"/>
            <w:vMerge w:val="restart"/>
            <w:noWrap w:val="0"/>
            <w:vAlign w:val="center"/>
          </w:tcPr>
          <w:p w14:paraId="1B4BC228">
            <w:pPr>
              <w:widowControl w:val="0"/>
              <w:adjustRightInd w:val="0"/>
              <w:snapToGrid w:val="0"/>
              <w:spacing w:after="0" w:line="360" w:lineRule="auto"/>
              <w:jc w:val="center"/>
              <w:rPr>
                <w:rFonts w:hint="eastAsia"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9</w:t>
            </w:r>
          </w:p>
        </w:tc>
        <w:tc>
          <w:tcPr>
            <w:tcW w:w="1333" w:type="dxa"/>
            <w:vMerge w:val="restart"/>
            <w:noWrap w:val="0"/>
            <w:vAlign w:val="center"/>
          </w:tcPr>
          <w:p w14:paraId="3DA35071">
            <w:pPr>
              <w:kinsoku w:val="0"/>
              <w:autoSpaceDE w:val="0"/>
              <w:autoSpaceDN w:val="0"/>
              <w:adjustRightInd w:val="0"/>
              <w:snapToGrid w:val="0"/>
              <w:spacing w:after="0" w:line="240" w:lineRule="auto"/>
              <w:jc w:val="center"/>
              <w:textAlignment w:val="baseline"/>
              <w:rPr>
                <w:rFonts w:hint="eastAsia" w:ascii="宋体" w:hAnsi="宋体" w:eastAsia="宋体" w:cs="宋体"/>
                <w:snapToGrid w:val="0"/>
                <w:spacing w:val="6"/>
                <w:kern w:val="0"/>
                <w:sz w:val="24"/>
                <w:szCs w:val="24"/>
              </w:rPr>
            </w:pPr>
            <w:r>
              <w:rPr>
                <w:rFonts w:hint="eastAsia" w:ascii="宋体" w:hAnsi="宋体" w:eastAsia="宋体" w:cs="宋体"/>
                <w:snapToGrid w:val="0"/>
                <w:spacing w:val="6"/>
                <w:kern w:val="0"/>
                <w:sz w:val="24"/>
                <w:szCs w:val="24"/>
              </w:rPr>
              <w:t>维护保养能力</w:t>
            </w:r>
          </w:p>
        </w:tc>
        <w:tc>
          <w:tcPr>
            <w:tcW w:w="6472" w:type="dxa"/>
            <w:noWrap w:val="0"/>
            <w:vAlign w:val="center"/>
          </w:tcPr>
          <w:p w14:paraId="412684E3">
            <w:pPr>
              <w:keepNext/>
              <w:keepLines/>
              <w:kinsoku w:val="0"/>
              <w:autoSpaceDE w:val="0"/>
              <w:autoSpaceDN w:val="0"/>
              <w:adjustRightInd w:val="0"/>
              <w:snapToGrid w:val="0"/>
              <w:spacing w:after="0" w:line="240" w:lineRule="auto"/>
              <w:jc w:val="both"/>
              <w:textAlignment w:val="baseline"/>
              <w:outlineLvl w:val="0"/>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售后服务：根据对故障响应、维修的及时性内容的承诺评分：承诺接到维修电话0.5小时内到达现场的得2分，承诺接到维修电话1小时内到达现场的得1分，没有提供维修响应承诺不得分。</w:t>
            </w:r>
          </w:p>
        </w:tc>
        <w:tc>
          <w:tcPr>
            <w:tcW w:w="968" w:type="dxa"/>
            <w:noWrap w:val="0"/>
            <w:vAlign w:val="center"/>
          </w:tcPr>
          <w:p w14:paraId="72E7EB14">
            <w:pPr>
              <w:kinsoku w:val="0"/>
              <w:autoSpaceDE w:val="0"/>
              <w:autoSpaceDN w:val="0"/>
              <w:adjustRightInd w:val="0"/>
              <w:snapToGrid w:val="0"/>
              <w:spacing w:after="0" w:line="360" w:lineRule="auto"/>
              <w:jc w:val="center"/>
              <w:textAlignment w:val="baseline"/>
              <w:rPr>
                <w:rFonts w:ascii="宋体" w:hAnsi="宋体" w:eastAsia="宋体" w:cs="宋体"/>
                <w:bCs/>
                <w:snapToGrid w:val="0"/>
                <w:color w:val="auto"/>
                <w:sz w:val="24"/>
                <w:szCs w:val="24"/>
              </w:rPr>
            </w:pPr>
            <w:r>
              <w:rPr>
                <w:rFonts w:hint="eastAsia" w:ascii="宋体" w:hAnsi="宋体" w:eastAsia="宋体" w:cs="宋体"/>
                <w:bCs/>
                <w:snapToGrid w:val="0"/>
                <w:color w:val="auto"/>
                <w:sz w:val="24"/>
                <w:szCs w:val="24"/>
              </w:rPr>
              <w:t>0-2</w:t>
            </w:r>
          </w:p>
        </w:tc>
      </w:tr>
      <w:tr w14:paraId="719C7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72" w:type="dxa"/>
            <w:vMerge w:val="continue"/>
            <w:noWrap w:val="0"/>
            <w:vAlign w:val="center"/>
          </w:tcPr>
          <w:p w14:paraId="710952C1">
            <w:pPr>
              <w:widowControl w:val="0"/>
              <w:adjustRightInd w:val="0"/>
              <w:snapToGrid w:val="0"/>
              <w:spacing w:after="0" w:line="360" w:lineRule="auto"/>
              <w:jc w:val="center"/>
              <w:rPr>
                <w:rFonts w:hint="eastAsia" w:ascii="宋体" w:hAnsi="宋体" w:eastAsia="宋体" w:cs="宋体"/>
                <w:bCs/>
                <w:snapToGrid w:val="0"/>
                <w:color w:val="auto"/>
                <w:kern w:val="0"/>
                <w:sz w:val="24"/>
                <w:szCs w:val="24"/>
              </w:rPr>
            </w:pPr>
          </w:p>
        </w:tc>
        <w:tc>
          <w:tcPr>
            <w:tcW w:w="1333" w:type="dxa"/>
            <w:vMerge w:val="continue"/>
            <w:noWrap w:val="0"/>
            <w:vAlign w:val="center"/>
          </w:tcPr>
          <w:p w14:paraId="08BE1184">
            <w:pPr>
              <w:snapToGrid w:val="0"/>
              <w:spacing w:after="0" w:line="240" w:lineRule="auto"/>
              <w:ind w:left="480" w:hanging="480" w:hangingChars="200"/>
              <w:rPr>
                <w:rFonts w:hint="eastAsia" w:ascii="宋体" w:hAnsi="宋体" w:eastAsia="宋体" w:cs="宋体"/>
                <w:bCs/>
                <w:snapToGrid w:val="0"/>
                <w:color w:val="auto"/>
                <w:kern w:val="0"/>
                <w:sz w:val="24"/>
                <w:szCs w:val="24"/>
              </w:rPr>
            </w:pPr>
          </w:p>
        </w:tc>
        <w:tc>
          <w:tcPr>
            <w:tcW w:w="6472" w:type="dxa"/>
            <w:noWrap w:val="0"/>
            <w:vAlign w:val="center"/>
          </w:tcPr>
          <w:p w14:paraId="1E0BF61C">
            <w:pPr>
              <w:keepNext/>
              <w:keepLines/>
              <w:kinsoku w:val="0"/>
              <w:autoSpaceDE w:val="0"/>
              <w:autoSpaceDN w:val="0"/>
              <w:adjustRightInd w:val="0"/>
              <w:snapToGrid w:val="0"/>
              <w:spacing w:after="0" w:line="240" w:lineRule="auto"/>
              <w:jc w:val="both"/>
              <w:textAlignment w:val="baseline"/>
              <w:outlineLvl w:val="0"/>
              <w:rPr>
                <w:rFonts w:hint="eastAsia" w:ascii="宋体" w:hAnsi="宋体" w:eastAsia="宋体" w:cs="宋体"/>
                <w:bCs/>
                <w:snapToGrid w:val="0"/>
                <w:color w:val="auto"/>
                <w:kern w:val="44"/>
                <w:sz w:val="24"/>
                <w:szCs w:val="24"/>
              </w:rPr>
            </w:pPr>
            <w:r>
              <w:rPr>
                <w:rFonts w:hint="eastAsia" w:ascii="宋体" w:hAnsi="宋体" w:eastAsia="宋体" w:cs="宋体"/>
                <w:bCs/>
                <w:snapToGrid w:val="0"/>
                <w:color w:val="auto"/>
                <w:kern w:val="44"/>
                <w:sz w:val="24"/>
                <w:szCs w:val="24"/>
              </w:rPr>
              <w:t>承担本项目维保单位在温州地区维保投标品牌的实力、台量及人员横向比较综合打分。</w:t>
            </w:r>
          </w:p>
          <w:p w14:paraId="6CE1C191">
            <w:pPr>
              <w:keepNext/>
              <w:keepLines/>
              <w:kinsoku w:val="0"/>
              <w:autoSpaceDE w:val="0"/>
              <w:autoSpaceDN w:val="0"/>
              <w:adjustRightInd w:val="0"/>
              <w:snapToGrid w:val="0"/>
              <w:spacing w:after="0" w:line="240" w:lineRule="auto"/>
              <w:jc w:val="both"/>
              <w:textAlignment w:val="baseline"/>
              <w:outlineLvl w:val="0"/>
              <w:rPr>
                <w:rFonts w:hint="eastAsia" w:ascii="宋体" w:hAnsi="宋体" w:eastAsia="宋体" w:cs="宋体"/>
                <w:bCs/>
                <w:snapToGrid w:val="0"/>
                <w:color w:val="auto"/>
                <w:kern w:val="44"/>
                <w:sz w:val="24"/>
                <w:szCs w:val="24"/>
              </w:rPr>
            </w:pPr>
            <w:r>
              <w:rPr>
                <w:rFonts w:hint="eastAsia" w:ascii="宋体" w:hAnsi="宋体" w:eastAsia="宋体" w:cs="宋体"/>
                <w:b/>
                <w:snapToGrid w:val="0"/>
                <w:color w:val="auto"/>
                <w:kern w:val="44"/>
                <w:sz w:val="24"/>
                <w:szCs w:val="24"/>
              </w:rPr>
              <w:t>注：须提供权威部门的证明材料复印件加盖公章，不提供不得分。</w:t>
            </w:r>
          </w:p>
        </w:tc>
        <w:tc>
          <w:tcPr>
            <w:tcW w:w="968" w:type="dxa"/>
            <w:noWrap w:val="0"/>
            <w:vAlign w:val="center"/>
          </w:tcPr>
          <w:p w14:paraId="083493C0">
            <w:pPr>
              <w:kinsoku w:val="0"/>
              <w:autoSpaceDE w:val="0"/>
              <w:autoSpaceDN w:val="0"/>
              <w:adjustRightInd w:val="0"/>
              <w:snapToGrid w:val="0"/>
              <w:spacing w:after="0" w:line="360" w:lineRule="auto"/>
              <w:jc w:val="center"/>
              <w:textAlignment w:val="baseline"/>
              <w:rPr>
                <w:rFonts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0-5</w:t>
            </w:r>
          </w:p>
        </w:tc>
      </w:tr>
    </w:tbl>
    <w:p w14:paraId="4F712FE7">
      <w:pPr>
        <w:tabs>
          <w:tab w:val="left" w:pos="482"/>
          <w:tab w:val="left" w:pos="2183"/>
          <w:tab w:val="left" w:pos="3884"/>
          <w:tab w:val="left" w:pos="5585"/>
        </w:tabs>
        <w:kinsoku w:val="0"/>
        <w:autoSpaceDE w:val="0"/>
        <w:autoSpaceDN w:val="0"/>
        <w:adjustRightInd w:val="0"/>
        <w:snapToGrid w:val="0"/>
        <w:spacing w:after="0" w:line="240" w:lineRule="auto"/>
        <w:textAlignment w:val="baseline"/>
        <w:rPr>
          <w:rFonts w:hint="eastAsia" w:ascii="Times New Roman" w:hAnsi="Times New Roman" w:eastAsia="宋体" w:cs="Times New Roman"/>
          <w:snapToGrid w:val="0"/>
          <w:kern w:val="0"/>
          <w:sz w:val="21"/>
          <w:szCs w:val="21"/>
        </w:rPr>
      </w:pPr>
    </w:p>
    <w:p w14:paraId="0FD33D6B">
      <w:pPr>
        <w:kinsoku w:val="0"/>
        <w:autoSpaceDE w:val="0"/>
        <w:autoSpaceDN w:val="0"/>
        <w:adjustRightInd w:val="0"/>
        <w:snapToGrid w:val="0"/>
        <w:spacing w:after="0" w:line="460" w:lineRule="exact"/>
        <w:textAlignment w:val="baseline"/>
        <w:rPr>
          <w:rFonts w:ascii="宋体" w:hAnsi="Arial" w:eastAsia="Arial" w:cs="Arial"/>
          <w:snapToGrid w:val="0"/>
          <w:color w:val="auto"/>
          <w:kern w:val="0"/>
          <w:szCs w:val="21"/>
        </w:rPr>
      </w:pPr>
      <w:r>
        <w:rPr>
          <w:rFonts w:hint="eastAsia" w:ascii="宋体" w:hAnsi="宋体" w:eastAsia="宋体" w:cs="宋体"/>
          <w:snapToGrid w:val="0"/>
          <w:color w:val="auto"/>
          <w:kern w:val="0"/>
          <w:szCs w:val="21"/>
        </w:rPr>
        <w:t>注：</w:t>
      </w:r>
      <w:r>
        <w:rPr>
          <w:rFonts w:hint="eastAsia" w:ascii="宋体" w:hAnsi="Arial" w:eastAsia="Arial" w:cs="Arial"/>
          <w:snapToGrid w:val="0"/>
          <w:color w:val="auto"/>
          <w:kern w:val="0"/>
          <w:szCs w:val="21"/>
        </w:rPr>
        <w:t>1</w:t>
      </w:r>
      <w:r>
        <w:rPr>
          <w:rFonts w:hint="eastAsia" w:ascii="宋体" w:hAnsi="宋体" w:eastAsia="宋体" w:cs="宋体"/>
          <w:snapToGrid w:val="0"/>
          <w:color w:val="auto"/>
          <w:kern w:val="0"/>
          <w:szCs w:val="21"/>
        </w:rPr>
        <w:t>、本次技术部分评审细则所要求的评分内容。如为联合体参与投标，联合体中有同类资质的供应商按照联合体分工承担相同工作的，应当按照资质等级较低的供应商确定资质等级。</w:t>
      </w:r>
    </w:p>
    <w:p w14:paraId="151A2749">
      <w:pPr>
        <w:kinsoku w:val="0"/>
        <w:autoSpaceDE w:val="0"/>
        <w:autoSpaceDN w:val="0"/>
        <w:adjustRightInd w:val="0"/>
        <w:snapToGrid w:val="0"/>
        <w:spacing w:after="0" w:line="460" w:lineRule="atLeast"/>
        <w:ind w:firstLine="440" w:firstLineChars="200"/>
        <w:textAlignment w:val="baseline"/>
        <w:rPr>
          <w:rFonts w:ascii="宋体" w:hAnsi="Arial" w:eastAsia="Arial" w:cs="Arial"/>
          <w:snapToGrid w:val="0"/>
          <w:color w:val="auto"/>
          <w:kern w:val="0"/>
          <w:szCs w:val="21"/>
        </w:rPr>
      </w:pPr>
      <w:r>
        <w:rPr>
          <w:rFonts w:hint="eastAsia" w:ascii="宋体" w:hAnsi="Arial" w:eastAsia="Arial" w:cs="Arial"/>
          <w:snapToGrid w:val="0"/>
          <w:color w:val="auto"/>
          <w:kern w:val="0"/>
          <w:szCs w:val="21"/>
        </w:rPr>
        <w:t>2</w:t>
      </w:r>
      <w:r>
        <w:rPr>
          <w:rFonts w:hint="eastAsia" w:ascii="宋体" w:hAnsi="宋体" w:eastAsia="宋体" w:cs="宋体"/>
          <w:snapToGrid w:val="0"/>
          <w:color w:val="auto"/>
          <w:kern w:val="0"/>
          <w:szCs w:val="21"/>
        </w:rPr>
        <w:t>、原品牌：电梯部件与电梯整机为同一品牌；；</w:t>
      </w:r>
    </w:p>
    <w:p w14:paraId="0381C65C">
      <w:pPr>
        <w:kinsoku w:val="0"/>
        <w:autoSpaceDE w:val="0"/>
        <w:autoSpaceDN w:val="0"/>
        <w:adjustRightInd w:val="0"/>
        <w:snapToGrid w:val="0"/>
        <w:spacing w:after="0" w:line="460" w:lineRule="atLeast"/>
        <w:ind w:firstLine="440" w:firstLineChars="200"/>
        <w:textAlignment w:val="baseline"/>
        <w:rPr>
          <w:rFonts w:ascii="宋体" w:hAnsi="Arial" w:eastAsia="Arial" w:cs="Arial"/>
          <w:snapToGrid w:val="0"/>
          <w:color w:val="auto"/>
          <w:kern w:val="0"/>
          <w:szCs w:val="21"/>
        </w:rPr>
      </w:pPr>
      <w:r>
        <w:rPr>
          <w:rFonts w:hint="eastAsia" w:ascii="宋体" w:hAnsi="Arial" w:eastAsia="Arial" w:cs="Arial"/>
          <w:snapToGrid w:val="0"/>
          <w:color w:val="auto"/>
          <w:kern w:val="0"/>
          <w:szCs w:val="21"/>
        </w:rPr>
        <w:t>3</w:t>
      </w:r>
      <w:r>
        <w:rPr>
          <w:rFonts w:hint="eastAsia" w:ascii="宋体" w:hAnsi="宋体" w:eastAsia="宋体" w:cs="宋体"/>
          <w:snapToGrid w:val="0"/>
          <w:color w:val="auto"/>
          <w:kern w:val="0"/>
          <w:szCs w:val="21"/>
        </w:rPr>
        <w:t>、原厂生产：电梯部件生产地与电梯整机品牌生产地为同一产地。</w:t>
      </w:r>
    </w:p>
    <w:p w14:paraId="58158866">
      <w:pPr>
        <w:kinsoku w:val="0"/>
        <w:autoSpaceDE w:val="0"/>
        <w:autoSpaceDN w:val="0"/>
        <w:adjustRightInd w:val="0"/>
        <w:snapToGrid w:val="0"/>
        <w:spacing w:after="0" w:line="240" w:lineRule="auto"/>
        <w:textAlignment w:val="baseline"/>
        <w:rPr>
          <w:rFonts w:ascii="Arial" w:hAnsi="Arial" w:eastAsia="Arial" w:cs="Arial"/>
          <w:snapToGrid w:val="0"/>
          <w:color w:val="auto"/>
          <w:kern w:val="0"/>
          <w:sz w:val="21"/>
          <w:szCs w:val="21"/>
        </w:rPr>
        <w:sectPr>
          <w:footerReference r:id="rId5" w:type="default"/>
          <w:pgSz w:w="11907" w:h="16840"/>
          <w:pgMar w:top="1134" w:right="1020" w:bottom="1134" w:left="1020" w:header="567" w:footer="567" w:gutter="0"/>
          <w:cols w:space="720" w:num="1"/>
          <w:docGrid w:linePitch="1" w:charSpace="0"/>
        </w:sectPr>
      </w:pPr>
    </w:p>
    <w:bookmarkEnd w:id="8"/>
    <w:bookmarkEnd w:id="9"/>
    <w:p w14:paraId="663C070D">
      <w:pPr>
        <w:spacing w:after="118" w:line="265" w:lineRule="auto"/>
        <w:ind w:left="430" w:right="590" w:hanging="10"/>
        <w:rPr>
          <w:rFonts w:ascii="Arial" w:hAnsi="Arial" w:cs="Arial"/>
          <w:color w:val="auto"/>
        </w:rPr>
      </w:pPr>
    </w:p>
    <w:p w14:paraId="5ABE5EC3">
      <w:pPr>
        <w:spacing w:after="118" w:line="265" w:lineRule="auto"/>
        <w:ind w:right="590"/>
        <w:rPr>
          <w:rFonts w:ascii="Arial" w:hAnsi="Arial" w:eastAsia="宋体" w:cs="Arial"/>
          <w:color w:val="auto"/>
        </w:rPr>
      </w:pPr>
      <w:bookmarkStart w:id="10" w:name="_Toc17551497"/>
      <w:r>
        <w:rPr>
          <w:rFonts w:ascii="Arial" w:hAnsi="Arial" w:eastAsia="宋体" w:cs="Arial"/>
          <w:b/>
          <w:color w:val="auto"/>
          <w:sz w:val="32"/>
        </w:rPr>
        <w:t>1. 评标方法</w:t>
      </w:r>
      <w:bookmarkEnd w:id="1"/>
      <w:bookmarkEnd w:id="10"/>
    </w:p>
    <w:p w14:paraId="2856193C">
      <w:pPr>
        <w:pStyle w:val="5"/>
        <w:topLinePunct/>
        <w:spacing w:after="0" w:line="500" w:lineRule="exact"/>
        <w:ind w:firstLine="420" w:firstLineChars="200"/>
        <w:rPr>
          <w:rFonts w:ascii="Arial" w:hAnsi="Arial" w:cs="Arial"/>
        </w:rPr>
      </w:pPr>
      <w:r>
        <w:rPr>
          <w:rFonts w:ascii="Arial" w:hAnsi="Arial" w:cs="Arial"/>
          <w:sz w:val="21"/>
        </w:rPr>
        <w:t>本次评标采用综合评估法。评标委员会对满足招标文件实质性要求的投标文件，按照本章第2.2 款规定的评分标准进行打分，并按得分由高到低顺序推荐</w:t>
      </w:r>
      <w:r>
        <w:rPr>
          <w:rFonts w:hint="eastAsia" w:ascii="Arial" w:hAnsi="Arial" w:cs="Arial"/>
          <w:sz w:val="21"/>
        </w:rPr>
        <w:t>一名</w:t>
      </w:r>
      <w:r>
        <w:rPr>
          <w:rFonts w:ascii="Arial" w:hAnsi="Arial" w:cs="Arial"/>
          <w:sz w:val="21"/>
        </w:rPr>
        <w:t>中标候选人，或根据招标人授权直接确定中标人，但投标报价低于其成本的除外。综合评分相等时，以投标报价低的优先；投标报价也相等的，则以抽签决定名次。</w:t>
      </w:r>
    </w:p>
    <w:p w14:paraId="172ADFEB">
      <w:pPr>
        <w:pStyle w:val="3"/>
        <w:spacing w:after="0" w:line="500" w:lineRule="exact"/>
        <w:ind w:left="-5"/>
        <w:rPr>
          <w:rFonts w:ascii="Arial" w:hAnsi="Arial" w:eastAsia="宋体" w:cs="Arial"/>
          <w:color w:val="auto"/>
        </w:rPr>
      </w:pPr>
      <w:bookmarkStart w:id="11" w:name="_Toc531283871"/>
      <w:bookmarkStart w:id="12" w:name="_Toc17551498"/>
      <w:r>
        <w:rPr>
          <w:rFonts w:ascii="Arial" w:hAnsi="Arial" w:eastAsia="宋体" w:cs="Arial"/>
          <w:b/>
          <w:color w:val="auto"/>
        </w:rPr>
        <w:t xml:space="preserve">2. </w:t>
      </w:r>
      <w:r>
        <w:rPr>
          <w:rFonts w:ascii="Arial" w:hAnsi="Arial" w:eastAsia="宋体" w:cs="Arial"/>
          <w:color w:val="auto"/>
        </w:rPr>
        <w:t>评审标准</w:t>
      </w:r>
      <w:bookmarkEnd w:id="11"/>
      <w:bookmarkEnd w:id="12"/>
    </w:p>
    <w:p w14:paraId="1D131EDA">
      <w:pPr>
        <w:pStyle w:val="4"/>
        <w:spacing w:after="0" w:line="500" w:lineRule="exact"/>
        <w:ind w:left="132"/>
        <w:rPr>
          <w:rFonts w:ascii="Arial" w:hAnsi="Arial" w:eastAsia="宋体" w:cs="Arial"/>
          <w:color w:val="auto"/>
        </w:rPr>
      </w:pPr>
      <w:bookmarkStart w:id="13" w:name="_Toc531283872"/>
      <w:bookmarkStart w:id="14" w:name="_Toc17551499"/>
      <w:r>
        <w:rPr>
          <w:rFonts w:ascii="Arial" w:hAnsi="Arial" w:eastAsia="宋体" w:cs="Arial"/>
          <w:color w:val="auto"/>
        </w:rPr>
        <w:t>2.1 初步评审标准</w:t>
      </w:r>
      <w:bookmarkEnd w:id="13"/>
      <w:bookmarkEnd w:id="14"/>
    </w:p>
    <w:p w14:paraId="5C2DB406">
      <w:pPr>
        <w:pStyle w:val="5"/>
        <w:topLinePunct/>
        <w:spacing w:after="0" w:line="500" w:lineRule="exact"/>
        <w:ind w:firstLine="420" w:firstLineChars="200"/>
        <w:rPr>
          <w:rFonts w:ascii="Arial" w:hAnsi="Arial" w:cs="Arial"/>
          <w:sz w:val="21"/>
        </w:rPr>
      </w:pPr>
      <w:r>
        <w:rPr>
          <w:rFonts w:ascii="Arial" w:hAnsi="Arial" w:cs="Arial"/>
          <w:sz w:val="21"/>
        </w:rPr>
        <w:t>2.1.1 形式评审标准：见评标办法前附表。</w:t>
      </w:r>
    </w:p>
    <w:p w14:paraId="62946305">
      <w:pPr>
        <w:pStyle w:val="5"/>
        <w:topLinePunct/>
        <w:spacing w:after="0" w:line="500" w:lineRule="exact"/>
        <w:ind w:firstLine="420" w:firstLineChars="200"/>
        <w:rPr>
          <w:rFonts w:ascii="Arial" w:hAnsi="Arial" w:cs="Arial"/>
          <w:sz w:val="21"/>
        </w:rPr>
      </w:pPr>
      <w:r>
        <w:rPr>
          <w:rFonts w:ascii="Arial" w:hAnsi="Arial" w:cs="Arial"/>
          <w:sz w:val="21"/>
        </w:rPr>
        <w:t>2.1.2 资格评审标准：见评标办法前附表。</w:t>
      </w:r>
    </w:p>
    <w:p w14:paraId="5A45BA79">
      <w:pPr>
        <w:pStyle w:val="5"/>
        <w:topLinePunct/>
        <w:spacing w:after="0" w:line="500" w:lineRule="exact"/>
        <w:ind w:firstLine="420" w:firstLineChars="200"/>
        <w:rPr>
          <w:rFonts w:ascii="Arial" w:hAnsi="Arial" w:cs="Arial"/>
        </w:rPr>
      </w:pPr>
      <w:r>
        <w:rPr>
          <w:rFonts w:ascii="Arial" w:hAnsi="Arial" w:cs="Arial"/>
          <w:sz w:val="21"/>
        </w:rPr>
        <w:t>2.1.3 响应性评审标准：见评标办法前附表。</w:t>
      </w:r>
    </w:p>
    <w:p w14:paraId="2560C3B1">
      <w:pPr>
        <w:pStyle w:val="4"/>
        <w:spacing w:after="0" w:line="500" w:lineRule="exact"/>
        <w:ind w:left="132"/>
        <w:rPr>
          <w:rFonts w:ascii="Arial" w:hAnsi="Arial" w:eastAsia="宋体" w:cs="Arial"/>
          <w:color w:val="auto"/>
        </w:rPr>
      </w:pPr>
      <w:bookmarkStart w:id="15" w:name="_Toc531283873"/>
      <w:bookmarkStart w:id="16" w:name="_Toc17551500"/>
      <w:r>
        <w:rPr>
          <w:rFonts w:ascii="Arial" w:hAnsi="Arial" w:eastAsia="宋体" w:cs="Arial"/>
          <w:color w:val="auto"/>
        </w:rPr>
        <w:t>2.2 分值构成与评分标准</w:t>
      </w:r>
      <w:bookmarkEnd w:id="15"/>
      <w:bookmarkEnd w:id="16"/>
    </w:p>
    <w:p w14:paraId="0F2EA68D">
      <w:pPr>
        <w:pStyle w:val="5"/>
        <w:topLinePunct/>
        <w:spacing w:after="0" w:line="500" w:lineRule="exact"/>
        <w:ind w:firstLine="420" w:firstLineChars="200"/>
        <w:rPr>
          <w:rFonts w:ascii="Arial" w:hAnsi="Arial" w:cs="Arial"/>
          <w:sz w:val="21"/>
        </w:rPr>
      </w:pPr>
      <w:r>
        <w:rPr>
          <w:rFonts w:ascii="Arial" w:hAnsi="Arial" w:cs="Arial"/>
          <w:sz w:val="21"/>
        </w:rPr>
        <w:t>2.2.1 分值构成</w:t>
      </w:r>
    </w:p>
    <w:p w14:paraId="2B321212">
      <w:pPr>
        <w:pStyle w:val="5"/>
        <w:topLinePunct/>
        <w:spacing w:after="0" w:line="500" w:lineRule="exact"/>
        <w:ind w:firstLine="420" w:firstLineChars="200"/>
        <w:rPr>
          <w:rFonts w:ascii="Arial" w:hAnsi="Arial" w:cs="Arial"/>
          <w:sz w:val="21"/>
        </w:rPr>
      </w:pPr>
      <w:r>
        <w:rPr>
          <w:rFonts w:ascii="Arial" w:hAnsi="Arial" w:cs="Arial"/>
          <w:sz w:val="21"/>
        </w:rPr>
        <w:t>（1）技术资信标：见评标办法前附表；</w:t>
      </w:r>
    </w:p>
    <w:p w14:paraId="00763B1B">
      <w:pPr>
        <w:pStyle w:val="5"/>
        <w:topLinePunct/>
        <w:spacing w:after="0" w:line="500" w:lineRule="exact"/>
        <w:ind w:firstLine="420" w:firstLineChars="200"/>
        <w:rPr>
          <w:rFonts w:ascii="Arial" w:hAnsi="Arial" w:cs="Arial"/>
          <w:sz w:val="21"/>
        </w:rPr>
      </w:pPr>
      <w:r>
        <w:rPr>
          <w:rFonts w:ascii="Arial" w:hAnsi="Arial" w:cs="Arial"/>
          <w:sz w:val="21"/>
        </w:rPr>
        <w:t>（2）商务标：见评标办法前附表；</w:t>
      </w:r>
    </w:p>
    <w:p w14:paraId="07051BEB">
      <w:pPr>
        <w:pStyle w:val="5"/>
        <w:topLinePunct/>
        <w:spacing w:after="0" w:line="500" w:lineRule="exact"/>
        <w:ind w:firstLine="420" w:firstLineChars="200"/>
        <w:rPr>
          <w:rFonts w:ascii="Arial" w:hAnsi="Arial" w:cs="Arial"/>
          <w:sz w:val="21"/>
        </w:rPr>
      </w:pPr>
      <w:r>
        <w:rPr>
          <w:rFonts w:ascii="Arial" w:hAnsi="Arial" w:cs="Arial"/>
          <w:sz w:val="21"/>
        </w:rPr>
        <w:t>（3）其他评分因素：见评标办法前附表。</w:t>
      </w:r>
    </w:p>
    <w:p w14:paraId="7907580E">
      <w:pPr>
        <w:pStyle w:val="5"/>
        <w:topLinePunct/>
        <w:spacing w:after="0" w:line="500" w:lineRule="exact"/>
        <w:ind w:firstLine="420" w:firstLineChars="200"/>
        <w:rPr>
          <w:rFonts w:ascii="Arial" w:hAnsi="Arial" w:cs="Arial"/>
          <w:sz w:val="21"/>
        </w:rPr>
      </w:pPr>
      <w:r>
        <w:rPr>
          <w:rFonts w:ascii="Arial" w:hAnsi="Arial" w:cs="Arial"/>
          <w:sz w:val="21"/>
        </w:rPr>
        <w:t>2.2.2技术资信标评分标准：评标委员会按评标办法前附表规定评分细则对各投标人的技术资信标进行独立评审打分，对评标委员会成员各项打分汇总的分数里去掉一个最高分和一个最低分后的算术平均值为最终得分（计算最终得分值时保留二位小数，第三位四舍五入），评标委员会成员应对自己的打分结果签名认可，评标委员会成员的评分有明显错误的，需重新评分。详细评分标准见评标办法前附表。</w:t>
      </w:r>
    </w:p>
    <w:p w14:paraId="02F0F9DA">
      <w:pPr>
        <w:pStyle w:val="5"/>
        <w:topLinePunct/>
        <w:spacing w:after="0" w:line="500" w:lineRule="exact"/>
        <w:ind w:firstLine="420" w:firstLineChars="200"/>
        <w:rPr>
          <w:rFonts w:ascii="Arial" w:hAnsi="Arial" w:cs="Arial"/>
          <w:sz w:val="21"/>
        </w:rPr>
      </w:pPr>
      <w:r>
        <w:rPr>
          <w:rFonts w:ascii="Arial" w:hAnsi="Arial" w:cs="Arial"/>
          <w:sz w:val="21"/>
        </w:rPr>
        <w:t>2.2.3商务标评分标准：见评标办法前附表。</w:t>
      </w:r>
    </w:p>
    <w:p w14:paraId="770C969F">
      <w:pPr>
        <w:pStyle w:val="5"/>
        <w:topLinePunct/>
        <w:spacing w:after="0" w:line="500" w:lineRule="exact"/>
        <w:ind w:firstLine="420" w:firstLineChars="200"/>
        <w:rPr>
          <w:rFonts w:ascii="Arial" w:hAnsi="Arial" w:cs="Arial"/>
          <w:sz w:val="21"/>
        </w:rPr>
      </w:pPr>
      <w:r>
        <w:rPr>
          <w:rFonts w:ascii="Arial" w:hAnsi="Arial" w:cs="Arial"/>
          <w:sz w:val="21"/>
        </w:rPr>
        <w:t>2.2.4其他因素评分标准：见评标办法前附表。</w:t>
      </w:r>
    </w:p>
    <w:p w14:paraId="6488EDE4">
      <w:pPr>
        <w:pStyle w:val="3"/>
        <w:spacing w:after="0" w:line="500" w:lineRule="exact"/>
        <w:ind w:left="-5"/>
        <w:rPr>
          <w:rFonts w:ascii="Arial" w:hAnsi="Arial" w:eastAsia="宋体" w:cs="Arial"/>
          <w:color w:val="auto"/>
        </w:rPr>
      </w:pPr>
      <w:bookmarkStart w:id="17" w:name="_Toc17551501"/>
      <w:bookmarkStart w:id="18" w:name="_Toc531283874"/>
      <w:r>
        <w:rPr>
          <w:rFonts w:ascii="Arial" w:hAnsi="Arial" w:eastAsia="宋体" w:cs="Arial"/>
          <w:b/>
          <w:color w:val="auto"/>
        </w:rPr>
        <w:t xml:space="preserve">3. </w:t>
      </w:r>
      <w:r>
        <w:rPr>
          <w:rFonts w:ascii="Arial" w:hAnsi="Arial" w:eastAsia="宋体" w:cs="Arial"/>
          <w:color w:val="auto"/>
        </w:rPr>
        <w:t>评标程序</w:t>
      </w:r>
      <w:bookmarkEnd w:id="17"/>
      <w:bookmarkEnd w:id="18"/>
    </w:p>
    <w:p w14:paraId="02F3D0B9">
      <w:pPr>
        <w:pStyle w:val="5"/>
        <w:topLinePunct/>
        <w:spacing w:after="0" w:line="500" w:lineRule="exact"/>
        <w:ind w:firstLine="420" w:firstLineChars="200"/>
        <w:rPr>
          <w:rFonts w:hint="eastAsia" w:ascii="Arial" w:hAnsi="Arial" w:cs="Arial"/>
          <w:sz w:val="21"/>
        </w:rPr>
      </w:pPr>
      <w:bookmarkStart w:id="19" w:name="_Toc17551502"/>
      <w:bookmarkStart w:id="20" w:name="_Toc531283875"/>
      <w:r>
        <w:rPr>
          <w:rFonts w:hint="eastAsia" w:ascii="Arial" w:hAnsi="Arial" w:cs="Arial"/>
          <w:sz w:val="21"/>
        </w:rPr>
        <w:t>评标程序</w:t>
      </w:r>
      <w:r>
        <w:rPr>
          <w:rFonts w:ascii="Arial" w:hAnsi="Arial" w:cs="Arial"/>
          <w:sz w:val="21"/>
        </w:rPr>
        <w:t>：见评标办法前附表。</w:t>
      </w:r>
    </w:p>
    <w:p w14:paraId="567FF43B">
      <w:pPr>
        <w:pStyle w:val="4"/>
        <w:spacing w:after="0" w:line="500" w:lineRule="exact"/>
        <w:ind w:left="132"/>
        <w:rPr>
          <w:rFonts w:ascii="Arial" w:hAnsi="Arial" w:eastAsia="宋体" w:cs="Arial"/>
          <w:color w:val="auto"/>
        </w:rPr>
      </w:pPr>
      <w:r>
        <w:rPr>
          <w:rFonts w:ascii="Arial" w:hAnsi="Arial" w:eastAsia="宋体" w:cs="Arial"/>
          <w:color w:val="auto"/>
        </w:rPr>
        <w:t>3.1 初步评审</w:t>
      </w:r>
      <w:bookmarkEnd w:id="19"/>
      <w:bookmarkEnd w:id="20"/>
    </w:p>
    <w:p w14:paraId="203E303E">
      <w:pPr>
        <w:pStyle w:val="5"/>
        <w:topLinePunct/>
        <w:spacing w:after="0" w:line="500" w:lineRule="exact"/>
        <w:ind w:firstLine="420" w:firstLineChars="200"/>
        <w:rPr>
          <w:rFonts w:ascii="Arial" w:hAnsi="Arial" w:cs="Arial"/>
          <w:sz w:val="21"/>
        </w:rPr>
      </w:pPr>
      <w:r>
        <w:rPr>
          <w:rFonts w:ascii="Arial" w:hAnsi="Arial" w:cs="Arial"/>
          <w:sz w:val="21"/>
        </w:rPr>
        <w:t>3.1.1评标委员会可以要求投标人提交第二章“投标人须知”规定的有关证明。评标委员会依据本章第2.1款规定的标准对投标文件进行初步评审。有一项不符合评审标准的，评标委员会应当否决其投标。</w:t>
      </w:r>
    </w:p>
    <w:p w14:paraId="6E0D31BF">
      <w:pPr>
        <w:pStyle w:val="5"/>
        <w:topLinePunct/>
        <w:spacing w:after="0" w:line="500" w:lineRule="exact"/>
        <w:ind w:firstLine="420" w:firstLineChars="200"/>
        <w:rPr>
          <w:rFonts w:ascii="Arial" w:hAnsi="Arial" w:cs="Arial"/>
          <w:sz w:val="21"/>
        </w:rPr>
      </w:pPr>
      <w:r>
        <w:rPr>
          <w:rFonts w:ascii="Arial" w:hAnsi="Arial" w:cs="Arial"/>
          <w:sz w:val="21"/>
        </w:rPr>
        <w:t>3.1.2 投标人有以下情形之一的，评标委员会应当否决其投标：</w:t>
      </w:r>
    </w:p>
    <w:p w14:paraId="779EA9DA">
      <w:pPr>
        <w:pStyle w:val="5"/>
        <w:topLinePunct/>
        <w:spacing w:after="0" w:line="500" w:lineRule="exact"/>
        <w:ind w:firstLine="420" w:firstLineChars="200"/>
        <w:rPr>
          <w:rFonts w:ascii="Arial" w:hAnsi="Arial" w:cs="Arial"/>
          <w:sz w:val="21"/>
        </w:rPr>
      </w:pPr>
      <w:r>
        <w:rPr>
          <w:rFonts w:ascii="Arial" w:hAnsi="Arial" w:cs="Arial"/>
          <w:sz w:val="21"/>
        </w:rPr>
        <w:t>（1）投标文件没有对招标文件的实质性要求和条件作出响应，或者对招标文件的偏差超出招标文件规定的偏差范围或最高项数；</w:t>
      </w:r>
    </w:p>
    <w:p w14:paraId="41D7BC4A">
      <w:pPr>
        <w:pStyle w:val="5"/>
        <w:topLinePunct/>
        <w:spacing w:after="0" w:line="500" w:lineRule="exact"/>
        <w:ind w:firstLine="420" w:firstLineChars="200"/>
        <w:rPr>
          <w:rFonts w:ascii="Arial" w:hAnsi="Arial" w:cs="Arial"/>
          <w:sz w:val="21"/>
        </w:rPr>
      </w:pPr>
      <w:r>
        <w:rPr>
          <w:rFonts w:ascii="Arial" w:hAnsi="Arial" w:cs="Arial"/>
          <w:sz w:val="21"/>
        </w:rPr>
        <w:t>（2）有串通投标、弄虚作假、行贿等违法行为。</w:t>
      </w:r>
    </w:p>
    <w:p w14:paraId="387A9026">
      <w:pPr>
        <w:pStyle w:val="5"/>
        <w:topLinePunct/>
        <w:spacing w:after="0" w:line="500" w:lineRule="exact"/>
        <w:ind w:firstLine="420" w:firstLineChars="200"/>
        <w:rPr>
          <w:rFonts w:ascii="Arial" w:hAnsi="Arial" w:cs="Arial"/>
          <w:sz w:val="21"/>
        </w:rPr>
      </w:pPr>
      <w:r>
        <w:rPr>
          <w:rFonts w:ascii="Arial" w:hAnsi="Arial" w:cs="Arial"/>
          <w:sz w:val="21"/>
        </w:rPr>
        <w:t>3.1.3 投标报价有算术错误及其他错误的，评标委员会按以下原则要求投标人对投标报价进行修正，并要求投标人书面澄清确认。投标人拒不澄清确认的，评标委员会应当否决其投标：</w:t>
      </w:r>
    </w:p>
    <w:p w14:paraId="0C6F820B">
      <w:pPr>
        <w:pStyle w:val="5"/>
        <w:topLinePunct/>
        <w:spacing w:after="0" w:line="500" w:lineRule="exact"/>
        <w:ind w:firstLine="420" w:firstLineChars="200"/>
        <w:rPr>
          <w:rFonts w:ascii="Arial" w:hAnsi="Arial" w:cs="Arial"/>
          <w:sz w:val="21"/>
        </w:rPr>
      </w:pPr>
      <w:r>
        <w:rPr>
          <w:rFonts w:ascii="Arial" w:hAnsi="Arial" w:cs="Arial"/>
          <w:sz w:val="21"/>
        </w:rPr>
        <w:t>（1）投标文件中的大写金额与小写金额不一致的，以大写金额为准；</w:t>
      </w:r>
    </w:p>
    <w:p w14:paraId="63399179">
      <w:pPr>
        <w:pStyle w:val="5"/>
        <w:topLinePunct/>
        <w:spacing w:after="0" w:line="500" w:lineRule="exact"/>
        <w:ind w:firstLine="420" w:firstLineChars="200"/>
        <w:rPr>
          <w:rFonts w:ascii="Arial" w:hAnsi="Arial" w:cs="Arial"/>
          <w:sz w:val="21"/>
        </w:rPr>
      </w:pPr>
      <w:r>
        <w:rPr>
          <w:rFonts w:ascii="Arial" w:hAnsi="Arial" w:cs="Arial"/>
          <w:sz w:val="21"/>
        </w:rPr>
        <w:t>（2）总价金额与单价金额不一致的，以单价金额为准，但单价金额小数点有明显错误的除外；</w:t>
      </w:r>
    </w:p>
    <w:p w14:paraId="398276EF">
      <w:pPr>
        <w:pStyle w:val="5"/>
        <w:topLinePunct/>
        <w:spacing w:after="0" w:line="500" w:lineRule="exact"/>
        <w:ind w:firstLine="420" w:firstLineChars="200"/>
        <w:rPr>
          <w:rFonts w:ascii="Arial" w:hAnsi="Arial" w:cs="Arial"/>
          <w:sz w:val="21"/>
        </w:rPr>
      </w:pPr>
      <w:r>
        <w:rPr>
          <w:rFonts w:ascii="Arial" w:hAnsi="Arial" w:cs="Arial"/>
          <w:sz w:val="21"/>
        </w:rPr>
        <w:t>（3）投标报价为各分项报价金额之和，投标报价与分项报价的合价不一致的，应以各分项合价累计数为准，修正投标报价；</w:t>
      </w:r>
    </w:p>
    <w:p w14:paraId="6B7635B1">
      <w:pPr>
        <w:pStyle w:val="5"/>
        <w:topLinePunct/>
        <w:spacing w:after="0" w:line="500" w:lineRule="exact"/>
        <w:ind w:firstLine="420" w:firstLineChars="200"/>
        <w:rPr>
          <w:rFonts w:ascii="Arial" w:hAnsi="Arial" w:cs="Arial"/>
          <w:sz w:val="21"/>
        </w:rPr>
      </w:pPr>
      <w:r>
        <w:rPr>
          <w:rFonts w:ascii="Arial" w:hAnsi="Arial" w:cs="Arial"/>
          <w:sz w:val="21"/>
        </w:rPr>
        <w:t>（4）如果分项报价中存在缺漏项，则视为缺漏项价格已包含在其他分项报价之中。</w:t>
      </w:r>
    </w:p>
    <w:p w14:paraId="4917E133">
      <w:pPr>
        <w:pStyle w:val="4"/>
        <w:spacing w:after="0" w:line="500" w:lineRule="exact"/>
        <w:ind w:left="132"/>
        <w:rPr>
          <w:rFonts w:ascii="Arial" w:hAnsi="Arial" w:eastAsia="宋体" w:cs="Arial"/>
          <w:color w:val="auto"/>
        </w:rPr>
      </w:pPr>
      <w:bookmarkStart w:id="21" w:name="_Toc17551503"/>
      <w:bookmarkStart w:id="22" w:name="_Toc531283876"/>
      <w:r>
        <w:rPr>
          <w:rFonts w:ascii="Arial" w:hAnsi="Arial" w:eastAsia="宋体" w:cs="Arial"/>
          <w:color w:val="auto"/>
        </w:rPr>
        <w:t>3.2 详细评审</w:t>
      </w:r>
      <w:bookmarkEnd w:id="21"/>
      <w:bookmarkEnd w:id="22"/>
    </w:p>
    <w:p w14:paraId="4A7A1C63">
      <w:pPr>
        <w:pStyle w:val="5"/>
        <w:topLinePunct/>
        <w:spacing w:after="0" w:line="500" w:lineRule="exact"/>
        <w:ind w:firstLine="420" w:firstLineChars="200"/>
        <w:rPr>
          <w:rFonts w:ascii="Arial" w:hAnsi="Arial" w:cs="Arial"/>
        </w:rPr>
      </w:pPr>
      <w:r>
        <w:rPr>
          <w:rFonts w:ascii="Arial" w:hAnsi="Arial" w:cs="Arial"/>
          <w:sz w:val="21"/>
        </w:rPr>
        <w:t>3.2.1 评标委员会按本章第2.2 款规定的量化因素和分值进行打分，并计算出综合评估得分。</w:t>
      </w:r>
    </w:p>
    <w:p w14:paraId="2827CB52">
      <w:pPr>
        <w:numPr>
          <w:ilvl w:val="0"/>
          <w:numId w:val="5"/>
        </w:numPr>
        <w:spacing w:after="0" w:line="500" w:lineRule="exact"/>
        <w:ind w:right="590" w:hanging="526"/>
        <w:rPr>
          <w:rFonts w:ascii="Arial" w:hAnsi="Arial" w:eastAsia="宋体" w:cs="Arial"/>
          <w:color w:val="auto"/>
        </w:rPr>
      </w:pPr>
      <w:r>
        <w:rPr>
          <w:rFonts w:ascii="Arial" w:hAnsi="Arial" w:eastAsia="宋体" w:cs="Arial"/>
          <w:color w:val="auto"/>
        </w:rPr>
        <w:t>按本章第2.2.2条规定的评审因素和分值对技术资信标评审计算出得分A；</w:t>
      </w:r>
    </w:p>
    <w:p w14:paraId="00CDD5DD">
      <w:pPr>
        <w:numPr>
          <w:ilvl w:val="0"/>
          <w:numId w:val="5"/>
        </w:numPr>
        <w:spacing w:after="0" w:line="500" w:lineRule="exact"/>
        <w:ind w:right="590" w:hanging="526"/>
        <w:rPr>
          <w:rFonts w:ascii="Arial" w:hAnsi="Arial" w:eastAsia="宋体" w:cs="Arial"/>
          <w:color w:val="auto"/>
        </w:rPr>
      </w:pPr>
      <w:r>
        <w:rPr>
          <w:rFonts w:ascii="Arial" w:hAnsi="Arial" w:eastAsia="宋体" w:cs="Arial"/>
          <w:color w:val="auto"/>
        </w:rPr>
        <w:t>按本章第2.2.3条规定的评审因素和分值对商务标评审计算出得分B；</w:t>
      </w:r>
    </w:p>
    <w:p w14:paraId="6B86B16F">
      <w:pPr>
        <w:numPr>
          <w:ilvl w:val="0"/>
          <w:numId w:val="5"/>
        </w:numPr>
        <w:spacing w:after="0" w:line="500" w:lineRule="exact"/>
        <w:ind w:right="590" w:hanging="526"/>
        <w:rPr>
          <w:rFonts w:ascii="Arial" w:hAnsi="Arial" w:eastAsia="宋体" w:cs="Arial"/>
          <w:color w:val="auto"/>
        </w:rPr>
      </w:pPr>
      <w:r>
        <w:rPr>
          <w:rFonts w:ascii="Arial" w:hAnsi="Arial" w:eastAsia="宋体" w:cs="Arial"/>
          <w:color w:val="auto"/>
        </w:rPr>
        <w:t>按本章第2.2.4条规定的评审因素和分值对其他因素评审计算出得分C。</w:t>
      </w:r>
    </w:p>
    <w:p w14:paraId="2F77641E">
      <w:pPr>
        <w:pStyle w:val="5"/>
        <w:topLinePunct/>
        <w:spacing w:after="0" w:line="500" w:lineRule="exact"/>
        <w:ind w:firstLine="420" w:firstLineChars="200"/>
        <w:rPr>
          <w:rFonts w:ascii="Arial" w:hAnsi="Arial" w:cs="Arial"/>
          <w:sz w:val="21"/>
        </w:rPr>
      </w:pPr>
      <w:r>
        <w:rPr>
          <w:rFonts w:ascii="Arial" w:hAnsi="Arial" w:cs="Arial"/>
          <w:sz w:val="21"/>
        </w:rPr>
        <w:t>3.2.2 评分分值计算保留小数点后两位，小数点后第三位“四舍五入”。</w:t>
      </w:r>
    </w:p>
    <w:p w14:paraId="5D804976">
      <w:pPr>
        <w:pStyle w:val="5"/>
        <w:topLinePunct/>
        <w:spacing w:after="0" w:line="500" w:lineRule="exact"/>
        <w:ind w:firstLine="420" w:firstLineChars="200"/>
        <w:rPr>
          <w:rFonts w:ascii="Arial" w:hAnsi="Arial" w:cs="Arial"/>
          <w:sz w:val="21"/>
        </w:rPr>
      </w:pPr>
      <w:r>
        <w:rPr>
          <w:rFonts w:ascii="Arial" w:hAnsi="Arial" w:cs="Arial"/>
          <w:sz w:val="21"/>
        </w:rPr>
        <w:t>3.2.3 投标人得分=A+B+C。</w:t>
      </w:r>
    </w:p>
    <w:p w14:paraId="1CF6D772">
      <w:pPr>
        <w:pStyle w:val="5"/>
        <w:topLinePunct/>
        <w:spacing w:after="0" w:line="500" w:lineRule="exact"/>
        <w:ind w:firstLine="420" w:firstLineChars="200"/>
        <w:rPr>
          <w:rFonts w:ascii="Arial" w:hAnsi="Arial" w:cs="Arial"/>
        </w:rPr>
      </w:pPr>
      <w:r>
        <w:rPr>
          <w:rFonts w:ascii="Arial" w:hAnsi="Arial" w:cs="Arial"/>
          <w:sz w:val="21"/>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FD6BB93">
      <w:pPr>
        <w:pStyle w:val="4"/>
        <w:spacing w:after="0" w:line="500" w:lineRule="exact"/>
        <w:ind w:left="132"/>
        <w:rPr>
          <w:rFonts w:ascii="Arial" w:hAnsi="Arial" w:eastAsia="宋体" w:cs="Arial"/>
          <w:color w:val="auto"/>
        </w:rPr>
      </w:pPr>
      <w:bookmarkStart w:id="23" w:name="_Toc17551504"/>
      <w:bookmarkStart w:id="24" w:name="_Toc531283877"/>
      <w:r>
        <w:rPr>
          <w:rFonts w:ascii="Arial" w:hAnsi="Arial" w:eastAsia="宋体" w:cs="Arial"/>
          <w:color w:val="auto"/>
        </w:rPr>
        <w:t>3.3 投标文件的澄清</w:t>
      </w:r>
      <w:bookmarkEnd w:id="23"/>
      <w:bookmarkEnd w:id="24"/>
    </w:p>
    <w:p w14:paraId="2B73D6CE">
      <w:pPr>
        <w:pStyle w:val="5"/>
        <w:topLinePunct/>
        <w:spacing w:after="0" w:line="500" w:lineRule="exact"/>
        <w:ind w:firstLine="420" w:firstLineChars="200"/>
        <w:rPr>
          <w:rFonts w:ascii="Arial" w:hAnsi="Arial" w:cs="Arial"/>
          <w:sz w:val="21"/>
        </w:rPr>
      </w:pPr>
      <w:r>
        <w:rPr>
          <w:rFonts w:ascii="Arial" w:hAnsi="Arial" w:cs="Arial"/>
          <w:sz w:val="21"/>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66652547">
      <w:pPr>
        <w:pStyle w:val="5"/>
        <w:topLinePunct/>
        <w:spacing w:after="0" w:line="500" w:lineRule="exact"/>
        <w:ind w:firstLine="420" w:firstLineChars="200"/>
        <w:rPr>
          <w:rFonts w:ascii="Arial" w:hAnsi="Arial" w:cs="Arial"/>
          <w:sz w:val="21"/>
        </w:rPr>
      </w:pPr>
      <w:r>
        <w:rPr>
          <w:rFonts w:ascii="Arial" w:hAnsi="Arial" w:cs="Arial"/>
          <w:sz w:val="21"/>
        </w:rPr>
        <w:t>3.3.2澄清、说明或补正不得超出投标文件的范围且不得改变投标文件的实质性内容，并构成投标文件的组成部分。</w:t>
      </w:r>
    </w:p>
    <w:p w14:paraId="3C020D4A">
      <w:pPr>
        <w:pStyle w:val="5"/>
        <w:topLinePunct/>
        <w:spacing w:after="0" w:line="500" w:lineRule="exact"/>
        <w:ind w:firstLine="420" w:firstLineChars="200"/>
        <w:rPr>
          <w:rFonts w:ascii="Arial" w:hAnsi="Arial" w:cs="Arial"/>
          <w:sz w:val="21"/>
        </w:rPr>
      </w:pPr>
      <w:r>
        <w:rPr>
          <w:rFonts w:ascii="Arial" w:hAnsi="Arial" w:cs="Arial"/>
          <w:sz w:val="21"/>
        </w:rPr>
        <w:t>3.3.3评标委员会对投标人提交的澄清、说明或补正有疑问的，可以要求投标人进一步澄清、说明或补正，直至满足评标委员会的要求。</w:t>
      </w:r>
    </w:p>
    <w:p w14:paraId="48D90E44">
      <w:pPr>
        <w:pStyle w:val="4"/>
        <w:spacing w:after="0" w:line="500" w:lineRule="exact"/>
        <w:ind w:left="132"/>
        <w:rPr>
          <w:rFonts w:ascii="Arial" w:hAnsi="Arial" w:eastAsia="宋体" w:cs="Arial"/>
          <w:color w:val="auto"/>
        </w:rPr>
      </w:pPr>
      <w:bookmarkStart w:id="25" w:name="_Toc17551505"/>
      <w:bookmarkStart w:id="26" w:name="_Toc531283878"/>
      <w:r>
        <w:rPr>
          <w:rFonts w:ascii="Arial" w:hAnsi="Arial" w:eastAsia="宋体" w:cs="Arial"/>
          <w:color w:val="auto"/>
        </w:rPr>
        <w:t>3.4 评标结果</w:t>
      </w:r>
      <w:bookmarkEnd w:id="25"/>
      <w:bookmarkEnd w:id="26"/>
    </w:p>
    <w:p w14:paraId="11D6A420">
      <w:pPr>
        <w:pStyle w:val="5"/>
        <w:topLinePunct/>
        <w:spacing w:after="0" w:line="500" w:lineRule="exact"/>
        <w:ind w:firstLine="420" w:firstLineChars="200"/>
        <w:rPr>
          <w:rFonts w:ascii="Arial" w:hAnsi="Arial" w:cs="Arial"/>
          <w:sz w:val="21"/>
        </w:rPr>
      </w:pPr>
      <w:r>
        <w:rPr>
          <w:rFonts w:ascii="Arial" w:hAnsi="Arial" w:cs="Arial"/>
          <w:sz w:val="21"/>
        </w:rPr>
        <w:t>3.4.1 除第二章“投标人须知”前附表授权直接确定中标人外，评标委员会按照得分由高到低的顺序推荐</w:t>
      </w:r>
      <w:r>
        <w:rPr>
          <w:rFonts w:hint="eastAsia" w:ascii="Arial" w:hAnsi="Arial" w:cs="Arial"/>
          <w:sz w:val="21"/>
        </w:rPr>
        <w:t>三名不排序的</w:t>
      </w:r>
      <w:r>
        <w:rPr>
          <w:rFonts w:ascii="Arial" w:hAnsi="Arial" w:cs="Arial"/>
          <w:sz w:val="21"/>
        </w:rPr>
        <w:t>中标候选人。</w:t>
      </w:r>
    </w:p>
    <w:p w14:paraId="37CA8267">
      <w:r>
        <w:rPr>
          <w:rFonts w:ascii="Arial" w:hAnsi="Arial" w:cs="Arial"/>
          <w:sz w:val="21"/>
        </w:rPr>
        <w:t>3.4.2 评标委员会完成评标后，应当向招标人提交书面评标报告和中标候选人名单。</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4BC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9EDB27">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0eveMzAgAAZ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0eveMzAgAAZQQAAA4AAAAAAAAAAQAgAAAAHwEAAGRycy9lMm9Eb2MueG1sUEsF&#10;BgAAAAAGAAYAWQEAAMQFAAAAAA==&#10;">
              <v:fill on="f" focussize="0,0"/>
              <v:stroke on="f" weight="0.5pt"/>
              <v:imagedata o:title=""/>
              <o:lock v:ext="edit" aspectratio="f"/>
              <v:textbox inset="0mm,0mm,0mm,0mm" style="mso-fit-shape-to-text:t;">
                <w:txbxContent>
                  <w:p w14:paraId="0E9EDB27">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0EE6B"/>
    <w:multiLevelType w:val="singleLevel"/>
    <w:tmpl w:val="B1C0EE6B"/>
    <w:lvl w:ilvl="0" w:tentative="0">
      <w:start w:val="5"/>
      <w:numFmt w:val="chineseCounting"/>
      <w:suff w:val="nothing"/>
      <w:lvlText w:val="%1、"/>
      <w:lvlJc w:val="left"/>
      <w:pPr>
        <w:ind w:left="0" w:firstLine="0"/>
      </w:pPr>
    </w:lvl>
  </w:abstractNum>
  <w:abstractNum w:abstractNumId="1">
    <w:nsid w:val="059250F5"/>
    <w:multiLevelType w:val="multilevel"/>
    <w:tmpl w:val="059250F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C37333B"/>
    <w:multiLevelType w:val="multilevel"/>
    <w:tmpl w:val="1C37333B"/>
    <w:lvl w:ilvl="0" w:tentative="0">
      <w:start w:val="1"/>
      <w:numFmt w:val="decimal"/>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1EAC70B6"/>
    <w:multiLevelType w:val="multilevel"/>
    <w:tmpl w:val="1EAC70B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B8B36B0"/>
    <w:multiLevelType w:val="multilevel"/>
    <w:tmpl w:val="2B8B36B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lvlOverride w:ilvl="0">
      <w:startOverride w:val="5"/>
    </w:lvlOverride>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65F82"/>
    <w:rsid w:val="02F65F82"/>
    <w:rsid w:val="06F750FD"/>
    <w:rsid w:val="1A920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3">
    <w:name w:val="heading 2"/>
    <w:basedOn w:val="1"/>
    <w:next w:val="1"/>
    <w:qFormat/>
    <w:uiPriority w:val="0"/>
    <w:pPr>
      <w:keepNext/>
      <w:keepLines/>
      <w:spacing w:after="503" w:line="265" w:lineRule="auto"/>
      <w:ind w:left="10" w:right="56" w:hanging="10"/>
      <w:outlineLvl w:val="1"/>
    </w:pPr>
    <w:rPr>
      <w:rFonts w:ascii="黑体" w:hAnsi="黑体" w:eastAsia="黑体"/>
      <w:color w:val="000000"/>
      <w:sz w:val="32"/>
      <w:lang w:bidi="ar-SA"/>
    </w:rPr>
  </w:style>
  <w:style w:type="paragraph" w:styleId="4">
    <w:name w:val="heading 3"/>
    <w:basedOn w:val="1"/>
    <w:next w:val="1"/>
    <w:qFormat/>
    <w:uiPriority w:val="0"/>
    <w:pPr>
      <w:keepNext/>
      <w:keepLines/>
      <w:spacing w:after="281" w:line="265" w:lineRule="auto"/>
      <w:ind w:left="10" w:right="53" w:hanging="10"/>
      <w:outlineLvl w:val="2"/>
    </w:pPr>
    <w:rPr>
      <w:rFonts w:ascii="黑体" w:hAnsi="黑体" w:eastAsia="黑体"/>
      <w:color w:val="000000"/>
      <w:sz w:val="28"/>
      <w:lang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header"/>
    <w:basedOn w:val="1"/>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after="0" w:line="240" w:lineRule="auto"/>
      <w:jc w:val="both"/>
    </w:pPr>
    <w:rPr>
      <w:rFonts w:eastAsia="宋体" w:cs="Times New Roman"/>
      <w:color w:val="auto"/>
      <w:kern w:val="0"/>
      <w:sz w:val="18"/>
      <w:szCs w:val="24"/>
    </w:rPr>
  </w:style>
  <w:style w:type="paragraph" w:styleId="5">
    <w:name w:val="Body Text 3"/>
    <w:basedOn w:val="1"/>
    <w:qFormat/>
    <w:uiPriority w:val="0"/>
    <w:pPr>
      <w:widowControl w:val="0"/>
      <w:spacing w:after="120" w:line="240" w:lineRule="auto"/>
      <w:jc w:val="both"/>
    </w:pPr>
    <w:rPr>
      <w:rFonts w:eastAsia="宋体" w:cs="Times New Roman"/>
      <w:color w:val="auto"/>
      <w:kern w:val="0"/>
      <w:sz w:val="16"/>
      <w:szCs w:val="16"/>
    </w:rPr>
  </w:style>
  <w:style w:type="paragraph" w:styleId="6">
    <w:name w:val="footer"/>
    <w:basedOn w:val="1"/>
    <w:unhideWhenUsed/>
    <w:qFormat/>
    <w:uiPriority w:val="99"/>
    <w:pPr>
      <w:tabs>
        <w:tab w:val="center" w:pos="4153"/>
        <w:tab w:val="right" w:pos="8306"/>
      </w:tabs>
      <w:snapToGrid w:val="0"/>
      <w:spacing w:line="240" w:lineRule="auto"/>
    </w:pPr>
    <w:rPr>
      <w:rFonts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2025-07-03T10:42:00Z</dcterms:created>
  <dc:creator>豆^v^腐</dc:creator>
  <cp:lastModifiedBy>豆^v^腐</cp:lastModifiedBy>
  <dcterms:modified xsi:type="dcterms:W3CDTF">2025-07-03T10:46:46Z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A9C82B78041D40BE8BDA8F52EAF89396_11</vt:lpwstr>
  </property>
  <property fmtid="{D5CDD505-2E9C-101B-9397-08002B2CF9AE}" pid="4" name="KSOTemplateDocerSaveRecord">
    <vt:lpwstr>eyJoZGlkIjoiN2EyZDY3YTRiY2FiMmM4YjdhYTdjODZjMTQ3M2Y0MTAiLCJ1c2VySWQiOiIyMjY2MzE4NDIifQ==</vt:lpwstr>
  </property>
</Properties>
</file>